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E27FE" w14:textId="77777777" w:rsidR="00C6406A" w:rsidRPr="00ED6A4F" w:rsidRDefault="00C6406A" w:rsidP="00C6406A">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CONVENTION SUR LES ZONES HUMIDES</w:t>
      </w:r>
    </w:p>
    <w:p w14:paraId="5A9106A6" w14:textId="77777777" w:rsidR="00C6406A" w:rsidRPr="00ED6A4F" w:rsidRDefault="00C6406A" w:rsidP="00C6406A">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63</w:t>
      </w:r>
      <w:r>
        <w:rPr>
          <w:vertAlign w:val="superscript"/>
        </w:rPr>
        <w:t>e</w:t>
      </w:r>
      <w:r>
        <w:t> réunion du Comité permanent</w:t>
      </w:r>
    </w:p>
    <w:p w14:paraId="08B9042C" w14:textId="77777777" w:rsidR="00C6406A" w:rsidRPr="00ED6A4F" w:rsidRDefault="00C6406A" w:rsidP="00C6406A">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t>Gland, Suisse, 3 au 7 juin 2024</w:t>
      </w:r>
    </w:p>
    <w:p w14:paraId="02276A21" w14:textId="77777777" w:rsidR="00591472" w:rsidRDefault="00591472" w:rsidP="00591472">
      <w:pPr>
        <w:rPr>
          <w:rFonts w:cstheme="minorBidi"/>
          <w:sz w:val="28"/>
        </w:rPr>
      </w:pPr>
    </w:p>
    <w:p w14:paraId="3D1F25D1" w14:textId="1C5BC240" w:rsidR="00591472" w:rsidRDefault="00591472" w:rsidP="00591472">
      <w:pPr>
        <w:jc w:val="right"/>
        <w:rPr>
          <w:rFonts w:cstheme="minorHAnsi"/>
          <w:b/>
          <w:sz w:val="28"/>
          <w:szCs w:val="28"/>
        </w:rPr>
      </w:pPr>
      <w:r>
        <w:rPr>
          <w:b/>
          <w:sz w:val="28"/>
        </w:rPr>
        <w:t>SC63 Com.1</w:t>
      </w:r>
    </w:p>
    <w:p w14:paraId="6784BAC5" w14:textId="77777777" w:rsidR="00591472" w:rsidRDefault="00591472" w:rsidP="00711D36">
      <w:pPr>
        <w:widowControl/>
        <w:rPr>
          <w:rFonts w:asciiTheme="minorHAnsi" w:hAnsiTheme="minorHAnsi" w:cstheme="minorHAnsi"/>
          <w:b/>
          <w:sz w:val="28"/>
          <w:szCs w:val="28"/>
        </w:rPr>
      </w:pPr>
    </w:p>
    <w:p w14:paraId="7E6EC8DC" w14:textId="3AB8A11D" w:rsidR="005E3F07" w:rsidRPr="00641B45" w:rsidRDefault="000F77DA" w:rsidP="00591472">
      <w:pPr>
        <w:widowControl/>
        <w:jc w:val="center"/>
        <w:rPr>
          <w:rFonts w:asciiTheme="minorHAnsi" w:hAnsiTheme="minorHAnsi" w:cstheme="minorHAnsi"/>
          <w:b/>
          <w:sz w:val="28"/>
          <w:szCs w:val="28"/>
        </w:rPr>
      </w:pPr>
      <w:r>
        <w:rPr>
          <w:rFonts w:asciiTheme="minorHAnsi" w:hAnsiTheme="minorHAnsi"/>
          <w:b/>
          <w:sz w:val="28"/>
        </w:rPr>
        <w:t>Rapport du Sous-groupe sur les finances, 3 juin 2024</w:t>
      </w:r>
    </w:p>
    <w:p w14:paraId="1227D19A" w14:textId="6CC09262" w:rsidR="008E1AA5" w:rsidRDefault="008E1AA5" w:rsidP="00711D36">
      <w:pPr>
        <w:pStyle w:val="BodyText"/>
        <w:widowControl/>
        <w:rPr>
          <w:rFonts w:asciiTheme="minorHAnsi" w:hAnsiTheme="minorHAnsi" w:cstheme="minorHAnsi"/>
          <w:b/>
        </w:rPr>
      </w:pPr>
    </w:p>
    <w:p w14:paraId="7935E27F" w14:textId="426C1FC9" w:rsidR="009F5EF8" w:rsidRPr="00A24BE1" w:rsidRDefault="009F5EF8" w:rsidP="00711D36">
      <w:pPr>
        <w:rPr>
          <w:i/>
        </w:rPr>
      </w:pPr>
      <w:r>
        <w:rPr>
          <w:i/>
        </w:rPr>
        <w:t xml:space="preserve">Le présent rapport contient les recommandations formulées durant la réunion du Sous-groupe sur les finances du 3 juin 2024, qui seront soumises au Comité permanent, pour examen. </w:t>
      </w:r>
    </w:p>
    <w:p w14:paraId="1F111673" w14:textId="4BAEC739" w:rsidR="0002451C" w:rsidRDefault="0002451C" w:rsidP="00711D36">
      <w:pPr>
        <w:widowControl/>
        <w:tabs>
          <w:tab w:val="left" w:pos="960"/>
        </w:tabs>
        <w:rPr>
          <w:rFonts w:asciiTheme="minorHAnsi" w:hAnsiTheme="minorHAnsi" w:cstheme="minorHAnsi"/>
        </w:rPr>
      </w:pPr>
    </w:p>
    <w:p w14:paraId="683E2046" w14:textId="1FB4B639" w:rsidR="00B60E9F" w:rsidRPr="009E3B46" w:rsidRDefault="00B60E9F" w:rsidP="00B60E9F">
      <w:pPr>
        <w:widowControl/>
        <w:rPr>
          <w:rFonts w:asciiTheme="minorHAnsi" w:hAnsiTheme="minorHAnsi" w:cstheme="minorHAnsi"/>
        </w:rPr>
      </w:pPr>
      <w:r>
        <w:rPr>
          <w:rFonts w:asciiTheme="minorHAnsi" w:hAnsiTheme="minorHAnsi"/>
        </w:rPr>
        <w:t>Le Président ouvre la séance et demande au Sous-groupe de se référer aux mesures requises dans les documents SC63 Doc.9.1 et SC63 Doc.9.2 portant sur les questions financières et budgétaires, ajoutant que le rapport sur les questions financières pour 2023 et 2024 sera examiné après les discussions sur les contributions annuelles.</w:t>
      </w:r>
    </w:p>
    <w:p w14:paraId="1FFF2C9C" w14:textId="77777777" w:rsidR="001A64EB" w:rsidRDefault="001A64EB" w:rsidP="00B60E9F">
      <w:pPr>
        <w:widowControl/>
        <w:tabs>
          <w:tab w:val="left" w:pos="960"/>
        </w:tabs>
        <w:rPr>
          <w:rFonts w:asciiTheme="minorHAnsi" w:hAnsiTheme="minorHAnsi" w:cstheme="minorHAnsi"/>
        </w:rPr>
      </w:pPr>
    </w:p>
    <w:p w14:paraId="05590A90" w14:textId="72AAE4F4" w:rsidR="00356EEC" w:rsidRPr="00711D36" w:rsidRDefault="00711D36" w:rsidP="008F6EDE">
      <w:pPr>
        <w:widowControl/>
        <w:autoSpaceDE/>
        <w:autoSpaceDN/>
        <w:ind w:left="426" w:hanging="426"/>
        <w:rPr>
          <w:rFonts w:asciiTheme="minorHAnsi" w:hAnsiTheme="minorHAnsi" w:cstheme="minorHAnsi"/>
          <w:b/>
        </w:rPr>
      </w:pPr>
      <w:r>
        <w:rPr>
          <w:rFonts w:asciiTheme="minorHAnsi" w:hAnsiTheme="minorHAnsi"/>
          <w:b/>
        </w:rPr>
        <w:t>1.</w:t>
      </w:r>
      <w:r>
        <w:rPr>
          <w:rFonts w:asciiTheme="minorHAnsi" w:hAnsiTheme="minorHAnsi"/>
          <w:b/>
        </w:rPr>
        <w:tab/>
        <w:t>État des contributions annuelles</w:t>
      </w:r>
    </w:p>
    <w:p w14:paraId="70C48F73" w14:textId="77777777" w:rsidR="00356EEC" w:rsidRPr="00BE1A1D" w:rsidRDefault="00356EEC" w:rsidP="00711D36">
      <w:pPr>
        <w:widowControl/>
        <w:ind w:left="426" w:hanging="426"/>
        <w:rPr>
          <w:rFonts w:asciiTheme="minorHAnsi" w:hAnsiTheme="minorHAnsi" w:cstheme="minorHAnsi"/>
        </w:rPr>
      </w:pPr>
    </w:p>
    <w:p w14:paraId="2C5A4EE0" w14:textId="675849F4" w:rsidR="00C46204" w:rsidRDefault="005E2AB1" w:rsidP="005E2AB1">
      <w:pPr>
        <w:widowControl/>
        <w:rPr>
          <w:rFonts w:asciiTheme="minorHAnsi" w:hAnsiTheme="minorHAnsi" w:cstheme="minorHAnsi"/>
        </w:rPr>
      </w:pPr>
      <w:r>
        <w:rPr>
          <w:rFonts w:asciiTheme="minorHAnsi" w:hAnsiTheme="minorHAnsi"/>
        </w:rPr>
        <w:t>Le Secrétariat résume brièvement le document SC63 Doc.9.2, présentant l</w:t>
      </w:r>
      <w:r w:rsidR="00872521">
        <w:rPr>
          <w:rFonts w:asciiTheme="minorHAnsi" w:hAnsiTheme="minorHAnsi"/>
        </w:rPr>
        <w:t>’</w:t>
      </w:r>
      <w:r>
        <w:rPr>
          <w:rFonts w:asciiTheme="minorHAnsi" w:hAnsiTheme="minorHAnsi"/>
        </w:rPr>
        <w:t>état des contributions annuelles au 31 décembre 2023, et notant l</w:t>
      </w:r>
      <w:r w:rsidR="00872521">
        <w:rPr>
          <w:rFonts w:asciiTheme="minorHAnsi" w:hAnsiTheme="minorHAnsi"/>
        </w:rPr>
        <w:t>’</w:t>
      </w:r>
      <w:r>
        <w:rPr>
          <w:rFonts w:asciiTheme="minorHAnsi" w:hAnsiTheme="minorHAnsi"/>
        </w:rPr>
        <w:t xml:space="preserve">augmentation des contributions annuelles à recevoir et des provisions annuelles </w:t>
      </w:r>
      <w:r w:rsidR="000D7AD9">
        <w:rPr>
          <w:rFonts w:asciiTheme="minorHAnsi" w:hAnsiTheme="minorHAnsi"/>
        </w:rPr>
        <w:t>qui en</w:t>
      </w:r>
      <w:r>
        <w:rPr>
          <w:rFonts w:asciiTheme="minorHAnsi" w:hAnsiTheme="minorHAnsi"/>
        </w:rPr>
        <w:t xml:space="preserve"> découl</w:t>
      </w:r>
      <w:r w:rsidR="000D7AD9">
        <w:rPr>
          <w:rFonts w:asciiTheme="minorHAnsi" w:hAnsiTheme="minorHAnsi"/>
        </w:rPr>
        <w:t>e</w:t>
      </w:r>
      <w:r>
        <w:rPr>
          <w:rFonts w:asciiTheme="minorHAnsi" w:hAnsiTheme="minorHAnsi"/>
        </w:rPr>
        <w:t xml:space="preserve">nt. </w:t>
      </w:r>
    </w:p>
    <w:p w14:paraId="0D76E1FF" w14:textId="77777777" w:rsidR="00C46204" w:rsidRDefault="00C46204" w:rsidP="005E2AB1">
      <w:pPr>
        <w:widowControl/>
        <w:rPr>
          <w:rFonts w:asciiTheme="minorHAnsi" w:hAnsiTheme="minorHAnsi" w:cstheme="minorHAnsi"/>
        </w:rPr>
      </w:pPr>
    </w:p>
    <w:p w14:paraId="1EF5E777" w14:textId="028DE9DB" w:rsidR="005E2AB1" w:rsidRPr="00E07F50" w:rsidRDefault="00C46204" w:rsidP="005E2AB1">
      <w:pPr>
        <w:widowControl/>
        <w:rPr>
          <w:spacing w:val="-4"/>
        </w:rPr>
      </w:pPr>
      <w:r w:rsidRPr="00E07F50">
        <w:rPr>
          <w:rFonts w:asciiTheme="minorHAnsi" w:hAnsiTheme="minorHAnsi"/>
          <w:spacing w:val="-4"/>
        </w:rPr>
        <w:t>Il énumère les mesures prises concernant l</w:t>
      </w:r>
      <w:r w:rsidR="00872521" w:rsidRPr="00E07F50">
        <w:rPr>
          <w:rFonts w:asciiTheme="minorHAnsi" w:hAnsiTheme="minorHAnsi"/>
          <w:spacing w:val="-4"/>
        </w:rPr>
        <w:t>’</w:t>
      </w:r>
      <w:r w:rsidRPr="00E07F50">
        <w:rPr>
          <w:rFonts w:asciiTheme="minorHAnsi" w:hAnsiTheme="minorHAnsi"/>
          <w:spacing w:val="-4"/>
        </w:rPr>
        <w:t>approche de groupe pour confirmer les arriérés de contributions dans le cadre du processus de vérification ; les mesures prises pour continuer d</w:t>
      </w:r>
      <w:r w:rsidR="00872521" w:rsidRPr="00E07F50">
        <w:rPr>
          <w:rFonts w:asciiTheme="minorHAnsi" w:hAnsiTheme="minorHAnsi"/>
          <w:spacing w:val="-4"/>
        </w:rPr>
        <w:t>’</w:t>
      </w:r>
      <w:r w:rsidRPr="00E07F50">
        <w:rPr>
          <w:rFonts w:asciiTheme="minorHAnsi" w:hAnsiTheme="minorHAnsi"/>
          <w:spacing w:val="-4"/>
        </w:rPr>
        <w:t>encourager le versement des contributions annuelles ; et l</w:t>
      </w:r>
      <w:r w:rsidR="00872521" w:rsidRPr="00E07F50">
        <w:rPr>
          <w:rFonts w:asciiTheme="minorHAnsi" w:hAnsiTheme="minorHAnsi"/>
          <w:spacing w:val="-4"/>
        </w:rPr>
        <w:t>’</w:t>
      </w:r>
      <w:r w:rsidRPr="00E07F50">
        <w:rPr>
          <w:rFonts w:asciiTheme="minorHAnsi" w:hAnsiTheme="minorHAnsi"/>
          <w:spacing w:val="-4"/>
        </w:rPr>
        <w:t xml:space="preserve">état des contributions volontaires </w:t>
      </w:r>
      <w:r w:rsidR="00D242E5" w:rsidRPr="00E07F50">
        <w:rPr>
          <w:rFonts w:asciiTheme="minorHAnsi" w:hAnsiTheme="minorHAnsi"/>
          <w:spacing w:val="-4"/>
        </w:rPr>
        <w:t>de la région Afrique</w:t>
      </w:r>
      <w:r w:rsidRPr="00E07F50">
        <w:rPr>
          <w:rFonts w:asciiTheme="minorHAnsi" w:hAnsiTheme="minorHAnsi"/>
          <w:spacing w:val="-4"/>
        </w:rPr>
        <w:t>.</w:t>
      </w:r>
    </w:p>
    <w:p w14:paraId="5276DBAE" w14:textId="77777777" w:rsidR="002B56FE" w:rsidRPr="008949B3" w:rsidRDefault="002B56FE" w:rsidP="00711D36">
      <w:pPr>
        <w:widowControl/>
        <w:rPr>
          <w:rFonts w:asciiTheme="minorHAnsi" w:hAnsiTheme="minorHAnsi" w:cstheme="minorHAnsi"/>
        </w:rPr>
      </w:pPr>
    </w:p>
    <w:p w14:paraId="772DBAFF" w14:textId="6739C33E" w:rsidR="00C6406A" w:rsidRDefault="00C6406A" w:rsidP="00711D36">
      <w:pPr>
        <w:widowControl/>
        <w:rPr>
          <w:rFonts w:asciiTheme="minorHAnsi" w:hAnsiTheme="minorHAnsi" w:cstheme="minorHAnsi"/>
        </w:rPr>
      </w:pPr>
      <w:r>
        <w:rPr>
          <w:rFonts w:asciiTheme="minorHAnsi" w:hAnsiTheme="minorHAnsi"/>
        </w:rPr>
        <w:t>Les membres du Sous-groupe examinent l</w:t>
      </w:r>
      <w:r w:rsidR="00872521">
        <w:rPr>
          <w:rFonts w:asciiTheme="minorHAnsi" w:hAnsiTheme="minorHAnsi"/>
        </w:rPr>
        <w:t>’</w:t>
      </w:r>
      <w:r>
        <w:rPr>
          <w:rFonts w:asciiTheme="minorHAnsi" w:hAnsiTheme="minorHAnsi"/>
        </w:rPr>
        <w:t>intérêt d</w:t>
      </w:r>
      <w:r w:rsidR="00872521">
        <w:rPr>
          <w:rFonts w:asciiTheme="minorHAnsi" w:hAnsiTheme="minorHAnsi"/>
        </w:rPr>
        <w:t>’</w:t>
      </w:r>
      <w:r>
        <w:rPr>
          <w:rFonts w:asciiTheme="minorHAnsi" w:hAnsiTheme="minorHAnsi"/>
        </w:rPr>
        <w:t>éventuelles mesures supplémentaires pour encourager le paiement des arriérés de contributions, y compris celles qui sont impayées depuis quatre ans ou plus, tout en notant la nécessité pour la Convention et ses processus de rester aussi inclusifs que possible.</w:t>
      </w:r>
    </w:p>
    <w:p w14:paraId="06EAF074" w14:textId="04CB9E43" w:rsidR="00C6406A" w:rsidRDefault="00C6406A" w:rsidP="00711D36">
      <w:pPr>
        <w:widowControl/>
        <w:rPr>
          <w:rFonts w:asciiTheme="minorHAnsi" w:hAnsiTheme="minorHAnsi" w:cstheme="minorHAnsi"/>
        </w:rPr>
      </w:pPr>
    </w:p>
    <w:p w14:paraId="1283143C" w14:textId="2545541D" w:rsidR="00241CF4" w:rsidRDefault="00241CF4" w:rsidP="00711D36">
      <w:pPr>
        <w:widowControl/>
        <w:rPr>
          <w:rFonts w:asciiTheme="minorHAnsi" w:hAnsiTheme="minorHAnsi" w:cstheme="minorHAnsi"/>
        </w:rPr>
      </w:pPr>
      <w:r>
        <w:rPr>
          <w:rFonts w:asciiTheme="minorHAnsi" w:hAnsiTheme="minorHAnsi"/>
        </w:rPr>
        <w:t xml:space="preserve">La Secrétaire générale indique que les arriérés de contributions sont désormais inclus dans les discussions lors de ses réunions bilatérales avec les représentants diplomatiques des Parties contractantes, le cas échéant. </w:t>
      </w:r>
    </w:p>
    <w:p w14:paraId="2DE5C13E" w14:textId="77777777" w:rsidR="00C6406A" w:rsidRDefault="00C6406A" w:rsidP="00711D36">
      <w:pPr>
        <w:widowControl/>
        <w:rPr>
          <w:rFonts w:asciiTheme="minorHAnsi" w:hAnsiTheme="minorHAnsi" w:cstheme="minorHAnsi"/>
        </w:rPr>
      </w:pPr>
    </w:p>
    <w:p w14:paraId="16ED0A09" w14:textId="272ADD63" w:rsidR="002B56FE" w:rsidRDefault="00C6406A" w:rsidP="00711D36">
      <w:pPr>
        <w:widowControl/>
        <w:rPr>
          <w:rFonts w:asciiTheme="minorHAnsi" w:hAnsiTheme="minorHAnsi" w:cstheme="minorHAnsi"/>
        </w:rPr>
      </w:pPr>
      <w:r>
        <w:rPr>
          <w:rFonts w:asciiTheme="minorHAnsi" w:hAnsiTheme="minorHAnsi"/>
        </w:rPr>
        <w:t>Le Sous-groupe approuve les recommandations, pour décision du Comité permanent.</w:t>
      </w:r>
    </w:p>
    <w:p w14:paraId="11A4C452" w14:textId="34F0A3B6" w:rsidR="002B56FE" w:rsidRDefault="002B56FE" w:rsidP="00711D36">
      <w:pPr>
        <w:widowControl/>
        <w:rPr>
          <w:rFonts w:asciiTheme="minorHAnsi" w:hAnsiTheme="minorHAnsi" w:cstheme="minorHAnsi"/>
        </w:rPr>
      </w:pPr>
    </w:p>
    <w:p w14:paraId="25BD72B1" w14:textId="137F756A" w:rsidR="00356EEC" w:rsidRPr="001A64EB" w:rsidRDefault="00356EEC" w:rsidP="00711D36">
      <w:pPr>
        <w:widowControl/>
        <w:rPr>
          <w:rFonts w:asciiTheme="minorHAnsi" w:hAnsiTheme="minorHAnsi" w:cstheme="minorHAnsi"/>
          <w:i/>
          <w:iCs/>
        </w:rPr>
      </w:pPr>
      <w:r>
        <w:rPr>
          <w:rFonts w:asciiTheme="minorHAnsi" w:hAnsiTheme="minorHAnsi"/>
          <w:i/>
        </w:rPr>
        <w:t>Recommandation au Comité permanent, pour décision :</w:t>
      </w:r>
    </w:p>
    <w:p w14:paraId="6FE5BBC0" w14:textId="77777777" w:rsidR="00356EEC" w:rsidRDefault="00356EEC" w:rsidP="00711D36">
      <w:pPr>
        <w:widowControl/>
        <w:rPr>
          <w:rFonts w:asciiTheme="minorHAnsi" w:hAnsiTheme="minorHAnsi" w:cstheme="minorHAnsi"/>
          <w:b/>
          <w:i/>
        </w:rPr>
      </w:pPr>
    </w:p>
    <w:p w14:paraId="5B60B194" w14:textId="77777777" w:rsidR="00356EEC" w:rsidRPr="00065C05" w:rsidRDefault="00356EEC" w:rsidP="00711D36">
      <w:pPr>
        <w:widowControl/>
        <w:rPr>
          <w:rFonts w:asciiTheme="minorHAnsi" w:hAnsiTheme="minorHAnsi" w:cstheme="minorHAnsi"/>
          <w:b/>
          <w:i/>
        </w:rPr>
      </w:pPr>
      <w:r>
        <w:rPr>
          <w:rFonts w:asciiTheme="minorHAnsi" w:hAnsiTheme="minorHAnsi"/>
          <w:b/>
          <w:i/>
        </w:rPr>
        <w:t xml:space="preserve">Le Sous-groupe sur les finances recommande au Comité permanent de prendre note : </w:t>
      </w:r>
    </w:p>
    <w:p w14:paraId="4058224E" w14:textId="6C475401" w:rsidR="00C6406A" w:rsidRPr="00C46204" w:rsidRDefault="00C6406A" w:rsidP="00C6406A">
      <w:pPr>
        <w:ind w:left="425" w:hanging="425"/>
        <w:contextualSpacing/>
        <w:rPr>
          <w:b/>
          <w:bCs/>
          <w:i/>
          <w:color w:val="000000" w:themeColor="text1"/>
        </w:rPr>
      </w:pPr>
      <w:r>
        <w:rPr>
          <w:b/>
          <w:bCs/>
          <w:i/>
        </w:rPr>
        <w:t>i.</w:t>
      </w:r>
      <w:r>
        <w:rPr>
          <w:b/>
          <w:bCs/>
          <w:i/>
        </w:rPr>
        <w:tab/>
        <w:t>de l</w:t>
      </w:r>
      <w:r w:rsidR="00872521">
        <w:rPr>
          <w:b/>
          <w:bCs/>
          <w:i/>
        </w:rPr>
        <w:t>’</w:t>
      </w:r>
      <w:r>
        <w:rPr>
          <w:b/>
          <w:bCs/>
          <w:i/>
        </w:rPr>
        <w:t>état des contributions annuelles ;</w:t>
      </w:r>
      <w:r>
        <w:rPr>
          <w:b/>
          <w:i/>
          <w:color w:val="000000" w:themeColor="text1"/>
        </w:rPr>
        <w:t xml:space="preserve"> </w:t>
      </w:r>
    </w:p>
    <w:p w14:paraId="1028E946" w14:textId="37DDB91A" w:rsidR="00C6406A" w:rsidRPr="00C46204" w:rsidRDefault="00C6406A" w:rsidP="00C6406A">
      <w:pPr>
        <w:ind w:left="425" w:hanging="425"/>
        <w:contextualSpacing/>
        <w:rPr>
          <w:b/>
          <w:bCs/>
          <w:i/>
          <w:color w:val="000000" w:themeColor="text1"/>
        </w:rPr>
      </w:pPr>
      <w:r>
        <w:rPr>
          <w:b/>
          <w:i/>
          <w:color w:val="000000" w:themeColor="text1"/>
        </w:rPr>
        <w:t>ii.</w:t>
      </w:r>
      <w:r>
        <w:rPr>
          <w:b/>
          <w:i/>
          <w:color w:val="000000" w:themeColor="text1"/>
        </w:rPr>
        <w:tab/>
        <w:t>des mesures énumérées aux paragraphes 12 et 13 du document SC63 Doc.9.2 sur l</w:t>
      </w:r>
      <w:r w:rsidR="00872521">
        <w:rPr>
          <w:b/>
          <w:i/>
          <w:color w:val="000000" w:themeColor="text1"/>
        </w:rPr>
        <w:t>’</w:t>
      </w:r>
      <w:r>
        <w:rPr>
          <w:b/>
          <w:i/>
          <w:color w:val="000000" w:themeColor="text1"/>
        </w:rPr>
        <w:t>approche de groupe pour confirmer les arriérés de contributions dans le cadre du processus de vérification ;</w:t>
      </w:r>
    </w:p>
    <w:p w14:paraId="0C89DB3B" w14:textId="5B7B5949" w:rsidR="00C6406A" w:rsidRPr="00C46204" w:rsidRDefault="00C6406A" w:rsidP="00C6406A">
      <w:pPr>
        <w:ind w:left="425" w:hanging="425"/>
        <w:contextualSpacing/>
        <w:rPr>
          <w:b/>
          <w:bCs/>
          <w:i/>
          <w:color w:val="000000" w:themeColor="text1"/>
        </w:rPr>
      </w:pPr>
      <w:r>
        <w:rPr>
          <w:b/>
          <w:i/>
          <w:color w:val="000000" w:themeColor="text1"/>
        </w:rPr>
        <w:t>iii.</w:t>
      </w:r>
      <w:r>
        <w:rPr>
          <w:b/>
          <w:i/>
          <w:color w:val="000000" w:themeColor="text1"/>
        </w:rPr>
        <w:tab/>
        <w:t>des mesures énumérées aux paragraphes 15,</w:t>
      </w:r>
      <w:r w:rsidR="00D242E5">
        <w:rPr>
          <w:b/>
          <w:i/>
          <w:color w:val="000000" w:themeColor="text1"/>
        </w:rPr>
        <w:t xml:space="preserve"> </w:t>
      </w:r>
      <w:r>
        <w:rPr>
          <w:b/>
          <w:i/>
          <w:color w:val="000000" w:themeColor="text1"/>
        </w:rPr>
        <w:t>17,</w:t>
      </w:r>
      <w:r w:rsidR="00D242E5">
        <w:rPr>
          <w:b/>
          <w:i/>
          <w:color w:val="000000" w:themeColor="text1"/>
        </w:rPr>
        <w:t xml:space="preserve"> </w:t>
      </w:r>
      <w:r>
        <w:rPr>
          <w:b/>
          <w:i/>
          <w:color w:val="000000" w:themeColor="text1"/>
        </w:rPr>
        <w:t>18 et 19 du document SC63 Doc.9.2 en vue de continuer d</w:t>
      </w:r>
      <w:r w:rsidR="00872521">
        <w:rPr>
          <w:b/>
          <w:i/>
          <w:color w:val="000000" w:themeColor="text1"/>
        </w:rPr>
        <w:t>’</w:t>
      </w:r>
      <w:r>
        <w:rPr>
          <w:b/>
          <w:i/>
          <w:color w:val="000000" w:themeColor="text1"/>
        </w:rPr>
        <w:t>encourager les Parties contractantes à verser leurs contributions annuelles ;</w:t>
      </w:r>
    </w:p>
    <w:p w14:paraId="1FAC0DC6" w14:textId="01C8905D" w:rsidR="00C6406A" w:rsidRPr="00C6406A" w:rsidRDefault="00C6406A" w:rsidP="00C6406A">
      <w:pPr>
        <w:ind w:left="425" w:hanging="425"/>
        <w:contextualSpacing/>
        <w:rPr>
          <w:b/>
          <w:bCs/>
          <w:i/>
          <w:color w:val="000000" w:themeColor="text1"/>
        </w:rPr>
      </w:pPr>
      <w:r>
        <w:rPr>
          <w:b/>
          <w:i/>
          <w:color w:val="000000" w:themeColor="text1"/>
        </w:rPr>
        <w:t>iv.</w:t>
      </w:r>
      <w:r>
        <w:rPr>
          <w:b/>
          <w:i/>
          <w:color w:val="000000" w:themeColor="text1"/>
        </w:rPr>
        <w:tab/>
        <w:t xml:space="preserve">des changements dans les contributions annuelles à recevoir et dans les provisions annuelles pour les contributions à recevoir ; et </w:t>
      </w:r>
    </w:p>
    <w:p w14:paraId="26992645" w14:textId="766EF17C" w:rsidR="00C6406A" w:rsidRPr="00C6406A" w:rsidRDefault="00C6406A" w:rsidP="00C6406A">
      <w:pPr>
        <w:ind w:left="425" w:hanging="425"/>
        <w:contextualSpacing/>
        <w:rPr>
          <w:i/>
          <w:color w:val="000000" w:themeColor="text1"/>
        </w:rPr>
      </w:pPr>
      <w:r>
        <w:rPr>
          <w:b/>
          <w:i/>
          <w:color w:val="000000" w:themeColor="text1"/>
        </w:rPr>
        <w:t>v.</w:t>
      </w:r>
      <w:r>
        <w:rPr>
          <w:b/>
          <w:i/>
          <w:color w:val="000000" w:themeColor="text1"/>
        </w:rPr>
        <w:tab/>
        <w:t>de l</w:t>
      </w:r>
      <w:r w:rsidR="00872521">
        <w:rPr>
          <w:b/>
          <w:i/>
          <w:color w:val="000000" w:themeColor="text1"/>
        </w:rPr>
        <w:t>’</w:t>
      </w:r>
      <w:r>
        <w:rPr>
          <w:b/>
          <w:i/>
          <w:color w:val="000000" w:themeColor="text1"/>
        </w:rPr>
        <w:t>état actuel des contributions volontaires reçues des Parties contractantes de la région Afrique figurant au paragraphe 22 du document SC63 Doc.9.2.</w:t>
      </w:r>
    </w:p>
    <w:p w14:paraId="46895208" w14:textId="13C80A5F" w:rsidR="0066724B" w:rsidRDefault="0066724B" w:rsidP="00711D36">
      <w:pPr>
        <w:widowControl/>
        <w:rPr>
          <w:rFonts w:asciiTheme="minorHAnsi" w:hAnsiTheme="minorHAnsi" w:cstheme="minorHAnsi"/>
          <w:b/>
          <w:i/>
        </w:rPr>
      </w:pPr>
      <w:bookmarkStart w:id="0" w:name="_GoBack"/>
      <w:bookmarkEnd w:id="0"/>
    </w:p>
    <w:p w14:paraId="5AE05E69" w14:textId="77777777" w:rsidR="00F9659F" w:rsidRDefault="00F9659F" w:rsidP="00021CD9">
      <w:pPr>
        <w:keepNext/>
        <w:widowControl/>
        <w:autoSpaceDE/>
        <w:autoSpaceDN/>
        <w:ind w:left="425" w:hanging="425"/>
        <w:rPr>
          <w:rFonts w:asciiTheme="minorHAnsi" w:hAnsiTheme="minorHAnsi" w:cstheme="minorHAnsi"/>
          <w:b/>
        </w:rPr>
      </w:pPr>
      <w:r>
        <w:rPr>
          <w:rFonts w:asciiTheme="minorHAnsi" w:hAnsiTheme="minorHAnsi"/>
          <w:b/>
        </w:rPr>
        <w:t>2.</w:t>
      </w:r>
      <w:r>
        <w:rPr>
          <w:rFonts w:asciiTheme="minorHAnsi" w:hAnsiTheme="minorHAnsi"/>
          <w:b/>
        </w:rPr>
        <w:tab/>
        <w:t>Rapport sur les questions financières pour 2023 et 2024</w:t>
      </w:r>
    </w:p>
    <w:p w14:paraId="57813ED8" w14:textId="77777777" w:rsidR="00F9659F" w:rsidRDefault="00F9659F" w:rsidP="00021CD9">
      <w:pPr>
        <w:keepNext/>
        <w:widowControl/>
        <w:autoSpaceDE/>
        <w:autoSpaceDN/>
        <w:ind w:left="425" w:hanging="425"/>
        <w:rPr>
          <w:rFonts w:asciiTheme="minorHAnsi" w:hAnsiTheme="minorHAnsi" w:cstheme="minorHAnsi"/>
          <w:b/>
        </w:rPr>
      </w:pPr>
    </w:p>
    <w:p w14:paraId="6F1C06E8" w14:textId="757AAFF8" w:rsidR="00C17AED" w:rsidRDefault="00F9659F" w:rsidP="00C17AED">
      <w:pPr>
        <w:widowControl/>
        <w:autoSpaceDE/>
        <w:autoSpaceDN/>
        <w:rPr>
          <w:rFonts w:asciiTheme="minorHAnsi" w:hAnsiTheme="minorHAnsi" w:cstheme="minorHAnsi"/>
        </w:rPr>
      </w:pPr>
      <w:r>
        <w:rPr>
          <w:rFonts w:asciiTheme="minorHAnsi" w:hAnsiTheme="minorHAnsi"/>
        </w:rPr>
        <w:t xml:space="preserve">Le Secrétariat présente le document SC63 Doc.9.1, en </w:t>
      </w:r>
      <w:r w:rsidR="00734084">
        <w:rPr>
          <w:rFonts w:asciiTheme="minorHAnsi" w:hAnsiTheme="minorHAnsi"/>
        </w:rPr>
        <w:t>soulignant</w:t>
      </w:r>
      <w:r>
        <w:rPr>
          <w:rFonts w:asciiTheme="minorHAnsi" w:hAnsiTheme="minorHAnsi"/>
        </w:rPr>
        <w:t> :</w:t>
      </w:r>
    </w:p>
    <w:p w14:paraId="2145FC12" w14:textId="705F0D23" w:rsidR="00C17AED" w:rsidRDefault="00E07F50" w:rsidP="00E07F50">
      <w:pPr>
        <w:widowControl/>
        <w:autoSpaceDE/>
        <w:autoSpaceDN/>
        <w:ind w:left="426" w:hanging="426"/>
      </w:pPr>
      <w:r>
        <w:t>-</w:t>
      </w:r>
      <w:r>
        <w:tab/>
      </w:r>
      <w:r w:rsidR="00F9659F">
        <w:t xml:space="preserve">les états financiers vérifiés pour 2023 ; </w:t>
      </w:r>
    </w:p>
    <w:p w14:paraId="0BF5A505" w14:textId="0987F526" w:rsidR="00C17AED" w:rsidRDefault="00E07F50" w:rsidP="00E07F50">
      <w:pPr>
        <w:widowControl/>
        <w:autoSpaceDE/>
        <w:autoSpaceDN/>
        <w:ind w:left="426" w:hanging="426"/>
      </w:pPr>
      <w:r>
        <w:t>-</w:t>
      </w:r>
      <w:r>
        <w:tab/>
      </w:r>
      <w:r w:rsidR="00F9659F">
        <w:t xml:space="preserve">les résultats du budget administratif pour 2023 ; </w:t>
      </w:r>
    </w:p>
    <w:p w14:paraId="47E4A11B" w14:textId="3FD468FA" w:rsidR="00C17AED" w:rsidRDefault="00E07F50" w:rsidP="00E07F50">
      <w:pPr>
        <w:widowControl/>
        <w:autoSpaceDE/>
        <w:autoSpaceDN/>
        <w:ind w:left="426" w:hanging="426"/>
      </w:pPr>
      <w:r>
        <w:t>-</w:t>
      </w:r>
      <w:r>
        <w:tab/>
      </w:r>
      <w:r w:rsidR="00F9659F">
        <w:t>l</w:t>
      </w:r>
      <w:r w:rsidR="00872521">
        <w:t>’</w:t>
      </w:r>
      <w:r w:rsidR="00F9659F">
        <w:t xml:space="preserve">état des financements non administratifs et des contributions volontaires pour 2023 ; </w:t>
      </w:r>
    </w:p>
    <w:p w14:paraId="516F2BE7" w14:textId="52CC252C" w:rsidR="00C17AED" w:rsidRDefault="00E07F50" w:rsidP="00E07F50">
      <w:pPr>
        <w:widowControl/>
        <w:autoSpaceDE/>
        <w:autoSpaceDN/>
        <w:ind w:left="426" w:hanging="426"/>
      </w:pPr>
      <w:r>
        <w:t>-</w:t>
      </w:r>
      <w:r>
        <w:tab/>
      </w:r>
      <w:r w:rsidR="00C17AED">
        <w:t xml:space="preserve">la proposition du report des fonds préengagés pour un total de 1 232 00 CHF, de 2023 à 2024 ; </w:t>
      </w:r>
    </w:p>
    <w:p w14:paraId="21AF017C" w14:textId="7CBAE777" w:rsidR="00C17AED" w:rsidRDefault="00E07F50" w:rsidP="00E07F50">
      <w:pPr>
        <w:widowControl/>
        <w:autoSpaceDE/>
        <w:autoSpaceDN/>
        <w:ind w:left="426" w:hanging="426"/>
      </w:pPr>
      <w:r>
        <w:t>-</w:t>
      </w:r>
      <w:r>
        <w:tab/>
      </w:r>
      <w:r w:rsidR="00C17AED">
        <w:t>la proposition d</w:t>
      </w:r>
      <w:r w:rsidR="00872521">
        <w:t>’</w:t>
      </w:r>
      <w:r w:rsidR="00C17AED">
        <w:t xml:space="preserve">allocation de fonds aux IRR éligibles ; </w:t>
      </w:r>
    </w:p>
    <w:p w14:paraId="0107C3B3" w14:textId="294EC24F" w:rsidR="00C17AED" w:rsidRDefault="00E07F50" w:rsidP="00E07F50">
      <w:pPr>
        <w:widowControl/>
        <w:autoSpaceDE/>
        <w:autoSpaceDN/>
        <w:ind w:left="426" w:hanging="426"/>
      </w:pPr>
      <w:r>
        <w:t>-</w:t>
      </w:r>
      <w:r>
        <w:tab/>
      </w:r>
      <w:r w:rsidR="00F9659F">
        <w:t xml:space="preserve">les soldes excédentaires ; et </w:t>
      </w:r>
    </w:p>
    <w:p w14:paraId="3425BEDA" w14:textId="4D8110C3" w:rsidR="00C17AED" w:rsidRDefault="00E07F50" w:rsidP="00E07F50">
      <w:pPr>
        <w:widowControl/>
        <w:autoSpaceDE/>
        <w:autoSpaceDN/>
        <w:ind w:left="426" w:hanging="426"/>
      </w:pPr>
      <w:r>
        <w:t>-</w:t>
      </w:r>
      <w:r>
        <w:tab/>
      </w:r>
      <w:r w:rsidR="00F9659F">
        <w:t xml:space="preserve">les informations relatives aux rapports financiers pour 2024 et 2025 en préparation des </w:t>
      </w:r>
      <w:r w:rsidR="00F9659F" w:rsidRPr="007D2C8D">
        <w:t>64</w:t>
      </w:r>
      <w:r w:rsidR="00F9659F" w:rsidRPr="00E07F50">
        <w:rPr>
          <w:vertAlign w:val="superscript"/>
        </w:rPr>
        <w:t>e</w:t>
      </w:r>
      <w:r w:rsidR="007D2C8D">
        <w:t> </w:t>
      </w:r>
      <w:r w:rsidR="00F9659F" w:rsidRPr="007D2C8D">
        <w:t>et</w:t>
      </w:r>
      <w:r w:rsidR="00F9659F">
        <w:t xml:space="preserve"> 65</w:t>
      </w:r>
      <w:r w:rsidR="00F9659F" w:rsidRPr="00E07F50">
        <w:rPr>
          <w:vertAlign w:val="superscript"/>
        </w:rPr>
        <w:t>e</w:t>
      </w:r>
      <w:r w:rsidR="00F9659F">
        <w:t> réunions du Comité permanent, et de celles relatives aux factures pour 2025.</w:t>
      </w:r>
    </w:p>
    <w:p w14:paraId="2A468A16" w14:textId="77777777" w:rsidR="00FF1E0D" w:rsidRDefault="00FF1E0D" w:rsidP="00FF1E0D">
      <w:pPr>
        <w:widowControl/>
        <w:autoSpaceDE/>
        <w:autoSpaceDN/>
      </w:pPr>
    </w:p>
    <w:p w14:paraId="622F3A27" w14:textId="7941F444" w:rsidR="00FF1E0D" w:rsidRDefault="00FF1E0D" w:rsidP="00FF1E0D">
      <w:pPr>
        <w:widowControl/>
        <w:autoSpaceDE/>
        <w:autoSpaceDN/>
      </w:pPr>
      <w:r>
        <w:t>Le Secrétariat note en outre que :</w:t>
      </w:r>
    </w:p>
    <w:p w14:paraId="610E9CB7" w14:textId="19DFB17E" w:rsidR="00FF1E0D" w:rsidRDefault="00E07F50" w:rsidP="00E07F50">
      <w:pPr>
        <w:widowControl/>
        <w:autoSpaceDE/>
        <w:autoSpaceDN/>
        <w:ind w:left="426" w:hanging="426"/>
      </w:pPr>
      <w:r>
        <w:t>-</w:t>
      </w:r>
      <w:r>
        <w:tab/>
      </w:r>
      <w:r w:rsidR="00FF1E0D">
        <w:t>les rapports sur les questions financières et budgétaires qui seront soumis à la 64</w:t>
      </w:r>
      <w:r w:rsidR="00FF1E0D" w:rsidRPr="00E07F50">
        <w:rPr>
          <w:vertAlign w:val="superscript"/>
        </w:rPr>
        <w:t>e</w:t>
      </w:r>
      <w:r w:rsidR="00FF1E0D">
        <w:t> Réunion du Comité permanent couvriront la période allant jusqu</w:t>
      </w:r>
      <w:r w:rsidR="00872521">
        <w:t>’</w:t>
      </w:r>
      <w:r w:rsidR="00FF1E0D">
        <w:t xml:space="preserve">au 30 septembre 2024 ; </w:t>
      </w:r>
    </w:p>
    <w:p w14:paraId="3E78A1D8" w14:textId="35A8DD01" w:rsidR="00FF1E0D" w:rsidRDefault="00E07F50" w:rsidP="00E07F50">
      <w:pPr>
        <w:widowControl/>
        <w:autoSpaceDE/>
        <w:autoSpaceDN/>
        <w:ind w:left="426" w:hanging="426"/>
      </w:pPr>
      <w:r>
        <w:t>-</w:t>
      </w:r>
      <w:r>
        <w:tab/>
      </w:r>
      <w:r w:rsidR="00FF1E0D">
        <w:t>les états vérifiés pour 2024, ainsi que les résultats de fin d</w:t>
      </w:r>
      <w:r w:rsidR="00872521">
        <w:t>’</w:t>
      </w:r>
      <w:r w:rsidR="00FF1E0D">
        <w:t>année 2024, seront publiés d</w:t>
      </w:r>
      <w:r w:rsidR="00872521">
        <w:t>’</w:t>
      </w:r>
      <w:r w:rsidR="00FF1E0D">
        <w:t>ici mai 2025 et soumis à l</w:t>
      </w:r>
      <w:r w:rsidR="00872521">
        <w:t>’</w:t>
      </w:r>
      <w:r w:rsidR="00FF1E0D">
        <w:t>approbation de la 65</w:t>
      </w:r>
      <w:r w:rsidR="00FF1E0D" w:rsidRPr="00E07F50">
        <w:rPr>
          <w:vertAlign w:val="superscript"/>
        </w:rPr>
        <w:t>e</w:t>
      </w:r>
      <w:r w:rsidR="00FF1E0D">
        <w:t xml:space="preserve"> Réunion du Comité permanent ; et </w:t>
      </w:r>
    </w:p>
    <w:p w14:paraId="2AE9F14C" w14:textId="2A334BFA" w:rsidR="00FF1E0D" w:rsidRDefault="00E07F50" w:rsidP="00E07F50">
      <w:pPr>
        <w:widowControl/>
        <w:autoSpaceDE/>
        <w:autoSpaceDN/>
        <w:ind w:left="426" w:hanging="426"/>
      </w:pPr>
      <w:r>
        <w:t>-</w:t>
      </w:r>
      <w:r>
        <w:tab/>
      </w:r>
      <w:r w:rsidR="00FF1E0D">
        <w:t>le nouveau barème des contributions des Nations Unies 2025-2027 sera publié</w:t>
      </w:r>
      <w:r w:rsidR="007D2C8D">
        <w:t xml:space="preserve"> d’ici</w:t>
      </w:r>
      <w:r w:rsidR="00FF1E0D">
        <w:t xml:space="preserve"> fin 2024 et le Secrétariat enverra les factures 2025 rapidement après sa publication.</w:t>
      </w:r>
    </w:p>
    <w:p w14:paraId="51DD0B58" w14:textId="28091A1E" w:rsidR="00C17AED" w:rsidRDefault="00C17AED" w:rsidP="00C17AED">
      <w:pPr>
        <w:widowControl/>
        <w:autoSpaceDE/>
        <w:autoSpaceDN/>
      </w:pPr>
    </w:p>
    <w:p w14:paraId="56B65529" w14:textId="7D97A937" w:rsidR="00101AD3" w:rsidRDefault="001D7D26" w:rsidP="00C17AED">
      <w:pPr>
        <w:widowControl/>
        <w:autoSpaceDE/>
        <w:autoSpaceDN/>
      </w:pPr>
      <w:r>
        <w:t>Le Sous-groupe examine l</w:t>
      </w:r>
      <w:r w:rsidR="00872521">
        <w:t>’</w:t>
      </w:r>
      <w:r>
        <w:t>utilisation des fonds non dépensés dans le cadre d</w:t>
      </w:r>
      <w:r w:rsidR="00872521">
        <w:t>’</w:t>
      </w:r>
      <w:r>
        <w:t>activités telles que les IRR et le Groupe de travail sur l</w:t>
      </w:r>
      <w:r w:rsidR="00872521">
        <w:t>’</w:t>
      </w:r>
      <w:r>
        <w:t>efficacité. Le Secrétariat note que les fonds non engagés ou non dépensés sont reportés dans le cadre des lignes budgétaires approuvées pendant la période triennale, conformément à la Décision SC57-</w:t>
      </w:r>
      <w:r w:rsidR="007D2C8D">
        <w:t>5</w:t>
      </w:r>
      <w:r>
        <w:t>0 du Comité permanent.</w:t>
      </w:r>
    </w:p>
    <w:p w14:paraId="1C4A080B" w14:textId="77777777" w:rsidR="00101AD3" w:rsidRDefault="00101AD3" w:rsidP="00C17AED">
      <w:pPr>
        <w:widowControl/>
        <w:autoSpaceDE/>
        <w:autoSpaceDN/>
      </w:pPr>
    </w:p>
    <w:p w14:paraId="003BC100" w14:textId="1D4805CE" w:rsidR="00C17AED" w:rsidRDefault="00C17AED" w:rsidP="00C17AED">
      <w:pPr>
        <w:widowControl/>
        <w:autoSpaceDE/>
        <w:autoSpaceDN/>
      </w:pPr>
      <w:r>
        <w:t>S</w:t>
      </w:r>
      <w:r w:rsidR="00872521">
        <w:t>’</w:t>
      </w:r>
      <w:r>
        <w:t>agissant du processus d</w:t>
      </w:r>
      <w:r w:rsidR="00872521">
        <w:t>’</w:t>
      </w:r>
      <w:r>
        <w:t xml:space="preserve">allocation de fonds excédentaires, le Secrétariat explique que toute proposition sera soumise au Sous-groupe sur les finances pour examen et </w:t>
      </w:r>
      <w:r w:rsidR="00EA00B2">
        <w:t xml:space="preserve">pour </w:t>
      </w:r>
      <w:r>
        <w:t>recommandation éventuelle au Comité permanent pour décision. À la fin d</w:t>
      </w:r>
      <w:r w:rsidR="00872521">
        <w:t>’</w:t>
      </w:r>
      <w:r>
        <w:t>une période triennale, l</w:t>
      </w:r>
      <w:r w:rsidR="00872521">
        <w:t>’</w:t>
      </w:r>
      <w:r>
        <w:t>allocation des fonds excédentaires restants est normalement décidée lors de la COP ou de la réunion du Comité permanent qui suit immédiatement la COP. À ce jour, aucune proposition n</w:t>
      </w:r>
      <w:r w:rsidR="00872521">
        <w:t>’</w:t>
      </w:r>
      <w:r>
        <w:t>a été reçue concernant l</w:t>
      </w:r>
      <w:r w:rsidR="00872521">
        <w:t>’</w:t>
      </w:r>
      <w:r>
        <w:t>allocation des fonds excédentaires déclarés à la fin de l</w:t>
      </w:r>
      <w:r w:rsidR="00872521">
        <w:t>’</w:t>
      </w:r>
      <w:r>
        <w:t>année 2023. Le Secrétariat ajoute que la situation actuelle est exceptionnelle et reflète les économies sur le budget qui se sont accumulées jusqu</w:t>
      </w:r>
      <w:r w:rsidR="00872521">
        <w:t>’</w:t>
      </w:r>
      <w:r>
        <w:t>en 2022, pendant la pandémie, dans des activités telles que les déplacements et les réunions.</w:t>
      </w:r>
    </w:p>
    <w:p w14:paraId="3B77ECE9" w14:textId="77777777" w:rsidR="002C7AAB" w:rsidRDefault="002C7AAB" w:rsidP="00C17AED">
      <w:pPr>
        <w:widowControl/>
        <w:autoSpaceDE/>
        <w:autoSpaceDN/>
      </w:pPr>
    </w:p>
    <w:p w14:paraId="5DABAC9C" w14:textId="5F5038E3" w:rsidR="002C7AAB" w:rsidRDefault="002C7AAB" w:rsidP="00C17AED">
      <w:pPr>
        <w:widowControl/>
        <w:autoSpaceDE/>
        <w:autoSpaceDN/>
      </w:pPr>
      <w:r>
        <w:t>Les membres du Sous-groupe conviennent de</w:t>
      </w:r>
      <w:r w:rsidR="00E9172A">
        <w:t xml:space="preserve"> </w:t>
      </w:r>
      <w:r w:rsidR="00E9172A" w:rsidRPr="00E9172A">
        <w:t xml:space="preserve">demander </w:t>
      </w:r>
      <w:r w:rsidR="00123A19">
        <w:t xml:space="preserve">un délai </w:t>
      </w:r>
      <w:r w:rsidR="00F15B0F">
        <w:t>au mois</w:t>
      </w:r>
      <w:r w:rsidR="00123A19">
        <w:t xml:space="preserve"> d’</w:t>
      </w:r>
      <w:r w:rsidR="00E9172A" w:rsidRPr="00E9172A">
        <w:t xml:space="preserve">octobre pour </w:t>
      </w:r>
      <w:r w:rsidR="002A33FB">
        <w:t>la réception des</w:t>
      </w:r>
      <w:r w:rsidR="00E9172A" w:rsidRPr="00E9172A">
        <w:t xml:space="preserve"> propositions d</w:t>
      </w:r>
      <w:r w:rsidR="00A24050">
        <w:t>’</w:t>
      </w:r>
      <w:r w:rsidR="00E9172A" w:rsidRPr="00E9172A">
        <w:t>a</w:t>
      </w:r>
      <w:r w:rsidR="00C40D9F">
        <w:t>llocation</w:t>
      </w:r>
      <w:r w:rsidR="00E9172A" w:rsidRPr="00E9172A">
        <w:t xml:space="preserve"> des fonds excédentaires</w:t>
      </w:r>
      <w:r w:rsidR="00315BA4">
        <w:t>,</w:t>
      </w:r>
      <w:r>
        <w:t xml:space="preserve"> </w:t>
      </w:r>
      <w:r w:rsidR="008318C2">
        <w:t xml:space="preserve">et de </w:t>
      </w:r>
      <w:r>
        <w:t xml:space="preserve">tenir une réunion intersessions virtuelle </w:t>
      </w:r>
      <w:r w:rsidR="0044607F">
        <w:t xml:space="preserve">aux alentours de </w:t>
      </w:r>
      <w:r>
        <w:t>début décembre 2024, une fois que les projets de résolution pour la COP15 auront été publiés et avant les réunions régionales précédant la COP prévues pour début 2025, afin d</w:t>
      </w:r>
      <w:r w:rsidR="00872521">
        <w:t>’</w:t>
      </w:r>
      <w:r>
        <w:t>examiner :</w:t>
      </w:r>
    </w:p>
    <w:p w14:paraId="2A767B51" w14:textId="4104B913" w:rsidR="002C7AAB" w:rsidRDefault="00E07F50" w:rsidP="00E07F50">
      <w:pPr>
        <w:widowControl/>
        <w:autoSpaceDE/>
        <w:autoSpaceDN/>
        <w:ind w:left="426" w:hanging="426"/>
      </w:pPr>
      <w:r>
        <w:t>-</w:t>
      </w:r>
      <w:r>
        <w:tab/>
      </w:r>
      <w:r w:rsidR="002C7AAB">
        <w:t>les propositions relatives à l</w:t>
      </w:r>
      <w:r w:rsidR="00872521">
        <w:t>’</w:t>
      </w:r>
      <w:r w:rsidR="002C7AAB">
        <w:t>allocation de fonds excédentaires, en tenant compte des mesures de la Convention relatives au Fonds de réserve ; et</w:t>
      </w:r>
    </w:p>
    <w:p w14:paraId="11BC8EC5" w14:textId="5487B636" w:rsidR="002C7AAB" w:rsidRDefault="00E07F50" w:rsidP="00E07F50">
      <w:pPr>
        <w:widowControl/>
        <w:autoSpaceDE/>
        <w:autoSpaceDN/>
        <w:ind w:left="426" w:hanging="426"/>
      </w:pPr>
      <w:r>
        <w:t>-</w:t>
      </w:r>
      <w:r>
        <w:tab/>
      </w:r>
      <w:r w:rsidR="002C7AAB">
        <w:t>le projet de budget du Secrétariat pour la prochaine période triennale, qui devrait tenir compte des pressions inflationnistes sur les activités relevant du budget administratif et de l</w:t>
      </w:r>
      <w:r w:rsidR="00872521">
        <w:t>’</w:t>
      </w:r>
      <w:r w:rsidR="002C7AAB">
        <w:t>augmentation des activités du Secrétariat.</w:t>
      </w:r>
    </w:p>
    <w:p w14:paraId="2F1ACF84" w14:textId="77777777" w:rsidR="00D472A8" w:rsidRDefault="00D472A8" w:rsidP="00D472A8">
      <w:pPr>
        <w:widowControl/>
        <w:autoSpaceDE/>
        <w:autoSpaceDN/>
      </w:pPr>
    </w:p>
    <w:p w14:paraId="64020049" w14:textId="0B4D115F" w:rsidR="00D472A8" w:rsidRDefault="001D7D26" w:rsidP="00D472A8">
      <w:pPr>
        <w:widowControl/>
        <w:autoSpaceDE/>
        <w:autoSpaceDN/>
      </w:pPr>
      <w:r>
        <w:t xml:space="preserve">Le Sous-groupe a fait des suggestions préliminaires pour des activités susceptibles de recevoir des fonds excédentaires, incluant, par exemple, des activités de renforcement des capacités pour la préparation des inventaires </w:t>
      </w:r>
      <w:r w:rsidR="007E4E3E">
        <w:t xml:space="preserve">des </w:t>
      </w:r>
      <w:r w:rsidR="00FB6A47">
        <w:t xml:space="preserve">zones humides </w:t>
      </w:r>
      <w:r>
        <w:t>et des projets visant à améliorer l</w:t>
      </w:r>
      <w:r w:rsidR="00872521">
        <w:t>’</w:t>
      </w:r>
      <w:r>
        <w:t xml:space="preserve">application des nouvelles technologies dans le cadre de la Convention. Le Président </w:t>
      </w:r>
      <w:r w:rsidR="0014402E">
        <w:t>indique</w:t>
      </w:r>
      <w:r>
        <w:t xml:space="preserve"> que les propositions </w:t>
      </w:r>
      <w:r w:rsidR="0060781A">
        <w:t>devront être transmises</w:t>
      </w:r>
      <w:r w:rsidR="0014402E">
        <w:t xml:space="preserve"> </w:t>
      </w:r>
      <w:r w:rsidR="00066096">
        <w:t xml:space="preserve">d’ici </w:t>
      </w:r>
      <w:r w:rsidR="00DA4E3A">
        <w:t>le</w:t>
      </w:r>
      <w:r w:rsidR="0014402E">
        <w:t xml:space="preserve"> mois d’octobre,</w:t>
      </w:r>
      <w:r>
        <w:t xml:space="preserve"> avant la réunion intersessions.</w:t>
      </w:r>
    </w:p>
    <w:p w14:paraId="5C7C2234" w14:textId="77777777" w:rsidR="00C46204" w:rsidRDefault="00C46204" w:rsidP="00D472A8">
      <w:pPr>
        <w:widowControl/>
        <w:autoSpaceDE/>
        <w:autoSpaceDN/>
      </w:pPr>
    </w:p>
    <w:p w14:paraId="0E34E3FE" w14:textId="6585B9C5" w:rsidR="00BA15AD" w:rsidRDefault="00101AD3" w:rsidP="00F9659F">
      <w:pPr>
        <w:pStyle w:val="ColorfulList-Accent11"/>
        <w:ind w:left="0" w:firstLine="0"/>
        <w:rPr>
          <w:rFonts w:cs="Calibri"/>
        </w:rPr>
      </w:pPr>
      <w:r>
        <w:t>Le Secrétariat indique au Sous-groupe que, malgré l</w:t>
      </w:r>
      <w:r w:rsidR="00872521">
        <w:t>’</w:t>
      </w:r>
      <w:r>
        <w:t>augmentation des activités du Secrétariat destinées à soutenir les Parties contractantes, le budget est resté inchangé au cours des 15 dernières années. Le Secrétariat présentera donc un budget plus élevé pour examen par le Sous-groupe sur les finances lors de la réunion intersessions.</w:t>
      </w:r>
    </w:p>
    <w:p w14:paraId="0054B3CC" w14:textId="2207542C" w:rsidR="00101AD3" w:rsidRDefault="00101AD3" w:rsidP="00F9659F">
      <w:pPr>
        <w:pStyle w:val="ColorfulList-Accent11"/>
        <w:ind w:left="0" w:firstLine="0"/>
        <w:rPr>
          <w:rFonts w:cs="Calibri"/>
        </w:rPr>
      </w:pPr>
      <w:r>
        <w:t xml:space="preserve"> </w:t>
      </w:r>
    </w:p>
    <w:p w14:paraId="1084389C" w14:textId="77777777" w:rsidR="00F9659F" w:rsidRPr="001A64EB" w:rsidRDefault="00F9659F" w:rsidP="00F9659F">
      <w:pPr>
        <w:widowControl/>
        <w:rPr>
          <w:rFonts w:asciiTheme="minorHAnsi" w:hAnsiTheme="minorHAnsi" w:cstheme="minorHAnsi"/>
          <w:i/>
          <w:iCs/>
        </w:rPr>
      </w:pPr>
      <w:r>
        <w:rPr>
          <w:rFonts w:asciiTheme="minorHAnsi" w:hAnsiTheme="minorHAnsi"/>
          <w:i/>
        </w:rPr>
        <w:t>Recommandation au Comité permanent, pour décision :</w:t>
      </w:r>
    </w:p>
    <w:p w14:paraId="2479B12C" w14:textId="77777777" w:rsidR="00F9659F" w:rsidRDefault="00F9659F" w:rsidP="00F9659F">
      <w:pPr>
        <w:pStyle w:val="ColorfulList-Accent11"/>
        <w:ind w:left="0" w:firstLine="0"/>
        <w:rPr>
          <w:rFonts w:cs="Calibri"/>
        </w:rPr>
      </w:pPr>
    </w:p>
    <w:p w14:paraId="6B8EB00F" w14:textId="77777777" w:rsidR="00F9659F" w:rsidRPr="00F9659F" w:rsidRDefault="00F9659F" w:rsidP="00F9659F">
      <w:pPr>
        <w:widowControl/>
        <w:rPr>
          <w:rFonts w:asciiTheme="minorHAnsi" w:hAnsiTheme="minorHAnsi" w:cstheme="minorHAnsi"/>
          <w:b/>
          <w:i/>
        </w:rPr>
      </w:pPr>
      <w:r>
        <w:rPr>
          <w:rFonts w:asciiTheme="minorHAnsi" w:hAnsiTheme="minorHAnsi"/>
          <w:b/>
          <w:i/>
        </w:rPr>
        <w:t>Le Sous-groupe sur les finances recommande au Comité permanent :</w:t>
      </w:r>
    </w:p>
    <w:p w14:paraId="4E07AB28" w14:textId="3CB9C0EC" w:rsidR="00F9659F" w:rsidRPr="000C05D9" w:rsidRDefault="00F9659F" w:rsidP="00F9659F">
      <w:pPr>
        <w:ind w:left="425" w:hanging="425"/>
        <w:contextualSpacing/>
        <w:rPr>
          <w:b/>
          <w:bCs/>
          <w:i/>
          <w:color w:val="000000" w:themeColor="text1"/>
        </w:rPr>
      </w:pPr>
      <w:r>
        <w:rPr>
          <w:b/>
          <w:i/>
          <w:color w:val="000000" w:themeColor="text1"/>
        </w:rPr>
        <w:t xml:space="preserve">i. </w:t>
      </w:r>
      <w:r w:rsidR="00E35522">
        <w:rPr>
          <w:b/>
          <w:i/>
          <w:color w:val="000000" w:themeColor="text1"/>
        </w:rPr>
        <w:tab/>
      </w:r>
      <w:r>
        <w:rPr>
          <w:b/>
          <w:i/>
          <w:color w:val="000000" w:themeColor="text1"/>
        </w:rPr>
        <w:t>d</w:t>
      </w:r>
      <w:r w:rsidR="00872521">
        <w:rPr>
          <w:b/>
          <w:i/>
          <w:color w:val="000000" w:themeColor="text1"/>
        </w:rPr>
        <w:t>’</w:t>
      </w:r>
      <w:r>
        <w:rPr>
          <w:b/>
          <w:i/>
          <w:color w:val="000000" w:themeColor="text1"/>
        </w:rPr>
        <w:t>accepter les états financiers vérifiés pour 2023, au 31 décembre 2023 ;</w:t>
      </w:r>
    </w:p>
    <w:p w14:paraId="173DF5A6" w14:textId="7A5A772E" w:rsidR="00F9659F" w:rsidRPr="000C05D9" w:rsidRDefault="00F9659F" w:rsidP="00F9659F">
      <w:pPr>
        <w:ind w:left="425" w:hanging="425"/>
        <w:contextualSpacing/>
        <w:rPr>
          <w:b/>
          <w:bCs/>
          <w:i/>
          <w:color w:val="000000" w:themeColor="text1"/>
        </w:rPr>
      </w:pPr>
      <w:r>
        <w:rPr>
          <w:b/>
          <w:i/>
          <w:color w:val="000000" w:themeColor="text1"/>
        </w:rPr>
        <w:t xml:space="preserve">ii. </w:t>
      </w:r>
      <w:r>
        <w:rPr>
          <w:b/>
          <w:i/>
          <w:color w:val="000000" w:themeColor="text1"/>
        </w:rPr>
        <w:tab/>
      </w:r>
      <w:r w:rsidR="00C32336">
        <w:rPr>
          <w:b/>
          <w:i/>
          <w:color w:val="000000" w:themeColor="text1"/>
        </w:rPr>
        <w:t xml:space="preserve">de </w:t>
      </w:r>
      <w:r>
        <w:rPr>
          <w:b/>
          <w:i/>
          <w:color w:val="000000" w:themeColor="text1"/>
        </w:rPr>
        <w:t>prendre note des résultats du budget administratif pour 2023 ;</w:t>
      </w:r>
    </w:p>
    <w:p w14:paraId="3F05AC29" w14:textId="3746AD29" w:rsidR="00F9659F" w:rsidRPr="000C05D9" w:rsidRDefault="00F9659F" w:rsidP="00F9659F">
      <w:pPr>
        <w:ind w:left="425" w:hanging="425"/>
        <w:contextualSpacing/>
        <w:rPr>
          <w:b/>
          <w:bCs/>
          <w:i/>
          <w:color w:val="000000" w:themeColor="text1"/>
        </w:rPr>
      </w:pPr>
      <w:r>
        <w:rPr>
          <w:b/>
          <w:i/>
          <w:color w:val="000000" w:themeColor="text1"/>
        </w:rPr>
        <w:t>iii.</w:t>
      </w:r>
      <w:r>
        <w:rPr>
          <w:b/>
          <w:i/>
          <w:color w:val="000000" w:themeColor="text1"/>
        </w:rPr>
        <w:tab/>
      </w:r>
      <w:r w:rsidR="00016A24">
        <w:rPr>
          <w:b/>
          <w:i/>
          <w:color w:val="000000" w:themeColor="text1"/>
        </w:rPr>
        <w:t xml:space="preserve">de </w:t>
      </w:r>
      <w:r>
        <w:rPr>
          <w:b/>
          <w:i/>
          <w:color w:val="000000" w:themeColor="text1"/>
        </w:rPr>
        <w:t>prendre note de l</w:t>
      </w:r>
      <w:r w:rsidR="00872521">
        <w:rPr>
          <w:b/>
          <w:i/>
          <w:color w:val="000000" w:themeColor="text1"/>
        </w:rPr>
        <w:t>’</w:t>
      </w:r>
      <w:r>
        <w:rPr>
          <w:b/>
          <w:i/>
          <w:color w:val="000000" w:themeColor="text1"/>
        </w:rPr>
        <w:t>état des soldes non administratifs et des contributions volontaires pour 2023 ;</w:t>
      </w:r>
    </w:p>
    <w:p w14:paraId="57AA65FA" w14:textId="2D6DC77A" w:rsidR="00F9659F" w:rsidRPr="000C05D9" w:rsidRDefault="00F9659F" w:rsidP="00F9659F">
      <w:pPr>
        <w:ind w:left="425" w:hanging="425"/>
        <w:contextualSpacing/>
        <w:rPr>
          <w:b/>
          <w:bCs/>
          <w:i/>
          <w:color w:val="000000" w:themeColor="text1"/>
        </w:rPr>
      </w:pPr>
      <w:r>
        <w:rPr>
          <w:b/>
          <w:i/>
          <w:color w:val="000000" w:themeColor="text1"/>
        </w:rPr>
        <w:t xml:space="preserve">iv. </w:t>
      </w:r>
      <w:r>
        <w:rPr>
          <w:b/>
          <w:i/>
          <w:color w:val="000000" w:themeColor="text1"/>
        </w:rPr>
        <w:tab/>
      </w:r>
      <w:r w:rsidR="00016A24">
        <w:rPr>
          <w:b/>
          <w:i/>
          <w:color w:val="000000" w:themeColor="text1"/>
        </w:rPr>
        <w:t>d'</w:t>
      </w:r>
      <w:r>
        <w:rPr>
          <w:b/>
          <w:i/>
          <w:color w:val="000000" w:themeColor="text1"/>
        </w:rPr>
        <w:t>approuver le report des fonds préengagés et des fonds non dépensés, soit 1 232 000 CHF, de 2023 à 2024, comme noté dans la colonne C du tableau de l</w:t>
      </w:r>
      <w:r w:rsidR="00872521">
        <w:rPr>
          <w:b/>
          <w:i/>
          <w:color w:val="000000" w:themeColor="text1"/>
        </w:rPr>
        <w:t>’</w:t>
      </w:r>
      <w:r>
        <w:rPr>
          <w:b/>
          <w:i/>
          <w:color w:val="000000" w:themeColor="text1"/>
        </w:rPr>
        <w:t>annexe 1 Budget administratif pour 2024 du présent rapport ;</w:t>
      </w:r>
    </w:p>
    <w:p w14:paraId="3F1713CB" w14:textId="678A5508" w:rsidR="00F9659F" w:rsidRPr="000C05D9" w:rsidRDefault="00F9659F" w:rsidP="00F9659F">
      <w:pPr>
        <w:ind w:left="425" w:hanging="425"/>
        <w:contextualSpacing/>
        <w:rPr>
          <w:b/>
          <w:bCs/>
          <w:i/>
          <w:color w:val="000000" w:themeColor="text1"/>
        </w:rPr>
      </w:pPr>
      <w:r>
        <w:rPr>
          <w:b/>
          <w:bCs/>
          <w:i/>
          <w:iCs/>
        </w:rPr>
        <w:t>v.</w:t>
      </w:r>
      <w:r>
        <w:rPr>
          <w:b/>
          <w:bCs/>
          <w:i/>
          <w:iCs/>
        </w:rPr>
        <w:tab/>
      </w:r>
      <w:r w:rsidR="00016A24">
        <w:rPr>
          <w:b/>
          <w:bCs/>
          <w:i/>
          <w:iCs/>
        </w:rPr>
        <w:t>d'</w:t>
      </w:r>
      <w:r>
        <w:rPr>
          <w:b/>
          <w:bCs/>
          <w:i/>
          <w:iCs/>
        </w:rPr>
        <w:t>approuver l</w:t>
      </w:r>
      <w:r w:rsidR="00872521">
        <w:rPr>
          <w:b/>
          <w:bCs/>
          <w:i/>
          <w:iCs/>
        </w:rPr>
        <w:t>’</w:t>
      </w:r>
      <w:r>
        <w:rPr>
          <w:b/>
          <w:bCs/>
          <w:i/>
          <w:iCs/>
        </w:rPr>
        <w:t>allocation de 29 000 CHF sur le budget administratif à l</w:t>
      </w:r>
      <w:r w:rsidR="00872521">
        <w:rPr>
          <w:b/>
          <w:bCs/>
          <w:i/>
          <w:iCs/>
        </w:rPr>
        <w:t>’</w:t>
      </w:r>
      <w:r>
        <w:rPr>
          <w:b/>
          <w:bCs/>
          <w:i/>
          <w:iCs/>
        </w:rPr>
        <w:t xml:space="preserve">Initiative régionale Ramsar </w:t>
      </w:r>
      <w:bookmarkStart w:id="1" w:name="_Hlk167885701"/>
      <w:r>
        <w:rPr>
          <w:b/>
          <w:bCs/>
          <w:i/>
          <w:iCs/>
        </w:rPr>
        <w:t>Danube WILDisland</w:t>
      </w:r>
      <w:bookmarkEnd w:id="1"/>
      <w:r>
        <w:rPr>
          <w:b/>
          <w:bCs/>
          <w:i/>
          <w:iCs/>
        </w:rPr>
        <w:t xml:space="preserve"> pour ses activités 2024, comme indiqué au paragraphe 23 du Document SC63 Doc.</w:t>
      </w:r>
      <w:r>
        <w:rPr>
          <w:b/>
          <w:i/>
          <w:color w:val="000000" w:themeColor="text1"/>
        </w:rPr>
        <w:t xml:space="preserve"> 9.1</w:t>
      </w:r>
      <w:r w:rsidR="009317C3">
        <w:rPr>
          <w:rStyle w:val="FootnoteReference"/>
          <w:b/>
          <w:bCs/>
          <w:i/>
          <w:color w:val="000000" w:themeColor="text1"/>
        </w:rPr>
        <w:footnoteReference w:id="1"/>
      </w:r>
      <w:r>
        <w:rPr>
          <w:b/>
          <w:i/>
          <w:color w:val="000000" w:themeColor="text1"/>
        </w:rPr>
        <w:t xml:space="preserve"> ; </w:t>
      </w:r>
    </w:p>
    <w:p w14:paraId="735F22C4" w14:textId="55B570F6" w:rsidR="00F9659F" w:rsidRPr="000C05D9" w:rsidRDefault="00F9659F" w:rsidP="00F9659F">
      <w:pPr>
        <w:ind w:left="425" w:hanging="425"/>
        <w:contextualSpacing/>
        <w:rPr>
          <w:b/>
          <w:bCs/>
          <w:i/>
          <w:color w:val="000000" w:themeColor="text1"/>
        </w:rPr>
      </w:pPr>
      <w:r>
        <w:rPr>
          <w:b/>
          <w:i/>
          <w:color w:val="000000" w:themeColor="text1"/>
        </w:rPr>
        <w:t>vi.</w:t>
      </w:r>
      <w:r>
        <w:rPr>
          <w:b/>
          <w:i/>
          <w:color w:val="000000" w:themeColor="text1"/>
        </w:rPr>
        <w:tab/>
      </w:r>
      <w:bookmarkStart w:id="2" w:name="_Hlk167885757"/>
      <w:r>
        <w:rPr>
          <w:b/>
          <w:i/>
          <w:color w:val="000000" w:themeColor="text1"/>
        </w:rPr>
        <w:t>de noter les soldes excédentaires à la fin de l</w:t>
      </w:r>
      <w:r w:rsidR="00872521">
        <w:rPr>
          <w:b/>
          <w:i/>
          <w:color w:val="000000" w:themeColor="text1"/>
        </w:rPr>
        <w:t>’</w:t>
      </w:r>
      <w:r>
        <w:rPr>
          <w:b/>
          <w:i/>
          <w:color w:val="000000" w:themeColor="text1"/>
        </w:rPr>
        <w:t>année 2023 ; et</w:t>
      </w:r>
    </w:p>
    <w:p w14:paraId="6A65A0A0" w14:textId="3FF18EFB" w:rsidR="00B87283" w:rsidRDefault="00F9659F" w:rsidP="00F9659F">
      <w:pPr>
        <w:ind w:left="425" w:hanging="425"/>
        <w:contextualSpacing/>
        <w:rPr>
          <w:b/>
          <w:bCs/>
          <w:i/>
          <w:color w:val="000000" w:themeColor="text1"/>
        </w:rPr>
      </w:pPr>
      <w:r>
        <w:rPr>
          <w:b/>
          <w:i/>
          <w:color w:val="000000" w:themeColor="text1"/>
        </w:rPr>
        <w:t>viii.</w:t>
      </w:r>
      <w:r>
        <w:rPr>
          <w:b/>
          <w:i/>
          <w:color w:val="000000" w:themeColor="text1"/>
        </w:rPr>
        <w:tab/>
        <w:t>de prendre note des informations relatives aux rapports financiers pour 2024 et 2025 et celles relatives aux factures pour 2025, comme décrit aux paragraphes 26 et 27 du document SC63 Doc. 9.1</w:t>
      </w:r>
      <w:bookmarkEnd w:id="2"/>
      <w:r>
        <w:rPr>
          <w:b/>
          <w:i/>
          <w:color w:val="000000" w:themeColor="text1"/>
        </w:rPr>
        <w:t>.</w:t>
      </w:r>
    </w:p>
    <w:p w14:paraId="202D9CB6" w14:textId="77777777" w:rsidR="00481CDD" w:rsidRDefault="00481CDD" w:rsidP="00F9659F">
      <w:pPr>
        <w:ind w:left="425" w:hanging="425"/>
        <w:contextualSpacing/>
        <w:rPr>
          <w:b/>
          <w:bCs/>
          <w:i/>
          <w:color w:val="000000" w:themeColor="text1"/>
        </w:rPr>
      </w:pPr>
    </w:p>
    <w:p w14:paraId="3C0AA4D9" w14:textId="6D8CE51A" w:rsidR="00481CDD" w:rsidRDefault="00481CDD" w:rsidP="00481CDD">
      <w:pPr>
        <w:widowControl/>
        <w:autoSpaceDE/>
        <w:autoSpaceDN/>
        <w:rPr>
          <w:iCs/>
          <w:color w:val="000000" w:themeColor="text1"/>
        </w:rPr>
      </w:pPr>
      <w:r>
        <w:rPr>
          <w:color w:val="000000" w:themeColor="text1"/>
        </w:rPr>
        <w:t>Le Secrétariat indique que le projet de rapport de la présente réunion sera communiqué aux membres afin qu</w:t>
      </w:r>
      <w:r w:rsidR="00872521">
        <w:rPr>
          <w:color w:val="000000" w:themeColor="text1"/>
        </w:rPr>
        <w:t>’</w:t>
      </w:r>
      <w:r>
        <w:rPr>
          <w:color w:val="000000" w:themeColor="text1"/>
        </w:rPr>
        <w:t>ils fassent part de leurs commentaires en temps utile, pour permettre la publication avant le rapport du Sous-groupe à la plénière du 6 juin.</w:t>
      </w:r>
    </w:p>
    <w:p w14:paraId="5BA08F9E" w14:textId="77777777" w:rsidR="00481CDD" w:rsidRDefault="00481CDD" w:rsidP="00481CDD">
      <w:pPr>
        <w:widowControl/>
        <w:autoSpaceDE/>
        <w:autoSpaceDN/>
        <w:rPr>
          <w:iCs/>
          <w:color w:val="000000" w:themeColor="text1"/>
        </w:rPr>
      </w:pPr>
    </w:p>
    <w:p w14:paraId="0E632477" w14:textId="5664EB23" w:rsidR="00F8589C" w:rsidRDefault="00481CDD" w:rsidP="001D7A8A">
      <w:pPr>
        <w:widowControl/>
        <w:autoSpaceDE/>
        <w:autoSpaceDN/>
        <w:rPr>
          <w:iCs/>
          <w:color w:val="000000" w:themeColor="text1"/>
        </w:rPr>
      </w:pPr>
      <w:r>
        <w:rPr>
          <w:color w:val="000000" w:themeColor="text1"/>
        </w:rPr>
        <w:t>Le Président, notant que les membres seront informés si d</w:t>
      </w:r>
      <w:r w:rsidR="00872521">
        <w:rPr>
          <w:color w:val="000000" w:themeColor="text1"/>
        </w:rPr>
        <w:t>’</w:t>
      </w:r>
      <w:r>
        <w:rPr>
          <w:color w:val="000000" w:themeColor="text1"/>
        </w:rPr>
        <w:t>autres réunions sont nécessaires au cours de la semaine, remercie les participants et clôt la réunion.</w:t>
      </w:r>
    </w:p>
    <w:p w14:paraId="3ECAC767" w14:textId="77777777" w:rsidR="004D5206" w:rsidRDefault="004D5206">
      <w:pPr>
        <w:widowControl/>
        <w:autoSpaceDE/>
        <w:autoSpaceDN/>
        <w:spacing w:after="160" w:line="259" w:lineRule="auto"/>
        <w:rPr>
          <w:rFonts w:asciiTheme="minorHAnsi" w:hAnsiTheme="minorHAnsi" w:cs="Arial"/>
          <w:b/>
          <w:bCs/>
          <w:sz w:val="24"/>
          <w:szCs w:val="24"/>
        </w:rPr>
      </w:pPr>
      <w:r>
        <w:br w:type="page"/>
      </w:r>
    </w:p>
    <w:p w14:paraId="1A578C88" w14:textId="54C904D2" w:rsidR="00F8589C" w:rsidRDefault="00F8589C" w:rsidP="00F8589C">
      <w:pPr>
        <w:rPr>
          <w:rFonts w:asciiTheme="minorHAnsi" w:hAnsiTheme="minorHAnsi" w:cs="Arial"/>
          <w:b/>
          <w:bCs/>
          <w:sz w:val="24"/>
          <w:szCs w:val="24"/>
        </w:rPr>
      </w:pPr>
      <w:r>
        <w:rPr>
          <w:rFonts w:asciiTheme="minorHAnsi" w:hAnsiTheme="minorHAnsi"/>
          <w:b/>
          <w:sz w:val="24"/>
        </w:rPr>
        <w:lastRenderedPageBreak/>
        <w:t>Annexe 1</w:t>
      </w:r>
    </w:p>
    <w:p w14:paraId="50AC24AE" w14:textId="6A574C62" w:rsidR="00F8589C" w:rsidRPr="00861214" w:rsidRDefault="004D5206" w:rsidP="00F8589C">
      <w:pPr>
        <w:rPr>
          <w:rFonts w:asciiTheme="minorHAnsi" w:hAnsiTheme="minorHAnsi" w:cs="Arial"/>
          <w:b/>
          <w:bCs/>
          <w:sz w:val="24"/>
          <w:szCs w:val="24"/>
        </w:rPr>
      </w:pPr>
      <w:r>
        <w:rPr>
          <w:rFonts w:asciiTheme="minorHAnsi" w:hAnsiTheme="minorHAnsi"/>
          <w:b/>
          <w:sz w:val="24"/>
        </w:rPr>
        <w:t>Budget administratif mis à jour pour 2024</w:t>
      </w:r>
    </w:p>
    <w:p w14:paraId="77080BD6" w14:textId="7D1E7A5E" w:rsidR="00F8589C" w:rsidRDefault="00F8589C" w:rsidP="00F8589C">
      <w:pPr>
        <w:rPr>
          <w:rFonts w:asciiTheme="minorHAnsi" w:hAnsiTheme="minorHAnsi" w:cs="Arial"/>
          <w:bCs/>
          <w:i/>
          <w:sz w:val="20"/>
          <w:szCs w:val="20"/>
        </w:rPr>
      </w:pPr>
      <w:r>
        <w:rPr>
          <w:rFonts w:asciiTheme="minorHAnsi" w:hAnsiTheme="minorHAnsi"/>
          <w:i/>
          <w:sz w:val="20"/>
        </w:rPr>
        <w:t>(en milliers de CHF incluant d</w:t>
      </w:r>
      <w:r w:rsidR="00872521">
        <w:rPr>
          <w:rFonts w:asciiTheme="minorHAnsi" w:hAnsiTheme="minorHAnsi"/>
          <w:i/>
          <w:sz w:val="20"/>
        </w:rPr>
        <w:t>’</w:t>
      </w:r>
      <w:r>
        <w:rPr>
          <w:rFonts w:asciiTheme="minorHAnsi" w:hAnsiTheme="minorHAnsi"/>
          <w:i/>
          <w:sz w:val="20"/>
        </w:rPr>
        <w:t>éventuels écarts d</w:t>
      </w:r>
      <w:r w:rsidR="00872521">
        <w:rPr>
          <w:rFonts w:asciiTheme="minorHAnsi" w:hAnsiTheme="minorHAnsi"/>
          <w:i/>
          <w:sz w:val="20"/>
        </w:rPr>
        <w:t>’</w:t>
      </w:r>
      <w:r>
        <w:rPr>
          <w:rFonts w:asciiTheme="minorHAnsi" w:hAnsiTheme="minorHAnsi"/>
          <w:i/>
          <w:sz w:val="20"/>
        </w:rPr>
        <w:t>arrondis)</w:t>
      </w:r>
    </w:p>
    <w:p w14:paraId="0ABB0EC6" w14:textId="77777777" w:rsidR="00F8589C" w:rsidRPr="00861214" w:rsidRDefault="00F8589C" w:rsidP="00F8589C">
      <w:pPr>
        <w:rPr>
          <w:rFonts w:asciiTheme="minorHAnsi" w:hAnsiTheme="minorHAnsi" w:cs="Arial"/>
          <w:bCs/>
          <w:i/>
          <w:sz w:val="20"/>
          <w:szCs w:val="20"/>
          <w:lang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F8589C" w:rsidRPr="00E07F50" w14:paraId="167817E4" w14:textId="77777777" w:rsidTr="00C368FF">
        <w:trPr>
          <w:trHeight w:val="1758"/>
          <w:tblHeader/>
        </w:trPr>
        <w:tc>
          <w:tcPr>
            <w:tcW w:w="4541" w:type="dxa"/>
            <w:tcBorders>
              <w:top w:val="single" w:sz="4" w:space="0" w:color="auto"/>
              <w:left w:val="single" w:sz="4" w:space="0" w:color="auto"/>
              <w:right w:val="nil"/>
            </w:tcBorders>
            <w:shd w:val="clear" w:color="000000" w:fill="D6E3BC"/>
            <w:vAlign w:val="center"/>
            <w:hideMark/>
          </w:tcPr>
          <w:p w14:paraId="4532897C" w14:textId="77777777" w:rsidR="00F8589C" w:rsidRPr="00861214" w:rsidRDefault="00F8589C" w:rsidP="00C368FF">
            <w:pPr>
              <w:jc w:val="center"/>
              <w:rPr>
                <w:b/>
                <w:bCs/>
                <w:sz w:val="20"/>
                <w:szCs w:val="20"/>
              </w:rPr>
            </w:pPr>
            <w:r>
              <w:rPr>
                <w:b/>
                <w:sz w:val="20"/>
              </w:rPr>
              <w:t>Budget Ramsar 2024</w:t>
            </w:r>
            <w:r>
              <w:rPr>
                <w:b/>
                <w:sz w:val="20"/>
              </w:rPr>
              <w:br/>
              <w:t>Approuvé par la COP14</w:t>
            </w:r>
          </w:p>
          <w:p w14:paraId="3ED145CB" w14:textId="77777777" w:rsidR="00F8589C" w:rsidRDefault="00F8589C" w:rsidP="00C368FF">
            <w:pPr>
              <w:jc w:val="center"/>
              <w:rPr>
                <w:b/>
                <w:bCs/>
                <w:color w:val="000000"/>
                <w:sz w:val="20"/>
                <w:szCs w:val="20"/>
                <w:lang w:eastAsia="en-GB"/>
              </w:rPr>
            </w:pPr>
          </w:p>
          <w:p w14:paraId="7D6F5E39" w14:textId="77777777" w:rsidR="00F8589C" w:rsidRPr="00861214" w:rsidRDefault="00F8589C" w:rsidP="00C368FF">
            <w:pPr>
              <w:jc w:val="center"/>
              <w:rPr>
                <w:b/>
                <w:bCs/>
                <w:sz w:val="20"/>
                <w:szCs w:val="20"/>
              </w:rPr>
            </w:pPr>
            <w:r>
              <w:rPr>
                <w:b/>
                <w:color w:val="000000"/>
                <w:sz w:val="20"/>
              </w:rPr>
              <w:t>en milliers de francs suisses (CHF)</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347EBCF9" w14:textId="77777777" w:rsidR="00F8589C" w:rsidRPr="00861214" w:rsidRDefault="00F8589C" w:rsidP="00C368FF">
            <w:pPr>
              <w:jc w:val="center"/>
              <w:rPr>
                <w:b/>
                <w:bCs/>
                <w:sz w:val="20"/>
                <w:szCs w:val="20"/>
              </w:rPr>
            </w:pPr>
            <w:r>
              <w:rPr>
                <w:b/>
                <w:sz w:val="20"/>
              </w:rPr>
              <w:t>Budget approuvé (approuvé par la COP14)</w:t>
            </w:r>
          </w:p>
          <w:p w14:paraId="7D24777E" w14:textId="77777777" w:rsidR="00F8589C" w:rsidRDefault="00F8589C" w:rsidP="00C368FF">
            <w:pPr>
              <w:jc w:val="center"/>
              <w:rPr>
                <w:b/>
                <w:bCs/>
                <w:color w:val="000000"/>
                <w:sz w:val="20"/>
                <w:szCs w:val="20"/>
                <w:lang w:eastAsia="en-GB"/>
              </w:rPr>
            </w:pPr>
          </w:p>
          <w:p w14:paraId="7B091135" w14:textId="77777777" w:rsidR="00F8589C" w:rsidRPr="00861214" w:rsidRDefault="00F8589C" w:rsidP="00C368FF">
            <w:pPr>
              <w:jc w:val="center"/>
              <w:rPr>
                <w:b/>
                <w:bCs/>
                <w:sz w:val="20"/>
                <w:szCs w:val="20"/>
              </w:rPr>
            </w:pPr>
            <w:r>
              <w:rPr>
                <w:b/>
                <w:color w:val="000000"/>
                <w:sz w:val="20"/>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25E628F3" w14:textId="77777777" w:rsidR="00F8589C" w:rsidRPr="00861214" w:rsidRDefault="00F8589C" w:rsidP="00C368FF">
            <w:pPr>
              <w:jc w:val="center"/>
              <w:rPr>
                <w:b/>
                <w:bCs/>
                <w:sz w:val="20"/>
                <w:szCs w:val="20"/>
              </w:rPr>
            </w:pPr>
            <w:r>
              <w:rPr>
                <w:b/>
                <w:sz w:val="20"/>
              </w:rPr>
              <w:t xml:space="preserve">Utilisation autorisée par la COP14 des économies sur le budget 2021 </w:t>
            </w:r>
          </w:p>
          <w:p w14:paraId="09BDAE26" w14:textId="77777777" w:rsidR="00F8589C" w:rsidRPr="00861214" w:rsidRDefault="00F8589C" w:rsidP="00C368FF">
            <w:pPr>
              <w:jc w:val="center"/>
              <w:rPr>
                <w:b/>
                <w:bCs/>
                <w:sz w:val="20"/>
                <w:szCs w:val="20"/>
              </w:rPr>
            </w:pPr>
            <w:r>
              <w:rPr>
                <w:b/>
                <w:color w:val="000000"/>
                <w:sz w:val="20"/>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CCEA04D" w14:textId="77777777" w:rsidR="00F8589C" w:rsidRPr="00861214" w:rsidRDefault="00F8589C" w:rsidP="00C368FF">
            <w:pPr>
              <w:jc w:val="center"/>
              <w:rPr>
                <w:b/>
                <w:bCs/>
                <w:sz w:val="20"/>
                <w:szCs w:val="20"/>
              </w:rPr>
            </w:pPr>
            <w:r>
              <w:rPr>
                <w:b/>
                <w:sz w:val="20"/>
              </w:rPr>
              <w:t>Fonds 2023 à reporter en 2024</w:t>
            </w:r>
          </w:p>
          <w:p w14:paraId="2DE8822A" w14:textId="77777777" w:rsidR="00F8589C" w:rsidRDefault="00F8589C" w:rsidP="00C368FF">
            <w:pPr>
              <w:jc w:val="center"/>
              <w:rPr>
                <w:b/>
                <w:bCs/>
                <w:color w:val="000000"/>
                <w:sz w:val="20"/>
                <w:szCs w:val="20"/>
                <w:lang w:eastAsia="en-GB"/>
              </w:rPr>
            </w:pPr>
          </w:p>
          <w:p w14:paraId="4BD65714" w14:textId="77777777" w:rsidR="00F8589C" w:rsidRPr="00861214" w:rsidRDefault="00F8589C" w:rsidP="00C368FF">
            <w:pPr>
              <w:jc w:val="center"/>
              <w:rPr>
                <w:b/>
                <w:bCs/>
                <w:sz w:val="20"/>
                <w:szCs w:val="20"/>
              </w:rPr>
            </w:pPr>
            <w:r>
              <w:rPr>
                <w:b/>
                <w:color w:val="000000"/>
                <w:sz w:val="20"/>
              </w:rPr>
              <w:t>(C)</w:t>
            </w:r>
          </w:p>
        </w:tc>
        <w:tc>
          <w:tcPr>
            <w:tcW w:w="1381" w:type="dxa"/>
            <w:tcBorders>
              <w:top w:val="single" w:sz="4" w:space="0" w:color="auto"/>
              <w:left w:val="nil"/>
              <w:right w:val="single" w:sz="4" w:space="0" w:color="auto"/>
            </w:tcBorders>
            <w:shd w:val="clear" w:color="auto" w:fill="DBDBDB" w:themeFill="accent3" w:themeFillTint="66"/>
            <w:vAlign w:val="center"/>
            <w:hideMark/>
          </w:tcPr>
          <w:p w14:paraId="78D78197" w14:textId="77777777" w:rsidR="00F8589C" w:rsidRPr="00753020" w:rsidRDefault="00F8589C" w:rsidP="00C368FF">
            <w:pPr>
              <w:jc w:val="center"/>
              <w:rPr>
                <w:b/>
                <w:bCs/>
                <w:sz w:val="20"/>
                <w:szCs w:val="20"/>
                <w:lang w:val="en-US"/>
              </w:rPr>
            </w:pPr>
            <w:r w:rsidRPr="00753020">
              <w:rPr>
                <w:b/>
                <w:sz w:val="20"/>
                <w:lang w:val="en-US"/>
              </w:rPr>
              <w:t>Budget total 2024</w:t>
            </w:r>
          </w:p>
          <w:p w14:paraId="7E936A33" w14:textId="77777777" w:rsidR="00F8589C" w:rsidRPr="00753020" w:rsidRDefault="00F8589C" w:rsidP="00C368FF">
            <w:pPr>
              <w:jc w:val="center"/>
              <w:rPr>
                <w:b/>
                <w:bCs/>
                <w:color w:val="000000"/>
                <w:sz w:val="20"/>
                <w:szCs w:val="20"/>
                <w:lang w:val="en-US" w:eastAsia="en-GB"/>
              </w:rPr>
            </w:pPr>
          </w:p>
          <w:p w14:paraId="785E198A" w14:textId="77777777" w:rsidR="00F8589C" w:rsidRPr="00753020" w:rsidRDefault="00F8589C" w:rsidP="00C368FF">
            <w:pPr>
              <w:jc w:val="center"/>
              <w:rPr>
                <w:b/>
                <w:bCs/>
                <w:color w:val="000000"/>
                <w:sz w:val="20"/>
                <w:szCs w:val="20"/>
                <w:lang w:val="en-US" w:eastAsia="en-GB"/>
              </w:rPr>
            </w:pPr>
          </w:p>
          <w:p w14:paraId="4D06BC71" w14:textId="77777777" w:rsidR="00F8589C" w:rsidRPr="00753020" w:rsidRDefault="00F8589C" w:rsidP="00C368FF">
            <w:pPr>
              <w:jc w:val="center"/>
              <w:rPr>
                <w:b/>
                <w:bCs/>
                <w:sz w:val="20"/>
                <w:szCs w:val="20"/>
                <w:lang w:val="en-US"/>
              </w:rPr>
            </w:pPr>
            <w:r w:rsidRPr="00753020">
              <w:rPr>
                <w:b/>
                <w:color w:val="000000"/>
                <w:sz w:val="20"/>
                <w:lang w:val="en-US"/>
              </w:rPr>
              <w:t>(D)=</w:t>
            </w:r>
            <w:r w:rsidRPr="00753020">
              <w:rPr>
                <w:b/>
                <w:color w:val="000000"/>
                <w:sz w:val="20"/>
                <w:lang w:val="en-US"/>
              </w:rPr>
              <w:br/>
              <w:t>(A)+(B)+(C)</w:t>
            </w:r>
          </w:p>
        </w:tc>
      </w:tr>
      <w:tr w:rsidR="00F8589C" w:rsidRPr="00861214" w14:paraId="7421BD54"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18393B54" w14:textId="77777777" w:rsidR="00F8589C" w:rsidRPr="00753020" w:rsidRDefault="00F8589C" w:rsidP="00C368FF">
            <w:pPr>
              <w:rPr>
                <w:b/>
                <w:bCs/>
                <w:color w:val="000000"/>
                <w:sz w:val="20"/>
                <w:szCs w:val="20"/>
                <w:lang w:val="en-US" w:eastAsia="en-GB"/>
              </w:rPr>
            </w:pPr>
          </w:p>
          <w:p w14:paraId="66A5D384" w14:textId="77777777" w:rsidR="00F8589C" w:rsidRPr="00861214" w:rsidRDefault="00F8589C" w:rsidP="00C368FF">
            <w:pPr>
              <w:rPr>
                <w:b/>
                <w:bCs/>
                <w:color w:val="000000"/>
                <w:sz w:val="20"/>
                <w:szCs w:val="20"/>
              </w:rPr>
            </w:pPr>
            <w:r>
              <w:rPr>
                <w:b/>
                <w:color w:val="000000"/>
                <w:sz w:val="20"/>
              </w:rPr>
              <w:t>RECETTES</w:t>
            </w:r>
          </w:p>
        </w:tc>
        <w:tc>
          <w:tcPr>
            <w:tcW w:w="1381" w:type="dxa"/>
            <w:tcBorders>
              <w:top w:val="single" w:sz="4" w:space="0" w:color="auto"/>
              <w:left w:val="nil"/>
              <w:bottom w:val="nil"/>
              <w:right w:val="nil"/>
            </w:tcBorders>
            <w:shd w:val="clear" w:color="auto" w:fill="auto"/>
            <w:noWrap/>
            <w:vAlign w:val="center"/>
            <w:hideMark/>
          </w:tcPr>
          <w:p w14:paraId="02B04C2B" w14:textId="77777777" w:rsidR="00F8589C" w:rsidRPr="00861214" w:rsidRDefault="00F8589C" w:rsidP="00C368FF">
            <w:pPr>
              <w:rPr>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066BF99" w14:textId="77777777" w:rsidR="00F8589C" w:rsidRPr="00861214" w:rsidRDefault="00F8589C" w:rsidP="00C368FF">
            <w:pPr>
              <w:rPr>
                <w:rFonts w:ascii="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40D13058" w14:textId="77777777" w:rsidR="00F8589C" w:rsidRPr="00861214" w:rsidRDefault="00F8589C" w:rsidP="00C368FF">
            <w:pPr>
              <w:rPr>
                <w:rFonts w:ascii="Arial" w:hAnsi="Arial" w:cs="Arial"/>
                <w:color w:val="000000"/>
                <w:sz w:val="20"/>
                <w:szCs w:val="20"/>
              </w:rPr>
            </w:pPr>
            <w:r>
              <w:rPr>
                <w:rFonts w:ascii="Arial" w:hAnsi="Arial"/>
                <w:color w:val="000000"/>
                <w:sz w:val="20"/>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34386FB2" w14:textId="77777777" w:rsidR="00F8589C" w:rsidRPr="00861214" w:rsidRDefault="00F8589C" w:rsidP="00C368FF">
            <w:pPr>
              <w:rPr>
                <w:rFonts w:ascii="Times New Roman" w:hAnsi="Times New Roman"/>
                <w:sz w:val="20"/>
                <w:szCs w:val="20"/>
                <w:lang w:eastAsia="en-GB"/>
              </w:rPr>
            </w:pPr>
          </w:p>
        </w:tc>
      </w:tr>
      <w:tr w:rsidR="00F8589C" w:rsidRPr="00861214" w14:paraId="16A68A82"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D692C29" w14:textId="77777777" w:rsidR="00F8589C" w:rsidRPr="00861214" w:rsidRDefault="00F8589C" w:rsidP="00C368FF">
            <w:pPr>
              <w:rPr>
                <w:color w:val="000000"/>
                <w:sz w:val="20"/>
                <w:szCs w:val="20"/>
              </w:rPr>
            </w:pPr>
            <w:r>
              <w:rPr>
                <w:color w:val="000000"/>
                <w:sz w:val="20"/>
              </w:rPr>
              <w:t>Contributions des Parties contractantes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6D0096B" w14:textId="77777777" w:rsidR="00F8589C" w:rsidRPr="00861214" w:rsidRDefault="00F8589C" w:rsidP="00C368FF">
            <w:pPr>
              <w:jc w:val="right"/>
              <w:rPr>
                <w:color w:val="000000"/>
                <w:sz w:val="20"/>
                <w:szCs w:val="20"/>
              </w:rPr>
            </w:pPr>
            <w:r>
              <w:rPr>
                <w:color w:val="000000"/>
                <w:sz w:val="20"/>
              </w:rPr>
              <w:t>3 779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60636A0" w14:textId="77777777" w:rsidR="00F8589C" w:rsidRPr="00861214" w:rsidRDefault="00F8589C" w:rsidP="00C368FF">
            <w:pPr>
              <w:jc w:val="right"/>
              <w:rPr>
                <w:color w:val="000000"/>
                <w:sz w:val="20"/>
                <w:szCs w:val="20"/>
              </w:rPr>
            </w:pPr>
            <w:r>
              <w:rPr>
                <w:color w:val="000000"/>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490E" w14:textId="77777777" w:rsidR="00F8589C" w:rsidRPr="00861214" w:rsidRDefault="00F8589C" w:rsidP="00C368FF">
            <w:pPr>
              <w:jc w:val="right"/>
              <w:rPr>
                <w:color w:val="000000"/>
                <w:sz w:val="20"/>
                <w:szCs w:val="20"/>
              </w:rPr>
            </w:pPr>
            <w:r>
              <w:rPr>
                <w:color w:val="000000"/>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3816905" w14:textId="77777777" w:rsidR="00F8589C" w:rsidRPr="00861214" w:rsidRDefault="00F8589C" w:rsidP="00C368FF">
            <w:pPr>
              <w:jc w:val="right"/>
              <w:rPr>
                <w:color w:val="000000"/>
                <w:sz w:val="20"/>
                <w:szCs w:val="20"/>
              </w:rPr>
            </w:pPr>
            <w:r>
              <w:rPr>
                <w:color w:val="000000"/>
                <w:sz w:val="20"/>
              </w:rPr>
              <w:t>3 779</w:t>
            </w:r>
          </w:p>
        </w:tc>
      </w:tr>
      <w:tr w:rsidR="00F8589C" w:rsidRPr="00861214" w14:paraId="29E1BB27"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E1C5EB8" w14:textId="77777777" w:rsidR="00F8589C" w:rsidRPr="00861214" w:rsidRDefault="00F8589C" w:rsidP="00C368FF">
            <w:pPr>
              <w:rPr>
                <w:color w:val="000000"/>
                <w:sz w:val="20"/>
                <w:szCs w:val="20"/>
              </w:rPr>
            </w:pPr>
            <w:r>
              <w:rPr>
                <w:color w:val="000000"/>
                <w:sz w:val="20"/>
              </w:rPr>
              <w:t>Contributions volontaires</w:t>
            </w:r>
          </w:p>
        </w:tc>
        <w:tc>
          <w:tcPr>
            <w:tcW w:w="1381" w:type="dxa"/>
            <w:tcBorders>
              <w:top w:val="nil"/>
              <w:left w:val="nil"/>
              <w:bottom w:val="single" w:sz="4" w:space="0" w:color="auto"/>
              <w:right w:val="single" w:sz="4" w:space="0" w:color="auto"/>
            </w:tcBorders>
            <w:shd w:val="clear" w:color="auto" w:fill="auto"/>
            <w:noWrap/>
            <w:vAlign w:val="center"/>
            <w:hideMark/>
          </w:tcPr>
          <w:p w14:paraId="716A62E0" w14:textId="77777777" w:rsidR="00F8589C" w:rsidRPr="00861214" w:rsidRDefault="00F8589C" w:rsidP="00C368FF">
            <w:pPr>
              <w:jc w:val="right"/>
              <w:rPr>
                <w:color w:val="000000"/>
                <w:sz w:val="20"/>
                <w:szCs w:val="20"/>
              </w:rPr>
            </w:pPr>
            <w:r>
              <w:rPr>
                <w:color w:val="000000"/>
                <w:sz w:val="20"/>
              </w:rPr>
              <w:t>1 065</w:t>
            </w:r>
          </w:p>
        </w:tc>
        <w:tc>
          <w:tcPr>
            <w:tcW w:w="1381" w:type="dxa"/>
            <w:tcBorders>
              <w:top w:val="nil"/>
              <w:left w:val="nil"/>
              <w:bottom w:val="single" w:sz="4" w:space="0" w:color="auto"/>
              <w:right w:val="single" w:sz="4" w:space="0" w:color="auto"/>
            </w:tcBorders>
            <w:shd w:val="clear" w:color="auto" w:fill="auto"/>
            <w:noWrap/>
            <w:vAlign w:val="center"/>
            <w:hideMark/>
          </w:tcPr>
          <w:p w14:paraId="196027C2"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8E20509"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E7EFA8" w14:textId="77777777" w:rsidR="00F8589C" w:rsidRPr="00861214" w:rsidRDefault="00F8589C" w:rsidP="00C368FF">
            <w:pPr>
              <w:jc w:val="right"/>
              <w:rPr>
                <w:color w:val="000000"/>
                <w:sz w:val="20"/>
                <w:szCs w:val="20"/>
              </w:rPr>
            </w:pPr>
            <w:r>
              <w:rPr>
                <w:color w:val="000000"/>
                <w:sz w:val="20"/>
              </w:rPr>
              <w:t>1 065</w:t>
            </w:r>
          </w:p>
        </w:tc>
      </w:tr>
      <w:tr w:rsidR="00F8589C" w:rsidRPr="00861214" w14:paraId="0985BFB3"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D586B5" w14:textId="77777777" w:rsidR="00F8589C" w:rsidRPr="00861214" w:rsidRDefault="00F8589C" w:rsidP="00C368FF">
            <w:pPr>
              <w:rPr>
                <w:color w:val="000000"/>
                <w:sz w:val="20"/>
                <w:szCs w:val="20"/>
              </w:rPr>
            </w:pPr>
            <w:r>
              <w:rPr>
                <w:color w:val="000000"/>
                <w:sz w:val="20"/>
              </w:rPr>
              <w:t>Impôts sur le revenu</w:t>
            </w:r>
          </w:p>
        </w:tc>
        <w:tc>
          <w:tcPr>
            <w:tcW w:w="1381" w:type="dxa"/>
            <w:tcBorders>
              <w:top w:val="nil"/>
              <w:left w:val="nil"/>
              <w:bottom w:val="single" w:sz="4" w:space="0" w:color="auto"/>
              <w:right w:val="single" w:sz="4" w:space="0" w:color="auto"/>
            </w:tcBorders>
            <w:shd w:val="clear" w:color="auto" w:fill="auto"/>
            <w:noWrap/>
            <w:vAlign w:val="center"/>
            <w:hideMark/>
          </w:tcPr>
          <w:p w14:paraId="419DA8CB" w14:textId="77777777" w:rsidR="00F8589C" w:rsidRPr="00861214" w:rsidRDefault="00F8589C" w:rsidP="00C368FF">
            <w:pPr>
              <w:jc w:val="right"/>
              <w:rPr>
                <w:color w:val="000000"/>
                <w:sz w:val="20"/>
                <w:szCs w:val="20"/>
              </w:rPr>
            </w:pPr>
            <w:r>
              <w:rPr>
                <w:color w:val="000000"/>
                <w:sz w:val="20"/>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586141D2"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26F978"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403D44D0" w14:textId="77777777" w:rsidR="00F8589C" w:rsidRPr="00861214" w:rsidRDefault="00F8589C" w:rsidP="00C368FF">
            <w:pPr>
              <w:jc w:val="right"/>
              <w:rPr>
                <w:color w:val="000000"/>
                <w:sz w:val="20"/>
                <w:szCs w:val="20"/>
              </w:rPr>
            </w:pPr>
            <w:r>
              <w:rPr>
                <w:color w:val="000000"/>
                <w:sz w:val="20"/>
              </w:rPr>
              <w:t>225</w:t>
            </w:r>
          </w:p>
        </w:tc>
      </w:tr>
      <w:tr w:rsidR="00F8589C" w:rsidRPr="00861214" w14:paraId="0D24307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B17EB39" w14:textId="38B9FE89" w:rsidR="00F8589C" w:rsidRPr="00861214" w:rsidRDefault="00F8589C" w:rsidP="00C368FF">
            <w:pPr>
              <w:rPr>
                <w:color w:val="000000"/>
                <w:sz w:val="20"/>
                <w:szCs w:val="20"/>
              </w:rPr>
            </w:pPr>
            <w:r>
              <w:rPr>
                <w:color w:val="000000"/>
                <w:sz w:val="20"/>
              </w:rPr>
              <w:t>Autres revenus (y compris revenus d</w:t>
            </w:r>
            <w:r w:rsidR="00872521">
              <w:rPr>
                <w:color w:val="000000"/>
                <w:sz w:val="20"/>
              </w:rPr>
              <w:t>’</w:t>
            </w:r>
            <w:r>
              <w:rPr>
                <w:color w:val="000000"/>
                <w:sz w:val="20"/>
              </w:rPr>
              <w:t>intérêts)</w:t>
            </w:r>
          </w:p>
        </w:tc>
        <w:tc>
          <w:tcPr>
            <w:tcW w:w="1381" w:type="dxa"/>
            <w:tcBorders>
              <w:top w:val="nil"/>
              <w:left w:val="nil"/>
              <w:bottom w:val="single" w:sz="4" w:space="0" w:color="auto"/>
              <w:right w:val="single" w:sz="4" w:space="0" w:color="auto"/>
            </w:tcBorders>
            <w:shd w:val="clear" w:color="auto" w:fill="auto"/>
            <w:noWrap/>
            <w:vAlign w:val="center"/>
            <w:hideMark/>
          </w:tcPr>
          <w:p w14:paraId="0FA7E890" w14:textId="77777777" w:rsidR="00F8589C" w:rsidRPr="00861214" w:rsidRDefault="00F8589C" w:rsidP="00C368FF">
            <w:pPr>
              <w:jc w:val="right"/>
              <w:rPr>
                <w:color w:val="000000"/>
                <w:sz w:val="20"/>
                <w:szCs w:val="20"/>
              </w:rPr>
            </w:pPr>
            <w:r>
              <w:rPr>
                <w:color w:val="000000"/>
                <w:sz w:val="20"/>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791A3B8"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42A7A7"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D269B64" w14:textId="77777777" w:rsidR="00F8589C" w:rsidRPr="00861214" w:rsidRDefault="00F8589C" w:rsidP="00C368FF">
            <w:pPr>
              <w:jc w:val="right"/>
              <w:rPr>
                <w:color w:val="000000"/>
                <w:sz w:val="20"/>
                <w:szCs w:val="20"/>
              </w:rPr>
            </w:pPr>
            <w:r>
              <w:rPr>
                <w:color w:val="000000"/>
                <w:sz w:val="20"/>
              </w:rPr>
              <w:t>12</w:t>
            </w:r>
          </w:p>
        </w:tc>
      </w:tr>
      <w:tr w:rsidR="00F8589C" w:rsidRPr="00861214" w14:paraId="6D6B3A87"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4064C0C4" w14:textId="77777777" w:rsidR="00F8589C" w:rsidRPr="00861214" w:rsidRDefault="00F8589C" w:rsidP="00C368FF">
            <w:pPr>
              <w:rPr>
                <w:b/>
                <w:bCs/>
                <w:color w:val="000000"/>
                <w:sz w:val="20"/>
                <w:szCs w:val="20"/>
              </w:rPr>
            </w:pPr>
            <w:r>
              <w:rPr>
                <w:b/>
                <w:color w:val="000000"/>
                <w:sz w:val="20"/>
              </w:rPr>
              <w:t>TOTAL RECETTES</w:t>
            </w:r>
          </w:p>
        </w:tc>
        <w:tc>
          <w:tcPr>
            <w:tcW w:w="1381" w:type="dxa"/>
            <w:tcBorders>
              <w:top w:val="nil"/>
              <w:left w:val="nil"/>
              <w:bottom w:val="single" w:sz="4" w:space="0" w:color="auto"/>
              <w:right w:val="single" w:sz="4" w:space="0" w:color="auto"/>
            </w:tcBorders>
            <w:shd w:val="clear" w:color="000000" w:fill="EAF1DD"/>
            <w:noWrap/>
            <w:vAlign w:val="center"/>
            <w:hideMark/>
          </w:tcPr>
          <w:p w14:paraId="7443F01F" w14:textId="77777777" w:rsidR="00F8589C" w:rsidRPr="00861214" w:rsidRDefault="00F8589C" w:rsidP="00C368FF">
            <w:pPr>
              <w:jc w:val="right"/>
              <w:rPr>
                <w:b/>
                <w:bCs/>
                <w:color w:val="000000"/>
                <w:sz w:val="20"/>
                <w:szCs w:val="20"/>
              </w:rPr>
            </w:pPr>
            <w:r>
              <w:rPr>
                <w:b/>
                <w:color w:val="000000"/>
                <w:sz w:val="20"/>
              </w:rPr>
              <w:t>5 081</w:t>
            </w:r>
          </w:p>
        </w:tc>
        <w:tc>
          <w:tcPr>
            <w:tcW w:w="1381" w:type="dxa"/>
            <w:tcBorders>
              <w:top w:val="nil"/>
              <w:left w:val="nil"/>
              <w:bottom w:val="single" w:sz="4" w:space="0" w:color="auto"/>
              <w:right w:val="single" w:sz="4" w:space="0" w:color="auto"/>
            </w:tcBorders>
            <w:shd w:val="clear" w:color="000000" w:fill="EAF1DD"/>
            <w:noWrap/>
            <w:vAlign w:val="center"/>
            <w:hideMark/>
          </w:tcPr>
          <w:p w14:paraId="6D5FDC0E" w14:textId="77777777" w:rsidR="00F8589C" w:rsidRPr="00861214" w:rsidRDefault="00F8589C" w:rsidP="00C368FF">
            <w:pPr>
              <w:jc w:val="right"/>
              <w:rPr>
                <w:b/>
                <w:bCs/>
                <w:color w:val="000000"/>
                <w:sz w:val="20"/>
                <w:szCs w:val="20"/>
              </w:rPr>
            </w:pPr>
            <w:r>
              <w:rPr>
                <w:b/>
                <w:color w:val="000000"/>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1189FC9A" w14:textId="77777777" w:rsidR="00F8589C" w:rsidRPr="00861214" w:rsidRDefault="00F8589C" w:rsidP="00C368FF">
            <w:pPr>
              <w:jc w:val="right"/>
              <w:rPr>
                <w:b/>
                <w:bCs/>
                <w:color w:val="000000"/>
                <w:sz w:val="20"/>
                <w:szCs w:val="20"/>
              </w:rPr>
            </w:pPr>
            <w:r>
              <w:rPr>
                <w:b/>
                <w:color w:val="000000"/>
                <w:sz w:val="20"/>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75AC48A1" w14:textId="77777777" w:rsidR="00F8589C" w:rsidRPr="00861214" w:rsidRDefault="00F8589C" w:rsidP="00C368FF">
            <w:pPr>
              <w:jc w:val="right"/>
              <w:rPr>
                <w:b/>
                <w:bCs/>
                <w:color w:val="000000"/>
                <w:sz w:val="20"/>
                <w:szCs w:val="20"/>
              </w:rPr>
            </w:pPr>
            <w:r>
              <w:rPr>
                <w:b/>
                <w:color w:val="000000"/>
                <w:sz w:val="20"/>
              </w:rPr>
              <w:t>5 081</w:t>
            </w:r>
          </w:p>
        </w:tc>
      </w:tr>
      <w:tr w:rsidR="00F8589C" w:rsidRPr="00861214" w14:paraId="0F705165" w14:textId="77777777" w:rsidTr="00C368FF">
        <w:trPr>
          <w:trHeight w:val="270"/>
        </w:trPr>
        <w:tc>
          <w:tcPr>
            <w:tcW w:w="4541" w:type="dxa"/>
            <w:tcBorders>
              <w:top w:val="single" w:sz="4" w:space="0" w:color="auto"/>
              <w:left w:val="single" w:sz="4" w:space="0" w:color="auto"/>
            </w:tcBorders>
            <w:shd w:val="clear" w:color="auto" w:fill="auto"/>
            <w:noWrap/>
            <w:vAlign w:val="center"/>
            <w:hideMark/>
          </w:tcPr>
          <w:p w14:paraId="45B13891" w14:textId="77777777" w:rsidR="00F8589C" w:rsidRPr="00861214" w:rsidRDefault="00F8589C" w:rsidP="00C368FF">
            <w:pPr>
              <w:rPr>
                <w:b/>
                <w:bCs/>
                <w:color w:val="000000"/>
                <w:sz w:val="20"/>
                <w:szCs w:val="20"/>
              </w:rPr>
            </w:pPr>
            <w:r>
              <w:rPr>
                <w:b/>
                <w:color w:val="000000"/>
                <w:sz w:val="20"/>
              </w:rPr>
              <w:t> </w:t>
            </w:r>
          </w:p>
        </w:tc>
        <w:tc>
          <w:tcPr>
            <w:tcW w:w="1381" w:type="dxa"/>
            <w:tcBorders>
              <w:top w:val="single" w:sz="4" w:space="0" w:color="auto"/>
              <w:left w:val="nil"/>
              <w:bottom w:val="nil"/>
              <w:right w:val="nil"/>
            </w:tcBorders>
            <w:shd w:val="clear" w:color="auto" w:fill="auto"/>
            <w:noWrap/>
            <w:vAlign w:val="bottom"/>
            <w:hideMark/>
          </w:tcPr>
          <w:p w14:paraId="3AD3DF54" w14:textId="77777777" w:rsidR="00F8589C" w:rsidRPr="00861214" w:rsidRDefault="00F8589C" w:rsidP="00C368FF">
            <w:pPr>
              <w:rPr>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6D2B6C62" w14:textId="77777777" w:rsidR="00F8589C" w:rsidRPr="00861214" w:rsidRDefault="00F8589C" w:rsidP="00C368FF">
            <w:pPr>
              <w:rPr>
                <w:rFonts w:ascii="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9E7C2" w14:textId="77777777" w:rsidR="00F8589C" w:rsidRPr="00861214" w:rsidRDefault="00F8589C" w:rsidP="00C368FF">
            <w:pPr>
              <w:rPr>
                <w:rFonts w:ascii="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696CD690" w14:textId="77777777" w:rsidR="00F8589C" w:rsidRPr="00861214" w:rsidRDefault="00F8589C" w:rsidP="00C368FF">
            <w:pPr>
              <w:rPr>
                <w:rFonts w:ascii="Times New Roman" w:hAnsi="Times New Roman"/>
                <w:sz w:val="20"/>
                <w:szCs w:val="20"/>
                <w:lang w:eastAsia="en-GB"/>
              </w:rPr>
            </w:pPr>
          </w:p>
        </w:tc>
      </w:tr>
      <w:tr w:rsidR="00F8589C" w:rsidRPr="00861214" w14:paraId="493314E5" w14:textId="77777777" w:rsidTr="00C368FF">
        <w:trPr>
          <w:trHeight w:val="270"/>
        </w:trPr>
        <w:tc>
          <w:tcPr>
            <w:tcW w:w="4541" w:type="dxa"/>
            <w:tcBorders>
              <w:left w:val="single" w:sz="4" w:space="0" w:color="auto"/>
              <w:bottom w:val="single" w:sz="4" w:space="0" w:color="auto"/>
              <w:right w:val="nil"/>
            </w:tcBorders>
            <w:shd w:val="clear" w:color="auto" w:fill="auto"/>
            <w:noWrap/>
            <w:vAlign w:val="center"/>
            <w:hideMark/>
          </w:tcPr>
          <w:p w14:paraId="62EF4590" w14:textId="77777777" w:rsidR="00F8589C" w:rsidRPr="00861214" w:rsidRDefault="00F8589C" w:rsidP="00C368FF">
            <w:pPr>
              <w:rPr>
                <w:b/>
                <w:bCs/>
                <w:color w:val="000000"/>
                <w:sz w:val="20"/>
                <w:szCs w:val="20"/>
              </w:rPr>
            </w:pPr>
            <w:r>
              <w:rPr>
                <w:b/>
                <w:color w:val="000000"/>
                <w:sz w:val="20"/>
              </w:rPr>
              <w:t>DÉPENSES</w:t>
            </w:r>
          </w:p>
        </w:tc>
        <w:tc>
          <w:tcPr>
            <w:tcW w:w="1381" w:type="dxa"/>
            <w:tcBorders>
              <w:top w:val="nil"/>
              <w:left w:val="nil"/>
              <w:bottom w:val="single" w:sz="4" w:space="0" w:color="auto"/>
              <w:right w:val="nil"/>
            </w:tcBorders>
            <w:shd w:val="clear" w:color="auto" w:fill="auto"/>
            <w:noWrap/>
            <w:vAlign w:val="bottom"/>
            <w:hideMark/>
          </w:tcPr>
          <w:p w14:paraId="104C9628" w14:textId="77777777" w:rsidR="00F8589C" w:rsidRPr="00861214" w:rsidRDefault="00F8589C" w:rsidP="00C368FF">
            <w:pPr>
              <w:rPr>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65294523" w14:textId="77777777" w:rsidR="00F8589C" w:rsidRPr="00861214" w:rsidRDefault="00F8589C" w:rsidP="00C368FF">
            <w:pPr>
              <w:rPr>
                <w:rFonts w:ascii="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B4E29ED" w14:textId="77777777" w:rsidR="00F8589C" w:rsidRPr="00861214" w:rsidRDefault="00F8589C" w:rsidP="00C368FF">
            <w:pPr>
              <w:rPr>
                <w:rFonts w:ascii="Arial" w:hAnsi="Arial" w:cs="Arial"/>
                <w:color w:val="000000"/>
                <w:sz w:val="20"/>
                <w:szCs w:val="20"/>
              </w:rPr>
            </w:pPr>
            <w:r>
              <w:rPr>
                <w:rFonts w:ascii="Arial" w:hAnsi="Arial"/>
                <w:color w:val="000000"/>
                <w:sz w:val="20"/>
              </w:rPr>
              <w:t> </w:t>
            </w:r>
          </w:p>
        </w:tc>
        <w:tc>
          <w:tcPr>
            <w:tcW w:w="1381" w:type="dxa"/>
            <w:tcBorders>
              <w:top w:val="nil"/>
              <w:left w:val="nil"/>
              <w:bottom w:val="single" w:sz="4" w:space="0" w:color="auto"/>
              <w:right w:val="single" w:sz="4" w:space="0" w:color="auto"/>
            </w:tcBorders>
            <w:shd w:val="clear" w:color="auto" w:fill="auto"/>
            <w:noWrap/>
            <w:vAlign w:val="bottom"/>
            <w:hideMark/>
          </w:tcPr>
          <w:p w14:paraId="00AB5D9E" w14:textId="77777777" w:rsidR="00F8589C" w:rsidRPr="00861214" w:rsidRDefault="00F8589C" w:rsidP="00C368FF">
            <w:pPr>
              <w:rPr>
                <w:rFonts w:ascii="Times New Roman" w:hAnsi="Times New Roman"/>
                <w:sz w:val="20"/>
                <w:szCs w:val="20"/>
                <w:lang w:eastAsia="en-GB"/>
              </w:rPr>
            </w:pPr>
          </w:p>
        </w:tc>
      </w:tr>
      <w:tr w:rsidR="00F8589C" w:rsidRPr="00861214" w14:paraId="7CA6AB53"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47B56C42" w14:textId="77777777" w:rsidR="00F8589C" w:rsidRPr="00861214" w:rsidRDefault="00F8589C" w:rsidP="00C368FF">
            <w:pPr>
              <w:rPr>
                <w:color w:val="000000"/>
                <w:sz w:val="20"/>
                <w:szCs w:val="20"/>
              </w:rPr>
            </w:pPr>
            <w:r>
              <w:rPr>
                <w:color w:val="000000"/>
                <w:sz w:val="20"/>
              </w:rPr>
              <w:t>A. Cadres supérieurs du Secrétariat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60707D4" w14:textId="77777777" w:rsidR="00F8589C" w:rsidRPr="00861214" w:rsidRDefault="00F8589C" w:rsidP="00C368FF">
            <w:pPr>
              <w:jc w:val="right"/>
              <w:rPr>
                <w:b/>
                <w:bCs/>
                <w:color w:val="000000"/>
                <w:sz w:val="20"/>
                <w:szCs w:val="20"/>
              </w:rPr>
            </w:pPr>
            <w:r>
              <w:rPr>
                <w:b/>
                <w:color w:val="000000"/>
                <w:sz w:val="20"/>
              </w:rPr>
              <w:t>1 062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6C4206A" w14:textId="77777777" w:rsidR="00F8589C" w:rsidRPr="00861214" w:rsidRDefault="00F8589C" w:rsidP="00C368FF">
            <w:pPr>
              <w:jc w:val="right"/>
              <w:rPr>
                <w:b/>
                <w:bCs/>
                <w:color w:val="000000"/>
                <w:sz w:val="20"/>
                <w:szCs w:val="20"/>
              </w:rPr>
            </w:pPr>
            <w:r>
              <w:rPr>
                <w:b/>
                <w:color w:val="000000"/>
                <w:sz w:val="20"/>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D1C5886" w14:textId="77777777" w:rsidR="00F8589C" w:rsidRPr="00861214" w:rsidRDefault="00F8589C" w:rsidP="00C368FF">
            <w:pPr>
              <w:jc w:val="right"/>
              <w:rPr>
                <w:b/>
                <w:bCs/>
                <w:color w:val="000000"/>
                <w:sz w:val="20"/>
                <w:szCs w:val="20"/>
              </w:rPr>
            </w:pPr>
            <w:r>
              <w:rPr>
                <w:b/>
                <w:color w:val="000000"/>
                <w:sz w:val="20"/>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537CFA99" w14:textId="77777777" w:rsidR="00F8589C" w:rsidRPr="00861214" w:rsidRDefault="00F8589C" w:rsidP="00C368FF">
            <w:pPr>
              <w:jc w:val="right"/>
              <w:rPr>
                <w:b/>
                <w:bCs/>
                <w:color w:val="000000"/>
                <w:sz w:val="20"/>
                <w:szCs w:val="20"/>
              </w:rPr>
            </w:pPr>
            <w:r>
              <w:rPr>
                <w:b/>
                <w:color w:val="000000"/>
                <w:sz w:val="20"/>
              </w:rPr>
              <w:t>1 067</w:t>
            </w:r>
          </w:p>
        </w:tc>
      </w:tr>
      <w:tr w:rsidR="00F8589C" w:rsidRPr="00861214" w14:paraId="68DC0013"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1079700" w14:textId="442DE064" w:rsidR="00F8589C" w:rsidRPr="00861214" w:rsidRDefault="00F8589C" w:rsidP="00C368FF">
            <w:pPr>
              <w:rPr>
                <w:sz w:val="20"/>
                <w:szCs w:val="20"/>
              </w:rPr>
            </w:pPr>
            <w:r>
              <w:rPr>
                <w:sz w:val="20"/>
              </w:rPr>
              <w:t>Salaires, charges sociales et autres prestations liées à l</w:t>
            </w:r>
            <w:r w:rsidR="00872521">
              <w:rPr>
                <w:sz w:val="20"/>
              </w:rPr>
              <w:t>’</w:t>
            </w:r>
            <w:r>
              <w:rPr>
                <w:sz w:val="20"/>
              </w:rPr>
              <w:t>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B389A9D" w14:textId="77777777" w:rsidR="00F8589C" w:rsidRPr="00861214" w:rsidRDefault="00F8589C" w:rsidP="00C368FF">
            <w:pPr>
              <w:jc w:val="right"/>
              <w:rPr>
                <w:sz w:val="20"/>
                <w:szCs w:val="20"/>
              </w:rPr>
            </w:pPr>
            <w:r>
              <w:rPr>
                <w:sz w:val="20"/>
              </w:rPr>
              <w:t>1 022</w:t>
            </w:r>
          </w:p>
        </w:tc>
        <w:tc>
          <w:tcPr>
            <w:tcW w:w="1381" w:type="dxa"/>
            <w:tcBorders>
              <w:top w:val="nil"/>
              <w:left w:val="nil"/>
              <w:bottom w:val="single" w:sz="4" w:space="0" w:color="auto"/>
              <w:right w:val="single" w:sz="4" w:space="0" w:color="auto"/>
            </w:tcBorders>
            <w:shd w:val="clear" w:color="auto" w:fill="auto"/>
            <w:noWrap/>
            <w:vAlign w:val="center"/>
            <w:hideMark/>
          </w:tcPr>
          <w:p w14:paraId="05905B0C"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E017EF4"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A7014D4" w14:textId="77777777" w:rsidR="00F8589C" w:rsidRPr="00861214" w:rsidRDefault="00F8589C" w:rsidP="00C368FF">
            <w:pPr>
              <w:jc w:val="right"/>
              <w:rPr>
                <w:color w:val="000000"/>
                <w:sz w:val="20"/>
                <w:szCs w:val="20"/>
              </w:rPr>
            </w:pPr>
            <w:r>
              <w:rPr>
                <w:color w:val="000000"/>
                <w:sz w:val="20"/>
              </w:rPr>
              <w:t>1 022</w:t>
            </w:r>
          </w:p>
        </w:tc>
      </w:tr>
      <w:tr w:rsidR="00F8589C" w:rsidRPr="00861214" w14:paraId="7304BBBD"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CACB" w14:textId="77777777" w:rsidR="00F8589C" w:rsidRPr="00861214" w:rsidRDefault="00F8589C" w:rsidP="00C368FF">
            <w:pPr>
              <w:rPr>
                <w:sz w:val="20"/>
                <w:szCs w:val="20"/>
              </w:rPr>
            </w:pPr>
            <w:r>
              <w:rPr>
                <w:sz w:val="20"/>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089FAB2F" w14:textId="77777777" w:rsidR="00F8589C" w:rsidRPr="00861214" w:rsidRDefault="00F8589C" w:rsidP="00C368FF">
            <w:pPr>
              <w:jc w:val="right"/>
              <w:rPr>
                <w:sz w:val="20"/>
                <w:szCs w:val="20"/>
              </w:rPr>
            </w:pPr>
            <w:r>
              <w:rPr>
                <w:sz w:val="20"/>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076F0F4" w14:textId="77777777" w:rsidR="00F8589C" w:rsidRPr="00861214" w:rsidRDefault="00F8589C" w:rsidP="00C368FF">
            <w:pPr>
              <w:jc w:val="right"/>
              <w:rPr>
                <w:sz w:val="20"/>
                <w:szCs w:val="20"/>
              </w:rPr>
            </w:pPr>
            <w:r>
              <w:rPr>
                <w:sz w:val="20"/>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E06BA67"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29BB57" w14:textId="77777777" w:rsidR="00F8589C" w:rsidRPr="00861214" w:rsidRDefault="00F8589C" w:rsidP="00C368FF">
            <w:pPr>
              <w:jc w:val="right"/>
              <w:rPr>
                <w:color w:val="000000"/>
                <w:sz w:val="20"/>
                <w:szCs w:val="20"/>
              </w:rPr>
            </w:pPr>
            <w:r>
              <w:rPr>
                <w:color w:val="000000"/>
                <w:sz w:val="20"/>
              </w:rPr>
              <w:t>45</w:t>
            </w:r>
          </w:p>
        </w:tc>
      </w:tr>
      <w:tr w:rsidR="00F8589C" w:rsidRPr="00861214" w14:paraId="44D50CDC"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17A33847" w14:textId="77777777" w:rsidR="00F8589C" w:rsidRPr="00861214" w:rsidRDefault="00F8589C" w:rsidP="00C368FF">
            <w:pPr>
              <w:rPr>
                <w:color w:val="000000"/>
                <w:sz w:val="20"/>
                <w:szCs w:val="20"/>
              </w:rPr>
            </w:pPr>
            <w:r>
              <w:rPr>
                <w:color w:val="000000"/>
                <w:sz w:val="20"/>
              </w:rPr>
              <w:t>B. Mobilisation des ressources et sensibilisation</w:t>
            </w:r>
          </w:p>
        </w:tc>
        <w:tc>
          <w:tcPr>
            <w:tcW w:w="1381" w:type="dxa"/>
            <w:tcBorders>
              <w:top w:val="nil"/>
              <w:left w:val="nil"/>
              <w:bottom w:val="single" w:sz="4" w:space="0" w:color="auto"/>
              <w:right w:val="single" w:sz="4" w:space="0" w:color="auto"/>
            </w:tcBorders>
            <w:shd w:val="clear" w:color="000000" w:fill="EAF1DD"/>
            <w:noWrap/>
            <w:vAlign w:val="center"/>
            <w:hideMark/>
          </w:tcPr>
          <w:p w14:paraId="6BB2B483" w14:textId="77777777" w:rsidR="00F8589C" w:rsidRPr="00861214" w:rsidRDefault="00F8589C" w:rsidP="00C368FF">
            <w:pPr>
              <w:jc w:val="right"/>
              <w:rPr>
                <w:b/>
                <w:bCs/>
                <w:color w:val="000000"/>
                <w:sz w:val="20"/>
                <w:szCs w:val="20"/>
              </w:rPr>
            </w:pPr>
            <w:r>
              <w:rPr>
                <w:b/>
                <w:color w:val="000000"/>
                <w:sz w:val="20"/>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1C3F2B0" w14:textId="77777777" w:rsidR="00F8589C" w:rsidRPr="00861214" w:rsidRDefault="00F8589C" w:rsidP="00C368FF">
            <w:pPr>
              <w:jc w:val="right"/>
              <w:rPr>
                <w:b/>
                <w:bCs/>
                <w:color w:val="000000"/>
                <w:sz w:val="20"/>
                <w:szCs w:val="20"/>
              </w:rPr>
            </w:pPr>
            <w:r>
              <w:rPr>
                <w:b/>
                <w:color w:val="000000"/>
                <w:sz w:val="20"/>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15420F66" w14:textId="77777777" w:rsidR="00F8589C" w:rsidRPr="00861214" w:rsidRDefault="00F8589C" w:rsidP="00C368FF">
            <w:pPr>
              <w:jc w:val="right"/>
              <w:rPr>
                <w:b/>
                <w:bCs/>
                <w:color w:val="000000"/>
                <w:sz w:val="20"/>
                <w:szCs w:val="20"/>
              </w:rPr>
            </w:pPr>
            <w:r>
              <w:rPr>
                <w:b/>
                <w:color w:val="000000"/>
                <w:sz w:val="20"/>
              </w:rPr>
              <w:t>263</w:t>
            </w:r>
          </w:p>
        </w:tc>
        <w:tc>
          <w:tcPr>
            <w:tcW w:w="1381" w:type="dxa"/>
            <w:tcBorders>
              <w:top w:val="nil"/>
              <w:left w:val="nil"/>
              <w:bottom w:val="single" w:sz="4" w:space="0" w:color="auto"/>
              <w:right w:val="single" w:sz="4" w:space="0" w:color="auto"/>
            </w:tcBorders>
            <w:shd w:val="clear" w:color="000000" w:fill="EAF1DD"/>
            <w:noWrap/>
            <w:vAlign w:val="center"/>
            <w:hideMark/>
          </w:tcPr>
          <w:p w14:paraId="22557E25" w14:textId="77777777" w:rsidR="00F8589C" w:rsidRPr="00861214" w:rsidRDefault="00F8589C" w:rsidP="00C368FF">
            <w:pPr>
              <w:jc w:val="right"/>
              <w:rPr>
                <w:b/>
                <w:bCs/>
                <w:color w:val="000000"/>
                <w:sz w:val="20"/>
                <w:szCs w:val="20"/>
              </w:rPr>
            </w:pPr>
            <w:r>
              <w:rPr>
                <w:b/>
                <w:color w:val="000000"/>
                <w:sz w:val="20"/>
              </w:rPr>
              <w:t>816</w:t>
            </w:r>
          </w:p>
        </w:tc>
      </w:tr>
      <w:tr w:rsidR="00F8589C" w:rsidRPr="00861214" w14:paraId="414E0391"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C5B2F56" w14:textId="1CEB7AB3" w:rsidR="00F8589C" w:rsidRPr="00861214" w:rsidRDefault="00F8589C" w:rsidP="00C368FF">
            <w:pPr>
              <w:rPr>
                <w:sz w:val="20"/>
                <w:szCs w:val="20"/>
              </w:rPr>
            </w:pPr>
            <w:r>
              <w:rPr>
                <w:sz w:val="20"/>
              </w:rPr>
              <w:t>Salaires, charges sociales et autres prestations liées à l</w:t>
            </w:r>
            <w:r w:rsidR="00872521">
              <w:rPr>
                <w:sz w:val="20"/>
              </w:rPr>
              <w:t>’</w:t>
            </w:r>
            <w:r>
              <w:rPr>
                <w:sz w:val="20"/>
              </w:rPr>
              <w:t>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133C0CD" w14:textId="77777777" w:rsidR="00F8589C" w:rsidRPr="00861214" w:rsidRDefault="00F8589C" w:rsidP="00C368FF">
            <w:pPr>
              <w:jc w:val="right"/>
              <w:rPr>
                <w:sz w:val="20"/>
                <w:szCs w:val="20"/>
              </w:rPr>
            </w:pPr>
            <w:r>
              <w:rPr>
                <w:sz w:val="20"/>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097821B0"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0B10CAA" w14:textId="77777777" w:rsidR="00F8589C" w:rsidRPr="00214FA7" w:rsidRDefault="00F8589C" w:rsidP="00C368FF">
            <w:pPr>
              <w:jc w:val="right"/>
              <w:rPr>
                <w:color w:val="000000"/>
                <w:sz w:val="20"/>
                <w:szCs w:val="20"/>
              </w:rPr>
            </w:pPr>
            <w:r>
              <w:rPr>
                <w:color w:val="000000"/>
                <w:sz w:val="20"/>
              </w:rPr>
              <w:t>6</w:t>
            </w:r>
          </w:p>
        </w:tc>
        <w:tc>
          <w:tcPr>
            <w:tcW w:w="1381" w:type="dxa"/>
            <w:tcBorders>
              <w:top w:val="nil"/>
              <w:left w:val="nil"/>
              <w:bottom w:val="single" w:sz="4" w:space="0" w:color="auto"/>
              <w:right w:val="single" w:sz="4" w:space="0" w:color="auto"/>
            </w:tcBorders>
            <w:shd w:val="clear" w:color="auto" w:fill="auto"/>
            <w:noWrap/>
            <w:vAlign w:val="center"/>
            <w:hideMark/>
          </w:tcPr>
          <w:p w14:paraId="033FCAA6" w14:textId="77777777" w:rsidR="00F8589C" w:rsidRPr="00214FA7" w:rsidRDefault="00F8589C" w:rsidP="00C368FF">
            <w:pPr>
              <w:jc w:val="right"/>
              <w:rPr>
                <w:color w:val="000000"/>
                <w:sz w:val="20"/>
                <w:szCs w:val="20"/>
              </w:rPr>
            </w:pPr>
            <w:r>
              <w:rPr>
                <w:color w:val="000000"/>
                <w:sz w:val="20"/>
              </w:rPr>
              <w:t>358</w:t>
            </w:r>
          </w:p>
        </w:tc>
      </w:tr>
      <w:tr w:rsidR="00F8589C" w:rsidRPr="00861214" w14:paraId="5ED6EB7A" w14:textId="77777777" w:rsidTr="00C368FF">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BB388" w14:textId="77777777" w:rsidR="00F8589C" w:rsidRPr="00861214" w:rsidRDefault="00F8589C" w:rsidP="00C368FF">
            <w:pPr>
              <w:rPr>
                <w:sz w:val="20"/>
                <w:szCs w:val="20"/>
              </w:rPr>
            </w:pPr>
            <w:r>
              <w:rPr>
                <w:sz w:val="20"/>
              </w:rPr>
              <w:t>Programme de CESP</w:t>
            </w:r>
          </w:p>
        </w:tc>
        <w:tc>
          <w:tcPr>
            <w:tcW w:w="1381" w:type="dxa"/>
            <w:tcBorders>
              <w:top w:val="nil"/>
              <w:left w:val="nil"/>
              <w:bottom w:val="single" w:sz="4" w:space="0" w:color="auto"/>
              <w:right w:val="single" w:sz="4" w:space="0" w:color="auto"/>
            </w:tcBorders>
            <w:shd w:val="clear" w:color="auto" w:fill="auto"/>
            <w:noWrap/>
            <w:vAlign w:val="center"/>
            <w:hideMark/>
          </w:tcPr>
          <w:p w14:paraId="355361CB" w14:textId="77777777" w:rsidR="00F8589C" w:rsidRPr="00861214" w:rsidRDefault="00F8589C" w:rsidP="00C368FF">
            <w:pPr>
              <w:jc w:val="right"/>
              <w:rPr>
                <w:sz w:val="20"/>
                <w:szCs w:val="20"/>
              </w:rPr>
            </w:pPr>
            <w:r>
              <w:rPr>
                <w:sz w:val="20"/>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ADB661C"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DE9374F" w14:textId="77777777" w:rsidR="00F8589C" w:rsidRPr="00214FA7" w:rsidRDefault="00F8589C" w:rsidP="00C368FF">
            <w:pPr>
              <w:jc w:val="right"/>
              <w:rPr>
                <w:sz w:val="20"/>
                <w:szCs w:val="20"/>
              </w:rPr>
            </w:pPr>
            <w:r>
              <w:rPr>
                <w:sz w:val="20"/>
              </w:rPr>
              <w:t>109</w:t>
            </w:r>
          </w:p>
        </w:tc>
        <w:tc>
          <w:tcPr>
            <w:tcW w:w="1381" w:type="dxa"/>
            <w:tcBorders>
              <w:top w:val="nil"/>
              <w:left w:val="nil"/>
              <w:bottom w:val="single" w:sz="4" w:space="0" w:color="auto"/>
              <w:right w:val="single" w:sz="4" w:space="0" w:color="auto"/>
            </w:tcBorders>
            <w:shd w:val="clear" w:color="auto" w:fill="auto"/>
            <w:noWrap/>
            <w:vAlign w:val="center"/>
            <w:hideMark/>
          </w:tcPr>
          <w:p w14:paraId="66FBA431" w14:textId="77777777" w:rsidR="00F8589C" w:rsidRPr="00214FA7" w:rsidRDefault="00F8589C" w:rsidP="00C368FF">
            <w:pPr>
              <w:jc w:val="right"/>
              <w:rPr>
                <w:color w:val="000000"/>
                <w:sz w:val="20"/>
                <w:szCs w:val="20"/>
              </w:rPr>
            </w:pPr>
            <w:r>
              <w:rPr>
                <w:color w:val="000000"/>
                <w:sz w:val="20"/>
              </w:rPr>
              <w:t>139</w:t>
            </w:r>
          </w:p>
        </w:tc>
      </w:tr>
      <w:tr w:rsidR="00F8589C" w:rsidRPr="00861214" w14:paraId="201D43BF" w14:textId="77777777" w:rsidTr="00C368FF">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761494F0" w14:textId="77777777" w:rsidR="00F8589C" w:rsidRPr="00861214" w:rsidRDefault="00F8589C" w:rsidP="00C368FF">
            <w:pPr>
              <w:rPr>
                <w:sz w:val="20"/>
                <w:szCs w:val="20"/>
              </w:rPr>
            </w:pPr>
            <w:r>
              <w:rPr>
                <w:sz w:val="20"/>
              </w:rPr>
              <w:t>Communication, traductions, publications et rapports</w:t>
            </w:r>
          </w:p>
        </w:tc>
        <w:tc>
          <w:tcPr>
            <w:tcW w:w="1381" w:type="dxa"/>
            <w:tcBorders>
              <w:top w:val="nil"/>
              <w:left w:val="nil"/>
              <w:bottom w:val="single" w:sz="4" w:space="0" w:color="auto"/>
              <w:right w:val="single" w:sz="4" w:space="0" w:color="auto"/>
            </w:tcBorders>
            <w:shd w:val="clear" w:color="auto" w:fill="auto"/>
            <w:noWrap/>
            <w:vAlign w:val="center"/>
            <w:hideMark/>
          </w:tcPr>
          <w:p w14:paraId="0EA2B16D" w14:textId="77777777" w:rsidR="00F8589C" w:rsidRPr="00861214" w:rsidRDefault="00F8589C" w:rsidP="00C368FF">
            <w:pPr>
              <w:jc w:val="right"/>
              <w:rPr>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127D6E5A" w14:textId="77777777" w:rsidR="00F8589C" w:rsidRPr="00861214" w:rsidRDefault="00F8589C" w:rsidP="00C368FF">
            <w:pPr>
              <w:jc w:val="right"/>
              <w:rPr>
                <w:sz w:val="20"/>
                <w:szCs w:val="20"/>
              </w:rPr>
            </w:pPr>
            <w:r>
              <w:rPr>
                <w:sz w:val="20"/>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0FF3EAC" w14:textId="77777777" w:rsidR="00F8589C" w:rsidRPr="00214FA7" w:rsidRDefault="00F8589C" w:rsidP="00C368FF">
            <w:pPr>
              <w:jc w:val="right"/>
              <w:rPr>
                <w:sz w:val="20"/>
                <w:szCs w:val="20"/>
              </w:rPr>
            </w:pPr>
            <w:r>
              <w:rPr>
                <w:sz w:val="20"/>
              </w:rPr>
              <w:t>110</w:t>
            </w:r>
          </w:p>
        </w:tc>
        <w:tc>
          <w:tcPr>
            <w:tcW w:w="1381" w:type="dxa"/>
            <w:tcBorders>
              <w:top w:val="nil"/>
              <w:left w:val="nil"/>
              <w:bottom w:val="single" w:sz="4" w:space="0" w:color="auto"/>
              <w:right w:val="single" w:sz="4" w:space="0" w:color="auto"/>
            </w:tcBorders>
            <w:shd w:val="clear" w:color="auto" w:fill="auto"/>
            <w:noWrap/>
            <w:vAlign w:val="center"/>
            <w:hideMark/>
          </w:tcPr>
          <w:p w14:paraId="0B142D5F" w14:textId="77777777" w:rsidR="00F8589C" w:rsidRPr="00214FA7" w:rsidRDefault="00F8589C" w:rsidP="00C368FF">
            <w:pPr>
              <w:jc w:val="right"/>
              <w:rPr>
                <w:color w:val="000000"/>
                <w:sz w:val="20"/>
                <w:szCs w:val="20"/>
              </w:rPr>
            </w:pPr>
            <w:r>
              <w:rPr>
                <w:color w:val="000000"/>
                <w:sz w:val="20"/>
              </w:rPr>
              <w:t>210</w:t>
            </w:r>
          </w:p>
        </w:tc>
      </w:tr>
      <w:tr w:rsidR="00F8589C" w:rsidRPr="00861214" w14:paraId="79C40E02"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DBCACA3" w14:textId="77777777" w:rsidR="00F8589C" w:rsidRPr="00861214" w:rsidRDefault="00F8589C" w:rsidP="00C368FF">
            <w:pPr>
              <w:rPr>
                <w:sz w:val="20"/>
                <w:szCs w:val="20"/>
              </w:rPr>
            </w:pPr>
            <w:r>
              <w:rPr>
                <w:sz w:val="20"/>
              </w:rPr>
              <w:t>Appui et développement du Web/TI</w:t>
            </w:r>
          </w:p>
        </w:tc>
        <w:tc>
          <w:tcPr>
            <w:tcW w:w="1381" w:type="dxa"/>
            <w:tcBorders>
              <w:top w:val="nil"/>
              <w:left w:val="nil"/>
              <w:bottom w:val="single" w:sz="4" w:space="0" w:color="auto"/>
              <w:right w:val="single" w:sz="4" w:space="0" w:color="auto"/>
            </w:tcBorders>
            <w:shd w:val="clear" w:color="auto" w:fill="auto"/>
            <w:noWrap/>
            <w:vAlign w:val="center"/>
            <w:hideMark/>
          </w:tcPr>
          <w:p w14:paraId="6A37B02B" w14:textId="77777777" w:rsidR="00F8589C" w:rsidRPr="00861214" w:rsidRDefault="00F8589C" w:rsidP="00C368FF">
            <w:pPr>
              <w:jc w:val="right"/>
              <w:rPr>
                <w:sz w:val="20"/>
                <w:szCs w:val="20"/>
              </w:rPr>
            </w:pPr>
            <w:r>
              <w:rPr>
                <w:sz w:val="20"/>
              </w:rPr>
              <w:t>56</w:t>
            </w:r>
          </w:p>
        </w:tc>
        <w:tc>
          <w:tcPr>
            <w:tcW w:w="1381" w:type="dxa"/>
            <w:tcBorders>
              <w:top w:val="nil"/>
              <w:left w:val="nil"/>
              <w:bottom w:val="single" w:sz="4" w:space="0" w:color="auto"/>
              <w:right w:val="single" w:sz="4" w:space="0" w:color="auto"/>
            </w:tcBorders>
            <w:shd w:val="clear" w:color="auto" w:fill="auto"/>
            <w:noWrap/>
            <w:vAlign w:val="center"/>
            <w:hideMark/>
          </w:tcPr>
          <w:p w14:paraId="756E6258"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BFCC6C" w14:textId="77777777" w:rsidR="00F8589C" w:rsidRPr="00214FA7" w:rsidRDefault="00F8589C" w:rsidP="00C368FF">
            <w:pPr>
              <w:jc w:val="right"/>
              <w:rPr>
                <w:sz w:val="20"/>
                <w:szCs w:val="20"/>
              </w:rPr>
            </w:pPr>
            <w:r>
              <w:rPr>
                <w:sz w:val="20"/>
              </w:rPr>
              <w:t>38</w:t>
            </w:r>
          </w:p>
        </w:tc>
        <w:tc>
          <w:tcPr>
            <w:tcW w:w="1381" w:type="dxa"/>
            <w:tcBorders>
              <w:top w:val="nil"/>
              <w:left w:val="nil"/>
              <w:bottom w:val="single" w:sz="4" w:space="0" w:color="auto"/>
              <w:right w:val="single" w:sz="4" w:space="0" w:color="auto"/>
            </w:tcBorders>
            <w:shd w:val="clear" w:color="auto" w:fill="auto"/>
            <w:noWrap/>
            <w:vAlign w:val="center"/>
            <w:hideMark/>
          </w:tcPr>
          <w:p w14:paraId="271207DA" w14:textId="77777777" w:rsidR="00F8589C" w:rsidRPr="00214FA7" w:rsidRDefault="00F8589C" w:rsidP="00C368FF">
            <w:pPr>
              <w:jc w:val="right"/>
              <w:rPr>
                <w:color w:val="000000"/>
                <w:sz w:val="20"/>
                <w:szCs w:val="20"/>
              </w:rPr>
            </w:pPr>
            <w:r>
              <w:rPr>
                <w:color w:val="000000"/>
                <w:sz w:val="20"/>
              </w:rPr>
              <w:t>94</w:t>
            </w:r>
          </w:p>
        </w:tc>
      </w:tr>
      <w:tr w:rsidR="00F8589C" w:rsidRPr="00861214" w14:paraId="6C69CC86"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A5E6E" w14:textId="77777777" w:rsidR="00F8589C" w:rsidRPr="00861214" w:rsidRDefault="00F8589C" w:rsidP="00C368FF">
            <w:pPr>
              <w:rPr>
                <w:sz w:val="20"/>
                <w:szCs w:val="20"/>
              </w:rPr>
            </w:pPr>
            <w:r>
              <w:rPr>
                <w:sz w:val="20"/>
              </w:rPr>
              <w:t>Déplacements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2E59DF8" w14:textId="77777777" w:rsidR="00F8589C" w:rsidRPr="00861214" w:rsidRDefault="00F8589C" w:rsidP="00C368FF">
            <w:pPr>
              <w:jc w:val="right"/>
              <w:rPr>
                <w:sz w:val="20"/>
                <w:szCs w:val="20"/>
              </w:rPr>
            </w:pPr>
            <w:r>
              <w:rPr>
                <w:sz w:val="20"/>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DE9FE40" w14:textId="77777777" w:rsidR="00F8589C" w:rsidRPr="00861214" w:rsidRDefault="00F8589C" w:rsidP="00C368FF">
            <w:pPr>
              <w:jc w:val="right"/>
              <w:rPr>
                <w:sz w:val="20"/>
                <w:szCs w:val="20"/>
              </w:rPr>
            </w:pPr>
            <w:r>
              <w:rPr>
                <w:sz w:val="20"/>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97D9" w14:textId="77777777" w:rsidR="00F8589C" w:rsidRPr="00861214" w:rsidRDefault="00F8589C" w:rsidP="00C368FF">
            <w:pPr>
              <w:jc w:val="right"/>
              <w:rPr>
                <w:color w:val="000000"/>
                <w:sz w:val="20"/>
                <w:szCs w:val="20"/>
              </w:rPr>
            </w:pPr>
            <w:r>
              <w:rPr>
                <w:color w:val="000000"/>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18D14F6" w14:textId="77777777" w:rsidR="00F8589C" w:rsidRPr="00861214" w:rsidRDefault="00F8589C" w:rsidP="00C368FF">
            <w:pPr>
              <w:jc w:val="right"/>
              <w:rPr>
                <w:color w:val="000000"/>
                <w:sz w:val="20"/>
                <w:szCs w:val="20"/>
              </w:rPr>
            </w:pPr>
            <w:r>
              <w:rPr>
                <w:color w:val="000000"/>
                <w:sz w:val="20"/>
              </w:rPr>
              <w:t>15</w:t>
            </w:r>
          </w:p>
        </w:tc>
      </w:tr>
      <w:tr w:rsidR="00F8589C" w:rsidRPr="00861214" w14:paraId="1BF1D791"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1D8227F" w14:textId="77777777" w:rsidR="00F8589C" w:rsidRPr="00861214" w:rsidRDefault="00F8589C" w:rsidP="00C368FF">
            <w:pPr>
              <w:rPr>
                <w:sz w:val="20"/>
                <w:szCs w:val="20"/>
              </w:rPr>
            </w:pPr>
            <w:r>
              <w:rPr>
                <w:sz w:val="20"/>
              </w:rPr>
              <w:t>C. Appui et conseils aux Régions</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BB038AE" w14:textId="77777777" w:rsidR="00F8589C" w:rsidRPr="00861214" w:rsidRDefault="00F8589C" w:rsidP="00C368FF">
            <w:pPr>
              <w:jc w:val="right"/>
              <w:rPr>
                <w:b/>
                <w:bCs/>
                <w:sz w:val="20"/>
                <w:szCs w:val="20"/>
              </w:rPr>
            </w:pPr>
            <w:r>
              <w:rPr>
                <w:b/>
                <w:sz w:val="20"/>
              </w:rPr>
              <w:t>1 316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27B3D2F" w14:textId="77777777" w:rsidR="00F8589C" w:rsidRPr="00861214" w:rsidRDefault="00F8589C" w:rsidP="00C368FF">
            <w:pPr>
              <w:jc w:val="right"/>
              <w:rPr>
                <w:b/>
                <w:bCs/>
                <w:sz w:val="20"/>
                <w:szCs w:val="20"/>
              </w:rPr>
            </w:pPr>
            <w:r>
              <w:rPr>
                <w:b/>
                <w:sz w:val="20"/>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CE702FA" w14:textId="77777777" w:rsidR="00F8589C" w:rsidRPr="00861214" w:rsidRDefault="00F8589C" w:rsidP="00C368FF">
            <w:pPr>
              <w:jc w:val="right"/>
              <w:rPr>
                <w:b/>
                <w:bCs/>
                <w:color w:val="000000"/>
                <w:sz w:val="20"/>
                <w:szCs w:val="20"/>
              </w:rPr>
            </w:pPr>
            <w:r>
              <w:rPr>
                <w:b/>
                <w:color w:val="000000"/>
                <w:sz w:val="20"/>
              </w:rPr>
              <w:t>292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69EE90" w14:textId="77777777" w:rsidR="00F8589C" w:rsidRPr="00861214" w:rsidRDefault="00F8589C" w:rsidP="00C368FF">
            <w:pPr>
              <w:jc w:val="right"/>
              <w:rPr>
                <w:b/>
                <w:bCs/>
                <w:color w:val="000000"/>
                <w:sz w:val="20"/>
                <w:szCs w:val="20"/>
              </w:rPr>
            </w:pPr>
            <w:r>
              <w:rPr>
                <w:b/>
                <w:color w:val="000000"/>
                <w:sz w:val="20"/>
              </w:rPr>
              <w:t>1 618</w:t>
            </w:r>
          </w:p>
        </w:tc>
      </w:tr>
      <w:tr w:rsidR="00F8589C" w:rsidRPr="00861214" w14:paraId="4676E61B"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79391" w14:textId="6D42DCC7" w:rsidR="00F8589C" w:rsidRPr="00861214" w:rsidRDefault="00F8589C" w:rsidP="00C368FF">
            <w:pPr>
              <w:rPr>
                <w:sz w:val="20"/>
                <w:szCs w:val="20"/>
              </w:rPr>
            </w:pPr>
            <w:r>
              <w:rPr>
                <w:sz w:val="20"/>
              </w:rPr>
              <w:t>Salaires, charges sociales et autres prestations liées à l</w:t>
            </w:r>
            <w:r w:rsidR="00872521">
              <w:rPr>
                <w:sz w:val="20"/>
              </w:rPr>
              <w:t>’</w:t>
            </w:r>
            <w:r>
              <w:rPr>
                <w:sz w:val="20"/>
              </w:rPr>
              <w:t>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A14FCDC" w14:textId="77777777" w:rsidR="00F8589C" w:rsidRPr="00861214" w:rsidRDefault="00F8589C" w:rsidP="00C368FF">
            <w:pPr>
              <w:jc w:val="right"/>
              <w:rPr>
                <w:sz w:val="20"/>
                <w:szCs w:val="20"/>
              </w:rPr>
            </w:pPr>
            <w:r>
              <w:rPr>
                <w:sz w:val="20"/>
              </w:rPr>
              <w:t>1 249</w:t>
            </w:r>
          </w:p>
        </w:tc>
        <w:tc>
          <w:tcPr>
            <w:tcW w:w="1381" w:type="dxa"/>
            <w:tcBorders>
              <w:top w:val="nil"/>
              <w:left w:val="nil"/>
              <w:bottom w:val="single" w:sz="4" w:space="0" w:color="auto"/>
              <w:right w:val="single" w:sz="4" w:space="0" w:color="auto"/>
            </w:tcBorders>
            <w:shd w:val="clear" w:color="auto" w:fill="auto"/>
            <w:noWrap/>
            <w:vAlign w:val="center"/>
            <w:hideMark/>
          </w:tcPr>
          <w:p w14:paraId="1235864D"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A6DED8C" w14:textId="77777777" w:rsidR="00F8589C" w:rsidRPr="00861214" w:rsidRDefault="00F8589C" w:rsidP="00C368FF">
            <w:pPr>
              <w:jc w:val="right"/>
              <w:rPr>
                <w:color w:val="000000"/>
                <w:sz w:val="20"/>
                <w:szCs w:val="20"/>
              </w:rPr>
            </w:pPr>
            <w:r>
              <w:rPr>
                <w:color w:val="000000"/>
                <w:sz w:val="20"/>
              </w:rPr>
              <w:t>177</w:t>
            </w:r>
          </w:p>
        </w:tc>
        <w:tc>
          <w:tcPr>
            <w:tcW w:w="1381" w:type="dxa"/>
            <w:tcBorders>
              <w:top w:val="nil"/>
              <w:left w:val="nil"/>
              <w:bottom w:val="single" w:sz="4" w:space="0" w:color="auto"/>
              <w:right w:val="single" w:sz="4" w:space="0" w:color="auto"/>
            </w:tcBorders>
            <w:shd w:val="clear" w:color="auto" w:fill="auto"/>
            <w:noWrap/>
            <w:vAlign w:val="center"/>
            <w:hideMark/>
          </w:tcPr>
          <w:p w14:paraId="563EE8D4" w14:textId="77777777" w:rsidR="00F8589C" w:rsidRPr="00861214" w:rsidRDefault="00F8589C" w:rsidP="00C368FF">
            <w:pPr>
              <w:jc w:val="right"/>
              <w:rPr>
                <w:color w:val="000000"/>
                <w:sz w:val="20"/>
                <w:szCs w:val="20"/>
              </w:rPr>
            </w:pPr>
            <w:r>
              <w:rPr>
                <w:color w:val="000000"/>
                <w:sz w:val="20"/>
              </w:rPr>
              <w:t>1 426</w:t>
            </w:r>
          </w:p>
        </w:tc>
      </w:tr>
      <w:tr w:rsidR="00F8589C" w:rsidRPr="00861214" w14:paraId="4DF90216"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7286" w14:textId="77777777" w:rsidR="00F8589C" w:rsidRPr="00861214" w:rsidRDefault="00F8589C" w:rsidP="00C368FF">
            <w:pPr>
              <w:rPr>
                <w:sz w:val="20"/>
                <w:szCs w:val="20"/>
              </w:rPr>
            </w:pPr>
            <w:r>
              <w:rPr>
                <w:sz w:val="20"/>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27445AEB" w14:textId="77777777" w:rsidR="00F8589C" w:rsidRPr="00861214" w:rsidRDefault="00F8589C" w:rsidP="00C368FF">
            <w:pPr>
              <w:jc w:val="right"/>
              <w:rPr>
                <w:sz w:val="20"/>
                <w:szCs w:val="20"/>
              </w:rPr>
            </w:pPr>
            <w:r>
              <w:rPr>
                <w:sz w:val="20"/>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460B3DB" w14:textId="77777777" w:rsidR="00F8589C" w:rsidRPr="00861214" w:rsidRDefault="00F8589C" w:rsidP="00C368FF">
            <w:pPr>
              <w:jc w:val="right"/>
              <w:rPr>
                <w:sz w:val="20"/>
                <w:szCs w:val="20"/>
              </w:rPr>
            </w:pPr>
            <w:r>
              <w:rPr>
                <w:sz w:val="20"/>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CE07ACE" w14:textId="77777777" w:rsidR="00F8589C" w:rsidRPr="00861214" w:rsidRDefault="00F8589C" w:rsidP="00C368FF">
            <w:pPr>
              <w:jc w:val="right"/>
              <w:rPr>
                <w:color w:val="000000"/>
                <w:sz w:val="20"/>
                <w:szCs w:val="20"/>
              </w:rPr>
            </w:pPr>
            <w:r>
              <w:rPr>
                <w:color w:val="000000"/>
                <w:sz w:val="20"/>
              </w:rPr>
              <w:t>19</w:t>
            </w:r>
          </w:p>
        </w:tc>
        <w:tc>
          <w:tcPr>
            <w:tcW w:w="1381" w:type="dxa"/>
            <w:tcBorders>
              <w:top w:val="nil"/>
              <w:left w:val="nil"/>
              <w:bottom w:val="single" w:sz="4" w:space="0" w:color="auto"/>
              <w:right w:val="single" w:sz="4" w:space="0" w:color="auto"/>
            </w:tcBorders>
            <w:shd w:val="clear" w:color="auto" w:fill="auto"/>
            <w:noWrap/>
            <w:vAlign w:val="center"/>
            <w:hideMark/>
          </w:tcPr>
          <w:p w14:paraId="1AD3E4B0" w14:textId="77777777" w:rsidR="00F8589C" w:rsidRPr="00861214" w:rsidRDefault="00F8589C" w:rsidP="00C368FF">
            <w:pPr>
              <w:jc w:val="right"/>
              <w:rPr>
                <w:color w:val="000000"/>
                <w:sz w:val="20"/>
                <w:szCs w:val="20"/>
              </w:rPr>
            </w:pPr>
            <w:r>
              <w:rPr>
                <w:color w:val="000000"/>
                <w:sz w:val="20"/>
              </w:rPr>
              <w:t>96</w:t>
            </w:r>
          </w:p>
        </w:tc>
      </w:tr>
      <w:tr w:rsidR="00F8589C" w:rsidRPr="00861214" w14:paraId="6014F89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4D1F123" w14:textId="77777777" w:rsidR="00F8589C" w:rsidRPr="00861214" w:rsidRDefault="00F8589C" w:rsidP="00C368FF">
            <w:pPr>
              <w:rPr>
                <w:sz w:val="20"/>
                <w:szCs w:val="20"/>
              </w:rPr>
            </w:pPr>
            <w:r>
              <w:rPr>
                <w:sz w:val="20"/>
              </w:rPr>
              <w:t>Missions consultatives Ramsar</w:t>
            </w:r>
          </w:p>
        </w:tc>
        <w:tc>
          <w:tcPr>
            <w:tcW w:w="1381" w:type="dxa"/>
            <w:tcBorders>
              <w:top w:val="nil"/>
              <w:left w:val="nil"/>
              <w:bottom w:val="single" w:sz="4" w:space="0" w:color="auto"/>
              <w:right w:val="single" w:sz="4" w:space="0" w:color="auto"/>
            </w:tcBorders>
            <w:shd w:val="clear" w:color="auto" w:fill="auto"/>
            <w:noWrap/>
            <w:vAlign w:val="center"/>
            <w:hideMark/>
          </w:tcPr>
          <w:p w14:paraId="651CC22D"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1B5218DC"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90619A" w14:textId="77777777" w:rsidR="00F8589C" w:rsidRPr="00861214" w:rsidRDefault="00F8589C" w:rsidP="00C368FF">
            <w:pPr>
              <w:jc w:val="right"/>
              <w:rPr>
                <w:color w:val="000000"/>
                <w:sz w:val="20"/>
                <w:szCs w:val="20"/>
              </w:rPr>
            </w:pPr>
            <w:r>
              <w:rPr>
                <w:color w:val="000000"/>
                <w:sz w:val="20"/>
              </w:rPr>
              <w:t>96</w:t>
            </w:r>
          </w:p>
        </w:tc>
        <w:tc>
          <w:tcPr>
            <w:tcW w:w="1381" w:type="dxa"/>
            <w:tcBorders>
              <w:top w:val="nil"/>
              <w:left w:val="nil"/>
              <w:bottom w:val="single" w:sz="4" w:space="0" w:color="auto"/>
              <w:right w:val="single" w:sz="4" w:space="0" w:color="auto"/>
            </w:tcBorders>
            <w:shd w:val="clear" w:color="auto" w:fill="auto"/>
            <w:noWrap/>
            <w:vAlign w:val="center"/>
            <w:hideMark/>
          </w:tcPr>
          <w:p w14:paraId="38FD14D5" w14:textId="77777777" w:rsidR="00F8589C" w:rsidRPr="00861214" w:rsidRDefault="00F8589C" w:rsidP="00C368FF">
            <w:pPr>
              <w:jc w:val="right"/>
              <w:rPr>
                <w:color w:val="000000"/>
                <w:sz w:val="20"/>
                <w:szCs w:val="20"/>
              </w:rPr>
            </w:pPr>
            <w:r>
              <w:rPr>
                <w:color w:val="000000"/>
                <w:sz w:val="20"/>
              </w:rPr>
              <w:t>96</w:t>
            </w:r>
          </w:p>
        </w:tc>
      </w:tr>
      <w:tr w:rsidR="00F8589C" w:rsidRPr="00861214" w14:paraId="5377E36D"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1F9157BA" w14:textId="77777777" w:rsidR="00F8589C" w:rsidRPr="00861214" w:rsidRDefault="00F8589C" w:rsidP="00C368FF">
            <w:pPr>
              <w:rPr>
                <w:sz w:val="20"/>
                <w:szCs w:val="20"/>
              </w:rPr>
            </w:pPr>
            <w:r>
              <w:rPr>
                <w:sz w:val="20"/>
              </w:rPr>
              <w:t>D. Appui aux Initiatives régionales</w:t>
            </w:r>
          </w:p>
        </w:tc>
        <w:tc>
          <w:tcPr>
            <w:tcW w:w="1381" w:type="dxa"/>
            <w:tcBorders>
              <w:top w:val="nil"/>
              <w:left w:val="nil"/>
              <w:bottom w:val="single" w:sz="4" w:space="0" w:color="auto"/>
              <w:right w:val="single" w:sz="4" w:space="0" w:color="auto"/>
            </w:tcBorders>
            <w:shd w:val="clear" w:color="000000" w:fill="EAF1DD"/>
            <w:noWrap/>
            <w:vAlign w:val="center"/>
            <w:hideMark/>
          </w:tcPr>
          <w:p w14:paraId="25DF4E1E" w14:textId="77777777" w:rsidR="00F8589C" w:rsidRPr="00861214" w:rsidRDefault="00F8589C" w:rsidP="00C368FF">
            <w:pPr>
              <w:jc w:val="right"/>
              <w:rPr>
                <w:b/>
                <w:bCs/>
                <w:sz w:val="20"/>
                <w:szCs w:val="20"/>
              </w:rPr>
            </w:pPr>
            <w:r>
              <w:rPr>
                <w:b/>
                <w:sz w:val="20"/>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02C49CAF" w14:textId="77777777" w:rsidR="00F8589C" w:rsidRPr="00861214" w:rsidRDefault="00F8589C" w:rsidP="00C368FF">
            <w:pPr>
              <w:jc w:val="right"/>
              <w:rPr>
                <w:b/>
                <w:bCs/>
                <w:sz w:val="20"/>
                <w:szCs w:val="20"/>
              </w:rPr>
            </w:pPr>
            <w:r>
              <w:rPr>
                <w:b/>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4BBB9980" w14:textId="77777777" w:rsidR="00F8589C" w:rsidRPr="00861214" w:rsidRDefault="00F8589C" w:rsidP="00C368FF">
            <w:pPr>
              <w:jc w:val="right"/>
              <w:rPr>
                <w:b/>
                <w:bCs/>
                <w:color w:val="000000"/>
                <w:sz w:val="20"/>
                <w:szCs w:val="20"/>
              </w:rPr>
            </w:pPr>
            <w:r>
              <w:rPr>
                <w:b/>
                <w:color w:val="000000"/>
                <w:sz w:val="20"/>
              </w:rPr>
              <w:t>120</w:t>
            </w:r>
          </w:p>
        </w:tc>
        <w:tc>
          <w:tcPr>
            <w:tcW w:w="1381" w:type="dxa"/>
            <w:tcBorders>
              <w:top w:val="nil"/>
              <w:left w:val="nil"/>
              <w:bottom w:val="single" w:sz="4" w:space="0" w:color="auto"/>
              <w:right w:val="single" w:sz="4" w:space="0" w:color="auto"/>
            </w:tcBorders>
            <w:shd w:val="clear" w:color="000000" w:fill="EAF1DD"/>
            <w:noWrap/>
            <w:vAlign w:val="center"/>
            <w:hideMark/>
          </w:tcPr>
          <w:p w14:paraId="76FC989E" w14:textId="77777777" w:rsidR="00F8589C" w:rsidRPr="00861214" w:rsidRDefault="00F8589C" w:rsidP="00C368FF">
            <w:pPr>
              <w:jc w:val="right"/>
              <w:rPr>
                <w:b/>
                <w:bCs/>
                <w:color w:val="000000"/>
                <w:sz w:val="20"/>
                <w:szCs w:val="20"/>
              </w:rPr>
            </w:pPr>
            <w:r>
              <w:rPr>
                <w:b/>
                <w:color w:val="000000"/>
                <w:sz w:val="20"/>
              </w:rPr>
              <w:t>220</w:t>
            </w:r>
          </w:p>
        </w:tc>
      </w:tr>
      <w:tr w:rsidR="00F8589C" w:rsidRPr="00861214" w14:paraId="1F037294"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56C45B3" w14:textId="088FB12F" w:rsidR="00F8589C" w:rsidRPr="00B509BF" w:rsidRDefault="00F8589C" w:rsidP="00C368FF">
            <w:pPr>
              <w:rPr>
                <w:sz w:val="20"/>
                <w:szCs w:val="20"/>
                <w:highlight w:val="yellow"/>
              </w:rPr>
            </w:pPr>
            <w:r>
              <w:rPr>
                <w:sz w:val="20"/>
                <w:highlight w:val="yellow"/>
              </w:rPr>
              <w:t>Réseaux et centres régionaux - budget disponible non alloué en 2024</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5BAC583" w14:textId="0B8D02C9" w:rsidR="00F8589C" w:rsidRPr="00B509BF" w:rsidRDefault="00F8589C" w:rsidP="00C368FF">
            <w:pPr>
              <w:jc w:val="right"/>
              <w:rPr>
                <w:sz w:val="20"/>
                <w:szCs w:val="20"/>
                <w:highlight w:val="yellow"/>
              </w:rPr>
            </w:pPr>
            <w:r>
              <w:rPr>
                <w:sz w:val="20"/>
                <w:highlight w:val="yellow"/>
              </w:rPr>
              <w:t>71</w:t>
            </w:r>
          </w:p>
        </w:tc>
        <w:tc>
          <w:tcPr>
            <w:tcW w:w="1381" w:type="dxa"/>
            <w:tcBorders>
              <w:top w:val="nil"/>
              <w:left w:val="nil"/>
              <w:bottom w:val="single" w:sz="4" w:space="0" w:color="auto"/>
              <w:right w:val="single" w:sz="4" w:space="0" w:color="auto"/>
            </w:tcBorders>
            <w:shd w:val="clear" w:color="auto" w:fill="auto"/>
            <w:noWrap/>
            <w:vAlign w:val="center"/>
            <w:hideMark/>
          </w:tcPr>
          <w:p w14:paraId="3937F221" w14:textId="77777777" w:rsidR="00F8589C" w:rsidRPr="00B509BF" w:rsidRDefault="00F8589C" w:rsidP="00C368FF">
            <w:pPr>
              <w:jc w:val="right"/>
              <w:rPr>
                <w:sz w:val="20"/>
                <w:szCs w:val="20"/>
                <w:highlight w:val="yellow"/>
              </w:rPr>
            </w:pPr>
            <w:r>
              <w:rPr>
                <w:sz w:val="20"/>
                <w:highlight w:val="yellow"/>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250B707" w14:textId="77777777" w:rsidR="00F8589C" w:rsidRPr="00B509BF" w:rsidRDefault="00F8589C" w:rsidP="00C368FF">
            <w:pPr>
              <w:jc w:val="right"/>
              <w:rPr>
                <w:color w:val="000000"/>
                <w:sz w:val="20"/>
                <w:szCs w:val="20"/>
                <w:highlight w:val="yellow"/>
              </w:rPr>
            </w:pPr>
            <w:r>
              <w:rPr>
                <w:color w:val="000000"/>
                <w:sz w:val="20"/>
                <w:highlight w:val="yellow"/>
              </w:rPr>
              <w:t>84</w:t>
            </w:r>
          </w:p>
        </w:tc>
        <w:tc>
          <w:tcPr>
            <w:tcW w:w="1381" w:type="dxa"/>
            <w:tcBorders>
              <w:top w:val="nil"/>
              <w:left w:val="nil"/>
              <w:bottom w:val="single" w:sz="4" w:space="0" w:color="auto"/>
              <w:right w:val="single" w:sz="4" w:space="0" w:color="auto"/>
            </w:tcBorders>
            <w:shd w:val="clear" w:color="auto" w:fill="auto"/>
            <w:noWrap/>
            <w:vAlign w:val="center"/>
            <w:hideMark/>
          </w:tcPr>
          <w:p w14:paraId="5D8A559E" w14:textId="3BB0A107" w:rsidR="00F8589C" w:rsidRPr="00B509BF" w:rsidRDefault="00F8589C" w:rsidP="00C368FF">
            <w:pPr>
              <w:jc w:val="right"/>
              <w:rPr>
                <w:color w:val="000000"/>
                <w:sz w:val="20"/>
                <w:szCs w:val="20"/>
                <w:highlight w:val="yellow"/>
              </w:rPr>
            </w:pPr>
            <w:r>
              <w:rPr>
                <w:color w:val="000000"/>
                <w:sz w:val="20"/>
                <w:highlight w:val="yellow"/>
              </w:rPr>
              <w:t>155</w:t>
            </w:r>
          </w:p>
        </w:tc>
      </w:tr>
      <w:tr w:rsidR="00F8589C" w:rsidRPr="00861214" w14:paraId="24EB53C0"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tcPr>
          <w:p w14:paraId="1C400419" w14:textId="47367D10" w:rsidR="00F8589C" w:rsidRPr="00B509BF" w:rsidRDefault="00F8589C" w:rsidP="00C368FF">
            <w:pPr>
              <w:rPr>
                <w:sz w:val="20"/>
                <w:szCs w:val="20"/>
                <w:highlight w:val="yellow"/>
              </w:rPr>
            </w:pPr>
            <w:r>
              <w:rPr>
                <w:sz w:val="20"/>
                <w:highlight w:val="yellow"/>
              </w:rPr>
              <w:t>Initiative régionale Ramsar Danube WILDisland 2024</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EE9EC1A" w14:textId="17E499D2" w:rsidR="00F8589C" w:rsidRPr="00B509BF" w:rsidRDefault="00F8589C" w:rsidP="00C368FF">
            <w:pPr>
              <w:jc w:val="right"/>
              <w:rPr>
                <w:sz w:val="20"/>
                <w:szCs w:val="20"/>
                <w:highlight w:val="yellow"/>
              </w:rPr>
            </w:pPr>
            <w:r>
              <w:rPr>
                <w:sz w:val="20"/>
                <w:highlight w:val="yellow"/>
              </w:rPr>
              <w:t>29</w:t>
            </w:r>
          </w:p>
        </w:tc>
        <w:tc>
          <w:tcPr>
            <w:tcW w:w="1381" w:type="dxa"/>
            <w:tcBorders>
              <w:top w:val="nil"/>
              <w:left w:val="nil"/>
              <w:bottom w:val="single" w:sz="4" w:space="0" w:color="auto"/>
              <w:right w:val="single" w:sz="4" w:space="0" w:color="auto"/>
            </w:tcBorders>
            <w:shd w:val="clear" w:color="auto" w:fill="auto"/>
            <w:noWrap/>
            <w:vAlign w:val="center"/>
          </w:tcPr>
          <w:p w14:paraId="4F13840D" w14:textId="37EDC689" w:rsidR="00F8589C" w:rsidRPr="00B509BF" w:rsidRDefault="00F8589C" w:rsidP="00C368FF">
            <w:pPr>
              <w:jc w:val="right"/>
              <w:rPr>
                <w:sz w:val="20"/>
                <w:szCs w:val="20"/>
                <w:highlight w:val="yellow"/>
              </w:rPr>
            </w:pPr>
            <w:r>
              <w:rPr>
                <w:sz w:val="20"/>
                <w:highlight w:val="yellow"/>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ABDC210" w14:textId="37E646EB" w:rsidR="00F8589C" w:rsidRPr="00B509BF" w:rsidRDefault="00F8589C" w:rsidP="00C368FF">
            <w:pPr>
              <w:jc w:val="right"/>
              <w:rPr>
                <w:color w:val="000000"/>
                <w:sz w:val="20"/>
                <w:szCs w:val="20"/>
                <w:highlight w:val="yellow"/>
              </w:rPr>
            </w:pPr>
            <w:r>
              <w:rPr>
                <w:color w:val="000000"/>
                <w:sz w:val="20"/>
                <w:highlight w:val="yellow"/>
              </w:rPr>
              <w:t>0</w:t>
            </w:r>
          </w:p>
        </w:tc>
        <w:tc>
          <w:tcPr>
            <w:tcW w:w="1381" w:type="dxa"/>
            <w:tcBorders>
              <w:top w:val="nil"/>
              <w:left w:val="nil"/>
              <w:bottom w:val="single" w:sz="4" w:space="0" w:color="auto"/>
              <w:right w:val="single" w:sz="4" w:space="0" w:color="auto"/>
            </w:tcBorders>
            <w:shd w:val="clear" w:color="auto" w:fill="auto"/>
            <w:noWrap/>
            <w:vAlign w:val="center"/>
          </w:tcPr>
          <w:p w14:paraId="1CCAA366" w14:textId="3BEB3F0B" w:rsidR="00F8589C" w:rsidRPr="00B509BF" w:rsidRDefault="00F8589C" w:rsidP="00C368FF">
            <w:pPr>
              <w:jc w:val="right"/>
              <w:rPr>
                <w:color w:val="000000"/>
                <w:sz w:val="20"/>
                <w:szCs w:val="20"/>
                <w:highlight w:val="yellow"/>
              </w:rPr>
            </w:pPr>
            <w:r>
              <w:rPr>
                <w:color w:val="000000"/>
                <w:sz w:val="20"/>
                <w:highlight w:val="yellow"/>
              </w:rPr>
              <w:t>29</w:t>
            </w:r>
          </w:p>
        </w:tc>
      </w:tr>
      <w:tr w:rsidR="00F8589C" w:rsidRPr="00861214" w14:paraId="14BA5B85"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tcPr>
          <w:p w14:paraId="624F6BFC" w14:textId="69562ACA" w:rsidR="00F8589C" w:rsidRPr="00861214" w:rsidRDefault="00F8589C" w:rsidP="00C368FF">
            <w:pPr>
              <w:rPr>
                <w:sz w:val="20"/>
                <w:szCs w:val="20"/>
              </w:rPr>
            </w:pPr>
            <w:r>
              <w:rPr>
                <w:sz w:val="20"/>
              </w:rPr>
              <w:t>Report 2023 de l</w:t>
            </w:r>
            <w:r w:rsidR="00872521">
              <w:rPr>
                <w:sz w:val="20"/>
              </w:rPr>
              <w:t>’</w:t>
            </w:r>
            <w:r>
              <w:rPr>
                <w:sz w:val="20"/>
              </w:rPr>
              <w:t>IRR pour l</w:t>
            </w:r>
            <w:r w:rsidR="00872521">
              <w:rPr>
                <w:sz w:val="20"/>
              </w:rPr>
              <w:t>’</w:t>
            </w:r>
            <w:r>
              <w:rPr>
                <w:sz w:val="20"/>
              </w:rPr>
              <w:t>Afrique australe</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1BEE82AF"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281828C6"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41E10C6C" w14:textId="77777777" w:rsidR="00F8589C" w:rsidRPr="00861214" w:rsidRDefault="00F8589C" w:rsidP="00C368FF">
            <w:pPr>
              <w:jc w:val="right"/>
              <w:rPr>
                <w:color w:val="000000"/>
                <w:sz w:val="20"/>
                <w:szCs w:val="20"/>
              </w:rPr>
            </w:pPr>
            <w:r>
              <w:rPr>
                <w:color w:val="000000"/>
                <w:sz w:val="20"/>
              </w:rPr>
              <w:t>12</w:t>
            </w:r>
          </w:p>
        </w:tc>
        <w:tc>
          <w:tcPr>
            <w:tcW w:w="1381" w:type="dxa"/>
            <w:tcBorders>
              <w:top w:val="nil"/>
              <w:left w:val="nil"/>
              <w:bottom w:val="single" w:sz="4" w:space="0" w:color="auto"/>
              <w:right w:val="single" w:sz="4" w:space="0" w:color="auto"/>
            </w:tcBorders>
            <w:shd w:val="clear" w:color="auto" w:fill="auto"/>
            <w:noWrap/>
            <w:vAlign w:val="center"/>
          </w:tcPr>
          <w:p w14:paraId="71A65290" w14:textId="77777777" w:rsidR="00F8589C" w:rsidRPr="00861214" w:rsidRDefault="00F8589C" w:rsidP="00C368FF">
            <w:pPr>
              <w:jc w:val="right"/>
              <w:rPr>
                <w:color w:val="000000"/>
                <w:sz w:val="20"/>
                <w:szCs w:val="20"/>
              </w:rPr>
            </w:pPr>
            <w:r>
              <w:rPr>
                <w:color w:val="000000"/>
                <w:sz w:val="20"/>
              </w:rPr>
              <w:t>12</w:t>
            </w:r>
          </w:p>
        </w:tc>
      </w:tr>
      <w:tr w:rsidR="00F8589C" w:rsidRPr="00861214" w14:paraId="768DBFF0"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C55C4DF" w14:textId="0D74BAA9" w:rsidR="00F8589C" w:rsidRPr="00861214" w:rsidRDefault="00F8589C" w:rsidP="00C368FF">
            <w:pPr>
              <w:rPr>
                <w:sz w:val="20"/>
                <w:szCs w:val="20"/>
              </w:rPr>
            </w:pPr>
            <w:r>
              <w:rPr>
                <w:sz w:val="20"/>
              </w:rPr>
              <w:t>Report Bassin de l</w:t>
            </w:r>
            <w:r w:rsidR="00872521">
              <w:rPr>
                <w:sz w:val="20"/>
              </w:rPr>
              <w:t>’</w:t>
            </w:r>
            <w:r>
              <w:rPr>
                <w:sz w:val="20"/>
              </w:rPr>
              <w:t>Amazone 2023</w:t>
            </w:r>
          </w:p>
        </w:tc>
        <w:tc>
          <w:tcPr>
            <w:tcW w:w="1381" w:type="dxa"/>
            <w:tcBorders>
              <w:top w:val="nil"/>
              <w:left w:val="nil"/>
              <w:bottom w:val="single" w:sz="4" w:space="0" w:color="auto"/>
              <w:right w:val="single" w:sz="4" w:space="0" w:color="auto"/>
            </w:tcBorders>
            <w:shd w:val="clear" w:color="auto" w:fill="auto"/>
            <w:noWrap/>
            <w:vAlign w:val="center"/>
            <w:hideMark/>
          </w:tcPr>
          <w:p w14:paraId="116E8AC3"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8CE15F5"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52D3DE7" w14:textId="77777777" w:rsidR="00F8589C" w:rsidRPr="00861214" w:rsidRDefault="00F8589C" w:rsidP="00C368FF">
            <w:pPr>
              <w:jc w:val="right"/>
              <w:rPr>
                <w:sz w:val="20"/>
                <w:szCs w:val="20"/>
              </w:rPr>
            </w:pPr>
            <w:r>
              <w:rPr>
                <w:sz w:val="20"/>
              </w:rPr>
              <w:t>24</w:t>
            </w:r>
          </w:p>
        </w:tc>
        <w:tc>
          <w:tcPr>
            <w:tcW w:w="1381" w:type="dxa"/>
            <w:tcBorders>
              <w:top w:val="nil"/>
              <w:left w:val="nil"/>
              <w:bottom w:val="single" w:sz="4" w:space="0" w:color="auto"/>
              <w:right w:val="single" w:sz="4" w:space="0" w:color="auto"/>
            </w:tcBorders>
            <w:shd w:val="clear" w:color="auto" w:fill="auto"/>
            <w:noWrap/>
            <w:vAlign w:val="center"/>
            <w:hideMark/>
          </w:tcPr>
          <w:p w14:paraId="63ACC851" w14:textId="77777777" w:rsidR="00F8589C" w:rsidRPr="00861214" w:rsidRDefault="00F8589C" w:rsidP="00C368FF">
            <w:pPr>
              <w:jc w:val="right"/>
              <w:rPr>
                <w:color w:val="000000"/>
                <w:sz w:val="20"/>
                <w:szCs w:val="20"/>
              </w:rPr>
            </w:pPr>
            <w:r>
              <w:rPr>
                <w:color w:val="000000"/>
                <w:sz w:val="20"/>
              </w:rPr>
              <w:t>24</w:t>
            </w:r>
          </w:p>
        </w:tc>
      </w:tr>
      <w:tr w:rsidR="00F8589C" w:rsidRPr="00861214" w14:paraId="74ED2564"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37094556" w14:textId="77777777" w:rsidR="00F8589C" w:rsidRPr="00861214" w:rsidRDefault="00F8589C" w:rsidP="00C368FF">
            <w:pPr>
              <w:rPr>
                <w:sz w:val="20"/>
                <w:szCs w:val="20"/>
              </w:rPr>
            </w:pPr>
            <w:r>
              <w:rPr>
                <w:sz w:val="20"/>
              </w:rPr>
              <w:t>E. Services scientifiques et techniques</w:t>
            </w:r>
          </w:p>
        </w:tc>
        <w:tc>
          <w:tcPr>
            <w:tcW w:w="1381" w:type="dxa"/>
            <w:tcBorders>
              <w:top w:val="nil"/>
              <w:left w:val="nil"/>
              <w:bottom w:val="single" w:sz="4" w:space="0" w:color="auto"/>
              <w:right w:val="single" w:sz="4" w:space="0" w:color="auto"/>
            </w:tcBorders>
            <w:shd w:val="clear" w:color="000000" w:fill="EAF1DD"/>
            <w:noWrap/>
            <w:vAlign w:val="center"/>
            <w:hideMark/>
          </w:tcPr>
          <w:p w14:paraId="79B5C47D" w14:textId="77777777" w:rsidR="00F8589C" w:rsidRPr="00861214" w:rsidRDefault="00F8589C" w:rsidP="00C368FF">
            <w:pPr>
              <w:jc w:val="right"/>
              <w:rPr>
                <w:b/>
                <w:bCs/>
                <w:sz w:val="20"/>
                <w:szCs w:val="20"/>
              </w:rPr>
            </w:pPr>
            <w:r>
              <w:rPr>
                <w:b/>
                <w:sz w:val="20"/>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4D3FDDDB" w14:textId="77777777" w:rsidR="00F8589C" w:rsidRPr="00861214" w:rsidRDefault="00F8589C" w:rsidP="00C368FF">
            <w:pPr>
              <w:jc w:val="right"/>
              <w:rPr>
                <w:b/>
                <w:bCs/>
                <w:sz w:val="20"/>
                <w:szCs w:val="20"/>
              </w:rPr>
            </w:pPr>
            <w:r>
              <w:rPr>
                <w:b/>
                <w:sz w:val="20"/>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62EEA82" w14:textId="77777777" w:rsidR="00F8589C" w:rsidRPr="00861214" w:rsidRDefault="00F8589C" w:rsidP="00C368FF">
            <w:pPr>
              <w:jc w:val="right"/>
              <w:rPr>
                <w:b/>
                <w:bCs/>
                <w:color w:val="000000"/>
                <w:sz w:val="20"/>
                <w:szCs w:val="20"/>
              </w:rPr>
            </w:pPr>
            <w:r>
              <w:rPr>
                <w:b/>
                <w:color w:val="000000"/>
                <w:sz w:val="20"/>
              </w:rPr>
              <w:t>373</w:t>
            </w:r>
          </w:p>
        </w:tc>
        <w:tc>
          <w:tcPr>
            <w:tcW w:w="1381" w:type="dxa"/>
            <w:tcBorders>
              <w:top w:val="nil"/>
              <w:left w:val="nil"/>
              <w:bottom w:val="single" w:sz="4" w:space="0" w:color="auto"/>
              <w:right w:val="single" w:sz="4" w:space="0" w:color="auto"/>
            </w:tcBorders>
            <w:shd w:val="clear" w:color="000000" w:fill="EAF1DD"/>
            <w:noWrap/>
            <w:vAlign w:val="center"/>
            <w:hideMark/>
          </w:tcPr>
          <w:p w14:paraId="70E74FCB" w14:textId="77777777" w:rsidR="00F8589C" w:rsidRPr="00861214" w:rsidRDefault="00F8589C" w:rsidP="00C368FF">
            <w:pPr>
              <w:jc w:val="right"/>
              <w:rPr>
                <w:b/>
                <w:bCs/>
                <w:color w:val="000000"/>
                <w:sz w:val="20"/>
                <w:szCs w:val="20"/>
              </w:rPr>
            </w:pPr>
            <w:r>
              <w:rPr>
                <w:b/>
                <w:color w:val="000000"/>
                <w:sz w:val="20"/>
              </w:rPr>
              <w:t>1 195</w:t>
            </w:r>
          </w:p>
        </w:tc>
      </w:tr>
      <w:tr w:rsidR="00F8589C" w:rsidRPr="00861214" w14:paraId="205F2589"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48C056E7" w14:textId="20369C0F" w:rsidR="00F8589C" w:rsidRPr="00861214" w:rsidRDefault="00F8589C" w:rsidP="00C368FF">
            <w:pPr>
              <w:rPr>
                <w:sz w:val="20"/>
                <w:szCs w:val="20"/>
              </w:rPr>
            </w:pPr>
            <w:r>
              <w:rPr>
                <w:sz w:val="20"/>
              </w:rPr>
              <w:t>Salaires, charges sociales et autres prestations liées à l</w:t>
            </w:r>
            <w:r w:rsidR="00872521">
              <w:rPr>
                <w:sz w:val="20"/>
              </w:rPr>
              <w:t>’</w:t>
            </w:r>
            <w:r>
              <w:rPr>
                <w:sz w:val="20"/>
              </w:rPr>
              <w:t>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5D2B336" w14:textId="77777777" w:rsidR="00F8589C" w:rsidRPr="00861214" w:rsidRDefault="00F8589C" w:rsidP="00C368FF">
            <w:pPr>
              <w:jc w:val="right"/>
              <w:rPr>
                <w:sz w:val="20"/>
                <w:szCs w:val="20"/>
              </w:rPr>
            </w:pPr>
            <w:r>
              <w:rPr>
                <w:sz w:val="20"/>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4F31E98B"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8D96BE9" w14:textId="77777777" w:rsidR="00F8589C" w:rsidRPr="00861214" w:rsidRDefault="00F8589C" w:rsidP="00C368FF">
            <w:pPr>
              <w:jc w:val="right"/>
              <w:rPr>
                <w:color w:val="000000"/>
                <w:sz w:val="20"/>
                <w:szCs w:val="20"/>
              </w:rPr>
            </w:pPr>
            <w:r>
              <w:rPr>
                <w:color w:val="000000"/>
                <w:sz w:val="20"/>
              </w:rPr>
              <w:t>37</w:t>
            </w:r>
          </w:p>
        </w:tc>
        <w:tc>
          <w:tcPr>
            <w:tcW w:w="1381" w:type="dxa"/>
            <w:tcBorders>
              <w:top w:val="nil"/>
              <w:left w:val="nil"/>
              <w:bottom w:val="single" w:sz="4" w:space="0" w:color="auto"/>
              <w:right w:val="single" w:sz="4" w:space="0" w:color="auto"/>
            </w:tcBorders>
            <w:shd w:val="clear" w:color="auto" w:fill="auto"/>
            <w:noWrap/>
            <w:vAlign w:val="center"/>
            <w:hideMark/>
          </w:tcPr>
          <w:p w14:paraId="580DB17E" w14:textId="77777777" w:rsidR="00F8589C" w:rsidRPr="00861214" w:rsidRDefault="00F8589C" w:rsidP="00C368FF">
            <w:pPr>
              <w:jc w:val="right"/>
              <w:rPr>
                <w:color w:val="000000"/>
                <w:sz w:val="20"/>
                <w:szCs w:val="20"/>
              </w:rPr>
            </w:pPr>
            <w:r>
              <w:rPr>
                <w:color w:val="000000"/>
                <w:sz w:val="20"/>
              </w:rPr>
              <w:t>686</w:t>
            </w:r>
          </w:p>
        </w:tc>
      </w:tr>
      <w:tr w:rsidR="00F8589C" w:rsidRPr="00861214" w14:paraId="3A417B67"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CEC9" w14:textId="77777777" w:rsidR="00F8589C" w:rsidRPr="00861214" w:rsidRDefault="00F8589C" w:rsidP="00C368FF">
            <w:pPr>
              <w:rPr>
                <w:sz w:val="20"/>
                <w:szCs w:val="20"/>
              </w:rPr>
            </w:pPr>
            <w:r>
              <w:rPr>
                <w:sz w:val="20"/>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2E1CE2F1" w14:textId="77777777" w:rsidR="00F8589C" w:rsidRPr="00861214" w:rsidRDefault="00F8589C" w:rsidP="00C368FF">
            <w:pPr>
              <w:jc w:val="right"/>
              <w:rPr>
                <w:sz w:val="20"/>
                <w:szCs w:val="20"/>
              </w:rPr>
            </w:pPr>
            <w:r>
              <w:rPr>
                <w:sz w:val="20"/>
              </w:rPr>
              <w:t>18</w:t>
            </w:r>
          </w:p>
        </w:tc>
        <w:tc>
          <w:tcPr>
            <w:tcW w:w="1381" w:type="dxa"/>
            <w:tcBorders>
              <w:top w:val="nil"/>
              <w:left w:val="nil"/>
              <w:bottom w:val="single" w:sz="4" w:space="0" w:color="auto"/>
              <w:right w:val="single" w:sz="4" w:space="0" w:color="auto"/>
            </w:tcBorders>
            <w:shd w:val="clear" w:color="auto" w:fill="auto"/>
            <w:noWrap/>
            <w:vAlign w:val="center"/>
            <w:hideMark/>
          </w:tcPr>
          <w:p w14:paraId="253AFD03"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3091E2D" w14:textId="77777777" w:rsidR="00F8589C" w:rsidRPr="00861214" w:rsidRDefault="00F8589C" w:rsidP="00C368FF">
            <w:pPr>
              <w:jc w:val="right"/>
              <w:rPr>
                <w:color w:val="000000"/>
                <w:sz w:val="20"/>
                <w:szCs w:val="20"/>
              </w:rPr>
            </w:pPr>
            <w:r>
              <w:rPr>
                <w:color w:val="000000"/>
                <w:sz w:val="20"/>
              </w:rPr>
              <w:t>21</w:t>
            </w:r>
          </w:p>
        </w:tc>
        <w:tc>
          <w:tcPr>
            <w:tcW w:w="1381" w:type="dxa"/>
            <w:tcBorders>
              <w:top w:val="nil"/>
              <w:left w:val="nil"/>
              <w:bottom w:val="single" w:sz="4" w:space="0" w:color="auto"/>
              <w:right w:val="single" w:sz="4" w:space="0" w:color="auto"/>
            </w:tcBorders>
            <w:shd w:val="clear" w:color="auto" w:fill="auto"/>
            <w:noWrap/>
            <w:vAlign w:val="center"/>
            <w:hideMark/>
          </w:tcPr>
          <w:p w14:paraId="6FD78620" w14:textId="77777777" w:rsidR="00F8589C" w:rsidRPr="00861214" w:rsidRDefault="00F8589C" w:rsidP="00C368FF">
            <w:pPr>
              <w:jc w:val="right"/>
              <w:rPr>
                <w:color w:val="000000"/>
                <w:sz w:val="20"/>
                <w:szCs w:val="20"/>
              </w:rPr>
            </w:pPr>
            <w:r>
              <w:rPr>
                <w:color w:val="000000"/>
                <w:sz w:val="20"/>
              </w:rPr>
              <w:t>39</w:t>
            </w:r>
          </w:p>
        </w:tc>
      </w:tr>
      <w:tr w:rsidR="00F8589C" w:rsidRPr="00861214" w14:paraId="57EAFB7D"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D27E8F8" w14:textId="77777777" w:rsidR="00F8589C" w:rsidRPr="00861214" w:rsidRDefault="00F8589C" w:rsidP="00C368FF">
            <w:pPr>
              <w:rPr>
                <w:sz w:val="20"/>
                <w:szCs w:val="20"/>
              </w:rPr>
            </w:pPr>
            <w:r>
              <w:rPr>
                <w:sz w:val="20"/>
              </w:rPr>
              <w:t>Déplacement du Président du GEST</w:t>
            </w:r>
          </w:p>
        </w:tc>
        <w:tc>
          <w:tcPr>
            <w:tcW w:w="1381" w:type="dxa"/>
            <w:tcBorders>
              <w:top w:val="nil"/>
              <w:left w:val="nil"/>
              <w:bottom w:val="single" w:sz="4" w:space="0" w:color="auto"/>
              <w:right w:val="single" w:sz="4" w:space="0" w:color="auto"/>
            </w:tcBorders>
            <w:shd w:val="clear" w:color="auto" w:fill="auto"/>
            <w:noWrap/>
            <w:vAlign w:val="center"/>
            <w:hideMark/>
          </w:tcPr>
          <w:p w14:paraId="7F216807" w14:textId="77777777" w:rsidR="00F8589C" w:rsidRPr="00861214" w:rsidRDefault="00F8589C" w:rsidP="00C368FF">
            <w:pPr>
              <w:jc w:val="right"/>
              <w:rPr>
                <w:sz w:val="20"/>
                <w:szCs w:val="20"/>
              </w:rPr>
            </w:pPr>
            <w:r>
              <w:rPr>
                <w:sz w:val="20"/>
              </w:rPr>
              <w:t>5</w:t>
            </w:r>
          </w:p>
        </w:tc>
        <w:tc>
          <w:tcPr>
            <w:tcW w:w="1381" w:type="dxa"/>
            <w:tcBorders>
              <w:top w:val="nil"/>
              <w:left w:val="nil"/>
              <w:bottom w:val="single" w:sz="4" w:space="0" w:color="auto"/>
              <w:right w:val="single" w:sz="4" w:space="0" w:color="auto"/>
            </w:tcBorders>
            <w:shd w:val="clear" w:color="auto" w:fill="auto"/>
            <w:noWrap/>
            <w:vAlign w:val="center"/>
            <w:hideMark/>
          </w:tcPr>
          <w:p w14:paraId="3FA0D126"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7847B58" w14:textId="77777777" w:rsidR="00F8589C" w:rsidRPr="00861214" w:rsidRDefault="00F8589C" w:rsidP="00C368FF">
            <w:pPr>
              <w:jc w:val="right"/>
              <w:rPr>
                <w:color w:val="000000"/>
                <w:sz w:val="20"/>
                <w:szCs w:val="20"/>
              </w:rPr>
            </w:pPr>
            <w:r>
              <w:rPr>
                <w:color w:val="000000"/>
                <w:sz w:val="20"/>
              </w:rPr>
              <w:t>3</w:t>
            </w:r>
          </w:p>
        </w:tc>
        <w:tc>
          <w:tcPr>
            <w:tcW w:w="1381" w:type="dxa"/>
            <w:tcBorders>
              <w:top w:val="nil"/>
              <w:left w:val="nil"/>
              <w:bottom w:val="single" w:sz="4" w:space="0" w:color="auto"/>
              <w:right w:val="single" w:sz="4" w:space="0" w:color="auto"/>
            </w:tcBorders>
            <w:shd w:val="clear" w:color="auto" w:fill="auto"/>
            <w:noWrap/>
            <w:vAlign w:val="center"/>
            <w:hideMark/>
          </w:tcPr>
          <w:p w14:paraId="507C9EF5" w14:textId="77777777" w:rsidR="00F8589C" w:rsidRPr="00861214" w:rsidRDefault="00F8589C" w:rsidP="00C368FF">
            <w:pPr>
              <w:jc w:val="right"/>
              <w:rPr>
                <w:color w:val="000000"/>
                <w:sz w:val="20"/>
                <w:szCs w:val="20"/>
              </w:rPr>
            </w:pPr>
            <w:r>
              <w:rPr>
                <w:color w:val="000000"/>
                <w:sz w:val="20"/>
              </w:rPr>
              <w:t>8</w:t>
            </w:r>
          </w:p>
        </w:tc>
      </w:tr>
      <w:tr w:rsidR="00F8589C" w:rsidRPr="00861214" w14:paraId="4928C6E1"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CBEC61F" w14:textId="77777777" w:rsidR="00F8589C" w:rsidRPr="00861214" w:rsidRDefault="00F8589C" w:rsidP="00C368FF">
            <w:pPr>
              <w:rPr>
                <w:sz w:val="20"/>
                <w:szCs w:val="20"/>
              </w:rPr>
            </w:pPr>
            <w:r>
              <w:rPr>
                <w:sz w:val="20"/>
              </w:rPr>
              <w:t>Mise en œuvre du programme du GEST</w:t>
            </w:r>
          </w:p>
        </w:tc>
        <w:tc>
          <w:tcPr>
            <w:tcW w:w="1381" w:type="dxa"/>
            <w:tcBorders>
              <w:top w:val="nil"/>
              <w:left w:val="nil"/>
              <w:bottom w:val="single" w:sz="4" w:space="0" w:color="auto"/>
              <w:right w:val="single" w:sz="4" w:space="0" w:color="auto"/>
            </w:tcBorders>
            <w:shd w:val="clear" w:color="auto" w:fill="auto"/>
            <w:noWrap/>
            <w:vAlign w:val="center"/>
            <w:hideMark/>
          </w:tcPr>
          <w:p w14:paraId="6DC379B0" w14:textId="77777777" w:rsidR="00F8589C" w:rsidRPr="00861214" w:rsidRDefault="00F8589C" w:rsidP="00C368FF">
            <w:pPr>
              <w:jc w:val="right"/>
              <w:rPr>
                <w:sz w:val="20"/>
                <w:szCs w:val="20"/>
              </w:rPr>
            </w:pPr>
            <w:r>
              <w:rPr>
                <w:sz w:val="20"/>
              </w:rPr>
              <w:t>35</w:t>
            </w:r>
          </w:p>
        </w:tc>
        <w:tc>
          <w:tcPr>
            <w:tcW w:w="1381" w:type="dxa"/>
            <w:tcBorders>
              <w:top w:val="nil"/>
              <w:left w:val="nil"/>
              <w:bottom w:val="single" w:sz="4" w:space="0" w:color="auto"/>
              <w:right w:val="single" w:sz="4" w:space="0" w:color="auto"/>
            </w:tcBorders>
            <w:shd w:val="clear" w:color="auto" w:fill="auto"/>
            <w:noWrap/>
            <w:vAlign w:val="center"/>
            <w:hideMark/>
          </w:tcPr>
          <w:p w14:paraId="7F203A76" w14:textId="77777777" w:rsidR="00F8589C" w:rsidRPr="00861214" w:rsidRDefault="00F8589C" w:rsidP="00C368FF">
            <w:pPr>
              <w:jc w:val="right"/>
              <w:rPr>
                <w:sz w:val="20"/>
                <w:szCs w:val="20"/>
              </w:rPr>
            </w:pPr>
            <w:r>
              <w:rPr>
                <w:sz w:val="20"/>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6FC5DE" w14:textId="77777777" w:rsidR="00F8589C" w:rsidRPr="00861214" w:rsidRDefault="00F8589C" w:rsidP="00C368FF">
            <w:pPr>
              <w:jc w:val="right"/>
              <w:rPr>
                <w:color w:val="000000"/>
                <w:sz w:val="20"/>
                <w:szCs w:val="20"/>
              </w:rPr>
            </w:pPr>
            <w:r>
              <w:rPr>
                <w:color w:val="000000"/>
                <w:sz w:val="20"/>
              </w:rPr>
              <w:t>61</w:t>
            </w:r>
          </w:p>
        </w:tc>
        <w:tc>
          <w:tcPr>
            <w:tcW w:w="1381" w:type="dxa"/>
            <w:tcBorders>
              <w:top w:val="nil"/>
              <w:left w:val="nil"/>
              <w:bottom w:val="single" w:sz="4" w:space="0" w:color="auto"/>
              <w:right w:val="single" w:sz="4" w:space="0" w:color="auto"/>
            </w:tcBorders>
            <w:shd w:val="clear" w:color="auto" w:fill="auto"/>
            <w:noWrap/>
            <w:vAlign w:val="center"/>
            <w:hideMark/>
          </w:tcPr>
          <w:p w14:paraId="65069902" w14:textId="77777777" w:rsidR="00F8589C" w:rsidRPr="00861214" w:rsidRDefault="00F8589C" w:rsidP="00C368FF">
            <w:pPr>
              <w:jc w:val="right"/>
              <w:rPr>
                <w:color w:val="000000"/>
                <w:sz w:val="20"/>
                <w:szCs w:val="20"/>
              </w:rPr>
            </w:pPr>
            <w:r>
              <w:rPr>
                <w:color w:val="000000"/>
                <w:sz w:val="20"/>
              </w:rPr>
              <w:t>101</w:t>
            </w:r>
          </w:p>
        </w:tc>
      </w:tr>
      <w:tr w:rsidR="00F8589C" w:rsidRPr="00861214" w14:paraId="00CB408D"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C6287D2" w14:textId="77777777" w:rsidR="00F8589C" w:rsidRPr="00861214" w:rsidRDefault="00F8589C" w:rsidP="00C368FF">
            <w:pPr>
              <w:rPr>
                <w:sz w:val="20"/>
                <w:szCs w:val="20"/>
              </w:rPr>
            </w:pPr>
            <w:r>
              <w:rPr>
                <w:sz w:val="20"/>
              </w:rPr>
              <w:t>Réunions du GEST</w:t>
            </w:r>
          </w:p>
        </w:tc>
        <w:tc>
          <w:tcPr>
            <w:tcW w:w="1381" w:type="dxa"/>
            <w:tcBorders>
              <w:top w:val="nil"/>
              <w:left w:val="nil"/>
              <w:bottom w:val="single" w:sz="4" w:space="0" w:color="auto"/>
              <w:right w:val="single" w:sz="4" w:space="0" w:color="auto"/>
            </w:tcBorders>
            <w:shd w:val="clear" w:color="auto" w:fill="auto"/>
            <w:noWrap/>
            <w:vAlign w:val="center"/>
            <w:hideMark/>
          </w:tcPr>
          <w:p w14:paraId="2B015437" w14:textId="77777777" w:rsidR="00F8589C" w:rsidRPr="00861214" w:rsidRDefault="00F8589C" w:rsidP="00C368FF">
            <w:pPr>
              <w:jc w:val="right"/>
              <w:rPr>
                <w:sz w:val="20"/>
                <w:szCs w:val="20"/>
              </w:rPr>
            </w:pPr>
            <w:r>
              <w:rPr>
                <w:sz w:val="20"/>
              </w:rPr>
              <w:t>50</w:t>
            </w:r>
          </w:p>
        </w:tc>
        <w:tc>
          <w:tcPr>
            <w:tcW w:w="1381" w:type="dxa"/>
            <w:tcBorders>
              <w:top w:val="nil"/>
              <w:left w:val="nil"/>
              <w:bottom w:val="single" w:sz="4" w:space="0" w:color="auto"/>
              <w:right w:val="single" w:sz="4" w:space="0" w:color="auto"/>
            </w:tcBorders>
            <w:shd w:val="clear" w:color="auto" w:fill="auto"/>
            <w:noWrap/>
            <w:vAlign w:val="center"/>
            <w:hideMark/>
          </w:tcPr>
          <w:p w14:paraId="6D087C0C"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98BCFCB" w14:textId="77777777" w:rsidR="00F8589C" w:rsidRPr="00861214" w:rsidRDefault="00F8589C" w:rsidP="00C368FF">
            <w:pPr>
              <w:jc w:val="right"/>
              <w:rPr>
                <w:color w:val="000000"/>
                <w:sz w:val="20"/>
                <w:szCs w:val="20"/>
              </w:rPr>
            </w:pPr>
            <w:r>
              <w:rPr>
                <w:color w:val="000000"/>
                <w:sz w:val="20"/>
              </w:rPr>
              <w:t>6</w:t>
            </w:r>
          </w:p>
        </w:tc>
        <w:tc>
          <w:tcPr>
            <w:tcW w:w="1381" w:type="dxa"/>
            <w:tcBorders>
              <w:top w:val="nil"/>
              <w:left w:val="nil"/>
              <w:bottom w:val="single" w:sz="4" w:space="0" w:color="auto"/>
              <w:right w:val="single" w:sz="4" w:space="0" w:color="auto"/>
            </w:tcBorders>
            <w:shd w:val="clear" w:color="auto" w:fill="auto"/>
            <w:noWrap/>
            <w:vAlign w:val="center"/>
            <w:hideMark/>
          </w:tcPr>
          <w:p w14:paraId="03AF8D45" w14:textId="77777777" w:rsidR="00F8589C" w:rsidRPr="00861214" w:rsidRDefault="00F8589C" w:rsidP="00C368FF">
            <w:pPr>
              <w:jc w:val="right"/>
              <w:rPr>
                <w:color w:val="000000"/>
                <w:sz w:val="20"/>
                <w:szCs w:val="20"/>
              </w:rPr>
            </w:pPr>
            <w:r>
              <w:rPr>
                <w:color w:val="000000"/>
                <w:sz w:val="20"/>
              </w:rPr>
              <w:t>56</w:t>
            </w:r>
          </w:p>
        </w:tc>
      </w:tr>
      <w:tr w:rsidR="00F8589C" w:rsidRPr="00861214" w14:paraId="09A56CD3"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0780258" w14:textId="77777777" w:rsidR="00F8589C" w:rsidRPr="00861214" w:rsidRDefault="00F8589C" w:rsidP="00C368FF">
            <w:pPr>
              <w:rPr>
                <w:sz w:val="20"/>
                <w:szCs w:val="20"/>
              </w:rPr>
            </w:pPr>
            <w:r>
              <w:rPr>
                <w:sz w:val="20"/>
              </w:rPr>
              <w:t>Plan stratégique SP5 (2022-2024)</w:t>
            </w:r>
          </w:p>
        </w:tc>
        <w:tc>
          <w:tcPr>
            <w:tcW w:w="1381" w:type="dxa"/>
            <w:tcBorders>
              <w:top w:val="nil"/>
              <w:left w:val="nil"/>
              <w:bottom w:val="single" w:sz="4" w:space="0" w:color="auto"/>
              <w:right w:val="single" w:sz="4" w:space="0" w:color="auto"/>
            </w:tcBorders>
            <w:shd w:val="clear" w:color="auto" w:fill="auto"/>
            <w:noWrap/>
            <w:vAlign w:val="center"/>
            <w:hideMark/>
          </w:tcPr>
          <w:p w14:paraId="66FEA862"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28EA8B4"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EAF588" w14:textId="77777777" w:rsidR="00F8589C" w:rsidRPr="00861214" w:rsidRDefault="00F8589C" w:rsidP="00C368FF">
            <w:pPr>
              <w:jc w:val="right"/>
              <w:rPr>
                <w:color w:val="000000"/>
                <w:sz w:val="20"/>
                <w:szCs w:val="20"/>
              </w:rPr>
            </w:pPr>
            <w:r>
              <w:rPr>
                <w:color w:val="000000"/>
                <w:sz w:val="20"/>
              </w:rPr>
              <w:t>50</w:t>
            </w:r>
          </w:p>
        </w:tc>
        <w:tc>
          <w:tcPr>
            <w:tcW w:w="1381" w:type="dxa"/>
            <w:tcBorders>
              <w:top w:val="nil"/>
              <w:left w:val="nil"/>
              <w:bottom w:val="single" w:sz="4" w:space="0" w:color="auto"/>
              <w:right w:val="single" w:sz="4" w:space="0" w:color="auto"/>
            </w:tcBorders>
            <w:shd w:val="clear" w:color="auto" w:fill="auto"/>
            <w:noWrap/>
            <w:vAlign w:val="center"/>
            <w:hideMark/>
          </w:tcPr>
          <w:p w14:paraId="61DA2AB6" w14:textId="77777777" w:rsidR="00F8589C" w:rsidRPr="00861214" w:rsidRDefault="00F8589C" w:rsidP="00C368FF">
            <w:pPr>
              <w:jc w:val="right"/>
              <w:rPr>
                <w:color w:val="000000"/>
                <w:sz w:val="20"/>
                <w:szCs w:val="20"/>
              </w:rPr>
            </w:pPr>
            <w:r>
              <w:rPr>
                <w:color w:val="000000"/>
                <w:sz w:val="20"/>
              </w:rPr>
              <w:t>50</w:t>
            </w:r>
          </w:p>
        </w:tc>
      </w:tr>
      <w:tr w:rsidR="00F8589C" w:rsidRPr="00861214" w14:paraId="539A7FA4"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A4C92ED" w14:textId="77777777" w:rsidR="00F8589C" w:rsidRPr="00861214" w:rsidRDefault="00F8589C" w:rsidP="00C368FF">
            <w:pPr>
              <w:rPr>
                <w:sz w:val="20"/>
                <w:szCs w:val="20"/>
              </w:rPr>
            </w:pPr>
            <w:r>
              <w:rPr>
                <w:sz w:val="20"/>
              </w:rPr>
              <w:t>ODD 6.61 (Inventaires)</w:t>
            </w:r>
          </w:p>
        </w:tc>
        <w:tc>
          <w:tcPr>
            <w:tcW w:w="1381" w:type="dxa"/>
            <w:tcBorders>
              <w:top w:val="nil"/>
              <w:left w:val="nil"/>
              <w:bottom w:val="single" w:sz="4" w:space="0" w:color="auto"/>
              <w:right w:val="single" w:sz="4" w:space="0" w:color="auto"/>
            </w:tcBorders>
            <w:shd w:val="clear" w:color="auto" w:fill="auto"/>
            <w:noWrap/>
            <w:vAlign w:val="center"/>
            <w:hideMark/>
          </w:tcPr>
          <w:p w14:paraId="56AD5162"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217FAC9"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CFCD738" w14:textId="77777777" w:rsidR="00F8589C" w:rsidRPr="00861214" w:rsidRDefault="00F8589C" w:rsidP="00C368FF">
            <w:pPr>
              <w:jc w:val="right"/>
              <w:rPr>
                <w:color w:val="000000"/>
                <w:sz w:val="20"/>
                <w:szCs w:val="20"/>
              </w:rPr>
            </w:pPr>
            <w:r>
              <w:rPr>
                <w:color w:val="000000"/>
                <w:sz w:val="20"/>
              </w:rPr>
              <w:t>42</w:t>
            </w:r>
          </w:p>
        </w:tc>
        <w:tc>
          <w:tcPr>
            <w:tcW w:w="1381" w:type="dxa"/>
            <w:tcBorders>
              <w:top w:val="nil"/>
              <w:left w:val="nil"/>
              <w:bottom w:val="single" w:sz="4" w:space="0" w:color="auto"/>
              <w:right w:val="single" w:sz="4" w:space="0" w:color="auto"/>
            </w:tcBorders>
            <w:shd w:val="clear" w:color="auto" w:fill="auto"/>
            <w:noWrap/>
            <w:vAlign w:val="center"/>
            <w:hideMark/>
          </w:tcPr>
          <w:p w14:paraId="0AD97642" w14:textId="77777777" w:rsidR="00F8589C" w:rsidRPr="00861214" w:rsidRDefault="00F8589C" w:rsidP="00C368FF">
            <w:pPr>
              <w:jc w:val="right"/>
              <w:rPr>
                <w:color w:val="000000"/>
                <w:sz w:val="20"/>
                <w:szCs w:val="20"/>
              </w:rPr>
            </w:pPr>
            <w:r>
              <w:rPr>
                <w:color w:val="000000"/>
                <w:sz w:val="20"/>
              </w:rPr>
              <w:t>42</w:t>
            </w:r>
          </w:p>
        </w:tc>
      </w:tr>
      <w:tr w:rsidR="00F8589C" w:rsidRPr="00861214" w14:paraId="2DA0D59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91FA339" w14:textId="283A9466" w:rsidR="00F8589C" w:rsidRPr="00861214" w:rsidRDefault="00F8589C" w:rsidP="00C368FF">
            <w:pPr>
              <w:rPr>
                <w:sz w:val="20"/>
                <w:szCs w:val="20"/>
              </w:rPr>
            </w:pPr>
            <w:r>
              <w:rPr>
                <w:sz w:val="20"/>
              </w:rPr>
              <w:lastRenderedPageBreak/>
              <w:t>Service d</w:t>
            </w:r>
            <w:r w:rsidR="00872521">
              <w:rPr>
                <w:sz w:val="20"/>
              </w:rPr>
              <w:t>’</w:t>
            </w:r>
            <w:r>
              <w:rPr>
                <w:sz w:val="20"/>
              </w:rPr>
              <w:t>information sur les Sites Ramsar (entretien et développement)</w:t>
            </w:r>
          </w:p>
        </w:tc>
        <w:tc>
          <w:tcPr>
            <w:tcW w:w="1381" w:type="dxa"/>
            <w:tcBorders>
              <w:top w:val="nil"/>
              <w:left w:val="nil"/>
              <w:bottom w:val="single" w:sz="4" w:space="0" w:color="auto"/>
              <w:right w:val="single" w:sz="4" w:space="0" w:color="auto"/>
            </w:tcBorders>
            <w:shd w:val="clear" w:color="auto" w:fill="auto"/>
            <w:noWrap/>
            <w:vAlign w:val="center"/>
            <w:hideMark/>
          </w:tcPr>
          <w:p w14:paraId="7DC5AA14" w14:textId="77777777" w:rsidR="00F8589C" w:rsidRPr="00861214" w:rsidRDefault="00F8589C" w:rsidP="00C368FF">
            <w:pPr>
              <w:jc w:val="right"/>
              <w:rPr>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231AC272"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4A24895" w14:textId="77777777" w:rsidR="00F8589C" w:rsidRPr="00861214" w:rsidRDefault="00F8589C" w:rsidP="00C368FF">
            <w:pPr>
              <w:jc w:val="right"/>
              <w:rPr>
                <w:sz w:val="20"/>
                <w:szCs w:val="20"/>
              </w:rPr>
            </w:pPr>
            <w:r>
              <w:rPr>
                <w:sz w:val="20"/>
              </w:rPr>
              <w:t>63</w:t>
            </w:r>
          </w:p>
        </w:tc>
        <w:tc>
          <w:tcPr>
            <w:tcW w:w="1381" w:type="dxa"/>
            <w:tcBorders>
              <w:top w:val="nil"/>
              <w:left w:val="nil"/>
              <w:bottom w:val="single" w:sz="4" w:space="0" w:color="auto"/>
              <w:right w:val="single" w:sz="4" w:space="0" w:color="auto"/>
            </w:tcBorders>
            <w:shd w:val="clear" w:color="auto" w:fill="auto"/>
            <w:noWrap/>
            <w:vAlign w:val="center"/>
            <w:hideMark/>
          </w:tcPr>
          <w:p w14:paraId="70C76CAB" w14:textId="77777777" w:rsidR="00F8589C" w:rsidRPr="00861214" w:rsidRDefault="00F8589C" w:rsidP="00C368FF">
            <w:pPr>
              <w:jc w:val="right"/>
              <w:rPr>
                <w:color w:val="000000"/>
                <w:sz w:val="20"/>
                <w:szCs w:val="20"/>
              </w:rPr>
            </w:pPr>
            <w:r>
              <w:rPr>
                <w:color w:val="000000"/>
                <w:sz w:val="20"/>
              </w:rPr>
              <w:t>123</w:t>
            </w:r>
          </w:p>
        </w:tc>
      </w:tr>
      <w:tr w:rsidR="00F8589C" w:rsidRPr="00861214" w14:paraId="71C5B15B"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E798B" w14:textId="61EF59C9" w:rsidR="00F8589C" w:rsidRPr="00861214" w:rsidRDefault="00F8589C" w:rsidP="00C368FF">
            <w:pPr>
              <w:rPr>
                <w:sz w:val="20"/>
                <w:szCs w:val="20"/>
              </w:rPr>
            </w:pPr>
            <w:r>
              <w:rPr>
                <w:sz w:val="20"/>
              </w:rPr>
              <w:t>Service d</w:t>
            </w:r>
            <w:r w:rsidR="00872521">
              <w:rPr>
                <w:sz w:val="20"/>
              </w:rPr>
              <w:t>’</w:t>
            </w:r>
            <w:r>
              <w:rPr>
                <w:sz w:val="20"/>
              </w:rPr>
              <w:t>information sur les Sites Ramsar (appui technique pour la période triennale 2023-2025)</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7F976C1" w14:textId="77777777" w:rsidR="00F8589C" w:rsidRPr="00861214" w:rsidDel="00400EC6" w:rsidRDefault="00F8589C" w:rsidP="00C368FF">
            <w:pPr>
              <w:jc w:val="right"/>
              <w:rPr>
                <w:sz w:val="20"/>
                <w:szCs w:val="20"/>
              </w:rPr>
            </w:pPr>
            <w:r>
              <w:rPr>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84D98DD" w14:textId="77777777" w:rsidR="00F8589C" w:rsidRPr="00861214" w:rsidRDefault="00F8589C" w:rsidP="00C368FF">
            <w:pPr>
              <w:jc w:val="right"/>
              <w:rPr>
                <w:sz w:val="20"/>
                <w:szCs w:val="20"/>
              </w:rPr>
            </w:pPr>
            <w:r>
              <w:rPr>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E2C74" w14:textId="77777777" w:rsidR="00F8589C" w:rsidRPr="00861214" w:rsidDel="00400EC6" w:rsidRDefault="00F8589C" w:rsidP="00C368FF">
            <w:pPr>
              <w:jc w:val="right"/>
              <w:rPr>
                <w:sz w:val="20"/>
                <w:szCs w:val="20"/>
              </w:rPr>
            </w:pPr>
            <w:r>
              <w:rPr>
                <w:sz w:val="20"/>
              </w:rPr>
              <w:t>90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32C33A3" w14:textId="77777777" w:rsidR="00F8589C" w:rsidRPr="00861214" w:rsidDel="00400EC6" w:rsidRDefault="00F8589C" w:rsidP="00C368FF">
            <w:pPr>
              <w:jc w:val="right"/>
              <w:rPr>
                <w:color w:val="000000"/>
                <w:sz w:val="20"/>
                <w:szCs w:val="20"/>
              </w:rPr>
            </w:pPr>
            <w:r>
              <w:rPr>
                <w:color w:val="000000"/>
                <w:sz w:val="20"/>
              </w:rPr>
              <w:t>90</w:t>
            </w:r>
          </w:p>
        </w:tc>
      </w:tr>
      <w:tr w:rsidR="00F8589C" w:rsidRPr="00861214" w14:paraId="176AE3D4"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831D24A" w14:textId="77777777" w:rsidR="00F8589C" w:rsidRPr="00861214" w:rsidRDefault="00F8589C" w:rsidP="00C368FF">
            <w:pPr>
              <w:rPr>
                <w:sz w:val="20"/>
                <w:szCs w:val="20"/>
              </w:rPr>
            </w:pPr>
            <w:r>
              <w:rPr>
                <w:sz w:val="20"/>
              </w:rPr>
              <w:t>F. Administration/web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A5D3FD1" w14:textId="77777777" w:rsidR="00F8589C" w:rsidRPr="00861214" w:rsidRDefault="00F8589C" w:rsidP="00C368FF">
            <w:pPr>
              <w:jc w:val="right"/>
              <w:rPr>
                <w:b/>
                <w:bCs/>
                <w:sz w:val="20"/>
                <w:szCs w:val="20"/>
              </w:rPr>
            </w:pPr>
            <w:r>
              <w:rPr>
                <w:b/>
                <w:sz w:val="20"/>
              </w:rPr>
              <w:t>478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6661416" w14:textId="77777777" w:rsidR="00F8589C" w:rsidRPr="00861214" w:rsidRDefault="00F8589C" w:rsidP="00C368FF">
            <w:pPr>
              <w:jc w:val="right"/>
              <w:rPr>
                <w:b/>
                <w:bCs/>
                <w:sz w:val="20"/>
                <w:szCs w:val="20"/>
              </w:rPr>
            </w:pPr>
            <w:r>
              <w:rPr>
                <w:b/>
                <w:sz w:val="20"/>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51D5DB2" w14:textId="77777777" w:rsidR="00F8589C" w:rsidRPr="00861214" w:rsidRDefault="00F8589C" w:rsidP="00C368FF">
            <w:pPr>
              <w:jc w:val="right"/>
              <w:rPr>
                <w:b/>
                <w:bCs/>
                <w:color w:val="000000"/>
                <w:sz w:val="20"/>
                <w:szCs w:val="20"/>
              </w:rPr>
            </w:pPr>
            <w:r>
              <w:rPr>
                <w:b/>
                <w:color w:val="000000"/>
                <w:sz w:val="20"/>
              </w:rPr>
              <w:t>137</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2A03700" w14:textId="77777777" w:rsidR="00F8589C" w:rsidRPr="00861214" w:rsidRDefault="00F8589C" w:rsidP="00C368FF">
            <w:pPr>
              <w:jc w:val="right"/>
              <w:rPr>
                <w:b/>
                <w:bCs/>
                <w:color w:val="000000"/>
                <w:sz w:val="20"/>
                <w:szCs w:val="20"/>
              </w:rPr>
            </w:pPr>
            <w:r>
              <w:rPr>
                <w:b/>
                <w:color w:val="000000"/>
                <w:sz w:val="20"/>
              </w:rPr>
              <w:t>626</w:t>
            </w:r>
          </w:p>
        </w:tc>
      </w:tr>
      <w:tr w:rsidR="00F8589C" w:rsidRPr="00861214" w14:paraId="5565F056"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AB2F3E9" w14:textId="5D890815" w:rsidR="00F8589C" w:rsidRPr="00861214" w:rsidRDefault="00F8589C" w:rsidP="00C368FF">
            <w:pPr>
              <w:rPr>
                <w:sz w:val="20"/>
                <w:szCs w:val="20"/>
              </w:rPr>
            </w:pPr>
            <w:r>
              <w:rPr>
                <w:sz w:val="20"/>
              </w:rPr>
              <w:t>Salaires, charges sociales et autres prestations liées à l</w:t>
            </w:r>
            <w:r w:rsidR="00872521">
              <w:rPr>
                <w:sz w:val="20"/>
              </w:rPr>
              <w:t>’</w:t>
            </w:r>
            <w:r>
              <w:rPr>
                <w:sz w:val="20"/>
              </w:rPr>
              <w:t>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E441ED1" w14:textId="77777777" w:rsidR="00F8589C" w:rsidRPr="00861214" w:rsidRDefault="00F8589C" w:rsidP="00C368FF">
            <w:pPr>
              <w:jc w:val="right"/>
              <w:rPr>
                <w:sz w:val="20"/>
                <w:szCs w:val="20"/>
              </w:rPr>
            </w:pPr>
            <w:r>
              <w:rPr>
                <w:sz w:val="20"/>
              </w:rPr>
              <w:t>331</w:t>
            </w:r>
          </w:p>
        </w:tc>
        <w:tc>
          <w:tcPr>
            <w:tcW w:w="1381" w:type="dxa"/>
            <w:tcBorders>
              <w:top w:val="nil"/>
              <w:left w:val="nil"/>
              <w:bottom w:val="single" w:sz="4" w:space="0" w:color="auto"/>
              <w:right w:val="single" w:sz="4" w:space="0" w:color="auto"/>
            </w:tcBorders>
            <w:shd w:val="clear" w:color="auto" w:fill="auto"/>
            <w:noWrap/>
            <w:vAlign w:val="center"/>
            <w:hideMark/>
          </w:tcPr>
          <w:p w14:paraId="565F046D"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639B4E6" w14:textId="77777777" w:rsidR="00F8589C" w:rsidRPr="00861214" w:rsidRDefault="00F8589C" w:rsidP="00C368FF">
            <w:pPr>
              <w:jc w:val="right"/>
              <w:rPr>
                <w:color w:val="000000"/>
                <w:sz w:val="20"/>
                <w:szCs w:val="20"/>
              </w:rPr>
            </w:pPr>
            <w:r>
              <w:rPr>
                <w:color w:val="000000"/>
                <w:sz w:val="20"/>
              </w:rPr>
              <w:t>8</w:t>
            </w:r>
          </w:p>
        </w:tc>
        <w:tc>
          <w:tcPr>
            <w:tcW w:w="1381" w:type="dxa"/>
            <w:tcBorders>
              <w:top w:val="nil"/>
              <w:left w:val="nil"/>
              <w:bottom w:val="single" w:sz="4" w:space="0" w:color="auto"/>
              <w:right w:val="single" w:sz="4" w:space="0" w:color="auto"/>
            </w:tcBorders>
            <w:shd w:val="clear" w:color="auto" w:fill="auto"/>
            <w:noWrap/>
            <w:vAlign w:val="center"/>
            <w:hideMark/>
          </w:tcPr>
          <w:p w14:paraId="3EDD933A" w14:textId="77777777" w:rsidR="00F8589C" w:rsidRPr="00861214" w:rsidRDefault="00F8589C" w:rsidP="00C368FF">
            <w:pPr>
              <w:jc w:val="right"/>
              <w:rPr>
                <w:color w:val="000000"/>
                <w:sz w:val="20"/>
                <w:szCs w:val="20"/>
              </w:rPr>
            </w:pPr>
            <w:r>
              <w:rPr>
                <w:color w:val="000000"/>
                <w:sz w:val="20"/>
              </w:rPr>
              <w:t>339</w:t>
            </w:r>
          </w:p>
        </w:tc>
      </w:tr>
      <w:tr w:rsidR="00F8589C" w:rsidRPr="00861214" w14:paraId="18AE34C2"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EC08" w14:textId="77777777" w:rsidR="00F8589C" w:rsidRPr="00861214" w:rsidRDefault="00F8589C" w:rsidP="00C368FF">
            <w:pPr>
              <w:rPr>
                <w:sz w:val="20"/>
                <w:szCs w:val="20"/>
              </w:rPr>
            </w:pPr>
            <w:r>
              <w:rPr>
                <w:sz w:val="20"/>
              </w:rPr>
              <w:t>Recrutement et indemnités de départ</w:t>
            </w:r>
          </w:p>
        </w:tc>
        <w:tc>
          <w:tcPr>
            <w:tcW w:w="1381" w:type="dxa"/>
            <w:tcBorders>
              <w:top w:val="nil"/>
              <w:left w:val="nil"/>
              <w:bottom w:val="single" w:sz="4" w:space="0" w:color="auto"/>
              <w:right w:val="single" w:sz="4" w:space="0" w:color="auto"/>
            </w:tcBorders>
            <w:shd w:val="clear" w:color="auto" w:fill="auto"/>
            <w:noWrap/>
            <w:vAlign w:val="center"/>
            <w:hideMark/>
          </w:tcPr>
          <w:p w14:paraId="2488D21D" w14:textId="77777777" w:rsidR="00F8589C" w:rsidRPr="00861214" w:rsidRDefault="00F8589C" w:rsidP="00C368FF">
            <w:pPr>
              <w:jc w:val="right"/>
              <w:rPr>
                <w:sz w:val="20"/>
                <w:szCs w:val="20"/>
              </w:rPr>
            </w:pPr>
            <w:r>
              <w:rPr>
                <w:sz w:val="20"/>
              </w:rPr>
              <w:t>52</w:t>
            </w:r>
          </w:p>
        </w:tc>
        <w:tc>
          <w:tcPr>
            <w:tcW w:w="1381" w:type="dxa"/>
            <w:tcBorders>
              <w:top w:val="nil"/>
              <w:left w:val="nil"/>
              <w:bottom w:val="single" w:sz="4" w:space="0" w:color="auto"/>
              <w:right w:val="single" w:sz="4" w:space="0" w:color="auto"/>
            </w:tcBorders>
            <w:shd w:val="clear" w:color="auto" w:fill="auto"/>
            <w:noWrap/>
            <w:vAlign w:val="center"/>
            <w:hideMark/>
          </w:tcPr>
          <w:p w14:paraId="2FF168E5"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B51E22C" w14:textId="77777777" w:rsidR="00F8589C" w:rsidRPr="00D64944" w:rsidRDefault="00F8589C" w:rsidP="00C368FF">
            <w:pPr>
              <w:jc w:val="right"/>
              <w:rPr>
                <w:color w:val="000000"/>
                <w:sz w:val="20"/>
                <w:szCs w:val="20"/>
              </w:rPr>
            </w:pPr>
            <w:r>
              <w:rPr>
                <w:color w:val="000000"/>
                <w:sz w:val="20"/>
              </w:rPr>
              <w:t>36</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F5E88AD" w14:textId="77777777" w:rsidR="00F8589C" w:rsidRPr="00861214" w:rsidRDefault="00F8589C" w:rsidP="00C368FF">
            <w:pPr>
              <w:jc w:val="right"/>
              <w:rPr>
                <w:color w:val="000000"/>
                <w:sz w:val="20"/>
                <w:szCs w:val="20"/>
              </w:rPr>
            </w:pPr>
            <w:r>
              <w:rPr>
                <w:color w:val="000000"/>
                <w:sz w:val="20"/>
              </w:rPr>
              <w:t>88</w:t>
            </w:r>
          </w:p>
        </w:tc>
      </w:tr>
      <w:tr w:rsidR="00F8589C" w:rsidRPr="00861214" w14:paraId="02A46E3F"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E2ABD22" w14:textId="77777777" w:rsidR="00F8589C" w:rsidRPr="00861214" w:rsidRDefault="00F8589C" w:rsidP="00C368FF">
            <w:pPr>
              <w:rPr>
                <w:sz w:val="20"/>
                <w:szCs w:val="20"/>
              </w:rPr>
            </w:pPr>
            <w:r>
              <w:rPr>
                <w:sz w:val="20"/>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78A6A634"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43059D"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3B2118"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1714D04" w14:textId="77777777" w:rsidR="00F8589C" w:rsidRPr="00861214" w:rsidRDefault="00F8589C" w:rsidP="00C368FF">
            <w:pPr>
              <w:jc w:val="right"/>
              <w:rPr>
                <w:color w:val="000000"/>
                <w:sz w:val="20"/>
                <w:szCs w:val="20"/>
              </w:rPr>
            </w:pPr>
            <w:r>
              <w:rPr>
                <w:color w:val="000000"/>
                <w:sz w:val="20"/>
              </w:rPr>
              <w:t>0</w:t>
            </w:r>
          </w:p>
        </w:tc>
      </w:tr>
      <w:tr w:rsidR="00F8589C" w:rsidRPr="00861214" w14:paraId="01753DD7"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926078D" w14:textId="77777777" w:rsidR="00F8589C" w:rsidRPr="00861214" w:rsidRDefault="00F8589C" w:rsidP="00C368FF">
            <w:pPr>
              <w:rPr>
                <w:sz w:val="20"/>
                <w:szCs w:val="20"/>
              </w:rPr>
            </w:pPr>
            <w:r>
              <w:rPr>
                <w:sz w:val="20"/>
              </w:rPr>
              <w:t>Équipements/fournitures de bureaux</w:t>
            </w:r>
          </w:p>
        </w:tc>
        <w:tc>
          <w:tcPr>
            <w:tcW w:w="1381" w:type="dxa"/>
            <w:tcBorders>
              <w:top w:val="nil"/>
              <w:left w:val="nil"/>
              <w:bottom w:val="single" w:sz="4" w:space="0" w:color="auto"/>
              <w:right w:val="single" w:sz="4" w:space="0" w:color="auto"/>
            </w:tcBorders>
            <w:shd w:val="clear" w:color="auto" w:fill="auto"/>
            <w:noWrap/>
            <w:vAlign w:val="center"/>
            <w:hideMark/>
          </w:tcPr>
          <w:p w14:paraId="42FCB3EC" w14:textId="77777777" w:rsidR="00F8589C" w:rsidRPr="00861214" w:rsidRDefault="00F8589C" w:rsidP="00C368FF">
            <w:pPr>
              <w:jc w:val="right"/>
              <w:rPr>
                <w:sz w:val="20"/>
                <w:szCs w:val="20"/>
              </w:rPr>
            </w:pPr>
            <w:r>
              <w:rPr>
                <w:sz w:val="20"/>
              </w:rPr>
              <w:t>95</w:t>
            </w:r>
          </w:p>
        </w:tc>
        <w:tc>
          <w:tcPr>
            <w:tcW w:w="1381" w:type="dxa"/>
            <w:tcBorders>
              <w:top w:val="nil"/>
              <w:left w:val="nil"/>
              <w:bottom w:val="single" w:sz="4" w:space="0" w:color="auto"/>
              <w:right w:val="single" w:sz="4" w:space="0" w:color="auto"/>
            </w:tcBorders>
            <w:shd w:val="clear" w:color="auto" w:fill="auto"/>
            <w:noWrap/>
            <w:vAlign w:val="center"/>
            <w:hideMark/>
          </w:tcPr>
          <w:p w14:paraId="738F2D56"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6CB3CD1" w14:textId="77777777" w:rsidR="00F8589C" w:rsidRPr="00861214" w:rsidRDefault="00F8589C" w:rsidP="00C368FF">
            <w:pPr>
              <w:jc w:val="right"/>
              <w:rPr>
                <w:color w:val="000000"/>
                <w:sz w:val="20"/>
                <w:szCs w:val="20"/>
              </w:rPr>
            </w:pPr>
            <w:r>
              <w:rPr>
                <w:color w:val="000000"/>
                <w:sz w:val="20"/>
              </w:rPr>
              <w:t>28</w:t>
            </w:r>
          </w:p>
        </w:tc>
        <w:tc>
          <w:tcPr>
            <w:tcW w:w="1381" w:type="dxa"/>
            <w:tcBorders>
              <w:top w:val="nil"/>
              <w:left w:val="nil"/>
              <w:bottom w:val="single" w:sz="4" w:space="0" w:color="auto"/>
              <w:right w:val="single" w:sz="4" w:space="0" w:color="auto"/>
            </w:tcBorders>
            <w:shd w:val="clear" w:color="auto" w:fill="auto"/>
            <w:noWrap/>
            <w:vAlign w:val="center"/>
            <w:hideMark/>
          </w:tcPr>
          <w:p w14:paraId="4DE91270" w14:textId="77777777" w:rsidR="00F8589C" w:rsidRPr="00861214" w:rsidRDefault="00F8589C" w:rsidP="00C368FF">
            <w:pPr>
              <w:jc w:val="right"/>
              <w:rPr>
                <w:color w:val="000000"/>
                <w:sz w:val="20"/>
                <w:szCs w:val="20"/>
              </w:rPr>
            </w:pPr>
            <w:r>
              <w:rPr>
                <w:color w:val="000000"/>
                <w:sz w:val="20"/>
              </w:rPr>
              <w:t>123</w:t>
            </w:r>
          </w:p>
        </w:tc>
      </w:tr>
      <w:tr w:rsidR="00F8589C" w:rsidRPr="00861214" w14:paraId="3BB3C141"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0AD8" w14:textId="77777777" w:rsidR="00F8589C" w:rsidRPr="00861214" w:rsidRDefault="00F8589C" w:rsidP="00C368FF">
            <w:pPr>
              <w:rPr>
                <w:sz w:val="20"/>
                <w:szCs w:val="20"/>
              </w:rPr>
            </w:pPr>
            <w:r>
              <w:rPr>
                <w:sz w:val="20"/>
              </w:rPr>
              <w:t>Planification et renforcement des capacités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9F6BA9D" w14:textId="77777777" w:rsidR="00F8589C" w:rsidRPr="00861214" w:rsidRDefault="00F8589C" w:rsidP="00C368FF">
            <w:pPr>
              <w:jc w:val="right"/>
              <w:rPr>
                <w:sz w:val="20"/>
                <w:szCs w:val="20"/>
              </w:rPr>
            </w:pPr>
            <w:r>
              <w:rPr>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61FC93" w14:textId="77777777" w:rsidR="00F8589C" w:rsidRPr="00861214" w:rsidRDefault="00F8589C" w:rsidP="00C368FF">
            <w:pPr>
              <w:jc w:val="right"/>
              <w:rPr>
                <w:sz w:val="20"/>
                <w:szCs w:val="20"/>
              </w:rPr>
            </w:pPr>
            <w:r>
              <w:rPr>
                <w:sz w:val="20"/>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38C56" w14:textId="77777777" w:rsidR="00F8589C" w:rsidRPr="00861214" w:rsidRDefault="00F8589C" w:rsidP="00C368FF">
            <w:pPr>
              <w:jc w:val="right"/>
              <w:rPr>
                <w:sz w:val="20"/>
                <w:szCs w:val="20"/>
              </w:rPr>
            </w:pPr>
            <w:r>
              <w:rPr>
                <w:sz w:val="20"/>
              </w:rPr>
              <w:t>65</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1CB9F86" w14:textId="77777777" w:rsidR="00F8589C" w:rsidRPr="00861214" w:rsidRDefault="00F8589C" w:rsidP="00C368FF">
            <w:pPr>
              <w:jc w:val="right"/>
              <w:rPr>
                <w:color w:val="000000"/>
                <w:sz w:val="20"/>
                <w:szCs w:val="20"/>
              </w:rPr>
            </w:pPr>
            <w:r>
              <w:rPr>
                <w:color w:val="000000"/>
                <w:sz w:val="20"/>
              </w:rPr>
              <w:t>76</w:t>
            </w:r>
          </w:p>
        </w:tc>
      </w:tr>
      <w:tr w:rsidR="00F8589C" w:rsidRPr="00861214" w14:paraId="31065EE0" w14:textId="77777777" w:rsidTr="00C368FF">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7A09B1D4" w14:textId="77777777" w:rsidR="00F8589C" w:rsidRPr="00861214" w:rsidRDefault="00F8589C" w:rsidP="00C368FF">
            <w:pPr>
              <w:rPr>
                <w:sz w:val="20"/>
                <w:szCs w:val="20"/>
              </w:rPr>
            </w:pPr>
            <w:r>
              <w:rPr>
                <w:sz w:val="20"/>
              </w:rPr>
              <w:t>G. Services au Comité permanent</w:t>
            </w:r>
          </w:p>
        </w:tc>
        <w:tc>
          <w:tcPr>
            <w:tcW w:w="1381" w:type="dxa"/>
            <w:tcBorders>
              <w:left w:val="nil"/>
              <w:bottom w:val="single" w:sz="4" w:space="0" w:color="auto"/>
              <w:right w:val="single" w:sz="4" w:space="0" w:color="auto"/>
            </w:tcBorders>
            <w:shd w:val="clear" w:color="000000" w:fill="EAF1DD"/>
            <w:noWrap/>
            <w:vAlign w:val="center"/>
            <w:hideMark/>
          </w:tcPr>
          <w:p w14:paraId="60F7FC56" w14:textId="77777777" w:rsidR="00F8589C" w:rsidRPr="00861214" w:rsidRDefault="00F8589C" w:rsidP="00C368FF">
            <w:pPr>
              <w:jc w:val="right"/>
              <w:rPr>
                <w:b/>
                <w:bCs/>
                <w:sz w:val="20"/>
                <w:szCs w:val="20"/>
              </w:rPr>
            </w:pPr>
            <w:r>
              <w:rPr>
                <w:b/>
                <w:sz w:val="20"/>
              </w:rPr>
              <w:t>150</w:t>
            </w:r>
          </w:p>
        </w:tc>
        <w:tc>
          <w:tcPr>
            <w:tcW w:w="1381" w:type="dxa"/>
            <w:tcBorders>
              <w:left w:val="nil"/>
              <w:bottom w:val="single" w:sz="4" w:space="0" w:color="auto"/>
              <w:right w:val="single" w:sz="4" w:space="0" w:color="auto"/>
            </w:tcBorders>
            <w:shd w:val="clear" w:color="000000" w:fill="EAF1DD"/>
            <w:noWrap/>
            <w:vAlign w:val="center"/>
            <w:hideMark/>
          </w:tcPr>
          <w:p w14:paraId="249865DB" w14:textId="77777777" w:rsidR="00F8589C" w:rsidRPr="00861214" w:rsidRDefault="00F8589C" w:rsidP="00C368FF">
            <w:pPr>
              <w:jc w:val="right"/>
              <w:rPr>
                <w:b/>
                <w:bCs/>
                <w:sz w:val="20"/>
                <w:szCs w:val="20"/>
              </w:rPr>
            </w:pPr>
            <w:r>
              <w:rPr>
                <w:b/>
                <w:sz w:val="20"/>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05884AA5" w14:textId="77777777" w:rsidR="00F8589C" w:rsidRPr="00861214" w:rsidRDefault="00F8589C" w:rsidP="00C368FF">
            <w:pPr>
              <w:jc w:val="right"/>
              <w:rPr>
                <w:b/>
                <w:bCs/>
                <w:color w:val="000000"/>
                <w:sz w:val="20"/>
                <w:szCs w:val="20"/>
              </w:rPr>
            </w:pPr>
            <w:r>
              <w:rPr>
                <w:b/>
                <w:color w:val="000000"/>
                <w:sz w:val="20"/>
              </w:rPr>
              <w:t>41</w:t>
            </w:r>
          </w:p>
        </w:tc>
        <w:tc>
          <w:tcPr>
            <w:tcW w:w="1381" w:type="dxa"/>
            <w:tcBorders>
              <w:left w:val="nil"/>
              <w:bottom w:val="single" w:sz="4" w:space="0" w:color="auto"/>
              <w:right w:val="single" w:sz="4" w:space="0" w:color="auto"/>
            </w:tcBorders>
            <w:shd w:val="clear" w:color="000000" w:fill="EAF1DD"/>
            <w:noWrap/>
            <w:vAlign w:val="center"/>
            <w:hideMark/>
          </w:tcPr>
          <w:p w14:paraId="58A44560" w14:textId="77777777" w:rsidR="00F8589C" w:rsidRPr="00861214" w:rsidRDefault="00F8589C" w:rsidP="00C368FF">
            <w:pPr>
              <w:jc w:val="right"/>
              <w:rPr>
                <w:b/>
                <w:bCs/>
                <w:color w:val="000000"/>
                <w:sz w:val="20"/>
                <w:szCs w:val="20"/>
              </w:rPr>
            </w:pPr>
            <w:r>
              <w:rPr>
                <w:b/>
                <w:color w:val="000000"/>
                <w:sz w:val="20"/>
              </w:rPr>
              <w:t>191</w:t>
            </w:r>
          </w:p>
        </w:tc>
      </w:tr>
      <w:tr w:rsidR="00F8589C" w:rsidRPr="00861214" w14:paraId="6238327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C727989" w14:textId="77777777" w:rsidR="00F8589C" w:rsidRPr="00861214" w:rsidRDefault="00F8589C" w:rsidP="00C368FF">
            <w:pPr>
              <w:rPr>
                <w:sz w:val="20"/>
                <w:szCs w:val="20"/>
              </w:rPr>
            </w:pPr>
            <w:r>
              <w:rPr>
                <w:sz w:val="20"/>
              </w:rPr>
              <w:t>Appui aux délégués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2EAD6585" w14:textId="77777777" w:rsidR="00F8589C" w:rsidRPr="00861214" w:rsidRDefault="00F8589C" w:rsidP="00C368FF">
            <w:pPr>
              <w:jc w:val="right"/>
              <w:rPr>
                <w:sz w:val="20"/>
                <w:szCs w:val="20"/>
              </w:rPr>
            </w:pPr>
            <w:r>
              <w:rPr>
                <w:sz w:val="20"/>
              </w:rPr>
              <w:t>45</w:t>
            </w:r>
          </w:p>
        </w:tc>
        <w:tc>
          <w:tcPr>
            <w:tcW w:w="1381" w:type="dxa"/>
            <w:tcBorders>
              <w:top w:val="nil"/>
              <w:left w:val="nil"/>
              <w:bottom w:val="single" w:sz="4" w:space="0" w:color="auto"/>
              <w:right w:val="single" w:sz="4" w:space="0" w:color="auto"/>
            </w:tcBorders>
            <w:shd w:val="clear" w:color="auto" w:fill="auto"/>
            <w:noWrap/>
            <w:vAlign w:val="center"/>
            <w:hideMark/>
          </w:tcPr>
          <w:p w14:paraId="4D1C769B"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FF0999"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E2024FF" w14:textId="77777777" w:rsidR="00F8589C" w:rsidRPr="00861214" w:rsidRDefault="00F8589C" w:rsidP="00C368FF">
            <w:pPr>
              <w:jc w:val="right"/>
              <w:rPr>
                <w:color w:val="000000"/>
                <w:sz w:val="20"/>
                <w:szCs w:val="20"/>
              </w:rPr>
            </w:pPr>
            <w:r>
              <w:rPr>
                <w:color w:val="000000"/>
                <w:sz w:val="20"/>
              </w:rPr>
              <w:t>45</w:t>
            </w:r>
          </w:p>
        </w:tc>
      </w:tr>
      <w:tr w:rsidR="00F8589C" w:rsidRPr="00861214" w14:paraId="05489AD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0F5B5F6" w14:textId="77777777" w:rsidR="00F8589C" w:rsidRPr="00861214" w:rsidRDefault="00F8589C" w:rsidP="00C368FF">
            <w:pPr>
              <w:rPr>
                <w:sz w:val="20"/>
                <w:szCs w:val="20"/>
              </w:rPr>
            </w:pPr>
            <w:r>
              <w:rPr>
                <w:sz w:val="20"/>
              </w:rPr>
              <w:t>Réunions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0D525BF6" w14:textId="77777777" w:rsidR="00F8589C" w:rsidRPr="00861214" w:rsidRDefault="00F8589C" w:rsidP="00C368FF">
            <w:pPr>
              <w:jc w:val="right"/>
              <w:rPr>
                <w:sz w:val="20"/>
                <w:szCs w:val="20"/>
              </w:rPr>
            </w:pPr>
            <w:r>
              <w:rPr>
                <w:sz w:val="20"/>
              </w:rPr>
              <w:t>10</w:t>
            </w:r>
          </w:p>
        </w:tc>
        <w:tc>
          <w:tcPr>
            <w:tcW w:w="1381" w:type="dxa"/>
            <w:tcBorders>
              <w:top w:val="nil"/>
              <w:left w:val="nil"/>
              <w:bottom w:val="single" w:sz="4" w:space="0" w:color="auto"/>
              <w:right w:val="single" w:sz="4" w:space="0" w:color="auto"/>
            </w:tcBorders>
            <w:shd w:val="clear" w:color="auto" w:fill="auto"/>
            <w:noWrap/>
            <w:vAlign w:val="center"/>
            <w:hideMark/>
          </w:tcPr>
          <w:p w14:paraId="2B9EABAF"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12D1EB6"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AFFE031" w14:textId="77777777" w:rsidR="00F8589C" w:rsidRPr="00861214" w:rsidRDefault="00F8589C" w:rsidP="00C368FF">
            <w:pPr>
              <w:jc w:val="right"/>
              <w:rPr>
                <w:color w:val="000000"/>
                <w:sz w:val="20"/>
                <w:szCs w:val="20"/>
              </w:rPr>
            </w:pPr>
            <w:r>
              <w:rPr>
                <w:color w:val="000000"/>
                <w:sz w:val="20"/>
              </w:rPr>
              <w:t>10</w:t>
            </w:r>
          </w:p>
        </w:tc>
      </w:tr>
      <w:tr w:rsidR="00F8589C" w:rsidRPr="00861214" w14:paraId="6888D0F1"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D69ADCE" w14:textId="77777777" w:rsidR="00F8589C" w:rsidRPr="00861214" w:rsidRDefault="00F8589C" w:rsidP="00C368FF">
            <w:pPr>
              <w:rPr>
                <w:sz w:val="20"/>
                <w:szCs w:val="20"/>
              </w:rPr>
            </w:pPr>
            <w:r>
              <w:rPr>
                <w:sz w:val="20"/>
              </w:rPr>
              <w:t>Services de traduction pour le Comité</w:t>
            </w:r>
          </w:p>
        </w:tc>
        <w:tc>
          <w:tcPr>
            <w:tcW w:w="1381" w:type="dxa"/>
            <w:tcBorders>
              <w:top w:val="nil"/>
              <w:left w:val="nil"/>
              <w:bottom w:val="single" w:sz="4" w:space="0" w:color="auto"/>
              <w:right w:val="single" w:sz="4" w:space="0" w:color="auto"/>
            </w:tcBorders>
            <w:shd w:val="clear" w:color="auto" w:fill="auto"/>
            <w:noWrap/>
            <w:vAlign w:val="center"/>
            <w:hideMark/>
          </w:tcPr>
          <w:p w14:paraId="6A3DA767" w14:textId="77777777" w:rsidR="00F8589C" w:rsidRPr="00861214" w:rsidRDefault="00F8589C" w:rsidP="00C368FF">
            <w:pPr>
              <w:jc w:val="right"/>
              <w:rPr>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5A4C0604"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8F9B00"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D3A16C7" w14:textId="77777777" w:rsidR="00F8589C" w:rsidRPr="00861214" w:rsidRDefault="00F8589C" w:rsidP="00C368FF">
            <w:pPr>
              <w:jc w:val="right"/>
              <w:rPr>
                <w:color w:val="000000"/>
                <w:sz w:val="20"/>
                <w:szCs w:val="20"/>
              </w:rPr>
            </w:pPr>
            <w:r>
              <w:rPr>
                <w:color w:val="000000"/>
                <w:sz w:val="20"/>
              </w:rPr>
              <w:t>60</w:t>
            </w:r>
          </w:p>
        </w:tc>
      </w:tr>
      <w:tr w:rsidR="00F8589C" w:rsidRPr="00861214" w14:paraId="3B74587B"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3C4A91B" w14:textId="77777777" w:rsidR="00F8589C" w:rsidRPr="00861214" w:rsidRDefault="00F8589C" w:rsidP="00C368FF">
            <w:pPr>
              <w:rPr>
                <w:sz w:val="20"/>
                <w:szCs w:val="20"/>
              </w:rPr>
            </w:pPr>
            <w:r>
              <w:rPr>
                <w:sz w:val="20"/>
              </w:rPr>
              <w:t>Interprétation simultanée aux réunions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0A985ECF" w14:textId="77777777" w:rsidR="00F8589C" w:rsidRPr="00861214" w:rsidRDefault="00F8589C" w:rsidP="00C368FF">
            <w:pPr>
              <w:jc w:val="right"/>
              <w:rPr>
                <w:sz w:val="20"/>
                <w:szCs w:val="20"/>
              </w:rPr>
            </w:pPr>
            <w:r>
              <w:rPr>
                <w:sz w:val="20"/>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79D131"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65AFBCC"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4B7AA763" w14:textId="77777777" w:rsidR="00F8589C" w:rsidRPr="00861214" w:rsidRDefault="00F8589C" w:rsidP="00C368FF">
            <w:pPr>
              <w:jc w:val="right"/>
              <w:rPr>
                <w:color w:val="000000"/>
                <w:sz w:val="20"/>
                <w:szCs w:val="20"/>
              </w:rPr>
            </w:pPr>
            <w:r>
              <w:rPr>
                <w:color w:val="000000"/>
                <w:sz w:val="20"/>
              </w:rPr>
              <w:t>35</w:t>
            </w:r>
          </w:p>
        </w:tc>
      </w:tr>
      <w:tr w:rsidR="00F8589C" w:rsidRPr="00861214" w14:paraId="781861B8"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9734684" w14:textId="6316DA76" w:rsidR="00F8589C" w:rsidRPr="00861214" w:rsidRDefault="00F8589C" w:rsidP="00C368FF">
            <w:pPr>
              <w:rPr>
                <w:sz w:val="20"/>
                <w:szCs w:val="20"/>
              </w:rPr>
            </w:pPr>
            <w:r>
              <w:rPr>
                <w:sz w:val="20"/>
              </w:rPr>
              <w:t>Groupe de travail sur l</w:t>
            </w:r>
            <w:r w:rsidR="00872521">
              <w:rPr>
                <w:sz w:val="20"/>
              </w:rPr>
              <w:t>’</w:t>
            </w:r>
            <w:r>
              <w:rPr>
                <w:sz w:val="20"/>
              </w:rPr>
              <w:t>efficacité</w:t>
            </w:r>
          </w:p>
        </w:tc>
        <w:tc>
          <w:tcPr>
            <w:tcW w:w="1381" w:type="dxa"/>
            <w:tcBorders>
              <w:top w:val="nil"/>
              <w:left w:val="nil"/>
              <w:bottom w:val="single" w:sz="4" w:space="0" w:color="auto"/>
              <w:right w:val="single" w:sz="4" w:space="0" w:color="auto"/>
            </w:tcBorders>
            <w:shd w:val="clear" w:color="auto" w:fill="auto"/>
            <w:noWrap/>
            <w:vAlign w:val="center"/>
            <w:hideMark/>
          </w:tcPr>
          <w:p w14:paraId="56651C01"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FF03B7C"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E26FE2E" w14:textId="77777777" w:rsidR="00F8589C" w:rsidRPr="00861214" w:rsidRDefault="00F8589C" w:rsidP="00C368FF">
            <w:pPr>
              <w:jc w:val="right"/>
              <w:rPr>
                <w:color w:val="000000"/>
                <w:sz w:val="20"/>
                <w:szCs w:val="20"/>
              </w:rPr>
            </w:pPr>
            <w:r>
              <w:rPr>
                <w:color w:val="000000"/>
                <w:sz w:val="20"/>
              </w:rPr>
              <w:t>4</w:t>
            </w:r>
          </w:p>
        </w:tc>
        <w:tc>
          <w:tcPr>
            <w:tcW w:w="1381" w:type="dxa"/>
            <w:tcBorders>
              <w:top w:val="nil"/>
              <w:left w:val="nil"/>
              <w:bottom w:val="single" w:sz="4" w:space="0" w:color="auto"/>
              <w:right w:val="single" w:sz="4" w:space="0" w:color="auto"/>
            </w:tcBorders>
            <w:shd w:val="clear" w:color="auto" w:fill="auto"/>
            <w:noWrap/>
            <w:vAlign w:val="center"/>
            <w:hideMark/>
          </w:tcPr>
          <w:p w14:paraId="78F2078B" w14:textId="77777777" w:rsidR="00F8589C" w:rsidRPr="00861214" w:rsidRDefault="00F8589C" w:rsidP="00C368FF">
            <w:pPr>
              <w:jc w:val="right"/>
              <w:rPr>
                <w:color w:val="000000"/>
                <w:sz w:val="20"/>
                <w:szCs w:val="20"/>
              </w:rPr>
            </w:pPr>
            <w:r>
              <w:rPr>
                <w:color w:val="000000"/>
                <w:sz w:val="20"/>
              </w:rPr>
              <w:t>4</w:t>
            </w:r>
          </w:p>
        </w:tc>
      </w:tr>
      <w:tr w:rsidR="00F8589C" w:rsidRPr="00861214" w14:paraId="2292721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5A69C45B" w14:textId="54040D5E" w:rsidR="00F8589C" w:rsidRPr="00861214" w:rsidRDefault="00F8589C" w:rsidP="00C368FF">
            <w:pPr>
              <w:rPr>
                <w:sz w:val="20"/>
                <w:szCs w:val="20"/>
              </w:rPr>
            </w:pPr>
            <w:r>
              <w:rPr>
                <w:sz w:val="20"/>
              </w:rPr>
              <w:t>Améliorer l</w:t>
            </w:r>
            <w:r w:rsidR="00872521">
              <w:rPr>
                <w:sz w:val="20"/>
              </w:rPr>
              <w:t>’</w:t>
            </w:r>
            <w:r>
              <w:rPr>
                <w:sz w:val="20"/>
              </w:rPr>
              <w:t>efficience et la collaboration (Rés. XIV.3)</w:t>
            </w:r>
          </w:p>
        </w:tc>
        <w:tc>
          <w:tcPr>
            <w:tcW w:w="1381" w:type="dxa"/>
            <w:tcBorders>
              <w:top w:val="nil"/>
              <w:left w:val="nil"/>
              <w:bottom w:val="single" w:sz="4" w:space="0" w:color="auto"/>
              <w:right w:val="single" w:sz="4" w:space="0" w:color="auto"/>
            </w:tcBorders>
            <w:shd w:val="clear" w:color="auto" w:fill="auto"/>
            <w:noWrap/>
            <w:vAlign w:val="center"/>
          </w:tcPr>
          <w:p w14:paraId="269EC248"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33901B39"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A713618" w14:textId="77777777" w:rsidR="00F8589C" w:rsidRPr="00861214" w:rsidDel="00400EC6" w:rsidRDefault="00F8589C" w:rsidP="00C368FF">
            <w:pPr>
              <w:jc w:val="right"/>
              <w:rPr>
                <w:color w:val="000000"/>
                <w:sz w:val="20"/>
                <w:szCs w:val="20"/>
              </w:rPr>
            </w:pPr>
            <w:r>
              <w:rPr>
                <w:color w:val="000000"/>
                <w:sz w:val="20"/>
              </w:rPr>
              <w:t>7</w:t>
            </w:r>
          </w:p>
        </w:tc>
        <w:tc>
          <w:tcPr>
            <w:tcW w:w="1381" w:type="dxa"/>
            <w:tcBorders>
              <w:top w:val="nil"/>
              <w:left w:val="nil"/>
              <w:bottom w:val="single" w:sz="4" w:space="0" w:color="auto"/>
              <w:right w:val="single" w:sz="4" w:space="0" w:color="auto"/>
            </w:tcBorders>
            <w:shd w:val="clear" w:color="auto" w:fill="auto"/>
            <w:noWrap/>
            <w:vAlign w:val="center"/>
          </w:tcPr>
          <w:p w14:paraId="24350F23" w14:textId="77777777" w:rsidR="00F8589C" w:rsidRPr="00861214" w:rsidDel="00400EC6" w:rsidRDefault="00F8589C" w:rsidP="00C368FF">
            <w:pPr>
              <w:jc w:val="right"/>
              <w:rPr>
                <w:color w:val="000000"/>
                <w:sz w:val="20"/>
                <w:szCs w:val="20"/>
              </w:rPr>
            </w:pPr>
            <w:r>
              <w:rPr>
                <w:color w:val="000000"/>
                <w:sz w:val="20"/>
              </w:rPr>
              <w:t>7</w:t>
            </w:r>
          </w:p>
        </w:tc>
      </w:tr>
      <w:tr w:rsidR="00F8589C" w:rsidRPr="00861214" w14:paraId="4EBCD499"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672F443A" w14:textId="77777777" w:rsidR="00F8589C" w:rsidRPr="00861214" w:rsidRDefault="00F8589C" w:rsidP="00C368FF">
            <w:pPr>
              <w:rPr>
                <w:sz w:val="20"/>
                <w:szCs w:val="20"/>
              </w:rPr>
            </w:pPr>
            <w:r>
              <w:rPr>
                <w:sz w:val="20"/>
              </w:rPr>
              <w:t>Examen des résolutions (Rés. XIII.4)</w:t>
            </w:r>
          </w:p>
        </w:tc>
        <w:tc>
          <w:tcPr>
            <w:tcW w:w="1381" w:type="dxa"/>
            <w:tcBorders>
              <w:top w:val="nil"/>
              <w:left w:val="nil"/>
              <w:bottom w:val="single" w:sz="4" w:space="0" w:color="auto"/>
              <w:right w:val="single" w:sz="4" w:space="0" w:color="auto"/>
            </w:tcBorders>
            <w:shd w:val="clear" w:color="auto" w:fill="auto"/>
            <w:noWrap/>
            <w:vAlign w:val="center"/>
          </w:tcPr>
          <w:p w14:paraId="1B59528B"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4CC0606F"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0B40562C" w14:textId="77777777" w:rsidR="00F8589C" w:rsidRPr="00861214" w:rsidDel="00400EC6" w:rsidRDefault="00F8589C" w:rsidP="00C368FF">
            <w:pPr>
              <w:jc w:val="right"/>
              <w:rPr>
                <w:color w:val="000000"/>
                <w:sz w:val="20"/>
                <w:szCs w:val="20"/>
              </w:rPr>
            </w:pPr>
            <w:r>
              <w:rPr>
                <w:color w:val="000000"/>
                <w:sz w:val="20"/>
              </w:rPr>
              <w:t>30</w:t>
            </w:r>
          </w:p>
        </w:tc>
        <w:tc>
          <w:tcPr>
            <w:tcW w:w="1381" w:type="dxa"/>
            <w:tcBorders>
              <w:top w:val="nil"/>
              <w:left w:val="nil"/>
              <w:bottom w:val="single" w:sz="4" w:space="0" w:color="auto"/>
              <w:right w:val="single" w:sz="4" w:space="0" w:color="auto"/>
            </w:tcBorders>
            <w:shd w:val="clear" w:color="auto" w:fill="auto"/>
            <w:noWrap/>
            <w:vAlign w:val="center"/>
          </w:tcPr>
          <w:p w14:paraId="3E369347" w14:textId="77777777" w:rsidR="00F8589C" w:rsidRPr="00861214" w:rsidDel="00400EC6" w:rsidRDefault="00F8589C" w:rsidP="00C368FF">
            <w:pPr>
              <w:jc w:val="right"/>
              <w:rPr>
                <w:color w:val="000000"/>
                <w:sz w:val="20"/>
                <w:szCs w:val="20"/>
              </w:rPr>
            </w:pPr>
            <w:r>
              <w:rPr>
                <w:color w:val="000000"/>
                <w:sz w:val="20"/>
              </w:rPr>
              <w:t>30</w:t>
            </w:r>
          </w:p>
        </w:tc>
      </w:tr>
      <w:tr w:rsidR="00F8589C" w:rsidRPr="00861214" w14:paraId="52DA5B03" w14:textId="77777777" w:rsidTr="00C368FF">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3D34C833" w14:textId="1BBB3DE5" w:rsidR="00F8589C" w:rsidRPr="00861214" w:rsidRDefault="00F8589C" w:rsidP="00C368FF">
            <w:pPr>
              <w:rPr>
                <w:sz w:val="20"/>
                <w:szCs w:val="20"/>
              </w:rPr>
            </w:pPr>
            <w:r>
              <w:rPr>
                <w:sz w:val="20"/>
              </w:rPr>
              <w:t>H. Coûts des services administratifs de l</w:t>
            </w:r>
            <w:r w:rsidR="00872521">
              <w:rPr>
                <w:sz w:val="20"/>
              </w:rPr>
              <w:t>’</w:t>
            </w:r>
            <w:r>
              <w:rPr>
                <w:sz w:val="20"/>
              </w:rPr>
              <w:t>UICN (maximum)</w:t>
            </w:r>
          </w:p>
        </w:tc>
        <w:tc>
          <w:tcPr>
            <w:tcW w:w="1381" w:type="dxa"/>
            <w:tcBorders>
              <w:top w:val="nil"/>
              <w:left w:val="nil"/>
              <w:bottom w:val="single" w:sz="4" w:space="0" w:color="auto"/>
              <w:right w:val="single" w:sz="4" w:space="0" w:color="auto"/>
            </w:tcBorders>
            <w:shd w:val="clear" w:color="000000" w:fill="EAF1DD"/>
            <w:noWrap/>
            <w:vAlign w:val="center"/>
            <w:hideMark/>
          </w:tcPr>
          <w:p w14:paraId="2CF12578" w14:textId="77777777" w:rsidR="00F8589C" w:rsidRPr="00861214" w:rsidRDefault="00F8589C" w:rsidP="00C368FF">
            <w:pPr>
              <w:jc w:val="right"/>
              <w:rPr>
                <w:b/>
                <w:bCs/>
                <w:sz w:val="20"/>
                <w:szCs w:val="20"/>
              </w:rPr>
            </w:pPr>
            <w:r>
              <w:rPr>
                <w:b/>
                <w:sz w:val="20"/>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3A37375F" w14:textId="77777777" w:rsidR="00F8589C" w:rsidRPr="00861214" w:rsidRDefault="00F8589C" w:rsidP="00C368FF">
            <w:pPr>
              <w:jc w:val="right"/>
              <w:rPr>
                <w:b/>
                <w:bCs/>
                <w:sz w:val="20"/>
                <w:szCs w:val="20"/>
              </w:rPr>
            </w:pPr>
            <w:r>
              <w:rPr>
                <w:b/>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3541BFD" w14:textId="77777777" w:rsidR="00F8589C" w:rsidRPr="00861214" w:rsidRDefault="00F8589C" w:rsidP="00C368FF">
            <w:pPr>
              <w:jc w:val="right"/>
              <w:rPr>
                <w:b/>
                <w:bCs/>
                <w:color w:val="000000"/>
                <w:sz w:val="20"/>
                <w:szCs w:val="20"/>
              </w:rPr>
            </w:pPr>
            <w:r>
              <w:rPr>
                <w:b/>
                <w:color w:val="000000"/>
                <w:sz w:val="20"/>
              </w:rPr>
              <w:t>1</w:t>
            </w:r>
          </w:p>
        </w:tc>
        <w:tc>
          <w:tcPr>
            <w:tcW w:w="1381" w:type="dxa"/>
            <w:tcBorders>
              <w:top w:val="nil"/>
              <w:left w:val="nil"/>
              <w:bottom w:val="single" w:sz="4" w:space="0" w:color="auto"/>
              <w:right w:val="single" w:sz="4" w:space="0" w:color="auto"/>
            </w:tcBorders>
            <w:shd w:val="clear" w:color="000000" w:fill="EAF1DD"/>
            <w:noWrap/>
            <w:vAlign w:val="center"/>
            <w:hideMark/>
          </w:tcPr>
          <w:p w14:paraId="7CC2A900" w14:textId="77777777" w:rsidR="00F8589C" w:rsidRPr="00861214" w:rsidRDefault="00F8589C" w:rsidP="00C368FF">
            <w:pPr>
              <w:jc w:val="right"/>
              <w:rPr>
                <w:b/>
                <w:bCs/>
                <w:color w:val="000000"/>
                <w:sz w:val="20"/>
                <w:szCs w:val="20"/>
              </w:rPr>
            </w:pPr>
            <w:r>
              <w:rPr>
                <w:b/>
                <w:color w:val="000000"/>
                <w:sz w:val="20"/>
              </w:rPr>
              <w:t>542</w:t>
            </w:r>
          </w:p>
        </w:tc>
      </w:tr>
      <w:tr w:rsidR="00F8589C" w:rsidRPr="00861214" w14:paraId="1EC5583A"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25F3A" w14:textId="77777777" w:rsidR="00F8589C" w:rsidRPr="00861214" w:rsidRDefault="00F8589C" w:rsidP="00C368FF">
            <w:pPr>
              <w:rPr>
                <w:sz w:val="20"/>
                <w:szCs w:val="20"/>
              </w:rPr>
            </w:pPr>
            <w:r>
              <w:rPr>
                <w:sz w:val="20"/>
              </w:rPr>
              <w:t>Administration, ressources humaines, services financiers et services informatiques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06C0572" w14:textId="77777777" w:rsidR="00F8589C" w:rsidRPr="00861214" w:rsidRDefault="00F8589C" w:rsidP="00C368FF">
            <w:pPr>
              <w:jc w:val="right"/>
              <w:rPr>
                <w:sz w:val="20"/>
                <w:szCs w:val="20"/>
              </w:rPr>
            </w:pPr>
            <w:r>
              <w:rPr>
                <w:sz w:val="20"/>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19A3EF" w14:textId="77777777" w:rsidR="00F8589C" w:rsidRPr="00861214" w:rsidRDefault="00F8589C" w:rsidP="00C368FF">
            <w:pPr>
              <w:jc w:val="right"/>
              <w:rPr>
                <w:sz w:val="20"/>
                <w:szCs w:val="20"/>
              </w:rPr>
            </w:pPr>
            <w:r>
              <w:rPr>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C02C" w14:textId="77777777" w:rsidR="00F8589C" w:rsidRPr="00861214" w:rsidRDefault="00F8589C" w:rsidP="00C368FF">
            <w:pPr>
              <w:jc w:val="right"/>
              <w:rPr>
                <w:color w:val="000000"/>
                <w:sz w:val="20"/>
                <w:szCs w:val="20"/>
              </w:rPr>
            </w:pPr>
            <w:r>
              <w:rPr>
                <w:color w:val="000000"/>
                <w:sz w:val="20"/>
              </w:rPr>
              <w:t>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83223E" w14:textId="77777777" w:rsidR="00F8589C" w:rsidRPr="00861214" w:rsidRDefault="00F8589C" w:rsidP="00C368FF">
            <w:pPr>
              <w:jc w:val="right"/>
              <w:rPr>
                <w:color w:val="000000"/>
                <w:sz w:val="20"/>
                <w:szCs w:val="20"/>
              </w:rPr>
            </w:pPr>
            <w:r>
              <w:rPr>
                <w:color w:val="000000"/>
                <w:sz w:val="20"/>
              </w:rPr>
              <w:t>542</w:t>
            </w:r>
          </w:p>
        </w:tc>
      </w:tr>
      <w:tr w:rsidR="00F8589C" w:rsidRPr="00861214" w14:paraId="274803E4"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3D6694A" w14:textId="77777777" w:rsidR="00F8589C" w:rsidRPr="00861214" w:rsidRDefault="00F8589C" w:rsidP="00C368FF">
            <w:pPr>
              <w:rPr>
                <w:sz w:val="20"/>
                <w:szCs w:val="20"/>
              </w:rPr>
            </w:pPr>
            <w:r>
              <w:rPr>
                <w:sz w:val="20"/>
              </w:rPr>
              <w:t>I. Divers - Fonds de réserve</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391EE0D" w14:textId="77777777" w:rsidR="00F8589C" w:rsidRPr="00861214" w:rsidRDefault="00F8589C" w:rsidP="00C368FF">
            <w:pPr>
              <w:jc w:val="right"/>
              <w:rPr>
                <w:b/>
                <w:bCs/>
                <w:sz w:val="20"/>
                <w:szCs w:val="20"/>
              </w:rPr>
            </w:pPr>
            <w:r>
              <w:rPr>
                <w:b/>
                <w:sz w:val="20"/>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066205C" w14:textId="77777777" w:rsidR="00F8589C" w:rsidRPr="00861214" w:rsidRDefault="00F8589C" w:rsidP="00C368FF">
            <w:pPr>
              <w:jc w:val="right"/>
              <w:rPr>
                <w:b/>
                <w:bCs/>
                <w:sz w:val="20"/>
                <w:szCs w:val="20"/>
              </w:rPr>
            </w:pPr>
            <w:r>
              <w:rPr>
                <w:b/>
                <w:sz w:val="20"/>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8F42B05" w14:textId="77777777" w:rsidR="00F8589C" w:rsidRPr="00861214" w:rsidRDefault="00F8589C" w:rsidP="00C368FF">
            <w:pPr>
              <w:jc w:val="right"/>
              <w:rPr>
                <w:b/>
                <w:bCs/>
                <w:color w:val="000000"/>
                <w:sz w:val="20"/>
                <w:szCs w:val="20"/>
              </w:rPr>
            </w:pPr>
            <w:r>
              <w:rPr>
                <w:b/>
                <w:color w:val="000000"/>
                <w:sz w:val="20"/>
              </w:rPr>
              <w:t>5</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A234CDA" w14:textId="77777777" w:rsidR="00F8589C" w:rsidRPr="00861214" w:rsidRDefault="00F8589C" w:rsidP="00C368FF">
            <w:pPr>
              <w:jc w:val="right"/>
              <w:rPr>
                <w:b/>
                <w:bCs/>
                <w:color w:val="000000"/>
                <w:sz w:val="20"/>
                <w:szCs w:val="20"/>
              </w:rPr>
            </w:pPr>
            <w:r>
              <w:rPr>
                <w:b/>
                <w:color w:val="000000"/>
                <w:sz w:val="20"/>
              </w:rPr>
              <w:t>234</w:t>
            </w:r>
          </w:p>
        </w:tc>
      </w:tr>
      <w:tr w:rsidR="00F8589C" w:rsidRPr="00861214" w14:paraId="6BDA960A"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0C9FA41" w14:textId="77777777" w:rsidR="00F8589C" w:rsidRPr="00861214" w:rsidRDefault="00F8589C" w:rsidP="00C368FF">
            <w:pPr>
              <w:rPr>
                <w:sz w:val="20"/>
                <w:szCs w:val="20"/>
              </w:rPr>
            </w:pPr>
            <w:r>
              <w:rPr>
                <w:sz w:val="20"/>
              </w:rPr>
              <w:t>Provisions pour le personnel</w:t>
            </w:r>
          </w:p>
        </w:tc>
        <w:tc>
          <w:tcPr>
            <w:tcW w:w="1381" w:type="dxa"/>
            <w:tcBorders>
              <w:top w:val="nil"/>
              <w:left w:val="nil"/>
              <w:bottom w:val="single" w:sz="4" w:space="0" w:color="auto"/>
              <w:right w:val="single" w:sz="4" w:space="0" w:color="auto"/>
            </w:tcBorders>
            <w:shd w:val="clear" w:color="auto" w:fill="auto"/>
            <w:noWrap/>
            <w:vAlign w:val="center"/>
            <w:hideMark/>
          </w:tcPr>
          <w:p w14:paraId="2F923A79" w14:textId="77777777" w:rsidR="00F8589C" w:rsidRPr="00861214" w:rsidRDefault="00F8589C" w:rsidP="00C368FF">
            <w:pPr>
              <w:jc w:val="right"/>
              <w:rPr>
                <w:sz w:val="20"/>
                <w:szCs w:val="20"/>
              </w:rPr>
            </w:pPr>
            <w:r>
              <w:rPr>
                <w:sz w:val="20"/>
              </w:rPr>
              <w:t>20</w:t>
            </w:r>
          </w:p>
        </w:tc>
        <w:tc>
          <w:tcPr>
            <w:tcW w:w="1381" w:type="dxa"/>
            <w:tcBorders>
              <w:top w:val="nil"/>
              <w:left w:val="nil"/>
              <w:bottom w:val="single" w:sz="4" w:space="0" w:color="auto"/>
              <w:right w:val="single" w:sz="4" w:space="0" w:color="auto"/>
            </w:tcBorders>
            <w:shd w:val="clear" w:color="auto" w:fill="auto"/>
            <w:noWrap/>
            <w:vAlign w:val="center"/>
            <w:hideMark/>
          </w:tcPr>
          <w:p w14:paraId="17DA09E7"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BAA382"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D1F7BBB" w14:textId="77777777" w:rsidR="00F8589C" w:rsidRPr="00861214" w:rsidRDefault="00F8589C" w:rsidP="00C368FF">
            <w:pPr>
              <w:jc w:val="right"/>
              <w:rPr>
                <w:color w:val="000000"/>
                <w:sz w:val="20"/>
                <w:szCs w:val="20"/>
              </w:rPr>
            </w:pPr>
            <w:r>
              <w:rPr>
                <w:color w:val="000000"/>
                <w:sz w:val="20"/>
              </w:rPr>
              <w:t>20</w:t>
            </w:r>
          </w:p>
        </w:tc>
      </w:tr>
      <w:tr w:rsidR="00F8589C" w:rsidRPr="00861214" w14:paraId="66877FEE"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BBAE70F" w14:textId="77777777" w:rsidR="00F8589C" w:rsidRPr="00861214" w:rsidRDefault="00F8589C" w:rsidP="00C368FF">
            <w:pPr>
              <w:rPr>
                <w:sz w:val="20"/>
                <w:szCs w:val="20"/>
              </w:rPr>
            </w:pPr>
            <w:r>
              <w:rPr>
                <w:sz w:val="20"/>
              </w:rPr>
              <w:t>Provision au titre des contributions impayées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C3EF3CF" w14:textId="77777777" w:rsidR="00F8589C" w:rsidRPr="00861214" w:rsidRDefault="00F8589C" w:rsidP="00C368FF">
            <w:pPr>
              <w:jc w:val="right"/>
              <w:rPr>
                <w:sz w:val="20"/>
                <w:szCs w:val="20"/>
              </w:rPr>
            </w:pPr>
            <w:r>
              <w:rPr>
                <w:sz w:val="20"/>
              </w:rPr>
              <w:t>30</w:t>
            </w:r>
          </w:p>
        </w:tc>
        <w:tc>
          <w:tcPr>
            <w:tcW w:w="1381" w:type="dxa"/>
            <w:tcBorders>
              <w:top w:val="nil"/>
              <w:left w:val="nil"/>
              <w:bottom w:val="single" w:sz="4" w:space="0" w:color="auto"/>
              <w:right w:val="single" w:sz="4" w:space="0" w:color="auto"/>
            </w:tcBorders>
            <w:shd w:val="clear" w:color="auto" w:fill="auto"/>
            <w:noWrap/>
            <w:vAlign w:val="center"/>
            <w:hideMark/>
          </w:tcPr>
          <w:p w14:paraId="661BF901" w14:textId="77777777" w:rsidR="00F8589C" w:rsidRPr="00861214" w:rsidRDefault="00F8589C" w:rsidP="00C368FF">
            <w:pPr>
              <w:jc w:val="right"/>
              <w:rPr>
                <w:sz w:val="20"/>
                <w:szCs w:val="20"/>
              </w:rPr>
            </w:pPr>
            <w:r>
              <w:rPr>
                <w:sz w:val="20"/>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A2C8D07"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A2B346F" w14:textId="77777777" w:rsidR="00F8589C" w:rsidRPr="00861214" w:rsidRDefault="00F8589C" w:rsidP="00C368FF">
            <w:pPr>
              <w:jc w:val="right"/>
              <w:rPr>
                <w:color w:val="000000"/>
                <w:sz w:val="20"/>
                <w:szCs w:val="20"/>
              </w:rPr>
            </w:pPr>
            <w:r>
              <w:rPr>
                <w:color w:val="000000"/>
                <w:sz w:val="20"/>
              </w:rPr>
              <w:t>150</w:t>
            </w:r>
          </w:p>
        </w:tc>
      </w:tr>
      <w:tr w:rsidR="00F8589C" w:rsidRPr="00861214" w14:paraId="32A31B0A"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743C62B" w14:textId="77777777" w:rsidR="00F8589C" w:rsidRPr="00861214" w:rsidRDefault="00F8589C" w:rsidP="00C368FF">
            <w:pPr>
              <w:rPr>
                <w:sz w:val="20"/>
                <w:szCs w:val="20"/>
              </w:rPr>
            </w:pPr>
            <w:r>
              <w:rPr>
                <w:sz w:val="20"/>
              </w:rPr>
              <w:t>Gains/pertes liés au change</w:t>
            </w:r>
          </w:p>
        </w:tc>
        <w:tc>
          <w:tcPr>
            <w:tcW w:w="1381" w:type="dxa"/>
            <w:tcBorders>
              <w:top w:val="nil"/>
              <w:left w:val="nil"/>
              <w:bottom w:val="single" w:sz="4" w:space="0" w:color="auto"/>
              <w:right w:val="single" w:sz="4" w:space="0" w:color="auto"/>
            </w:tcBorders>
            <w:shd w:val="clear" w:color="auto" w:fill="auto"/>
            <w:noWrap/>
            <w:vAlign w:val="center"/>
            <w:hideMark/>
          </w:tcPr>
          <w:p w14:paraId="7E16515C" w14:textId="77777777" w:rsidR="00F8589C" w:rsidRPr="00861214" w:rsidRDefault="00F8589C" w:rsidP="00C368FF">
            <w:pPr>
              <w:jc w:val="right"/>
              <w:rPr>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93C2C6F"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4817B76" w14:textId="77777777" w:rsidR="00F8589C" w:rsidRPr="00861214" w:rsidRDefault="00F8589C" w:rsidP="00C368FF">
            <w:pPr>
              <w:jc w:val="right"/>
              <w:rPr>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6A2F3E" w14:textId="77777777" w:rsidR="00F8589C" w:rsidRPr="00861214" w:rsidRDefault="00F8589C" w:rsidP="00C368FF">
            <w:pPr>
              <w:jc w:val="right"/>
              <w:rPr>
                <w:color w:val="000000"/>
                <w:sz w:val="20"/>
                <w:szCs w:val="20"/>
              </w:rPr>
            </w:pPr>
            <w:r>
              <w:rPr>
                <w:color w:val="000000"/>
                <w:sz w:val="20"/>
              </w:rPr>
              <w:t>0</w:t>
            </w:r>
          </w:p>
        </w:tc>
      </w:tr>
      <w:tr w:rsidR="00F8589C" w:rsidRPr="00861214" w14:paraId="5D6F25D0"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6512D58" w14:textId="77777777" w:rsidR="00F8589C" w:rsidRPr="00861214" w:rsidRDefault="00F8589C" w:rsidP="00C368FF">
            <w:pPr>
              <w:rPr>
                <w:sz w:val="20"/>
                <w:szCs w:val="20"/>
              </w:rPr>
            </w:pPr>
            <w:r>
              <w:rPr>
                <w:sz w:val="20"/>
              </w:rPr>
              <w:t>Services juridiques</w:t>
            </w:r>
          </w:p>
        </w:tc>
        <w:tc>
          <w:tcPr>
            <w:tcW w:w="1381" w:type="dxa"/>
            <w:tcBorders>
              <w:top w:val="nil"/>
              <w:left w:val="nil"/>
              <w:bottom w:val="single" w:sz="4" w:space="0" w:color="auto"/>
              <w:right w:val="single" w:sz="4" w:space="0" w:color="auto"/>
            </w:tcBorders>
            <w:shd w:val="clear" w:color="auto" w:fill="auto"/>
            <w:noWrap/>
            <w:vAlign w:val="center"/>
            <w:hideMark/>
          </w:tcPr>
          <w:p w14:paraId="63455339" w14:textId="77777777" w:rsidR="00F8589C" w:rsidRPr="00861214" w:rsidRDefault="00F8589C" w:rsidP="00C368FF">
            <w:pPr>
              <w:jc w:val="right"/>
              <w:rPr>
                <w:sz w:val="20"/>
                <w:szCs w:val="20"/>
              </w:rPr>
            </w:pPr>
            <w:r>
              <w:rPr>
                <w:sz w:val="20"/>
              </w:rPr>
              <w:t>59</w:t>
            </w:r>
          </w:p>
        </w:tc>
        <w:tc>
          <w:tcPr>
            <w:tcW w:w="1381" w:type="dxa"/>
            <w:tcBorders>
              <w:top w:val="nil"/>
              <w:left w:val="nil"/>
              <w:bottom w:val="single" w:sz="4" w:space="0" w:color="auto"/>
              <w:right w:val="single" w:sz="4" w:space="0" w:color="auto"/>
            </w:tcBorders>
            <w:shd w:val="clear" w:color="auto" w:fill="auto"/>
            <w:noWrap/>
            <w:vAlign w:val="center"/>
            <w:hideMark/>
          </w:tcPr>
          <w:p w14:paraId="75968BC5" w14:textId="77777777" w:rsidR="00F8589C" w:rsidRPr="00861214" w:rsidRDefault="00F8589C" w:rsidP="00C368FF">
            <w:pPr>
              <w:jc w:val="right"/>
              <w:rPr>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B7CEB25" w14:textId="77777777" w:rsidR="00F8589C" w:rsidRPr="00861214" w:rsidRDefault="00F8589C" w:rsidP="00C368FF">
            <w:pPr>
              <w:jc w:val="right"/>
              <w:rPr>
                <w:color w:val="000000"/>
                <w:sz w:val="20"/>
                <w:szCs w:val="20"/>
              </w:rPr>
            </w:pPr>
            <w:r>
              <w:rPr>
                <w:color w:val="000000"/>
                <w:sz w:val="20"/>
              </w:rPr>
              <w:t>5</w:t>
            </w:r>
          </w:p>
        </w:tc>
        <w:tc>
          <w:tcPr>
            <w:tcW w:w="1381" w:type="dxa"/>
            <w:tcBorders>
              <w:top w:val="nil"/>
              <w:left w:val="nil"/>
              <w:bottom w:val="single" w:sz="4" w:space="0" w:color="auto"/>
              <w:right w:val="single" w:sz="4" w:space="0" w:color="auto"/>
            </w:tcBorders>
            <w:shd w:val="clear" w:color="auto" w:fill="auto"/>
            <w:noWrap/>
            <w:vAlign w:val="center"/>
            <w:hideMark/>
          </w:tcPr>
          <w:p w14:paraId="7255B78A" w14:textId="77777777" w:rsidR="00F8589C" w:rsidRPr="00861214" w:rsidRDefault="00F8589C" w:rsidP="00C368FF">
            <w:pPr>
              <w:jc w:val="right"/>
              <w:rPr>
                <w:color w:val="000000"/>
                <w:sz w:val="20"/>
                <w:szCs w:val="20"/>
              </w:rPr>
            </w:pPr>
            <w:r>
              <w:rPr>
                <w:color w:val="000000"/>
                <w:sz w:val="20"/>
              </w:rPr>
              <w:t>64</w:t>
            </w:r>
          </w:p>
        </w:tc>
      </w:tr>
      <w:tr w:rsidR="00F8589C" w:rsidRPr="00861214" w14:paraId="0622B5DA" w14:textId="77777777" w:rsidTr="00C368FF">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C0A7FFF" w14:textId="77777777" w:rsidR="00F8589C" w:rsidRPr="00861214" w:rsidRDefault="00F8589C" w:rsidP="00C368FF">
            <w:pPr>
              <w:rPr>
                <w:b/>
                <w:bCs/>
                <w:color w:val="000000"/>
                <w:sz w:val="20"/>
                <w:szCs w:val="20"/>
              </w:rPr>
            </w:pPr>
            <w:r>
              <w:rPr>
                <w:b/>
                <w:color w:val="000000"/>
                <w:sz w:val="20"/>
              </w:rPr>
              <w:t>TOTAL DÉPENSES</w:t>
            </w:r>
          </w:p>
        </w:tc>
        <w:tc>
          <w:tcPr>
            <w:tcW w:w="1381" w:type="dxa"/>
            <w:tcBorders>
              <w:top w:val="nil"/>
              <w:left w:val="nil"/>
              <w:bottom w:val="single" w:sz="4" w:space="0" w:color="auto"/>
              <w:right w:val="single" w:sz="4" w:space="0" w:color="auto"/>
            </w:tcBorders>
            <w:shd w:val="clear" w:color="000000" w:fill="D6E3BC"/>
            <w:noWrap/>
            <w:vAlign w:val="center"/>
            <w:hideMark/>
          </w:tcPr>
          <w:p w14:paraId="09DD0E8A" w14:textId="77777777" w:rsidR="00F8589C" w:rsidRPr="00861214" w:rsidRDefault="00F8589C" w:rsidP="00C368FF">
            <w:pPr>
              <w:jc w:val="right"/>
              <w:rPr>
                <w:b/>
                <w:bCs/>
                <w:color w:val="000000"/>
                <w:sz w:val="20"/>
                <w:szCs w:val="20"/>
              </w:rPr>
            </w:pPr>
            <w:r>
              <w:rPr>
                <w:b/>
                <w:color w:val="000000"/>
                <w:sz w:val="20"/>
              </w:rPr>
              <w:t>5 081</w:t>
            </w:r>
          </w:p>
        </w:tc>
        <w:tc>
          <w:tcPr>
            <w:tcW w:w="1381" w:type="dxa"/>
            <w:tcBorders>
              <w:top w:val="nil"/>
              <w:left w:val="nil"/>
              <w:bottom w:val="single" w:sz="4" w:space="0" w:color="auto"/>
              <w:right w:val="single" w:sz="4" w:space="0" w:color="auto"/>
            </w:tcBorders>
            <w:shd w:val="clear" w:color="000000" w:fill="D6E3BC"/>
            <w:noWrap/>
            <w:vAlign w:val="center"/>
            <w:hideMark/>
          </w:tcPr>
          <w:p w14:paraId="008380C1" w14:textId="77777777" w:rsidR="00F8589C" w:rsidRPr="00861214" w:rsidRDefault="00F8589C" w:rsidP="00C368FF">
            <w:pPr>
              <w:jc w:val="right"/>
              <w:rPr>
                <w:b/>
                <w:bCs/>
                <w:color w:val="000000"/>
                <w:sz w:val="20"/>
                <w:szCs w:val="20"/>
              </w:rPr>
            </w:pPr>
            <w:r>
              <w:rPr>
                <w:b/>
                <w:color w:val="000000"/>
                <w:sz w:val="20"/>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4FEF1D91" w14:textId="77777777" w:rsidR="00F8589C" w:rsidRPr="00861214" w:rsidRDefault="00F8589C" w:rsidP="00C368FF">
            <w:pPr>
              <w:jc w:val="right"/>
              <w:rPr>
                <w:b/>
                <w:bCs/>
                <w:color w:val="000000"/>
                <w:sz w:val="20"/>
                <w:szCs w:val="20"/>
              </w:rPr>
            </w:pPr>
            <w:r>
              <w:rPr>
                <w:b/>
                <w:color w:val="000000"/>
                <w:sz w:val="20"/>
              </w:rPr>
              <w:t>1 232</w:t>
            </w:r>
          </w:p>
        </w:tc>
        <w:tc>
          <w:tcPr>
            <w:tcW w:w="1381" w:type="dxa"/>
            <w:tcBorders>
              <w:top w:val="nil"/>
              <w:left w:val="nil"/>
              <w:bottom w:val="single" w:sz="4" w:space="0" w:color="auto"/>
              <w:right w:val="single" w:sz="4" w:space="0" w:color="auto"/>
            </w:tcBorders>
            <w:shd w:val="clear" w:color="000000" w:fill="D6E3BC"/>
            <w:noWrap/>
            <w:vAlign w:val="center"/>
            <w:hideMark/>
          </w:tcPr>
          <w:p w14:paraId="234E1906" w14:textId="77777777" w:rsidR="00F8589C" w:rsidRPr="00861214" w:rsidRDefault="00F8589C" w:rsidP="00C368FF">
            <w:pPr>
              <w:jc w:val="right"/>
              <w:rPr>
                <w:b/>
                <w:bCs/>
                <w:color w:val="000000"/>
                <w:sz w:val="20"/>
                <w:szCs w:val="20"/>
              </w:rPr>
            </w:pPr>
            <w:r>
              <w:rPr>
                <w:b/>
                <w:color w:val="000000"/>
                <w:sz w:val="20"/>
              </w:rPr>
              <w:t>6 509</w:t>
            </w:r>
          </w:p>
        </w:tc>
      </w:tr>
    </w:tbl>
    <w:p w14:paraId="7CA72849" w14:textId="77777777" w:rsidR="00F8589C" w:rsidRPr="003956B3" w:rsidRDefault="00F8589C" w:rsidP="00F8589C">
      <w:pPr>
        <w:rPr>
          <w:sz w:val="20"/>
          <w:szCs w:val="20"/>
        </w:rPr>
      </w:pPr>
    </w:p>
    <w:p w14:paraId="6E4E6601" w14:textId="77777777" w:rsidR="00CF1C9C" w:rsidRDefault="00CF1C9C">
      <w:pPr>
        <w:widowControl/>
        <w:autoSpaceDE/>
        <w:autoSpaceDN/>
        <w:spacing w:after="160" w:line="259" w:lineRule="auto"/>
        <w:rPr>
          <w:iCs/>
          <w:color w:val="000000" w:themeColor="text1"/>
        </w:rPr>
      </w:pPr>
    </w:p>
    <w:p w14:paraId="1C8A6D3A" w14:textId="77777777" w:rsidR="00CF1C9C" w:rsidRPr="00481CDD" w:rsidRDefault="00CF1C9C" w:rsidP="00481CDD">
      <w:pPr>
        <w:widowControl/>
        <w:autoSpaceDE/>
        <w:autoSpaceDN/>
        <w:rPr>
          <w:iCs/>
          <w:color w:val="000000" w:themeColor="text1"/>
        </w:rPr>
      </w:pPr>
    </w:p>
    <w:sectPr w:rsidR="00CF1C9C" w:rsidRPr="00481CDD" w:rsidSect="002D2F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01DB9" w14:textId="77777777" w:rsidR="00F00251" w:rsidRDefault="00F00251" w:rsidP="00A50555">
      <w:r>
        <w:separator/>
      </w:r>
    </w:p>
  </w:endnote>
  <w:endnote w:type="continuationSeparator" w:id="0">
    <w:p w14:paraId="4752E1E2" w14:textId="77777777" w:rsidR="00F00251" w:rsidRDefault="00F00251"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E1B0" w14:textId="77777777" w:rsidR="00872521" w:rsidRDefault="00872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A6A2" w14:textId="6B948C92" w:rsidR="00C368FF" w:rsidRPr="00591472" w:rsidRDefault="00C368FF" w:rsidP="00591472">
    <w:pPr>
      <w:tabs>
        <w:tab w:val="left" w:pos="8789"/>
      </w:tabs>
      <w:rPr>
        <w:rFonts w:cstheme="minorHAnsi"/>
        <w:sz w:val="18"/>
        <w:szCs w:val="18"/>
      </w:rPr>
    </w:pPr>
    <w:r>
      <w:rPr>
        <w:sz w:val="18"/>
      </w:rPr>
      <w:t>SC63 Com.1</w:t>
    </w:r>
    <w:r>
      <w:rPr>
        <w:sz w:val="18"/>
      </w:rPr>
      <w:tab/>
    </w:r>
    <w:r w:rsidRPr="003563E9">
      <w:rPr>
        <w:rFonts w:cstheme="minorHAnsi"/>
        <w:sz w:val="18"/>
      </w:rPr>
      <w:fldChar w:fldCharType="begin"/>
    </w:r>
    <w:r w:rsidRPr="003563E9">
      <w:rPr>
        <w:rFonts w:cstheme="minorHAnsi"/>
        <w:sz w:val="18"/>
      </w:rPr>
      <w:instrText xml:space="preserve"> PAGE   \* MERGEFORMAT </w:instrText>
    </w:r>
    <w:r w:rsidRPr="003563E9">
      <w:rPr>
        <w:rFonts w:cstheme="minorHAnsi"/>
        <w:sz w:val="18"/>
      </w:rPr>
      <w:fldChar w:fldCharType="separate"/>
    </w:r>
    <w:r>
      <w:rPr>
        <w:rFonts w:cstheme="minorHAnsi"/>
        <w:sz w:val="18"/>
      </w:rPr>
      <w:t>5</w:t>
    </w:r>
    <w:r w:rsidRPr="003563E9">
      <w:rPr>
        <w:rFonts w:cstheme="minorHAns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DA85" w14:textId="77777777" w:rsidR="00872521" w:rsidRDefault="0087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AF11F" w14:textId="77777777" w:rsidR="00F00251" w:rsidRDefault="00F00251" w:rsidP="00A50555">
      <w:r>
        <w:separator/>
      </w:r>
    </w:p>
  </w:footnote>
  <w:footnote w:type="continuationSeparator" w:id="0">
    <w:p w14:paraId="731C1762" w14:textId="77777777" w:rsidR="00F00251" w:rsidRDefault="00F00251" w:rsidP="00A50555">
      <w:r>
        <w:continuationSeparator/>
      </w:r>
    </w:p>
  </w:footnote>
  <w:footnote w:id="1">
    <w:p w14:paraId="7AECEECF" w14:textId="4460513D" w:rsidR="009317C3" w:rsidRPr="009317C3" w:rsidRDefault="009317C3">
      <w:pPr>
        <w:pStyle w:val="FootnoteText"/>
      </w:pPr>
      <w:r>
        <w:rPr>
          <w:rStyle w:val="FootnoteReference"/>
        </w:rPr>
        <w:footnoteRef/>
      </w:r>
      <w:r>
        <w:t xml:space="preserve"> Le budget administratif modifié qui résulterait de l</w:t>
      </w:r>
      <w:r w:rsidR="00872521">
        <w:t>’</w:t>
      </w:r>
      <w:r>
        <w:t>approbation de cette allocation est présenté à l</w:t>
      </w:r>
      <w:r w:rsidR="00872521">
        <w:t>’</w:t>
      </w:r>
      <w:r>
        <w:t>annexe 1 ci-après.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94BC" w14:textId="77777777" w:rsidR="00872521" w:rsidRDefault="00872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FE79" w14:textId="77777777" w:rsidR="00872521" w:rsidRDefault="00872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B32B" w14:textId="77777777" w:rsidR="00872521" w:rsidRDefault="0087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BD1CC3"/>
    <w:multiLevelType w:val="hybridMultilevel"/>
    <w:tmpl w:val="5620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202D7"/>
    <w:multiLevelType w:val="hybridMultilevel"/>
    <w:tmpl w:val="55DE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817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6"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8"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2" w15:restartNumberingAfterBreak="0">
    <w:nsid w:val="6D423E85"/>
    <w:multiLevelType w:val="hybridMultilevel"/>
    <w:tmpl w:val="A71EB950"/>
    <w:lvl w:ilvl="0" w:tplc="A00216B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6" w15:restartNumberingAfterBreak="0">
    <w:nsid w:val="7F692C40"/>
    <w:multiLevelType w:val="hybridMultilevel"/>
    <w:tmpl w:val="6004D778"/>
    <w:lvl w:ilvl="0" w:tplc="DF36A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24"/>
  </w:num>
  <w:num w:numId="4">
    <w:abstractNumId w:val="26"/>
  </w:num>
  <w:num w:numId="5">
    <w:abstractNumId w:val="25"/>
  </w:num>
  <w:num w:numId="6">
    <w:abstractNumId w:val="17"/>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0"/>
  </w:num>
  <w:num w:numId="1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14"/>
  </w:num>
  <w:num w:numId="21">
    <w:abstractNumId w:val="2"/>
  </w:num>
  <w:num w:numId="22">
    <w:abstractNumId w:val="19"/>
  </w:num>
  <w:num w:numId="23">
    <w:abstractNumId w:val="29"/>
  </w:num>
  <w:num w:numId="24">
    <w:abstractNumId w:val="45"/>
  </w:num>
  <w:num w:numId="25">
    <w:abstractNumId w:val="43"/>
  </w:num>
  <w:num w:numId="26">
    <w:abstractNumId w:val="35"/>
  </w:num>
  <w:num w:numId="27">
    <w:abstractNumId w:val="37"/>
  </w:num>
  <w:num w:numId="28">
    <w:abstractNumId w:val="21"/>
  </w:num>
  <w:num w:numId="29">
    <w:abstractNumId w:val="32"/>
  </w:num>
  <w:num w:numId="30">
    <w:abstractNumId w:val="27"/>
  </w:num>
  <w:num w:numId="31">
    <w:abstractNumId w:val="41"/>
  </w:num>
  <w:num w:numId="32">
    <w:abstractNumId w:val="10"/>
  </w:num>
  <w:num w:numId="33">
    <w:abstractNumId w:val="0"/>
  </w:num>
  <w:num w:numId="34">
    <w:abstractNumId w:val="13"/>
  </w:num>
  <w:num w:numId="35">
    <w:abstractNumId w:val="3"/>
  </w:num>
  <w:num w:numId="36">
    <w:abstractNumId w:val="16"/>
  </w:num>
  <w:num w:numId="37">
    <w:abstractNumId w:val="38"/>
  </w:num>
  <w:num w:numId="38">
    <w:abstractNumId w:val="2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20"/>
  </w:num>
  <w:num w:numId="43">
    <w:abstractNumId w:val="6"/>
  </w:num>
  <w:num w:numId="44">
    <w:abstractNumId w:val="44"/>
  </w:num>
  <w:num w:numId="45">
    <w:abstractNumId w:val="42"/>
  </w:num>
  <w:num w:numId="46">
    <w:abstractNumId w:val="46"/>
  </w:num>
  <w:num w:numId="47">
    <w:abstractNumId w:val="33"/>
  </w:num>
  <w:num w:numId="48">
    <w:abstractNumId w:val="34"/>
  </w:num>
  <w:num w:numId="49">
    <w:abstractNumId w:val="3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oNotTrackFormatting/>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A5"/>
    <w:rsid w:val="00007D3B"/>
    <w:rsid w:val="00010305"/>
    <w:rsid w:val="000159B6"/>
    <w:rsid w:val="00016A24"/>
    <w:rsid w:val="00021CD9"/>
    <w:rsid w:val="00022CF7"/>
    <w:rsid w:val="0002451C"/>
    <w:rsid w:val="00030B65"/>
    <w:rsid w:val="000400BF"/>
    <w:rsid w:val="00041781"/>
    <w:rsid w:val="000418F6"/>
    <w:rsid w:val="00061146"/>
    <w:rsid w:val="00066096"/>
    <w:rsid w:val="0007473E"/>
    <w:rsid w:val="00075BDC"/>
    <w:rsid w:val="00080D2B"/>
    <w:rsid w:val="0008515E"/>
    <w:rsid w:val="00086956"/>
    <w:rsid w:val="00090AA6"/>
    <w:rsid w:val="0009289B"/>
    <w:rsid w:val="00093528"/>
    <w:rsid w:val="0009409C"/>
    <w:rsid w:val="000A03A9"/>
    <w:rsid w:val="000A365E"/>
    <w:rsid w:val="000B2E06"/>
    <w:rsid w:val="000C231F"/>
    <w:rsid w:val="000C2F91"/>
    <w:rsid w:val="000D3076"/>
    <w:rsid w:val="000D7390"/>
    <w:rsid w:val="000D7AD9"/>
    <w:rsid w:val="000D7C0D"/>
    <w:rsid w:val="000E0AE5"/>
    <w:rsid w:val="000E3ACD"/>
    <w:rsid w:val="000E645B"/>
    <w:rsid w:val="000F0E85"/>
    <w:rsid w:val="000F0F91"/>
    <w:rsid w:val="000F46B6"/>
    <w:rsid w:val="000F4BA3"/>
    <w:rsid w:val="000F77DA"/>
    <w:rsid w:val="00101312"/>
    <w:rsid w:val="001019BA"/>
    <w:rsid w:val="00101AD3"/>
    <w:rsid w:val="001037CE"/>
    <w:rsid w:val="001118B5"/>
    <w:rsid w:val="0011723D"/>
    <w:rsid w:val="00123A19"/>
    <w:rsid w:val="00126EFB"/>
    <w:rsid w:val="00143B34"/>
    <w:rsid w:val="0014402E"/>
    <w:rsid w:val="00145E4F"/>
    <w:rsid w:val="00152F66"/>
    <w:rsid w:val="001652D1"/>
    <w:rsid w:val="0018412E"/>
    <w:rsid w:val="00187E32"/>
    <w:rsid w:val="001959BA"/>
    <w:rsid w:val="00196236"/>
    <w:rsid w:val="00197CD7"/>
    <w:rsid w:val="001A0A0B"/>
    <w:rsid w:val="001A3D68"/>
    <w:rsid w:val="001A6241"/>
    <w:rsid w:val="001A64EB"/>
    <w:rsid w:val="001B5313"/>
    <w:rsid w:val="001B7BC0"/>
    <w:rsid w:val="001C794F"/>
    <w:rsid w:val="001D2121"/>
    <w:rsid w:val="001D2175"/>
    <w:rsid w:val="001D6A6C"/>
    <w:rsid w:val="001D7A8A"/>
    <w:rsid w:val="001D7D26"/>
    <w:rsid w:val="001E583C"/>
    <w:rsid w:val="001F0201"/>
    <w:rsid w:val="001F1060"/>
    <w:rsid w:val="001F11ED"/>
    <w:rsid w:val="0020137C"/>
    <w:rsid w:val="00204595"/>
    <w:rsid w:val="002050D5"/>
    <w:rsid w:val="00210409"/>
    <w:rsid w:val="00213D29"/>
    <w:rsid w:val="002261FB"/>
    <w:rsid w:val="002275AA"/>
    <w:rsid w:val="00230B95"/>
    <w:rsid w:val="00241CF4"/>
    <w:rsid w:val="0025113C"/>
    <w:rsid w:val="00254B41"/>
    <w:rsid w:val="00261AFB"/>
    <w:rsid w:val="002731BF"/>
    <w:rsid w:val="00273A11"/>
    <w:rsid w:val="002753A2"/>
    <w:rsid w:val="002761E2"/>
    <w:rsid w:val="00293327"/>
    <w:rsid w:val="002965DA"/>
    <w:rsid w:val="002A33FB"/>
    <w:rsid w:val="002A573F"/>
    <w:rsid w:val="002B0987"/>
    <w:rsid w:val="002B1CFE"/>
    <w:rsid w:val="002B56FE"/>
    <w:rsid w:val="002C233F"/>
    <w:rsid w:val="002C2CCE"/>
    <w:rsid w:val="002C7AAB"/>
    <w:rsid w:val="002D2F4B"/>
    <w:rsid w:val="002E00B9"/>
    <w:rsid w:val="002E1AA7"/>
    <w:rsid w:val="002E1C17"/>
    <w:rsid w:val="002E2BC5"/>
    <w:rsid w:val="002E6E44"/>
    <w:rsid w:val="002F01C2"/>
    <w:rsid w:val="00302AF5"/>
    <w:rsid w:val="0031045A"/>
    <w:rsid w:val="003120C7"/>
    <w:rsid w:val="00312617"/>
    <w:rsid w:val="00312AAB"/>
    <w:rsid w:val="00315BA4"/>
    <w:rsid w:val="00332676"/>
    <w:rsid w:val="003367DB"/>
    <w:rsid w:val="00347815"/>
    <w:rsid w:val="0035107E"/>
    <w:rsid w:val="003563E9"/>
    <w:rsid w:val="00356EEC"/>
    <w:rsid w:val="003621B6"/>
    <w:rsid w:val="003625AF"/>
    <w:rsid w:val="003636C0"/>
    <w:rsid w:val="00370162"/>
    <w:rsid w:val="003765E9"/>
    <w:rsid w:val="00381076"/>
    <w:rsid w:val="00383621"/>
    <w:rsid w:val="003836D6"/>
    <w:rsid w:val="003857D7"/>
    <w:rsid w:val="003A3C66"/>
    <w:rsid w:val="003A57E5"/>
    <w:rsid w:val="003B1DC5"/>
    <w:rsid w:val="003C0BB1"/>
    <w:rsid w:val="003C0CBD"/>
    <w:rsid w:val="003C3176"/>
    <w:rsid w:val="003C5B18"/>
    <w:rsid w:val="003C7862"/>
    <w:rsid w:val="003D0E8A"/>
    <w:rsid w:val="003E07B1"/>
    <w:rsid w:val="003E1E49"/>
    <w:rsid w:val="003F204D"/>
    <w:rsid w:val="003F3625"/>
    <w:rsid w:val="003F688F"/>
    <w:rsid w:val="00400161"/>
    <w:rsid w:val="0040088B"/>
    <w:rsid w:val="00401F37"/>
    <w:rsid w:val="00404720"/>
    <w:rsid w:val="0040735E"/>
    <w:rsid w:val="00413A35"/>
    <w:rsid w:val="00426C7C"/>
    <w:rsid w:val="0042785D"/>
    <w:rsid w:val="00443D01"/>
    <w:rsid w:val="00444C8C"/>
    <w:rsid w:val="0044607F"/>
    <w:rsid w:val="00450D67"/>
    <w:rsid w:val="004573E8"/>
    <w:rsid w:val="004575A6"/>
    <w:rsid w:val="004576D6"/>
    <w:rsid w:val="00464A2A"/>
    <w:rsid w:val="004675F5"/>
    <w:rsid w:val="00473610"/>
    <w:rsid w:val="00477F88"/>
    <w:rsid w:val="00480521"/>
    <w:rsid w:val="00481CDD"/>
    <w:rsid w:val="004824ED"/>
    <w:rsid w:val="0049087F"/>
    <w:rsid w:val="00497B52"/>
    <w:rsid w:val="004A0C1C"/>
    <w:rsid w:val="004A35A2"/>
    <w:rsid w:val="004B0235"/>
    <w:rsid w:val="004B25AC"/>
    <w:rsid w:val="004C2818"/>
    <w:rsid w:val="004C2A35"/>
    <w:rsid w:val="004D3668"/>
    <w:rsid w:val="004D5206"/>
    <w:rsid w:val="004D5C37"/>
    <w:rsid w:val="004E5AFB"/>
    <w:rsid w:val="004E6BCE"/>
    <w:rsid w:val="00503237"/>
    <w:rsid w:val="00503383"/>
    <w:rsid w:val="00511803"/>
    <w:rsid w:val="0051214A"/>
    <w:rsid w:val="00513537"/>
    <w:rsid w:val="0051680D"/>
    <w:rsid w:val="0052223D"/>
    <w:rsid w:val="00522262"/>
    <w:rsid w:val="00527C7A"/>
    <w:rsid w:val="00537C58"/>
    <w:rsid w:val="005410AA"/>
    <w:rsid w:val="005439A5"/>
    <w:rsid w:val="00543D97"/>
    <w:rsid w:val="00544F74"/>
    <w:rsid w:val="00556BA9"/>
    <w:rsid w:val="0056281F"/>
    <w:rsid w:val="00574D80"/>
    <w:rsid w:val="005818D9"/>
    <w:rsid w:val="00590982"/>
    <w:rsid w:val="00590B54"/>
    <w:rsid w:val="00591472"/>
    <w:rsid w:val="00595B92"/>
    <w:rsid w:val="005A32A8"/>
    <w:rsid w:val="005A5E14"/>
    <w:rsid w:val="005B2BCA"/>
    <w:rsid w:val="005B2C0F"/>
    <w:rsid w:val="005B4FB3"/>
    <w:rsid w:val="005B5816"/>
    <w:rsid w:val="005C025B"/>
    <w:rsid w:val="005D6745"/>
    <w:rsid w:val="005E0268"/>
    <w:rsid w:val="005E2AB1"/>
    <w:rsid w:val="005E3216"/>
    <w:rsid w:val="005E3F07"/>
    <w:rsid w:val="005E5094"/>
    <w:rsid w:val="005F00DF"/>
    <w:rsid w:val="005F25FF"/>
    <w:rsid w:val="005F38A9"/>
    <w:rsid w:val="005F39F0"/>
    <w:rsid w:val="0060781A"/>
    <w:rsid w:val="0061300A"/>
    <w:rsid w:val="0061413D"/>
    <w:rsid w:val="00620874"/>
    <w:rsid w:val="0062629D"/>
    <w:rsid w:val="006302C1"/>
    <w:rsid w:val="00632CDE"/>
    <w:rsid w:val="00637101"/>
    <w:rsid w:val="00637803"/>
    <w:rsid w:val="00641B45"/>
    <w:rsid w:val="00642406"/>
    <w:rsid w:val="006460CC"/>
    <w:rsid w:val="00656511"/>
    <w:rsid w:val="00662D91"/>
    <w:rsid w:val="0066441B"/>
    <w:rsid w:val="0066724B"/>
    <w:rsid w:val="00687B72"/>
    <w:rsid w:val="006935FD"/>
    <w:rsid w:val="00693B20"/>
    <w:rsid w:val="006A43CF"/>
    <w:rsid w:val="006B0B25"/>
    <w:rsid w:val="006B7A8C"/>
    <w:rsid w:val="006C211A"/>
    <w:rsid w:val="006C516B"/>
    <w:rsid w:val="006D71F2"/>
    <w:rsid w:val="006E54A5"/>
    <w:rsid w:val="006F0A7A"/>
    <w:rsid w:val="006F2D4D"/>
    <w:rsid w:val="006F417C"/>
    <w:rsid w:val="006F4234"/>
    <w:rsid w:val="006F7F31"/>
    <w:rsid w:val="007019C8"/>
    <w:rsid w:val="00711D36"/>
    <w:rsid w:val="00715C47"/>
    <w:rsid w:val="007163B4"/>
    <w:rsid w:val="007221BA"/>
    <w:rsid w:val="00734084"/>
    <w:rsid w:val="00742432"/>
    <w:rsid w:val="007438C3"/>
    <w:rsid w:val="00743F0F"/>
    <w:rsid w:val="00753020"/>
    <w:rsid w:val="00755019"/>
    <w:rsid w:val="00757FA5"/>
    <w:rsid w:val="00763805"/>
    <w:rsid w:val="00763865"/>
    <w:rsid w:val="00763D3E"/>
    <w:rsid w:val="0077382A"/>
    <w:rsid w:val="00777E80"/>
    <w:rsid w:val="00782AC6"/>
    <w:rsid w:val="00785920"/>
    <w:rsid w:val="0078596A"/>
    <w:rsid w:val="00791E82"/>
    <w:rsid w:val="00792BD0"/>
    <w:rsid w:val="007A4062"/>
    <w:rsid w:val="007A443A"/>
    <w:rsid w:val="007B46A8"/>
    <w:rsid w:val="007B6E89"/>
    <w:rsid w:val="007C05B5"/>
    <w:rsid w:val="007C1B17"/>
    <w:rsid w:val="007C7587"/>
    <w:rsid w:val="007C7C77"/>
    <w:rsid w:val="007D2C8D"/>
    <w:rsid w:val="007E32B3"/>
    <w:rsid w:val="007E4E3E"/>
    <w:rsid w:val="007F588F"/>
    <w:rsid w:val="007F5E82"/>
    <w:rsid w:val="007F65D6"/>
    <w:rsid w:val="00807EFD"/>
    <w:rsid w:val="00821625"/>
    <w:rsid w:val="008224CD"/>
    <w:rsid w:val="00823CED"/>
    <w:rsid w:val="00826D90"/>
    <w:rsid w:val="008318C2"/>
    <w:rsid w:val="00840681"/>
    <w:rsid w:val="008519D6"/>
    <w:rsid w:val="00857A89"/>
    <w:rsid w:val="00871B5A"/>
    <w:rsid w:val="00872521"/>
    <w:rsid w:val="008758DC"/>
    <w:rsid w:val="008949B3"/>
    <w:rsid w:val="00895B66"/>
    <w:rsid w:val="008A1322"/>
    <w:rsid w:val="008A6071"/>
    <w:rsid w:val="008A630E"/>
    <w:rsid w:val="008B6868"/>
    <w:rsid w:val="008B6D4C"/>
    <w:rsid w:val="008E1AA5"/>
    <w:rsid w:val="008E3818"/>
    <w:rsid w:val="008F0C0C"/>
    <w:rsid w:val="008F3ABA"/>
    <w:rsid w:val="008F6EDE"/>
    <w:rsid w:val="008F72A6"/>
    <w:rsid w:val="00912996"/>
    <w:rsid w:val="00913612"/>
    <w:rsid w:val="009261DF"/>
    <w:rsid w:val="009317C3"/>
    <w:rsid w:val="0094344E"/>
    <w:rsid w:val="00946BCC"/>
    <w:rsid w:val="00951EDA"/>
    <w:rsid w:val="00952558"/>
    <w:rsid w:val="009548E8"/>
    <w:rsid w:val="00955845"/>
    <w:rsid w:val="00957482"/>
    <w:rsid w:val="00963971"/>
    <w:rsid w:val="00972660"/>
    <w:rsid w:val="00974A00"/>
    <w:rsid w:val="00975200"/>
    <w:rsid w:val="0098108D"/>
    <w:rsid w:val="0098498D"/>
    <w:rsid w:val="009850A6"/>
    <w:rsid w:val="00986334"/>
    <w:rsid w:val="00986D94"/>
    <w:rsid w:val="00991376"/>
    <w:rsid w:val="00995583"/>
    <w:rsid w:val="009A732E"/>
    <w:rsid w:val="009B17B4"/>
    <w:rsid w:val="009B30CB"/>
    <w:rsid w:val="009B5E77"/>
    <w:rsid w:val="009B7E58"/>
    <w:rsid w:val="009C4830"/>
    <w:rsid w:val="009D0254"/>
    <w:rsid w:val="009D2CB4"/>
    <w:rsid w:val="009D60D2"/>
    <w:rsid w:val="009E5AEF"/>
    <w:rsid w:val="009F5EF8"/>
    <w:rsid w:val="009F696A"/>
    <w:rsid w:val="00A00F0F"/>
    <w:rsid w:val="00A03544"/>
    <w:rsid w:val="00A0399C"/>
    <w:rsid w:val="00A0542A"/>
    <w:rsid w:val="00A15405"/>
    <w:rsid w:val="00A16B54"/>
    <w:rsid w:val="00A20573"/>
    <w:rsid w:val="00A24050"/>
    <w:rsid w:val="00A24BE1"/>
    <w:rsid w:val="00A25CC9"/>
    <w:rsid w:val="00A2640A"/>
    <w:rsid w:val="00A40003"/>
    <w:rsid w:val="00A464D1"/>
    <w:rsid w:val="00A50555"/>
    <w:rsid w:val="00A51A5D"/>
    <w:rsid w:val="00A52340"/>
    <w:rsid w:val="00A621D6"/>
    <w:rsid w:val="00A672A1"/>
    <w:rsid w:val="00A6732F"/>
    <w:rsid w:val="00A71988"/>
    <w:rsid w:val="00A733F6"/>
    <w:rsid w:val="00A74EB8"/>
    <w:rsid w:val="00A7738E"/>
    <w:rsid w:val="00A81B59"/>
    <w:rsid w:val="00A90931"/>
    <w:rsid w:val="00A9722C"/>
    <w:rsid w:val="00AA14FA"/>
    <w:rsid w:val="00AB178F"/>
    <w:rsid w:val="00AB31E0"/>
    <w:rsid w:val="00AC086D"/>
    <w:rsid w:val="00AD079A"/>
    <w:rsid w:val="00AD486C"/>
    <w:rsid w:val="00AE2CB9"/>
    <w:rsid w:val="00AF4B37"/>
    <w:rsid w:val="00AF5120"/>
    <w:rsid w:val="00B00120"/>
    <w:rsid w:val="00B0237C"/>
    <w:rsid w:val="00B07F57"/>
    <w:rsid w:val="00B1398E"/>
    <w:rsid w:val="00B15073"/>
    <w:rsid w:val="00B1795F"/>
    <w:rsid w:val="00B17B8E"/>
    <w:rsid w:val="00B22546"/>
    <w:rsid w:val="00B24305"/>
    <w:rsid w:val="00B24FC7"/>
    <w:rsid w:val="00B258C9"/>
    <w:rsid w:val="00B307DB"/>
    <w:rsid w:val="00B3602E"/>
    <w:rsid w:val="00B44B75"/>
    <w:rsid w:val="00B45EE7"/>
    <w:rsid w:val="00B4675C"/>
    <w:rsid w:val="00B47F4D"/>
    <w:rsid w:val="00B501A6"/>
    <w:rsid w:val="00B509BF"/>
    <w:rsid w:val="00B515C1"/>
    <w:rsid w:val="00B60E9F"/>
    <w:rsid w:val="00B633CD"/>
    <w:rsid w:val="00B87283"/>
    <w:rsid w:val="00B87646"/>
    <w:rsid w:val="00B93A4E"/>
    <w:rsid w:val="00B94F63"/>
    <w:rsid w:val="00BA15AD"/>
    <w:rsid w:val="00BA28A6"/>
    <w:rsid w:val="00BA4C84"/>
    <w:rsid w:val="00BA54B9"/>
    <w:rsid w:val="00BB454C"/>
    <w:rsid w:val="00BB5461"/>
    <w:rsid w:val="00BC0A3B"/>
    <w:rsid w:val="00BC35EB"/>
    <w:rsid w:val="00BD015F"/>
    <w:rsid w:val="00BD2065"/>
    <w:rsid w:val="00BD255E"/>
    <w:rsid w:val="00BD381C"/>
    <w:rsid w:val="00BD3891"/>
    <w:rsid w:val="00BD6489"/>
    <w:rsid w:val="00BE0434"/>
    <w:rsid w:val="00BE07FA"/>
    <w:rsid w:val="00BE7DB2"/>
    <w:rsid w:val="00C07ED3"/>
    <w:rsid w:val="00C113FB"/>
    <w:rsid w:val="00C17AED"/>
    <w:rsid w:val="00C21939"/>
    <w:rsid w:val="00C25A05"/>
    <w:rsid w:val="00C32336"/>
    <w:rsid w:val="00C368FF"/>
    <w:rsid w:val="00C369B5"/>
    <w:rsid w:val="00C40D9F"/>
    <w:rsid w:val="00C4108F"/>
    <w:rsid w:val="00C46204"/>
    <w:rsid w:val="00C60C75"/>
    <w:rsid w:val="00C6406A"/>
    <w:rsid w:val="00C71068"/>
    <w:rsid w:val="00C72496"/>
    <w:rsid w:val="00C726E1"/>
    <w:rsid w:val="00C76EEE"/>
    <w:rsid w:val="00C76FD5"/>
    <w:rsid w:val="00C77D35"/>
    <w:rsid w:val="00C80233"/>
    <w:rsid w:val="00C910A1"/>
    <w:rsid w:val="00C92947"/>
    <w:rsid w:val="00C957E3"/>
    <w:rsid w:val="00CA2A73"/>
    <w:rsid w:val="00CA406A"/>
    <w:rsid w:val="00CA47DD"/>
    <w:rsid w:val="00CB11F6"/>
    <w:rsid w:val="00CC7060"/>
    <w:rsid w:val="00CD1507"/>
    <w:rsid w:val="00CD6CDA"/>
    <w:rsid w:val="00CE0166"/>
    <w:rsid w:val="00CE1C6A"/>
    <w:rsid w:val="00CE26BB"/>
    <w:rsid w:val="00CE4E7D"/>
    <w:rsid w:val="00CE5A38"/>
    <w:rsid w:val="00CF1C9C"/>
    <w:rsid w:val="00CF5D5E"/>
    <w:rsid w:val="00D12344"/>
    <w:rsid w:val="00D21AB0"/>
    <w:rsid w:val="00D22755"/>
    <w:rsid w:val="00D23279"/>
    <w:rsid w:val="00D242E5"/>
    <w:rsid w:val="00D32871"/>
    <w:rsid w:val="00D41DE9"/>
    <w:rsid w:val="00D434D9"/>
    <w:rsid w:val="00D472A8"/>
    <w:rsid w:val="00D528C2"/>
    <w:rsid w:val="00D55468"/>
    <w:rsid w:val="00D5694F"/>
    <w:rsid w:val="00D65981"/>
    <w:rsid w:val="00D740A9"/>
    <w:rsid w:val="00D816CB"/>
    <w:rsid w:val="00D86184"/>
    <w:rsid w:val="00D869E7"/>
    <w:rsid w:val="00DA4E3A"/>
    <w:rsid w:val="00DA7041"/>
    <w:rsid w:val="00DA7A62"/>
    <w:rsid w:val="00DB0BED"/>
    <w:rsid w:val="00DB2974"/>
    <w:rsid w:val="00DB76E9"/>
    <w:rsid w:val="00DC0469"/>
    <w:rsid w:val="00DC109C"/>
    <w:rsid w:val="00DC23F7"/>
    <w:rsid w:val="00DD5F2D"/>
    <w:rsid w:val="00E047CD"/>
    <w:rsid w:val="00E04963"/>
    <w:rsid w:val="00E07F50"/>
    <w:rsid w:val="00E10F8A"/>
    <w:rsid w:val="00E113B3"/>
    <w:rsid w:val="00E1293D"/>
    <w:rsid w:val="00E15918"/>
    <w:rsid w:val="00E207B9"/>
    <w:rsid w:val="00E25D01"/>
    <w:rsid w:val="00E34FA3"/>
    <w:rsid w:val="00E35522"/>
    <w:rsid w:val="00E35FAB"/>
    <w:rsid w:val="00E36717"/>
    <w:rsid w:val="00E41F24"/>
    <w:rsid w:val="00E523A5"/>
    <w:rsid w:val="00E52E82"/>
    <w:rsid w:val="00E54426"/>
    <w:rsid w:val="00E56E08"/>
    <w:rsid w:val="00E61FC3"/>
    <w:rsid w:val="00E64E4A"/>
    <w:rsid w:val="00E659A0"/>
    <w:rsid w:val="00E73D83"/>
    <w:rsid w:val="00E75400"/>
    <w:rsid w:val="00E8197F"/>
    <w:rsid w:val="00E842B7"/>
    <w:rsid w:val="00E9172A"/>
    <w:rsid w:val="00E9401C"/>
    <w:rsid w:val="00E96FBF"/>
    <w:rsid w:val="00E97A2C"/>
    <w:rsid w:val="00EA00B2"/>
    <w:rsid w:val="00EB2579"/>
    <w:rsid w:val="00EB3C86"/>
    <w:rsid w:val="00EB4C55"/>
    <w:rsid w:val="00EC10F2"/>
    <w:rsid w:val="00EC1418"/>
    <w:rsid w:val="00EC34F8"/>
    <w:rsid w:val="00EC44E1"/>
    <w:rsid w:val="00EC5FE9"/>
    <w:rsid w:val="00ED15B4"/>
    <w:rsid w:val="00ED45B0"/>
    <w:rsid w:val="00ED4BF2"/>
    <w:rsid w:val="00F00251"/>
    <w:rsid w:val="00F02BAA"/>
    <w:rsid w:val="00F068B4"/>
    <w:rsid w:val="00F10FCB"/>
    <w:rsid w:val="00F15B0F"/>
    <w:rsid w:val="00F237D4"/>
    <w:rsid w:val="00F303B7"/>
    <w:rsid w:val="00F30DD3"/>
    <w:rsid w:val="00F323F5"/>
    <w:rsid w:val="00F34442"/>
    <w:rsid w:val="00F430ED"/>
    <w:rsid w:val="00F517A5"/>
    <w:rsid w:val="00F578A3"/>
    <w:rsid w:val="00F60AB1"/>
    <w:rsid w:val="00F63469"/>
    <w:rsid w:val="00F71148"/>
    <w:rsid w:val="00F837E1"/>
    <w:rsid w:val="00F8589C"/>
    <w:rsid w:val="00F91FE6"/>
    <w:rsid w:val="00F9659F"/>
    <w:rsid w:val="00F97F95"/>
    <w:rsid w:val="00FA0892"/>
    <w:rsid w:val="00FB512A"/>
    <w:rsid w:val="00FB515D"/>
    <w:rsid w:val="00FB66BD"/>
    <w:rsid w:val="00FB6A47"/>
    <w:rsid w:val="00FC09A8"/>
    <w:rsid w:val="00FC5734"/>
    <w:rsid w:val="00FC5C2F"/>
    <w:rsid w:val="00FD6050"/>
    <w:rsid w:val="00FE408D"/>
    <w:rsid w:val="00FF19B1"/>
    <w:rsid w:val="00FF1E0D"/>
    <w:rsid w:val="00FF5DA6"/>
    <w:rsid w:val="00FF65F3"/>
    <w:rsid w:val="00FF6E83"/>
    <w:rsid w:val="00FF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fr-FR"/>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fr-FR"/>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fr-FR"/>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fr-FR"/>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fr-FR"/>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fr-FR"/>
    </w:rPr>
  </w:style>
  <w:style w:type="paragraph" w:styleId="Footer">
    <w:name w:val="footer"/>
    <w:basedOn w:val="Normal"/>
    <w:link w:val="FooterChar"/>
    <w:uiPriority w:val="99"/>
    <w:unhideWhenUsed/>
    <w:qFormat/>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fr-FR"/>
    </w:rPr>
  </w:style>
  <w:style w:type="paragraph" w:styleId="Revision">
    <w:name w:val="Revision"/>
    <w:hidden/>
    <w:uiPriority w:val="99"/>
    <w:semiHidden/>
    <w:rsid w:val="00912996"/>
    <w:pPr>
      <w:spacing w:after="0" w:line="240" w:lineRule="auto"/>
    </w:pPr>
    <w:rPr>
      <w:rFonts w:ascii="Calibri" w:eastAsia="Times New Roman" w:hAnsi="Calibri" w:cs="Calibri"/>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fr-FR"/>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fr-FR"/>
    </w:rPr>
  </w:style>
  <w:style w:type="paragraph" w:customStyle="1" w:styleId="ColorfulList-Accent11">
    <w:name w:val="Colorful List - Accent 11"/>
    <w:basedOn w:val="Normal"/>
    <w:uiPriority w:val="34"/>
    <w:qFormat/>
    <w:rsid w:val="003C7862"/>
    <w:pPr>
      <w:widowControl/>
      <w:autoSpaceDE/>
      <w:autoSpaceDN/>
      <w:ind w:left="720" w:hanging="425"/>
      <w:contextualSpacing/>
    </w:pPr>
    <w:rPr>
      <w:rFonts w:eastAsia="Calibri" w:cs="Times New Roman"/>
    </w:rPr>
  </w:style>
  <w:style w:type="character" w:styleId="Hyperlink">
    <w:name w:val="Hyperlink"/>
    <w:basedOn w:val="DefaultParagraphFont"/>
    <w:uiPriority w:val="99"/>
    <w:unhideWhenUsed/>
    <w:rsid w:val="003C7862"/>
    <w:rPr>
      <w:color w:val="0563C1" w:themeColor="hyperlink"/>
      <w:u w:val="single"/>
    </w:rPr>
  </w:style>
  <w:style w:type="paragraph" w:styleId="NoSpacing">
    <w:name w:val="No Spacing"/>
    <w:uiPriority w:val="1"/>
    <w:qFormat/>
    <w:rsid w:val="003C7862"/>
    <w:pPr>
      <w:spacing w:after="0" w:line="240" w:lineRule="auto"/>
      <w:ind w:left="425" w:hanging="425"/>
    </w:pPr>
    <w:rPr>
      <w:rFonts w:ascii="Calibri" w:eastAsia="Calibri" w:hAnsi="Calibri" w:cs="Times New Roman"/>
    </w:rPr>
  </w:style>
  <w:style w:type="paragraph" w:customStyle="1" w:styleId="Default">
    <w:name w:val="Default"/>
    <w:basedOn w:val="Normal"/>
    <w:rsid w:val="003C7862"/>
    <w:pPr>
      <w:widowControl/>
    </w:pPr>
    <w:rPr>
      <w:rFonts w:ascii="Arial" w:eastAsiaTheme="minorHAnsi" w:hAnsi="Arial" w:cs="Arial"/>
      <w:color w:val="000000"/>
      <w:sz w:val="24"/>
      <w:szCs w:val="24"/>
    </w:rPr>
  </w:style>
  <w:style w:type="paragraph" w:customStyle="1" w:styleId="xl65">
    <w:name w:val="xl65"/>
    <w:basedOn w:val="Normal"/>
    <w:rsid w:val="003C7862"/>
    <w:pPr>
      <w:widowControl/>
      <w:autoSpaceDE/>
      <w:autoSpaceDN/>
      <w:spacing w:before="100" w:beforeAutospacing="1" w:after="100" w:afterAutospacing="1"/>
      <w:textAlignment w:val="top"/>
    </w:pPr>
    <w:rPr>
      <w:rFonts w:cs="Times New Roman"/>
      <w:b/>
      <w:bCs/>
      <w:sz w:val="24"/>
      <w:szCs w:val="24"/>
      <w:lang w:eastAsia="en-GB"/>
    </w:rPr>
  </w:style>
  <w:style w:type="paragraph" w:customStyle="1" w:styleId="xl67">
    <w:name w:val="xl67"/>
    <w:basedOn w:val="Normal"/>
    <w:rsid w:val="003C7862"/>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68">
    <w:name w:val="xl68"/>
    <w:basedOn w:val="Normal"/>
    <w:rsid w:val="003C7862"/>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69">
    <w:name w:val="xl69"/>
    <w:basedOn w:val="Normal"/>
    <w:rsid w:val="003C7862"/>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70">
    <w:name w:val="xl70"/>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eastAsia="en-GB"/>
    </w:rPr>
  </w:style>
  <w:style w:type="paragraph" w:customStyle="1" w:styleId="xl71">
    <w:name w:val="xl71"/>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2">
    <w:name w:val="xl72"/>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3">
    <w:name w:val="xl73"/>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4">
    <w:name w:val="xl74"/>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5">
    <w:name w:val="xl75"/>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eastAsia="en-GB"/>
    </w:rPr>
  </w:style>
  <w:style w:type="paragraph" w:customStyle="1" w:styleId="xl76">
    <w:name w:val="xl76"/>
    <w:basedOn w:val="Normal"/>
    <w:rsid w:val="003C786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7">
    <w:name w:val="xl77"/>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8">
    <w:name w:val="xl78"/>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eastAsia="en-GB"/>
    </w:rPr>
  </w:style>
  <w:style w:type="paragraph" w:customStyle="1" w:styleId="xl79">
    <w:name w:val="xl79"/>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80">
    <w:name w:val="xl80"/>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eastAsia="en-GB"/>
    </w:rPr>
  </w:style>
  <w:style w:type="paragraph" w:customStyle="1" w:styleId="xl81">
    <w:name w:val="xl81"/>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82">
    <w:name w:val="xl82"/>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eastAsia="en-GB"/>
    </w:rPr>
  </w:style>
  <w:style w:type="paragraph" w:customStyle="1" w:styleId="xl83">
    <w:name w:val="xl83"/>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eastAsia="en-GB"/>
    </w:rPr>
  </w:style>
  <w:style w:type="paragraph" w:customStyle="1" w:styleId="xl84">
    <w:name w:val="xl84"/>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85">
    <w:name w:val="xl85"/>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eastAsia="en-GB"/>
    </w:rPr>
  </w:style>
  <w:style w:type="paragraph" w:customStyle="1" w:styleId="xl86">
    <w:name w:val="xl86"/>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87">
    <w:name w:val="xl87"/>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sz w:val="24"/>
      <w:szCs w:val="24"/>
      <w:lang w:eastAsia="en-GB"/>
    </w:rPr>
  </w:style>
  <w:style w:type="paragraph" w:customStyle="1" w:styleId="xl88">
    <w:name w:val="xl88"/>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89">
    <w:name w:val="xl89"/>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eastAsia="en-GB"/>
    </w:rPr>
  </w:style>
  <w:style w:type="paragraph" w:customStyle="1" w:styleId="xl90">
    <w:name w:val="xl90"/>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A82B-735F-4E56-A668-76BF86035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3.xml><?xml version="1.0" encoding="utf-8"?>
<ds:datastoreItem xmlns:ds="http://schemas.openxmlformats.org/officeDocument/2006/customXml" ds:itemID="{25A539E6-AACE-44B3-8AC1-70F9BED8C537}">
  <ds:schemaRef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8c0b6b05-eb82-4bda-97e8-cd82d0d6b453"/>
    <ds:schemaRef ds:uri="aedd258d-19a7-41ba-8260-b0918f25313d"/>
    <ds:schemaRef ds:uri="http://schemas.microsoft.com/office/2006/metadata/properties"/>
  </ds:schemaRefs>
</ds:datastoreItem>
</file>

<file path=customXml/itemProps4.xml><?xml version="1.0" encoding="utf-8"?>
<ds:datastoreItem xmlns:ds="http://schemas.openxmlformats.org/officeDocument/2006/customXml" ds:itemID="{12034F54-A35B-4293-A76C-0F0A5BA7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9724</Characters>
  <Application>Microsoft Office Word</Application>
  <DocSecurity>4</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2023-09-04T11:01:00Z</cp:lastPrinted>
  <dcterms:created xsi:type="dcterms:W3CDTF">2024-06-05T13:49:00Z</dcterms:created>
  <dcterms:modified xsi:type="dcterms:W3CDTF">2024-06-05T13:49:00Z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