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27FE"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ED6A4F">
        <w:rPr>
          <w:bCs/>
        </w:rPr>
        <w:t>THE CONVENTION ON WETLANDS</w:t>
      </w:r>
    </w:p>
    <w:p w14:paraId="5A9106A6"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ED6A4F">
        <w:rPr>
          <w:bCs/>
        </w:rPr>
        <w:t>63rd meeting of the Standing Committee</w:t>
      </w:r>
    </w:p>
    <w:p w14:paraId="08B9042C" w14:textId="77777777" w:rsidR="00C6406A" w:rsidRPr="00ED6A4F" w:rsidRDefault="00C6406A" w:rsidP="00C6406A">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rsidRPr="00ED6A4F">
        <w:rPr>
          <w:bCs/>
        </w:rPr>
        <w:t xml:space="preserve">Gland, Switzerland, </w:t>
      </w:r>
      <w:r w:rsidRPr="00ED6A4F">
        <w:t>3-7 June 2024</w:t>
      </w:r>
    </w:p>
    <w:p w14:paraId="02276A21" w14:textId="77777777" w:rsidR="00591472" w:rsidRDefault="00591472" w:rsidP="00591472">
      <w:pPr>
        <w:rPr>
          <w:rFonts w:cstheme="minorBidi"/>
          <w:sz w:val="28"/>
        </w:rPr>
      </w:pPr>
    </w:p>
    <w:p w14:paraId="3D1F25D1" w14:textId="1C5BC240" w:rsidR="00591472" w:rsidRDefault="00591472" w:rsidP="00591472">
      <w:pPr>
        <w:jc w:val="right"/>
        <w:rPr>
          <w:rFonts w:cstheme="minorHAnsi"/>
          <w:b/>
          <w:sz w:val="28"/>
          <w:szCs w:val="28"/>
        </w:rPr>
      </w:pPr>
      <w:r>
        <w:rPr>
          <w:rFonts w:cstheme="minorHAnsi"/>
          <w:b/>
          <w:sz w:val="28"/>
          <w:szCs w:val="28"/>
        </w:rPr>
        <w:t>SC</w:t>
      </w:r>
      <w:r w:rsidR="003E07B1">
        <w:rPr>
          <w:rFonts w:cstheme="minorHAnsi"/>
          <w:b/>
          <w:sz w:val="28"/>
          <w:szCs w:val="28"/>
        </w:rPr>
        <w:t>6</w:t>
      </w:r>
      <w:r w:rsidR="00C6406A">
        <w:rPr>
          <w:rFonts w:cstheme="minorHAnsi"/>
          <w:b/>
          <w:sz w:val="28"/>
          <w:szCs w:val="28"/>
        </w:rPr>
        <w:t>3</w:t>
      </w:r>
      <w:r w:rsidR="00792BD0">
        <w:rPr>
          <w:rFonts w:cstheme="minorHAnsi"/>
          <w:b/>
          <w:sz w:val="28"/>
          <w:szCs w:val="28"/>
        </w:rPr>
        <w:t xml:space="preserve"> </w:t>
      </w:r>
      <w:r w:rsidRPr="00792BD0">
        <w:rPr>
          <w:rFonts w:cstheme="minorHAnsi"/>
          <w:b/>
          <w:sz w:val="28"/>
          <w:szCs w:val="28"/>
        </w:rPr>
        <w:t>Com.</w:t>
      </w:r>
      <w:r w:rsidR="00792BD0" w:rsidRPr="00792BD0">
        <w:rPr>
          <w:rFonts w:cstheme="minorHAnsi"/>
          <w:b/>
          <w:sz w:val="28"/>
          <w:szCs w:val="28"/>
        </w:rPr>
        <w:t>1</w:t>
      </w:r>
    </w:p>
    <w:p w14:paraId="6784BAC5" w14:textId="77777777" w:rsidR="00591472" w:rsidRDefault="00591472" w:rsidP="00711D36">
      <w:pPr>
        <w:widowControl/>
        <w:rPr>
          <w:rFonts w:asciiTheme="minorHAnsi" w:hAnsiTheme="minorHAnsi" w:cstheme="minorHAnsi"/>
          <w:b/>
          <w:sz w:val="28"/>
          <w:szCs w:val="28"/>
        </w:rPr>
      </w:pPr>
    </w:p>
    <w:p w14:paraId="7E6EC8DC" w14:textId="3AB8A11D" w:rsidR="005E3F07" w:rsidRPr="00641B45" w:rsidRDefault="000F77DA" w:rsidP="00591472">
      <w:pPr>
        <w:widowControl/>
        <w:jc w:val="center"/>
        <w:rPr>
          <w:rFonts w:asciiTheme="minorHAnsi" w:hAnsiTheme="minorHAnsi" w:cstheme="minorHAnsi"/>
          <w:b/>
          <w:sz w:val="28"/>
          <w:szCs w:val="28"/>
        </w:rPr>
      </w:pPr>
      <w:r>
        <w:rPr>
          <w:rFonts w:asciiTheme="minorHAnsi" w:hAnsiTheme="minorHAnsi" w:cstheme="minorHAnsi"/>
          <w:b/>
          <w:sz w:val="28"/>
          <w:szCs w:val="28"/>
        </w:rPr>
        <w:t xml:space="preserve">Report </w:t>
      </w:r>
      <w:r w:rsidR="008E1AA5" w:rsidRPr="00641B45">
        <w:rPr>
          <w:rFonts w:asciiTheme="minorHAnsi" w:hAnsiTheme="minorHAnsi" w:cstheme="minorHAnsi"/>
          <w:b/>
          <w:sz w:val="28"/>
          <w:szCs w:val="28"/>
        </w:rPr>
        <w:t xml:space="preserve">of the Subgroup on Finance, </w:t>
      </w:r>
      <w:r w:rsidR="00C6406A">
        <w:rPr>
          <w:rFonts w:asciiTheme="minorHAnsi" w:hAnsiTheme="minorHAnsi" w:cstheme="minorHAnsi"/>
          <w:b/>
          <w:sz w:val="28"/>
          <w:szCs w:val="28"/>
        </w:rPr>
        <w:t>3 June 2024</w:t>
      </w:r>
    </w:p>
    <w:p w14:paraId="1227D19A" w14:textId="6CC09262" w:rsidR="008E1AA5" w:rsidRDefault="008E1AA5" w:rsidP="00711D36">
      <w:pPr>
        <w:pStyle w:val="BodyText"/>
        <w:widowControl/>
        <w:rPr>
          <w:rFonts w:asciiTheme="minorHAnsi" w:hAnsiTheme="minorHAnsi" w:cstheme="minorHAnsi"/>
          <w:b/>
        </w:rPr>
      </w:pPr>
    </w:p>
    <w:p w14:paraId="7935E27F" w14:textId="426C1FC9" w:rsidR="009F5EF8" w:rsidRPr="00A24BE1" w:rsidRDefault="009F5EF8" w:rsidP="00711D36">
      <w:pPr>
        <w:rPr>
          <w:i/>
        </w:rPr>
      </w:pPr>
      <w:r w:rsidRPr="00A24BE1">
        <w:rPr>
          <w:i/>
        </w:rPr>
        <w:t xml:space="preserve">This Report includes the recommendations for the </w:t>
      </w:r>
      <w:r w:rsidR="00642406" w:rsidRPr="00A24BE1">
        <w:rPr>
          <w:i/>
        </w:rPr>
        <w:t xml:space="preserve">consideration of the </w:t>
      </w:r>
      <w:r w:rsidRPr="00A24BE1">
        <w:rPr>
          <w:i/>
        </w:rPr>
        <w:t xml:space="preserve">Standing Committee made during the meeting of the Subgroup on Finance on </w:t>
      </w:r>
      <w:r w:rsidR="00C6406A" w:rsidRPr="00C6406A">
        <w:rPr>
          <w:i/>
        </w:rPr>
        <w:t>3 June 2024</w:t>
      </w:r>
      <w:r w:rsidR="000F77DA" w:rsidRPr="00A24BE1">
        <w:rPr>
          <w:i/>
        </w:rPr>
        <w:t>.</w:t>
      </w:r>
      <w:r w:rsidR="00BD6489">
        <w:rPr>
          <w:i/>
        </w:rPr>
        <w:t xml:space="preserve"> </w:t>
      </w:r>
    </w:p>
    <w:p w14:paraId="1F111673" w14:textId="4BAEC739" w:rsidR="0002451C" w:rsidRDefault="0002451C" w:rsidP="00711D36">
      <w:pPr>
        <w:widowControl/>
        <w:tabs>
          <w:tab w:val="left" w:pos="960"/>
        </w:tabs>
        <w:rPr>
          <w:rFonts w:asciiTheme="minorHAnsi" w:hAnsiTheme="minorHAnsi" w:cstheme="minorHAnsi"/>
        </w:rPr>
      </w:pPr>
    </w:p>
    <w:p w14:paraId="683E2046" w14:textId="1FB4B639" w:rsidR="00B60E9F" w:rsidRPr="009E3B46" w:rsidRDefault="00B60E9F" w:rsidP="00B60E9F">
      <w:pPr>
        <w:widowControl/>
        <w:rPr>
          <w:rFonts w:asciiTheme="minorHAnsi" w:hAnsiTheme="minorHAnsi" w:cstheme="minorHAnsi"/>
        </w:rPr>
      </w:pPr>
      <w:r w:rsidRPr="00641B45">
        <w:rPr>
          <w:rFonts w:asciiTheme="minorHAnsi" w:hAnsiTheme="minorHAnsi" w:cstheme="minorHAnsi"/>
        </w:rPr>
        <w:t xml:space="preserve">The Chair opened the meeting and asked the Subgroup to refer to the actions requested in documents </w:t>
      </w:r>
      <w:r w:rsidR="00C6406A">
        <w:rPr>
          <w:rFonts w:asciiTheme="minorHAnsi" w:hAnsiTheme="minorHAnsi" w:cstheme="minorHAnsi"/>
        </w:rPr>
        <w:t xml:space="preserve">SC63 Doc.9.1 and SC63 Doc.9.2 </w:t>
      </w:r>
      <w:r w:rsidRPr="00641B45">
        <w:rPr>
          <w:rFonts w:asciiTheme="minorHAnsi" w:hAnsiTheme="minorHAnsi" w:cstheme="minorHAnsi"/>
        </w:rPr>
        <w:t xml:space="preserve">on financial and budgetary matters, noting that </w:t>
      </w:r>
      <w:r>
        <w:rPr>
          <w:rFonts w:asciiTheme="minorHAnsi" w:hAnsiTheme="minorHAnsi" w:cstheme="minorHAnsi"/>
        </w:rPr>
        <w:t xml:space="preserve">the </w:t>
      </w:r>
      <w:r w:rsidRPr="00641B45">
        <w:rPr>
          <w:rFonts w:asciiTheme="minorHAnsi" w:hAnsiTheme="minorHAnsi" w:cstheme="minorHAnsi"/>
        </w:rPr>
        <w:t>discussions</w:t>
      </w:r>
      <w:r>
        <w:rPr>
          <w:rFonts w:asciiTheme="minorHAnsi" w:hAnsiTheme="minorHAnsi" w:cstheme="minorHAnsi"/>
        </w:rPr>
        <w:t xml:space="preserve"> related to the report on financial matters for </w:t>
      </w:r>
      <w:r w:rsidR="00C6406A">
        <w:rPr>
          <w:rFonts w:asciiTheme="minorHAnsi" w:hAnsiTheme="minorHAnsi" w:cstheme="minorHAnsi"/>
        </w:rPr>
        <w:t>2023 and 2024</w:t>
      </w:r>
      <w:r>
        <w:rPr>
          <w:rFonts w:asciiTheme="minorHAnsi" w:hAnsiTheme="minorHAnsi" w:cstheme="minorHAnsi"/>
        </w:rPr>
        <w:t xml:space="preserve"> would be considered after those on the annual contributions.</w:t>
      </w:r>
    </w:p>
    <w:p w14:paraId="1FFF2C9C" w14:textId="77777777" w:rsidR="001A64EB" w:rsidRDefault="001A64EB" w:rsidP="00B60E9F">
      <w:pPr>
        <w:widowControl/>
        <w:tabs>
          <w:tab w:val="left" w:pos="960"/>
        </w:tabs>
        <w:rPr>
          <w:rFonts w:asciiTheme="minorHAnsi" w:hAnsiTheme="minorHAnsi" w:cstheme="minorHAnsi"/>
        </w:rPr>
      </w:pPr>
    </w:p>
    <w:p w14:paraId="05590A90" w14:textId="72AAE4F4" w:rsidR="00356EEC" w:rsidRPr="00711D36" w:rsidRDefault="00711D36" w:rsidP="008F6EDE">
      <w:pPr>
        <w:widowControl/>
        <w:autoSpaceDE/>
        <w:autoSpaceDN/>
        <w:ind w:left="426" w:hanging="426"/>
        <w:rPr>
          <w:rFonts w:asciiTheme="minorHAnsi" w:hAnsiTheme="minorHAnsi" w:cstheme="minorHAnsi"/>
          <w:b/>
        </w:rPr>
      </w:pPr>
      <w:r w:rsidRPr="008F6EDE">
        <w:rPr>
          <w:rFonts w:asciiTheme="minorHAnsi" w:hAnsiTheme="minorHAnsi" w:cstheme="minorHAnsi"/>
          <w:b/>
        </w:rPr>
        <w:t>1.</w:t>
      </w:r>
      <w:r w:rsidRPr="008F6EDE">
        <w:rPr>
          <w:rFonts w:asciiTheme="minorHAnsi" w:hAnsiTheme="minorHAnsi" w:cstheme="minorHAnsi"/>
          <w:b/>
        </w:rPr>
        <w:tab/>
      </w:r>
      <w:r w:rsidR="00356EEC" w:rsidRPr="00711D36">
        <w:rPr>
          <w:rFonts w:asciiTheme="minorHAnsi" w:hAnsiTheme="minorHAnsi" w:cstheme="minorHAnsi"/>
          <w:b/>
        </w:rPr>
        <w:t>Status of annual contributions</w:t>
      </w:r>
    </w:p>
    <w:p w14:paraId="70C48F73" w14:textId="77777777" w:rsidR="00356EEC" w:rsidRPr="00BE1A1D" w:rsidRDefault="00356EEC" w:rsidP="00711D36">
      <w:pPr>
        <w:widowControl/>
        <w:ind w:left="426" w:hanging="426"/>
        <w:rPr>
          <w:rFonts w:asciiTheme="minorHAnsi" w:hAnsiTheme="minorHAnsi" w:cstheme="minorHAnsi"/>
        </w:rPr>
      </w:pPr>
    </w:p>
    <w:p w14:paraId="2C5A4EE0" w14:textId="7AFF80B0" w:rsidR="00C46204" w:rsidRDefault="005E2AB1" w:rsidP="005E2AB1">
      <w:pPr>
        <w:widowControl/>
        <w:rPr>
          <w:rFonts w:asciiTheme="minorHAnsi" w:hAnsiTheme="minorHAnsi" w:cstheme="minorHAnsi"/>
        </w:rPr>
      </w:pPr>
      <w:r w:rsidRPr="00641B45">
        <w:rPr>
          <w:rFonts w:asciiTheme="minorHAnsi" w:hAnsiTheme="minorHAnsi" w:cstheme="minorHAnsi"/>
        </w:rPr>
        <w:t>The Secretar</w:t>
      </w:r>
      <w:r>
        <w:rPr>
          <w:rFonts w:asciiTheme="minorHAnsi" w:hAnsiTheme="minorHAnsi" w:cstheme="minorHAnsi"/>
        </w:rPr>
        <w:t>iat</w:t>
      </w:r>
      <w:r w:rsidRPr="00641B45">
        <w:rPr>
          <w:rFonts w:asciiTheme="minorHAnsi" w:hAnsiTheme="minorHAnsi" w:cstheme="minorHAnsi"/>
        </w:rPr>
        <w:t xml:space="preserve"> briefly summarized </w:t>
      </w:r>
      <w:r w:rsidR="0061300A" w:rsidRPr="007C05B5">
        <w:rPr>
          <w:rFonts w:asciiTheme="minorHAnsi" w:hAnsiTheme="minorHAnsi" w:cstheme="minorHAnsi"/>
        </w:rPr>
        <w:t>document SC6</w:t>
      </w:r>
      <w:r w:rsidR="00C6406A">
        <w:rPr>
          <w:rFonts w:asciiTheme="minorHAnsi" w:hAnsiTheme="minorHAnsi" w:cstheme="minorHAnsi"/>
        </w:rPr>
        <w:t>3</w:t>
      </w:r>
      <w:r w:rsidR="0061300A" w:rsidRPr="007C05B5">
        <w:rPr>
          <w:rFonts w:asciiTheme="minorHAnsi" w:hAnsiTheme="minorHAnsi" w:cstheme="minorHAnsi"/>
        </w:rPr>
        <w:t xml:space="preserve"> Doc.</w:t>
      </w:r>
      <w:r w:rsidR="00C6406A">
        <w:rPr>
          <w:rFonts w:asciiTheme="minorHAnsi" w:hAnsiTheme="minorHAnsi" w:cstheme="minorHAnsi"/>
        </w:rPr>
        <w:t>9</w:t>
      </w:r>
      <w:r w:rsidR="0061300A" w:rsidRPr="007C05B5">
        <w:rPr>
          <w:rFonts w:asciiTheme="minorHAnsi" w:hAnsiTheme="minorHAnsi" w:cstheme="minorHAnsi"/>
        </w:rPr>
        <w:t>.2</w:t>
      </w:r>
      <w:r w:rsidRPr="00641B45">
        <w:rPr>
          <w:rFonts w:asciiTheme="minorHAnsi" w:hAnsiTheme="minorHAnsi" w:cstheme="minorHAnsi"/>
        </w:rPr>
        <w:t>,</w:t>
      </w:r>
      <w:r>
        <w:rPr>
          <w:rFonts w:asciiTheme="minorHAnsi" w:hAnsiTheme="minorHAnsi" w:cstheme="minorHAnsi"/>
        </w:rPr>
        <w:t xml:space="preserve"> presenting the status of </w:t>
      </w:r>
      <w:r w:rsidR="008949B3">
        <w:rPr>
          <w:rFonts w:asciiTheme="minorHAnsi" w:hAnsiTheme="minorHAnsi" w:cstheme="minorHAnsi"/>
        </w:rPr>
        <w:t xml:space="preserve">annual </w:t>
      </w:r>
      <w:r>
        <w:rPr>
          <w:rFonts w:asciiTheme="minorHAnsi" w:hAnsiTheme="minorHAnsi" w:cstheme="minorHAnsi"/>
        </w:rPr>
        <w:t>contributions as of 31 December 202</w:t>
      </w:r>
      <w:r w:rsidR="00C6406A">
        <w:rPr>
          <w:rFonts w:asciiTheme="minorHAnsi" w:hAnsiTheme="minorHAnsi" w:cstheme="minorHAnsi"/>
        </w:rPr>
        <w:t>3</w:t>
      </w:r>
      <w:r w:rsidR="00BA54B9">
        <w:rPr>
          <w:rFonts w:asciiTheme="minorHAnsi" w:hAnsiTheme="minorHAnsi" w:cstheme="minorHAnsi"/>
        </w:rPr>
        <w:t xml:space="preserve">, and noting </w:t>
      </w:r>
      <w:r w:rsidR="008949B3">
        <w:rPr>
          <w:rFonts w:asciiTheme="minorHAnsi" w:hAnsiTheme="minorHAnsi" w:cstheme="minorHAnsi"/>
        </w:rPr>
        <w:t xml:space="preserve">the </w:t>
      </w:r>
      <w:r w:rsidR="002A573F">
        <w:rPr>
          <w:rFonts w:asciiTheme="minorHAnsi" w:hAnsiTheme="minorHAnsi" w:cstheme="minorHAnsi"/>
        </w:rPr>
        <w:t>increase</w:t>
      </w:r>
      <w:r w:rsidR="00BA54B9">
        <w:rPr>
          <w:rFonts w:asciiTheme="minorHAnsi" w:hAnsiTheme="minorHAnsi" w:cstheme="minorHAnsi"/>
        </w:rPr>
        <w:t>s</w:t>
      </w:r>
      <w:r w:rsidR="002A573F">
        <w:rPr>
          <w:rFonts w:asciiTheme="minorHAnsi" w:hAnsiTheme="minorHAnsi" w:cstheme="minorHAnsi"/>
        </w:rPr>
        <w:t xml:space="preserve"> </w:t>
      </w:r>
      <w:r w:rsidR="00BA54B9">
        <w:rPr>
          <w:rFonts w:asciiTheme="minorHAnsi" w:hAnsiTheme="minorHAnsi" w:cstheme="minorHAnsi"/>
        </w:rPr>
        <w:t>in</w:t>
      </w:r>
      <w:r w:rsidR="002A573F">
        <w:rPr>
          <w:rFonts w:asciiTheme="minorHAnsi" w:hAnsiTheme="minorHAnsi" w:cstheme="minorHAnsi"/>
        </w:rPr>
        <w:t xml:space="preserve"> the </w:t>
      </w:r>
      <w:r w:rsidR="008949B3">
        <w:rPr>
          <w:rFonts w:asciiTheme="minorHAnsi" w:hAnsiTheme="minorHAnsi" w:cstheme="minorHAnsi"/>
        </w:rPr>
        <w:t xml:space="preserve">annual contributions receivable and </w:t>
      </w:r>
      <w:r w:rsidR="002A573F">
        <w:rPr>
          <w:rFonts w:asciiTheme="minorHAnsi" w:hAnsiTheme="minorHAnsi" w:cstheme="minorHAnsi"/>
        </w:rPr>
        <w:t>in</w:t>
      </w:r>
      <w:r w:rsidR="008949B3">
        <w:rPr>
          <w:rFonts w:asciiTheme="minorHAnsi" w:hAnsiTheme="minorHAnsi" w:cstheme="minorHAnsi"/>
        </w:rPr>
        <w:t xml:space="preserve"> the </w:t>
      </w:r>
      <w:r w:rsidR="004D3668">
        <w:rPr>
          <w:rFonts w:asciiTheme="minorHAnsi" w:hAnsiTheme="minorHAnsi" w:cstheme="minorHAnsi"/>
        </w:rPr>
        <w:t xml:space="preserve">resulting annual </w:t>
      </w:r>
      <w:r w:rsidR="008949B3">
        <w:rPr>
          <w:rFonts w:asciiTheme="minorHAnsi" w:hAnsiTheme="minorHAnsi" w:cstheme="minorHAnsi"/>
        </w:rPr>
        <w:t>provision</w:t>
      </w:r>
      <w:r w:rsidR="00BA54B9">
        <w:rPr>
          <w:rFonts w:asciiTheme="minorHAnsi" w:hAnsiTheme="minorHAnsi" w:cstheme="minorHAnsi"/>
        </w:rPr>
        <w:t xml:space="preserve">. </w:t>
      </w:r>
    </w:p>
    <w:p w14:paraId="0D76E1FF" w14:textId="77777777" w:rsidR="00C46204" w:rsidRDefault="00C46204" w:rsidP="005E2AB1">
      <w:pPr>
        <w:widowControl/>
        <w:rPr>
          <w:rFonts w:asciiTheme="minorHAnsi" w:hAnsiTheme="minorHAnsi" w:cstheme="minorHAnsi"/>
        </w:rPr>
      </w:pPr>
    </w:p>
    <w:p w14:paraId="1EF5E777" w14:textId="3F25BD22" w:rsidR="005E2AB1" w:rsidRPr="008949B3" w:rsidRDefault="00C46204" w:rsidP="005E2AB1">
      <w:pPr>
        <w:widowControl/>
      </w:pPr>
      <w:r w:rsidRPr="00641B45">
        <w:rPr>
          <w:rFonts w:asciiTheme="minorHAnsi" w:hAnsiTheme="minorHAnsi" w:cstheme="minorHAnsi"/>
        </w:rPr>
        <w:t>The Secretar</w:t>
      </w:r>
      <w:r>
        <w:rPr>
          <w:rFonts w:asciiTheme="minorHAnsi" w:hAnsiTheme="minorHAnsi" w:cstheme="minorHAnsi"/>
        </w:rPr>
        <w:t>iat</w:t>
      </w:r>
      <w:r w:rsidRPr="00641B45">
        <w:rPr>
          <w:rFonts w:asciiTheme="minorHAnsi" w:hAnsiTheme="minorHAnsi" w:cstheme="minorHAnsi"/>
        </w:rPr>
        <w:t xml:space="preserve"> </w:t>
      </w:r>
      <w:r w:rsidR="00BA54B9">
        <w:rPr>
          <w:rFonts w:asciiTheme="minorHAnsi" w:hAnsiTheme="minorHAnsi" w:cstheme="minorHAnsi"/>
        </w:rPr>
        <w:t>listed</w:t>
      </w:r>
      <w:r w:rsidR="00B60E9F" w:rsidRPr="008949B3">
        <w:rPr>
          <w:rFonts w:asciiTheme="minorHAnsi" w:hAnsiTheme="minorHAnsi" w:cstheme="minorHAnsi"/>
        </w:rPr>
        <w:t xml:space="preserve"> </w:t>
      </w:r>
      <w:r w:rsidR="008949B3" w:rsidRPr="008949B3">
        <w:rPr>
          <w:rFonts w:asciiTheme="minorHAnsi" w:hAnsiTheme="minorHAnsi" w:cstheme="minorHAnsi"/>
        </w:rPr>
        <w:t xml:space="preserve">actions </w:t>
      </w:r>
      <w:r w:rsidR="00BA54B9">
        <w:rPr>
          <w:rFonts w:asciiTheme="minorHAnsi" w:hAnsiTheme="minorHAnsi" w:cstheme="minorHAnsi"/>
        </w:rPr>
        <w:t xml:space="preserve">taken </w:t>
      </w:r>
      <w:r w:rsidR="008949B3" w:rsidRPr="008949B3">
        <w:rPr>
          <w:rFonts w:asciiTheme="minorHAnsi" w:hAnsiTheme="minorHAnsi" w:cstheme="minorHAnsi"/>
        </w:rPr>
        <w:t xml:space="preserve">on group confirmation of outstanding contributions as part of the audit process; actions to continue encouraging the payment of annual contributions; and </w:t>
      </w:r>
      <w:r w:rsidR="005E2AB1" w:rsidRPr="008949B3">
        <w:rPr>
          <w:rFonts w:asciiTheme="minorHAnsi" w:hAnsiTheme="minorHAnsi" w:cstheme="minorHAnsi"/>
        </w:rPr>
        <w:t xml:space="preserve">the </w:t>
      </w:r>
      <w:r w:rsidR="008949B3" w:rsidRPr="008949B3">
        <w:rPr>
          <w:rFonts w:asciiTheme="minorHAnsi" w:hAnsiTheme="minorHAnsi" w:cstheme="minorHAnsi"/>
        </w:rPr>
        <w:t>status</w:t>
      </w:r>
      <w:r w:rsidR="005E2AB1" w:rsidRPr="008949B3">
        <w:rPr>
          <w:rFonts w:asciiTheme="minorHAnsi" w:hAnsiTheme="minorHAnsi" w:cstheme="minorHAnsi"/>
        </w:rPr>
        <w:t xml:space="preserve"> of </w:t>
      </w:r>
      <w:r w:rsidR="008949B3" w:rsidRPr="008949B3">
        <w:rPr>
          <w:rFonts w:asciiTheme="minorHAnsi" w:hAnsiTheme="minorHAnsi" w:cstheme="minorHAnsi"/>
        </w:rPr>
        <w:t xml:space="preserve">the </w:t>
      </w:r>
      <w:r w:rsidR="005E2AB1" w:rsidRPr="008949B3">
        <w:rPr>
          <w:rFonts w:asciiTheme="minorHAnsi" w:hAnsiTheme="minorHAnsi" w:cstheme="minorHAnsi"/>
        </w:rPr>
        <w:t>African voluntary contributions</w:t>
      </w:r>
      <w:r w:rsidR="002A573F">
        <w:rPr>
          <w:rFonts w:asciiTheme="minorHAnsi" w:hAnsiTheme="minorHAnsi" w:cstheme="minorHAnsi"/>
        </w:rPr>
        <w:t>.</w:t>
      </w:r>
      <w:r w:rsidR="002A573F" w:rsidRPr="008949B3">
        <w:rPr>
          <w:rFonts w:asciiTheme="minorHAnsi" w:hAnsiTheme="minorHAnsi" w:cstheme="minorHAnsi"/>
        </w:rPr>
        <w:t xml:space="preserve"> </w:t>
      </w:r>
    </w:p>
    <w:p w14:paraId="5276DBAE" w14:textId="77777777" w:rsidR="002B56FE" w:rsidRPr="008949B3" w:rsidRDefault="002B56FE" w:rsidP="00711D36">
      <w:pPr>
        <w:widowControl/>
        <w:rPr>
          <w:rFonts w:asciiTheme="minorHAnsi" w:hAnsiTheme="minorHAnsi" w:cstheme="minorHAnsi"/>
        </w:rPr>
      </w:pPr>
    </w:p>
    <w:p w14:paraId="772DBAFF" w14:textId="66189906" w:rsidR="00C6406A" w:rsidRDefault="00C6406A" w:rsidP="00711D36">
      <w:pPr>
        <w:widowControl/>
        <w:rPr>
          <w:rFonts w:asciiTheme="minorHAnsi" w:hAnsiTheme="minorHAnsi" w:cstheme="minorHAnsi"/>
        </w:rPr>
      </w:pPr>
      <w:r>
        <w:rPr>
          <w:rFonts w:asciiTheme="minorHAnsi" w:hAnsiTheme="minorHAnsi" w:cstheme="minorHAnsi"/>
        </w:rPr>
        <w:t xml:space="preserve">Members of the Subgroup considered the merit of possible further measures to encourage the payment of outstanding contributions, including those which has been outstanding for four years or more, while noting the need for the Convention and its processes to remain </w:t>
      </w:r>
      <w:r w:rsidR="004D3668">
        <w:rPr>
          <w:rFonts w:asciiTheme="minorHAnsi" w:hAnsiTheme="minorHAnsi" w:cstheme="minorHAnsi"/>
        </w:rPr>
        <w:t xml:space="preserve">as </w:t>
      </w:r>
      <w:r>
        <w:rPr>
          <w:rFonts w:asciiTheme="minorHAnsi" w:hAnsiTheme="minorHAnsi" w:cstheme="minorHAnsi"/>
        </w:rPr>
        <w:t>inclusive</w:t>
      </w:r>
      <w:r w:rsidR="00952558">
        <w:rPr>
          <w:rFonts w:asciiTheme="minorHAnsi" w:hAnsiTheme="minorHAnsi" w:cstheme="minorHAnsi"/>
        </w:rPr>
        <w:t xml:space="preserve"> as possible</w:t>
      </w:r>
      <w:r>
        <w:rPr>
          <w:rFonts w:asciiTheme="minorHAnsi" w:hAnsiTheme="minorHAnsi" w:cstheme="minorHAnsi"/>
        </w:rPr>
        <w:t>.</w:t>
      </w:r>
    </w:p>
    <w:p w14:paraId="06EAF074" w14:textId="04CB9E43" w:rsidR="00C6406A" w:rsidRDefault="00C6406A" w:rsidP="00711D36">
      <w:pPr>
        <w:widowControl/>
        <w:rPr>
          <w:rFonts w:asciiTheme="minorHAnsi" w:hAnsiTheme="minorHAnsi" w:cstheme="minorHAnsi"/>
        </w:rPr>
      </w:pPr>
    </w:p>
    <w:p w14:paraId="1283143C" w14:textId="2545541D" w:rsidR="00241CF4" w:rsidRDefault="00241CF4" w:rsidP="00711D36">
      <w:pPr>
        <w:widowControl/>
        <w:rPr>
          <w:rFonts w:asciiTheme="minorHAnsi" w:hAnsiTheme="minorHAnsi" w:cstheme="minorHAnsi"/>
        </w:rPr>
      </w:pPr>
      <w:r>
        <w:rPr>
          <w:rFonts w:asciiTheme="minorHAnsi" w:hAnsiTheme="minorHAnsi" w:cstheme="minorHAnsi"/>
        </w:rPr>
        <w:t>The Sec</w:t>
      </w:r>
      <w:r w:rsidR="00F97F95">
        <w:rPr>
          <w:rFonts w:asciiTheme="minorHAnsi" w:hAnsiTheme="minorHAnsi" w:cstheme="minorHAnsi"/>
        </w:rPr>
        <w:t xml:space="preserve">retary General reported that </w:t>
      </w:r>
      <w:r w:rsidR="00952558">
        <w:rPr>
          <w:rFonts w:asciiTheme="minorHAnsi" w:hAnsiTheme="minorHAnsi" w:cstheme="minorHAnsi"/>
        </w:rPr>
        <w:t xml:space="preserve">outstanding contributions </w:t>
      </w:r>
      <w:r w:rsidR="004675F5">
        <w:rPr>
          <w:rFonts w:asciiTheme="minorHAnsi" w:hAnsiTheme="minorHAnsi" w:cstheme="minorHAnsi"/>
        </w:rPr>
        <w:t xml:space="preserve">are now included in discussions </w:t>
      </w:r>
      <w:r w:rsidR="004675F5" w:rsidRPr="004675F5">
        <w:rPr>
          <w:rFonts w:asciiTheme="minorHAnsi" w:hAnsiTheme="minorHAnsi" w:cstheme="minorHAnsi"/>
        </w:rPr>
        <w:t>during her bilateral meetings</w:t>
      </w:r>
      <w:r w:rsidR="004675F5">
        <w:rPr>
          <w:rFonts w:asciiTheme="minorHAnsi" w:hAnsiTheme="minorHAnsi" w:cstheme="minorHAnsi"/>
        </w:rPr>
        <w:t xml:space="preserve"> </w:t>
      </w:r>
      <w:r w:rsidR="00F97F95">
        <w:rPr>
          <w:rFonts w:asciiTheme="minorHAnsi" w:hAnsiTheme="minorHAnsi" w:cstheme="minorHAnsi"/>
        </w:rPr>
        <w:t>with the</w:t>
      </w:r>
      <w:r w:rsidR="00952558">
        <w:rPr>
          <w:rFonts w:asciiTheme="minorHAnsi" w:hAnsiTheme="minorHAnsi" w:cstheme="minorHAnsi"/>
        </w:rPr>
        <w:t xml:space="preserve"> diplomatic representatives</w:t>
      </w:r>
      <w:r w:rsidR="00F97F95">
        <w:rPr>
          <w:rFonts w:asciiTheme="minorHAnsi" w:hAnsiTheme="minorHAnsi" w:cstheme="minorHAnsi"/>
        </w:rPr>
        <w:t xml:space="preserve"> of Contracting Parties</w:t>
      </w:r>
      <w:r w:rsidR="004675F5">
        <w:rPr>
          <w:rFonts w:asciiTheme="minorHAnsi" w:hAnsiTheme="minorHAnsi" w:cstheme="minorHAnsi"/>
        </w:rPr>
        <w:t>, as appropriate</w:t>
      </w:r>
      <w:r w:rsidR="00952558">
        <w:rPr>
          <w:rFonts w:asciiTheme="minorHAnsi" w:hAnsiTheme="minorHAnsi" w:cstheme="minorHAnsi"/>
        </w:rPr>
        <w:t xml:space="preserve">. </w:t>
      </w:r>
    </w:p>
    <w:p w14:paraId="2DE5C13E" w14:textId="77777777" w:rsidR="00C6406A" w:rsidRDefault="00C6406A" w:rsidP="00711D36">
      <w:pPr>
        <w:widowControl/>
        <w:rPr>
          <w:rFonts w:asciiTheme="minorHAnsi" w:hAnsiTheme="minorHAnsi" w:cstheme="minorHAnsi"/>
        </w:rPr>
      </w:pPr>
    </w:p>
    <w:p w14:paraId="16ED0A09" w14:textId="272ADD63" w:rsidR="002B56FE" w:rsidRDefault="00C6406A" w:rsidP="00711D36">
      <w:pPr>
        <w:widowControl/>
        <w:rPr>
          <w:rFonts w:asciiTheme="minorHAnsi" w:hAnsiTheme="minorHAnsi" w:cstheme="minorHAnsi"/>
        </w:rPr>
      </w:pPr>
      <w:r>
        <w:rPr>
          <w:rFonts w:asciiTheme="minorHAnsi" w:hAnsiTheme="minorHAnsi" w:cstheme="minorHAnsi"/>
        </w:rPr>
        <w:t xml:space="preserve">The </w:t>
      </w:r>
      <w:r w:rsidR="00BE7DB2">
        <w:rPr>
          <w:rFonts w:asciiTheme="minorHAnsi" w:hAnsiTheme="minorHAnsi" w:cstheme="minorHAnsi"/>
        </w:rPr>
        <w:t>Sub</w:t>
      </w:r>
      <w:r w:rsidR="001959BA" w:rsidRPr="008949B3">
        <w:rPr>
          <w:rFonts w:asciiTheme="minorHAnsi" w:hAnsiTheme="minorHAnsi" w:cstheme="minorHAnsi"/>
        </w:rPr>
        <w:t>group approved the recommendations for decisions by the Standing Committee.</w:t>
      </w:r>
    </w:p>
    <w:p w14:paraId="11A4C452" w14:textId="34F0A3B6" w:rsidR="002B56FE" w:rsidRDefault="002B56FE" w:rsidP="00711D36">
      <w:pPr>
        <w:widowControl/>
        <w:rPr>
          <w:rFonts w:asciiTheme="minorHAnsi" w:hAnsiTheme="minorHAnsi" w:cstheme="minorHAnsi"/>
        </w:rPr>
      </w:pPr>
    </w:p>
    <w:p w14:paraId="25BD72B1" w14:textId="137F756A" w:rsidR="00356EEC" w:rsidRPr="001A64EB" w:rsidRDefault="00356EEC" w:rsidP="00711D36">
      <w:pPr>
        <w:widowControl/>
        <w:rPr>
          <w:rFonts w:asciiTheme="minorHAnsi" w:hAnsiTheme="minorHAnsi" w:cstheme="minorHAnsi"/>
          <w:i/>
          <w:iCs/>
          <w:lang w:eastAsia="ja-JP"/>
        </w:rPr>
      </w:pPr>
      <w:r w:rsidRPr="001A64EB">
        <w:rPr>
          <w:rFonts w:asciiTheme="minorHAnsi" w:hAnsiTheme="minorHAnsi" w:cstheme="minorHAnsi"/>
          <w:i/>
        </w:rPr>
        <w:t>Recommendation</w:t>
      </w:r>
      <w:r w:rsidRPr="001A64EB">
        <w:rPr>
          <w:rFonts w:asciiTheme="minorHAnsi" w:hAnsiTheme="minorHAnsi" w:cstheme="minorHAnsi"/>
          <w:i/>
          <w:iCs/>
          <w:lang w:eastAsia="ja-JP"/>
        </w:rPr>
        <w:t xml:space="preserve"> for decision by the Standing Committee:</w:t>
      </w:r>
    </w:p>
    <w:p w14:paraId="6FE5BBC0" w14:textId="77777777" w:rsidR="00356EEC" w:rsidRDefault="00356EEC" w:rsidP="00711D36">
      <w:pPr>
        <w:widowControl/>
        <w:rPr>
          <w:rFonts w:asciiTheme="minorHAnsi" w:hAnsiTheme="minorHAnsi" w:cstheme="minorHAnsi"/>
          <w:b/>
          <w:i/>
        </w:rPr>
      </w:pPr>
    </w:p>
    <w:p w14:paraId="5B60B194" w14:textId="77777777" w:rsidR="00356EEC" w:rsidRPr="00065C05" w:rsidRDefault="00356EEC" w:rsidP="00711D36">
      <w:pPr>
        <w:widowControl/>
        <w:rPr>
          <w:rFonts w:asciiTheme="minorHAnsi" w:hAnsiTheme="minorHAnsi" w:cstheme="minorHAnsi"/>
          <w:b/>
          <w:i/>
        </w:rPr>
      </w:pPr>
      <w:r w:rsidRPr="00065C05">
        <w:rPr>
          <w:rFonts w:asciiTheme="minorHAnsi" w:hAnsiTheme="minorHAnsi" w:cstheme="minorHAnsi"/>
          <w:b/>
          <w:i/>
        </w:rPr>
        <w:t xml:space="preserve">The Subgroup on Finance recommends that the Standing Committee: </w:t>
      </w:r>
    </w:p>
    <w:p w14:paraId="4058224E" w14:textId="15A30F75" w:rsidR="00C6406A" w:rsidRPr="00C46204" w:rsidRDefault="00C6406A" w:rsidP="00C6406A">
      <w:pPr>
        <w:ind w:left="425" w:hanging="425"/>
        <w:contextualSpacing/>
        <w:rPr>
          <w:b/>
          <w:bCs/>
          <w:i/>
          <w:color w:val="000000" w:themeColor="text1"/>
        </w:rPr>
      </w:pPr>
      <w:r w:rsidRPr="00C6406A">
        <w:rPr>
          <w:b/>
          <w:bCs/>
          <w:i/>
          <w:color w:val="000000" w:themeColor="text1"/>
        </w:rPr>
        <w:t>i.</w:t>
      </w:r>
      <w:r w:rsidRPr="00C6406A">
        <w:rPr>
          <w:i/>
        </w:rPr>
        <w:tab/>
      </w:r>
      <w:r w:rsidRPr="00C6406A">
        <w:rPr>
          <w:b/>
          <w:bCs/>
          <w:i/>
          <w:color w:val="000000" w:themeColor="text1"/>
        </w:rPr>
        <w:t xml:space="preserve">take note of the </w:t>
      </w:r>
      <w:r w:rsidRPr="00C46204">
        <w:rPr>
          <w:b/>
          <w:bCs/>
          <w:i/>
          <w:color w:val="000000" w:themeColor="text1"/>
        </w:rPr>
        <w:t xml:space="preserve">status of annual contributions; </w:t>
      </w:r>
    </w:p>
    <w:p w14:paraId="1028E946" w14:textId="2B94BBB8" w:rsidR="00C6406A" w:rsidRPr="00C46204" w:rsidRDefault="00C6406A" w:rsidP="00C6406A">
      <w:pPr>
        <w:ind w:left="425" w:hanging="425"/>
        <w:contextualSpacing/>
        <w:rPr>
          <w:b/>
          <w:bCs/>
          <w:i/>
          <w:color w:val="000000" w:themeColor="text1"/>
        </w:rPr>
      </w:pPr>
      <w:r w:rsidRPr="00C46204">
        <w:rPr>
          <w:b/>
          <w:bCs/>
          <w:i/>
          <w:color w:val="000000" w:themeColor="text1"/>
        </w:rPr>
        <w:t>ii.</w:t>
      </w:r>
      <w:r w:rsidRPr="00C46204">
        <w:rPr>
          <w:b/>
          <w:bCs/>
          <w:i/>
          <w:color w:val="000000" w:themeColor="text1"/>
        </w:rPr>
        <w:tab/>
        <w:t>note the actions listed in paragraphs 12 and 13 of document SC63 Doc.9.2 on group confirmation of outstanding contributions as part of the audit process;</w:t>
      </w:r>
    </w:p>
    <w:p w14:paraId="0C89DB3B" w14:textId="03F24EE0" w:rsidR="00C6406A" w:rsidRPr="00C46204" w:rsidRDefault="00C6406A" w:rsidP="00C6406A">
      <w:pPr>
        <w:ind w:left="425" w:hanging="425"/>
        <w:contextualSpacing/>
        <w:rPr>
          <w:b/>
          <w:bCs/>
          <w:i/>
          <w:color w:val="000000" w:themeColor="text1"/>
        </w:rPr>
      </w:pPr>
      <w:r w:rsidRPr="00C46204">
        <w:rPr>
          <w:b/>
          <w:bCs/>
          <w:i/>
          <w:color w:val="000000" w:themeColor="text1"/>
        </w:rPr>
        <w:t>iii.</w:t>
      </w:r>
      <w:r w:rsidRPr="00C46204">
        <w:rPr>
          <w:b/>
          <w:bCs/>
          <w:i/>
          <w:color w:val="000000" w:themeColor="text1"/>
        </w:rPr>
        <w:tab/>
        <w:t>note the actions listed in paragraphs 15, 17, 18 and 19 of document SC63 Doc.9.2 to continue encouraging the payment of annual contributions by the Contracting Parties;</w:t>
      </w:r>
    </w:p>
    <w:p w14:paraId="1FAC0DC6" w14:textId="01C8905D" w:rsidR="00C6406A" w:rsidRPr="00C6406A" w:rsidRDefault="00C6406A" w:rsidP="00C6406A">
      <w:pPr>
        <w:ind w:left="425" w:hanging="425"/>
        <w:contextualSpacing/>
        <w:rPr>
          <w:b/>
          <w:bCs/>
          <w:i/>
          <w:color w:val="000000" w:themeColor="text1"/>
        </w:rPr>
      </w:pPr>
      <w:r w:rsidRPr="00C46204">
        <w:rPr>
          <w:b/>
          <w:bCs/>
          <w:i/>
          <w:color w:val="000000" w:themeColor="text1"/>
        </w:rPr>
        <w:t>iv.</w:t>
      </w:r>
      <w:r w:rsidRPr="00C46204">
        <w:rPr>
          <w:b/>
          <w:bCs/>
          <w:i/>
          <w:color w:val="000000" w:themeColor="text1"/>
        </w:rPr>
        <w:tab/>
        <w:t>note the changes in annual contributions receivable and in the annual provision against contributions receivable; and</w:t>
      </w:r>
      <w:r w:rsidRPr="00C6406A">
        <w:rPr>
          <w:b/>
          <w:bCs/>
          <w:i/>
          <w:color w:val="000000" w:themeColor="text1"/>
        </w:rPr>
        <w:t xml:space="preserve"> </w:t>
      </w:r>
    </w:p>
    <w:p w14:paraId="26992645" w14:textId="065700FA" w:rsidR="00C6406A" w:rsidRPr="00C6406A" w:rsidRDefault="00C6406A" w:rsidP="00C6406A">
      <w:pPr>
        <w:ind w:left="425" w:hanging="425"/>
        <w:contextualSpacing/>
        <w:rPr>
          <w:i/>
          <w:color w:val="000000" w:themeColor="text1"/>
        </w:rPr>
      </w:pPr>
      <w:r w:rsidRPr="00C6406A">
        <w:rPr>
          <w:b/>
          <w:bCs/>
          <w:i/>
          <w:color w:val="000000" w:themeColor="text1"/>
        </w:rPr>
        <w:t>v.</w:t>
      </w:r>
      <w:r w:rsidRPr="00C6406A">
        <w:rPr>
          <w:b/>
          <w:bCs/>
          <w:i/>
          <w:color w:val="000000" w:themeColor="text1"/>
        </w:rPr>
        <w:tab/>
        <w:t>note the status of the voluntary contributions received from the Contracting Parties in the Africa region outlined in paragraph 22 of document SC63 Doc.9.2.</w:t>
      </w:r>
    </w:p>
    <w:p w14:paraId="46895208" w14:textId="13C80A5F" w:rsidR="0066724B" w:rsidRDefault="0066724B" w:rsidP="00711D36">
      <w:pPr>
        <w:widowControl/>
        <w:rPr>
          <w:rFonts w:asciiTheme="minorHAnsi" w:hAnsiTheme="minorHAnsi" w:cstheme="minorHAnsi"/>
          <w:b/>
          <w:i/>
        </w:rPr>
      </w:pPr>
    </w:p>
    <w:p w14:paraId="5AE05E69" w14:textId="77777777" w:rsidR="00F9659F" w:rsidRDefault="00F9659F" w:rsidP="00021CD9">
      <w:pPr>
        <w:keepNext/>
        <w:widowControl/>
        <w:autoSpaceDE/>
        <w:autoSpaceDN/>
        <w:ind w:left="425" w:hanging="425"/>
        <w:rPr>
          <w:rFonts w:asciiTheme="minorHAnsi" w:hAnsiTheme="minorHAnsi" w:cstheme="minorHAnsi"/>
          <w:b/>
        </w:rPr>
      </w:pPr>
      <w:r>
        <w:rPr>
          <w:rFonts w:asciiTheme="minorHAnsi" w:hAnsiTheme="minorHAnsi" w:cstheme="minorHAnsi"/>
          <w:b/>
        </w:rPr>
        <w:lastRenderedPageBreak/>
        <w:t>2.</w:t>
      </w:r>
      <w:r>
        <w:rPr>
          <w:rFonts w:asciiTheme="minorHAnsi" w:hAnsiTheme="minorHAnsi" w:cstheme="minorHAnsi"/>
          <w:b/>
        </w:rPr>
        <w:tab/>
      </w:r>
      <w:r w:rsidRPr="00F9659F">
        <w:rPr>
          <w:rFonts w:asciiTheme="minorHAnsi" w:hAnsiTheme="minorHAnsi" w:cstheme="minorHAnsi"/>
          <w:b/>
        </w:rPr>
        <w:t>Report on Financial Matters for 2023 and 2024</w:t>
      </w:r>
    </w:p>
    <w:p w14:paraId="57813ED8" w14:textId="77777777" w:rsidR="00F9659F" w:rsidRDefault="00F9659F" w:rsidP="00021CD9">
      <w:pPr>
        <w:keepNext/>
        <w:widowControl/>
        <w:autoSpaceDE/>
        <w:autoSpaceDN/>
        <w:ind w:left="425" w:hanging="425"/>
        <w:rPr>
          <w:rFonts w:asciiTheme="minorHAnsi" w:hAnsiTheme="minorHAnsi" w:cstheme="minorHAnsi"/>
          <w:b/>
        </w:rPr>
      </w:pPr>
    </w:p>
    <w:p w14:paraId="6F1C06E8" w14:textId="2B8F76C7" w:rsidR="00C17AED" w:rsidRDefault="00F9659F" w:rsidP="00C17AED">
      <w:pPr>
        <w:widowControl/>
        <w:autoSpaceDE/>
        <w:autoSpaceDN/>
        <w:rPr>
          <w:rFonts w:asciiTheme="minorHAnsi" w:hAnsiTheme="minorHAnsi" w:cstheme="minorHAnsi"/>
        </w:rPr>
      </w:pPr>
      <w:r w:rsidRPr="00641B45">
        <w:rPr>
          <w:rFonts w:asciiTheme="minorHAnsi" w:hAnsiTheme="minorHAnsi" w:cstheme="minorHAnsi"/>
        </w:rPr>
        <w:t>The Secretar</w:t>
      </w:r>
      <w:r>
        <w:rPr>
          <w:rFonts w:asciiTheme="minorHAnsi" w:hAnsiTheme="minorHAnsi" w:cstheme="minorHAnsi"/>
        </w:rPr>
        <w:t>iat</w:t>
      </w:r>
      <w:r w:rsidRPr="00641B45">
        <w:rPr>
          <w:rFonts w:asciiTheme="minorHAnsi" w:hAnsiTheme="minorHAnsi" w:cstheme="minorHAnsi"/>
        </w:rPr>
        <w:t xml:space="preserve"> </w:t>
      </w:r>
      <w:r w:rsidR="00952558" w:rsidRPr="00404720">
        <w:rPr>
          <w:rFonts w:asciiTheme="minorHAnsi" w:hAnsiTheme="minorHAnsi" w:cstheme="minorHAnsi"/>
        </w:rPr>
        <w:t>presented the</w:t>
      </w:r>
      <w:r w:rsidRPr="00641B45">
        <w:rPr>
          <w:rFonts w:asciiTheme="minorHAnsi" w:hAnsiTheme="minorHAnsi" w:cstheme="minorHAnsi"/>
        </w:rPr>
        <w:t xml:space="preserve"> </w:t>
      </w:r>
      <w:r w:rsidRPr="007C05B5">
        <w:rPr>
          <w:rFonts w:asciiTheme="minorHAnsi" w:hAnsiTheme="minorHAnsi" w:cstheme="minorHAnsi"/>
        </w:rPr>
        <w:t>document SC6</w:t>
      </w:r>
      <w:r>
        <w:rPr>
          <w:rFonts w:asciiTheme="minorHAnsi" w:hAnsiTheme="minorHAnsi" w:cstheme="minorHAnsi"/>
        </w:rPr>
        <w:t>3</w:t>
      </w:r>
      <w:r w:rsidRPr="007C05B5">
        <w:rPr>
          <w:rFonts w:asciiTheme="minorHAnsi" w:hAnsiTheme="minorHAnsi" w:cstheme="minorHAnsi"/>
        </w:rPr>
        <w:t xml:space="preserve"> Doc.</w:t>
      </w:r>
      <w:r>
        <w:rPr>
          <w:rFonts w:asciiTheme="minorHAnsi" w:hAnsiTheme="minorHAnsi" w:cstheme="minorHAnsi"/>
        </w:rPr>
        <w:t>9</w:t>
      </w:r>
      <w:r w:rsidRPr="007C05B5">
        <w:rPr>
          <w:rFonts w:asciiTheme="minorHAnsi" w:hAnsiTheme="minorHAnsi" w:cstheme="minorHAnsi"/>
        </w:rPr>
        <w:t>.</w:t>
      </w:r>
      <w:r>
        <w:rPr>
          <w:rFonts w:asciiTheme="minorHAnsi" w:hAnsiTheme="minorHAnsi" w:cstheme="minorHAnsi"/>
        </w:rPr>
        <w:t>1</w:t>
      </w:r>
      <w:r w:rsidR="00C17AED">
        <w:rPr>
          <w:rFonts w:asciiTheme="minorHAnsi" w:hAnsiTheme="minorHAnsi" w:cstheme="minorHAnsi"/>
        </w:rPr>
        <w:t>, highlighting:</w:t>
      </w:r>
    </w:p>
    <w:p w14:paraId="2145FC12" w14:textId="594EA573" w:rsidR="00C17AED" w:rsidRDefault="00445EA0" w:rsidP="00445EA0">
      <w:pPr>
        <w:widowControl/>
        <w:autoSpaceDE/>
        <w:autoSpaceDN/>
        <w:ind w:left="426" w:hanging="426"/>
      </w:pPr>
      <w:r>
        <w:t xml:space="preserve">- </w:t>
      </w:r>
      <w:r>
        <w:tab/>
      </w:r>
      <w:r w:rsidR="00F9659F" w:rsidRPr="00340E62">
        <w:t xml:space="preserve">the audited financial statements </w:t>
      </w:r>
      <w:r w:rsidR="00F9659F">
        <w:t xml:space="preserve">for </w:t>
      </w:r>
      <w:r w:rsidR="00F9659F" w:rsidRPr="00340E62">
        <w:t>202</w:t>
      </w:r>
      <w:r w:rsidR="00F9659F">
        <w:t>3</w:t>
      </w:r>
      <w:r w:rsidR="00F9659F" w:rsidRPr="00340E62">
        <w:t xml:space="preserve">; </w:t>
      </w:r>
    </w:p>
    <w:p w14:paraId="0BF5A505" w14:textId="392E0053" w:rsidR="00C17AED" w:rsidRDefault="00445EA0" w:rsidP="00445EA0">
      <w:pPr>
        <w:widowControl/>
        <w:autoSpaceDE/>
        <w:autoSpaceDN/>
        <w:ind w:left="426" w:hanging="426"/>
      </w:pPr>
      <w:r>
        <w:t xml:space="preserve">- </w:t>
      </w:r>
      <w:r>
        <w:tab/>
      </w:r>
      <w:r w:rsidR="00F9659F" w:rsidRPr="00340E62">
        <w:t>the core budget results for 202</w:t>
      </w:r>
      <w:r w:rsidR="00F9659F">
        <w:t>3</w:t>
      </w:r>
      <w:r w:rsidR="00F9659F" w:rsidRPr="00340E62">
        <w:t>;</w:t>
      </w:r>
      <w:r w:rsidR="00C17AED">
        <w:t xml:space="preserve"> </w:t>
      </w:r>
    </w:p>
    <w:p w14:paraId="47E4A11B" w14:textId="34CF37EF" w:rsidR="00C17AED" w:rsidRDefault="00445EA0" w:rsidP="00445EA0">
      <w:pPr>
        <w:widowControl/>
        <w:autoSpaceDE/>
        <w:autoSpaceDN/>
        <w:ind w:left="426" w:hanging="426"/>
      </w:pPr>
      <w:r>
        <w:t xml:space="preserve">- </w:t>
      </w:r>
      <w:r>
        <w:tab/>
      </w:r>
      <w:r w:rsidR="00F9659F" w:rsidRPr="00340E62">
        <w:t xml:space="preserve">the status of non-core </w:t>
      </w:r>
      <w:r w:rsidR="00F9659F">
        <w:t xml:space="preserve">funding </w:t>
      </w:r>
      <w:r w:rsidR="00F9659F" w:rsidRPr="00340E62">
        <w:t>and voluntary contributions for 202</w:t>
      </w:r>
      <w:r w:rsidR="00F9659F">
        <w:t>3</w:t>
      </w:r>
      <w:r w:rsidR="00F9659F" w:rsidRPr="00340E62">
        <w:t xml:space="preserve">; </w:t>
      </w:r>
    </w:p>
    <w:p w14:paraId="516F2BE7" w14:textId="0CA1A61E" w:rsidR="00C17AED" w:rsidRDefault="00445EA0" w:rsidP="00445EA0">
      <w:pPr>
        <w:widowControl/>
        <w:autoSpaceDE/>
        <w:autoSpaceDN/>
        <w:ind w:left="426" w:hanging="426"/>
      </w:pPr>
      <w:r>
        <w:t xml:space="preserve">- </w:t>
      </w:r>
      <w:r>
        <w:tab/>
      </w:r>
      <w:r w:rsidR="00C17AED">
        <w:t xml:space="preserve">the proposal to </w:t>
      </w:r>
      <w:r w:rsidR="00C17AED" w:rsidRPr="00445EA0">
        <w:rPr>
          <w:rFonts w:eastAsia="Calibri"/>
          <w:lang w:val="en-GB"/>
        </w:rPr>
        <w:t xml:space="preserve">carry </w:t>
      </w:r>
      <w:r w:rsidR="00F9659F" w:rsidRPr="00004CF9">
        <w:t xml:space="preserve">forward </w:t>
      </w:r>
      <w:r w:rsidR="00F9659F">
        <w:t xml:space="preserve">pre-committed </w:t>
      </w:r>
      <w:r w:rsidR="00F9659F" w:rsidRPr="00004CF9">
        <w:t xml:space="preserve">funds </w:t>
      </w:r>
      <w:r w:rsidR="00F9659F">
        <w:t xml:space="preserve">totalling CHF 1,232,000 </w:t>
      </w:r>
      <w:r w:rsidR="00F9659F" w:rsidRPr="00004CF9">
        <w:t>from 202</w:t>
      </w:r>
      <w:r w:rsidR="00F9659F">
        <w:t>3</w:t>
      </w:r>
      <w:r w:rsidR="00F9659F" w:rsidRPr="00004CF9">
        <w:t xml:space="preserve"> to 202</w:t>
      </w:r>
      <w:r w:rsidR="00F9659F">
        <w:t>4</w:t>
      </w:r>
      <w:r w:rsidR="00F9659F" w:rsidRPr="00054685">
        <w:t>;</w:t>
      </w:r>
      <w:r w:rsidR="00C17AED">
        <w:t xml:space="preserve"> </w:t>
      </w:r>
    </w:p>
    <w:p w14:paraId="21AF017C" w14:textId="306E7BA8" w:rsidR="00C17AED" w:rsidRDefault="00445EA0" w:rsidP="00445EA0">
      <w:pPr>
        <w:widowControl/>
        <w:autoSpaceDE/>
        <w:autoSpaceDN/>
        <w:ind w:left="426" w:hanging="426"/>
      </w:pPr>
      <w:r>
        <w:t xml:space="preserve">- </w:t>
      </w:r>
      <w:r>
        <w:tab/>
      </w:r>
      <w:r w:rsidR="00C17AED">
        <w:t xml:space="preserve">the proposal to </w:t>
      </w:r>
      <w:r w:rsidR="00F9659F" w:rsidRPr="00D70A42">
        <w:t>allocat</w:t>
      </w:r>
      <w:r w:rsidR="00C17AED">
        <w:t>e</w:t>
      </w:r>
      <w:r w:rsidR="00F9659F" w:rsidRPr="00D70A42">
        <w:t xml:space="preserve"> </w:t>
      </w:r>
      <w:r w:rsidR="00C17AED">
        <w:t xml:space="preserve">funds to the </w:t>
      </w:r>
      <w:r w:rsidR="00F9659F" w:rsidRPr="00D70A42">
        <w:t xml:space="preserve">eligible RRI; </w:t>
      </w:r>
    </w:p>
    <w:p w14:paraId="0107C3B3" w14:textId="198A9CB2" w:rsidR="00C17AED" w:rsidRDefault="00445EA0" w:rsidP="00445EA0">
      <w:pPr>
        <w:widowControl/>
        <w:autoSpaceDE/>
        <w:autoSpaceDN/>
        <w:ind w:left="426" w:hanging="426"/>
      </w:pPr>
      <w:r>
        <w:t xml:space="preserve">- </w:t>
      </w:r>
      <w:r>
        <w:tab/>
      </w:r>
      <w:r w:rsidR="00F9659F" w:rsidRPr="00D70A42">
        <w:t>the surplus balances; and</w:t>
      </w:r>
      <w:r w:rsidR="00C17AED">
        <w:t xml:space="preserve"> </w:t>
      </w:r>
    </w:p>
    <w:p w14:paraId="3425BEDA" w14:textId="75AA2922" w:rsidR="00C17AED" w:rsidRDefault="00445EA0" w:rsidP="00445EA0">
      <w:pPr>
        <w:widowControl/>
        <w:autoSpaceDE/>
        <w:autoSpaceDN/>
        <w:ind w:left="426" w:hanging="426"/>
      </w:pPr>
      <w:r>
        <w:t xml:space="preserve">- </w:t>
      </w:r>
      <w:r>
        <w:tab/>
      </w:r>
      <w:r w:rsidR="00F9659F" w:rsidRPr="00103D37">
        <w:t xml:space="preserve">the information </w:t>
      </w:r>
      <w:r w:rsidR="00F9659F">
        <w:t>regarding</w:t>
      </w:r>
      <w:r w:rsidR="00F9659F" w:rsidRPr="00103D37">
        <w:t xml:space="preserve"> the financial reports for 2024 </w:t>
      </w:r>
      <w:r w:rsidR="00F9659F">
        <w:t>and 2025</w:t>
      </w:r>
      <w:r w:rsidR="00952558">
        <w:t xml:space="preserve"> in preparation for SC64 and SC65</w:t>
      </w:r>
      <w:r w:rsidR="00F9659F">
        <w:t>,</w:t>
      </w:r>
      <w:r w:rsidR="00F9659F" w:rsidRPr="00103D37">
        <w:t xml:space="preserve"> and </w:t>
      </w:r>
      <w:r w:rsidR="00F9659F">
        <w:t>regarding</w:t>
      </w:r>
      <w:r w:rsidR="00F9659F" w:rsidRPr="00103D37">
        <w:t xml:space="preserve"> the </w:t>
      </w:r>
      <w:r w:rsidR="00F9659F">
        <w:t>i</w:t>
      </w:r>
      <w:r w:rsidR="00F9659F" w:rsidRPr="00103D37">
        <w:t xml:space="preserve">nvoices </w:t>
      </w:r>
      <w:r w:rsidR="00F9659F">
        <w:t xml:space="preserve">for </w:t>
      </w:r>
      <w:r w:rsidR="00F9659F" w:rsidRPr="00103D37">
        <w:t>2025.</w:t>
      </w:r>
    </w:p>
    <w:p w14:paraId="2A468A16" w14:textId="77777777" w:rsidR="00FF1E0D" w:rsidRDefault="00FF1E0D" w:rsidP="00FF1E0D">
      <w:pPr>
        <w:widowControl/>
        <w:autoSpaceDE/>
        <w:autoSpaceDN/>
      </w:pPr>
    </w:p>
    <w:p w14:paraId="622F3A27" w14:textId="7941F444" w:rsidR="00FF1E0D" w:rsidRDefault="00FF1E0D" w:rsidP="00FF1E0D">
      <w:pPr>
        <w:widowControl/>
        <w:autoSpaceDE/>
        <w:autoSpaceDN/>
      </w:pPr>
      <w:r>
        <w:t>The Secretariat further noted that:</w:t>
      </w:r>
    </w:p>
    <w:p w14:paraId="610E9CB7" w14:textId="75E938A7" w:rsidR="00FF1E0D" w:rsidRDefault="00445EA0" w:rsidP="00445EA0">
      <w:pPr>
        <w:widowControl/>
        <w:autoSpaceDE/>
        <w:autoSpaceDN/>
        <w:ind w:left="426" w:hanging="426"/>
      </w:pPr>
      <w:r>
        <w:t xml:space="preserve">- </w:t>
      </w:r>
      <w:r>
        <w:tab/>
      </w:r>
      <w:r w:rsidR="00FF1E0D">
        <w:t xml:space="preserve">the reports </w:t>
      </w:r>
      <w:r w:rsidR="00952558">
        <w:t xml:space="preserve">on financial </w:t>
      </w:r>
      <w:r w:rsidR="00404720">
        <w:t xml:space="preserve">and budgetary </w:t>
      </w:r>
      <w:r w:rsidR="00952558">
        <w:t xml:space="preserve">matters </w:t>
      </w:r>
      <w:r w:rsidR="00FF1E0D">
        <w:t xml:space="preserve">to SC64 would cover the period to 30 September 2024; </w:t>
      </w:r>
    </w:p>
    <w:p w14:paraId="3E78A1D8" w14:textId="0F2F4E2A" w:rsidR="00FF1E0D" w:rsidRDefault="00445EA0" w:rsidP="00445EA0">
      <w:pPr>
        <w:widowControl/>
        <w:autoSpaceDE/>
        <w:autoSpaceDN/>
        <w:ind w:left="426" w:hanging="426"/>
      </w:pPr>
      <w:r>
        <w:t xml:space="preserve">- </w:t>
      </w:r>
      <w:r>
        <w:tab/>
      </w:r>
      <w:r w:rsidR="00FF1E0D">
        <w:t>the audited statements for 2024</w:t>
      </w:r>
      <w:r w:rsidR="009317C3">
        <w:t>,</w:t>
      </w:r>
      <w:r w:rsidR="00FF1E0D">
        <w:t xml:space="preserve"> </w:t>
      </w:r>
      <w:r w:rsidR="00E52E82">
        <w:t>along with year-end 2024 results</w:t>
      </w:r>
      <w:r w:rsidR="009317C3">
        <w:t>,</w:t>
      </w:r>
      <w:r w:rsidR="00E52E82">
        <w:t xml:space="preserve"> </w:t>
      </w:r>
      <w:r w:rsidR="00FF1E0D">
        <w:t xml:space="preserve">would be published </w:t>
      </w:r>
      <w:r w:rsidR="00FF6E83">
        <w:t xml:space="preserve">by </w:t>
      </w:r>
      <w:r w:rsidR="00FF1E0D">
        <w:t>May 2025 and submitted to SC65</w:t>
      </w:r>
      <w:r w:rsidR="00952558">
        <w:t xml:space="preserve"> for approval</w:t>
      </w:r>
      <w:r w:rsidR="00FF1E0D">
        <w:t xml:space="preserve">; and </w:t>
      </w:r>
    </w:p>
    <w:p w14:paraId="2AE9F14C" w14:textId="24D65F86" w:rsidR="00FF1E0D" w:rsidRDefault="00445EA0" w:rsidP="00445EA0">
      <w:pPr>
        <w:widowControl/>
        <w:autoSpaceDE/>
        <w:autoSpaceDN/>
        <w:ind w:left="426" w:hanging="426"/>
      </w:pPr>
      <w:r>
        <w:t xml:space="preserve">- </w:t>
      </w:r>
      <w:r>
        <w:tab/>
      </w:r>
      <w:r w:rsidR="00FF1E0D">
        <w:t xml:space="preserve">the new UN scale of contributions for 2025-2027 would be published </w:t>
      </w:r>
      <w:r w:rsidR="00952558">
        <w:t xml:space="preserve">by </w:t>
      </w:r>
      <w:r w:rsidR="00FF1E0D">
        <w:t>the end of 2024 and the Secretariat would send invoices for 2025 as soon as possible after that.</w:t>
      </w:r>
    </w:p>
    <w:p w14:paraId="51DD0B58" w14:textId="28091A1E" w:rsidR="00C17AED" w:rsidRDefault="00C17AED" w:rsidP="00C17AED">
      <w:pPr>
        <w:widowControl/>
        <w:autoSpaceDE/>
        <w:autoSpaceDN/>
      </w:pPr>
    </w:p>
    <w:p w14:paraId="56B65529" w14:textId="1EC2823C" w:rsidR="00101AD3" w:rsidRDefault="001D7D26" w:rsidP="00C17AED">
      <w:pPr>
        <w:widowControl/>
        <w:autoSpaceDE/>
        <w:autoSpaceDN/>
      </w:pPr>
      <w:r>
        <w:t xml:space="preserve">The Subgroup </w:t>
      </w:r>
      <w:r w:rsidR="009B17B4">
        <w:t xml:space="preserve">considered the use of unspent funds under activities such as RRIs and the Effectiveness Working Group. </w:t>
      </w:r>
      <w:r w:rsidR="00101AD3">
        <w:t xml:space="preserve">The Secretariat </w:t>
      </w:r>
      <w:r w:rsidR="00511803">
        <w:t>noted</w:t>
      </w:r>
      <w:r w:rsidR="00101AD3">
        <w:t xml:space="preserve"> that unallocated or unspent funds are carried forward within the approved budget lines within the triennium</w:t>
      </w:r>
      <w:r w:rsidR="009317C3">
        <w:t>,</w:t>
      </w:r>
      <w:r w:rsidR="00101AD3">
        <w:t xml:space="preserve"> in line with Standing Committee Decision SC57-50.  </w:t>
      </w:r>
    </w:p>
    <w:p w14:paraId="1C4A080B" w14:textId="77777777" w:rsidR="00101AD3" w:rsidRDefault="00101AD3" w:rsidP="00C17AED">
      <w:pPr>
        <w:widowControl/>
        <w:autoSpaceDE/>
        <w:autoSpaceDN/>
      </w:pPr>
    </w:p>
    <w:p w14:paraId="003BC100" w14:textId="3AE20A2B" w:rsidR="00C17AED" w:rsidRDefault="00C17AED" w:rsidP="00C17AED">
      <w:pPr>
        <w:widowControl/>
        <w:autoSpaceDE/>
        <w:autoSpaceDN/>
      </w:pPr>
      <w:r>
        <w:t>Regarding the process for allocation of surplus funds, the Secretariat explained that any proposals</w:t>
      </w:r>
      <w:r w:rsidR="00BD4C34">
        <w:t xml:space="preserve"> for use of surplus funds </w:t>
      </w:r>
      <w:r>
        <w:t xml:space="preserve">would be put before the Subgroup on Finance for consideration and eventual </w:t>
      </w:r>
      <w:r w:rsidRPr="0010769A">
        <w:t>recommendation to the Standing Committee for a decision.</w:t>
      </w:r>
      <w:r w:rsidR="009B17B4" w:rsidRPr="0010769A">
        <w:t xml:space="preserve"> </w:t>
      </w:r>
      <w:r w:rsidR="00C65DAC" w:rsidRPr="0010769A">
        <w:t>A</w:t>
      </w:r>
      <w:r w:rsidR="009B17B4" w:rsidRPr="0010769A">
        <w:t>llocation of outstanding surplus would normally be decided at t</w:t>
      </w:r>
      <w:r w:rsidR="00BD4C34" w:rsidRPr="0010769A">
        <w:t xml:space="preserve">he end of the triennium </w:t>
      </w:r>
      <w:r w:rsidR="00C65DAC" w:rsidRPr="0010769A">
        <w:t xml:space="preserve">by </w:t>
      </w:r>
      <w:r w:rsidR="009B17B4" w:rsidRPr="0010769A">
        <w:t xml:space="preserve">the </w:t>
      </w:r>
      <w:r w:rsidR="00FF1E0D" w:rsidRPr="0010769A">
        <w:t>Standing</w:t>
      </w:r>
      <w:r w:rsidR="009B17B4" w:rsidRPr="0010769A">
        <w:t xml:space="preserve"> Committee following the COP. To date</w:t>
      </w:r>
      <w:r w:rsidR="009317C3" w:rsidRPr="0010769A">
        <w:t>,</w:t>
      </w:r>
      <w:r w:rsidR="009B17B4" w:rsidRPr="0010769A">
        <w:t xml:space="preserve"> no proposals had been received on the allocation of </w:t>
      </w:r>
      <w:r w:rsidR="00511803" w:rsidRPr="0010769A">
        <w:t xml:space="preserve">the </w:t>
      </w:r>
      <w:r w:rsidR="009B17B4" w:rsidRPr="0010769A">
        <w:t>surplus funds</w:t>
      </w:r>
      <w:r w:rsidR="00952558" w:rsidRPr="0010769A">
        <w:t xml:space="preserve"> reported as of </w:t>
      </w:r>
      <w:r w:rsidR="009317C3" w:rsidRPr="0010769A">
        <w:t xml:space="preserve">the </w:t>
      </w:r>
      <w:r w:rsidR="00952558" w:rsidRPr="0010769A">
        <w:t>end of 2023</w:t>
      </w:r>
      <w:r w:rsidR="009B17B4" w:rsidRPr="0010769A">
        <w:t>.</w:t>
      </w:r>
      <w:r w:rsidR="00FF1E0D" w:rsidRPr="0010769A">
        <w:t xml:space="preserve"> The</w:t>
      </w:r>
      <w:r w:rsidR="00FF1E0D">
        <w:t xml:space="preserve"> Secretariat added that the current situation is exceptional and reflects </w:t>
      </w:r>
      <w:r w:rsidR="00CF1C9C">
        <w:t xml:space="preserve">budget </w:t>
      </w:r>
      <w:r w:rsidR="00FF1E0D">
        <w:t xml:space="preserve">savings which accumulated </w:t>
      </w:r>
      <w:r w:rsidR="00DA7041">
        <w:t>up to</w:t>
      </w:r>
      <w:r w:rsidR="00101AD3">
        <w:t xml:space="preserve"> 2022 </w:t>
      </w:r>
      <w:r w:rsidR="00FF1E0D">
        <w:t>during the pandemic</w:t>
      </w:r>
      <w:r w:rsidR="009317C3">
        <w:t>,</w:t>
      </w:r>
      <w:r w:rsidR="00FF1E0D">
        <w:t xml:space="preserve"> under activities</w:t>
      </w:r>
      <w:r w:rsidR="00CF1C9C">
        <w:t xml:space="preserve"> such </w:t>
      </w:r>
      <w:r w:rsidR="00DA7041">
        <w:t xml:space="preserve">as </w:t>
      </w:r>
      <w:r w:rsidR="00CF1C9C">
        <w:t>travel and meetings</w:t>
      </w:r>
      <w:r w:rsidR="00FF1E0D">
        <w:t>.</w:t>
      </w:r>
    </w:p>
    <w:p w14:paraId="3B77ECE9" w14:textId="77777777" w:rsidR="002C7AAB" w:rsidRDefault="002C7AAB" w:rsidP="00C17AED">
      <w:pPr>
        <w:widowControl/>
        <w:autoSpaceDE/>
        <w:autoSpaceDN/>
      </w:pPr>
    </w:p>
    <w:p w14:paraId="5DABAC9C" w14:textId="6B285907" w:rsidR="002C7AAB" w:rsidRDefault="002C7AAB" w:rsidP="00C17AED">
      <w:pPr>
        <w:widowControl/>
        <w:autoSpaceDE/>
        <w:autoSpaceDN/>
      </w:pPr>
      <w:r>
        <w:t xml:space="preserve">Members </w:t>
      </w:r>
      <w:r w:rsidR="00CF1C9C">
        <w:t xml:space="preserve">of the Subgroup </w:t>
      </w:r>
      <w:r>
        <w:t>agreed to</w:t>
      </w:r>
      <w:r w:rsidR="5626EE5F">
        <w:t xml:space="preserve"> request an October deadline for proposals for allocation of surplus funds and further</w:t>
      </w:r>
      <w:r>
        <w:t xml:space="preserve"> hold a virtual intersessional meeting </w:t>
      </w:r>
      <w:r w:rsidR="0E5926D6">
        <w:t xml:space="preserve">around </w:t>
      </w:r>
      <w:r>
        <w:t xml:space="preserve">early December 2024, once draft resolutions for COP15 had been published and in advance of the regional pre-COP meetings foreseen </w:t>
      </w:r>
      <w:r w:rsidR="009317C3">
        <w:t>for</w:t>
      </w:r>
      <w:r w:rsidR="00DA7041">
        <w:t xml:space="preserve"> the </w:t>
      </w:r>
      <w:r w:rsidR="00CF1C9C">
        <w:t>beginning of</w:t>
      </w:r>
      <w:r>
        <w:t xml:space="preserve"> 2025, to consider:</w:t>
      </w:r>
    </w:p>
    <w:p w14:paraId="2A767B51" w14:textId="6735867B" w:rsidR="002C7AAB" w:rsidRDefault="00445EA0" w:rsidP="00445EA0">
      <w:pPr>
        <w:widowControl/>
        <w:autoSpaceDE/>
        <w:autoSpaceDN/>
        <w:ind w:left="426" w:hanging="426"/>
      </w:pPr>
      <w:r>
        <w:t xml:space="preserve">- </w:t>
      </w:r>
      <w:r>
        <w:tab/>
      </w:r>
      <w:r w:rsidR="002C7AAB">
        <w:t>proposals for allocation of surplus funds;</w:t>
      </w:r>
      <w:r w:rsidR="00481CDD">
        <w:t xml:space="preserve"> and</w:t>
      </w:r>
    </w:p>
    <w:p w14:paraId="11BC8EC5" w14:textId="0B750463" w:rsidR="002C7AAB" w:rsidRDefault="00445EA0" w:rsidP="00445EA0">
      <w:pPr>
        <w:widowControl/>
        <w:autoSpaceDE/>
        <w:autoSpaceDN/>
        <w:ind w:left="426" w:hanging="426"/>
      </w:pPr>
      <w:r>
        <w:t xml:space="preserve">- </w:t>
      </w:r>
      <w:r>
        <w:tab/>
      </w:r>
      <w:r w:rsidR="002C7AAB">
        <w:t xml:space="preserve">the Secretariat’s proposed budget plan for the next triennium, </w:t>
      </w:r>
      <w:r w:rsidR="00481CDD">
        <w:t>which should take</w:t>
      </w:r>
      <w:r w:rsidR="002C7AAB">
        <w:t xml:space="preserve"> into account </w:t>
      </w:r>
      <w:r w:rsidR="00D472A8">
        <w:t>the inflationary pressures on core budget activities and the increase in Secretariat activities.</w:t>
      </w:r>
    </w:p>
    <w:p w14:paraId="2F1ACF84" w14:textId="77777777" w:rsidR="00D472A8" w:rsidRDefault="00D472A8" w:rsidP="00D472A8">
      <w:pPr>
        <w:widowControl/>
        <w:autoSpaceDE/>
        <w:autoSpaceDN/>
      </w:pPr>
    </w:p>
    <w:p w14:paraId="64020049" w14:textId="05EC4C3F" w:rsidR="00D472A8" w:rsidRDefault="001D7D26" w:rsidP="00D472A8">
      <w:pPr>
        <w:widowControl/>
        <w:autoSpaceDE/>
        <w:autoSpaceDN/>
      </w:pPr>
      <w:r>
        <w:t xml:space="preserve">The Subgroup </w:t>
      </w:r>
      <w:r w:rsidR="00D472A8">
        <w:t xml:space="preserve">made preliminary suggestions for activities suitable for allocation of surplus funds, </w:t>
      </w:r>
      <w:r w:rsidR="009317C3">
        <w:t xml:space="preserve">including </w:t>
      </w:r>
      <w:r w:rsidR="00101AD3">
        <w:t xml:space="preserve">for example </w:t>
      </w:r>
      <w:r w:rsidR="00D472A8">
        <w:t>capacity</w:t>
      </w:r>
      <w:r w:rsidR="00D472A8" w:rsidRPr="76A444F1">
        <w:rPr>
          <w:lang w:val="en-GB"/>
        </w:rPr>
        <w:t>-</w:t>
      </w:r>
      <w:r w:rsidR="00D472A8">
        <w:t xml:space="preserve">building activities on the preparation of </w:t>
      </w:r>
      <w:r w:rsidR="74004893">
        <w:t xml:space="preserve">wetlands </w:t>
      </w:r>
      <w:r w:rsidR="00D472A8">
        <w:t xml:space="preserve">inventories, and projects to enhance the Convention’s </w:t>
      </w:r>
      <w:r w:rsidR="00DA7041">
        <w:t xml:space="preserve">application </w:t>
      </w:r>
      <w:r w:rsidR="00D472A8">
        <w:t>of new technologies.</w:t>
      </w:r>
      <w:r w:rsidR="00481CDD">
        <w:t xml:space="preserve"> The Chair stated that proposals would be </w:t>
      </w:r>
      <w:r w:rsidR="2FE9E55F">
        <w:t xml:space="preserve">due by October </w:t>
      </w:r>
      <w:r w:rsidR="00481CDD">
        <w:t xml:space="preserve">in advance of the </w:t>
      </w:r>
      <w:r w:rsidR="00BA15AD">
        <w:t xml:space="preserve">intersessional </w:t>
      </w:r>
      <w:r w:rsidR="00481CDD">
        <w:t>meeting.</w:t>
      </w:r>
    </w:p>
    <w:p w14:paraId="5C7C2234" w14:textId="77777777" w:rsidR="00C46204" w:rsidRDefault="00C46204" w:rsidP="00D472A8">
      <w:pPr>
        <w:widowControl/>
        <w:autoSpaceDE/>
        <w:autoSpaceDN/>
      </w:pPr>
    </w:p>
    <w:p w14:paraId="0E34E3FE" w14:textId="372329B5" w:rsidR="00BA15AD" w:rsidRDefault="00101AD3" w:rsidP="00F9659F">
      <w:pPr>
        <w:pStyle w:val="ColorfulList-Accent11"/>
        <w:ind w:left="0" w:firstLine="0"/>
        <w:rPr>
          <w:rFonts w:cs="Calibri"/>
        </w:rPr>
      </w:pPr>
      <w:r>
        <w:rPr>
          <w:rFonts w:cs="Calibri"/>
        </w:rPr>
        <w:t xml:space="preserve">The Secretariat </w:t>
      </w:r>
      <w:r w:rsidR="00BA15AD">
        <w:rPr>
          <w:rFonts w:cs="Calibri"/>
        </w:rPr>
        <w:t xml:space="preserve">shared with the </w:t>
      </w:r>
      <w:r w:rsidR="00BB454C">
        <w:rPr>
          <w:rFonts w:cs="Calibri"/>
        </w:rPr>
        <w:t>Subgroup</w:t>
      </w:r>
      <w:r w:rsidR="00BA15AD">
        <w:rPr>
          <w:rFonts w:cs="Calibri"/>
        </w:rPr>
        <w:t xml:space="preserve"> that</w:t>
      </w:r>
      <w:r w:rsidR="009317C3">
        <w:rPr>
          <w:rFonts w:cs="Calibri"/>
        </w:rPr>
        <w:t>, despite</w:t>
      </w:r>
      <w:r w:rsidR="00BA15AD">
        <w:rPr>
          <w:rFonts w:cs="Calibri"/>
        </w:rPr>
        <w:t xml:space="preserve"> </w:t>
      </w:r>
      <w:r w:rsidR="009317C3">
        <w:rPr>
          <w:rFonts w:cs="Calibri"/>
        </w:rPr>
        <w:t xml:space="preserve">the </w:t>
      </w:r>
      <w:r w:rsidR="00BA15AD">
        <w:rPr>
          <w:rFonts w:cs="Calibri"/>
        </w:rPr>
        <w:t xml:space="preserve">increase in </w:t>
      </w:r>
      <w:r w:rsidR="009317C3">
        <w:rPr>
          <w:rFonts w:cs="Calibri"/>
        </w:rPr>
        <w:t xml:space="preserve">Secretariat activities </w:t>
      </w:r>
      <w:r w:rsidR="00BB454C">
        <w:rPr>
          <w:rFonts w:cs="Calibri"/>
        </w:rPr>
        <w:t xml:space="preserve">to support the Contracting Parties, the budget has remained unchanged during the past 15 years. </w:t>
      </w:r>
      <w:r w:rsidR="00BB454C" w:rsidRPr="00BB454C">
        <w:rPr>
          <w:rFonts w:cs="Calibri"/>
        </w:rPr>
        <w:t xml:space="preserve">The Secretariat will </w:t>
      </w:r>
      <w:r w:rsidR="00BB454C">
        <w:rPr>
          <w:rFonts w:cs="Calibri"/>
        </w:rPr>
        <w:t xml:space="preserve">therefore </w:t>
      </w:r>
      <w:r w:rsidR="00BB454C" w:rsidRPr="00BB454C">
        <w:rPr>
          <w:rFonts w:cs="Calibri"/>
        </w:rPr>
        <w:t xml:space="preserve">present an increased budget for consideration </w:t>
      </w:r>
      <w:r w:rsidR="00BB454C">
        <w:rPr>
          <w:rFonts w:cs="Calibri"/>
        </w:rPr>
        <w:t>by the Subgroup on Finance during</w:t>
      </w:r>
      <w:r w:rsidR="00BB454C" w:rsidRPr="00BB454C">
        <w:rPr>
          <w:rFonts w:cs="Calibri"/>
        </w:rPr>
        <w:t xml:space="preserve"> the intersessional meeting</w:t>
      </w:r>
      <w:r w:rsidR="00BB454C">
        <w:rPr>
          <w:rFonts w:cs="Calibri"/>
        </w:rPr>
        <w:t>.</w:t>
      </w:r>
    </w:p>
    <w:p w14:paraId="0054B3CC" w14:textId="2207542C" w:rsidR="00101AD3" w:rsidRDefault="00101AD3" w:rsidP="00F9659F">
      <w:pPr>
        <w:pStyle w:val="ColorfulList-Accent11"/>
        <w:ind w:left="0" w:firstLine="0"/>
        <w:rPr>
          <w:rFonts w:cs="Calibri"/>
        </w:rPr>
      </w:pPr>
      <w:r>
        <w:rPr>
          <w:rFonts w:cs="Calibri"/>
        </w:rPr>
        <w:lastRenderedPageBreak/>
        <w:t xml:space="preserve"> </w:t>
      </w:r>
    </w:p>
    <w:p w14:paraId="1084389C" w14:textId="77777777" w:rsidR="00F9659F" w:rsidRPr="001A64EB" w:rsidRDefault="00F9659F" w:rsidP="00F9659F">
      <w:pPr>
        <w:widowControl/>
        <w:rPr>
          <w:rFonts w:asciiTheme="minorHAnsi" w:hAnsiTheme="minorHAnsi" w:cstheme="minorHAnsi"/>
          <w:i/>
          <w:iCs/>
          <w:lang w:eastAsia="ja-JP"/>
        </w:rPr>
      </w:pPr>
      <w:r w:rsidRPr="001A64EB">
        <w:rPr>
          <w:rFonts w:asciiTheme="minorHAnsi" w:hAnsiTheme="minorHAnsi" w:cstheme="minorHAnsi"/>
          <w:i/>
        </w:rPr>
        <w:t>Recommendation</w:t>
      </w:r>
      <w:r w:rsidRPr="001A64EB">
        <w:rPr>
          <w:rFonts w:asciiTheme="minorHAnsi" w:hAnsiTheme="minorHAnsi" w:cstheme="minorHAnsi"/>
          <w:i/>
          <w:iCs/>
          <w:lang w:eastAsia="ja-JP"/>
        </w:rPr>
        <w:t xml:space="preserve"> for decision by the Standing Committee:</w:t>
      </w:r>
    </w:p>
    <w:p w14:paraId="2479B12C" w14:textId="77777777" w:rsidR="00F9659F" w:rsidRDefault="00F9659F" w:rsidP="00F9659F">
      <w:pPr>
        <w:pStyle w:val="ColorfulList-Accent11"/>
        <w:ind w:left="0" w:firstLine="0"/>
        <w:rPr>
          <w:rFonts w:cs="Calibri"/>
        </w:rPr>
      </w:pPr>
    </w:p>
    <w:p w14:paraId="6B8EB00F" w14:textId="77777777" w:rsidR="00F9659F" w:rsidRPr="00F9659F" w:rsidRDefault="00F9659F" w:rsidP="00F9659F">
      <w:pPr>
        <w:widowControl/>
        <w:rPr>
          <w:rFonts w:asciiTheme="minorHAnsi" w:hAnsiTheme="minorHAnsi" w:cstheme="minorHAnsi"/>
          <w:b/>
          <w:i/>
        </w:rPr>
      </w:pPr>
      <w:r w:rsidRPr="00F9659F">
        <w:rPr>
          <w:rFonts w:asciiTheme="minorHAnsi" w:hAnsiTheme="minorHAnsi" w:cstheme="minorHAnsi"/>
          <w:b/>
          <w:i/>
        </w:rPr>
        <w:t>The Subgroup of Finance recommends that the Standing Committee:</w:t>
      </w:r>
    </w:p>
    <w:p w14:paraId="4E07AB28" w14:textId="52CD2B59" w:rsidR="00F9659F" w:rsidRPr="000C05D9" w:rsidRDefault="00F9659F" w:rsidP="00F9659F">
      <w:pPr>
        <w:ind w:left="425" w:hanging="425"/>
        <w:contextualSpacing/>
        <w:rPr>
          <w:b/>
          <w:bCs/>
          <w:i/>
          <w:color w:val="000000" w:themeColor="text1"/>
        </w:rPr>
      </w:pPr>
      <w:r w:rsidRPr="00F9659F">
        <w:rPr>
          <w:b/>
          <w:bCs/>
          <w:i/>
          <w:color w:val="000000" w:themeColor="text1"/>
        </w:rPr>
        <w:t xml:space="preserve">i. </w:t>
      </w:r>
      <w:r w:rsidRPr="00F9659F">
        <w:rPr>
          <w:b/>
          <w:bCs/>
          <w:i/>
          <w:color w:val="000000" w:themeColor="text1"/>
        </w:rPr>
        <w:tab/>
      </w:r>
      <w:r w:rsidRPr="000C05D9">
        <w:rPr>
          <w:b/>
          <w:bCs/>
          <w:i/>
          <w:color w:val="000000" w:themeColor="text1"/>
        </w:rPr>
        <w:t>accept the 2023 audited financial statements as of 31 December 2023;</w:t>
      </w:r>
    </w:p>
    <w:p w14:paraId="173DF5A6" w14:textId="2404CC77" w:rsidR="00F9659F" w:rsidRPr="000C05D9" w:rsidRDefault="00F9659F" w:rsidP="00F9659F">
      <w:pPr>
        <w:ind w:left="425" w:hanging="425"/>
        <w:contextualSpacing/>
        <w:rPr>
          <w:b/>
          <w:bCs/>
          <w:i/>
          <w:color w:val="000000" w:themeColor="text1"/>
        </w:rPr>
      </w:pPr>
      <w:r w:rsidRPr="000C05D9">
        <w:rPr>
          <w:b/>
          <w:bCs/>
          <w:i/>
          <w:color w:val="000000" w:themeColor="text1"/>
        </w:rPr>
        <w:t xml:space="preserve">ii. </w:t>
      </w:r>
      <w:r w:rsidRPr="000C05D9">
        <w:rPr>
          <w:b/>
          <w:bCs/>
          <w:i/>
          <w:color w:val="000000" w:themeColor="text1"/>
        </w:rPr>
        <w:tab/>
        <w:t>note the core budget results for 2023;</w:t>
      </w:r>
    </w:p>
    <w:p w14:paraId="3F05AC29" w14:textId="6724C54C" w:rsidR="00F9659F" w:rsidRPr="000C05D9" w:rsidRDefault="00F9659F" w:rsidP="00F9659F">
      <w:pPr>
        <w:ind w:left="425" w:hanging="425"/>
        <w:contextualSpacing/>
        <w:rPr>
          <w:b/>
          <w:bCs/>
          <w:i/>
          <w:color w:val="000000" w:themeColor="text1"/>
        </w:rPr>
      </w:pPr>
      <w:r w:rsidRPr="000C05D9">
        <w:rPr>
          <w:b/>
          <w:bCs/>
          <w:i/>
          <w:color w:val="000000" w:themeColor="text1"/>
        </w:rPr>
        <w:t>iii.</w:t>
      </w:r>
      <w:r w:rsidRPr="000C05D9">
        <w:rPr>
          <w:b/>
          <w:bCs/>
          <w:i/>
          <w:color w:val="000000" w:themeColor="text1"/>
        </w:rPr>
        <w:tab/>
        <w:t>note the status of the non-core balances and voluntary contributions for 2023;</w:t>
      </w:r>
    </w:p>
    <w:p w14:paraId="57AA65FA" w14:textId="08B1ED2C" w:rsidR="00F9659F" w:rsidRPr="000C05D9" w:rsidRDefault="00F9659F" w:rsidP="00F9659F">
      <w:pPr>
        <w:ind w:left="425" w:hanging="425"/>
        <w:contextualSpacing/>
        <w:rPr>
          <w:b/>
          <w:bCs/>
          <w:i/>
          <w:color w:val="000000" w:themeColor="text1"/>
        </w:rPr>
      </w:pPr>
      <w:r w:rsidRPr="000C05D9">
        <w:rPr>
          <w:b/>
          <w:bCs/>
          <w:i/>
          <w:color w:val="000000" w:themeColor="text1"/>
        </w:rPr>
        <w:t xml:space="preserve">iv. </w:t>
      </w:r>
      <w:r w:rsidRPr="000C05D9">
        <w:rPr>
          <w:b/>
          <w:bCs/>
          <w:i/>
          <w:color w:val="000000" w:themeColor="text1"/>
        </w:rPr>
        <w:tab/>
        <w:t xml:space="preserve">approve </w:t>
      </w:r>
      <w:r>
        <w:rPr>
          <w:b/>
          <w:bCs/>
          <w:i/>
          <w:color w:val="000000" w:themeColor="text1"/>
        </w:rPr>
        <w:t>the carry forward of</w:t>
      </w:r>
      <w:r w:rsidRPr="000C05D9">
        <w:rPr>
          <w:b/>
          <w:bCs/>
          <w:i/>
          <w:color w:val="000000" w:themeColor="text1"/>
        </w:rPr>
        <w:t xml:space="preserve"> </w:t>
      </w:r>
      <w:r>
        <w:rPr>
          <w:b/>
          <w:bCs/>
          <w:i/>
          <w:color w:val="000000" w:themeColor="text1"/>
        </w:rPr>
        <w:t xml:space="preserve">the </w:t>
      </w:r>
      <w:r w:rsidRPr="000C05D9">
        <w:rPr>
          <w:b/>
          <w:bCs/>
          <w:i/>
          <w:color w:val="000000" w:themeColor="text1"/>
        </w:rPr>
        <w:t xml:space="preserve">pre-committed and unspent funds </w:t>
      </w:r>
      <w:r>
        <w:rPr>
          <w:b/>
          <w:bCs/>
          <w:i/>
          <w:color w:val="000000" w:themeColor="text1"/>
        </w:rPr>
        <w:t xml:space="preserve">totalling </w:t>
      </w:r>
      <w:r w:rsidRPr="000C05D9">
        <w:rPr>
          <w:b/>
          <w:bCs/>
          <w:i/>
          <w:color w:val="000000" w:themeColor="text1"/>
        </w:rPr>
        <w:t xml:space="preserve">CHF 1,232,000 from 2023 to 2024, as included in column </w:t>
      </w:r>
      <w:r w:rsidRPr="00F9659F">
        <w:rPr>
          <w:b/>
          <w:bCs/>
          <w:i/>
          <w:color w:val="000000" w:themeColor="text1"/>
        </w:rPr>
        <w:t>C</w:t>
      </w:r>
      <w:r w:rsidRPr="000C05D9">
        <w:rPr>
          <w:b/>
          <w:bCs/>
          <w:i/>
          <w:color w:val="000000" w:themeColor="text1"/>
        </w:rPr>
        <w:t xml:space="preserve"> of the table in Annex 1 Core Budget 2024 of the</w:t>
      </w:r>
      <w:r>
        <w:rPr>
          <w:b/>
          <w:bCs/>
          <w:i/>
          <w:color w:val="000000" w:themeColor="text1"/>
        </w:rPr>
        <w:t xml:space="preserve"> present </w:t>
      </w:r>
      <w:r w:rsidRPr="000C05D9">
        <w:rPr>
          <w:b/>
          <w:bCs/>
          <w:i/>
          <w:color w:val="000000" w:themeColor="text1"/>
        </w:rPr>
        <w:t>report;</w:t>
      </w:r>
    </w:p>
    <w:p w14:paraId="3F1713CB" w14:textId="7ED02C41" w:rsidR="00F9659F" w:rsidRPr="000C05D9" w:rsidRDefault="00F9659F" w:rsidP="00F9659F">
      <w:pPr>
        <w:ind w:left="425" w:hanging="425"/>
        <w:contextualSpacing/>
        <w:rPr>
          <w:b/>
          <w:bCs/>
          <w:i/>
          <w:color w:val="000000" w:themeColor="text1"/>
        </w:rPr>
      </w:pPr>
      <w:r w:rsidRPr="000C05D9">
        <w:rPr>
          <w:b/>
          <w:bCs/>
          <w:i/>
          <w:color w:val="000000" w:themeColor="text1"/>
        </w:rPr>
        <w:t>v.</w:t>
      </w:r>
      <w:r w:rsidRPr="000C05D9">
        <w:rPr>
          <w:b/>
          <w:bCs/>
          <w:i/>
          <w:color w:val="000000" w:themeColor="text1"/>
        </w:rPr>
        <w:tab/>
        <w:t xml:space="preserve">approve the allocation of CHF 29,000 from the core budget </w:t>
      </w:r>
      <w:bookmarkStart w:id="0" w:name="_GoBack"/>
      <w:bookmarkEnd w:id="0"/>
      <w:r w:rsidRPr="000C05D9">
        <w:rPr>
          <w:b/>
          <w:bCs/>
          <w:i/>
          <w:color w:val="000000" w:themeColor="text1"/>
        </w:rPr>
        <w:t xml:space="preserve">to the </w:t>
      </w:r>
      <w:bookmarkStart w:id="1" w:name="_Hlk167885701"/>
      <w:r w:rsidRPr="000C05D9">
        <w:rPr>
          <w:b/>
          <w:bCs/>
          <w:i/>
          <w:color w:val="000000" w:themeColor="text1"/>
        </w:rPr>
        <w:t>Danube WILDisland</w:t>
      </w:r>
      <w:bookmarkEnd w:id="1"/>
      <w:r w:rsidRPr="000C05D9">
        <w:rPr>
          <w:b/>
          <w:bCs/>
          <w:i/>
          <w:color w:val="000000" w:themeColor="text1"/>
        </w:rPr>
        <w:t xml:space="preserve"> Ramsar Regional Initiative for activities in 2024, as described in paragraph 23 of document SC63 Doc. 9.1</w:t>
      </w:r>
      <w:r w:rsidR="009317C3">
        <w:rPr>
          <w:rStyle w:val="FootnoteReference"/>
          <w:b/>
          <w:bCs/>
          <w:i/>
          <w:color w:val="000000" w:themeColor="text1"/>
        </w:rPr>
        <w:footnoteReference w:id="1"/>
      </w:r>
      <w:r w:rsidRPr="000C05D9">
        <w:rPr>
          <w:b/>
          <w:bCs/>
          <w:i/>
          <w:color w:val="000000" w:themeColor="text1"/>
        </w:rPr>
        <w:t xml:space="preserve">; </w:t>
      </w:r>
    </w:p>
    <w:p w14:paraId="735F22C4" w14:textId="526D2356" w:rsidR="00F9659F" w:rsidRPr="000C05D9" w:rsidRDefault="00F9659F" w:rsidP="00F9659F">
      <w:pPr>
        <w:ind w:left="425" w:hanging="425"/>
        <w:contextualSpacing/>
        <w:rPr>
          <w:b/>
          <w:bCs/>
          <w:i/>
          <w:color w:val="000000" w:themeColor="text1"/>
        </w:rPr>
      </w:pPr>
      <w:r w:rsidRPr="000C05D9">
        <w:rPr>
          <w:b/>
          <w:bCs/>
          <w:i/>
          <w:color w:val="000000" w:themeColor="text1"/>
        </w:rPr>
        <w:t>vi.</w:t>
      </w:r>
      <w:r w:rsidRPr="000C05D9">
        <w:rPr>
          <w:b/>
          <w:bCs/>
          <w:i/>
          <w:color w:val="000000" w:themeColor="text1"/>
        </w:rPr>
        <w:tab/>
      </w:r>
      <w:bookmarkStart w:id="2" w:name="_Hlk167885757"/>
      <w:r w:rsidRPr="000C05D9">
        <w:rPr>
          <w:b/>
          <w:bCs/>
          <w:i/>
          <w:color w:val="000000" w:themeColor="text1"/>
        </w:rPr>
        <w:t xml:space="preserve">note the surplus balances at the end of 2023; </w:t>
      </w:r>
      <w:r w:rsidRPr="00F9659F">
        <w:rPr>
          <w:b/>
          <w:bCs/>
          <w:i/>
          <w:color w:val="000000" w:themeColor="text1"/>
        </w:rPr>
        <w:t>and</w:t>
      </w:r>
    </w:p>
    <w:p w14:paraId="6A65A0A0" w14:textId="3FF18EFB" w:rsidR="00B87283" w:rsidRDefault="00F9659F" w:rsidP="00F9659F">
      <w:pPr>
        <w:ind w:left="425" w:hanging="425"/>
        <w:contextualSpacing/>
        <w:rPr>
          <w:b/>
          <w:bCs/>
          <w:i/>
          <w:color w:val="000000" w:themeColor="text1"/>
        </w:rPr>
      </w:pPr>
      <w:r w:rsidRPr="000C05D9">
        <w:rPr>
          <w:b/>
          <w:bCs/>
          <w:i/>
          <w:color w:val="000000" w:themeColor="text1"/>
        </w:rPr>
        <w:t>viii.</w:t>
      </w:r>
      <w:r w:rsidRPr="000C05D9">
        <w:rPr>
          <w:b/>
          <w:bCs/>
          <w:i/>
          <w:color w:val="000000" w:themeColor="text1"/>
        </w:rPr>
        <w:tab/>
        <w:t>note the information regarding the financial reports for 2024 and 2025 and regarding the invoices for 2025, as described in paragraphs 26 and 27 of document SC63 Doc. 9.1</w:t>
      </w:r>
      <w:bookmarkEnd w:id="2"/>
      <w:r w:rsidR="00590982" w:rsidRPr="00F9659F">
        <w:rPr>
          <w:b/>
          <w:bCs/>
          <w:i/>
          <w:color w:val="000000" w:themeColor="text1"/>
        </w:rPr>
        <w:t>.</w:t>
      </w:r>
    </w:p>
    <w:p w14:paraId="202D9CB6" w14:textId="77777777" w:rsidR="00481CDD" w:rsidRDefault="00481CDD" w:rsidP="00F9659F">
      <w:pPr>
        <w:ind w:left="425" w:hanging="425"/>
        <w:contextualSpacing/>
        <w:rPr>
          <w:b/>
          <w:bCs/>
          <w:i/>
          <w:color w:val="000000" w:themeColor="text1"/>
        </w:rPr>
      </w:pPr>
    </w:p>
    <w:p w14:paraId="3C0AA4D9" w14:textId="44E98A2D" w:rsidR="00481CDD" w:rsidRDefault="00481CDD" w:rsidP="00481CDD">
      <w:pPr>
        <w:widowControl/>
        <w:autoSpaceDE/>
        <w:autoSpaceDN/>
        <w:rPr>
          <w:iCs/>
          <w:color w:val="000000" w:themeColor="text1"/>
        </w:rPr>
      </w:pPr>
      <w:r w:rsidRPr="00481CDD">
        <w:rPr>
          <w:iCs/>
          <w:color w:val="000000" w:themeColor="text1"/>
        </w:rPr>
        <w:t>T</w:t>
      </w:r>
      <w:r>
        <w:rPr>
          <w:iCs/>
          <w:color w:val="000000" w:themeColor="text1"/>
        </w:rPr>
        <w:t>he Secretariat noted that the draft report of the present meeting would be shared with members for timely feedback</w:t>
      </w:r>
      <w:r w:rsidR="00C46204">
        <w:rPr>
          <w:iCs/>
          <w:color w:val="000000" w:themeColor="text1"/>
        </w:rPr>
        <w:t>,</w:t>
      </w:r>
      <w:r>
        <w:rPr>
          <w:iCs/>
          <w:color w:val="000000" w:themeColor="text1"/>
        </w:rPr>
        <w:t xml:space="preserve"> to enable publishing in advance of the Subgroup’s report to plenary on 6 June.</w:t>
      </w:r>
    </w:p>
    <w:p w14:paraId="5BA08F9E" w14:textId="77777777" w:rsidR="00481CDD" w:rsidRDefault="00481CDD" w:rsidP="00481CDD">
      <w:pPr>
        <w:widowControl/>
        <w:autoSpaceDE/>
        <w:autoSpaceDN/>
        <w:rPr>
          <w:iCs/>
          <w:color w:val="000000" w:themeColor="text1"/>
        </w:rPr>
      </w:pPr>
    </w:p>
    <w:p w14:paraId="0E632477" w14:textId="286F66D7" w:rsidR="00F8589C" w:rsidRDefault="00481CDD" w:rsidP="001D7A8A">
      <w:pPr>
        <w:widowControl/>
        <w:autoSpaceDE/>
        <w:autoSpaceDN/>
        <w:rPr>
          <w:iCs/>
          <w:color w:val="000000" w:themeColor="text1"/>
        </w:rPr>
      </w:pPr>
      <w:r>
        <w:rPr>
          <w:iCs/>
          <w:color w:val="000000" w:themeColor="text1"/>
        </w:rPr>
        <w:t xml:space="preserve">The Chair, noting that members would be informed should further meetings be required during the week, thanked the </w:t>
      </w:r>
      <w:r w:rsidR="00332676">
        <w:rPr>
          <w:iCs/>
          <w:color w:val="000000" w:themeColor="text1"/>
        </w:rPr>
        <w:t>participant</w:t>
      </w:r>
      <w:r w:rsidR="00C46204">
        <w:rPr>
          <w:iCs/>
          <w:color w:val="000000" w:themeColor="text1"/>
        </w:rPr>
        <w:t>s</w:t>
      </w:r>
      <w:r>
        <w:rPr>
          <w:iCs/>
          <w:color w:val="000000" w:themeColor="text1"/>
        </w:rPr>
        <w:t xml:space="preserve"> and closed the meeting.</w:t>
      </w:r>
    </w:p>
    <w:p w14:paraId="3ECAC767" w14:textId="77777777" w:rsidR="004D5206" w:rsidRDefault="004D5206">
      <w:pPr>
        <w:widowControl/>
        <w:autoSpaceDE/>
        <w:autoSpaceDN/>
        <w:spacing w:after="160" w:line="259" w:lineRule="auto"/>
        <w:rPr>
          <w:rFonts w:asciiTheme="minorHAnsi" w:hAnsiTheme="minorHAnsi" w:cs="Arial"/>
          <w:b/>
          <w:bCs/>
          <w:sz w:val="24"/>
          <w:szCs w:val="24"/>
          <w:lang w:eastAsia="en-GB"/>
        </w:rPr>
      </w:pPr>
      <w:r>
        <w:rPr>
          <w:rFonts w:asciiTheme="minorHAnsi" w:hAnsiTheme="minorHAnsi" w:cs="Arial"/>
          <w:b/>
          <w:bCs/>
          <w:sz w:val="24"/>
          <w:szCs w:val="24"/>
          <w:lang w:eastAsia="en-GB"/>
        </w:rPr>
        <w:br w:type="page"/>
      </w:r>
    </w:p>
    <w:p w14:paraId="1A578C88" w14:textId="54C904D2" w:rsidR="00F8589C" w:rsidRDefault="00F8589C" w:rsidP="00F8589C">
      <w:pPr>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Annex 1</w:t>
      </w:r>
    </w:p>
    <w:p w14:paraId="50AC24AE" w14:textId="6A574C62" w:rsidR="00F8589C" w:rsidRPr="00861214" w:rsidRDefault="004D5206" w:rsidP="00F8589C">
      <w:pPr>
        <w:rPr>
          <w:rFonts w:asciiTheme="minorHAnsi" w:hAnsiTheme="minorHAnsi" w:cs="Arial"/>
          <w:b/>
          <w:bCs/>
          <w:sz w:val="24"/>
          <w:szCs w:val="24"/>
          <w:lang w:eastAsia="en-GB"/>
        </w:rPr>
      </w:pPr>
      <w:r>
        <w:rPr>
          <w:rFonts w:asciiTheme="minorHAnsi" w:hAnsiTheme="minorHAnsi" w:cs="Arial"/>
          <w:b/>
          <w:bCs/>
          <w:sz w:val="24"/>
          <w:szCs w:val="24"/>
          <w:lang w:eastAsia="en-GB"/>
        </w:rPr>
        <w:t>Updated c</w:t>
      </w:r>
      <w:r w:rsidR="00F8589C" w:rsidRPr="00861214">
        <w:rPr>
          <w:rFonts w:asciiTheme="minorHAnsi" w:hAnsiTheme="minorHAnsi" w:cs="Arial"/>
          <w:b/>
          <w:bCs/>
          <w:sz w:val="24"/>
          <w:szCs w:val="24"/>
          <w:lang w:eastAsia="en-GB"/>
        </w:rPr>
        <w:t xml:space="preserve">ore </w:t>
      </w:r>
      <w:r w:rsidR="00F8589C">
        <w:rPr>
          <w:rFonts w:asciiTheme="minorHAnsi" w:hAnsiTheme="minorHAnsi" w:cs="Arial"/>
          <w:b/>
          <w:bCs/>
          <w:sz w:val="24"/>
          <w:szCs w:val="24"/>
          <w:lang w:eastAsia="en-GB"/>
        </w:rPr>
        <w:t>b</w:t>
      </w:r>
      <w:r w:rsidR="00F8589C" w:rsidRPr="00861214">
        <w:rPr>
          <w:rFonts w:asciiTheme="minorHAnsi" w:hAnsiTheme="minorHAnsi" w:cs="Arial"/>
          <w:b/>
          <w:bCs/>
          <w:sz w:val="24"/>
          <w:szCs w:val="24"/>
          <w:lang w:eastAsia="en-GB"/>
        </w:rPr>
        <w:t>udget 202</w:t>
      </w:r>
      <w:r w:rsidR="00F8589C">
        <w:rPr>
          <w:rFonts w:asciiTheme="minorHAnsi" w:hAnsiTheme="minorHAnsi" w:cs="Arial"/>
          <w:b/>
          <w:bCs/>
          <w:sz w:val="24"/>
          <w:szCs w:val="24"/>
          <w:lang w:eastAsia="en-GB"/>
        </w:rPr>
        <w:t>4</w:t>
      </w:r>
    </w:p>
    <w:p w14:paraId="77080BD6" w14:textId="77777777" w:rsidR="00F8589C" w:rsidRDefault="00F8589C" w:rsidP="00F8589C">
      <w:pPr>
        <w:rPr>
          <w:rFonts w:asciiTheme="minorHAnsi" w:hAnsiTheme="minorHAnsi" w:cs="Arial"/>
          <w:bCs/>
          <w:i/>
          <w:sz w:val="20"/>
          <w:szCs w:val="20"/>
          <w:lang w:eastAsia="en-GB"/>
        </w:rPr>
      </w:pPr>
      <w:r w:rsidRPr="00861214">
        <w:rPr>
          <w:rFonts w:asciiTheme="minorHAnsi" w:hAnsiTheme="minorHAnsi" w:cs="Arial"/>
          <w:bCs/>
          <w:i/>
          <w:sz w:val="20"/>
          <w:szCs w:val="20"/>
          <w:lang w:eastAsia="en-GB"/>
        </w:rPr>
        <w:t>(CHF ‘000s, includes possible rounding differences)</w:t>
      </w:r>
    </w:p>
    <w:p w14:paraId="0ABB0EC6" w14:textId="77777777" w:rsidR="00F8589C" w:rsidRPr="00861214" w:rsidRDefault="00F8589C" w:rsidP="00F8589C">
      <w:pPr>
        <w:rPr>
          <w:rFonts w:asciiTheme="minorHAnsi"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F8589C" w:rsidRPr="00861214" w14:paraId="167817E4" w14:textId="77777777" w:rsidTr="00C368FF">
        <w:trPr>
          <w:trHeight w:val="1758"/>
          <w:tblHeader/>
        </w:trPr>
        <w:tc>
          <w:tcPr>
            <w:tcW w:w="4541" w:type="dxa"/>
            <w:tcBorders>
              <w:top w:val="single" w:sz="4" w:space="0" w:color="auto"/>
              <w:left w:val="single" w:sz="4" w:space="0" w:color="auto"/>
              <w:right w:val="nil"/>
            </w:tcBorders>
            <w:shd w:val="clear" w:color="000000" w:fill="D6E3BC"/>
            <w:vAlign w:val="center"/>
            <w:hideMark/>
          </w:tcPr>
          <w:p w14:paraId="4532897C" w14:textId="77777777" w:rsidR="00F8589C" w:rsidRPr="00861214" w:rsidRDefault="00F8589C" w:rsidP="00C368FF">
            <w:pPr>
              <w:jc w:val="center"/>
              <w:rPr>
                <w:b/>
                <w:bCs/>
                <w:sz w:val="20"/>
                <w:szCs w:val="20"/>
                <w:lang w:eastAsia="en-GB"/>
              </w:rPr>
            </w:pPr>
            <w:r w:rsidRPr="00861214">
              <w:rPr>
                <w:b/>
                <w:bCs/>
                <w:sz w:val="20"/>
                <w:szCs w:val="20"/>
                <w:lang w:eastAsia="en-GB"/>
              </w:rPr>
              <w:t>202</w:t>
            </w:r>
            <w:r>
              <w:rPr>
                <w:b/>
                <w:bCs/>
                <w:sz w:val="20"/>
                <w:szCs w:val="20"/>
                <w:lang w:eastAsia="en-GB"/>
              </w:rPr>
              <w:t>4</w:t>
            </w:r>
            <w:r w:rsidRPr="00861214">
              <w:rPr>
                <w:b/>
                <w:bCs/>
                <w:sz w:val="20"/>
                <w:szCs w:val="20"/>
                <w:lang w:eastAsia="en-GB"/>
              </w:rPr>
              <w:t xml:space="preserve"> Ramsar Budget</w:t>
            </w:r>
            <w:r w:rsidRPr="00861214">
              <w:rPr>
                <w:b/>
                <w:bCs/>
                <w:sz w:val="20"/>
                <w:szCs w:val="20"/>
                <w:lang w:eastAsia="en-GB"/>
              </w:rPr>
              <w:br/>
              <w:t>COP</w:t>
            </w:r>
            <w:r>
              <w:rPr>
                <w:b/>
                <w:bCs/>
                <w:sz w:val="20"/>
                <w:szCs w:val="20"/>
                <w:lang w:eastAsia="en-GB"/>
              </w:rPr>
              <w:t>14</w:t>
            </w:r>
            <w:r w:rsidRPr="00861214">
              <w:rPr>
                <w:b/>
                <w:bCs/>
                <w:sz w:val="20"/>
                <w:szCs w:val="20"/>
                <w:lang w:eastAsia="en-GB"/>
              </w:rPr>
              <w:t xml:space="preserve"> Approved</w:t>
            </w:r>
          </w:p>
          <w:p w14:paraId="3ED145CB" w14:textId="77777777" w:rsidR="00F8589C" w:rsidRDefault="00F8589C" w:rsidP="00C368FF">
            <w:pPr>
              <w:jc w:val="center"/>
              <w:rPr>
                <w:b/>
                <w:bCs/>
                <w:color w:val="000000"/>
                <w:sz w:val="20"/>
                <w:szCs w:val="20"/>
                <w:lang w:eastAsia="en-GB"/>
              </w:rPr>
            </w:pPr>
          </w:p>
          <w:p w14:paraId="7D6F5E39" w14:textId="77777777" w:rsidR="00F8589C" w:rsidRPr="00861214" w:rsidRDefault="00F8589C" w:rsidP="00C368FF">
            <w:pPr>
              <w:jc w:val="center"/>
              <w:rPr>
                <w:b/>
                <w:bCs/>
                <w:sz w:val="20"/>
                <w:szCs w:val="20"/>
                <w:lang w:eastAsia="en-GB"/>
              </w:rPr>
            </w:pPr>
            <w:r w:rsidRPr="00861214">
              <w:rPr>
                <w:b/>
                <w:bCs/>
                <w:color w:val="000000"/>
                <w:sz w:val="20"/>
                <w:szCs w:val="20"/>
                <w:lang w:eastAsia="en-GB"/>
              </w:rPr>
              <w:t>CHF ‘000s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47EBCF9" w14:textId="77777777" w:rsidR="00F8589C" w:rsidRPr="00861214" w:rsidRDefault="00F8589C" w:rsidP="00C368FF">
            <w:pPr>
              <w:jc w:val="center"/>
              <w:rPr>
                <w:b/>
                <w:bCs/>
                <w:sz w:val="20"/>
                <w:szCs w:val="20"/>
                <w:lang w:eastAsia="en-GB"/>
              </w:rPr>
            </w:pPr>
            <w:r w:rsidRPr="00861214">
              <w:rPr>
                <w:b/>
                <w:bCs/>
                <w:sz w:val="20"/>
                <w:szCs w:val="20"/>
                <w:lang w:eastAsia="en-GB"/>
              </w:rPr>
              <w:t>Approved budget (COP</w:t>
            </w:r>
            <w:r>
              <w:rPr>
                <w:b/>
                <w:bCs/>
                <w:sz w:val="20"/>
                <w:szCs w:val="20"/>
                <w:lang w:eastAsia="en-GB"/>
              </w:rPr>
              <w:t>14</w:t>
            </w:r>
            <w:r w:rsidRPr="00861214">
              <w:rPr>
                <w:b/>
                <w:bCs/>
                <w:sz w:val="20"/>
                <w:szCs w:val="20"/>
                <w:lang w:eastAsia="en-GB"/>
              </w:rPr>
              <w:t>-approved)</w:t>
            </w:r>
          </w:p>
          <w:p w14:paraId="7D24777E" w14:textId="77777777" w:rsidR="00F8589C" w:rsidRDefault="00F8589C" w:rsidP="00C368FF">
            <w:pPr>
              <w:jc w:val="center"/>
              <w:rPr>
                <w:b/>
                <w:bCs/>
                <w:color w:val="000000"/>
                <w:sz w:val="20"/>
                <w:szCs w:val="20"/>
                <w:lang w:eastAsia="en-GB"/>
              </w:rPr>
            </w:pPr>
          </w:p>
          <w:p w14:paraId="7B091135" w14:textId="77777777" w:rsidR="00F8589C" w:rsidRPr="00861214" w:rsidRDefault="00F8589C" w:rsidP="00C368FF">
            <w:pPr>
              <w:jc w:val="center"/>
              <w:rPr>
                <w:b/>
                <w:bCs/>
                <w:sz w:val="20"/>
                <w:szCs w:val="20"/>
                <w:lang w:eastAsia="en-GB"/>
              </w:rPr>
            </w:pPr>
            <w:r w:rsidRPr="00861214">
              <w:rPr>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25E628F3" w14:textId="77777777" w:rsidR="00F8589C" w:rsidRPr="00861214" w:rsidRDefault="00F8589C" w:rsidP="00C368FF">
            <w:pPr>
              <w:jc w:val="center"/>
              <w:rPr>
                <w:b/>
                <w:bCs/>
                <w:sz w:val="20"/>
                <w:szCs w:val="20"/>
                <w:lang w:eastAsia="en-GB"/>
              </w:rPr>
            </w:pPr>
            <w:r>
              <w:rPr>
                <w:b/>
                <w:bCs/>
                <w:sz w:val="20"/>
                <w:szCs w:val="20"/>
                <w:lang w:eastAsia="en-GB"/>
              </w:rPr>
              <w:t>COP14</w:t>
            </w:r>
            <w:r w:rsidRPr="00861214">
              <w:rPr>
                <w:b/>
                <w:bCs/>
                <w:sz w:val="20"/>
                <w:szCs w:val="20"/>
                <w:lang w:eastAsia="en-GB"/>
              </w:rPr>
              <w:t xml:space="preserve"> authorised use of 202</w:t>
            </w:r>
            <w:r>
              <w:rPr>
                <w:b/>
                <w:bCs/>
                <w:sz w:val="20"/>
                <w:szCs w:val="20"/>
                <w:lang w:eastAsia="en-GB"/>
              </w:rPr>
              <w:t>1</w:t>
            </w:r>
            <w:r w:rsidRPr="00861214">
              <w:rPr>
                <w:b/>
                <w:bCs/>
                <w:sz w:val="20"/>
                <w:szCs w:val="20"/>
                <w:lang w:eastAsia="en-GB"/>
              </w:rPr>
              <w:t xml:space="preserve"> budget savings </w:t>
            </w:r>
          </w:p>
          <w:p w14:paraId="09BDAE26" w14:textId="77777777" w:rsidR="00F8589C" w:rsidRPr="00861214" w:rsidRDefault="00F8589C" w:rsidP="00C368FF">
            <w:pPr>
              <w:jc w:val="center"/>
              <w:rPr>
                <w:b/>
                <w:bCs/>
                <w:sz w:val="20"/>
                <w:szCs w:val="20"/>
                <w:lang w:eastAsia="en-GB"/>
              </w:rPr>
            </w:pPr>
            <w:r w:rsidRPr="00861214">
              <w:rPr>
                <w:b/>
                <w:bCs/>
                <w:color w:val="000000"/>
                <w:sz w:val="20"/>
                <w:szCs w:val="20"/>
                <w:lang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CCEA04D" w14:textId="77777777" w:rsidR="00F8589C" w:rsidRPr="00861214" w:rsidRDefault="00F8589C" w:rsidP="00C368FF">
            <w:pPr>
              <w:jc w:val="center"/>
              <w:rPr>
                <w:b/>
                <w:bCs/>
                <w:sz w:val="20"/>
                <w:szCs w:val="20"/>
                <w:lang w:eastAsia="en-GB"/>
              </w:rPr>
            </w:pPr>
            <w:r>
              <w:rPr>
                <w:b/>
                <w:bCs/>
                <w:sz w:val="20"/>
                <w:szCs w:val="20"/>
                <w:lang w:eastAsia="en-GB"/>
              </w:rPr>
              <w:t>2023 carry-forward</w:t>
            </w:r>
            <w:r w:rsidRPr="00861214">
              <w:rPr>
                <w:b/>
                <w:bCs/>
                <w:sz w:val="20"/>
                <w:szCs w:val="20"/>
                <w:lang w:eastAsia="en-GB"/>
              </w:rPr>
              <w:t xml:space="preserve"> to 202</w:t>
            </w:r>
            <w:r>
              <w:rPr>
                <w:b/>
                <w:bCs/>
                <w:sz w:val="20"/>
                <w:szCs w:val="20"/>
                <w:lang w:eastAsia="en-GB"/>
              </w:rPr>
              <w:t>4</w:t>
            </w:r>
          </w:p>
          <w:p w14:paraId="2DE8822A" w14:textId="77777777" w:rsidR="00F8589C" w:rsidRDefault="00F8589C" w:rsidP="00C368FF">
            <w:pPr>
              <w:jc w:val="center"/>
              <w:rPr>
                <w:b/>
                <w:bCs/>
                <w:color w:val="000000"/>
                <w:sz w:val="20"/>
                <w:szCs w:val="20"/>
                <w:lang w:eastAsia="en-GB"/>
              </w:rPr>
            </w:pPr>
          </w:p>
          <w:p w14:paraId="4BD65714" w14:textId="77777777" w:rsidR="00F8589C" w:rsidRPr="00861214" w:rsidRDefault="00F8589C" w:rsidP="00C368FF">
            <w:pPr>
              <w:jc w:val="center"/>
              <w:rPr>
                <w:b/>
                <w:bCs/>
                <w:sz w:val="20"/>
                <w:szCs w:val="20"/>
                <w:lang w:eastAsia="en-GB"/>
              </w:rPr>
            </w:pPr>
            <w:r w:rsidRPr="00861214">
              <w:rPr>
                <w:b/>
                <w:bCs/>
                <w:color w:val="000000"/>
                <w:sz w:val="20"/>
                <w:szCs w:val="20"/>
                <w:lang w:eastAsia="en-GB"/>
              </w:rPr>
              <w:t>(C)</w:t>
            </w:r>
          </w:p>
        </w:tc>
        <w:tc>
          <w:tcPr>
            <w:tcW w:w="1381" w:type="dxa"/>
            <w:tcBorders>
              <w:top w:val="single" w:sz="4" w:space="0" w:color="auto"/>
              <w:left w:val="nil"/>
              <w:right w:val="single" w:sz="4" w:space="0" w:color="auto"/>
            </w:tcBorders>
            <w:shd w:val="clear" w:color="auto" w:fill="DBDBDB" w:themeFill="accent3" w:themeFillTint="66"/>
            <w:vAlign w:val="center"/>
            <w:hideMark/>
          </w:tcPr>
          <w:p w14:paraId="78D78197" w14:textId="77777777" w:rsidR="00F8589C" w:rsidRPr="00861214" w:rsidRDefault="00F8589C" w:rsidP="00C368FF">
            <w:pPr>
              <w:jc w:val="center"/>
              <w:rPr>
                <w:b/>
                <w:bCs/>
                <w:sz w:val="20"/>
                <w:szCs w:val="20"/>
                <w:lang w:eastAsia="en-GB"/>
              </w:rPr>
            </w:pPr>
            <w:r w:rsidRPr="00861214">
              <w:rPr>
                <w:b/>
                <w:bCs/>
                <w:sz w:val="20"/>
                <w:szCs w:val="20"/>
                <w:lang w:eastAsia="en-GB"/>
              </w:rPr>
              <w:t>Total 202</w:t>
            </w:r>
            <w:r>
              <w:rPr>
                <w:b/>
                <w:bCs/>
                <w:sz w:val="20"/>
                <w:szCs w:val="20"/>
                <w:lang w:eastAsia="en-GB"/>
              </w:rPr>
              <w:t>4</w:t>
            </w:r>
            <w:r w:rsidRPr="00861214">
              <w:rPr>
                <w:b/>
                <w:bCs/>
                <w:sz w:val="20"/>
                <w:szCs w:val="20"/>
                <w:lang w:eastAsia="en-GB"/>
              </w:rPr>
              <w:t xml:space="preserve"> budget</w:t>
            </w:r>
          </w:p>
          <w:p w14:paraId="7E936A33" w14:textId="77777777" w:rsidR="00F8589C" w:rsidRDefault="00F8589C" w:rsidP="00C368FF">
            <w:pPr>
              <w:jc w:val="center"/>
              <w:rPr>
                <w:b/>
                <w:bCs/>
                <w:color w:val="000000"/>
                <w:sz w:val="20"/>
                <w:szCs w:val="20"/>
                <w:lang w:eastAsia="en-GB"/>
              </w:rPr>
            </w:pPr>
          </w:p>
          <w:p w14:paraId="785E198A" w14:textId="77777777" w:rsidR="00F8589C" w:rsidRDefault="00F8589C" w:rsidP="00C368FF">
            <w:pPr>
              <w:jc w:val="center"/>
              <w:rPr>
                <w:b/>
                <w:bCs/>
                <w:color w:val="000000"/>
                <w:sz w:val="20"/>
                <w:szCs w:val="20"/>
                <w:lang w:eastAsia="en-GB"/>
              </w:rPr>
            </w:pPr>
          </w:p>
          <w:p w14:paraId="4D06BC71" w14:textId="77777777" w:rsidR="00F8589C" w:rsidRPr="00861214" w:rsidRDefault="00F8589C" w:rsidP="00C368FF">
            <w:pPr>
              <w:jc w:val="center"/>
              <w:rPr>
                <w:b/>
                <w:bCs/>
                <w:sz w:val="20"/>
                <w:szCs w:val="20"/>
                <w:lang w:eastAsia="en-GB"/>
              </w:rPr>
            </w:pPr>
            <w:r w:rsidRPr="00861214">
              <w:rPr>
                <w:b/>
                <w:bCs/>
                <w:color w:val="000000"/>
                <w:sz w:val="20"/>
                <w:szCs w:val="20"/>
                <w:lang w:eastAsia="en-GB"/>
              </w:rPr>
              <w:t>(</w:t>
            </w:r>
            <w:r>
              <w:rPr>
                <w:b/>
                <w:bCs/>
                <w:color w:val="000000"/>
                <w:sz w:val="20"/>
                <w:szCs w:val="20"/>
                <w:lang w:eastAsia="en-GB"/>
              </w:rPr>
              <w:t>D</w:t>
            </w:r>
            <w:r w:rsidRPr="00861214">
              <w:rPr>
                <w:b/>
                <w:bCs/>
                <w:color w:val="000000"/>
                <w:sz w:val="20"/>
                <w:szCs w:val="20"/>
                <w:lang w:eastAsia="en-GB"/>
              </w:rPr>
              <w:t>)=</w:t>
            </w:r>
            <w:r>
              <w:rPr>
                <w:b/>
                <w:bCs/>
                <w:color w:val="000000"/>
                <w:sz w:val="20"/>
                <w:szCs w:val="20"/>
                <w:lang w:eastAsia="en-GB"/>
              </w:rPr>
              <w:br/>
            </w:r>
            <w:r w:rsidRPr="00861214">
              <w:rPr>
                <w:b/>
                <w:bCs/>
                <w:color w:val="000000"/>
                <w:sz w:val="20"/>
                <w:szCs w:val="20"/>
                <w:lang w:eastAsia="en-GB"/>
              </w:rPr>
              <w:t>(A)+(B)+(C)</w:t>
            </w:r>
          </w:p>
        </w:tc>
      </w:tr>
      <w:tr w:rsidR="00F8589C" w:rsidRPr="00861214" w14:paraId="7421BD54"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18393B54" w14:textId="77777777" w:rsidR="00F8589C" w:rsidRDefault="00F8589C" w:rsidP="00C368FF">
            <w:pPr>
              <w:rPr>
                <w:b/>
                <w:bCs/>
                <w:color w:val="000000"/>
                <w:sz w:val="20"/>
                <w:szCs w:val="20"/>
                <w:lang w:eastAsia="en-GB"/>
              </w:rPr>
            </w:pPr>
          </w:p>
          <w:p w14:paraId="66A5D384" w14:textId="77777777" w:rsidR="00F8589C" w:rsidRPr="00861214" w:rsidRDefault="00F8589C" w:rsidP="00C368FF">
            <w:pPr>
              <w:rPr>
                <w:b/>
                <w:bCs/>
                <w:color w:val="000000"/>
                <w:sz w:val="20"/>
                <w:szCs w:val="20"/>
                <w:lang w:eastAsia="en-GB"/>
              </w:rPr>
            </w:pPr>
            <w:r w:rsidRPr="00861214">
              <w:rPr>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02B04C2B" w14:textId="77777777" w:rsidR="00F8589C" w:rsidRPr="00861214" w:rsidRDefault="00F8589C" w:rsidP="00C368FF">
            <w:pPr>
              <w:rPr>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066BF99"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40D13058" w14:textId="77777777" w:rsidR="00F8589C" w:rsidRPr="00861214" w:rsidRDefault="00F8589C" w:rsidP="00C368FF">
            <w:pPr>
              <w:rPr>
                <w:rFonts w:ascii="Arial" w:hAnsi="Arial" w:cs="Arial"/>
                <w:color w:val="000000"/>
                <w:sz w:val="20"/>
                <w:szCs w:val="20"/>
                <w:lang w:eastAsia="en-GB"/>
              </w:rPr>
            </w:pPr>
            <w:r w:rsidRPr="00861214">
              <w:rPr>
                <w:rFonts w:ascii="Arial"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34386FB2" w14:textId="77777777" w:rsidR="00F8589C" w:rsidRPr="00861214" w:rsidRDefault="00F8589C" w:rsidP="00C368FF">
            <w:pPr>
              <w:rPr>
                <w:rFonts w:ascii="Times New Roman" w:hAnsi="Times New Roman"/>
                <w:sz w:val="20"/>
                <w:szCs w:val="20"/>
                <w:lang w:eastAsia="en-GB"/>
              </w:rPr>
            </w:pPr>
          </w:p>
        </w:tc>
      </w:tr>
      <w:tr w:rsidR="00F8589C" w:rsidRPr="00861214" w14:paraId="16A68A8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2C29" w14:textId="77777777" w:rsidR="00F8589C" w:rsidRPr="00861214" w:rsidRDefault="00F8589C" w:rsidP="00C368FF">
            <w:pPr>
              <w:rPr>
                <w:color w:val="000000"/>
                <w:sz w:val="20"/>
                <w:szCs w:val="20"/>
                <w:lang w:eastAsia="en-GB"/>
              </w:rPr>
            </w:pPr>
            <w:r w:rsidRPr="00861214">
              <w:rPr>
                <w:color w:val="000000"/>
                <w:sz w:val="20"/>
                <w:szCs w:val="20"/>
                <w:lang w:eastAsia="en-GB"/>
              </w:rPr>
              <w:t>Parties’ Contributions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6D0096B" w14:textId="77777777" w:rsidR="00F8589C" w:rsidRPr="00861214" w:rsidRDefault="00F8589C" w:rsidP="00C368FF">
            <w:pPr>
              <w:jc w:val="right"/>
              <w:rPr>
                <w:color w:val="000000"/>
                <w:sz w:val="20"/>
                <w:szCs w:val="20"/>
                <w:lang w:eastAsia="en-GB"/>
              </w:rPr>
            </w:pPr>
            <w:r w:rsidRPr="00861214">
              <w:rPr>
                <w:color w:val="000000"/>
                <w:sz w:val="20"/>
                <w:szCs w:val="20"/>
                <w:lang w:eastAsia="en-GB"/>
              </w:rPr>
              <w:t>3,779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60636A0"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490E"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3816905" w14:textId="77777777" w:rsidR="00F8589C" w:rsidRPr="00861214" w:rsidRDefault="00F8589C" w:rsidP="00C368FF">
            <w:pPr>
              <w:jc w:val="right"/>
              <w:rPr>
                <w:color w:val="000000"/>
                <w:sz w:val="20"/>
                <w:szCs w:val="20"/>
                <w:lang w:eastAsia="en-GB"/>
              </w:rPr>
            </w:pPr>
            <w:r w:rsidRPr="00861214">
              <w:rPr>
                <w:color w:val="000000"/>
                <w:sz w:val="20"/>
                <w:szCs w:val="20"/>
                <w:lang w:eastAsia="en-GB"/>
              </w:rPr>
              <w:t>3,779</w:t>
            </w:r>
          </w:p>
        </w:tc>
      </w:tr>
      <w:tr w:rsidR="00F8589C" w:rsidRPr="00861214" w14:paraId="29E1BB2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E1C5EB8" w14:textId="77777777" w:rsidR="00F8589C" w:rsidRPr="00861214" w:rsidRDefault="00F8589C" w:rsidP="00C368FF">
            <w:pPr>
              <w:rPr>
                <w:color w:val="000000"/>
                <w:sz w:val="20"/>
                <w:szCs w:val="20"/>
                <w:lang w:eastAsia="en-GB"/>
              </w:rPr>
            </w:pPr>
            <w:r w:rsidRPr="00861214">
              <w:rPr>
                <w:color w:val="000000"/>
                <w:sz w:val="20"/>
                <w:szCs w:val="20"/>
                <w:lang w:eastAsia="en-GB"/>
              </w:rPr>
              <w:t>Voluntary contributions</w:t>
            </w:r>
          </w:p>
        </w:tc>
        <w:tc>
          <w:tcPr>
            <w:tcW w:w="1381" w:type="dxa"/>
            <w:tcBorders>
              <w:top w:val="nil"/>
              <w:left w:val="nil"/>
              <w:bottom w:val="single" w:sz="4" w:space="0" w:color="auto"/>
              <w:right w:val="single" w:sz="4" w:space="0" w:color="auto"/>
            </w:tcBorders>
            <w:shd w:val="clear" w:color="auto" w:fill="auto"/>
            <w:noWrap/>
            <w:vAlign w:val="center"/>
            <w:hideMark/>
          </w:tcPr>
          <w:p w14:paraId="716A62E0" w14:textId="77777777" w:rsidR="00F8589C" w:rsidRPr="00861214" w:rsidRDefault="00F8589C" w:rsidP="00C368FF">
            <w:pPr>
              <w:jc w:val="right"/>
              <w:rPr>
                <w:color w:val="000000"/>
                <w:sz w:val="20"/>
                <w:szCs w:val="20"/>
                <w:lang w:eastAsia="en-GB"/>
              </w:rPr>
            </w:pPr>
            <w:r w:rsidRPr="00861214">
              <w:rPr>
                <w:color w:val="000000"/>
                <w:sz w:val="20"/>
                <w:szCs w:val="20"/>
                <w:lang w:eastAsia="en-GB"/>
              </w:rPr>
              <w:t>1,065</w:t>
            </w:r>
          </w:p>
        </w:tc>
        <w:tc>
          <w:tcPr>
            <w:tcW w:w="1381" w:type="dxa"/>
            <w:tcBorders>
              <w:top w:val="nil"/>
              <w:left w:val="nil"/>
              <w:bottom w:val="single" w:sz="4" w:space="0" w:color="auto"/>
              <w:right w:val="single" w:sz="4" w:space="0" w:color="auto"/>
            </w:tcBorders>
            <w:shd w:val="clear" w:color="auto" w:fill="auto"/>
            <w:noWrap/>
            <w:vAlign w:val="center"/>
            <w:hideMark/>
          </w:tcPr>
          <w:p w14:paraId="196027C2"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8E20509"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E7EFA8" w14:textId="77777777" w:rsidR="00F8589C" w:rsidRPr="00861214" w:rsidRDefault="00F8589C" w:rsidP="00C368FF">
            <w:pPr>
              <w:jc w:val="right"/>
              <w:rPr>
                <w:color w:val="000000"/>
                <w:sz w:val="20"/>
                <w:szCs w:val="20"/>
                <w:lang w:eastAsia="en-GB"/>
              </w:rPr>
            </w:pPr>
            <w:r w:rsidRPr="00861214">
              <w:rPr>
                <w:color w:val="000000"/>
                <w:sz w:val="20"/>
                <w:szCs w:val="20"/>
                <w:lang w:eastAsia="en-GB"/>
              </w:rPr>
              <w:t>1,065</w:t>
            </w:r>
          </w:p>
        </w:tc>
      </w:tr>
      <w:tr w:rsidR="00F8589C" w:rsidRPr="00861214" w14:paraId="0985BFB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D586B5" w14:textId="77777777" w:rsidR="00F8589C" w:rsidRPr="00861214" w:rsidRDefault="00F8589C" w:rsidP="00C368FF">
            <w:pPr>
              <w:rPr>
                <w:color w:val="000000"/>
                <w:sz w:val="20"/>
                <w:szCs w:val="20"/>
                <w:lang w:eastAsia="en-GB"/>
              </w:rPr>
            </w:pPr>
            <w:r w:rsidRPr="00861214">
              <w:rPr>
                <w:color w:val="000000"/>
                <w:sz w:val="20"/>
                <w:szCs w:val="20"/>
                <w:lang w:eastAsia="en-GB"/>
              </w:rPr>
              <w:t>Income Tax</w:t>
            </w:r>
          </w:p>
        </w:tc>
        <w:tc>
          <w:tcPr>
            <w:tcW w:w="1381" w:type="dxa"/>
            <w:tcBorders>
              <w:top w:val="nil"/>
              <w:left w:val="nil"/>
              <w:bottom w:val="single" w:sz="4" w:space="0" w:color="auto"/>
              <w:right w:val="single" w:sz="4" w:space="0" w:color="auto"/>
            </w:tcBorders>
            <w:shd w:val="clear" w:color="auto" w:fill="auto"/>
            <w:noWrap/>
            <w:vAlign w:val="center"/>
            <w:hideMark/>
          </w:tcPr>
          <w:p w14:paraId="419DA8CB" w14:textId="77777777" w:rsidR="00F8589C" w:rsidRPr="00861214" w:rsidRDefault="00F8589C" w:rsidP="00C368FF">
            <w:pPr>
              <w:jc w:val="right"/>
              <w:rPr>
                <w:color w:val="000000"/>
                <w:sz w:val="20"/>
                <w:szCs w:val="20"/>
                <w:lang w:eastAsia="en-GB"/>
              </w:rPr>
            </w:pPr>
            <w:r w:rsidRPr="00861214">
              <w:rPr>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586141D2"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26F978"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03D44D0" w14:textId="77777777" w:rsidR="00F8589C" w:rsidRPr="00861214" w:rsidRDefault="00F8589C" w:rsidP="00C368FF">
            <w:pPr>
              <w:jc w:val="right"/>
              <w:rPr>
                <w:color w:val="000000"/>
                <w:sz w:val="20"/>
                <w:szCs w:val="20"/>
                <w:lang w:eastAsia="en-GB"/>
              </w:rPr>
            </w:pPr>
            <w:r w:rsidRPr="00861214">
              <w:rPr>
                <w:color w:val="000000"/>
                <w:sz w:val="20"/>
                <w:szCs w:val="20"/>
                <w:lang w:eastAsia="en-GB"/>
              </w:rPr>
              <w:t>225</w:t>
            </w:r>
          </w:p>
        </w:tc>
      </w:tr>
      <w:tr w:rsidR="00F8589C" w:rsidRPr="00861214" w14:paraId="0D2430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B17EB39" w14:textId="77777777" w:rsidR="00F8589C" w:rsidRPr="00861214" w:rsidRDefault="00F8589C" w:rsidP="00C368FF">
            <w:pPr>
              <w:rPr>
                <w:color w:val="000000"/>
                <w:sz w:val="20"/>
                <w:szCs w:val="20"/>
                <w:lang w:eastAsia="en-GB"/>
              </w:rPr>
            </w:pPr>
            <w:r w:rsidRPr="00861214">
              <w:rPr>
                <w:color w:val="000000"/>
                <w:sz w:val="20"/>
                <w:szCs w:val="20"/>
                <w:lang w:eastAsia="en-GB"/>
              </w:rPr>
              <w:t>Other Income (including Interest Income)</w:t>
            </w:r>
          </w:p>
        </w:tc>
        <w:tc>
          <w:tcPr>
            <w:tcW w:w="1381" w:type="dxa"/>
            <w:tcBorders>
              <w:top w:val="nil"/>
              <w:left w:val="nil"/>
              <w:bottom w:val="single" w:sz="4" w:space="0" w:color="auto"/>
              <w:right w:val="single" w:sz="4" w:space="0" w:color="auto"/>
            </w:tcBorders>
            <w:shd w:val="clear" w:color="auto" w:fill="auto"/>
            <w:noWrap/>
            <w:vAlign w:val="center"/>
            <w:hideMark/>
          </w:tcPr>
          <w:p w14:paraId="0FA7E890" w14:textId="77777777" w:rsidR="00F8589C" w:rsidRPr="00861214" w:rsidRDefault="00F8589C" w:rsidP="00C368FF">
            <w:pPr>
              <w:jc w:val="right"/>
              <w:rPr>
                <w:color w:val="000000"/>
                <w:sz w:val="20"/>
                <w:szCs w:val="20"/>
                <w:lang w:eastAsia="en-GB"/>
              </w:rPr>
            </w:pPr>
            <w:r w:rsidRPr="00861214">
              <w:rPr>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791A3B8"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42A7A7"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D269B64" w14:textId="77777777" w:rsidR="00F8589C" w:rsidRPr="00861214" w:rsidRDefault="00F8589C" w:rsidP="00C368FF">
            <w:pPr>
              <w:jc w:val="right"/>
              <w:rPr>
                <w:color w:val="000000"/>
                <w:sz w:val="20"/>
                <w:szCs w:val="20"/>
                <w:lang w:eastAsia="en-GB"/>
              </w:rPr>
            </w:pPr>
            <w:r w:rsidRPr="00861214">
              <w:rPr>
                <w:color w:val="000000"/>
                <w:sz w:val="20"/>
                <w:szCs w:val="20"/>
                <w:lang w:eastAsia="en-GB"/>
              </w:rPr>
              <w:t>12</w:t>
            </w:r>
          </w:p>
        </w:tc>
      </w:tr>
      <w:tr w:rsidR="00F8589C" w:rsidRPr="00861214" w14:paraId="6D6B3A8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064C0C4" w14:textId="77777777" w:rsidR="00F8589C" w:rsidRPr="00861214" w:rsidRDefault="00F8589C" w:rsidP="00C368FF">
            <w:pPr>
              <w:rPr>
                <w:b/>
                <w:bCs/>
                <w:color w:val="000000"/>
                <w:sz w:val="20"/>
                <w:szCs w:val="20"/>
                <w:lang w:eastAsia="en-GB"/>
              </w:rPr>
            </w:pPr>
            <w:r w:rsidRPr="00861214">
              <w:rPr>
                <w:b/>
                <w:bCs/>
                <w:color w:val="000000"/>
                <w:sz w:val="20"/>
                <w:szCs w:val="20"/>
                <w:lang w:eastAsia="en-GB"/>
              </w:rPr>
              <w:t>TOTAL INCOME</w:t>
            </w:r>
          </w:p>
        </w:tc>
        <w:tc>
          <w:tcPr>
            <w:tcW w:w="1381" w:type="dxa"/>
            <w:tcBorders>
              <w:top w:val="nil"/>
              <w:left w:val="nil"/>
              <w:bottom w:val="single" w:sz="4" w:space="0" w:color="auto"/>
              <w:right w:val="single" w:sz="4" w:space="0" w:color="auto"/>
            </w:tcBorders>
            <w:shd w:val="clear" w:color="000000" w:fill="EAF1DD"/>
            <w:noWrap/>
            <w:vAlign w:val="center"/>
            <w:hideMark/>
          </w:tcPr>
          <w:p w14:paraId="7443F01F"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EAF1DD"/>
            <w:noWrap/>
            <w:vAlign w:val="center"/>
            <w:hideMark/>
          </w:tcPr>
          <w:p w14:paraId="6D5FDC0E"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189FC9A"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75AC48A1"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5,081</w:t>
            </w:r>
          </w:p>
        </w:tc>
      </w:tr>
      <w:tr w:rsidR="00F8589C" w:rsidRPr="00861214" w14:paraId="0F705165" w14:textId="77777777" w:rsidTr="00C368FF">
        <w:trPr>
          <w:trHeight w:val="270"/>
        </w:trPr>
        <w:tc>
          <w:tcPr>
            <w:tcW w:w="4541" w:type="dxa"/>
            <w:tcBorders>
              <w:top w:val="single" w:sz="4" w:space="0" w:color="auto"/>
              <w:left w:val="single" w:sz="4" w:space="0" w:color="auto"/>
            </w:tcBorders>
            <w:shd w:val="clear" w:color="auto" w:fill="auto"/>
            <w:noWrap/>
            <w:vAlign w:val="center"/>
            <w:hideMark/>
          </w:tcPr>
          <w:p w14:paraId="45B13891" w14:textId="77777777" w:rsidR="00F8589C" w:rsidRPr="00861214" w:rsidRDefault="00F8589C" w:rsidP="00C368FF">
            <w:pPr>
              <w:rPr>
                <w:b/>
                <w:bCs/>
                <w:color w:val="000000"/>
                <w:sz w:val="20"/>
                <w:szCs w:val="20"/>
                <w:lang w:eastAsia="en-GB"/>
              </w:rPr>
            </w:pPr>
            <w:r w:rsidRPr="00861214">
              <w:rPr>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3AD3DF54" w14:textId="77777777" w:rsidR="00F8589C" w:rsidRPr="00861214" w:rsidRDefault="00F8589C" w:rsidP="00C368FF">
            <w:pPr>
              <w:rPr>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6D2B6C62"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9E7C2" w14:textId="77777777" w:rsidR="00F8589C" w:rsidRPr="00861214" w:rsidRDefault="00F8589C" w:rsidP="00C368FF">
            <w:pPr>
              <w:rPr>
                <w:rFonts w:ascii="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696CD690" w14:textId="77777777" w:rsidR="00F8589C" w:rsidRPr="00861214" w:rsidRDefault="00F8589C" w:rsidP="00C368FF">
            <w:pPr>
              <w:rPr>
                <w:rFonts w:ascii="Times New Roman" w:hAnsi="Times New Roman"/>
                <w:sz w:val="20"/>
                <w:szCs w:val="20"/>
                <w:lang w:eastAsia="en-GB"/>
              </w:rPr>
            </w:pPr>
          </w:p>
        </w:tc>
      </w:tr>
      <w:tr w:rsidR="00F8589C" w:rsidRPr="00861214" w14:paraId="493314E5" w14:textId="77777777" w:rsidTr="00C368FF">
        <w:trPr>
          <w:trHeight w:val="270"/>
        </w:trPr>
        <w:tc>
          <w:tcPr>
            <w:tcW w:w="4541" w:type="dxa"/>
            <w:tcBorders>
              <w:left w:val="single" w:sz="4" w:space="0" w:color="auto"/>
              <w:bottom w:val="single" w:sz="4" w:space="0" w:color="auto"/>
              <w:right w:val="nil"/>
            </w:tcBorders>
            <w:shd w:val="clear" w:color="auto" w:fill="auto"/>
            <w:noWrap/>
            <w:vAlign w:val="center"/>
            <w:hideMark/>
          </w:tcPr>
          <w:p w14:paraId="62EF4590" w14:textId="77777777" w:rsidR="00F8589C" w:rsidRPr="00861214" w:rsidRDefault="00F8589C" w:rsidP="00C368FF">
            <w:pPr>
              <w:rPr>
                <w:b/>
                <w:bCs/>
                <w:color w:val="000000"/>
                <w:sz w:val="20"/>
                <w:szCs w:val="20"/>
                <w:lang w:eastAsia="en-GB"/>
              </w:rPr>
            </w:pPr>
            <w:r w:rsidRPr="00861214">
              <w:rPr>
                <w:b/>
                <w:bCs/>
                <w:color w:val="000000"/>
                <w:sz w:val="20"/>
                <w:szCs w:val="20"/>
                <w:lang w:eastAsia="en-GB"/>
              </w:rPr>
              <w:t>EXPENDITURE</w:t>
            </w:r>
          </w:p>
        </w:tc>
        <w:tc>
          <w:tcPr>
            <w:tcW w:w="1381" w:type="dxa"/>
            <w:tcBorders>
              <w:top w:val="nil"/>
              <w:left w:val="nil"/>
              <w:bottom w:val="single" w:sz="4" w:space="0" w:color="auto"/>
              <w:right w:val="nil"/>
            </w:tcBorders>
            <w:shd w:val="clear" w:color="auto" w:fill="auto"/>
            <w:noWrap/>
            <w:vAlign w:val="bottom"/>
            <w:hideMark/>
          </w:tcPr>
          <w:p w14:paraId="104C9628" w14:textId="77777777" w:rsidR="00F8589C" w:rsidRPr="00861214" w:rsidRDefault="00F8589C" w:rsidP="00C368FF">
            <w:pPr>
              <w:rPr>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65294523" w14:textId="77777777" w:rsidR="00F8589C" w:rsidRPr="00861214" w:rsidRDefault="00F8589C" w:rsidP="00C368FF">
            <w:pPr>
              <w:rPr>
                <w:rFonts w:ascii="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B4E29ED" w14:textId="77777777" w:rsidR="00F8589C" w:rsidRPr="00861214" w:rsidRDefault="00F8589C" w:rsidP="00C368FF">
            <w:pPr>
              <w:rPr>
                <w:rFonts w:ascii="Arial" w:hAnsi="Arial" w:cs="Arial"/>
                <w:color w:val="000000"/>
                <w:sz w:val="20"/>
                <w:szCs w:val="20"/>
                <w:lang w:eastAsia="en-GB"/>
              </w:rPr>
            </w:pPr>
            <w:r w:rsidRPr="00861214">
              <w:rPr>
                <w:rFonts w:ascii="Arial"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00AB5D9E" w14:textId="77777777" w:rsidR="00F8589C" w:rsidRPr="00861214" w:rsidRDefault="00F8589C" w:rsidP="00C368FF">
            <w:pPr>
              <w:rPr>
                <w:rFonts w:ascii="Times New Roman" w:hAnsi="Times New Roman"/>
                <w:sz w:val="20"/>
                <w:szCs w:val="20"/>
                <w:lang w:eastAsia="en-GB"/>
              </w:rPr>
            </w:pPr>
          </w:p>
        </w:tc>
      </w:tr>
      <w:tr w:rsidR="00F8589C" w:rsidRPr="00861214" w14:paraId="7CA6AB53"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7B56C42" w14:textId="77777777" w:rsidR="00F8589C" w:rsidRPr="00861214" w:rsidRDefault="00F8589C" w:rsidP="00C368FF">
            <w:pPr>
              <w:rPr>
                <w:color w:val="000000"/>
                <w:sz w:val="20"/>
                <w:szCs w:val="20"/>
                <w:lang w:eastAsia="en-GB"/>
              </w:rPr>
            </w:pPr>
            <w:r w:rsidRPr="00861214">
              <w:rPr>
                <w:color w:val="000000"/>
                <w:sz w:val="20"/>
                <w:szCs w:val="20"/>
                <w:lang w:eastAsia="en-GB"/>
              </w:rPr>
              <w:t>A.  Secretariat Senior Management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60707D4"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1,0</w:t>
            </w:r>
            <w:r>
              <w:rPr>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C4206A"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D1C5886" w14:textId="77777777" w:rsidR="00F8589C" w:rsidRPr="00861214" w:rsidRDefault="00F8589C" w:rsidP="00C368FF">
            <w:pPr>
              <w:jc w:val="right"/>
              <w:rPr>
                <w:b/>
                <w:bCs/>
                <w:color w:val="000000"/>
                <w:sz w:val="20"/>
                <w:szCs w:val="20"/>
                <w:lang w:eastAsia="en-GB"/>
              </w:rPr>
            </w:pPr>
            <w:r>
              <w:rPr>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537CFA99"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1,0</w:t>
            </w:r>
            <w:r>
              <w:rPr>
                <w:b/>
                <w:bCs/>
                <w:color w:val="000000"/>
                <w:sz w:val="20"/>
                <w:szCs w:val="20"/>
                <w:lang w:eastAsia="en-GB"/>
              </w:rPr>
              <w:t>67</w:t>
            </w:r>
          </w:p>
        </w:tc>
      </w:tr>
      <w:tr w:rsidR="00F8589C" w:rsidRPr="00861214" w14:paraId="68DC0013"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1079700" w14:textId="77777777" w:rsidR="00F8589C" w:rsidRPr="00861214" w:rsidRDefault="00F8589C" w:rsidP="00C368FF">
            <w:pPr>
              <w:rPr>
                <w:sz w:val="20"/>
                <w:szCs w:val="20"/>
                <w:lang w:eastAsia="en-GB"/>
              </w:rPr>
            </w:pPr>
            <w:r w:rsidRPr="00861214">
              <w:rPr>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B389A9D" w14:textId="77777777" w:rsidR="00F8589C" w:rsidRPr="00861214" w:rsidRDefault="00F8589C" w:rsidP="00C368FF">
            <w:pPr>
              <w:jc w:val="right"/>
              <w:rPr>
                <w:sz w:val="20"/>
                <w:szCs w:val="20"/>
                <w:lang w:eastAsia="en-GB"/>
              </w:rPr>
            </w:pPr>
            <w:r>
              <w:rPr>
                <w:sz w:val="20"/>
                <w:szCs w:val="20"/>
                <w:lang w:eastAsia="en-GB"/>
              </w:rPr>
              <w:t>1,022</w:t>
            </w:r>
          </w:p>
        </w:tc>
        <w:tc>
          <w:tcPr>
            <w:tcW w:w="1381" w:type="dxa"/>
            <w:tcBorders>
              <w:top w:val="nil"/>
              <w:left w:val="nil"/>
              <w:bottom w:val="single" w:sz="4" w:space="0" w:color="auto"/>
              <w:right w:val="single" w:sz="4" w:space="0" w:color="auto"/>
            </w:tcBorders>
            <w:shd w:val="clear" w:color="auto" w:fill="auto"/>
            <w:noWrap/>
            <w:vAlign w:val="center"/>
            <w:hideMark/>
          </w:tcPr>
          <w:p w14:paraId="05905B0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E017EF4"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A7014D4" w14:textId="77777777" w:rsidR="00F8589C" w:rsidRPr="00861214" w:rsidRDefault="00F8589C" w:rsidP="00C368FF">
            <w:pPr>
              <w:jc w:val="right"/>
              <w:rPr>
                <w:color w:val="000000"/>
                <w:sz w:val="20"/>
                <w:szCs w:val="20"/>
                <w:lang w:eastAsia="en-GB"/>
              </w:rPr>
            </w:pPr>
            <w:r>
              <w:rPr>
                <w:color w:val="000000"/>
                <w:sz w:val="20"/>
                <w:szCs w:val="20"/>
                <w:lang w:eastAsia="en-GB"/>
              </w:rPr>
              <w:t>1,022</w:t>
            </w:r>
          </w:p>
        </w:tc>
      </w:tr>
      <w:tr w:rsidR="00F8589C" w:rsidRPr="00861214" w14:paraId="7304BBBD"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CACB" w14:textId="77777777" w:rsidR="00F8589C" w:rsidRPr="00861214" w:rsidRDefault="00F8589C" w:rsidP="00C368FF">
            <w:pPr>
              <w:rPr>
                <w:sz w:val="20"/>
                <w:szCs w:val="20"/>
                <w:lang w:eastAsia="en-GB"/>
              </w:rPr>
            </w:pPr>
            <w:r w:rsidRPr="00861214">
              <w:rPr>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089FAB2F" w14:textId="77777777" w:rsidR="00F8589C" w:rsidRPr="00861214" w:rsidRDefault="00F8589C" w:rsidP="00C368FF">
            <w:pPr>
              <w:jc w:val="right"/>
              <w:rPr>
                <w:sz w:val="20"/>
                <w:szCs w:val="20"/>
                <w:lang w:eastAsia="en-GB"/>
              </w:rPr>
            </w:pPr>
            <w:r w:rsidRPr="00861214">
              <w:rPr>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076F0F4" w14:textId="77777777" w:rsidR="00F8589C" w:rsidRPr="00861214" w:rsidRDefault="00F8589C" w:rsidP="00C368FF">
            <w:pPr>
              <w:jc w:val="right"/>
              <w:rPr>
                <w:sz w:val="20"/>
                <w:szCs w:val="20"/>
                <w:lang w:eastAsia="en-GB"/>
              </w:rPr>
            </w:pPr>
            <w:r w:rsidRPr="00861214">
              <w:rPr>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06BA67" w14:textId="77777777" w:rsidR="00F8589C" w:rsidRPr="00861214" w:rsidRDefault="00F8589C" w:rsidP="00C368FF">
            <w:pPr>
              <w:jc w:val="right"/>
              <w:rPr>
                <w:color w:val="000000"/>
                <w:sz w:val="20"/>
                <w:szCs w:val="20"/>
                <w:lang w:eastAsia="en-GB"/>
              </w:rPr>
            </w:pPr>
            <w:r>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29BB57" w14:textId="77777777" w:rsidR="00F8589C" w:rsidRPr="00861214" w:rsidRDefault="00F8589C" w:rsidP="00C368FF">
            <w:pPr>
              <w:jc w:val="right"/>
              <w:rPr>
                <w:color w:val="000000"/>
                <w:sz w:val="20"/>
                <w:szCs w:val="20"/>
                <w:lang w:eastAsia="en-GB"/>
              </w:rPr>
            </w:pPr>
            <w:r>
              <w:rPr>
                <w:color w:val="000000"/>
                <w:sz w:val="20"/>
                <w:szCs w:val="20"/>
                <w:lang w:eastAsia="en-GB"/>
              </w:rPr>
              <w:t>45</w:t>
            </w:r>
          </w:p>
        </w:tc>
      </w:tr>
      <w:tr w:rsidR="00F8589C" w:rsidRPr="00861214" w14:paraId="44D50C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7A33847" w14:textId="77777777" w:rsidR="00F8589C" w:rsidRPr="00861214" w:rsidRDefault="00F8589C" w:rsidP="00C368FF">
            <w:pPr>
              <w:rPr>
                <w:color w:val="000000"/>
                <w:sz w:val="20"/>
                <w:szCs w:val="20"/>
                <w:lang w:eastAsia="en-GB"/>
              </w:rPr>
            </w:pPr>
            <w:r w:rsidRPr="00861214">
              <w:rPr>
                <w:color w:val="000000"/>
                <w:sz w:val="20"/>
                <w:szCs w:val="20"/>
                <w:lang w:eastAsia="en-GB"/>
              </w:rPr>
              <w:t>B.  Resource Mobilization and Outreach</w:t>
            </w:r>
          </w:p>
        </w:tc>
        <w:tc>
          <w:tcPr>
            <w:tcW w:w="1381" w:type="dxa"/>
            <w:tcBorders>
              <w:top w:val="nil"/>
              <w:left w:val="nil"/>
              <w:bottom w:val="single" w:sz="4" w:space="0" w:color="auto"/>
              <w:right w:val="single" w:sz="4" w:space="0" w:color="auto"/>
            </w:tcBorders>
            <w:shd w:val="clear" w:color="000000" w:fill="EAF1DD"/>
            <w:noWrap/>
            <w:vAlign w:val="center"/>
            <w:hideMark/>
          </w:tcPr>
          <w:p w14:paraId="6BB2B483" w14:textId="77777777" w:rsidR="00F8589C" w:rsidRPr="00861214" w:rsidRDefault="00F8589C" w:rsidP="00C368FF">
            <w:pPr>
              <w:jc w:val="right"/>
              <w:rPr>
                <w:b/>
                <w:bCs/>
                <w:color w:val="000000"/>
                <w:sz w:val="20"/>
                <w:szCs w:val="20"/>
                <w:lang w:eastAsia="en-GB"/>
              </w:rPr>
            </w:pPr>
            <w:r>
              <w:rPr>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1C3F2B0"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5420F66" w14:textId="77777777" w:rsidR="00F8589C" w:rsidRPr="00861214" w:rsidRDefault="00F8589C" w:rsidP="00C368FF">
            <w:pPr>
              <w:jc w:val="right"/>
              <w:rPr>
                <w:b/>
                <w:bCs/>
                <w:color w:val="000000"/>
                <w:sz w:val="20"/>
                <w:szCs w:val="20"/>
                <w:lang w:eastAsia="en-GB"/>
              </w:rPr>
            </w:pPr>
            <w:r>
              <w:rPr>
                <w:b/>
                <w:bCs/>
                <w:color w:val="000000"/>
                <w:sz w:val="20"/>
                <w:szCs w:val="20"/>
                <w:lang w:eastAsia="en-GB"/>
              </w:rPr>
              <w:t>263</w:t>
            </w:r>
          </w:p>
        </w:tc>
        <w:tc>
          <w:tcPr>
            <w:tcW w:w="1381" w:type="dxa"/>
            <w:tcBorders>
              <w:top w:val="nil"/>
              <w:left w:val="nil"/>
              <w:bottom w:val="single" w:sz="4" w:space="0" w:color="auto"/>
              <w:right w:val="single" w:sz="4" w:space="0" w:color="auto"/>
            </w:tcBorders>
            <w:shd w:val="clear" w:color="000000" w:fill="EAF1DD"/>
            <w:noWrap/>
            <w:vAlign w:val="center"/>
            <w:hideMark/>
          </w:tcPr>
          <w:p w14:paraId="22557E25" w14:textId="77777777" w:rsidR="00F8589C" w:rsidRPr="00861214" w:rsidRDefault="00F8589C" w:rsidP="00C368FF">
            <w:pPr>
              <w:jc w:val="right"/>
              <w:rPr>
                <w:b/>
                <w:bCs/>
                <w:color w:val="000000"/>
                <w:sz w:val="20"/>
                <w:szCs w:val="20"/>
                <w:lang w:eastAsia="en-GB"/>
              </w:rPr>
            </w:pPr>
            <w:r>
              <w:rPr>
                <w:b/>
                <w:bCs/>
                <w:color w:val="000000"/>
                <w:sz w:val="20"/>
                <w:szCs w:val="20"/>
                <w:lang w:eastAsia="en-GB"/>
              </w:rPr>
              <w:t>816</w:t>
            </w:r>
          </w:p>
        </w:tc>
      </w:tr>
      <w:tr w:rsidR="00F8589C" w:rsidRPr="00861214" w14:paraId="414E0391"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C5B2F56" w14:textId="77777777" w:rsidR="00F8589C" w:rsidRPr="00861214" w:rsidRDefault="00F8589C" w:rsidP="00C368FF">
            <w:pPr>
              <w:rPr>
                <w:sz w:val="20"/>
                <w:szCs w:val="20"/>
                <w:lang w:eastAsia="en-GB"/>
              </w:rPr>
            </w:pPr>
            <w:r w:rsidRPr="00861214">
              <w:rPr>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133C0CD" w14:textId="77777777" w:rsidR="00F8589C" w:rsidRPr="00861214" w:rsidRDefault="00F8589C" w:rsidP="00C368FF">
            <w:pPr>
              <w:jc w:val="right"/>
              <w:rPr>
                <w:sz w:val="20"/>
                <w:szCs w:val="20"/>
                <w:lang w:eastAsia="en-GB"/>
              </w:rPr>
            </w:pPr>
            <w:r>
              <w:rPr>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097821B0"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0B10CAA" w14:textId="77777777" w:rsidR="00F8589C" w:rsidRPr="00214FA7" w:rsidRDefault="00F8589C" w:rsidP="00C368FF">
            <w:pPr>
              <w:jc w:val="right"/>
              <w:rPr>
                <w:color w:val="000000"/>
                <w:sz w:val="20"/>
                <w:szCs w:val="20"/>
                <w:lang w:eastAsia="en-GB"/>
              </w:rPr>
            </w:pPr>
            <w:r>
              <w:rPr>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3FCAA6" w14:textId="77777777" w:rsidR="00F8589C" w:rsidRPr="00214FA7" w:rsidRDefault="00F8589C" w:rsidP="00C368FF">
            <w:pPr>
              <w:jc w:val="right"/>
              <w:rPr>
                <w:color w:val="000000"/>
                <w:sz w:val="20"/>
                <w:szCs w:val="20"/>
                <w:lang w:eastAsia="en-GB"/>
              </w:rPr>
            </w:pPr>
            <w:r>
              <w:rPr>
                <w:color w:val="000000"/>
                <w:sz w:val="20"/>
                <w:szCs w:val="20"/>
                <w:lang w:eastAsia="en-GB"/>
              </w:rPr>
              <w:t>358</w:t>
            </w:r>
          </w:p>
        </w:tc>
      </w:tr>
      <w:tr w:rsidR="00F8589C" w:rsidRPr="00861214" w14:paraId="5ED6EB7A" w14:textId="77777777" w:rsidTr="00C368FF">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B388" w14:textId="77777777" w:rsidR="00F8589C" w:rsidRPr="00861214" w:rsidRDefault="00F8589C" w:rsidP="00C368FF">
            <w:pPr>
              <w:rPr>
                <w:sz w:val="20"/>
                <w:szCs w:val="20"/>
                <w:lang w:eastAsia="en-GB"/>
              </w:rPr>
            </w:pPr>
            <w:r w:rsidRPr="00861214">
              <w:rPr>
                <w:sz w:val="20"/>
                <w:szCs w:val="20"/>
                <w:lang w:eastAsia="en-GB"/>
              </w:rPr>
              <w:t>CEPA Program</w:t>
            </w:r>
            <w:r>
              <w:rPr>
                <w:sz w:val="20"/>
                <w:szCs w:val="20"/>
                <w:lang w:eastAsia="en-GB"/>
              </w:rPr>
              <w:t>me</w:t>
            </w:r>
          </w:p>
        </w:tc>
        <w:tc>
          <w:tcPr>
            <w:tcW w:w="1381" w:type="dxa"/>
            <w:tcBorders>
              <w:top w:val="nil"/>
              <w:left w:val="nil"/>
              <w:bottom w:val="single" w:sz="4" w:space="0" w:color="auto"/>
              <w:right w:val="single" w:sz="4" w:space="0" w:color="auto"/>
            </w:tcBorders>
            <w:shd w:val="clear" w:color="auto" w:fill="auto"/>
            <w:noWrap/>
            <w:vAlign w:val="center"/>
            <w:hideMark/>
          </w:tcPr>
          <w:p w14:paraId="355361CB" w14:textId="77777777" w:rsidR="00F8589C" w:rsidRPr="00861214" w:rsidRDefault="00F8589C" w:rsidP="00C368FF">
            <w:pPr>
              <w:jc w:val="right"/>
              <w:rPr>
                <w:sz w:val="20"/>
                <w:szCs w:val="20"/>
                <w:lang w:eastAsia="en-GB"/>
              </w:rPr>
            </w:pPr>
            <w:r w:rsidRPr="00861214">
              <w:rPr>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ADB661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DE9374F" w14:textId="77777777" w:rsidR="00F8589C" w:rsidRPr="00214FA7" w:rsidRDefault="00F8589C" w:rsidP="00C368FF">
            <w:pPr>
              <w:jc w:val="right"/>
              <w:rPr>
                <w:sz w:val="20"/>
                <w:szCs w:val="20"/>
                <w:lang w:eastAsia="en-GB"/>
              </w:rPr>
            </w:pPr>
            <w:r>
              <w:rPr>
                <w:sz w:val="20"/>
                <w:szCs w:val="20"/>
                <w:lang w:eastAsia="en-GB"/>
              </w:rPr>
              <w:t>109</w:t>
            </w:r>
          </w:p>
        </w:tc>
        <w:tc>
          <w:tcPr>
            <w:tcW w:w="1381" w:type="dxa"/>
            <w:tcBorders>
              <w:top w:val="nil"/>
              <w:left w:val="nil"/>
              <w:bottom w:val="single" w:sz="4" w:space="0" w:color="auto"/>
              <w:right w:val="single" w:sz="4" w:space="0" w:color="auto"/>
            </w:tcBorders>
            <w:shd w:val="clear" w:color="auto" w:fill="auto"/>
            <w:noWrap/>
            <w:vAlign w:val="center"/>
            <w:hideMark/>
          </w:tcPr>
          <w:p w14:paraId="66FBA431" w14:textId="77777777" w:rsidR="00F8589C" w:rsidRPr="00214FA7" w:rsidRDefault="00F8589C" w:rsidP="00C368FF">
            <w:pPr>
              <w:jc w:val="right"/>
              <w:rPr>
                <w:color w:val="000000"/>
                <w:sz w:val="20"/>
                <w:szCs w:val="20"/>
                <w:lang w:eastAsia="en-GB"/>
              </w:rPr>
            </w:pPr>
            <w:r w:rsidRPr="00214FA7">
              <w:rPr>
                <w:color w:val="000000"/>
                <w:sz w:val="20"/>
                <w:szCs w:val="20"/>
                <w:lang w:eastAsia="en-GB"/>
              </w:rPr>
              <w:t>1</w:t>
            </w:r>
            <w:r>
              <w:rPr>
                <w:color w:val="000000"/>
                <w:sz w:val="20"/>
                <w:szCs w:val="20"/>
                <w:lang w:eastAsia="en-GB"/>
              </w:rPr>
              <w:t>3</w:t>
            </w:r>
            <w:r w:rsidRPr="00214FA7">
              <w:rPr>
                <w:color w:val="000000"/>
                <w:sz w:val="20"/>
                <w:szCs w:val="20"/>
                <w:lang w:eastAsia="en-GB"/>
              </w:rPr>
              <w:t>9</w:t>
            </w:r>
          </w:p>
        </w:tc>
      </w:tr>
      <w:tr w:rsidR="00F8589C" w:rsidRPr="00861214" w14:paraId="201D43BF" w14:textId="77777777" w:rsidTr="00C368FF">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761494F0" w14:textId="77777777" w:rsidR="00F8589C" w:rsidRPr="00861214" w:rsidRDefault="00F8589C" w:rsidP="00C368FF">
            <w:pPr>
              <w:rPr>
                <w:sz w:val="20"/>
                <w:szCs w:val="20"/>
                <w:lang w:eastAsia="en-GB"/>
              </w:rPr>
            </w:pPr>
            <w:r w:rsidRPr="00861214">
              <w:rPr>
                <w:sz w:val="20"/>
                <w:szCs w:val="20"/>
                <w:lang w:eastAsia="en-GB"/>
              </w:rPr>
              <w:t>Comms, Translations, Publications and Reporting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0EA2B16D" w14:textId="77777777" w:rsidR="00F8589C" w:rsidRPr="00861214" w:rsidRDefault="00F8589C" w:rsidP="00C368FF">
            <w:pPr>
              <w:jc w:val="right"/>
              <w:rPr>
                <w:sz w:val="20"/>
                <w:szCs w:val="20"/>
                <w:lang w:eastAsia="en-GB"/>
              </w:rPr>
            </w:pPr>
            <w:r w:rsidRPr="00861214">
              <w:rPr>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127D6E5A" w14:textId="77777777" w:rsidR="00F8589C" w:rsidRPr="00861214" w:rsidRDefault="00F8589C" w:rsidP="00C368FF">
            <w:pPr>
              <w:jc w:val="right"/>
              <w:rPr>
                <w:sz w:val="20"/>
                <w:szCs w:val="20"/>
                <w:lang w:eastAsia="en-GB"/>
              </w:rPr>
            </w:pPr>
            <w:r w:rsidRPr="00861214">
              <w:rPr>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FF3EAC" w14:textId="77777777" w:rsidR="00F8589C" w:rsidRPr="00214FA7" w:rsidRDefault="00F8589C" w:rsidP="00C368FF">
            <w:pPr>
              <w:jc w:val="right"/>
              <w:rPr>
                <w:sz w:val="20"/>
                <w:szCs w:val="20"/>
                <w:lang w:eastAsia="en-GB"/>
              </w:rPr>
            </w:pPr>
            <w:r>
              <w:rPr>
                <w:sz w:val="20"/>
                <w:szCs w:val="20"/>
                <w:lang w:eastAsia="en-GB"/>
              </w:rPr>
              <w:t>110</w:t>
            </w:r>
          </w:p>
        </w:tc>
        <w:tc>
          <w:tcPr>
            <w:tcW w:w="1381" w:type="dxa"/>
            <w:tcBorders>
              <w:top w:val="nil"/>
              <w:left w:val="nil"/>
              <w:bottom w:val="single" w:sz="4" w:space="0" w:color="auto"/>
              <w:right w:val="single" w:sz="4" w:space="0" w:color="auto"/>
            </w:tcBorders>
            <w:shd w:val="clear" w:color="auto" w:fill="auto"/>
            <w:noWrap/>
            <w:vAlign w:val="center"/>
            <w:hideMark/>
          </w:tcPr>
          <w:p w14:paraId="0B142D5F" w14:textId="77777777" w:rsidR="00F8589C" w:rsidRPr="00214FA7" w:rsidRDefault="00F8589C" w:rsidP="00C368FF">
            <w:pPr>
              <w:jc w:val="right"/>
              <w:rPr>
                <w:color w:val="000000"/>
                <w:sz w:val="20"/>
                <w:szCs w:val="20"/>
                <w:lang w:eastAsia="en-GB"/>
              </w:rPr>
            </w:pPr>
            <w:r w:rsidRPr="00214FA7">
              <w:rPr>
                <w:color w:val="000000"/>
                <w:sz w:val="20"/>
                <w:szCs w:val="20"/>
                <w:lang w:eastAsia="en-GB"/>
              </w:rPr>
              <w:t>21</w:t>
            </w:r>
            <w:r>
              <w:rPr>
                <w:color w:val="000000"/>
                <w:sz w:val="20"/>
                <w:szCs w:val="20"/>
                <w:lang w:eastAsia="en-GB"/>
              </w:rPr>
              <w:t>0</w:t>
            </w:r>
          </w:p>
        </w:tc>
      </w:tr>
      <w:tr w:rsidR="00F8589C" w:rsidRPr="00861214" w14:paraId="79C40E02"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DBCACA3" w14:textId="77777777" w:rsidR="00F8589C" w:rsidRPr="00861214" w:rsidRDefault="00F8589C" w:rsidP="00C368FF">
            <w:pPr>
              <w:rPr>
                <w:sz w:val="20"/>
                <w:szCs w:val="20"/>
                <w:lang w:eastAsia="en-GB"/>
              </w:rPr>
            </w:pPr>
            <w:r w:rsidRPr="00861214">
              <w:rPr>
                <w:sz w:val="20"/>
                <w:szCs w:val="20"/>
                <w:lang w:eastAsia="en-GB"/>
              </w:rPr>
              <w:t>Web/IT support and Development</w:t>
            </w:r>
          </w:p>
        </w:tc>
        <w:tc>
          <w:tcPr>
            <w:tcW w:w="1381" w:type="dxa"/>
            <w:tcBorders>
              <w:top w:val="nil"/>
              <w:left w:val="nil"/>
              <w:bottom w:val="single" w:sz="4" w:space="0" w:color="auto"/>
              <w:right w:val="single" w:sz="4" w:space="0" w:color="auto"/>
            </w:tcBorders>
            <w:shd w:val="clear" w:color="auto" w:fill="auto"/>
            <w:noWrap/>
            <w:vAlign w:val="center"/>
            <w:hideMark/>
          </w:tcPr>
          <w:p w14:paraId="6A37B02B" w14:textId="77777777" w:rsidR="00F8589C" w:rsidRPr="00861214" w:rsidRDefault="00F8589C" w:rsidP="00C368FF">
            <w:pPr>
              <w:jc w:val="right"/>
              <w:rPr>
                <w:sz w:val="20"/>
                <w:szCs w:val="20"/>
                <w:lang w:eastAsia="en-GB"/>
              </w:rPr>
            </w:pPr>
            <w:r w:rsidRPr="00861214">
              <w:rPr>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756E6258"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BFCC6C" w14:textId="77777777" w:rsidR="00F8589C" w:rsidRPr="00214FA7" w:rsidRDefault="00F8589C" w:rsidP="00C368FF">
            <w:pPr>
              <w:jc w:val="right"/>
              <w:rPr>
                <w:sz w:val="20"/>
                <w:szCs w:val="20"/>
                <w:lang w:eastAsia="en-GB"/>
              </w:rPr>
            </w:pPr>
            <w:r>
              <w:rPr>
                <w:sz w:val="20"/>
                <w:szCs w:val="20"/>
                <w:lang w:eastAsia="en-GB"/>
              </w:rPr>
              <w:t>38</w:t>
            </w:r>
          </w:p>
        </w:tc>
        <w:tc>
          <w:tcPr>
            <w:tcW w:w="1381" w:type="dxa"/>
            <w:tcBorders>
              <w:top w:val="nil"/>
              <w:left w:val="nil"/>
              <w:bottom w:val="single" w:sz="4" w:space="0" w:color="auto"/>
              <w:right w:val="single" w:sz="4" w:space="0" w:color="auto"/>
            </w:tcBorders>
            <w:shd w:val="clear" w:color="auto" w:fill="auto"/>
            <w:noWrap/>
            <w:vAlign w:val="center"/>
            <w:hideMark/>
          </w:tcPr>
          <w:p w14:paraId="271207DA" w14:textId="77777777" w:rsidR="00F8589C" w:rsidRPr="00214FA7" w:rsidRDefault="00F8589C" w:rsidP="00C368FF">
            <w:pPr>
              <w:jc w:val="right"/>
              <w:rPr>
                <w:color w:val="000000"/>
                <w:sz w:val="20"/>
                <w:szCs w:val="20"/>
                <w:lang w:eastAsia="en-GB"/>
              </w:rPr>
            </w:pPr>
            <w:r>
              <w:rPr>
                <w:color w:val="000000"/>
                <w:sz w:val="20"/>
                <w:szCs w:val="20"/>
                <w:lang w:eastAsia="en-GB"/>
              </w:rPr>
              <w:t>94</w:t>
            </w:r>
          </w:p>
        </w:tc>
      </w:tr>
      <w:tr w:rsidR="00F8589C" w:rsidRPr="00861214" w14:paraId="6C69CC8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A5E6E" w14:textId="77777777" w:rsidR="00F8589C" w:rsidRPr="00861214" w:rsidRDefault="00F8589C" w:rsidP="00C368FF">
            <w:pPr>
              <w:rPr>
                <w:sz w:val="20"/>
                <w:szCs w:val="20"/>
                <w:lang w:eastAsia="en-GB"/>
              </w:rPr>
            </w:pPr>
            <w:r w:rsidRPr="00861214">
              <w:rPr>
                <w:sz w:val="20"/>
                <w:szCs w:val="20"/>
                <w:lang w:eastAsia="en-GB"/>
              </w:rPr>
              <w:t>Travel</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2E59DF8" w14:textId="77777777" w:rsidR="00F8589C" w:rsidRPr="00861214" w:rsidRDefault="00F8589C" w:rsidP="00C368FF">
            <w:pPr>
              <w:jc w:val="right"/>
              <w:rPr>
                <w:sz w:val="20"/>
                <w:szCs w:val="20"/>
                <w:lang w:eastAsia="en-GB"/>
              </w:rPr>
            </w:pPr>
            <w:r w:rsidRPr="00861214">
              <w:rPr>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DE9FE40" w14:textId="77777777" w:rsidR="00F8589C" w:rsidRPr="00861214" w:rsidRDefault="00F8589C" w:rsidP="00C368FF">
            <w:pPr>
              <w:jc w:val="right"/>
              <w:rPr>
                <w:sz w:val="20"/>
                <w:szCs w:val="20"/>
                <w:lang w:eastAsia="en-GB"/>
              </w:rPr>
            </w:pPr>
            <w:r w:rsidRPr="00861214">
              <w:rPr>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97D9" w14:textId="77777777" w:rsidR="00F8589C" w:rsidRPr="00861214" w:rsidRDefault="00F8589C" w:rsidP="00C368FF">
            <w:pPr>
              <w:jc w:val="right"/>
              <w:rPr>
                <w:color w:val="000000"/>
                <w:sz w:val="20"/>
                <w:szCs w:val="20"/>
                <w:lang w:eastAsia="en-GB"/>
              </w:rPr>
            </w:pPr>
            <w:r>
              <w:rPr>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18D14F6" w14:textId="77777777" w:rsidR="00F8589C" w:rsidRPr="00861214" w:rsidRDefault="00F8589C" w:rsidP="00C368FF">
            <w:pPr>
              <w:jc w:val="right"/>
              <w:rPr>
                <w:color w:val="000000"/>
                <w:sz w:val="20"/>
                <w:szCs w:val="20"/>
                <w:lang w:eastAsia="en-GB"/>
              </w:rPr>
            </w:pPr>
            <w:r>
              <w:rPr>
                <w:color w:val="000000"/>
                <w:sz w:val="20"/>
                <w:szCs w:val="20"/>
                <w:lang w:eastAsia="en-GB"/>
              </w:rPr>
              <w:t>15</w:t>
            </w:r>
          </w:p>
        </w:tc>
      </w:tr>
      <w:tr w:rsidR="00F8589C" w:rsidRPr="00861214" w14:paraId="1BF1D79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8227F" w14:textId="77777777" w:rsidR="00F8589C" w:rsidRPr="00861214" w:rsidRDefault="00F8589C" w:rsidP="00C368FF">
            <w:pPr>
              <w:rPr>
                <w:sz w:val="20"/>
                <w:szCs w:val="20"/>
                <w:lang w:eastAsia="en-GB"/>
              </w:rPr>
            </w:pPr>
            <w:r w:rsidRPr="00861214">
              <w:rPr>
                <w:sz w:val="20"/>
                <w:szCs w:val="20"/>
                <w:lang w:eastAsia="en-GB"/>
              </w:rPr>
              <w:t>C.  Regional Advice and Support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BB038AE" w14:textId="77777777" w:rsidR="00F8589C" w:rsidRPr="00861214" w:rsidRDefault="00F8589C" w:rsidP="00C368FF">
            <w:pPr>
              <w:jc w:val="right"/>
              <w:rPr>
                <w:b/>
                <w:bCs/>
                <w:sz w:val="20"/>
                <w:szCs w:val="20"/>
                <w:lang w:eastAsia="en-GB"/>
              </w:rPr>
            </w:pPr>
            <w:r w:rsidRPr="00861214">
              <w:rPr>
                <w:b/>
                <w:bCs/>
                <w:sz w:val="20"/>
                <w:szCs w:val="20"/>
                <w:lang w:eastAsia="en-GB"/>
              </w:rPr>
              <w:t>1,</w:t>
            </w:r>
            <w:r>
              <w:rPr>
                <w:b/>
                <w:bCs/>
                <w:sz w:val="20"/>
                <w:szCs w:val="20"/>
                <w:lang w:eastAsia="en-GB"/>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7B3D2F" w14:textId="77777777" w:rsidR="00F8589C" w:rsidRPr="00861214" w:rsidRDefault="00F8589C" w:rsidP="00C368FF">
            <w:pPr>
              <w:jc w:val="right"/>
              <w:rPr>
                <w:b/>
                <w:bCs/>
                <w:sz w:val="20"/>
                <w:szCs w:val="20"/>
                <w:lang w:eastAsia="en-GB"/>
              </w:rPr>
            </w:pPr>
            <w:r w:rsidRPr="00861214">
              <w:rPr>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CE702FA" w14:textId="77777777" w:rsidR="00F8589C" w:rsidRPr="00861214" w:rsidRDefault="00F8589C" w:rsidP="00C368FF">
            <w:pPr>
              <w:jc w:val="right"/>
              <w:rPr>
                <w:b/>
                <w:bCs/>
                <w:color w:val="000000"/>
                <w:sz w:val="20"/>
                <w:szCs w:val="20"/>
                <w:lang w:eastAsia="en-GB"/>
              </w:rPr>
            </w:pPr>
            <w:r>
              <w:rPr>
                <w:b/>
                <w:bCs/>
                <w:color w:val="000000"/>
                <w:sz w:val="20"/>
                <w:szCs w:val="20"/>
                <w:lang w:eastAsia="en-GB"/>
              </w:rPr>
              <w:t>292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69EE90" w14:textId="77777777" w:rsidR="00F8589C" w:rsidRPr="00861214" w:rsidRDefault="00F8589C" w:rsidP="00C368FF">
            <w:pPr>
              <w:jc w:val="right"/>
              <w:rPr>
                <w:b/>
                <w:bCs/>
                <w:color w:val="000000"/>
                <w:sz w:val="20"/>
                <w:szCs w:val="20"/>
                <w:lang w:eastAsia="en-GB"/>
              </w:rPr>
            </w:pPr>
            <w:r>
              <w:rPr>
                <w:b/>
                <w:bCs/>
                <w:color w:val="000000"/>
                <w:sz w:val="20"/>
                <w:szCs w:val="20"/>
                <w:lang w:eastAsia="en-GB"/>
              </w:rPr>
              <w:t>1,618</w:t>
            </w:r>
          </w:p>
        </w:tc>
      </w:tr>
      <w:tr w:rsidR="00F8589C" w:rsidRPr="00861214" w14:paraId="4676E61B"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79391" w14:textId="77777777" w:rsidR="00F8589C" w:rsidRPr="00861214" w:rsidRDefault="00F8589C" w:rsidP="00C368FF">
            <w:pPr>
              <w:rPr>
                <w:sz w:val="20"/>
                <w:szCs w:val="20"/>
                <w:lang w:eastAsia="en-GB"/>
              </w:rPr>
            </w:pPr>
            <w:r w:rsidRPr="00861214">
              <w:rPr>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A14FCDC" w14:textId="77777777" w:rsidR="00F8589C" w:rsidRPr="00861214" w:rsidRDefault="00F8589C" w:rsidP="00C368FF">
            <w:pPr>
              <w:jc w:val="right"/>
              <w:rPr>
                <w:sz w:val="20"/>
                <w:szCs w:val="20"/>
                <w:lang w:eastAsia="en-GB"/>
              </w:rPr>
            </w:pPr>
            <w:r>
              <w:rPr>
                <w:sz w:val="20"/>
                <w:szCs w:val="20"/>
                <w:lang w:eastAsia="en-GB"/>
              </w:rPr>
              <w:t>1,249</w:t>
            </w:r>
          </w:p>
        </w:tc>
        <w:tc>
          <w:tcPr>
            <w:tcW w:w="1381" w:type="dxa"/>
            <w:tcBorders>
              <w:top w:val="nil"/>
              <w:left w:val="nil"/>
              <w:bottom w:val="single" w:sz="4" w:space="0" w:color="auto"/>
              <w:right w:val="single" w:sz="4" w:space="0" w:color="auto"/>
            </w:tcBorders>
            <w:shd w:val="clear" w:color="auto" w:fill="auto"/>
            <w:noWrap/>
            <w:vAlign w:val="center"/>
            <w:hideMark/>
          </w:tcPr>
          <w:p w14:paraId="1235864D"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A6DED8C" w14:textId="77777777" w:rsidR="00F8589C" w:rsidRPr="00861214" w:rsidRDefault="00F8589C" w:rsidP="00C368FF">
            <w:pPr>
              <w:jc w:val="right"/>
              <w:rPr>
                <w:color w:val="000000"/>
                <w:sz w:val="20"/>
                <w:szCs w:val="20"/>
                <w:lang w:eastAsia="en-GB"/>
              </w:rPr>
            </w:pPr>
            <w:r>
              <w:rPr>
                <w:color w:val="000000"/>
                <w:sz w:val="20"/>
                <w:szCs w:val="20"/>
                <w:lang w:eastAsia="en-GB"/>
              </w:rPr>
              <w:t>177</w:t>
            </w:r>
          </w:p>
        </w:tc>
        <w:tc>
          <w:tcPr>
            <w:tcW w:w="1381" w:type="dxa"/>
            <w:tcBorders>
              <w:top w:val="nil"/>
              <w:left w:val="nil"/>
              <w:bottom w:val="single" w:sz="4" w:space="0" w:color="auto"/>
              <w:right w:val="single" w:sz="4" w:space="0" w:color="auto"/>
            </w:tcBorders>
            <w:shd w:val="clear" w:color="auto" w:fill="auto"/>
            <w:noWrap/>
            <w:vAlign w:val="center"/>
            <w:hideMark/>
          </w:tcPr>
          <w:p w14:paraId="563EE8D4" w14:textId="77777777" w:rsidR="00F8589C" w:rsidRPr="00861214" w:rsidRDefault="00F8589C" w:rsidP="00C368FF">
            <w:pPr>
              <w:jc w:val="right"/>
              <w:rPr>
                <w:color w:val="000000"/>
                <w:sz w:val="20"/>
                <w:szCs w:val="20"/>
                <w:lang w:eastAsia="en-GB"/>
              </w:rPr>
            </w:pPr>
            <w:r>
              <w:rPr>
                <w:color w:val="000000"/>
                <w:sz w:val="20"/>
                <w:szCs w:val="20"/>
                <w:lang w:eastAsia="en-GB"/>
              </w:rPr>
              <w:t>1,426</w:t>
            </w:r>
          </w:p>
        </w:tc>
      </w:tr>
      <w:tr w:rsidR="00F8589C" w:rsidRPr="00861214" w14:paraId="4DF90216"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7286" w14:textId="77777777" w:rsidR="00F8589C" w:rsidRPr="00861214" w:rsidRDefault="00F8589C" w:rsidP="00C368FF">
            <w:pPr>
              <w:rPr>
                <w:sz w:val="20"/>
                <w:szCs w:val="20"/>
                <w:lang w:eastAsia="en-GB"/>
              </w:rPr>
            </w:pPr>
            <w:r w:rsidRPr="00861214">
              <w:rPr>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27445AEB" w14:textId="77777777" w:rsidR="00F8589C" w:rsidRPr="00861214" w:rsidRDefault="00F8589C" w:rsidP="00C368FF">
            <w:pPr>
              <w:jc w:val="right"/>
              <w:rPr>
                <w:sz w:val="20"/>
                <w:szCs w:val="20"/>
                <w:lang w:eastAsia="en-GB"/>
              </w:rPr>
            </w:pPr>
            <w:r w:rsidRPr="00861214">
              <w:rPr>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460B3DB" w14:textId="77777777" w:rsidR="00F8589C" w:rsidRPr="00861214" w:rsidRDefault="00F8589C" w:rsidP="00C368FF">
            <w:pPr>
              <w:jc w:val="right"/>
              <w:rPr>
                <w:sz w:val="20"/>
                <w:szCs w:val="20"/>
                <w:lang w:eastAsia="en-GB"/>
              </w:rPr>
            </w:pPr>
            <w:r w:rsidRPr="00861214">
              <w:rPr>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E07ACE" w14:textId="77777777" w:rsidR="00F8589C" w:rsidRPr="00861214" w:rsidRDefault="00F8589C" w:rsidP="00C368FF">
            <w:pPr>
              <w:jc w:val="right"/>
              <w:rPr>
                <w:color w:val="000000"/>
                <w:sz w:val="20"/>
                <w:szCs w:val="20"/>
                <w:lang w:eastAsia="en-GB"/>
              </w:rPr>
            </w:pPr>
            <w:r>
              <w:rPr>
                <w:color w:val="000000"/>
                <w:sz w:val="20"/>
                <w:szCs w:val="20"/>
                <w:lang w:eastAsia="en-GB"/>
              </w:rPr>
              <w:t>19</w:t>
            </w:r>
          </w:p>
        </w:tc>
        <w:tc>
          <w:tcPr>
            <w:tcW w:w="1381" w:type="dxa"/>
            <w:tcBorders>
              <w:top w:val="nil"/>
              <w:left w:val="nil"/>
              <w:bottom w:val="single" w:sz="4" w:space="0" w:color="auto"/>
              <w:right w:val="single" w:sz="4" w:space="0" w:color="auto"/>
            </w:tcBorders>
            <w:shd w:val="clear" w:color="auto" w:fill="auto"/>
            <w:noWrap/>
            <w:vAlign w:val="center"/>
            <w:hideMark/>
          </w:tcPr>
          <w:p w14:paraId="1AD3E4B0" w14:textId="77777777" w:rsidR="00F8589C" w:rsidRPr="00861214" w:rsidRDefault="00F8589C" w:rsidP="00C368FF">
            <w:pPr>
              <w:jc w:val="right"/>
              <w:rPr>
                <w:color w:val="000000"/>
                <w:sz w:val="20"/>
                <w:szCs w:val="20"/>
                <w:lang w:eastAsia="en-GB"/>
              </w:rPr>
            </w:pPr>
            <w:r>
              <w:rPr>
                <w:color w:val="000000"/>
                <w:sz w:val="20"/>
                <w:szCs w:val="20"/>
                <w:lang w:eastAsia="en-GB"/>
              </w:rPr>
              <w:t>96</w:t>
            </w:r>
          </w:p>
        </w:tc>
      </w:tr>
      <w:tr w:rsidR="00F8589C" w:rsidRPr="00861214" w14:paraId="6014F8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4D1F123" w14:textId="77777777" w:rsidR="00F8589C" w:rsidRPr="00861214" w:rsidRDefault="00F8589C" w:rsidP="00C368FF">
            <w:pPr>
              <w:rPr>
                <w:sz w:val="20"/>
                <w:szCs w:val="20"/>
                <w:lang w:eastAsia="en-GB"/>
              </w:rPr>
            </w:pPr>
            <w:r w:rsidRPr="00861214">
              <w:rPr>
                <w:sz w:val="20"/>
                <w:szCs w:val="20"/>
                <w:lang w:eastAsia="en-GB"/>
              </w:rPr>
              <w:t>Ramsar Advisory Missions</w:t>
            </w:r>
          </w:p>
        </w:tc>
        <w:tc>
          <w:tcPr>
            <w:tcW w:w="1381" w:type="dxa"/>
            <w:tcBorders>
              <w:top w:val="nil"/>
              <w:left w:val="nil"/>
              <w:bottom w:val="single" w:sz="4" w:space="0" w:color="auto"/>
              <w:right w:val="single" w:sz="4" w:space="0" w:color="auto"/>
            </w:tcBorders>
            <w:shd w:val="clear" w:color="auto" w:fill="auto"/>
            <w:noWrap/>
            <w:vAlign w:val="center"/>
            <w:hideMark/>
          </w:tcPr>
          <w:p w14:paraId="651CC22D"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B5218D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90619A" w14:textId="77777777" w:rsidR="00F8589C" w:rsidRPr="00861214" w:rsidRDefault="00F8589C" w:rsidP="00C368FF">
            <w:pPr>
              <w:jc w:val="right"/>
              <w:rPr>
                <w:color w:val="000000"/>
                <w:sz w:val="20"/>
                <w:szCs w:val="20"/>
                <w:lang w:eastAsia="en-GB"/>
              </w:rPr>
            </w:pPr>
            <w:r w:rsidRPr="00861214">
              <w:rPr>
                <w:color w:val="000000"/>
                <w:sz w:val="20"/>
                <w:szCs w:val="20"/>
                <w:lang w:eastAsia="en-GB"/>
              </w:rPr>
              <w:t>96</w:t>
            </w:r>
          </w:p>
        </w:tc>
        <w:tc>
          <w:tcPr>
            <w:tcW w:w="1381" w:type="dxa"/>
            <w:tcBorders>
              <w:top w:val="nil"/>
              <w:left w:val="nil"/>
              <w:bottom w:val="single" w:sz="4" w:space="0" w:color="auto"/>
              <w:right w:val="single" w:sz="4" w:space="0" w:color="auto"/>
            </w:tcBorders>
            <w:shd w:val="clear" w:color="auto" w:fill="auto"/>
            <w:noWrap/>
            <w:vAlign w:val="center"/>
            <w:hideMark/>
          </w:tcPr>
          <w:p w14:paraId="38FD14D5" w14:textId="77777777" w:rsidR="00F8589C" w:rsidRPr="00861214" w:rsidRDefault="00F8589C" w:rsidP="00C368FF">
            <w:pPr>
              <w:jc w:val="right"/>
              <w:rPr>
                <w:color w:val="000000"/>
                <w:sz w:val="20"/>
                <w:szCs w:val="20"/>
                <w:lang w:eastAsia="en-GB"/>
              </w:rPr>
            </w:pPr>
            <w:r w:rsidRPr="00861214">
              <w:rPr>
                <w:color w:val="000000"/>
                <w:sz w:val="20"/>
                <w:szCs w:val="20"/>
                <w:lang w:eastAsia="en-GB"/>
              </w:rPr>
              <w:t>96</w:t>
            </w:r>
          </w:p>
        </w:tc>
      </w:tr>
      <w:tr w:rsidR="00F8589C" w:rsidRPr="00861214" w14:paraId="5377E36D"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1F9157BA" w14:textId="77777777" w:rsidR="00F8589C" w:rsidRPr="00861214" w:rsidRDefault="00F8589C" w:rsidP="00C368FF">
            <w:pPr>
              <w:rPr>
                <w:sz w:val="20"/>
                <w:szCs w:val="20"/>
                <w:lang w:eastAsia="en-GB"/>
              </w:rPr>
            </w:pPr>
            <w:r w:rsidRPr="00861214">
              <w:rPr>
                <w:sz w:val="20"/>
                <w:szCs w:val="20"/>
                <w:lang w:eastAsia="en-GB"/>
              </w:rPr>
              <w:t>D.  Support to Regional Initiatives</w:t>
            </w:r>
          </w:p>
        </w:tc>
        <w:tc>
          <w:tcPr>
            <w:tcW w:w="1381" w:type="dxa"/>
            <w:tcBorders>
              <w:top w:val="nil"/>
              <w:left w:val="nil"/>
              <w:bottom w:val="single" w:sz="4" w:space="0" w:color="auto"/>
              <w:right w:val="single" w:sz="4" w:space="0" w:color="auto"/>
            </w:tcBorders>
            <w:shd w:val="clear" w:color="000000" w:fill="EAF1DD"/>
            <w:noWrap/>
            <w:vAlign w:val="center"/>
            <w:hideMark/>
          </w:tcPr>
          <w:p w14:paraId="25DF4E1E" w14:textId="77777777" w:rsidR="00F8589C" w:rsidRPr="00861214" w:rsidRDefault="00F8589C" w:rsidP="00C368FF">
            <w:pPr>
              <w:jc w:val="right"/>
              <w:rPr>
                <w:b/>
                <w:bCs/>
                <w:sz w:val="20"/>
                <w:szCs w:val="20"/>
                <w:lang w:eastAsia="en-GB"/>
              </w:rPr>
            </w:pPr>
            <w:r w:rsidRPr="00861214">
              <w:rPr>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02C49CAF" w14:textId="77777777" w:rsidR="00F8589C" w:rsidRPr="00861214" w:rsidRDefault="00F8589C" w:rsidP="00C368FF">
            <w:pPr>
              <w:jc w:val="right"/>
              <w:rPr>
                <w:b/>
                <w:bCs/>
                <w:sz w:val="20"/>
                <w:szCs w:val="20"/>
                <w:lang w:eastAsia="en-GB"/>
              </w:rPr>
            </w:pPr>
            <w:r w:rsidRPr="00861214">
              <w:rPr>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4BBB9980" w14:textId="77777777" w:rsidR="00F8589C" w:rsidRPr="00861214" w:rsidRDefault="00F8589C" w:rsidP="00C368FF">
            <w:pPr>
              <w:jc w:val="right"/>
              <w:rPr>
                <w:b/>
                <w:bCs/>
                <w:color w:val="000000"/>
                <w:sz w:val="20"/>
                <w:szCs w:val="20"/>
                <w:lang w:eastAsia="en-GB"/>
              </w:rPr>
            </w:pPr>
            <w:r>
              <w:rPr>
                <w:b/>
                <w:bCs/>
                <w:color w:val="000000"/>
                <w:sz w:val="20"/>
                <w:szCs w:val="20"/>
                <w:lang w:eastAsia="en-GB"/>
              </w:rPr>
              <w:t>120</w:t>
            </w:r>
          </w:p>
        </w:tc>
        <w:tc>
          <w:tcPr>
            <w:tcW w:w="1381" w:type="dxa"/>
            <w:tcBorders>
              <w:top w:val="nil"/>
              <w:left w:val="nil"/>
              <w:bottom w:val="single" w:sz="4" w:space="0" w:color="auto"/>
              <w:right w:val="single" w:sz="4" w:space="0" w:color="auto"/>
            </w:tcBorders>
            <w:shd w:val="clear" w:color="000000" w:fill="EAF1DD"/>
            <w:noWrap/>
            <w:vAlign w:val="center"/>
            <w:hideMark/>
          </w:tcPr>
          <w:p w14:paraId="76FC989E" w14:textId="77777777" w:rsidR="00F8589C" w:rsidRPr="00861214" w:rsidRDefault="00F8589C" w:rsidP="00C368FF">
            <w:pPr>
              <w:jc w:val="right"/>
              <w:rPr>
                <w:b/>
                <w:bCs/>
                <w:color w:val="000000"/>
                <w:sz w:val="20"/>
                <w:szCs w:val="20"/>
                <w:lang w:eastAsia="en-GB"/>
              </w:rPr>
            </w:pPr>
            <w:r>
              <w:rPr>
                <w:b/>
                <w:bCs/>
                <w:color w:val="000000"/>
                <w:sz w:val="20"/>
                <w:szCs w:val="20"/>
                <w:lang w:eastAsia="en-GB"/>
              </w:rPr>
              <w:t>220</w:t>
            </w:r>
          </w:p>
        </w:tc>
      </w:tr>
      <w:tr w:rsidR="00F8589C" w:rsidRPr="00861214" w14:paraId="1F037294"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56C45B3" w14:textId="088FB12F" w:rsidR="00F8589C" w:rsidRPr="00B509BF" w:rsidRDefault="00F8589C" w:rsidP="00C368FF">
            <w:pPr>
              <w:rPr>
                <w:sz w:val="20"/>
                <w:szCs w:val="20"/>
                <w:highlight w:val="yellow"/>
                <w:lang w:eastAsia="en-GB"/>
              </w:rPr>
            </w:pPr>
            <w:r w:rsidRPr="00B509BF">
              <w:rPr>
                <w:sz w:val="20"/>
                <w:szCs w:val="20"/>
                <w:highlight w:val="yellow"/>
                <w:lang w:eastAsia="en-GB"/>
              </w:rPr>
              <w:t>Regional networks and centres - available budget not allocated in 2024</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BAC583" w14:textId="0B8D02C9" w:rsidR="00F8589C" w:rsidRPr="00B509BF" w:rsidRDefault="00F8589C" w:rsidP="00C368FF">
            <w:pPr>
              <w:jc w:val="right"/>
              <w:rPr>
                <w:sz w:val="20"/>
                <w:szCs w:val="20"/>
                <w:highlight w:val="yellow"/>
                <w:lang w:eastAsia="en-GB"/>
              </w:rPr>
            </w:pPr>
            <w:r w:rsidRPr="00B509BF">
              <w:rPr>
                <w:sz w:val="20"/>
                <w:szCs w:val="20"/>
                <w:highlight w:val="yellow"/>
                <w:lang w:eastAsia="en-GB"/>
              </w:rPr>
              <w:t>71</w:t>
            </w:r>
          </w:p>
        </w:tc>
        <w:tc>
          <w:tcPr>
            <w:tcW w:w="1381" w:type="dxa"/>
            <w:tcBorders>
              <w:top w:val="nil"/>
              <w:left w:val="nil"/>
              <w:bottom w:val="single" w:sz="4" w:space="0" w:color="auto"/>
              <w:right w:val="single" w:sz="4" w:space="0" w:color="auto"/>
            </w:tcBorders>
            <w:shd w:val="clear" w:color="auto" w:fill="auto"/>
            <w:noWrap/>
            <w:vAlign w:val="center"/>
            <w:hideMark/>
          </w:tcPr>
          <w:p w14:paraId="3937F221" w14:textId="77777777" w:rsidR="00F8589C" w:rsidRPr="00B509BF" w:rsidRDefault="00F8589C" w:rsidP="00C368FF">
            <w:pPr>
              <w:jc w:val="right"/>
              <w:rPr>
                <w:sz w:val="20"/>
                <w:szCs w:val="20"/>
                <w:highlight w:val="yellow"/>
                <w:lang w:eastAsia="en-GB"/>
              </w:rPr>
            </w:pPr>
            <w:r w:rsidRPr="00B509BF">
              <w:rPr>
                <w:sz w:val="20"/>
                <w:szCs w:val="20"/>
                <w:highlight w:val="yellow"/>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250B707" w14:textId="77777777" w:rsidR="00F8589C" w:rsidRPr="00B509BF" w:rsidRDefault="00F8589C" w:rsidP="00C368FF">
            <w:pPr>
              <w:jc w:val="right"/>
              <w:rPr>
                <w:color w:val="000000"/>
                <w:sz w:val="20"/>
                <w:szCs w:val="20"/>
                <w:highlight w:val="yellow"/>
                <w:lang w:eastAsia="en-GB"/>
              </w:rPr>
            </w:pPr>
            <w:r w:rsidRPr="00B509BF">
              <w:rPr>
                <w:color w:val="000000"/>
                <w:sz w:val="20"/>
                <w:szCs w:val="20"/>
                <w:highlight w:val="yellow"/>
                <w:lang w:eastAsia="en-GB"/>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D8A559E" w14:textId="3BB0A107" w:rsidR="00F8589C" w:rsidRPr="00B509BF" w:rsidRDefault="00F8589C" w:rsidP="00C368FF">
            <w:pPr>
              <w:jc w:val="right"/>
              <w:rPr>
                <w:color w:val="000000"/>
                <w:sz w:val="20"/>
                <w:szCs w:val="20"/>
                <w:highlight w:val="yellow"/>
                <w:lang w:eastAsia="en-GB"/>
              </w:rPr>
            </w:pPr>
            <w:r w:rsidRPr="00B509BF">
              <w:rPr>
                <w:color w:val="000000"/>
                <w:sz w:val="20"/>
                <w:szCs w:val="20"/>
                <w:highlight w:val="yellow"/>
                <w:lang w:eastAsia="en-GB"/>
              </w:rPr>
              <w:t>155</w:t>
            </w:r>
          </w:p>
        </w:tc>
      </w:tr>
      <w:tr w:rsidR="00F8589C" w:rsidRPr="00861214" w14:paraId="24EB53C0"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1C400419" w14:textId="47367D10" w:rsidR="00F8589C" w:rsidRPr="00B509BF" w:rsidRDefault="00F8589C" w:rsidP="00C368FF">
            <w:pPr>
              <w:rPr>
                <w:sz w:val="20"/>
                <w:szCs w:val="20"/>
                <w:highlight w:val="yellow"/>
                <w:lang w:eastAsia="en-GB"/>
              </w:rPr>
            </w:pPr>
            <w:r w:rsidRPr="00B509BF">
              <w:rPr>
                <w:sz w:val="20"/>
                <w:szCs w:val="20"/>
                <w:highlight w:val="yellow"/>
                <w:lang w:eastAsia="en-GB"/>
              </w:rPr>
              <w:t>Danube WILDisland Ramsar Regional Initiative 2024</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EE9EC1A" w14:textId="17E499D2" w:rsidR="00F8589C" w:rsidRPr="00B509BF" w:rsidRDefault="00F8589C" w:rsidP="00C368FF">
            <w:pPr>
              <w:jc w:val="right"/>
              <w:rPr>
                <w:sz w:val="20"/>
                <w:szCs w:val="20"/>
                <w:highlight w:val="yellow"/>
                <w:lang w:eastAsia="en-GB"/>
              </w:rPr>
            </w:pPr>
            <w:r w:rsidRPr="00B509BF">
              <w:rPr>
                <w:sz w:val="20"/>
                <w:szCs w:val="20"/>
                <w:highlight w:val="yellow"/>
                <w:lang w:eastAsia="en-GB"/>
              </w:rPr>
              <w:t>29</w:t>
            </w:r>
          </w:p>
        </w:tc>
        <w:tc>
          <w:tcPr>
            <w:tcW w:w="1381" w:type="dxa"/>
            <w:tcBorders>
              <w:top w:val="nil"/>
              <w:left w:val="nil"/>
              <w:bottom w:val="single" w:sz="4" w:space="0" w:color="auto"/>
              <w:right w:val="single" w:sz="4" w:space="0" w:color="auto"/>
            </w:tcBorders>
            <w:shd w:val="clear" w:color="auto" w:fill="auto"/>
            <w:noWrap/>
            <w:vAlign w:val="center"/>
          </w:tcPr>
          <w:p w14:paraId="4F13840D" w14:textId="37EDC689" w:rsidR="00F8589C" w:rsidRPr="00B509BF" w:rsidRDefault="00F8589C" w:rsidP="00C368FF">
            <w:pPr>
              <w:jc w:val="right"/>
              <w:rPr>
                <w:sz w:val="20"/>
                <w:szCs w:val="20"/>
                <w:highlight w:val="yellow"/>
                <w:lang w:eastAsia="en-GB"/>
              </w:rPr>
            </w:pPr>
            <w:r w:rsidRPr="00B509BF">
              <w:rPr>
                <w:sz w:val="20"/>
                <w:szCs w:val="20"/>
                <w:highlight w:val="yellow"/>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BDC210" w14:textId="37E646EB" w:rsidR="00F8589C" w:rsidRPr="00B509BF" w:rsidRDefault="00F8589C" w:rsidP="00C368FF">
            <w:pPr>
              <w:jc w:val="right"/>
              <w:rPr>
                <w:color w:val="000000"/>
                <w:sz w:val="20"/>
                <w:szCs w:val="20"/>
                <w:highlight w:val="yellow"/>
                <w:lang w:eastAsia="en-GB"/>
              </w:rPr>
            </w:pPr>
            <w:r w:rsidRPr="00B509BF">
              <w:rPr>
                <w:color w:val="000000"/>
                <w:sz w:val="20"/>
                <w:szCs w:val="20"/>
                <w:highlight w:val="yellow"/>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1CCAA366" w14:textId="3BEB3F0B" w:rsidR="00F8589C" w:rsidRPr="00B509BF" w:rsidRDefault="00F8589C" w:rsidP="00C368FF">
            <w:pPr>
              <w:jc w:val="right"/>
              <w:rPr>
                <w:color w:val="000000"/>
                <w:sz w:val="20"/>
                <w:szCs w:val="20"/>
                <w:highlight w:val="yellow"/>
                <w:lang w:eastAsia="en-GB"/>
              </w:rPr>
            </w:pPr>
            <w:r w:rsidRPr="00B509BF">
              <w:rPr>
                <w:color w:val="000000"/>
                <w:sz w:val="20"/>
                <w:szCs w:val="20"/>
                <w:highlight w:val="yellow"/>
                <w:lang w:eastAsia="en-GB"/>
              </w:rPr>
              <w:t>29</w:t>
            </w:r>
          </w:p>
        </w:tc>
      </w:tr>
      <w:tr w:rsidR="00F8589C" w:rsidRPr="00861214" w14:paraId="14BA5B85"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tcPr>
          <w:p w14:paraId="624F6BFC" w14:textId="77777777" w:rsidR="00F8589C" w:rsidRPr="00861214" w:rsidRDefault="00F8589C" w:rsidP="00C368FF">
            <w:pPr>
              <w:rPr>
                <w:sz w:val="20"/>
                <w:szCs w:val="20"/>
                <w:lang w:eastAsia="en-GB"/>
              </w:rPr>
            </w:pPr>
            <w:r w:rsidRPr="00890E7C">
              <w:rPr>
                <w:sz w:val="20"/>
                <w:szCs w:val="20"/>
                <w:lang w:eastAsia="en-GB"/>
              </w:rPr>
              <w:t>Southern African RRI 2023 activities</w:t>
            </w:r>
            <w:r>
              <w:rPr>
                <w:sz w:val="20"/>
                <w:szCs w:val="20"/>
                <w:lang w:eastAsia="en-GB"/>
              </w:rPr>
              <w:t xml:space="preserve"> carry over</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1BEE82AF"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281828C6"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41E10C6C" w14:textId="77777777" w:rsidR="00F8589C" w:rsidRPr="00861214" w:rsidRDefault="00F8589C" w:rsidP="00C368FF">
            <w:pPr>
              <w:jc w:val="right"/>
              <w:rPr>
                <w:color w:val="000000"/>
                <w:sz w:val="20"/>
                <w:szCs w:val="20"/>
                <w:lang w:eastAsia="en-GB"/>
              </w:rPr>
            </w:pPr>
            <w:r>
              <w:rPr>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tcPr>
          <w:p w14:paraId="71A65290" w14:textId="77777777" w:rsidR="00F8589C" w:rsidRPr="00861214" w:rsidRDefault="00F8589C" w:rsidP="00C368FF">
            <w:pPr>
              <w:jc w:val="right"/>
              <w:rPr>
                <w:color w:val="000000"/>
                <w:sz w:val="20"/>
                <w:szCs w:val="20"/>
                <w:lang w:eastAsia="en-GB"/>
              </w:rPr>
            </w:pPr>
            <w:r>
              <w:rPr>
                <w:color w:val="000000"/>
                <w:sz w:val="20"/>
                <w:szCs w:val="20"/>
                <w:lang w:eastAsia="en-GB"/>
              </w:rPr>
              <w:t>12</w:t>
            </w:r>
          </w:p>
        </w:tc>
      </w:tr>
      <w:tr w:rsidR="00F8589C" w:rsidRPr="00861214" w14:paraId="768DBFF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C55C4DF" w14:textId="77777777" w:rsidR="00F8589C" w:rsidRPr="00861214" w:rsidRDefault="00F8589C" w:rsidP="00C368FF">
            <w:pPr>
              <w:rPr>
                <w:sz w:val="20"/>
                <w:szCs w:val="20"/>
                <w:lang w:eastAsia="en-GB"/>
              </w:rPr>
            </w:pPr>
            <w:r w:rsidRPr="00861214">
              <w:rPr>
                <w:sz w:val="20"/>
                <w:szCs w:val="20"/>
                <w:lang w:eastAsia="en-GB"/>
              </w:rPr>
              <w:t>Amazon Basin 202</w:t>
            </w:r>
            <w:r>
              <w:rPr>
                <w:sz w:val="20"/>
                <w:szCs w:val="20"/>
                <w:lang w:eastAsia="en-GB"/>
              </w:rPr>
              <w:t>3</w:t>
            </w:r>
            <w:r w:rsidRPr="00861214">
              <w:rPr>
                <w:sz w:val="20"/>
                <w:szCs w:val="20"/>
                <w:lang w:eastAsia="en-GB"/>
              </w:rPr>
              <w:t xml:space="preserve"> carry over</w:t>
            </w:r>
          </w:p>
        </w:tc>
        <w:tc>
          <w:tcPr>
            <w:tcW w:w="1381" w:type="dxa"/>
            <w:tcBorders>
              <w:top w:val="nil"/>
              <w:left w:val="nil"/>
              <w:bottom w:val="single" w:sz="4" w:space="0" w:color="auto"/>
              <w:right w:val="single" w:sz="4" w:space="0" w:color="auto"/>
            </w:tcBorders>
            <w:shd w:val="clear" w:color="auto" w:fill="auto"/>
            <w:noWrap/>
            <w:vAlign w:val="center"/>
            <w:hideMark/>
          </w:tcPr>
          <w:p w14:paraId="116E8AC3"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8CE15F5"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2D3DE7" w14:textId="77777777" w:rsidR="00F8589C" w:rsidRPr="00861214" w:rsidRDefault="00F8589C" w:rsidP="00C368FF">
            <w:pPr>
              <w:jc w:val="right"/>
              <w:rPr>
                <w:sz w:val="20"/>
                <w:szCs w:val="20"/>
                <w:lang w:eastAsia="en-GB"/>
              </w:rPr>
            </w:pPr>
            <w:r>
              <w:rPr>
                <w:sz w:val="20"/>
                <w:szCs w:val="20"/>
                <w:lang w:eastAsia="en-GB"/>
              </w:rPr>
              <w:t>24</w:t>
            </w:r>
          </w:p>
        </w:tc>
        <w:tc>
          <w:tcPr>
            <w:tcW w:w="1381" w:type="dxa"/>
            <w:tcBorders>
              <w:top w:val="nil"/>
              <w:left w:val="nil"/>
              <w:bottom w:val="single" w:sz="4" w:space="0" w:color="auto"/>
              <w:right w:val="single" w:sz="4" w:space="0" w:color="auto"/>
            </w:tcBorders>
            <w:shd w:val="clear" w:color="auto" w:fill="auto"/>
            <w:noWrap/>
            <w:vAlign w:val="center"/>
            <w:hideMark/>
          </w:tcPr>
          <w:p w14:paraId="63ACC851" w14:textId="77777777" w:rsidR="00F8589C" w:rsidRPr="00861214" w:rsidRDefault="00F8589C" w:rsidP="00C368FF">
            <w:pPr>
              <w:jc w:val="right"/>
              <w:rPr>
                <w:color w:val="000000"/>
                <w:sz w:val="20"/>
                <w:szCs w:val="20"/>
                <w:lang w:eastAsia="en-GB"/>
              </w:rPr>
            </w:pPr>
            <w:r>
              <w:rPr>
                <w:color w:val="000000"/>
                <w:sz w:val="20"/>
                <w:szCs w:val="20"/>
                <w:lang w:eastAsia="en-GB"/>
              </w:rPr>
              <w:t>24</w:t>
            </w:r>
          </w:p>
        </w:tc>
      </w:tr>
      <w:tr w:rsidR="00F8589C" w:rsidRPr="00861214" w14:paraId="74ED2564" w14:textId="77777777" w:rsidTr="00C368FF">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7094556" w14:textId="77777777" w:rsidR="00F8589C" w:rsidRPr="00861214" w:rsidRDefault="00F8589C" w:rsidP="00C368FF">
            <w:pPr>
              <w:rPr>
                <w:sz w:val="20"/>
                <w:szCs w:val="20"/>
                <w:lang w:eastAsia="en-GB"/>
              </w:rPr>
            </w:pPr>
            <w:r w:rsidRPr="00861214">
              <w:rPr>
                <w:sz w:val="20"/>
                <w:szCs w:val="20"/>
                <w:lang w:eastAsia="en-GB"/>
              </w:rPr>
              <w:t>E.  Scientific and Technical Services</w:t>
            </w:r>
          </w:p>
        </w:tc>
        <w:tc>
          <w:tcPr>
            <w:tcW w:w="1381" w:type="dxa"/>
            <w:tcBorders>
              <w:top w:val="nil"/>
              <w:left w:val="nil"/>
              <w:bottom w:val="single" w:sz="4" w:space="0" w:color="auto"/>
              <w:right w:val="single" w:sz="4" w:space="0" w:color="auto"/>
            </w:tcBorders>
            <w:shd w:val="clear" w:color="000000" w:fill="EAF1DD"/>
            <w:noWrap/>
            <w:vAlign w:val="center"/>
            <w:hideMark/>
          </w:tcPr>
          <w:p w14:paraId="79B5C47D" w14:textId="77777777" w:rsidR="00F8589C" w:rsidRPr="00861214" w:rsidRDefault="00F8589C" w:rsidP="00C368FF">
            <w:pPr>
              <w:jc w:val="right"/>
              <w:rPr>
                <w:b/>
                <w:bCs/>
                <w:sz w:val="20"/>
                <w:szCs w:val="20"/>
                <w:lang w:eastAsia="en-GB"/>
              </w:rPr>
            </w:pPr>
            <w:r>
              <w:rPr>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4D3FDDDB" w14:textId="77777777" w:rsidR="00F8589C" w:rsidRPr="00861214" w:rsidRDefault="00F8589C" w:rsidP="00C368FF">
            <w:pPr>
              <w:jc w:val="right"/>
              <w:rPr>
                <w:b/>
                <w:bCs/>
                <w:sz w:val="20"/>
                <w:szCs w:val="20"/>
                <w:lang w:eastAsia="en-GB"/>
              </w:rPr>
            </w:pPr>
            <w:r w:rsidRPr="00861214">
              <w:rPr>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62EEA82" w14:textId="77777777" w:rsidR="00F8589C" w:rsidRPr="00861214" w:rsidRDefault="00F8589C" w:rsidP="00C368FF">
            <w:pPr>
              <w:jc w:val="right"/>
              <w:rPr>
                <w:b/>
                <w:bCs/>
                <w:color w:val="000000"/>
                <w:sz w:val="20"/>
                <w:szCs w:val="20"/>
                <w:lang w:eastAsia="en-GB"/>
              </w:rPr>
            </w:pPr>
            <w:r>
              <w:rPr>
                <w:b/>
                <w:bCs/>
                <w:color w:val="000000"/>
                <w:sz w:val="20"/>
                <w:szCs w:val="20"/>
                <w:lang w:eastAsia="en-GB"/>
              </w:rPr>
              <w:t>373</w:t>
            </w:r>
          </w:p>
        </w:tc>
        <w:tc>
          <w:tcPr>
            <w:tcW w:w="1381" w:type="dxa"/>
            <w:tcBorders>
              <w:top w:val="nil"/>
              <w:left w:val="nil"/>
              <w:bottom w:val="single" w:sz="4" w:space="0" w:color="auto"/>
              <w:right w:val="single" w:sz="4" w:space="0" w:color="auto"/>
            </w:tcBorders>
            <w:shd w:val="clear" w:color="000000" w:fill="EAF1DD"/>
            <w:noWrap/>
            <w:vAlign w:val="center"/>
            <w:hideMark/>
          </w:tcPr>
          <w:p w14:paraId="70E74FCB" w14:textId="77777777" w:rsidR="00F8589C" w:rsidRPr="00861214" w:rsidRDefault="00F8589C" w:rsidP="00C368FF">
            <w:pPr>
              <w:jc w:val="right"/>
              <w:rPr>
                <w:b/>
                <w:bCs/>
                <w:color w:val="000000"/>
                <w:sz w:val="20"/>
                <w:szCs w:val="20"/>
                <w:lang w:eastAsia="en-GB"/>
              </w:rPr>
            </w:pPr>
            <w:r>
              <w:rPr>
                <w:b/>
                <w:bCs/>
                <w:color w:val="000000"/>
                <w:sz w:val="20"/>
                <w:szCs w:val="20"/>
                <w:lang w:eastAsia="en-GB"/>
              </w:rPr>
              <w:t>1,195</w:t>
            </w:r>
          </w:p>
        </w:tc>
      </w:tr>
      <w:tr w:rsidR="00F8589C" w:rsidRPr="00861214" w14:paraId="205F2589"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48C056E7" w14:textId="77777777" w:rsidR="00F8589C" w:rsidRPr="00861214" w:rsidRDefault="00F8589C" w:rsidP="00C368FF">
            <w:pPr>
              <w:rPr>
                <w:sz w:val="20"/>
                <w:szCs w:val="20"/>
                <w:lang w:eastAsia="en-GB"/>
              </w:rPr>
            </w:pPr>
            <w:r w:rsidRPr="00861214">
              <w:rPr>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5D2B336" w14:textId="77777777" w:rsidR="00F8589C" w:rsidRPr="00861214" w:rsidRDefault="00F8589C" w:rsidP="00C368FF">
            <w:pPr>
              <w:jc w:val="right"/>
              <w:rPr>
                <w:sz w:val="20"/>
                <w:szCs w:val="20"/>
                <w:lang w:eastAsia="en-GB"/>
              </w:rPr>
            </w:pPr>
            <w:r>
              <w:rPr>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4F31E98B"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D96BE9" w14:textId="77777777" w:rsidR="00F8589C" w:rsidRPr="00861214" w:rsidRDefault="00F8589C" w:rsidP="00C368FF">
            <w:pPr>
              <w:jc w:val="right"/>
              <w:rPr>
                <w:color w:val="000000"/>
                <w:sz w:val="20"/>
                <w:szCs w:val="20"/>
                <w:lang w:eastAsia="en-GB"/>
              </w:rPr>
            </w:pPr>
            <w:r>
              <w:rPr>
                <w:color w:val="000000"/>
                <w:sz w:val="20"/>
                <w:szCs w:val="20"/>
                <w:lang w:eastAsia="en-GB"/>
              </w:rPr>
              <w:t>37</w:t>
            </w:r>
          </w:p>
        </w:tc>
        <w:tc>
          <w:tcPr>
            <w:tcW w:w="1381" w:type="dxa"/>
            <w:tcBorders>
              <w:top w:val="nil"/>
              <w:left w:val="nil"/>
              <w:bottom w:val="single" w:sz="4" w:space="0" w:color="auto"/>
              <w:right w:val="single" w:sz="4" w:space="0" w:color="auto"/>
            </w:tcBorders>
            <w:shd w:val="clear" w:color="auto" w:fill="auto"/>
            <w:noWrap/>
            <w:vAlign w:val="center"/>
            <w:hideMark/>
          </w:tcPr>
          <w:p w14:paraId="580DB17E" w14:textId="77777777" w:rsidR="00F8589C" w:rsidRPr="00861214" w:rsidRDefault="00F8589C" w:rsidP="00C368FF">
            <w:pPr>
              <w:jc w:val="right"/>
              <w:rPr>
                <w:color w:val="000000"/>
                <w:sz w:val="20"/>
                <w:szCs w:val="20"/>
                <w:lang w:eastAsia="en-GB"/>
              </w:rPr>
            </w:pPr>
            <w:r>
              <w:rPr>
                <w:color w:val="000000"/>
                <w:sz w:val="20"/>
                <w:szCs w:val="20"/>
                <w:lang w:eastAsia="en-GB"/>
              </w:rPr>
              <w:t>686</w:t>
            </w:r>
          </w:p>
        </w:tc>
      </w:tr>
      <w:tr w:rsidR="00F8589C" w:rsidRPr="00861214" w14:paraId="3A417B67"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CEC9" w14:textId="77777777" w:rsidR="00F8589C" w:rsidRPr="00861214" w:rsidRDefault="00F8589C" w:rsidP="00C368FF">
            <w:pPr>
              <w:rPr>
                <w:sz w:val="20"/>
                <w:szCs w:val="20"/>
                <w:lang w:eastAsia="en-GB"/>
              </w:rPr>
            </w:pPr>
            <w:r w:rsidRPr="00861214">
              <w:rPr>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2E1CE2F1" w14:textId="77777777" w:rsidR="00F8589C" w:rsidRPr="00861214" w:rsidRDefault="00F8589C" w:rsidP="00C368FF">
            <w:pPr>
              <w:jc w:val="right"/>
              <w:rPr>
                <w:sz w:val="20"/>
                <w:szCs w:val="20"/>
                <w:lang w:eastAsia="en-GB"/>
              </w:rPr>
            </w:pPr>
            <w:r w:rsidRPr="00861214">
              <w:rPr>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253AFD03"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3091E2D" w14:textId="77777777" w:rsidR="00F8589C" w:rsidRPr="00861214" w:rsidRDefault="00F8589C" w:rsidP="00C368FF">
            <w:pPr>
              <w:jc w:val="right"/>
              <w:rPr>
                <w:color w:val="000000"/>
                <w:sz w:val="20"/>
                <w:szCs w:val="20"/>
                <w:lang w:eastAsia="en-GB"/>
              </w:rPr>
            </w:pPr>
            <w:r>
              <w:rPr>
                <w:color w:val="000000"/>
                <w:sz w:val="20"/>
                <w:szCs w:val="20"/>
                <w:lang w:eastAsia="en-GB"/>
              </w:rPr>
              <w:t>21</w:t>
            </w:r>
          </w:p>
        </w:tc>
        <w:tc>
          <w:tcPr>
            <w:tcW w:w="1381" w:type="dxa"/>
            <w:tcBorders>
              <w:top w:val="nil"/>
              <w:left w:val="nil"/>
              <w:bottom w:val="single" w:sz="4" w:space="0" w:color="auto"/>
              <w:right w:val="single" w:sz="4" w:space="0" w:color="auto"/>
            </w:tcBorders>
            <w:shd w:val="clear" w:color="auto" w:fill="auto"/>
            <w:noWrap/>
            <w:vAlign w:val="center"/>
            <w:hideMark/>
          </w:tcPr>
          <w:p w14:paraId="6FD78620" w14:textId="77777777" w:rsidR="00F8589C" w:rsidRPr="00861214" w:rsidRDefault="00F8589C" w:rsidP="00C368FF">
            <w:pPr>
              <w:jc w:val="right"/>
              <w:rPr>
                <w:color w:val="000000"/>
                <w:sz w:val="20"/>
                <w:szCs w:val="20"/>
                <w:lang w:eastAsia="en-GB"/>
              </w:rPr>
            </w:pPr>
            <w:r>
              <w:rPr>
                <w:color w:val="000000"/>
                <w:sz w:val="20"/>
                <w:szCs w:val="20"/>
                <w:lang w:eastAsia="en-GB"/>
              </w:rPr>
              <w:t>39</w:t>
            </w:r>
          </w:p>
        </w:tc>
      </w:tr>
      <w:tr w:rsidR="00F8589C" w:rsidRPr="00861214" w14:paraId="57EAFB7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D27E8F8" w14:textId="77777777" w:rsidR="00F8589C" w:rsidRPr="00861214" w:rsidRDefault="00F8589C" w:rsidP="00C368FF">
            <w:pPr>
              <w:rPr>
                <w:sz w:val="20"/>
                <w:szCs w:val="20"/>
                <w:lang w:eastAsia="en-GB"/>
              </w:rPr>
            </w:pPr>
            <w:r w:rsidRPr="00861214">
              <w:rPr>
                <w:sz w:val="20"/>
                <w:szCs w:val="20"/>
                <w:lang w:eastAsia="en-GB"/>
              </w:rPr>
              <w:t>Travel STRP Chair</w:t>
            </w:r>
          </w:p>
        </w:tc>
        <w:tc>
          <w:tcPr>
            <w:tcW w:w="1381" w:type="dxa"/>
            <w:tcBorders>
              <w:top w:val="nil"/>
              <w:left w:val="nil"/>
              <w:bottom w:val="single" w:sz="4" w:space="0" w:color="auto"/>
              <w:right w:val="single" w:sz="4" w:space="0" w:color="auto"/>
            </w:tcBorders>
            <w:shd w:val="clear" w:color="auto" w:fill="auto"/>
            <w:noWrap/>
            <w:vAlign w:val="center"/>
            <w:hideMark/>
          </w:tcPr>
          <w:p w14:paraId="7F216807" w14:textId="77777777" w:rsidR="00F8589C" w:rsidRPr="00861214" w:rsidRDefault="00F8589C" w:rsidP="00C368FF">
            <w:pPr>
              <w:jc w:val="right"/>
              <w:rPr>
                <w:sz w:val="20"/>
                <w:szCs w:val="20"/>
                <w:lang w:eastAsia="en-GB"/>
              </w:rPr>
            </w:pPr>
            <w:r w:rsidRPr="00861214">
              <w:rPr>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3FA0D126"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7847B58" w14:textId="77777777" w:rsidR="00F8589C" w:rsidRPr="00861214" w:rsidRDefault="00F8589C" w:rsidP="00C368FF">
            <w:pPr>
              <w:jc w:val="right"/>
              <w:rPr>
                <w:color w:val="000000"/>
                <w:sz w:val="20"/>
                <w:szCs w:val="20"/>
                <w:lang w:eastAsia="en-GB"/>
              </w:rPr>
            </w:pPr>
            <w:r>
              <w:rPr>
                <w:color w:val="000000"/>
                <w:sz w:val="20"/>
                <w:szCs w:val="20"/>
                <w:lang w:eastAsia="en-GB"/>
              </w:rPr>
              <w:t>3</w:t>
            </w:r>
          </w:p>
        </w:tc>
        <w:tc>
          <w:tcPr>
            <w:tcW w:w="1381" w:type="dxa"/>
            <w:tcBorders>
              <w:top w:val="nil"/>
              <w:left w:val="nil"/>
              <w:bottom w:val="single" w:sz="4" w:space="0" w:color="auto"/>
              <w:right w:val="single" w:sz="4" w:space="0" w:color="auto"/>
            </w:tcBorders>
            <w:shd w:val="clear" w:color="auto" w:fill="auto"/>
            <w:noWrap/>
            <w:vAlign w:val="center"/>
            <w:hideMark/>
          </w:tcPr>
          <w:p w14:paraId="507C9EF5" w14:textId="77777777" w:rsidR="00F8589C" w:rsidRPr="00861214" w:rsidRDefault="00F8589C" w:rsidP="00C368FF">
            <w:pPr>
              <w:jc w:val="right"/>
              <w:rPr>
                <w:color w:val="000000"/>
                <w:sz w:val="20"/>
                <w:szCs w:val="20"/>
                <w:lang w:eastAsia="en-GB"/>
              </w:rPr>
            </w:pPr>
            <w:r>
              <w:rPr>
                <w:color w:val="000000"/>
                <w:sz w:val="20"/>
                <w:szCs w:val="20"/>
                <w:lang w:eastAsia="en-GB"/>
              </w:rPr>
              <w:t>8</w:t>
            </w:r>
          </w:p>
        </w:tc>
      </w:tr>
      <w:tr w:rsidR="00F8589C" w:rsidRPr="00861214" w14:paraId="4928C6E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CBEC61F" w14:textId="77777777" w:rsidR="00F8589C" w:rsidRPr="00861214" w:rsidRDefault="00F8589C" w:rsidP="00C368FF">
            <w:pPr>
              <w:rPr>
                <w:sz w:val="20"/>
                <w:szCs w:val="20"/>
                <w:lang w:eastAsia="en-GB"/>
              </w:rPr>
            </w:pPr>
            <w:r w:rsidRPr="00861214">
              <w:rPr>
                <w:sz w:val="20"/>
                <w:szCs w:val="20"/>
                <w:lang w:eastAsia="en-GB"/>
              </w:rPr>
              <w:t>STRP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6DC379B0" w14:textId="77777777" w:rsidR="00F8589C" w:rsidRPr="00861214" w:rsidRDefault="00F8589C" w:rsidP="00C368FF">
            <w:pPr>
              <w:jc w:val="right"/>
              <w:rPr>
                <w:sz w:val="20"/>
                <w:szCs w:val="20"/>
                <w:lang w:eastAsia="en-GB"/>
              </w:rPr>
            </w:pPr>
            <w:r w:rsidRPr="00861214">
              <w:rPr>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7F203A76" w14:textId="77777777" w:rsidR="00F8589C" w:rsidRPr="00861214" w:rsidRDefault="00F8589C" w:rsidP="00C368FF">
            <w:pPr>
              <w:jc w:val="right"/>
              <w:rPr>
                <w:sz w:val="20"/>
                <w:szCs w:val="20"/>
                <w:lang w:eastAsia="en-GB"/>
              </w:rPr>
            </w:pPr>
            <w:r w:rsidRPr="00861214">
              <w:rPr>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6FC5DE" w14:textId="77777777" w:rsidR="00F8589C" w:rsidRPr="00861214" w:rsidRDefault="00F8589C" w:rsidP="00C368FF">
            <w:pPr>
              <w:jc w:val="right"/>
              <w:rPr>
                <w:color w:val="000000"/>
                <w:sz w:val="20"/>
                <w:szCs w:val="20"/>
                <w:lang w:eastAsia="en-GB"/>
              </w:rPr>
            </w:pPr>
            <w:r>
              <w:rPr>
                <w:color w:val="000000"/>
                <w:sz w:val="20"/>
                <w:szCs w:val="20"/>
                <w:lang w:eastAsia="en-GB"/>
              </w:rPr>
              <w:t>61</w:t>
            </w:r>
          </w:p>
        </w:tc>
        <w:tc>
          <w:tcPr>
            <w:tcW w:w="1381" w:type="dxa"/>
            <w:tcBorders>
              <w:top w:val="nil"/>
              <w:left w:val="nil"/>
              <w:bottom w:val="single" w:sz="4" w:space="0" w:color="auto"/>
              <w:right w:val="single" w:sz="4" w:space="0" w:color="auto"/>
            </w:tcBorders>
            <w:shd w:val="clear" w:color="auto" w:fill="auto"/>
            <w:noWrap/>
            <w:vAlign w:val="center"/>
            <w:hideMark/>
          </w:tcPr>
          <w:p w14:paraId="65069902" w14:textId="77777777" w:rsidR="00F8589C" w:rsidRPr="00861214" w:rsidRDefault="00F8589C" w:rsidP="00C368FF">
            <w:pPr>
              <w:jc w:val="right"/>
              <w:rPr>
                <w:color w:val="000000"/>
                <w:sz w:val="20"/>
                <w:szCs w:val="20"/>
                <w:lang w:eastAsia="en-GB"/>
              </w:rPr>
            </w:pPr>
            <w:r>
              <w:rPr>
                <w:color w:val="000000"/>
                <w:sz w:val="20"/>
                <w:szCs w:val="20"/>
                <w:lang w:eastAsia="en-GB"/>
              </w:rPr>
              <w:t>101</w:t>
            </w:r>
          </w:p>
        </w:tc>
      </w:tr>
      <w:tr w:rsidR="00F8589C" w:rsidRPr="00861214" w14:paraId="00CB408D"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C6287D2" w14:textId="77777777" w:rsidR="00F8589C" w:rsidRPr="00861214" w:rsidRDefault="00F8589C" w:rsidP="00C368FF">
            <w:pPr>
              <w:rPr>
                <w:sz w:val="20"/>
                <w:szCs w:val="20"/>
                <w:lang w:eastAsia="en-GB"/>
              </w:rPr>
            </w:pPr>
            <w:r w:rsidRPr="00861214">
              <w:rPr>
                <w:sz w:val="20"/>
                <w:szCs w:val="20"/>
                <w:lang w:eastAsia="en-GB"/>
              </w:rPr>
              <w:t>STRP meetings</w:t>
            </w:r>
          </w:p>
        </w:tc>
        <w:tc>
          <w:tcPr>
            <w:tcW w:w="1381" w:type="dxa"/>
            <w:tcBorders>
              <w:top w:val="nil"/>
              <w:left w:val="nil"/>
              <w:bottom w:val="single" w:sz="4" w:space="0" w:color="auto"/>
              <w:right w:val="single" w:sz="4" w:space="0" w:color="auto"/>
            </w:tcBorders>
            <w:shd w:val="clear" w:color="auto" w:fill="auto"/>
            <w:noWrap/>
            <w:vAlign w:val="center"/>
            <w:hideMark/>
          </w:tcPr>
          <w:p w14:paraId="2B015437" w14:textId="77777777" w:rsidR="00F8589C" w:rsidRPr="00861214" w:rsidRDefault="00F8589C" w:rsidP="00C368FF">
            <w:pPr>
              <w:jc w:val="right"/>
              <w:rPr>
                <w:sz w:val="20"/>
                <w:szCs w:val="20"/>
                <w:lang w:eastAsia="en-GB"/>
              </w:rPr>
            </w:pPr>
            <w:r w:rsidRPr="00861214">
              <w:rPr>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D087C0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98BCFCB" w14:textId="77777777" w:rsidR="00F8589C" w:rsidRPr="00861214" w:rsidRDefault="00F8589C" w:rsidP="00C368FF">
            <w:pPr>
              <w:jc w:val="right"/>
              <w:rPr>
                <w:color w:val="000000"/>
                <w:sz w:val="20"/>
                <w:szCs w:val="20"/>
                <w:lang w:eastAsia="en-GB"/>
              </w:rPr>
            </w:pPr>
            <w:r>
              <w:rPr>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vAlign w:val="center"/>
            <w:hideMark/>
          </w:tcPr>
          <w:p w14:paraId="03AF8D45" w14:textId="77777777" w:rsidR="00F8589C" w:rsidRPr="00861214" w:rsidRDefault="00F8589C" w:rsidP="00C368FF">
            <w:pPr>
              <w:jc w:val="right"/>
              <w:rPr>
                <w:color w:val="000000"/>
                <w:sz w:val="20"/>
                <w:szCs w:val="20"/>
                <w:lang w:eastAsia="en-GB"/>
              </w:rPr>
            </w:pPr>
            <w:r>
              <w:rPr>
                <w:color w:val="000000"/>
                <w:sz w:val="20"/>
                <w:szCs w:val="20"/>
                <w:lang w:eastAsia="en-GB"/>
              </w:rPr>
              <w:t>56</w:t>
            </w:r>
          </w:p>
        </w:tc>
      </w:tr>
      <w:tr w:rsidR="00F8589C" w:rsidRPr="00861214" w14:paraId="09A56CD3"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780258" w14:textId="77777777" w:rsidR="00F8589C" w:rsidRPr="00861214" w:rsidRDefault="00F8589C" w:rsidP="00C368FF">
            <w:pPr>
              <w:rPr>
                <w:sz w:val="20"/>
                <w:szCs w:val="20"/>
                <w:lang w:eastAsia="en-GB"/>
              </w:rPr>
            </w:pPr>
            <w:r w:rsidRPr="00861214">
              <w:rPr>
                <w:sz w:val="20"/>
                <w:szCs w:val="20"/>
                <w:lang w:eastAsia="en-GB"/>
              </w:rPr>
              <w:t>Strategic Plan SP5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66FEA862"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8EA8B4"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EAF588" w14:textId="77777777" w:rsidR="00F8589C" w:rsidRPr="00861214" w:rsidRDefault="00F8589C" w:rsidP="00C368FF">
            <w:pPr>
              <w:jc w:val="right"/>
              <w:rPr>
                <w:color w:val="000000"/>
                <w:sz w:val="20"/>
                <w:szCs w:val="20"/>
                <w:lang w:eastAsia="en-GB"/>
              </w:rPr>
            </w:pPr>
            <w:r>
              <w:rPr>
                <w:color w:val="000000"/>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61DA2AB6" w14:textId="77777777" w:rsidR="00F8589C" w:rsidRPr="00861214" w:rsidRDefault="00F8589C" w:rsidP="00C368FF">
            <w:pPr>
              <w:jc w:val="right"/>
              <w:rPr>
                <w:color w:val="000000"/>
                <w:sz w:val="20"/>
                <w:szCs w:val="20"/>
                <w:lang w:eastAsia="en-GB"/>
              </w:rPr>
            </w:pPr>
            <w:r>
              <w:rPr>
                <w:color w:val="000000"/>
                <w:sz w:val="20"/>
                <w:szCs w:val="20"/>
                <w:lang w:eastAsia="en-GB"/>
              </w:rPr>
              <w:t>50</w:t>
            </w:r>
          </w:p>
        </w:tc>
      </w:tr>
      <w:tr w:rsidR="00F8589C" w:rsidRPr="00861214" w14:paraId="539A7FA4"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A4C92ED" w14:textId="77777777" w:rsidR="00F8589C" w:rsidRPr="00861214" w:rsidRDefault="00F8589C" w:rsidP="00C368FF">
            <w:pPr>
              <w:rPr>
                <w:sz w:val="20"/>
                <w:szCs w:val="20"/>
                <w:lang w:eastAsia="en-GB"/>
              </w:rPr>
            </w:pPr>
            <w:r w:rsidRPr="00861214">
              <w:rPr>
                <w:sz w:val="20"/>
                <w:szCs w:val="20"/>
                <w:lang w:eastAsia="en-GB"/>
              </w:rPr>
              <w:t>SDG 6.61 (Inventories)</w:t>
            </w:r>
          </w:p>
        </w:tc>
        <w:tc>
          <w:tcPr>
            <w:tcW w:w="1381" w:type="dxa"/>
            <w:tcBorders>
              <w:top w:val="nil"/>
              <w:left w:val="nil"/>
              <w:bottom w:val="single" w:sz="4" w:space="0" w:color="auto"/>
              <w:right w:val="single" w:sz="4" w:space="0" w:color="auto"/>
            </w:tcBorders>
            <w:shd w:val="clear" w:color="auto" w:fill="auto"/>
            <w:noWrap/>
            <w:vAlign w:val="center"/>
            <w:hideMark/>
          </w:tcPr>
          <w:p w14:paraId="56AD5162"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17FAC9"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CFCD738" w14:textId="77777777" w:rsidR="00F8589C" w:rsidRPr="00861214" w:rsidRDefault="00F8589C" w:rsidP="00C368FF">
            <w:pPr>
              <w:jc w:val="right"/>
              <w:rPr>
                <w:color w:val="000000"/>
                <w:sz w:val="20"/>
                <w:szCs w:val="20"/>
                <w:lang w:eastAsia="en-GB"/>
              </w:rPr>
            </w:pPr>
            <w:r>
              <w:rPr>
                <w:color w:val="000000"/>
                <w:sz w:val="20"/>
                <w:szCs w:val="20"/>
                <w:lang w:eastAsia="en-GB"/>
              </w:rPr>
              <w:t>42</w:t>
            </w:r>
          </w:p>
        </w:tc>
        <w:tc>
          <w:tcPr>
            <w:tcW w:w="1381" w:type="dxa"/>
            <w:tcBorders>
              <w:top w:val="nil"/>
              <w:left w:val="nil"/>
              <w:bottom w:val="single" w:sz="4" w:space="0" w:color="auto"/>
              <w:right w:val="single" w:sz="4" w:space="0" w:color="auto"/>
            </w:tcBorders>
            <w:shd w:val="clear" w:color="auto" w:fill="auto"/>
            <w:noWrap/>
            <w:vAlign w:val="center"/>
            <w:hideMark/>
          </w:tcPr>
          <w:p w14:paraId="0AD97642" w14:textId="77777777" w:rsidR="00F8589C" w:rsidRPr="00861214" w:rsidRDefault="00F8589C" w:rsidP="00C368FF">
            <w:pPr>
              <w:jc w:val="right"/>
              <w:rPr>
                <w:color w:val="000000"/>
                <w:sz w:val="20"/>
                <w:szCs w:val="20"/>
                <w:lang w:eastAsia="en-GB"/>
              </w:rPr>
            </w:pPr>
            <w:r>
              <w:rPr>
                <w:color w:val="000000"/>
                <w:sz w:val="20"/>
                <w:szCs w:val="20"/>
                <w:lang w:eastAsia="en-GB"/>
              </w:rPr>
              <w:t>42</w:t>
            </w:r>
          </w:p>
        </w:tc>
      </w:tr>
      <w:tr w:rsidR="00F8589C" w:rsidRPr="00861214" w14:paraId="2DA0D59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91FA339" w14:textId="77777777" w:rsidR="00F8589C" w:rsidRPr="00861214" w:rsidRDefault="00F8589C" w:rsidP="00C368FF">
            <w:pPr>
              <w:rPr>
                <w:sz w:val="20"/>
                <w:szCs w:val="20"/>
                <w:lang w:eastAsia="en-GB"/>
              </w:rPr>
            </w:pPr>
            <w:r w:rsidRPr="00861214">
              <w:rPr>
                <w:sz w:val="20"/>
                <w:szCs w:val="20"/>
                <w:lang w:eastAsia="en-GB"/>
              </w:rPr>
              <w:t>Ramsar Sites Information Service (maintenance and develop</w:t>
            </w:r>
            <w:r>
              <w:rPr>
                <w:sz w:val="20"/>
                <w:szCs w:val="20"/>
                <w:lang w:eastAsia="en-GB"/>
              </w:rPr>
              <w:t>ment</w:t>
            </w:r>
            <w:r w:rsidRPr="00861214">
              <w:rPr>
                <w:sz w:val="20"/>
                <w:szCs w:val="20"/>
                <w:lang w:eastAsia="en-GB"/>
              </w:rPr>
              <w:t>)</w:t>
            </w:r>
          </w:p>
        </w:tc>
        <w:tc>
          <w:tcPr>
            <w:tcW w:w="1381" w:type="dxa"/>
            <w:tcBorders>
              <w:top w:val="nil"/>
              <w:left w:val="nil"/>
              <w:bottom w:val="single" w:sz="4" w:space="0" w:color="auto"/>
              <w:right w:val="single" w:sz="4" w:space="0" w:color="auto"/>
            </w:tcBorders>
            <w:shd w:val="clear" w:color="auto" w:fill="auto"/>
            <w:noWrap/>
            <w:vAlign w:val="center"/>
            <w:hideMark/>
          </w:tcPr>
          <w:p w14:paraId="7DC5AA14" w14:textId="77777777" w:rsidR="00F8589C" w:rsidRPr="00861214" w:rsidRDefault="00F8589C" w:rsidP="00C368FF">
            <w:pPr>
              <w:jc w:val="right"/>
              <w:rPr>
                <w:sz w:val="20"/>
                <w:szCs w:val="20"/>
                <w:lang w:eastAsia="en-GB"/>
              </w:rPr>
            </w:pPr>
            <w:r>
              <w:rPr>
                <w:sz w:val="20"/>
                <w:szCs w:val="20"/>
                <w:lang w:eastAsia="en-GB"/>
              </w:rPr>
              <w:t>6</w:t>
            </w: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1AC272"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A24895" w14:textId="77777777" w:rsidR="00F8589C" w:rsidRPr="00861214" w:rsidRDefault="00F8589C" w:rsidP="00C368FF">
            <w:pPr>
              <w:jc w:val="right"/>
              <w:rPr>
                <w:sz w:val="20"/>
                <w:szCs w:val="20"/>
                <w:lang w:eastAsia="en-GB"/>
              </w:rPr>
            </w:pPr>
            <w:r>
              <w:rPr>
                <w:sz w:val="20"/>
                <w:szCs w:val="20"/>
                <w:lang w:eastAsia="en-GB"/>
              </w:rPr>
              <w:t>63</w:t>
            </w:r>
          </w:p>
        </w:tc>
        <w:tc>
          <w:tcPr>
            <w:tcW w:w="1381" w:type="dxa"/>
            <w:tcBorders>
              <w:top w:val="nil"/>
              <w:left w:val="nil"/>
              <w:bottom w:val="single" w:sz="4" w:space="0" w:color="auto"/>
              <w:right w:val="single" w:sz="4" w:space="0" w:color="auto"/>
            </w:tcBorders>
            <w:shd w:val="clear" w:color="auto" w:fill="auto"/>
            <w:noWrap/>
            <w:vAlign w:val="center"/>
            <w:hideMark/>
          </w:tcPr>
          <w:p w14:paraId="70C76CAB" w14:textId="77777777" w:rsidR="00F8589C" w:rsidRPr="00861214" w:rsidRDefault="00F8589C" w:rsidP="00C368FF">
            <w:pPr>
              <w:jc w:val="right"/>
              <w:rPr>
                <w:color w:val="000000"/>
                <w:sz w:val="20"/>
                <w:szCs w:val="20"/>
                <w:lang w:eastAsia="en-GB"/>
              </w:rPr>
            </w:pPr>
            <w:r>
              <w:rPr>
                <w:color w:val="000000"/>
                <w:sz w:val="20"/>
                <w:szCs w:val="20"/>
                <w:lang w:eastAsia="en-GB"/>
              </w:rPr>
              <w:t>123</w:t>
            </w:r>
          </w:p>
        </w:tc>
      </w:tr>
      <w:tr w:rsidR="00F8589C" w:rsidRPr="00861214" w14:paraId="71C5B15B"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E798B" w14:textId="77777777" w:rsidR="00F8589C" w:rsidRPr="00861214" w:rsidRDefault="00F8589C" w:rsidP="00C368FF">
            <w:pPr>
              <w:rPr>
                <w:sz w:val="20"/>
                <w:szCs w:val="20"/>
                <w:lang w:eastAsia="en-GB"/>
              </w:rPr>
            </w:pPr>
            <w:r w:rsidRPr="00400EC6">
              <w:rPr>
                <w:sz w:val="20"/>
                <w:szCs w:val="20"/>
                <w:lang w:eastAsia="en-GB"/>
              </w:rPr>
              <w:t xml:space="preserve">Ramsar Sites Information Service (technical support </w:t>
            </w:r>
            <w:r w:rsidRPr="00400EC6">
              <w:rPr>
                <w:sz w:val="20"/>
                <w:szCs w:val="20"/>
                <w:lang w:eastAsia="en-GB"/>
              </w:rPr>
              <w:lastRenderedPageBreak/>
              <w:t>for the triennium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7F976C1" w14:textId="77777777" w:rsidR="00F8589C" w:rsidRPr="00861214" w:rsidDel="00400EC6" w:rsidRDefault="00F8589C" w:rsidP="00C368FF">
            <w:pPr>
              <w:jc w:val="right"/>
              <w:rPr>
                <w:sz w:val="20"/>
                <w:szCs w:val="20"/>
                <w:lang w:eastAsia="en-GB"/>
              </w:rPr>
            </w:pPr>
            <w:r>
              <w:rPr>
                <w:sz w:val="20"/>
                <w:szCs w:val="20"/>
                <w:lang w:eastAsia="en-GB"/>
              </w:rPr>
              <w:lastRenderedPageBreak/>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84D98DD"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2C74" w14:textId="77777777" w:rsidR="00F8589C" w:rsidRPr="00861214" w:rsidDel="00400EC6" w:rsidRDefault="00F8589C" w:rsidP="00C368FF">
            <w:pPr>
              <w:jc w:val="right"/>
              <w:rPr>
                <w:sz w:val="20"/>
                <w:szCs w:val="20"/>
                <w:lang w:eastAsia="en-GB"/>
              </w:rPr>
            </w:pPr>
            <w:r>
              <w:rPr>
                <w:sz w:val="20"/>
                <w:szCs w:val="20"/>
                <w:lang w:eastAsia="en-GB"/>
              </w:rPr>
              <w:t>90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32C33A3" w14:textId="77777777" w:rsidR="00F8589C" w:rsidRPr="00861214" w:rsidDel="00400EC6" w:rsidRDefault="00F8589C" w:rsidP="00C368FF">
            <w:pPr>
              <w:jc w:val="right"/>
              <w:rPr>
                <w:color w:val="000000"/>
                <w:sz w:val="20"/>
                <w:szCs w:val="20"/>
                <w:lang w:eastAsia="en-GB"/>
              </w:rPr>
            </w:pPr>
            <w:r>
              <w:rPr>
                <w:color w:val="000000"/>
                <w:sz w:val="20"/>
                <w:szCs w:val="20"/>
                <w:lang w:eastAsia="en-GB"/>
              </w:rPr>
              <w:t>90</w:t>
            </w:r>
          </w:p>
        </w:tc>
      </w:tr>
      <w:tr w:rsidR="00F8589C" w:rsidRPr="00861214" w14:paraId="176AE3D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831D24A" w14:textId="77777777" w:rsidR="00F8589C" w:rsidRPr="00861214" w:rsidRDefault="00F8589C" w:rsidP="00C368FF">
            <w:pPr>
              <w:rPr>
                <w:sz w:val="20"/>
                <w:szCs w:val="20"/>
                <w:lang w:eastAsia="en-GB"/>
              </w:rPr>
            </w:pPr>
            <w:r>
              <w:rPr>
                <w:sz w:val="20"/>
                <w:szCs w:val="20"/>
                <w:lang w:eastAsia="en-GB"/>
              </w:rPr>
              <w:t>F</w:t>
            </w:r>
            <w:r w:rsidRPr="00861214">
              <w:rPr>
                <w:sz w:val="20"/>
                <w:szCs w:val="20"/>
                <w:lang w:eastAsia="en-GB"/>
              </w:rPr>
              <w:t>.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A5D3FD1" w14:textId="77777777" w:rsidR="00F8589C" w:rsidRPr="00861214" w:rsidRDefault="00F8589C" w:rsidP="00C368FF">
            <w:pPr>
              <w:jc w:val="right"/>
              <w:rPr>
                <w:b/>
                <w:bCs/>
                <w:sz w:val="20"/>
                <w:szCs w:val="20"/>
                <w:lang w:eastAsia="en-GB"/>
              </w:rPr>
            </w:pPr>
            <w:r w:rsidRPr="00861214">
              <w:rPr>
                <w:b/>
                <w:bCs/>
                <w:sz w:val="20"/>
                <w:szCs w:val="20"/>
                <w:lang w:eastAsia="en-GB"/>
              </w:rPr>
              <w:t>4</w:t>
            </w:r>
            <w:r>
              <w:rPr>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6661416" w14:textId="77777777" w:rsidR="00F8589C" w:rsidRPr="00861214" w:rsidRDefault="00F8589C" w:rsidP="00C368FF">
            <w:pPr>
              <w:jc w:val="right"/>
              <w:rPr>
                <w:b/>
                <w:bCs/>
                <w:sz w:val="20"/>
                <w:szCs w:val="20"/>
                <w:lang w:eastAsia="en-GB"/>
              </w:rPr>
            </w:pPr>
            <w:r w:rsidRPr="00861214">
              <w:rPr>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1D5DB2" w14:textId="77777777" w:rsidR="00F8589C" w:rsidRPr="00861214" w:rsidRDefault="00F8589C" w:rsidP="00C368FF">
            <w:pPr>
              <w:jc w:val="right"/>
              <w:rPr>
                <w:b/>
                <w:bCs/>
                <w:color w:val="000000"/>
                <w:sz w:val="20"/>
                <w:szCs w:val="20"/>
                <w:lang w:eastAsia="en-GB"/>
              </w:rPr>
            </w:pPr>
            <w:r>
              <w:rPr>
                <w:b/>
                <w:bCs/>
                <w:color w:val="000000"/>
                <w:sz w:val="20"/>
                <w:szCs w:val="20"/>
                <w:lang w:eastAsia="en-GB"/>
              </w:rPr>
              <w:t>137</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2A03700" w14:textId="77777777" w:rsidR="00F8589C" w:rsidRPr="00861214" w:rsidRDefault="00F8589C" w:rsidP="00C368FF">
            <w:pPr>
              <w:jc w:val="right"/>
              <w:rPr>
                <w:b/>
                <w:bCs/>
                <w:color w:val="000000"/>
                <w:sz w:val="20"/>
                <w:szCs w:val="20"/>
                <w:lang w:eastAsia="en-GB"/>
              </w:rPr>
            </w:pPr>
            <w:r>
              <w:rPr>
                <w:b/>
                <w:bCs/>
                <w:color w:val="000000"/>
                <w:sz w:val="20"/>
                <w:szCs w:val="20"/>
                <w:lang w:eastAsia="en-GB"/>
              </w:rPr>
              <w:t>626</w:t>
            </w:r>
          </w:p>
        </w:tc>
      </w:tr>
      <w:tr w:rsidR="00F8589C" w:rsidRPr="00861214" w14:paraId="5565F056" w14:textId="77777777" w:rsidTr="00C368FF">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AB2F3E9" w14:textId="77777777" w:rsidR="00F8589C" w:rsidRPr="00861214" w:rsidRDefault="00F8589C" w:rsidP="00C368FF">
            <w:pPr>
              <w:rPr>
                <w:sz w:val="20"/>
                <w:szCs w:val="20"/>
                <w:lang w:eastAsia="en-GB"/>
              </w:rPr>
            </w:pPr>
            <w:r w:rsidRPr="00861214">
              <w:rPr>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441ED1" w14:textId="77777777" w:rsidR="00F8589C" w:rsidRPr="00861214" w:rsidRDefault="00F8589C" w:rsidP="00C368FF">
            <w:pPr>
              <w:jc w:val="right"/>
              <w:rPr>
                <w:sz w:val="20"/>
                <w:szCs w:val="20"/>
                <w:lang w:eastAsia="en-GB"/>
              </w:rPr>
            </w:pPr>
            <w:r w:rsidRPr="00861214">
              <w:rPr>
                <w:sz w:val="20"/>
                <w:szCs w:val="20"/>
                <w:lang w:eastAsia="en-GB"/>
              </w:rPr>
              <w:t>33</w:t>
            </w:r>
            <w:r>
              <w:rPr>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565F046D"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639B4E6" w14:textId="77777777" w:rsidR="00F8589C" w:rsidRPr="00861214" w:rsidRDefault="00F8589C" w:rsidP="00C368FF">
            <w:pPr>
              <w:jc w:val="right"/>
              <w:rPr>
                <w:color w:val="000000"/>
                <w:sz w:val="20"/>
                <w:szCs w:val="20"/>
                <w:lang w:eastAsia="en-GB"/>
              </w:rPr>
            </w:pPr>
            <w:r>
              <w:rPr>
                <w:color w:val="000000"/>
                <w:sz w:val="20"/>
                <w:szCs w:val="20"/>
                <w:lang w:eastAsia="en-GB"/>
              </w:rPr>
              <w:t>8</w:t>
            </w:r>
          </w:p>
        </w:tc>
        <w:tc>
          <w:tcPr>
            <w:tcW w:w="1381" w:type="dxa"/>
            <w:tcBorders>
              <w:top w:val="nil"/>
              <w:left w:val="nil"/>
              <w:bottom w:val="single" w:sz="4" w:space="0" w:color="auto"/>
              <w:right w:val="single" w:sz="4" w:space="0" w:color="auto"/>
            </w:tcBorders>
            <w:shd w:val="clear" w:color="auto" w:fill="auto"/>
            <w:noWrap/>
            <w:vAlign w:val="center"/>
            <w:hideMark/>
          </w:tcPr>
          <w:p w14:paraId="3EDD933A" w14:textId="77777777" w:rsidR="00F8589C" w:rsidRPr="00861214" w:rsidRDefault="00F8589C" w:rsidP="00C368FF">
            <w:pPr>
              <w:jc w:val="right"/>
              <w:rPr>
                <w:color w:val="000000"/>
                <w:sz w:val="20"/>
                <w:szCs w:val="20"/>
                <w:lang w:eastAsia="en-GB"/>
              </w:rPr>
            </w:pPr>
            <w:r>
              <w:rPr>
                <w:color w:val="000000"/>
                <w:sz w:val="20"/>
                <w:szCs w:val="20"/>
                <w:lang w:eastAsia="en-GB"/>
              </w:rPr>
              <w:t>339</w:t>
            </w:r>
          </w:p>
        </w:tc>
      </w:tr>
      <w:tr w:rsidR="00F8589C" w:rsidRPr="00861214" w14:paraId="18AE34C2"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EC08" w14:textId="77777777" w:rsidR="00F8589C" w:rsidRPr="00861214" w:rsidRDefault="00F8589C" w:rsidP="00C368FF">
            <w:pPr>
              <w:rPr>
                <w:sz w:val="20"/>
                <w:szCs w:val="20"/>
                <w:lang w:eastAsia="en-GB"/>
              </w:rPr>
            </w:pPr>
            <w:r w:rsidRPr="00861214">
              <w:rPr>
                <w:sz w:val="20"/>
                <w:szCs w:val="20"/>
                <w:lang w:eastAsia="en-GB"/>
              </w:rPr>
              <w:t>Staff hiring and departure costs</w:t>
            </w:r>
          </w:p>
        </w:tc>
        <w:tc>
          <w:tcPr>
            <w:tcW w:w="1381" w:type="dxa"/>
            <w:tcBorders>
              <w:top w:val="nil"/>
              <w:left w:val="nil"/>
              <w:bottom w:val="single" w:sz="4" w:space="0" w:color="auto"/>
              <w:right w:val="single" w:sz="4" w:space="0" w:color="auto"/>
            </w:tcBorders>
            <w:shd w:val="clear" w:color="auto" w:fill="auto"/>
            <w:noWrap/>
            <w:vAlign w:val="center"/>
            <w:hideMark/>
          </w:tcPr>
          <w:p w14:paraId="2488D21D" w14:textId="77777777" w:rsidR="00F8589C" w:rsidRPr="00861214" w:rsidRDefault="00F8589C" w:rsidP="00C368FF">
            <w:pPr>
              <w:jc w:val="right"/>
              <w:rPr>
                <w:sz w:val="20"/>
                <w:szCs w:val="20"/>
                <w:lang w:eastAsia="en-GB"/>
              </w:rPr>
            </w:pPr>
            <w:r>
              <w:rPr>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2FF168E5"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B51E22C" w14:textId="77777777" w:rsidR="00F8589C" w:rsidRPr="00D64944" w:rsidRDefault="00F8589C" w:rsidP="00C368FF">
            <w:pPr>
              <w:jc w:val="right"/>
              <w:rPr>
                <w:color w:val="000000"/>
                <w:sz w:val="20"/>
                <w:szCs w:val="20"/>
                <w:lang w:eastAsia="en-GB"/>
              </w:rPr>
            </w:pPr>
            <w:r>
              <w:rPr>
                <w:color w:val="000000"/>
                <w:sz w:val="20"/>
                <w:szCs w:val="20"/>
                <w:lang w:eastAsia="en-GB"/>
              </w:rPr>
              <w:t>36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F5E88AD" w14:textId="77777777" w:rsidR="00F8589C" w:rsidRPr="00861214" w:rsidRDefault="00F8589C" w:rsidP="00C368FF">
            <w:pPr>
              <w:jc w:val="right"/>
              <w:rPr>
                <w:color w:val="000000"/>
                <w:sz w:val="20"/>
                <w:szCs w:val="20"/>
                <w:lang w:eastAsia="en-GB"/>
              </w:rPr>
            </w:pPr>
            <w:r>
              <w:rPr>
                <w:color w:val="000000"/>
                <w:sz w:val="20"/>
                <w:szCs w:val="20"/>
                <w:lang w:eastAsia="en-GB"/>
              </w:rPr>
              <w:t>88</w:t>
            </w:r>
          </w:p>
        </w:tc>
      </w:tr>
      <w:tr w:rsidR="00F8589C" w:rsidRPr="00861214" w14:paraId="02A46E3F"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E2ABD22" w14:textId="77777777" w:rsidR="00F8589C" w:rsidRPr="00861214" w:rsidRDefault="00F8589C" w:rsidP="00C368FF">
            <w:pPr>
              <w:rPr>
                <w:sz w:val="20"/>
                <w:szCs w:val="20"/>
                <w:lang w:eastAsia="en-GB"/>
              </w:rPr>
            </w:pPr>
            <w:r w:rsidRPr="00861214">
              <w:rPr>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78A6A634"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43059D"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3B2118"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1714D04"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r>
      <w:tr w:rsidR="00F8589C" w:rsidRPr="00861214" w14:paraId="01753DD7"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26078D" w14:textId="77777777" w:rsidR="00F8589C" w:rsidRPr="00861214" w:rsidRDefault="00F8589C" w:rsidP="00C368FF">
            <w:pPr>
              <w:rPr>
                <w:sz w:val="20"/>
                <w:szCs w:val="20"/>
                <w:lang w:eastAsia="en-GB"/>
              </w:rPr>
            </w:pPr>
            <w:r w:rsidRPr="00861214">
              <w:rPr>
                <w:sz w:val="20"/>
                <w:szCs w:val="20"/>
                <w:lang w:eastAsia="en-GB"/>
              </w:rPr>
              <w:t>Equipment/Office Supplies</w:t>
            </w:r>
          </w:p>
        </w:tc>
        <w:tc>
          <w:tcPr>
            <w:tcW w:w="1381" w:type="dxa"/>
            <w:tcBorders>
              <w:top w:val="nil"/>
              <w:left w:val="nil"/>
              <w:bottom w:val="single" w:sz="4" w:space="0" w:color="auto"/>
              <w:right w:val="single" w:sz="4" w:space="0" w:color="auto"/>
            </w:tcBorders>
            <w:shd w:val="clear" w:color="auto" w:fill="auto"/>
            <w:noWrap/>
            <w:vAlign w:val="center"/>
            <w:hideMark/>
          </w:tcPr>
          <w:p w14:paraId="42FCB3EC" w14:textId="77777777" w:rsidR="00F8589C" w:rsidRPr="00861214" w:rsidRDefault="00F8589C" w:rsidP="00C368FF">
            <w:pPr>
              <w:jc w:val="right"/>
              <w:rPr>
                <w:sz w:val="20"/>
                <w:szCs w:val="20"/>
                <w:lang w:eastAsia="en-GB"/>
              </w:rPr>
            </w:pPr>
            <w:r w:rsidRPr="00861214">
              <w:rPr>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738F2D56"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6CB3CD1" w14:textId="77777777" w:rsidR="00F8589C" w:rsidRPr="00861214" w:rsidRDefault="00F8589C" w:rsidP="00C368FF">
            <w:pPr>
              <w:jc w:val="right"/>
              <w:rPr>
                <w:color w:val="000000"/>
                <w:sz w:val="20"/>
                <w:szCs w:val="20"/>
                <w:lang w:eastAsia="en-GB"/>
              </w:rPr>
            </w:pPr>
            <w:r>
              <w:rPr>
                <w:color w:val="000000"/>
                <w:sz w:val="20"/>
                <w:szCs w:val="20"/>
                <w:lang w:eastAsia="en-GB"/>
              </w:rPr>
              <w:t>28</w:t>
            </w:r>
          </w:p>
        </w:tc>
        <w:tc>
          <w:tcPr>
            <w:tcW w:w="1381" w:type="dxa"/>
            <w:tcBorders>
              <w:top w:val="nil"/>
              <w:left w:val="nil"/>
              <w:bottom w:val="single" w:sz="4" w:space="0" w:color="auto"/>
              <w:right w:val="single" w:sz="4" w:space="0" w:color="auto"/>
            </w:tcBorders>
            <w:shd w:val="clear" w:color="auto" w:fill="auto"/>
            <w:noWrap/>
            <w:vAlign w:val="center"/>
            <w:hideMark/>
          </w:tcPr>
          <w:p w14:paraId="4DE91270" w14:textId="77777777" w:rsidR="00F8589C" w:rsidRPr="00861214" w:rsidRDefault="00F8589C" w:rsidP="00C368FF">
            <w:pPr>
              <w:jc w:val="right"/>
              <w:rPr>
                <w:color w:val="000000"/>
                <w:sz w:val="20"/>
                <w:szCs w:val="20"/>
                <w:lang w:eastAsia="en-GB"/>
              </w:rPr>
            </w:pPr>
            <w:r>
              <w:rPr>
                <w:color w:val="000000"/>
                <w:sz w:val="20"/>
                <w:szCs w:val="20"/>
                <w:lang w:eastAsia="en-GB"/>
              </w:rPr>
              <w:t>123</w:t>
            </w:r>
          </w:p>
        </w:tc>
      </w:tr>
      <w:tr w:rsidR="00F8589C" w:rsidRPr="00861214" w14:paraId="3BB3C141"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0AD8" w14:textId="77777777" w:rsidR="00F8589C" w:rsidRPr="00861214" w:rsidRDefault="00F8589C" w:rsidP="00C368FF">
            <w:pPr>
              <w:rPr>
                <w:sz w:val="20"/>
                <w:szCs w:val="20"/>
                <w:lang w:eastAsia="en-GB"/>
              </w:rPr>
            </w:pPr>
            <w:r w:rsidRPr="00861214">
              <w:rPr>
                <w:sz w:val="20"/>
                <w:szCs w:val="20"/>
                <w:lang w:eastAsia="en-GB"/>
              </w:rPr>
              <w:t>Planning and Capacity building</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9F6BA9D"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61FC93" w14:textId="77777777" w:rsidR="00F8589C" w:rsidRPr="00861214" w:rsidRDefault="00F8589C" w:rsidP="00C368FF">
            <w:pPr>
              <w:jc w:val="right"/>
              <w:rPr>
                <w:sz w:val="20"/>
                <w:szCs w:val="20"/>
                <w:lang w:eastAsia="en-GB"/>
              </w:rPr>
            </w:pPr>
            <w:r w:rsidRPr="00861214">
              <w:rPr>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8C56" w14:textId="77777777" w:rsidR="00F8589C" w:rsidRPr="00861214" w:rsidRDefault="00F8589C" w:rsidP="00C368FF">
            <w:pPr>
              <w:jc w:val="right"/>
              <w:rPr>
                <w:sz w:val="20"/>
                <w:szCs w:val="20"/>
                <w:lang w:eastAsia="en-GB"/>
              </w:rPr>
            </w:pPr>
            <w:r>
              <w:rPr>
                <w:sz w:val="20"/>
                <w:szCs w:val="20"/>
                <w:lang w:eastAsia="en-GB"/>
              </w:rPr>
              <w:t>65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1CB9F86" w14:textId="77777777" w:rsidR="00F8589C" w:rsidRPr="00861214" w:rsidRDefault="00F8589C" w:rsidP="00C368FF">
            <w:pPr>
              <w:jc w:val="right"/>
              <w:rPr>
                <w:color w:val="000000"/>
                <w:sz w:val="20"/>
                <w:szCs w:val="20"/>
                <w:lang w:eastAsia="en-GB"/>
              </w:rPr>
            </w:pPr>
            <w:r>
              <w:rPr>
                <w:color w:val="000000"/>
                <w:sz w:val="20"/>
                <w:szCs w:val="20"/>
                <w:lang w:eastAsia="en-GB"/>
              </w:rPr>
              <w:t>76</w:t>
            </w:r>
          </w:p>
        </w:tc>
      </w:tr>
      <w:tr w:rsidR="00F8589C" w:rsidRPr="00861214" w14:paraId="31065EE0" w14:textId="77777777" w:rsidTr="00C368FF">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7A09B1D4" w14:textId="77777777" w:rsidR="00F8589C" w:rsidRPr="00861214" w:rsidRDefault="00F8589C" w:rsidP="00C368FF">
            <w:pPr>
              <w:rPr>
                <w:sz w:val="20"/>
                <w:szCs w:val="20"/>
                <w:lang w:eastAsia="en-GB"/>
              </w:rPr>
            </w:pPr>
            <w:r>
              <w:rPr>
                <w:sz w:val="20"/>
                <w:szCs w:val="20"/>
                <w:lang w:eastAsia="en-GB"/>
              </w:rPr>
              <w:t>G</w:t>
            </w:r>
            <w:r w:rsidRPr="00861214">
              <w:rPr>
                <w:sz w:val="20"/>
                <w:szCs w:val="20"/>
                <w:lang w:eastAsia="en-GB"/>
              </w:rPr>
              <w:t>. Standing Committee Services</w:t>
            </w:r>
          </w:p>
        </w:tc>
        <w:tc>
          <w:tcPr>
            <w:tcW w:w="1381" w:type="dxa"/>
            <w:tcBorders>
              <w:left w:val="nil"/>
              <w:bottom w:val="single" w:sz="4" w:space="0" w:color="auto"/>
              <w:right w:val="single" w:sz="4" w:space="0" w:color="auto"/>
            </w:tcBorders>
            <w:shd w:val="clear" w:color="000000" w:fill="EAF1DD"/>
            <w:noWrap/>
            <w:vAlign w:val="center"/>
            <w:hideMark/>
          </w:tcPr>
          <w:p w14:paraId="60F7FC56" w14:textId="77777777" w:rsidR="00F8589C" w:rsidRPr="00861214" w:rsidRDefault="00F8589C" w:rsidP="00C368FF">
            <w:pPr>
              <w:jc w:val="right"/>
              <w:rPr>
                <w:b/>
                <w:bCs/>
                <w:sz w:val="20"/>
                <w:szCs w:val="20"/>
                <w:lang w:eastAsia="en-GB"/>
              </w:rPr>
            </w:pPr>
            <w:r w:rsidRPr="00861214">
              <w:rPr>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249865DB" w14:textId="77777777" w:rsidR="00F8589C" w:rsidRPr="00861214" w:rsidRDefault="00F8589C" w:rsidP="00C368FF">
            <w:pPr>
              <w:jc w:val="right"/>
              <w:rPr>
                <w:b/>
                <w:bCs/>
                <w:sz w:val="20"/>
                <w:szCs w:val="20"/>
                <w:lang w:eastAsia="en-GB"/>
              </w:rPr>
            </w:pPr>
            <w:r w:rsidRPr="00861214">
              <w:rPr>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05884AA5" w14:textId="77777777" w:rsidR="00F8589C" w:rsidRPr="00861214" w:rsidRDefault="00F8589C" w:rsidP="00C368FF">
            <w:pPr>
              <w:jc w:val="right"/>
              <w:rPr>
                <w:b/>
                <w:bCs/>
                <w:color w:val="000000"/>
                <w:sz w:val="20"/>
                <w:szCs w:val="20"/>
                <w:lang w:eastAsia="en-GB"/>
              </w:rPr>
            </w:pPr>
            <w:r>
              <w:rPr>
                <w:b/>
                <w:bCs/>
                <w:color w:val="000000"/>
                <w:sz w:val="20"/>
                <w:szCs w:val="20"/>
                <w:lang w:eastAsia="en-GB"/>
              </w:rPr>
              <w:t>41</w:t>
            </w:r>
          </w:p>
        </w:tc>
        <w:tc>
          <w:tcPr>
            <w:tcW w:w="1381" w:type="dxa"/>
            <w:tcBorders>
              <w:left w:val="nil"/>
              <w:bottom w:val="single" w:sz="4" w:space="0" w:color="auto"/>
              <w:right w:val="single" w:sz="4" w:space="0" w:color="auto"/>
            </w:tcBorders>
            <w:shd w:val="clear" w:color="000000" w:fill="EAF1DD"/>
            <w:noWrap/>
            <w:vAlign w:val="center"/>
            <w:hideMark/>
          </w:tcPr>
          <w:p w14:paraId="58A44560" w14:textId="77777777" w:rsidR="00F8589C" w:rsidRPr="00861214" w:rsidRDefault="00F8589C" w:rsidP="00C368FF">
            <w:pPr>
              <w:jc w:val="right"/>
              <w:rPr>
                <w:b/>
                <w:bCs/>
                <w:color w:val="000000"/>
                <w:sz w:val="20"/>
                <w:szCs w:val="20"/>
                <w:lang w:eastAsia="en-GB"/>
              </w:rPr>
            </w:pPr>
            <w:r>
              <w:rPr>
                <w:b/>
                <w:bCs/>
                <w:color w:val="000000"/>
                <w:sz w:val="20"/>
                <w:szCs w:val="20"/>
                <w:lang w:eastAsia="en-GB"/>
              </w:rPr>
              <w:t>191</w:t>
            </w:r>
          </w:p>
        </w:tc>
      </w:tr>
      <w:tr w:rsidR="00F8589C" w:rsidRPr="00861214" w14:paraId="6238327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C727989" w14:textId="77777777" w:rsidR="00F8589C" w:rsidRPr="00861214" w:rsidRDefault="00F8589C" w:rsidP="00C368FF">
            <w:pPr>
              <w:rPr>
                <w:sz w:val="20"/>
                <w:szCs w:val="20"/>
                <w:lang w:eastAsia="en-GB"/>
              </w:rPr>
            </w:pPr>
            <w:r w:rsidRPr="00861214">
              <w:rPr>
                <w:sz w:val="20"/>
                <w:szCs w:val="20"/>
                <w:lang w:eastAsia="en-GB"/>
              </w:rPr>
              <w:t>Standing Committee delegates’ support</w:t>
            </w:r>
          </w:p>
        </w:tc>
        <w:tc>
          <w:tcPr>
            <w:tcW w:w="1381" w:type="dxa"/>
            <w:tcBorders>
              <w:top w:val="nil"/>
              <w:left w:val="nil"/>
              <w:bottom w:val="single" w:sz="4" w:space="0" w:color="auto"/>
              <w:right w:val="single" w:sz="4" w:space="0" w:color="auto"/>
            </w:tcBorders>
            <w:shd w:val="clear" w:color="auto" w:fill="auto"/>
            <w:noWrap/>
            <w:vAlign w:val="center"/>
            <w:hideMark/>
          </w:tcPr>
          <w:p w14:paraId="2EAD6585" w14:textId="77777777" w:rsidR="00F8589C" w:rsidRPr="00861214" w:rsidRDefault="00F8589C" w:rsidP="00C368FF">
            <w:pPr>
              <w:jc w:val="right"/>
              <w:rPr>
                <w:sz w:val="20"/>
                <w:szCs w:val="20"/>
                <w:lang w:eastAsia="en-GB"/>
              </w:rPr>
            </w:pPr>
            <w:r w:rsidRPr="00861214">
              <w:rPr>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4D1C769B"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FF0999"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E2024FF" w14:textId="77777777" w:rsidR="00F8589C" w:rsidRPr="00861214" w:rsidRDefault="00F8589C" w:rsidP="00C368FF">
            <w:pPr>
              <w:jc w:val="right"/>
              <w:rPr>
                <w:color w:val="000000"/>
                <w:sz w:val="20"/>
                <w:szCs w:val="20"/>
                <w:lang w:eastAsia="en-GB"/>
              </w:rPr>
            </w:pPr>
            <w:r w:rsidRPr="00861214">
              <w:rPr>
                <w:color w:val="000000"/>
                <w:sz w:val="20"/>
                <w:szCs w:val="20"/>
                <w:lang w:eastAsia="en-GB"/>
              </w:rPr>
              <w:t>45</w:t>
            </w:r>
          </w:p>
        </w:tc>
      </w:tr>
      <w:tr w:rsidR="00F8589C" w:rsidRPr="00861214" w14:paraId="05489ADC"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0F5B5F6" w14:textId="77777777" w:rsidR="00F8589C" w:rsidRPr="00861214" w:rsidRDefault="00F8589C" w:rsidP="00C368FF">
            <w:pPr>
              <w:rPr>
                <w:sz w:val="20"/>
                <w:szCs w:val="20"/>
                <w:lang w:eastAsia="en-GB"/>
              </w:rPr>
            </w:pPr>
            <w:r w:rsidRPr="00861214">
              <w:rPr>
                <w:sz w:val="20"/>
                <w:szCs w:val="20"/>
                <w:lang w:eastAsia="en-GB"/>
              </w:rPr>
              <w:t>Standing Committee meetings</w:t>
            </w:r>
          </w:p>
        </w:tc>
        <w:tc>
          <w:tcPr>
            <w:tcW w:w="1381" w:type="dxa"/>
            <w:tcBorders>
              <w:top w:val="nil"/>
              <w:left w:val="nil"/>
              <w:bottom w:val="single" w:sz="4" w:space="0" w:color="auto"/>
              <w:right w:val="single" w:sz="4" w:space="0" w:color="auto"/>
            </w:tcBorders>
            <w:shd w:val="clear" w:color="auto" w:fill="auto"/>
            <w:noWrap/>
            <w:vAlign w:val="center"/>
            <w:hideMark/>
          </w:tcPr>
          <w:p w14:paraId="0D525BF6" w14:textId="77777777" w:rsidR="00F8589C" w:rsidRPr="00861214" w:rsidRDefault="00F8589C" w:rsidP="00C368FF">
            <w:pPr>
              <w:jc w:val="right"/>
              <w:rPr>
                <w:sz w:val="20"/>
                <w:szCs w:val="20"/>
                <w:lang w:eastAsia="en-GB"/>
              </w:rPr>
            </w:pPr>
            <w:r w:rsidRPr="00861214">
              <w:rPr>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2B9EABAF"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12D1EB6" w14:textId="77777777" w:rsidR="00F8589C" w:rsidRPr="00861214" w:rsidRDefault="00F8589C" w:rsidP="00C368FF">
            <w:pPr>
              <w:jc w:val="right"/>
              <w:rPr>
                <w:color w:val="000000"/>
                <w:sz w:val="20"/>
                <w:szCs w:val="20"/>
                <w:lang w:eastAsia="en-GB"/>
              </w:rPr>
            </w:pPr>
            <w:r>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AFFE031" w14:textId="77777777" w:rsidR="00F8589C" w:rsidRPr="00861214" w:rsidRDefault="00F8589C" w:rsidP="00C368FF">
            <w:pPr>
              <w:jc w:val="right"/>
              <w:rPr>
                <w:color w:val="000000"/>
                <w:sz w:val="20"/>
                <w:szCs w:val="20"/>
                <w:lang w:eastAsia="en-GB"/>
              </w:rPr>
            </w:pPr>
            <w:r>
              <w:rPr>
                <w:color w:val="000000"/>
                <w:sz w:val="20"/>
                <w:szCs w:val="20"/>
                <w:lang w:eastAsia="en-GB"/>
              </w:rPr>
              <w:t>10</w:t>
            </w:r>
          </w:p>
        </w:tc>
      </w:tr>
      <w:tr w:rsidR="00F8589C" w:rsidRPr="00861214" w14:paraId="6888D0F1"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69ADCE" w14:textId="77777777" w:rsidR="00F8589C" w:rsidRPr="00861214" w:rsidRDefault="00F8589C" w:rsidP="00C368FF">
            <w:pPr>
              <w:rPr>
                <w:sz w:val="20"/>
                <w:szCs w:val="20"/>
                <w:lang w:eastAsia="en-GB"/>
              </w:rPr>
            </w:pPr>
            <w:r w:rsidRPr="00861214">
              <w:rPr>
                <w:sz w:val="20"/>
                <w:szCs w:val="20"/>
                <w:lang w:eastAsia="en-GB"/>
              </w:rPr>
              <w:t>SC translation</w:t>
            </w:r>
          </w:p>
        </w:tc>
        <w:tc>
          <w:tcPr>
            <w:tcW w:w="1381" w:type="dxa"/>
            <w:tcBorders>
              <w:top w:val="nil"/>
              <w:left w:val="nil"/>
              <w:bottom w:val="single" w:sz="4" w:space="0" w:color="auto"/>
              <w:right w:val="single" w:sz="4" w:space="0" w:color="auto"/>
            </w:tcBorders>
            <w:shd w:val="clear" w:color="auto" w:fill="auto"/>
            <w:noWrap/>
            <w:vAlign w:val="center"/>
            <w:hideMark/>
          </w:tcPr>
          <w:p w14:paraId="6A3DA767" w14:textId="77777777" w:rsidR="00F8589C" w:rsidRPr="00861214" w:rsidRDefault="00F8589C" w:rsidP="00C368FF">
            <w:pPr>
              <w:jc w:val="right"/>
              <w:rPr>
                <w:sz w:val="20"/>
                <w:szCs w:val="20"/>
                <w:lang w:eastAsia="en-GB"/>
              </w:rPr>
            </w:pPr>
            <w:r w:rsidRPr="00861214">
              <w:rPr>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5A4C0604"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8F9B00"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3A16C7" w14:textId="77777777" w:rsidR="00F8589C" w:rsidRPr="00861214" w:rsidRDefault="00F8589C" w:rsidP="00C368FF">
            <w:pPr>
              <w:jc w:val="right"/>
              <w:rPr>
                <w:color w:val="000000"/>
                <w:sz w:val="20"/>
                <w:szCs w:val="20"/>
                <w:lang w:eastAsia="en-GB"/>
              </w:rPr>
            </w:pPr>
            <w:r w:rsidRPr="00861214">
              <w:rPr>
                <w:color w:val="000000"/>
                <w:sz w:val="20"/>
                <w:szCs w:val="20"/>
                <w:lang w:eastAsia="en-GB"/>
              </w:rPr>
              <w:t>60</w:t>
            </w:r>
          </w:p>
        </w:tc>
      </w:tr>
      <w:tr w:rsidR="00F8589C" w:rsidRPr="00861214" w14:paraId="3B74587B"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3C4A91B" w14:textId="77777777" w:rsidR="00F8589C" w:rsidRPr="00861214" w:rsidRDefault="00F8589C" w:rsidP="00C368FF">
            <w:pPr>
              <w:rPr>
                <w:sz w:val="20"/>
                <w:szCs w:val="20"/>
                <w:lang w:eastAsia="en-GB"/>
              </w:rPr>
            </w:pPr>
            <w:r w:rsidRPr="00861214">
              <w:rPr>
                <w:sz w:val="20"/>
                <w:szCs w:val="20"/>
                <w:lang w:eastAsia="en-GB"/>
              </w:rPr>
              <w:t>Simultaneous interpretation at SC meetings</w:t>
            </w:r>
          </w:p>
        </w:tc>
        <w:tc>
          <w:tcPr>
            <w:tcW w:w="1381" w:type="dxa"/>
            <w:tcBorders>
              <w:top w:val="nil"/>
              <w:left w:val="nil"/>
              <w:bottom w:val="single" w:sz="4" w:space="0" w:color="auto"/>
              <w:right w:val="single" w:sz="4" w:space="0" w:color="auto"/>
            </w:tcBorders>
            <w:shd w:val="clear" w:color="auto" w:fill="auto"/>
            <w:noWrap/>
            <w:vAlign w:val="center"/>
            <w:hideMark/>
          </w:tcPr>
          <w:p w14:paraId="0A985ECF" w14:textId="77777777" w:rsidR="00F8589C" w:rsidRPr="00861214" w:rsidRDefault="00F8589C" w:rsidP="00C368FF">
            <w:pPr>
              <w:jc w:val="right"/>
              <w:rPr>
                <w:sz w:val="20"/>
                <w:szCs w:val="20"/>
                <w:lang w:eastAsia="en-GB"/>
              </w:rPr>
            </w:pPr>
            <w:r w:rsidRPr="00861214">
              <w:rPr>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79D131"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65AFBCC"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B7AA763" w14:textId="77777777" w:rsidR="00F8589C" w:rsidRPr="00861214" w:rsidRDefault="00F8589C" w:rsidP="00C368FF">
            <w:pPr>
              <w:jc w:val="right"/>
              <w:rPr>
                <w:color w:val="000000"/>
                <w:sz w:val="20"/>
                <w:szCs w:val="20"/>
                <w:lang w:eastAsia="en-GB"/>
              </w:rPr>
            </w:pPr>
            <w:r w:rsidRPr="00861214">
              <w:rPr>
                <w:color w:val="000000"/>
                <w:sz w:val="20"/>
                <w:szCs w:val="20"/>
                <w:lang w:eastAsia="en-GB"/>
              </w:rPr>
              <w:t>35</w:t>
            </w:r>
          </w:p>
        </w:tc>
      </w:tr>
      <w:tr w:rsidR="00F8589C" w:rsidRPr="00861214" w14:paraId="781861B8"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734684" w14:textId="77777777" w:rsidR="00F8589C" w:rsidRPr="00861214" w:rsidRDefault="00F8589C" w:rsidP="00C368FF">
            <w:pPr>
              <w:rPr>
                <w:sz w:val="20"/>
                <w:szCs w:val="20"/>
                <w:lang w:eastAsia="en-GB"/>
              </w:rPr>
            </w:pPr>
            <w:r w:rsidRPr="00861214">
              <w:rPr>
                <w:sz w:val="20"/>
                <w:szCs w:val="20"/>
                <w:lang w:eastAsia="en-GB"/>
              </w:rPr>
              <w:t>Effectiveness Working Group</w:t>
            </w:r>
          </w:p>
        </w:tc>
        <w:tc>
          <w:tcPr>
            <w:tcW w:w="1381" w:type="dxa"/>
            <w:tcBorders>
              <w:top w:val="nil"/>
              <w:left w:val="nil"/>
              <w:bottom w:val="single" w:sz="4" w:space="0" w:color="auto"/>
              <w:right w:val="single" w:sz="4" w:space="0" w:color="auto"/>
            </w:tcBorders>
            <w:shd w:val="clear" w:color="auto" w:fill="auto"/>
            <w:noWrap/>
            <w:vAlign w:val="center"/>
            <w:hideMark/>
          </w:tcPr>
          <w:p w14:paraId="56651C01"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FF03B7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26FE2E" w14:textId="77777777" w:rsidR="00F8589C" w:rsidRPr="00861214" w:rsidRDefault="00F8589C" w:rsidP="00C368FF">
            <w:pPr>
              <w:jc w:val="right"/>
              <w:rPr>
                <w:color w:val="000000"/>
                <w:sz w:val="20"/>
                <w:szCs w:val="20"/>
                <w:lang w:eastAsia="en-GB"/>
              </w:rPr>
            </w:pPr>
            <w:r w:rsidRPr="00861214">
              <w:rPr>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78F2078B" w14:textId="77777777" w:rsidR="00F8589C" w:rsidRPr="00861214" w:rsidRDefault="00F8589C" w:rsidP="00C368FF">
            <w:pPr>
              <w:jc w:val="right"/>
              <w:rPr>
                <w:color w:val="000000"/>
                <w:sz w:val="20"/>
                <w:szCs w:val="20"/>
                <w:lang w:eastAsia="en-GB"/>
              </w:rPr>
            </w:pPr>
            <w:r w:rsidRPr="00861214">
              <w:rPr>
                <w:color w:val="000000"/>
                <w:sz w:val="20"/>
                <w:szCs w:val="20"/>
                <w:lang w:eastAsia="en-GB"/>
              </w:rPr>
              <w:t>4</w:t>
            </w:r>
          </w:p>
        </w:tc>
      </w:tr>
      <w:tr w:rsidR="00F8589C" w:rsidRPr="00861214" w14:paraId="22927215"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A69C45B" w14:textId="77777777" w:rsidR="00F8589C" w:rsidRPr="00861214" w:rsidRDefault="00F8589C" w:rsidP="00C368FF">
            <w:pPr>
              <w:rPr>
                <w:sz w:val="20"/>
                <w:szCs w:val="20"/>
                <w:lang w:eastAsia="en-GB"/>
              </w:rPr>
            </w:pPr>
            <w:r w:rsidRPr="00400EC6">
              <w:rPr>
                <w:sz w:val="20"/>
                <w:szCs w:val="20"/>
                <w:lang w:eastAsia="en-GB"/>
              </w:rPr>
              <w:t>Enhance efficiency and collaboration (Res. XIV.3)</w:t>
            </w:r>
          </w:p>
        </w:tc>
        <w:tc>
          <w:tcPr>
            <w:tcW w:w="1381" w:type="dxa"/>
            <w:tcBorders>
              <w:top w:val="nil"/>
              <w:left w:val="nil"/>
              <w:bottom w:val="single" w:sz="4" w:space="0" w:color="auto"/>
              <w:right w:val="single" w:sz="4" w:space="0" w:color="auto"/>
            </w:tcBorders>
            <w:shd w:val="clear" w:color="auto" w:fill="auto"/>
            <w:noWrap/>
            <w:vAlign w:val="center"/>
          </w:tcPr>
          <w:p w14:paraId="269EC248"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33901B39"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A713618" w14:textId="77777777" w:rsidR="00F8589C" w:rsidRPr="00861214" w:rsidDel="00400EC6" w:rsidRDefault="00F8589C" w:rsidP="00C368FF">
            <w:pPr>
              <w:jc w:val="right"/>
              <w:rPr>
                <w:color w:val="000000"/>
                <w:sz w:val="20"/>
                <w:szCs w:val="20"/>
                <w:lang w:eastAsia="en-GB"/>
              </w:rPr>
            </w:pPr>
            <w:r>
              <w:rPr>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24350F23" w14:textId="77777777" w:rsidR="00F8589C" w:rsidRPr="00861214" w:rsidDel="00400EC6" w:rsidRDefault="00F8589C" w:rsidP="00C368FF">
            <w:pPr>
              <w:jc w:val="right"/>
              <w:rPr>
                <w:color w:val="000000"/>
                <w:sz w:val="20"/>
                <w:szCs w:val="20"/>
                <w:lang w:eastAsia="en-GB"/>
              </w:rPr>
            </w:pPr>
            <w:r>
              <w:rPr>
                <w:color w:val="000000"/>
                <w:sz w:val="20"/>
                <w:szCs w:val="20"/>
                <w:lang w:eastAsia="en-GB"/>
              </w:rPr>
              <w:t>7</w:t>
            </w:r>
          </w:p>
        </w:tc>
      </w:tr>
      <w:tr w:rsidR="00F8589C" w:rsidRPr="00861214" w14:paraId="4EBCD499"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672F443A" w14:textId="77777777" w:rsidR="00F8589C" w:rsidRPr="00861214" w:rsidRDefault="00F8589C" w:rsidP="00C368FF">
            <w:pPr>
              <w:rPr>
                <w:sz w:val="20"/>
                <w:szCs w:val="20"/>
                <w:lang w:eastAsia="en-GB"/>
              </w:rPr>
            </w:pPr>
            <w:r w:rsidRPr="00400EC6">
              <w:rPr>
                <w:sz w:val="20"/>
                <w:szCs w:val="20"/>
                <w:lang w:eastAsia="en-GB"/>
              </w:rPr>
              <w:t>Resolutions review (Res. XIII.4)</w:t>
            </w:r>
          </w:p>
        </w:tc>
        <w:tc>
          <w:tcPr>
            <w:tcW w:w="1381" w:type="dxa"/>
            <w:tcBorders>
              <w:top w:val="nil"/>
              <w:left w:val="nil"/>
              <w:bottom w:val="single" w:sz="4" w:space="0" w:color="auto"/>
              <w:right w:val="single" w:sz="4" w:space="0" w:color="auto"/>
            </w:tcBorders>
            <w:shd w:val="clear" w:color="auto" w:fill="auto"/>
            <w:noWrap/>
            <w:vAlign w:val="center"/>
          </w:tcPr>
          <w:p w14:paraId="1B59528B"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4CC0606F" w14:textId="77777777" w:rsidR="00F8589C" w:rsidRPr="00861214" w:rsidRDefault="00F8589C" w:rsidP="00C368FF">
            <w:pPr>
              <w:jc w:val="right"/>
              <w:rPr>
                <w:sz w:val="20"/>
                <w:szCs w:val="20"/>
                <w:lang w:eastAsia="en-GB"/>
              </w:rPr>
            </w:pPr>
            <w:r>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B40562C" w14:textId="77777777" w:rsidR="00F8589C" w:rsidRPr="00861214" w:rsidDel="00400EC6" w:rsidRDefault="00F8589C" w:rsidP="00C368FF">
            <w:pPr>
              <w:jc w:val="right"/>
              <w:rPr>
                <w:color w:val="000000"/>
                <w:sz w:val="20"/>
                <w:szCs w:val="20"/>
                <w:lang w:eastAsia="en-GB"/>
              </w:rPr>
            </w:pPr>
            <w:r>
              <w:rPr>
                <w:color w:val="000000"/>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3E369347" w14:textId="77777777" w:rsidR="00F8589C" w:rsidRPr="00861214" w:rsidDel="00400EC6" w:rsidRDefault="00F8589C" w:rsidP="00C368FF">
            <w:pPr>
              <w:jc w:val="right"/>
              <w:rPr>
                <w:color w:val="000000"/>
                <w:sz w:val="20"/>
                <w:szCs w:val="20"/>
                <w:lang w:eastAsia="en-GB"/>
              </w:rPr>
            </w:pPr>
            <w:r>
              <w:rPr>
                <w:color w:val="000000"/>
                <w:sz w:val="20"/>
                <w:szCs w:val="20"/>
                <w:lang w:eastAsia="en-GB"/>
              </w:rPr>
              <w:t>30</w:t>
            </w:r>
          </w:p>
        </w:tc>
      </w:tr>
      <w:tr w:rsidR="00F8589C" w:rsidRPr="00861214" w14:paraId="52DA5B03" w14:textId="77777777" w:rsidTr="00C368FF">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3D34C833" w14:textId="77777777" w:rsidR="00F8589C" w:rsidRPr="00861214" w:rsidRDefault="00F8589C" w:rsidP="00C368FF">
            <w:pPr>
              <w:rPr>
                <w:sz w:val="20"/>
                <w:szCs w:val="20"/>
                <w:lang w:eastAsia="en-GB"/>
              </w:rPr>
            </w:pPr>
            <w:r>
              <w:rPr>
                <w:sz w:val="20"/>
                <w:szCs w:val="20"/>
                <w:lang w:eastAsia="en-GB"/>
              </w:rPr>
              <w:t>H</w:t>
            </w:r>
            <w:r w:rsidRPr="00861214">
              <w:rPr>
                <w:sz w:val="20"/>
                <w:szCs w:val="20"/>
                <w:lang w:eastAsia="en-GB"/>
              </w:rPr>
              <w:t>.  IUCN Administrative Service Charges (max.)</w:t>
            </w:r>
          </w:p>
        </w:tc>
        <w:tc>
          <w:tcPr>
            <w:tcW w:w="1381" w:type="dxa"/>
            <w:tcBorders>
              <w:top w:val="nil"/>
              <w:left w:val="nil"/>
              <w:bottom w:val="single" w:sz="4" w:space="0" w:color="auto"/>
              <w:right w:val="single" w:sz="4" w:space="0" w:color="auto"/>
            </w:tcBorders>
            <w:shd w:val="clear" w:color="000000" w:fill="EAF1DD"/>
            <w:noWrap/>
            <w:vAlign w:val="center"/>
            <w:hideMark/>
          </w:tcPr>
          <w:p w14:paraId="2CF12578" w14:textId="77777777" w:rsidR="00F8589C" w:rsidRPr="00861214" w:rsidRDefault="00F8589C" w:rsidP="00C368FF">
            <w:pPr>
              <w:jc w:val="right"/>
              <w:rPr>
                <w:b/>
                <w:bCs/>
                <w:sz w:val="20"/>
                <w:szCs w:val="20"/>
                <w:lang w:eastAsia="en-GB"/>
              </w:rPr>
            </w:pPr>
            <w:r w:rsidRPr="00861214">
              <w:rPr>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3A37375F" w14:textId="77777777" w:rsidR="00F8589C" w:rsidRPr="00861214" w:rsidRDefault="00F8589C" w:rsidP="00C368FF">
            <w:pPr>
              <w:jc w:val="right"/>
              <w:rPr>
                <w:b/>
                <w:bCs/>
                <w:sz w:val="20"/>
                <w:szCs w:val="20"/>
                <w:lang w:eastAsia="en-GB"/>
              </w:rPr>
            </w:pPr>
            <w:r w:rsidRPr="00861214">
              <w:rPr>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3541BFD" w14:textId="77777777" w:rsidR="00F8589C" w:rsidRPr="00861214" w:rsidRDefault="00F8589C" w:rsidP="00C368FF">
            <w:pPr>
              <w:jc w:val="right"/>
              <w:rPr>
                <w:b/>
                <w:bCs/>
                <w:color w:val="000000"/>
                <w:sz w:val="20"/>
                <w:szCs w:val="20"/>
                <w:lang w:eastAsia="en-GB"/>
              </w:rPr>
            </w:pPr>
            <w:r>
              <w:rPr>
                <w:b/>
                <w:bCs/>
                <w:color w:val="000000"/>
                <w:sz w:val="20"/>
                <w:szCs w:val="20"/>
                <w:lang w:eastAsia="en-GB"/>
              </w:rPr>
              <w:t>1</w:t>
            </w:r>
          </w:p>
        </w:tc>
        <w:tc>
          <w:tcPr>
            <w:tcW w:w="1381" w:type="dxa"/>
            <w:tcBorders>
              <w:top w:val="nil"/>
              <w:left w:val="nil"/>
              <w:bottom w:val="single" w:sz="4" w:space="0" w:color="auto"/>
              <w:right w:val="single" w:sz="4" w:space="0" w:color="auto"/>
            </w:tcBorders>
            <w:shd w:val="clear" w:color="000000" w:fill="EAF1DD"/>
            <w:noWrap/>
            <w:vAlign w:val="center"/>
            <w:hideMark/>
          </w:tcPr>
          <w:p w14:paraId="7CC2A900"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54</w:t>
            </w:r>
            <w:r>
              <w:rPr>
                <w:b/>
                <w:bCs/>
                <w:color w:val="000000"/>
                <w:sz w:val="20"/>
                <w:szCs w:val="20"/>
                <w:lang w:eastAsia="en-GB"/>
              </w:rPr>
              <w:t>2</w:t>
            </w:r>
          </w:p>
        </w:tc>
      </w:tr>
      <w:tr w:rsidR="00F8589C" w:rsidRPr="00861214" w14:paraId="1EC5583A"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5F3A" w14:textId="77777777" w:rsidR="00F8589C" w:rsidRPr="00861214" w:rsidRDefault="00F8589C" w:rsidP="00C368FF">
            <w:pPr>
              <w:rPr>
                <w:sz w:val="20"/>
                <w:szCs w:val="20"/>
                <w:lang w:eastAsia="en-GB"/>
              </w:rPr>
            </w:pPr>
            <w:r w:rsidRPr="00861214">
              <w:rPr>
                <w:sz w:val="20"/>
                <w:szCs w:val="20"/>
                <w:lang w:eastAsia="en-GB"/>
              </w:rPr>
              <w:t>Administration, Human Resources, Finance &amp; IT services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06C0572" w14:textId="77777777" w:rsidR="00F8589C" w:rsidRPr="00861214" w:rsidRDefault="00F8589C" w:rsidP="00C368FF">
            <w:pPr>
              <w:jc w:val="right"/>
              <w:rPr>
                <w:sz w:val="20"/>
                <w:szCs w:val="20"/>
                <w:lang w:eastAsia="en-GB"/>
              </w:rPr>
            </w:pPr>
            <w:r w:rsidRPr="00861214">
              <w:rPr>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19A3EF"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C02C" w14:textId="77777777" w:rsidR="00F8589C" w:rsidRPr="00861214" w:rsidRDefault="00F8589C" w:rsidP="00C368FF">
            <w:pPr>
              <w:jc w:val="right"/>
              <w:rPr>
                <w:color w:val="000000"/>
                <w:sz w:val="20"/>
                <w:szCs w:val="20"/>
                <w:lang w:eastAsia="en-GB"/>
              </w:rPr>
            </w:pPr>
            <w:r>
              <w:rPr>
                <w:color w:val="000000"/>
                <w:sz w:val="20"/>
                <w:szCs w:val="20"/>
                <w:lang w:eastAsia="en-GB"/>
              </w:rPr>
              <w:t>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83223E" w14:textId="77777777" w:rsidR="00F8589C" w:rsidRPr="00861214" w:rsidRDefault="00F8589C" w:rsidP="00C368FF">
            <w:pPr>
              <w:jc w:val="right"/>
              <w:rPr>
                <w:color w:val="000000"/>
                <w:sz w:val="20"/>
                <w:szCs w:val="20"/>
                <w:lang w:eastAsia="en-GB"/>
              </w:rPr>
            </w:pPr>
            <w:r w:rsidRPr="00861214">
              <w:rPr>
                <w:color w:val="000000"/>
                <w:sz w:val="20"/>
                <w:szCs w:val="20"/>
                <w:lang w:eastAsia="en-GB"/>
              </w:rPr>
              <w:t>54</w:t>
            </w:r>
            <w:r>
              <w:rPr>
                <w:color w:val="000000"/>
                <w:sz w:val="20"/>
                <w:szCs w:val="20"/>
                <w:lang w:eastAsia="en-GB"/>
              </w:rPr>
              <w:t>2</w:t>
            </w:r>
          </w:p>
        </w:tc>
      </w:tr>
      <w:tr w:rsidR="00F8589C" w:rsidRPr="00861214" w14:paraId="274803E4" w14:textId="77777777" w:rsidTr="00C368FF">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3D6694A" w14:textId="77777777" w:rsidR="00F8589C" w:rsidRPr="00861214" w:rsidRDefault="00F8589C" w:rsidP="00C368FF">
            <w:pPr>
              <w:rPr>
                <w:sz w:val="20"/>
                <w:szCs w:val="20"/>
                <w:lang w:eastAsia="en-GB"/>
              </w:rPr>
            </w:pPr>
            <w:r>
              <w:rPr>
                <w:sz w:val="20"/>
                <w:szCs w:val="20"/>
                <w:lang w:eastAsia="en-GB"/>
              </w:rPr>
              <w:t>I</w:t>
            </w:r>
            <w:r w:rsidRPr="00861214">
              <w:rPr>
                <w:sz w:val="20"/>
                <w:szCs w:val="20"/>
                <w:lang w:eastAsia="en-GB"/>
              </w:rPr>
              <w:t>.  Miscellaneous - Reserve Fund</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391EE0D" w14:textId="77777777" w:rsidR="00F8589C" w:rsidRPr="00861214" w:rsidRDefault="00F8589C" w:rsidP="00C368FF">
            <w:pPr>
              <w:jc w:val="right"/>
              <w:rPr>
                <w:b/>
                <w:bCs/>
                <w:sz w:val="20"/>
                <w:szCs w:val="20"/>
                <w:lang w:eastAsia="en-GB"/>
              </w:rPr>
            </w:pPr>
            <w:r w:rsidRPr="00861214">
              <w:rPr>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066205C" w14:textId="77777777" w:rsidR="00F8589C" w:rsidRPr="00861214" w:rsidRDefault="00F8589C" w:rsidP="00C368FF">
            <w:pPr>
              <w:jc w:val="right"/>
              <w:rPr>
                <w:b/>
                <w:bCs/>
                <w:sz w:val="20"/>
                <w:szCs w:val="20"/>
                <w:lang w:eastAsia="en-GB"/>
              </w:rPr>
            </w:pPr>
            <w:r w:rsidRPr="00861214">
              <w:rPr>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8F42B05" w14:textId="77777777" w:rsidR="00F8589C" w:rsidRPr="00861214" w:rsidRDefault="00F8589C" w:rsidP="00C368FF">
            <w:pPr>
              <w:jc w:val="right"/>
              <w:rPr>
                <w:b/>
                <w:bCs/>
                <w:color w:val="000000"/>
                <w:sz w:val="20"/>
                <w:szCs w:val="20"/>
                <w:lang w:eastAsia="en-GB"/>
              </w:rPr>
            </w:pPr>
            <w:r>
              <w:rPr>
                <w:b/>
                <w:bCs/>
                <w:color w:val="000000"/>
                <w:sz w:val="20"/>
                <w:szCs w:val="20"/>
                <w:lang w:eastAsia="en-GB"/>
              </w:rPr>
              <w:t>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A234CDA" w14:textId="77777777" w:rsidR="00F8589C" w:rsidRPr="00861214" w:rsidRDefault="00F8589C" w:rsidP="00C368FF">
            <w:pPr>
              <w:jc w:val="right"/>
              <w:rPr>
                <w:b/>
                <w:bCs/>
                <w:color w:val="000000"/>
                <w:sz w:val="20"/>
                <w:szCs w:val="20"/>
                <w:lang w:eastAsia="en-GB"/>
              </w:rPr>
            </w:pPr>
            <w:r>
              <w:rPr>
                <w:b/>
                <w:bCs/>
                <w:color w:val="000000"/>
                <w:sz w:val="20"/>
                <w:szCs w:val="20"/>
                <w:lang w:eastAsia="en-GB"/>
              </w:rPr>
              <w:t>234</w:t>
            </w:r>
          </w:p>
        </w:tc>
      </w:tr>
      <w:tr w:rsidR="00F8589C" w:rsidRPr="00861214" w14:paraId="6BDA96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0C9FA41" w14:textId="77777777" w:rsidR="00F8589C" w:rsidRPr="00861214" w:rsidRDefault="00F8589C" w:rsidP="00C368FF">
            <w:pPr>
              <w:rPr>
                <w:sz w:val="20"/>
                <w:szCs w:val="20"/>
                <w:lang w:eastAsia="en-GB"/>
              </w:rPr>
            </w:pPr>
            <w:r w:rsidRPr="00861214">
              <w:rPr>
                <w:sz w:val="20"/>
                <w:szCs w:val="20"/>
                <w:lang w:eastAsia="en-GB"/>
              </w:rPr>
              <w:t>Staff Provisions</w:t>
            </w:r>
          </w:p>
        </w:tc>
        <w:tc>
          <w:tcPr>
            <w:tcW w:w="1381" w:type="dxa"/>
            <w:tcBorders>
              <w:top w:val="nil"/>
              <w:left w:val="nil"/>
              <w:bottom w:val="single" w:sz="4" w:space="0" w:color="auto"/>
              <w:right w:val="single" w:sz="4" w:space="0" w:color="auto"/>
            </w:tcBorders>
            <w:shd w:val="clear" w:color="auto" w:fill="auto"/>
            <w:noWrap/>
            <w:vAlign w:val="center"/>
            <w:hideMark/>
          </w:tcPr>
          <w:p w14:paraId="2F923A79" w14:textId="77777777" w:rsidR="00F8589C" w:rsidRPr="00861214" w:rsidRDefault="00F8589C" w:rsidP="00C368FF">
            <w:pPr>
              <w:jc w:val="right"/>
              <w:rPr>
                <w:sz w:val="20"/>
                <w:szCs w:val="20"/>
                <w:lang w:eastAsia="en-GB"/>
              </w:rPr>
            </w:pPr>
            <w:r w:rsidRPr="00861214">
              <w:rPr>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17DA09E7"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BAA382"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D1F7BBB" w14:textId="77777777" w:rsidR="00F8589C" w:rsidRPr="00861214" w:rsidRDefault="00F8589C" w:rsidP="00C368FF">
            <w:pPr>
              <w:jc w:val="right"/>
              <w:rPr>
                <w:color w:val="000000"/>
                <w:sz w:val="20"/>
                <w:szCs w:val="20"/>
                <w:lang w:eastAsia="en-GB"/>
              </w:rPr>
            </w:pPr>
            <w:r w:rsidRPr="00861214">
              <w:rPr>
                <w:color w:val="000000"/>
                <w:sz w:val="20"/>
                <w:szCs w:val="20"/>
                <w:lang w:eastAsia="en-GB"/>
              </w:rPr>
              <w:t>20</w:t>
            </w:r>
          </w:p>
        </w:tc>
      </w:tr>
      <w:tr w:rsidR="00F8589C" w:rsidRPr="00861214" w14:paraId="66877FEE" w14:textId="77777777" w:rsidTr="00C368FF">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BBAE70F" w14:textId="77777777" w:rsidR="00F8589C" w:rsidRPr="00861214" w:rsidRDefault="00F8589C" w:rsidP="00C368FF">
            <w:pPr>
              <w:rPr>
                <w:sz w:val="20"/>
                <w:szCs w:val="20"/>
                <w:lang w:eastAsia="en-GB"/>
              </w:rPr>
            </w:pPr>
            <w:r w:rsidRPr="00861214">
              <w:rPr>
                <w:sz w:val="20"/>
                <w:szCs w:val="20"/>
                <w:lang w:eastAsia="en-GB"/>
              </w:rPr>
              <w:t>Provision for outstanding contributions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C3EF3CF" w14:textId="77777777" w:rsidR="00F8589C" w:rsidRPr="00861214" w:rsidRDefault="00F8589C" w:rsidP="00C368FF">
            <w:pPr>
              <w:jc w:val="right"/>
              <w:rPr>
                <w:sz w:val="20"/>
                <w:szCs w:val="20"/>
                <w:lang w:eastAsia="en-GB"/>
              </w:rPr>
            </w:pPr>
            <w:r w:rsidRPr="00861214">
              <w:rPr>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661BF901" w14:textId="77777777" w:rsidR="00F8589C" w:rsidRPr="00861214" w:rsidRDefault="00F8589C" w:rsidP="00C368FF">
            <w:pPr>
              <w:jc w:val="right"/>
              <w:rPr>
                <w:sz w:val="20"/>
                <w:szCs w:val="20"/>
                <w:lang w:eastAsia="en-GB"/>
              </w:rPr>
            </w:pPr>
            <w:r w:rsidRPr="00861214">
              <w:rPr>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A2C8D07"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A2B346F" w14:textId="77777777" w:rsidR="00F8589C" w:rsidRPr="00861214" w:rsidRDefault="00F8589C" w:rsidP="00C368FF">
            <w:pPr>
              <w:jc w:val="right"/>
              <w:rPr>
                <w:color w:val="000000"/>
                <w:sz w:val="20"/>
                <w:szCs w:val="20"/>
                <w:lang w:eastAsia="en-GB"/>
              </w:rPr>
            </w:pPr>
            <w:r w:rsidRPr="00861214">
              <w:rPr>
                <w:color w:val="000000"/>
                <w:sz w:val="20"/>
                <w:szCs w:val="20"/>
                <w:lang w:eastAsia="en-GB"/>
              </w:rPr>
              <w:t>150</w:t>
            </w:r>
          </w:p>
        </w:tc>
      </w:tr>
      <w:tr w:rsidR="00F8589C" w:rsidRPr="00861214" w14:paraId="32A31B0A"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43C62B" w14:textId="77777777" w:rsidR="00F8589C" w:rsidRPr="00861214" w:rsidRDefault="00F8589C" w:rsidP="00C368FF">
            <w:pPr>
              <w:rPr>
                <w:sz w:val="20"/>
                <w:szCs w:val="20"/>
                <w:lang w:eastAsia="en-GB"/>
              </w:rPr>
            </w:pPr>
            <w:r w:rsidRPr="00861214">
              <w:rPr>
                <w:sz w:val="20"/>
                <w:szCs w:val="20"/>
                <w:lang w:eastAsia="en-GB"/>
              </w:rPr>
              <w:t>Exchange rate gains / losses</w:t>
            </w:r>
          </w:p>
        </w:tc>
        <w:tc>
          <w:tcPr>
            <w:tcW w:w="1381" w:type="dxa"/>
            <w:tcBorders>
              <w:top w:val="nil"/>
              <w:left w:val="nil"/>
              <w:bottom w:val="single" w:sz="4" w:space="0" w:color="auto"/>
              <w:right w:val="single" w:sz="4" w:space="0" w:color="auto"/>
            </w:tcBorders>
            <w:shd w:val="clear" w:color="auto" w:fill="auto"/>
            <w:noWrap/>
            <w:vAlign w:val="center"/>
            <w:hideMark/>
          </w:tcPr>
          <w:p w14:paraId="7E16515C"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93C2C6F"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4817B76"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6A2F3E" w14:textId="77777777" w:rsidR="00F8589C" w:rsidRPr="00861214" w:rsidRDefault="00F8589C" w:rsidP="00C368FF">
            <w:pPr>
              <w:jc w:val="right"/>
              <w:rPr>
                <w:color w:val="000000"/>
                <w:sz w:val="20"/>
                <w:szCs w:val="20"/>
                <w:lang w:eastAsia="en-GB"/>
              </w:rPr>
            </w:pPr>
            <w:r w:rsidRPr="00861214">
              <w:rPr>
                <w:color w:val="000000"/>
                <w:sz w:val="20"/>
                <w:szCs w:val="20"/>
                <w:lang w:eastAsia="en-GB"/>
              </w:rPr>
              <w:t>0</w:t>
            </w:r>
          </w:p>
        </w:tc>
      </w:tr>
      <w:tr w:rsidR="00F8589C" w:rsidRPr="00861214" w14:paraId="5D6F25D0" w14:textId="77777777" w:rsidTr="00C368FF">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6512D58" w14:textId="77777777" w:rsidR="00F8589C" w:rsidRPr="00861214" w:rsidRDefault="00F8589C" w:rsidP="00C368FF">
            <w:pPr>
              <w:rPr>
                <w:sz w:val="20"/>
                <w:szCs w:val="20"/>
                <w:lang w:eastAsia="en-GB"/>
              </w:rPr>
            </w:pPr>
            <w:r w:rsidRPr="00861214">
              <w:rPr>
                <w:sz w:val="20"/>
                <w:szCs w:val="20"/>
                <w:lang w:eastAsia="en-GB"/>
              </w:rPr>
              <w:t>Legal Services</w:t>
            </w:r>
          </w:p>
        </w:tc>
        <w:tc>
          <w:tcPr>
            <w:tcW w:w="1381" w:type="dxa"/>
            <w:tcBorders>
              <w:top w:val="nil"/>
              <w:left w:val="nil"/>
              <w:bottom w:val="single" w:sz="4" w:space="0" w:color="auto"/>
              <w:right w:val="single" w:sz="4" w:space="0" w:color="auto"/>
            </w:tcBorders>
            <w:shd w:val="clear" w:color="auto" w:fill="auto"/>
            <w:noWrap/>
            <w:vAlign w:val="center"/>
            <w:hideMark/>
          </w:tcPr>
          <w:p w14:paraId="63455339" w14:textId="77777777" w:rsidR="00F8589C" w:rsidRPr="00861214" w:rsidRDefault="00F8589C" w:rsidP="00C368FF">
            <w:pPr>
              <w:jc w:val="right"/>
              <w:rPr>
                <w:sz w:val="20"/>
                <w:szCs w:val="20"/>
                <w:lang w:eastAsia="en-GB"/>
              </w:rPr>
            </w:pPr>
            <w:r w:rsidRPr="00861214">
              <w:rPr>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75968BC5" w14:textId="77777777" w:rsidR="00F8589C" w:rsidRPr="00861214" w:rsidRDefault="00F8589C" w:rsidP="00C368FF">
            <w:pPr>
              <w:jc w:val="right"/>
              <w:rPr>
                <w:sz w:val="20"/>
                <w:szCs w:val="20"/>
                <w:lang w:eastAsia="en-GB"/>
              </w:rPr>
            </w:pPr>
            <w:r w:rsidRPr="00861214">
              <w:rPr>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B7CEB25" w14:textId="77777777" w:rsidR="00F8589C" w:rsidRPr="00861214" w:rsidRDefault="00F8589C" w:rsidP="00C368FF">
            <w:pPr>
              <w:jc w:val="right"/>
              <w:rPr>
                <w:color w:val="000000"/>
                <w:sz w:val="20"/>
                <w:szCs w:val="20"/>
                <w:lang w:eastAsia="en-GB"/>
              </w:rPr>
            </w:pPr>
            <w:r>
              <w:rPr>
                <w:color w:val="000000"/>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7255B78A" w14:textId="77777777" w:rsidR="00F8589C" w:rsidRPr="00861214" w:rsidRDefault="00F8589C" w:rsidP="00C368FF">
            <w:pPr>
              <w:jc w:val="right"/>
              <w:rPr>
                <w:color w:val="000000"/>
                <w:sz w:val="20"/>
                <w:szCs w:val="20"/>
                <w:lang w:eastAsia="en-GB"/>
              </w:rPr>
            </w:pPr>
            <w:r>
              <w:rPr>
                <w:color w:val="000000"/>
                <w:sz w:val="20"/>
                <w:szCs w:val="20"/>
                <w:lang w:eastAsia="en-GB"/>
              </w:rPr>
              <w:t>64</w:t>
            </w:r>
          </w:p>
        </w:tc>
      </w:tr>
      <w:tr w:rsidR="00F8589C" w:rsidRPr="00861214" w14:paraId="0622B5DA" w14:textId="77777777" w:rsidTr="00C368FF">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C0A7FFF" w14:textId="77777777" w:rsidR="00F8589C" w:rsidRPr="00861214" w:rsidRDefault="00F8589C" w:rsidP="00C368FF">
            <w:pPr>
              <w:rPr>
                <w:b/>
                <w:bCs/>
                <w:color w:val="000000"/>
                <w:sz w:val="20"/>
                <w:szCs w:val="20"/>
                <w:lang w:eastAsia="en-GB"/>
              </w:rPr>
            </w:pPr>
            <w:r w:rsidRPr="00861214">
              <w:rPr>
                <w:b/>
                <w:bCs/>
                <w:color w:val="000000"/>
                <w:sz w:val="20"/>
                <w:szCs w:val="20"/>
                <w:lang w:eastAsia="en-GB"/>
              </w:rPr>
              <w:t>TOTAL EXPENDITURE</w:t>
            </w:r>
          </w:p>
        </w:tc>
        <w:tc>
          <w:tcPr>
            <w:tcW w:w="1381" w:type="dxa"/>
            <w:tcBorders>
              <w:top w:val="nil"/>
              <w:left w:val="nil"/>
              <w:bottom w:val="single" w:sz="4" w:space="0" w:color="auto"/>
              <w:right w:val="single" w:sz="4" w:space="0" w:color="auto"/>
            </w:tcBorders>
            <w:shd w:val="clear" w:color="000000" w:fill="D6E3BC"/>
            <w:noWrap/>
            <w:vAlign w:val="center"/>
            <w:hideMark/>
          </w:tcPr>
          <w:p w14:paraId="09DD0E8A"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D6E3BC"/>
            <w:noWrap/>
            <w:vAlign w:val="center"/>
            <w:hideMark/>
          </w:tcPr>
          <w:p w14:paraId="008380C1" w14:textId="77777777" w:rsidR="00F8589C" w:rsidRPr="00861214" w:rsidRDefault="00F8589C" w:rsidP="00C368FF">
            <w:pPr>
              <w:jc w:val="right"/>
              <w:rPr>
                <w:b/>
                <w:bCs/>
                <w:color w:val="000000"/>
                <w:sz w:val="20"/>
                <w:szCs w:val="20"/>
                <w:lang w:eastAsia="en-GB"/>
              </w:rPr>
            </w:pPr>
            <w:r w:rsidRPr="00861214">
              <w:rPr>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4FEF1D91" w14:textId="77777777" w:rsidR="00F8589C" w:rsidRPr="00861214" w:rsidRDefault="00F8589C" w:rsidP="00C368FF">
            <w:pPr>
              <w:jc w:val="right"/>
              <w:rPr>
                <w:b/>
                <w:bCs/>
                <w:color w:val="000000"/>
                <w:sz w:val="20"/>
                <w:szCs w:val="20"/>
                <w:lang w:eastAsia="en-GB"/>
              </w:rPr>
            </w:pPr>
            <w:r>
              <w:rPr>
                <w:b/>
                <w:bCs/>
                <w:color w:val="000000"/>
                <w:sz w:val="20"/>
                <w:szCs w:val="20"/>
                <w:lang w:eastAsia="en-GB"/>
              </w:rPr>
              <w:t>1,232</w:t>
            </w:r>
          </w:p>
        </w:tc>
        <w:tc>
          <w:tcPr>
            <w:tcW w:w="1381" w:type="dxa"/>
            <w:tcBorders>
              <w:top w:val="nil"/>
              <w:left w:val="nil"/>
              <w:bottom w:val="single" w:sz="4" w:space="0" w:color="auto"/>
              <w:right w:val="single" w:sz="4" w:space="0" w:color="auto"/>
            </w:tcBorders>
            <w:shd w:val="clear" w:color="000000" w:fill="D6E3BC"/>
            <w:noWrap/>
            <w:vAlign w:val="center"/>
            <w:hideMark/>
          </w:tcPr>
          <w:p w14:paraId="234E1906" w14:textId="77777777" w:rsidR="00F8589C" w:rsidRPr="00861214" w:rsidRDefault="00F8589C" w:rsidP="00C368FF">
            <w:pPr>
              <w:jc w:val="right"/>
              <w:rPr>
                <w:b/>
                <w:bCs/>
                <w:color w:val="000000"/>
                <w:sz w:val="20"/>
                <w:szCs w:val="20"/>
                <w:lang w:eastAsia="en-GB"/>
              </w:rPr>
            </w:pPr>
            <w:r>
              <w:rPr>
                <w:b/>
                <w:bCs/>
                <w:color w:val="000000"/>
                <w:sz w:val="20"/>
                <w:szCs w:val="20"/>
                <w:lang w:eastAsia="en-GB"/>
              </w:rPr>
              <w:t>6,509</w:t>
            </w:r>
          </w:p>
        </w:tc>
      </w:tr>
    </w:tbl>
    <w:p w14:paraId="7CA72849" w14:textId="77777777" w:rsidR="00F8589C" w:rsidRPr="003956B3" w:rsidRDefault="00F8589C" w:rsidP="00F8589C">
      <w:pPr>
        <w:rPr>
          <w:sz w:val="20"/>
          <w:szCs w:val="20"/>
        </w:rPr>
      </w:pPr>
    </w:p>
    <w:p w14:paraId="6E4E6601" w14:textId="77777777" w:rsidR="00CF1C9C" w:rsidRDefault="00CF1C9C">
      <w:pPr>
        <w:widowControl/>
        <w:autoSpaceDE/>
        <w:autoSpaceDN/>
        <w:spacing w:after="160" w:line="259" w:lineRule="auto"/>
        <w:rPr>
          <w:iCs/>
          <w:color w:val="000000" w:themeColor="text1"/>
        </w:rPr>
      </w:pPr>
    </w:p>
    <w:p w14:paraId="1C8A6D3A" w14:textId="77777777" w:rsidR="00CF1C9C" w:rsidRPr="00481CDD" w:rsidRDefault="00CF1C9C" w:rsidP="00481CDD">
      <w:pPr>
        <w:widowControl/>
        <w:autoSpaceDE/>
        <w:autoSpaceDN/>
        <w:rPr>
          <w:iCs/>
          <w:color w:val="000000" w:themeColor="text1"/>
        </w:rPr>
      </w:pPr>
    </w:p>
    <w:sectPr w:rsidR="00CF1C9C" w:rsidRPr="00481CDD" w:rsidSect="002D2F4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ECC7" w14:textId="77777777" w:rsidR="00C368FF" w:rsidRDefault="00C368FF" w:rsidP="00A50555">
      <w:r>
        <w:separator/>
      </w:r>
    </w:p>
  </w:endnote>
  <w:endnote w:type="continuationSeparator" w:id="0">
    <w:p w14:paraId="60314670" w14:textId="77777777" w:rsidR="00C368FF" w:rsidRDefault="00C368FF"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A6A2" w14:textId="6B948C92" w:rsidR="00C368FF" w:rsidRPr="00591472" w:rsidRDefault="00C368FF" w:rsidP="00591472">
    <w:pPr>
      <w:tabs>
        <w:tab w:val="left" w:pos="8789"/>
      </w:tabs>
      <w:rPr>
        <w:rFonts w:cstheme="minorHAnsi"/>
        <w:sz w:val="18"/>
        <w:szCs w:val="18"/>
      </w:rPr>
    </w:pPr>
    <w:r w:rsidRPr="00591472">
      <w:rPr>
        <w:rFonts w:cstheme="minorHAnsi"/>
        <w:sz w:val="18"/>
        <w:szCs w:val="18"/>
      </w:rPr>
      <w:t>SC</w:t>
    </w:r>
    <w:r>
      <w:rPr>
        <w:rFonts w:cstheme="minorHAnsi"/>
        <w:sz w:val="18"/>
        <w:szCs w:val="18"/>
      </w:rPr>
      <w:t>63</w:t>
    </w:r>
    <w:r w:rsidRPr="00591472">
      <w:rPr>
        <w:rFonts w:cstheme="minorHAnsi"/>
        <w:sz w:val="18"/>
        <w:szCs w:val="18"/>
      </w:rPr>
      <w:t xml:space="preserve"> Com.</w:t>
    </w:r>
    <w:r>
      <w:rPr>
        <w:rFonts w:cstheme="minorHAnsi"/>
        <w:sz w:val="18"/>
        <w:szCs w:val="18"/>
      </w:rPr>
      <w:t>1</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Pr>
        <w:rFonts w:cstheme="minorHAnsi"/>
        <w:noProof/>
        <w:sz w:val="18"/>
        <w:szCs w:val="18"/>
      </w:rPr>
      <w:t>5</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69D7" w14:textId="77777777" w:rsidR="00C368FF" w:rsidRDefault="00C368FF" w:rsidP="00A50555">
      <w:r>
        <w:separator/>
      </w:r>
    </w:p>
  </w:footnote>
  <w:footnote w:type="continuationSeparator" w:id="0">
    <w:p w14:paraId="234DFC03" w14:textId="77777777" w:rsidR="00C368FF" w:rsidRDefault="00C368FF" w:rsidP="00A50555">
      <w:r>
        <w:continuationSeparator/>
      </w:r>
    </w:p>
  </w:footnote>
  <w:footnote w:id="1">
    <w:p w14:paraId="7AECEECF" w14:textId="00DD665B" w:rsidR="009317C3" w:rsidRPr="009317C3" w:rsidRDefault="009317C3">
      <w:pPr>
        <w:pStyle w:val="FootnoteText"/>
        <w:rPr>
          <w:lang w:val="en-GB"/>
        </w:rPr>
      </w:pPr>
      <w:r>
        <w:rPr>
          <w:rStyle w:val="FootnoteReference"/>
        </w:rPr>
        <w:footnoteRef/>
      </w:r>
      <w:r>
        <w:t xml:space="preserve"> </w:t>
      </w:r>
      <w:r w:rsidR="004D5206">
        <w:t>T</w:t>
      </w:r>
      <w:r>
        <w:t xml:space="preserve">he </w:t>
      </w:r>
      <w:r w:rsidR="004D5206">
        <w:t>amended c</w:t>
      </w:r>
      <w:r>
        <w:t xml:space="preserve">ore </w:t>
      </w:r>
      <w:r w:rsidR="004D5206">
        <w:t>budget which would result from the approval of this allocation is shown at Annex 1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BD1CC3"/>
    <w:multiLevelType w:val="hybridMultilevel"/>
    <w:tmpl w:val="5620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02D7"/>
    <w:multiLevelType w:val="hybridMultilevel"/>
    <w:tmpl w:val="55DE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8"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2"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6"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24"/>
  </w:num>
  <w:num w:numId="4">
    <w:abstractNumId w:val="26"/>
  </w:num>
  <w:num w:numId="5">
    <w:abstractNumId w:val="25"/>
  </w:num>
  <w:num w:numId="6">
    <w:abstractNumId w:val="17"/>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0"/>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14"/>
  </w:num>
  <w:num w:numId="21">
    <w:abstractNumId w:val="2"/>
  </w:num>
  <w:num w:numId="22">
    <w:abstractNumId w:val="19"/>
  </w:num>
  <w:num w:numId="23">
    <w:abstractNumId w:val="29"/>
  </w:num>
  <w:num w:numId="24">
    <w:abstractNumId w:val="45"/>
  </w:num>
  <w:num w:numId="25">
    <w:abstractNumId w:val="43"/>
  </w:num>
  <w:num w:numId="26">
    <w:abstractNumId w:val="35"/>
  </w:num>
  <w:num w:numId="27">
    <w:abstractNumId w:val="37"/>
  </w:num>
  <w:num w:numId="28">
    <w:abstractNumId w:val="21"/>
  </w:num>
  <w:num w:numId="29">
    <w:abstractNumId w:val="32"/>
  </w:num>
  <w:num w:numId="30">
    <w:abstractNumId w:val="27"/>
  </w:num>
  <w:num w:numId="31">
    <w:abstractNumId w:val="41"/>
  </w:num>
  <w:num w:numId="32">
    <w:abstractNumId w:val="10"/>
  </w:num>
  <w:num w:numId="33">
    <w:abstractNumId w:val="0"/>
  </w:num>
  <w:num w:numId="34">
    <w:abstractNumId w:val="13"/>
  </w:num>
  <w:num w:numId="35">
    <w:abstractNumId w:val="3"/>
  </w:num>
  <w:num w:numId="36">
    <w:abstractNumId w:val="16"/>
  </w:num>
  <w:num w:numId="37">
    <w:abstractNumId w:val="38"/>
  </w:num>
  <w:num w:numId="38">
    <w:abstractNumId w:val="2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20"/>
  </w:num>
  <w:num w:numId="43">
    <w:abstractNumId w:val="6"/>
  </w:num>
  <w:num w:numId="44">
    <w:abstractNumId w:val="44"/>
  </w:num>
  <w:num w:numId="45">
    <w:abstractNumId w:val="42"/>
  </w:num>
  <w:num w:numId="46">
    <w:abstractNumId w:val="46"/>
  </w:num>
  <w:num w:numId="47">
    <w:abstractNumId w:val="33"/>
  </w:num>
  <w:num w:numId="48">
    <w:abstractNumId w:val="34"/>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A5"/>
    <w:rsid w:val="00010305"/>
    <w:rsid w:val="000159B6"/>
    <w:rsid w:val="00021CD9"/>
    <w:rsid w:val="00022CF7"/>
    <w:rsid w:val="0002451C"/>
    <w:rsid w:val="00030B65"/>
    <w:rsid w:val="000400BF"/>
    <w:rsid w:val="000418F6"/>
    <w:rsid w:val="00061146"/>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F0E85"/>
    <w:rsid w:val="000F46B6"/>
    <w:rsid w:val="000F4BA3"/>
    <w:rsid w:val="000F77DA"/>
    <w:rsid w:val="00101312"/>
    <w:rsid w:val="001019BA"/>
    <w:rsid w:val="00101AD3"/>
    <w:rsid w:val="001037CE"/>
    <w:rsid w:val="0010769A"/>
    <w:rsid w:val="001118B5"/>
    <w:rsid w:val="0011723D"/>
    <w:rsid w:val="00126EFB"/>
    <w:rsid w:val="00143B34"/>
    <w:rsid w:val="00152F66"/>
    <w:rsid w:val="001652D1"/>
    <w:rsid w:val="0018412E"/>
    <w:rsid w:val="00187E32"/>
    <w:rsid w:val="001959BA"/>
    <w:rsid w:val="00196236"/>
    <w:rsid w:val="001A0A0B"/>
    <w:rsid w:val="001A3D68"/>
    <w:rsid w:val="001A6241"/>
    <w:rsid w:val="001A64EB"/>
    <w:rsid w:val="001B5313"/>
    <w:rsid w:val="001B7BC0"/>
    <w:rsid w:val="001C794F"/>
    <w:rsid w:val="001D2121"/>
    <w:rsid w:val="001D2175"/>
    <w:rsid w:val="001D6A6C"/>
    <w:rsid w:val="001D7A8A"/>
    <w:rsid w:val="001D7D26"/>
    <w:rsid w:val="001E583C"/>
    <w:rsid w:val="001F0201"/>
    <w:rsid w:val="001F1060"/>
    <w:rsid w:val="001F11ED"/>
    <w:rsid w:val="00204595"/>
    <w:rsid w:val="002050D5"/>
    <w:rsid w:val="00210409"/>
    <w:rsid w:val="00213D29"/>
    <w:rsid w:val="002261FB"/>
    <w:rsid w:val="002275AA"/>
    <w:rsid w:val="00230B95"/>
    <w:rsid w:val="00241CF4"/>
    <w:rsid w:val="0025113C"/>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C7AAB"/>
    <w:rsid w:val="002D2F4B"/>
    <w:rsid w:val="002E00B9"/>
    <w:rsid w:val="002E1AA7"/>
    <w:rsid w:val="002E1C17"/>
    <w:rsid w:val="002E2BC5"/>
    <w:rsid w:val="002E6E44"/>
    <w:rsid w:val="002F01C2"/>
    <w:rsid w:val="00302AF5"/>
    <w:rsid w:val="0031045A"/>
    <w:rsid w:val="003120C7"/>
    <w:rsid w:val="00312617"/>
    <w:rsid w:val="00312AAB"/>
    <w:rsid w:val="00332676"/>
    <w:rsid w:val="003367DB"/>
    <w:rsid w:val="00347815"/>
    <w:rsid w:val="0035107E"/>
    <w:rsid w:val="003563E9"/>
    <w:rsid w:val="00356EEC"/>
    <w:rsid w:val="003621B6"/>
    <w:rsid w:val="003625AF"/>
    <w:rsid w:val="003636C0"/>
    <w:rsid w:val="00370162"/>
    <w:rsid w:val="003765E9"/>
    <w:rsid w:val="00381076"/>
    <w:rsid w:val="00383621"/>
    <w:rsid w:val="003836D6"/>
    <w:rsid w:val="003857D7"/>
    <w:rsid w:val="003A3C66"/>
    <w:rsid w:val="003A57E5"/>
    <w:rsid w:val="003B1DC5"/>
    <w:rsid w:val="003C0BB1"/>
    <w:rsid w:val="003C0CBD"/>
    <w:rsid w:val="003C1EA7"/>
    <w:rsid w:val="003C3176"/>
    <w:rsid w:val="003C5B18"/>
    <w:rsid w:val="003C7862"/>
    <w:rsid w:val="003D0E8A"/>
    <w:rsid w:val="003E07B1"/>
    <w:rsid w:val="003E1E49"/>
    <w:rsid w:val="003F3625"/>
    <w:rsid w:val="003F688F"/>
    <w:rsid w:val="00400161"/>
    <w:rsid w:val="0040088B"/>
    <w:rsid w:val="00401F37"/>
    <w:rsid w:val="00404720"/>
    <w:rsid w:val="0040735E"/>
    <w:rsid w:val="00413A35"/>
    <w:rsid w:val="00426C7C"/>
    <w:rsid w:val="0042785D"/>
    <w:rsid w:val="00443D01"/>
    <w:rsid w:val="00444C8C"/>
    <w:rsid w:val="00445EA0"/>
    <w:rsid w:val="00450D67"/>
    <w:rsid w:val="004573E8"/>
    <w:rsid w:val="004575A6"/>
    <w:rsid w:val="004576D6"/>
    <w:rsid w:val="00464A2A"/>
    <w:rsid w:val="004675F5"/>
    <w:rsid w:val="00473610"/>
    <w:rsid w:val="00477F88"/>
    <w:rsid w:val="00480521"/>
    <w:rsid w:val="00481CDD"/>
    <w:rsid w:val="004824ED"/>
    <w:rsid w:val="0049087F"/>
    <w:rsid w:val="00497B52"/>
    <w:rsid w:val="004A0C1C"/>
    <w:rsid w:val="004A35A2"/>
    <w:rsid w:val="004B0235"/>
    <w:rsid w:val="004C2818"/>
    <w:rsid w:val="004C2A35"/>
    <w:rsid w:val="004D3668"/>
    <w:rsid w:val="004D5206"/>
    <w:rsid w:val="004D5C37"/>
    <w:rsid w:val="004E5AFB"/>
    <w:rsid w:val="004E6BCE"/>
    <w:rsid w:val="00503237"/>
    <w:rsid w:val="00503383"/>
    <w:rsid w:val="00511803"/>
    <w:rsid w:val="0051214A"/>
    <w:rsid w:val="00513537"/>
    <w:rsid w:val="0051680D"/>
    <w:rsid w:val="0052223D"/>
    <w:rsid w:val="00522262"/>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2BCA"/>
    <w:rsid w:val="005B2C0F"/>
    <w:rsid w:val="005B4FB3"/>
    <w:rsid w:val="005B5816"/>
    <w:rsid w:val="005D6745"/>
    <w:rsid w:val="005E2AB1"/>
    <w:rsid w:val="005E3216"/>
    <w:rsid w:val="005E3F07"/>
    <w:rsid w:val="005E5094"/>
    <w:rsid w:val="005F00DF"/>
    <w:rsid w:val="005F25FF"/>
    <w:rsid w:val="005F38A9"/>
    <w:rsid w:val="005F39F0"/>
    <w:rsid w:val="0061300A"/>
    <w:rsid w:val="0061413D"/>
    <w:rsid w:val="00620874"/>
    <w:rsid w:val="0062629D"/>
    <w:rsid w:val="006302C1"/>
    <w:rsid w:val="00632CDE"/>
    <w:rsid w:val="00637101"/>
    <w:rsid w:val="00637803"/>
    <w:rsid w:val="00641B45"/>
    <w:rsid w:val="00642406"/>
    <w:rsid w:val="006460CC"/>
    <w:rsid w:val="00656511"/>
    <w:rsid w:val="00662D91"/>
    <w:rsid w:val="0066441B"/>
    <w:rsid w:val="0066724B"/>
    <w:rsid w:val="00687B72"/>
    <w:rsid w:val="006935FD"/>
    <w:rsid w:val="00693B20"/>
    <w:rsid w:val="006A43CF"/>
    <w:rsid w:val="006B0B25"/>
    <w:rsid w:val="006B7A8C"/>
    <w:rsid w:val="006C211A"/>
    <w:rsid w:val="006C516B"/>
    <w:rsid w:val="006D71F2"/>
    <w:rsid w:val="006E54A5"/>
    <w:rsid w:val="006F0A7A"/>
    <w:rsid w:val="006F2D4D"/>
    <w:rsid w:val="006F417C"/>
    <w:rsid w:val="006F4234"/>
    <w:rsid w:val="006F7F31"/>
    <w:rsid w:val="007019C8"/>
    <w:rsid w:val="00711D36"/>
    <w:rsid w:val="00715C47"/>
    <w:rsid w:val="007163B4"/>
    <w:rsid w:val="007221BA"/>
    <w:rsid w:val="00742432"/>
    <w:rsid w:val="007438C3"/>
    <w:rsid w:val="00743F0F"/>
    <w:rsid w:val="00755019"/>
    <w:rsid w:val="00757FA5"/>
    <w:rsid w:val="00763805"/>
    <w:rsid w:val="00763865"/>
    <w:rsid w:val="00763D3E"/>
    <w:rsid w:val="0077382A"/>
    <w:rsid w:val="00777E80"/>
    <w:rsid w:val="00782AC6"/>
    <w:rsid w:val="00785920"/>
    <w:rsid w:val="0078596A"/>
    <w:rsid w:val="00791E82"/>
    <w:rsid w:val="00792BD0"/>
    <w:rsid w:val="007A4062"/>
    <w:rsid w:val="007A443A"/>
    <w:rsid w:val="007B46A8"/>
    <w:rsid w:val="007B5D75"/>
    <w:rsid w:val="007B6E89"/>
    <w:rsid w:val="007C05B5"/>
    <w:rsid w:val="007C1B17"/>
    <w:rsid w:val="007C7587"/>
    <w:rsid w:val="007C7C77"/>
    <w:rsid w:val="007E32B3"/>
    <w:rsid w:val="007F588F"/>
    <w:rsid w:val="007F5E82"/>
    <w:rsid w:val="007F65D6"/>
    <w:rsid w:val="00807EFD"/>
    <w:rsid w:val="00821625"/>
    <w:rsid w:val="008224CD"/>
    <w:rsid w:val="00823CED"/>
    <w:rsid w:val="00826D90"/>
    <w:rsid w:val="00840681"/>
    <w:rsid w:val="008519D6"/>
    <w:rsid w:val="00857A89"/>
    <w:rsid w:val="00871B5A"/>
    <w:rsid w:val="008758DC"/>
    <w:rsid w:val="008949B3"/>
    <w:rsid w:val="00895B66"/>
    <w:rsid w:val="008A1322"/>
    <w:rsid w:val="008A6071"/>
    <w:rsid w:val="008A630E"/>
    <w:rsid w:val="008B6868"/>
    <w:rsid w:val="008B6D4C"/>
    <w:rsid w:val="008E1AA5"/>
    <w:rsid w:val="008E3818"/>
    <w:rsid w:val="008F0C0C"/>
    <w:rsid w:val="008F3ABA"/>
    <w:rsid w:val="008F6EDE"/>
    <w:rsid w:val="008F72A6"/>
    <w:rsid w:val="00912996"/>
    <w:rsid w:val="00913612"/>
    <w:rsid w:val="009261DF"/>
    <w:rsid w:val="009317C3"/>
    <w:rsid w:val="0094344E"/>
    <w:rsid w:val="00946BCC"/>
    <w:rsid w:val="00951EDA"/>
    <w:rsid w:val="00952558"/>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17B4"/>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16B54"/>
    <w:rsid w:val="00A20573"/>
    <w:rsid w:val="00A24BE1"/>
    <w:rsid w:val="00A25CC9"/>
    <w:rsid w:val="00A2640A"/>
    <w:rsid w:val="00A40003"/>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D486C"/>
    <w:rsid w:val="00AE2CB9"/>
    <w:rsid w:val="00AF4B37"/>
    <w:rsid w:val="00AF5120"/>
    <w:rsid w:val="00B00120"/>
    <w:rsid w:val="00B0237C"/>
    <w:rsid w:val="00B07F57"/>
    <w:rsid w:val="00B1398E"/>
    <w:rsid w:val="00B15073"/>
    <w:rsid w:val="00B1795F"/>
    <w:rsid w:val="00B17B8E"/>
    <w:rsid w:val="00B22546"/>
    <w:rsid w:val="00B24305"/>
    <w:rsid w:val="00B24FC7"/>
    <w:rsid w:val="00B258C9"/>
    <w:rsid w:val="00B307DB"/>
    <w:rsid w:val="00B44B75"/>
    <w:rsid w:val="00B45EE7"/>
    <w:rsid w:val="00B4675C"/>
    <w:rsid w:val="00B47F4D"/>
    <w:rsid w:val="00B501A6"/>
    <w:rsid w:val="00B509BF"/>
    <w:rsid w:val="00B515C1"/>
    <w:rsid w:val="00B60E9F"/>
    <w:rsid w:val="00B633CD"/>
    <w:rsid w:val="00B87283"/>
    <w:rsid w:val="00B87646"/>
    <w:rsid w:val="00B93A4E"/>
    <w:rsid w:val="00B94F63"/>
    <w:rsid w:val="00BA15AD"/>
    <w:rsid w:val="00BA28A6"/>
    <w:rsid w:val="00BA4C84"/>
    <w:rsid w:val="00BA54B9"/>
    <w:rsid w:val="00BB454C"/>
    <w:rsid w:val="00BB5461"/>
    <w:rsid w:val="00BC0A3B"/>
    <w:rsid w:val="00BC35EB"/>
    <w:rsid w:val="00BD015F"/>
    <w:rsid w:val="00BD2065"/>
    <w:rsid w:val="00BD255E"/>
    <w:rsid w:val="00BD381C"/>
    <w:rsid w:val="00BD3891"/>
    <w:rsid w:val="00BD4C34"/>
    <w:rsid w:val="00BD6489"/>
    <w:rsid w:val="00BE0434"/>
    <w:rsid w:val="00BE07FA"/>
    <w:rsid w:val="00BE7DB2"/>
    <w:rsid w:val="00C07ED3"/>
    <w:rsid w:val="00C113FB"/>
    <w:rsid w:val="00C17AED"/>
    <w:rsid w:val="00C21939"/>
    <w:rsid w:val="00C25A05"/>
    <w:rsid w:val="00C368FF"/>
    <w:rsid w:val="00C369B5"/>
    <w:rsid w:val="00C4108F"/>
    <w:rsid w:val="00C46204"/>
    <w:rsid w:val="00C60C75"/>
    <w:rsid w:val="00C6406A"/>
    <w:rsid w:val="00C65DAC"/>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C7060"/>
    <w:rsid w:val="00CD1507"/>
    <w:rsid w:val="00CD2407"/>
    <w:rsid w:val="00CD6CDA"/>
    <w:rsid w:val="00CE0166"/>
    <w:rsid w:val="00CE1C6A"/>
    <w:rsid w:val="00CE26BB"/>
    <w:rsid w:val="00CE4E7D"/>
    <w:rsid w:val="00CE5A38"/>
    <w:rsid w:val="00CF1C9C"/>
    <w:rsid w:val="00CF5D5E"/>
    <w:rsid w:val="00D12344"/>
    <w:rsid w:val="00D21AB0"/>
    <w:rsid w:val="00D22755"/>
    <w:rsid w:val="00D23279"/>
    <w:rsid w:val="00D32871"/>
    <w:rsid w:val="00D41DE9"/>
    <w:rsid w:val="00D434D9"/>
    <w:rsid w:val="00D472A8"/>
    <w:rsid w:val="00D528C2"/>
    <w:rsid w:val="00D55468"/>
    <w:rsid w:val="00D5694F"/>
    <w:rsid w:val="00D65981"/>
    <w:rsid w:val="00D740A9"/>
    <w:rsid w:val="00D816CB"/>
    <w:rsid w:val="00D86184"/>
    <w:rsid w:val="00D869E7"/>
    <w:rsid w:val="00DA7041"/>
    <w:rsid w:val="00DA7A62"/>
    <w:rsid w:val="00DB0BED"/>
    <w:rsid w:val="00DB2974"/>
    <w:rsid w:val="00DB76E9"/>
    <w:rsid w:val="00DC0469"/>
    <w:rsid w:val="00DC109C"/>
    <w:rsid w:val="00DC23F7"/>
    <w:rsid w:val="00DD5F2D"/>
    <w:rsid w:val="00E047CD"/>
    <w:rsid w:val="00E04963"/>
    <w:rsid w:val="00E10F8A"/>
    <w:rsid w:val="00E113B3"/>
    <w:rsid w:val="00E1293D"/>
    <w:rsid w:val="00E15918"/>
    <w:rsid w:val="00E207B9"/>
    <w:rsid w:val="00E25D01"/>
    <w:rsid w:val="00E34FA3"/>
    <w:rsid w:val="00E35FAB"/>
    <w:rsid w:val="00E36717"/>
    <w:rsid w:val="00E41F24"/>
    <w:rsid w:val="00E523A5"/>
    <w:rsid w:val="00E52E82"/>
    <w:rsid w:val="00E54426"/>
    <w:rsid w:val="00E56E08"/>
    <w:rsid w:val="00E61FC3"/>
    <w:rsid w:val="00E64E4A"/>
    <w:rsid w:val="00E659A0"/>
    <w:rsid w:val="00E73D83"/>
    <w:rsid w:val="00E75400"/>
    <w:rsid w:val="00E8197F"/>
    <w:rsid w:val="00E842B7"/>
    <w:rsid w:val="00E9401C"/>
    <w:rsid w:val="00E96FBF"/>
    <w:rsid w:val="00E97A2C"/>
    <w:rsid w:val="00EB2579"/>
    <w:rsid w:val="00EB3C86"/>
    <w:rsid w:val="00EB4C55"/>
    <w:rsid w:val="00EC10F2"/>
    <w:rsid w:val="00EC1418"/>
    <w:rsid w:val="00EC34F8"/>
    <w:rsid w:val="00EC44E1"/>
    <w:rsid w:val="00EC5FE9"/>
    <w:rsid w:val="00ED15B4"/>
    <w:rsid w:val="00ED45B0"/>
    <w:rsid w:val="00ED4BF2"/>
    <w:rsid w:val="00F02BAA"/>
    <w:rsid w:val="00F0631E"/>
    <w:rsid w:val="00F068B4"/>
    <w:rsid w:val="00F10FCB"/>
    <w:rsid w:val="00F237D4"/>
    <w:rsid w:val="00F303B7"/>
    <w:rsid w:val="00F30DD3"/>
    <w:rsid w:val="00F323F5"/>
    <w:rsid w:val="00F34442"/>
    <w:rsid w:val="00F430ED"/>
    <w:rsid w:val="00F517A5"/>
    <w:rsid w:val="00F578A3"/>
    <w:rsid w:val="00F60AB1"/>
    <w:rsid w:val="00F63469"/>
    <w:rsid w:val="00F71148"/>
    <w:rsid w:val="00F837E1"/>
    <w:rsid w:val="00F8589C"/>
    <w:rsid w:val="00F91FE6"/>
    <w:rsid w:val="00F9659F"/>
    <w:rsid w:val="00F97F95"/>
    <w:rsid w:val="00FA0892"/>
    <w:rsid w:val="00FB512A"/>
    <w:rsid w:val="00FB515D"/>
    <w:rsid w:val="00FB66BD"/>
    <w:rsid w:val="00FC09A8"/>
    <w:rsid w:val="00FC5734"/>
    <w:rsid w:val="00FC5C2F"/>
    <w:rsid w:val="00FD6050"/>
    <w:rsid w:val="00FE408D"/>
    <w:rsid w:val="00FF19B1"/>
    <w:rsid w:val="00FF1E0D"/>
    <w:rsid w:val="00FF5DA6"/>
    <w:rsid w:val="00FF65F3"/>
    <w:rsid w:val="00FF6E83"/>
    <w:rsid w:val="00FF743C"/>
    <w:rsid w:val="0E5926D6"/>
    <w:rsid w:val="1AF8FACB"/>
    <w:rsid w:val="2AD0968B"/>
    <w:rsid w:val="2FE9E55F"/>
    <w:rsid w:val="5626EE5F"/>
    <w:rsid w:val="74004893"/>
    <w:rsid w:val="76A44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MediaLengthInSeconds xmlns="d24fb95f-6ff7-438e-90e5-b3c6a964c754" xsi:nil="true"/>
    <SharedWithUsers xmlns="61a88c6c-36b2-4c56-84b6-ac9c857504e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39E6-AACE-44B3-8AC1-70F9BED8C537}">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61a88c6c-36b2-4c56-84b6-ac9c857504e3"/>
    <ds:schemaRef ds:uri="d24fb95f-6ff7-438e-90e5-b3c6a964c754"/>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E843C4F1-A920-45C5-B93C-14A86213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8D8AB-ABFB-4F72-986B-E98836E4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2023-09-04T11:01:00Z</cp:lastPrinted>
  <dcterms:created xsi:type="dcterms:W3CDTF">2024-06-05T07:23:00Z</dcterms:created>
  <dcterms:modified xsi:type="dcterms:W3CDTF">2024-06-11T11:57:00Z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0x01010030FF49B3E384EC40813D15C758984B67</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