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C94" w:rsidRPr="00CF7824" w:rsidRDefault="0016473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CF7824">
        <w:rPr>
          <w:rFonts w:cs="Calibri"/>
          <w:bCs/>
          <w:lang w:val="fr-FR"/>
        </w:rPr>
        <w:t>CONVENTION SUR LES ZONES HUMIDES</w:t>
      </w:r>
    </w:p>
    <w:p w:rsidR="00AA3C94" w:rsidRPr="00CF7824" w:rsidRDefault="0016473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CF7824">
        <w:rPr>
          <w:rFonts w:cs="Calibri"/>
          <w:bCs/>
          <w:lang w:val="fr-FR"/>
        </w:rPr>
        <w:t>63</w:t>
      </w:r>
      <w:r w:rsidRPr="00CF7824">
        <w:rPr>
          <w:rFonts w:cs="Calibri"/>
          <w:bCs/>
          <w:vertAlign w:val="superscript"/>
          <w:lang w:val="fr-FR"/>
        </w:rPr>
        <w:t>e </w:t>
      </w:r>
      <w:r w:rsidRPr="00CF7824">
        <w:rPr>
          <w:rFonts w:cs="Calibri"/>
          <w:bCs/>
          <w:lang w:val="fr-FR"/>
        </w:rPr>
        <w:t>Réunion du Comité permanent</w:t>
      </w:r>
    </w:p>
    <w:p w:rsidR="00AA3C94" w:rsidRPr="00CF7824" w:rsidRDefault="0016473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8"/>
          <w:szCs w:val="28"/>
          <w:lang w:val="fr-FR"/>
        </w:rPr>
      </w:pPr>
      <w:r w:rsidRPr="00CF7824">
        <w:rPr>
          <w:rFonts w:cs="Calibri"/>
          <w:bCs/>
          <w:lang w:val="fr-FR"/>
        </w:rPr>
        <w:t>Gland, Suisse, 3 au 7</w:t>
      </w:r>
      <w:r w:rsidR="001F19B5" w:rsidRPr="00CF7824">
        <w:rPr>
          <w:rFonts w:cs="Calibri"/>
          <w:bCs/>
          <w:lang w:val="fr-FR"/>
        </w:rPr>
        <w:t> </w:t>
      </w:r>
      <w:r w:rsidRPr="00CF7824">
        <w:rPr>
          <w:rFonts w:cs="Calibri"/>
          <w:bCs/>
          <w:lang w:val="fr-FR"/>
        </w:rPr>
        <w:t>juin</w:t>
      </w:r>
      <w:r w:rsidR="001F19B5" w:rsidRPr="00CF7824">
        <w:rPr>
          <w:rFonts w:cs="Calibri"/>
          <w:bCs/>
          <w:lang w:val="fr-FR"/>
        </w:rPr>
        <w:t> </w:t>
      </w:r>
      <w:r w:rsidRPr="00CF7824">
        <w:rPr>
          <w:rFonts w:cs="Calibri"/>
          <w:bCs/>
          <w:lang w:val="fr-FR"/>
        </w:rPr>
        <w:t>2024</w:t>
      </w:r>
    </w:p>
    <w:p w:rsidR="00AA3C94" w:rsidRPr="00CF7824" w:rsidRDefault="00AA3C94" w:rsidP="00AA3C94">
      <w:pPr>
        <w:tabs>
          <w:tab w:val="left" w:pos="10650"/>
          <w:tab w:val="right" w:pos="13958"/>
        </w:tabs>
        <w:jc w:val="right"/>
        <w:rPr>
          <w:rFonts w:asciiTheme="minorHAnsi" w:hAnsiTheme="minorHAnsi" w:cstheme="minorHAnsi"/>
          <w:b/>
          <w:sz w:val="28"/>
          <w:szCs w:val="28"/>
          <w:lang w:val="fr-FR"/>
        </w:rPr>
      </w:pPr>
    </w:p>
    <w:p w:rsidR="000944EB" w:rsidRPr="00CF7824" w:rsidRDefault="00164734" w:rsidP="00AA3C94">
      <w:pPr>
        <w:tabs>
          <w:tab w:val="left" w:pos="10650"/>
          <w:tab w:val="right" w:pos="13958"/>
        </w:tabs>
        <w:jc w:val="right"/>
        <w:rPr>
          <w:rFonts w:asciiTheme="minorHAnsi" w:hAnsiTheme="minorHAnsi" w:cstheme="minorHAnsi"/>
          <w:sz w:val="28"/>
          <w:szCs w:val="28"/>
          <w:lang w:val="fr-FR"/>
        </w:rPr>
      </w:pPr>
      <w:r w:rsidRPr="00CF7824">
        <w:rPr>
          <w:rFonts w:cs="Calibri"/>
          <w:b/>
          <w:bCs/>
          <w:sz w:val="28"/>
          <w:szCs w:val="28"/>
          <w:lang w:val="fr-FR"/>
        </w:rPr>
        <w:t>SC63 Doc.20</w:t>
      </w:r>
    </w:p>
    <w:p w:rsidR="000944EB" w:rsidRPr="00CF7824" w:rsidRDefault="000944EB" w:rsidP="000944EB">
      <w:pPr>
        <w:rPr>
          <w:rFonts w:asciiTheme="minorHAnsi" w:hAnsiTheme="minorHAnsi" w:cstheme="minorHAnsi"/>
          <w:b/>
          <w:sz w:val="28"/>
          <w:szCs w:val="28"/>
          <w:lang w:val="fr-FR"/>
        </w:rPr>
      </w:pPr>
    </w:p>
    <w:p w:rsidR="00DF2386" w:rsidRPr="00CF7824" w:rsidRDefault="00164734" w:rsidP="00DA168E">
      <w:pPr>
        <w:ind w:left="0" w:firstLine="0"/>
        <w:jc w:val="center"/>
        <w:rPr>
          <w:rFonts w:asciiTheme="minorHAnsi" w:hAnsiTheme="minorHAnsi" w:cstheme="minorHAnsi"/>
          <w:b/>
          <w:sz w:val="28"/>
          <w:szCs w:val="28"/>
          <w:lang w:val="fr-FR"/>
        </w:rPr>
      </w:pPr>
      <w:r w:rsidRPr="00CF7824">
        <w:rPr>
          <w:rFonts w:cs="Calibri"/>
          <w:b/>
          <w:bCs/>
          <w:sz w:val="28"/>
          <w:szCs w:val="28"/>
          <w:lang w:val="fr-FR"/>
        </w:rPr>
        <w:t xml:space="preserve">Proposition technique du GEST sur la dotation en ressources </w:t>
      </w:r>
      <w:r w:rsidRPr="00CF7824">
        <w:rPr>
          <w:rFonts w:cs="Calibri"/>
          <w:b/>
          <w:bCs/>
          <w:sz w:val="28"/>
          <w:szCs w:val="28"/>
          <w:lang w:val="fr-FR"/>
        </w:rPr>
        <w:br/>
        <w:t>et la réalisation des estimations des populations d</w:t>
      </w:r>
      <w:r w:rsidR="00016E39" w:rsidRPr="00CF7824">
        <w:rPr>
          <w:rFonts w:cs="Calibri"/>
          <w:b/>
          <w:bCs/>
          <w:sz w:val="28"/>
          <w:szCs w:val="28"/>
          <w:lang w:val="fr-FR"/>
        </w:rPr>
        <w:t>’</w:t>
      </w:r>
      <w:r w:rsidRPr="00CF7824">
        <w:rPr>
          <w:rFonts w:cs="Calibri"/>
          <w:b/>
          <w:bCs/>
          <w:sz w:val="28"/>
          <w:szCs w:val="28"/>
          <w:lang w:val="fr-FR"/>
        </w:rPr>
        <w:t>oiseaux d</w:t>
      </w:r>
      <w:r w:rsidR="00016E39" w:rsidRPr="00CF7824">
        <w:rPr>
          <w:rFonts w:cs="Calibri"/>
          <w:b/>
          <w:bCs/>
          <w:sz w:val="28"/>
          <w:szCs w:val="28"/>
          <w:lang w:val="fr-FR"/>
        </w:rPr>
        <w:t>’</w:t>
      </w:r>
      <w:r w:rsidRPr="00CF7824">
        <w:rPr>
          <w:rFonts w:cs="Calibri"/>
          <w:b/>
          <w:bCs/>
          <w:sz w:val="28"/>
          <w:szCs w:val="28"/>
          <w:lang w:val="fr-FR"/>
        </w:rPr>
        <w:t>eau</w:t>
      </w:r>
    </w:p>
    <w:p w:rsidR="00F0689C" w:rsidRPr="00CF7824" w:rsidRDefault="00F0689C" w:rsidP="00F0689C">
      <w:pPr>
        <w:rPr>
          <w:rFonts w:asciiTheme="minorHAnsi" w:hAnsiTheme="minorHAnsi" w:cstheme="minorHAnsi"/>
          <w:lang w:val="fr-FR"/>
        </w:rPr>
      </w:pPr>
    </w:p>
    <w:p w:rsidR="00563A99" w:rsidRPr="00CF7824" w:rsidRDefault="00563A99" w:rsidP="00F0689C">
      <w:pPr>
        <w:rPr>
          <w:rFonts w:asciiTheme="minorHAnsi" w:hAnsiTheme="minorHAnsi" w:cstheme="minorHAnsi"/>
          <w:lang w:val="fr-FR"/>
        </w:rPr>
      </w:pPr>
    </w:p>
    <w:p w:rsidR="00F0689C" w:rsidRPr="00CF7824" w:rsidRDefault="00164734" w:rsidP="00F0689C">
      <w:pPr>
        <w:autoSpaceDE w:val="0"/>
        <w:autoSpaceDN w:val="0"/>
        <w:adjustRightInd w:val="0"/>
        <w:rPr>
          <w:rFonts w:asciiTheme="minorHAnsi" w:eastAsiaTheme="minorHAnsi" w:hAnsiTheme="minorHAnsi" w:cstheme="minorHAnsi"/>
          <w:b/>
          <w:bCs/>
        </w:rPr>
      </w:pPr>
      <w:r w:rsidRPr="00CF7824">
        <w:rPr>
          <w:rFonts w:asciiTheme="minorHAnsi" w:hAnsiTheme="minorHAnsi" w:cstheme="minorHAnsi"/>
          <w:noProof/>
          <w:lang w:val="fr-FR" w:eastAsia="fr-FR"/>
        </w:rPr>
        <mc:AlternateContent>
          <mc:Choice Requires="wps">
            <w:drawing>
              <wp:inline distT="0" distB="0" distL="0" distR="0" wp14:anchorId="7C4CF4F5" wp14:editId="2F5E5417">
                <wp:extent cx="5731510" cy="3502324"/>
                <wp:effectExtent l="0" t="0" r="21590" b="22225"/>
                <wp:docPr id="2085011532" name="Text Box 208501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02324"/>
                        </a:xfrm>
                        <a:prstGeom prst="rect">
                          <a:avLst/>
                        </a:prstGeom>
                        <a:solidFill>
                          <a:srgbClr val="FFFFFF"/>
                        </a:solidFill>
                        <a:ln w="9525">
                          <a:solidFill>
                            <a:srgbClr val="000000"/>
                          </a:solidFill>
                          <a:miter lim="800000"/>
                          <a:headEnd/>
                          <a:tailEnd/>
                        </a:ln>
                      </wps:spPr>
                      <wps:txbx>
                        <w:txbxContent>
                          <w:p w:rsidR="00DA168E" w:rsidRPr="00164734" w:rsidRDefault="00DA168E" w:rsidP="00F0689C">
                            <w:pPr>
                              <w:rPr>
                                <w:b/>
                                <w:bCs/>
                                <w:lang w:val="fr-FR"/>
                              </w:rPr>
                            </w:pPr>
                            <w:r>
                              <w:rPr>
                                <w:b/>
                                <w:bCs/>
                                <w:lang w:val="fr-FR"/>
                              </w:rPr>
                              <w:t>Mesures requises :</w:t>
                            </w:r>
                          </w:p>
                          <w:p w:rsidR="00DA168E" w:rsidRPr="00164734" w:rsidRDefault="00DA168E" w:rsidP="00F0689C">
                            <w:pPr>
                              <w:pStyle w:val="ColorfulList-Accent11"/>
                              <w:ind w:left="0"/>
                              <w:rPr>
                                <w:lang w:val="fr-FR"/>
                              </w:rPr>
                            </w:pPr>
                          </w:p>
                          <w:p w:rsidR="00DA168E" w:rsidRPr="00164734" w:rsidRDefault="00DA168E" w:rsidP="00F0689C">
                            <w:pPr>
                              <w:pStyle w:val="ColorfulList-Accent11"/>
                              <w:ind w:left="0" w:firstLine="0"/>
                              <w:rPr>
                                <w:rFonts w:cs="Calibri"/>
                                <w:lang w:val="fr-FR"/>
                              </w:rPr>
                            </w:pPr>
                            <w:r>
                              <w:rPr>
                                <w:lang w:val="fr-FR"/>
                              </w:rPr>
                              <w:t xml:space="preserve">Le Comité permanent est </w:t>
                            </w:r>
                            <w:r>
                              <w:rPr>
                                <w:rFonts w:cs="Calibri"/>
                                <w:lang w:val="fr-FR"/>
                              </w:rPr>
                              <w:t>invité à :</w:t>
                            </w:r>
                          </w:p>
                          <w:p w:rsidR="00DA168E" w:rsidRPr="00164734" w:rsidRDefault="00DA168E" w:rsidP="00F0689C">
                            <w:pPr>
                              <w:pStyle w:val="ColorfulList-Accent11"/>
                              <w:ind w:left="0" w:firstLine="0"/>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w:t>
                            </w:r>
                            <w:r>
                              <w:rPr>
                                <w:rFonts w:cs="Calibri"/>
                                <w:lang w:val="fr-FR"/>
                              </w:rPr>
                              <w:tab/>
                              <w:t xml:space="preserve">prendre note de la proposition technique du Groupe d’évaluation scientifique et technique (GEST) sur la dotation en ressources et la mise en œuvre des estimations des populations d’oiseaux d’eau (WPE – </w:t>
                            </w:r>
                            <w:r w:rsidRPr="00247EC0">
                              <w:rPr>
                                <w:rFonts w:cs="Calibri"/>
                                <w:i/>
                                <w:lang w:val="fr-FR"/>
                              </w:rPr>
                              <w:t>Waterbird Population Estimates</w:t>
                            </w:r>
                            <w:r>
                              <w:rPr>
                                <w:rFonts w:cs="Calibri"/>
                                <w:lang w:val="fr-FR"/>
                              </w:rPr>
                              <w:t>);</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ii.</w:t>
                            </w:r>
                            <w:r>
                              <w:rPr>
                                <w:rFonts w:cs="Calibri"/>
                                <w:lang w:val="fr-FR"/>
                              </w:rPr>
                              <w:tab/>
                              <w:t>envisager des options pour mobiliser des ressources au sein de la Convention, et éventuellement en collaboration avec des partenaires, pour la réalisation d’une édition 2027 des WPE, afin de répondre aux besoins urgents et à court terme de mise à jour des estimations des populations d’oiseaux d’eau;</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iii.</w:t>
                            </w:r>
                            <w:r>
                              <w:rPr>
                                <w:rFonts w:cs="Calibri"/>
                                <w:lang w:val="fr-FR"/>
                              </w:rPr>
                              <w:tab/>
                              <w:t>examiner la proposition de développement d’une approche de partenariat international (« Partenariat pour l’estimation des oiseaux d’eau »), en tant que mécanisme pour guider les futures mises à jour périodiques et entièrement financées des WPE (à partir de 2027), au profit de la Convention sur les zones humides et de tous les autres utilisateurs des WPE; et</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 xml:space="preserve">iv. </w:t>
                            </w:r>
                            <w:r>
                              <w:rPr>
                                <w:rFonts w:cs="Calibri"/>
                                <w:lang w:val="fr-FR"/>
                              </w:rPr>
                              <w:tab/>
                              <w:t>examiner et approuver les six recommandations présentées dans la proposition technique.</w:t>
                            </w:r>
                          </w:p>
                          <w:p w:rsidR="00DA168E" w:rsidRPr="00164734" w:rsidRDefault="00DA168E" w:rsidP="00F0689C">
                            <w:pPr>
                              <w:pStyle w:val="ColorfulList-Accent11"/>
                              <w:ind w:left="0"/>
                              <w:rPr>
                                <w:rFonts w:cs="Calibri"/>
                                <w:lang w:val="fr-FR"/>
                              </w:rPr>
                            </w:pPr>
                          </w:p>
                        </w:txbxContent>
                      </wps:txbx>
                      <wps:bodyPr rot="0" vert="horz" wrap="square" lIns="91440" tIns="45720" rIns="91440" bIns="45720" anchor="t" anchorCtr="0" upright="1"/>
                    </wps:wsp>
                  </a:graphicData>
                </a:graphic>
              </wp:inline>
            </w:drawing>
          </mc:Choice>
          <mc:Fallback>
            <w:pict>
              <v:shapetype w14:anchorId="7C4CF4F5" id="_x0000_t202" coordsize="21600,21600" o:spt="202" path="m,l,21600r21600,l21600,xe">
                <v:stroke joinstyle="miter"/>
                <v:path gradientshapeok="t" o:connecttype="rect"/>
              </v:shapetype>
              <v:shape id="Text Box 2085011532" o:spid="_x0000_s1026" type="#_x0000_t202" style="width:451.3pt;height:2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">
                <v:textbox>
                  <w:txbxContent>
                    <w:p w:rsidR="00DA168E" w:rsidRPr="00164734" w:rsidRDefault="00DA168E" w:rsidP="00F0689C">
                      <w:pPr>
                        <w:rPr>
                          <w:b/>
                          <w:bCs/>
                          <w:lang w:val="fr-FR"/>
                        </w:rPr>
                      </w:pPr>
                      <w:r>
                        <w:rPr>
                          <w:b/>
                          <w:bCs/>
                          <w:lang w:val="fr-FR"/>
                        </w:rPr>
                        <w:t>Mesures requises :</w:t>
                      </w:r>
                    </w:p>
                    <w:p w:rsidR="00DA168E" w:rsidRPr="00164734" w:rsidRDefault="00DA168E" w:rsidP="00F0689C">
                      <w:pPr>
                        <w:pStyle w:val="ColorfulList-Accent11"/>
                        <w:ind w:left="0"/>
                        <w:rPr>
                          <w:lang w:val="fr-FR"/>
                        </w:rPr>
                      </w:pPr>
                    </w:p>
                    <w:p w:rsidR="00DA168E" w:rsidRPr="00164734" w:rsidRDefault="00DA168E" w:rsidP="00F0689C">
                      <w:pPr>
                        <w:pStyle w:val="ColorfulList-Accent11"/>
                        <w:ind w:left="0" w:firstLine="0"/>
                        <w:rPr>
                          <w:rFonts w:cs="Calibri"/>
                          <w:lang w:val="fr-FR"/>
                        </w:rPr>
                      </w:pPr>
                      <w:r>
                        <w:rPr>
                          <w:lang w:val="fr-FR"/>
                        </w:rPr>
                        <w:t xml:space="preserve">Le Comité permanent est </w:t>
                      </w:r>
                      <w:r>
                        <w:rPr>
                          <w:rFonts w:cs="Calibri"/>
                          <w:lang w:val="fr-FR"/>
                        </w:rPr>
                        <w:t>invité à :</w:t>
                      </w:r>
                    </w:p>
                    <w:p w:rsidR="00DA168E" w:rsidRPr="00164734" w:rsidRDefault="00DA168E" w:rsidP="00F0689C">
                      <w:pPr>
                        <w:pStyle w:val="ColorfulList-Accent11"/>
                        <w:ind w:left="0" w:firstLine="0"/>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w:t>
                      </w:r>
                      <w:r>
                        <w:rPr>
                          <w:rFonts w:cs="Calibri"/>
                          <w:lang w:val="fr-FR"/>
                        </w:rPr>
                        <w:tab/>
                        <w:t xml:space="preserve">prendre note de la proposition technique du Groupe d’évaluation scientifique et technique (GEST) sur la dotation en ressources et la mise en œuvre des estimations des populations d’oiseaux d’eau (WPE – </w:t>
                      </w:r>
                      <w:r w:rsidRPr="00247EC0">
                        <w:rPr>
                          <w:rFonts w:cs="Calibri"/>
                          <w:i/>
                          <w:lang w:val="fr-FR"/>
                        </w:rPr>
                        <w:t>Waterbird Population Estimates</w:t>
                      </w:r>
                      <w:r>
                        <w:rPr>
                          <w:rFonts w:cs="Calibri"/>
                          <w:lang w:val="fr-FR"/>
                        </w:rPr>
                        <w:t>);</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ii.</w:t>
                      </w:r>
                      <w:r>
                        <w:rPr>
                          <w:rFonts w:cs="Calibri"/>
                          <w:lang w:val="fr-FR"/>
                        </w:rPr>
                        <w:tab/>
                        <w:t>envisager des options pour mobiliser des ressources au sein de la Convention, et éventuellement en collaboration avec des partenaires, pour la réalisation d’une édition 2027 des WPE, afin de répondre aux besoins urgents et à court terme de mise à jour des estimations des populations d’oiseaux d’eau;</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iii.</w:t>
                      </w:r>
                      <w:r>
                        <w:rPr>
                          <w:rFonts w:cs="Calibri"/>
                          <w:lang w:val="fr-FR"/>
                        </w:rPr>
                        <w:tab/>
                        <w:t>examiner la proposition de développement d’une approche de partenariat international (« Partenariat pour l’estimation des oiseaux d’eau »), en tant que mécanisme pour guider les futures mises à jour périodiques et entièrement financées des WPE (à partir de 2027), au profit de la Convention sur les zones humides et de tous les autres utilisateurs des WPE; et</w:t>
                      </w:r>
                    </w:p>
                    <w:p w:rsidR="00DA168E" w:rsidRPr="00164734" w:rsidRDefault="00DA168E" w:rsidP="00307120">
                      <w:pPr>
                        <w:pStyle w:val="ColorfulList-Accent11"/>
                        <w:ind w:left="426" w:hanging="426"/>
                        <w:rPr>
                          <w:rFonts w:cs="Calibri"/>
                          <w:lang w:val="fr-FR"/>
                        </w:rPr>
                      </w:pPr>
                    </w:p>
                    <w:p w:rsidR="00DA168E" w:rsidRPr="00164734" w:rsidRDefault="00DA168E" w:rsidP="00307120">
                      <w:pPr>
                        <w:pStyle w:val="ColorfulList-Accent11"/>
                        <w:ind w:left="426" w:hanging="426"/>
                        <w:rPr>
                          <w:rFonts w:cs="Calibri"/>
                          <w:lang w:val="fr-FR"/>
                        </w:rPr>
                      </w:pPr>
                      <w:r>
                        <w:rPr>
                          <w:rFonts w:cs="Calibri"/>
                          <w:lang w:val="fr-FR"/>
                        </w:rPr>
                        <w:t xml:space="preserve">iv. </w:t>
                      </w:r>
                      <w:r>
                        <w:rPr>
                          <w:rFonts w:cs="Calibri"/>
                          <w:lang w:val="fr-FR"/>
                        </w:rPr>
                        <w:tab/>
                        <w:t>examiner et approuver les six recommandations présentées dans la proposition technique.</w:t>
                      </w:r>
                    </w:p>
                    <w:p w:rsidR="00DA168E" w:rsidRPr="00164734" w:rsidRDefault="00DA168E" w:rsidP="00F0689C">
                      <w:pPr>
                        <w:pStyle w:val="ColorfulList-Accent11"/>
                        <w:ind w:left="0"/>
                        <w:rPr>
                          <w:rFonts w:cs="Calibri"/>
                          <w:lang w:val="fr-FR"/>
                        </w:rPr>
                      </w:pPr>
                    </w:p>
                  </w:txbxContent>
                </v:textbox>
                <w10:anchorlock/>
              </v:shape>
            </w:pict>
          </mc:Fallback>
        </mc:AlternateContent>
      </w:r>
    </w:p>
    <w:p w:rsidR="00563A99" w:rsidRPr="00CF7824" w:rsidRDefault="00563A99" w:rsidP="00563A99">
      <w:pPr>
        <w:rPr>
          <w:rFonts w:asciiTheme="minorHAnsi" w:hAnsiTheme="minorHAnsi" w:cstheme="minorHAnsi"/>
          <w:b/>
          <w:bCs/>
        </w:rPr>
      </w:pPr>
      <w:bookmarkStart w:id="0" w:name="_Toc159848043"/>
    </w:p>
    <w:p w:rsidR="00A309FA" w:rsidRPr="00CF7824" w:rsidRDefault="00A309FA" w:rsidP="00A5243C">
      <w:pPr>
        <w:keepNext/>
        <w:rPr>
          <w:rFonts w:asciiTheme="minorHAnsi" w:hAnsiTheme="minorHAnsi" w:cstheme="minorHAnsi"/>
          <w:b/>
        </w:rPr>
      </w:pPr>
    </w:p>
    <w:p w:rsidR="004C49B6" w:rsidRPr="00CF7824" w:rsidRDefault="00164734" w:rsidP="00A5243C">
      <w:pPr>
        <w:keepNext/>
        <w:rPr>
          <w:rFonts w:asciiTheme="minorHAnsi" w:hAnsiTheme="minorHAnsi" w:cstheme="minorHAnsi"/>
          <w:b/>
          <w:lang w:val="fr-FR"/>
        </w:rPr>
      </w:pPr>
      <w:r w:rsidRPr="00CF7824">
        <w:rPr>
          <w:rFonts w:cs="Calibri"/>
          <w:b/>
          <w:bCs/>
          <w:lang w:val="fr-FR"/>
        </w:rPr>
        <w:t xml:space="preserve">Résumé </w:t>
      </w:r>
      <w:bookmarkEnd w:id="0"/>
    </w:p>
    <w:p w:rsidR="00563A99" w:rsidRPr="00CF7824" w:rsidRDefault="00563A99" w:rsidP="00563A99">
      <w:pPr>
        <w:rPr>
          <w:rFonts w:asciiTheme="minorHAnsi" w:hAnsiTheme="minorHAnsi" w:cstheme="minorHAnsi"/>
          <w:lang w:val="fr-FR"/>
        </w:rPr>
      </w:pPr>
    </w:p>
    <w:p w:rsidR="00D46F37" w:rsidRPr="00CF7824" w:rsidRDefault="00164734" w:rsidP="008C19BF">
      <w:pPr>
        <w:rPr>
          <w:rFonts w:asciiTheme="minorHAnsi" w:hAnsiTheme="minorHAnsi" w:cstheme="minorHAnsi"/>
          <w:bCs/>
          <w:lang w:val="fr-FR"/>
        </w:rPr>
      </w:pPr>
      <w:r w:rsidRPr="00CF7824">
        <w:rPr>
          <w:rFonts w:cs="Calibri"/>
          <w:bCs/>
          <w:lang w:val="fr-FR"/>
        </w:rPr>
        <w:t>1.</w:t>
      </w:r>
      <w:r w:rsidRPr="00CF7824">
        <w:rPr>
          <w:rFonts w:cs="Calibri"/>
          <w:bCs/>
          <w:lang w:val="fr-FR"/>
        </w:rPr>
        <w:tab/>
        <w:t>La compilation et la publication à l</w:t>
      </w:r>
      <w:r w:rsidR="00016E39" w:rsidRPr="00CF7824">
        <w:rPr>
          <w:rFonts w:cs="Calibri"/>
          <w:bCs/>
          <w:lang w:val="fr-FR"/>
        </w:rPr>
        <w:t>’</w:t>
      </w:r>
      <w:r w:rsidRPr="00CF7824">
        <w:rPr>
          <w:rFonts w:cs="Calibri"/>
          <w:bCs/>
          <w:lang w:val="fr-FR"/>
        </w:rPr>
        <w:t>échelle mondiale des Estimations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w:t>
      </w:r>
      <w:r w:rsidRPr="00CF7824">
        <w:rPr>
          <w:rFonts w:cs="Calibri"/>
          <w:bCs/>
          <w:i/>
          <w:iCs/>
          <w:lang w:val="fr-FR"/>
        </w:rPr>
        <w:t>Waterbird Population Estimates</w:t>
      </w:r>
      <w:r w:rsidRPr="00CF7824">
        <w:rPr>
          <w:rFonts w:cs="Calibri"/>
          <w:bCs/>
          <w:lang w:val="fr-FR"/>
        </w:rPr>
        <w:t xml:space="preserve"> – WPE) constituent une source d</w:t>
      </w:r>
      <w:r w:rsidR="00016E39" w:rsidRPr="00CF7824">
        <w:rPr>
          <w:rFonts w:cs="Calibri"/>
          <w:bCs/>
          <w:lang w:val="fr-FR"/>
        </w:rPr>
        <w:t>’</w:t>
      </w:r>
      <w:r w:rsidRPr="00CF7824">
        <w:rPr>
          <w:rFonts w:cs="Calibri"/>
          <w:bCs/>
          <w:lang w:val="fr-FR"/>
        </w:rPr>
        <w:t xml:space="preserve">information fondamentale pour la mise en œuvre de plusieurs aspects de la Convention sur les zones humides, en particulier </w:t>
      </w:r>
      <w:r w:rsidR="00C927D2" w:rsidRPr="00CF7824">
        <w:rPr>
          <w:rFonts w:cs="Calibri"/>
          <w:bCs/>
          <w:lang w:val="fr-FR"/>
        </w:rPr>
        <w:t>pour</w:t>
      </w:r>
      <w:r w:rsidRPr="00CF7824">
        <w:rPr>
          <w:rFonts w:cs="Calibri"/>
          <w:bCs/>
          <w:lang w:val="fr-FR"/>
        </w:rPr>
        <w:t xml:space="preserve"> la sélection et l</w:t>
      </w:r>
      <w:r w:rsidR="00016E39" w:rsidRPr="00CF7824">
        <w:rPr>
          <w:rFonts w:cs="Calibri"/>
          <w:bCs/>
          <w:lang w:val="fr-FR"/>
        </w:rPr>
        <w:t>’</w:t>
      </w:r>
      <w:r w:rsidRPr="00CF7824">
        <w:rPr>
          <w:rFonts w:cs="Calibri"/>
          <w:bCs/>
          <w:lang w:val="fr-FR"/>
        </w:rPr>
        <w:t xml:space="preserve">inscription des </w:t>
      </w:r>
      <w:r w:rsidR="00F77F5A" w:rsidRPr="00CF7824">
        <w:rPr>
          <w:rFonts w:cs="Calibri"/>
          <w:bCs/>
          <w:lang w:val="fr-FR"/>
        </w:rPr>
        <w:t>Sites Ramsar</w:t>
      </w:r>
      <w:r w:rsidRPr="00CF7824">
        <w:rPr>
          <w:rFonts w:cs="Calibri"/>
          <w:bCs/>
          <w:lang w:val="fr-FR"/>
        </w:rPr>
        <w:t xml:space="preserve"> (voir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1 ci-dessous), ainsi qu</w:t>
      </w:r>
      <w:r w:rsidR="00016E39" w:rsidRPr="00CF7824">
        <w:rPr>
          <w:rFonts w:cs="Calibri"/>
          <w:bCs/>
          <w:lang w:val="fr-FR"/>
        </w:rPr>
        <w:t>’</w:t>
      </w:r>
      <w:r w:rsidRPr="00CF7824">
        <w:rPr>
          <w:rFonts w:cs="Calibri"/>
          <w:bCs/>
          <w:lang w:val="fr-FR"/>
        </w:rPr>
        <w:t xml:space="preserve">en fournissant </w:t>
      </w:r>
      <w:r w:rsidR="00C927D2" w:rsidRPr="00CF7824">
        <w:rPr>
          <w:rFonts w:cs="Calibri"/>
          <w:bCs/>
          <w:lang w:val="fr-FR"/>
        </w:rPr>
        <w:t>des</w:t>
      </w:r>
      <w:r w:rsidRPr="00CF7824">
        <w:rPr>
          <w:rFonts w:cs="Calibri"/>
          <w:bCs/>
          <w:lang w:val="fr-FR"/>
        </w:rPr>
        <w:t xml:space="preserve"> données pertinentes pour les indicateurs de résultats </w:t>
      </w:r>
      <w:r w:rsidR="00C927D2" w:rsidRPr="00CF7824">
        <w:rPr>
          <w:rFonts w:cs="Calibri"/>
          <w:bCs/>
          <w:lang w:val="fr-FR"/>
        </w:rPr>
        <w:t>prévus</w:t>
      </w:r>
      <w:r w:rsidRPr="00CF7824">
        <w:rPr>
          <w:rFonts w:cs="Calibri"/>
          <w:bCs/>
          <w:lang w:val="fr-FR"/>
        </w:rPr>
        <w:t xml:space="preserve"> du cinquième Plan stratégique de la Convention sur les zones humides. </w:t>
      </w:r>
    </w:p>
    <w:p w:rsidR="00D46F37" w:rsidRPr="00CF7824" w:rsidRDefault="00D46F37" w:rsidP="00D46F37">
      <w:pPr>
        <w:rPr>
          <w:rFonts w:asciiTheme="minorHAnsi" w:hAnsiTheme="minorHAnsi" w:cstheme="minorHAnsi"/>
          <w:bCs/>
          <w:lang w:val="fr-FR"/>
        </w:rPr>
      </w:pPr>
    </w:p>
    <w:p w:rsidR="00D46F37" w:rsidRPr="00CF7824" w:rsidRDefault="00164734" w:rsidP="00B7615F">
      <w:pPr>
        <w:rPr>
          <w:rFonts w:asciiTheme="minorHAnsi" w:hAnsiTheme="minorHAnsi" w:cstheme="minorHAnsi"/>
          <w:bCs/>
          <w:lang w:val="fr-FR"/>
        </w:rPr>
      </w:pPr>
      <w:r w:rsidRPr="00CF7824">
        <w:rPr>
          <w:rFonts w:cs="Calibri"/>
          <w:bCs/>
          <w:lang w:val="fr-FR"/>
        </w:rPr>
        <w:t>2.</w:t>
      </w:r>
      <w:r w:rsidRPr="00CF7824">
        <w:rPr>
          <w:rFonts w:cs="Calibri"/>
          <w:bCs/>
          <w:lang w:val="fr-FR"/>
        </w:rPr>
        <w:tab/>
        <w:t>Les données et les informations actuelles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alimentent également de nombreux autres processus internationaux et nationaux de conservation des oiseaux d</w:t>
      </w:r>
      <w:r w:rsidR="00016E39" w:rsidRPr="00CF7824">
        <w:rPr>
          <w:rFonts w:cs="Calibri"/>
          <w:bCs/>
          <w:lang w:val="fr-FR"/>
        </w:rPr>
        <w:t>’</w:t>
      </w:r>
      <w:r w:rsidRPr="00CF7824">
        <w:rPr>
          <w:rFonts w:cs="Calibri"/>
          <w:bCs/>
          <w:lang w:val="fr-FR"/>
        </w:rPr>
        <w:t>eau et des zones humides (y compris, entre autres, les cibles pertinentes du Cadre mondial de la biodiversité de Kunming-Montréal). Il s</w:t>
      </w:r>
      <w:r w:rsidR="00016E39" w:rsidRPr="00CF7824">
        <w:rPr>
          <w:rFonts w:cs="Calibri"/>
          <w:bCs/>
          <w:lang w:val="fr-FR"/>
        </w:rPr>
        <w:t>’</w:t>
      </w:r>
      <w:r w:rsidRPr="00CF7824">
        <w:rPr>
          <w:rFonts w:cs="Calibri"/>
          <w:bCs/>
          <w:lang w:val="fr-FR"/>
        </w:rPr>
        <w:t>agira également d</w:t>
      </w:r>
      <w:r w:rsidR="00016E39" w:rsidRPr="00CF7824">
        <w:rPr>
          <w:rFonts w:cs="Calibri"/>
          <w:bCs/>
          <w:lang w:val="fr-FR"/>
        </w:rPr>
        <w:t>’</w:t>
      </w:r>
      <w:r w:rsidRPr="00CF7824">
        <w:rPr>
          <w:rFonts w:cs="Calibri"/>
          <w:bCs/>
          <w:lang w:val="fr-FR"/>
        </w:rPr>
        <w:t>une information de plus en plus importante pour éclairer l</w:t>
      </w:r>
      <w:r w:rsidR="00C927D2" w:rsidRPr="00CF7824">
        <w:rPr>
          <w:rFonts w:cs="Calibri"/>
          <w:bCs/>
          <w:lang w:val="fr-FR"/>
        </w:rPr>
        <w:t>es</w:t>
      </w:r>
      <w:r w:rsidRPr="00CF7824">
        <w:rPr>
          <w:rFonts w:cs="Calibri"/>
          <w:bCs/>
          <w:lang w:val="fr-FR"/>
        </w:rPr>
        <w:t xml:space="preserve"> prise</w:t>
      </w:r>
      <w:r w:rsidR="00C927D2" w:rsidRPr="00CF7824">
        <w:rPr>
          <w:rFonts w:cs="Calibri"/>
          <w:bCs/>
          <w:lang w:val="fr-FR"/>
        </w:rPr>
        <w:t>s</w:t>
      </w:r>
      <w:r w:rsidRPr="00CF7824">
        <w:rPr>
          <w:rFonts w:cs="Calibri"/>
          <w:bCs/>
          <w:lang w:val="fr-FR"/>
        </w:rPr>
        <w:t xml:space="preserve"> de décision</w:t>
      </w:r>
      <w:r w:rsidR="00C927D2" w:rsidRPr="00CF7824">
        <w:rPr>
          <w:rFonts w:cs="Calibri"/>
          <w:bCs/>
          <w:lang w:val="fr-FR"/>
        </w:rPr>
        <w:t>s</w:t>
      </w:r>
      <w:r w:rsidRPr="00CF7824">
        <w:rPr>
          <w:rFonts w:cs="Calibri"/>
          <w:bCs/>
          <w:lang w:val="fr-FR"/>
        </w:rPr>
        <w:t xml:space="preserve"> des investisseurs dans la nature (y compris les activités liées à l</w:t>
      </w:r>
      <w:r w:rsidR="00016E39" w:rsidRPr="00CF7824">
        <w:rPr>
          <w:rFonts w:cs="Calibri"/>
          <w:bCs/>
          <w:lang w:val="fr-FR"/>
        </w:rPr>
        <w:t>’</w:t>
      </w:r>
      <w:r w:rsidRPr="00CF7824">
        <w:rPr>
          <w:rFonts w:cs="Calibri"/>
          <w:bCs/>
          <w:lang w:val="fr-FR"/>
        </w:rPr>
        <w:t>eau) et le climat. Ces objectifs sont reconnus comme étant d</w:t>
      </w:r>
      <w:r w:rsidR="00016E39" w:rsidRPr="00CF7824">
        <w:rPr>
          <w:rFonts w:cs="Calibri"/>
          <w:bCs/>
          <w:lang w:val="fr-FR"/>
        </w:rPr>
        <w:t>’</w:t>
      </w:r>
      <w:r w:rsidRPr="00CF7824">
        <w:rPr>
          <w:rFonts w:cs="Calibri"/>
          <w:bCs/>
          <w:lang w:val="fr-FR"/>
        </w:rPr>
        <w:t xml:space="preserve">une grande importance politique et stratégique (voir </w:t>
      </w:r>
      <w:r w:rsidR="00AA52E6" w:rsidRPr="00CF7824">
        <w:rPr>
          <w:rFonts w:cs="Calibri"/>
          <w:bCs/>
          <w:lang w:val="fr-FR"/>
        </w:rPr>
        <w:t>l’</w:t>
      </w:r>
      <w:r w:rsidRPr="00CF7824">
        <w:rPr>
          <w:rFonts w:cs="Calibri"/>
          <w:bCs/>
          <w:lang w:val="fr-FR"/>
        </w:rPr>
        <w:t>annexe</w:t>
      </w:r>
      <w:r w:rsidR="001F19B5" w:rsidRPr="00CF7824">
        <w:rPr>
          <w:rFonts w:cs="Calibri"/>
          <w:bCs/>
          <w:lang w:val="fr-FR"/>
        </w:rPr>
        <w:t> </w:t>
      </w:r>
      <w:r w:rsidRPr="00CF7824">
        <w:rPr>
          <w:rFonts w:cs="Calibri"/>
          <w:bCs/>
          <w:lang w:val="fr-FR"/>
        </w:rPr>
        <w:t>3).</w:t>
      </w:r>
    </w:p>
    <w:p w:rsidR="00D46F37" w:rsidRPr="00CF7824" w:rsidRDefault="00D46F37" w:rsidP="00D46F37">
      <w:pPr>
        <w:rPr>
          <w:rFonts w:asciiTheme="minorHAnsi" w:hAnsiTheme="minorHAnsi" w:cstheme="minorHAnsi"/>
          <w:bCs/>
          <w:lang w:val="fr-FR"/>
        </w:rPr>
      </w:pPr>
    </w:p>
    <w:p w:rsidR="00F92098" w:rsidRPr="00CF7824" w:rsidRDefault="00164734" w:rsidP="00B7615F">
      <w:pPr>
        <w:rPr>
          <w:rFonts w:asciiTheme="minorHAnsi" w:hAnsiTheme="minorHAnsi" w:cstheme="minorHAnsi"/>
          <w:bCs/>
          <w:lang w:val="fr-FR"/>
        </w:rPr>
      </w:pPr>
      <w:r w:rsidRPr="00CF7824">
        <w:rPr>
          <w:rFonts w:cs="Calibri"/>
          <w:bCs/>
          <w:lang w:val="fr-FR"/>
        </w:rPr>
        <w:lastRenderedPageBreak/>
        <w:t>3.</w:t>
      </w:r>
      <w:r w:rsidRPr="00CF7824">
        <w:rPr>
          <w:rFonts w:cs="Calibri"/>
          <w:bCs/>
          <w:lang w:val="fr-FR"/>
        </w:rPr>
        <w:tab/>
        <w:t>Les WPE comprennent actuellement 2</w:t>
      </w:r>
      <w:r w:rsidR="00376BA1" w:rsidRPr="00CF7824">
        <w:rPr>
          <w:rFonts w:cs="Calibri"/>
          <w:bCs/>
          <w:lang w:val="fr-FR"/>
        </w:rPr>
        <w:t> 340 </w:t>
      </w:r>
      <w:r w:rsidRPr="00CF7824">
        <w:rPr>
          <w:rFonts w:cs="Calibri"/>
          <w:bCs/>
          <w:lang w:val="fr-FR"/>
        </w:rPr>
        <w:t>populations actives de 899</w:t>
      </w:r>
      <w:r w:rsidR="00376BA1" w:rsidRPr="00CF7824">
        <w:rPr>
          <w:rFonts w:cs="Calibri"/>
          <w:bCs/>
          <w:lang w:val="fr-FR"/>
        </w:rPr>
        <w:t> </w:t>
      </w:r>
      <w:r w:rsidRPr="00CF7824">
        <w:rPr>
          <w:rFonts w:cs="Calibri"/>
          <w:bCs/>
          <w:lang w:val="fr-FR"/>
        </w:rPr>
        <w:t>espèces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dans le monde (dont 504 sont classées comme migratrices à longue distance et 1 836 comme résidentes ou migratrices à courte distance). </w:t>
      </w:r>
    </w:p>
    <w:p w:rsidR="00F92098" w:rsidRPr="00CF7824" w:rsidRDefault="00C927D2" w:rsidP="00C927D2">
      <w:pPr>
        <w:tabs>
          <w:tab w:val="left" w:pos="3165"/>
        </w:tabs>
        <w:rPr>
          <w:rFonts w:asciiTheme="minorHAnsi" w:hAnsiTheme="minorHAnsi" w:cstheme="minorHAnsi"/>
          <w:bCs/>
          <w:lang w:val="fr-FR"/>
        </w:rPr>
      </w:pPr>
      <w:r w:rsidRPr="00CF7824">
        <w:rPr>
          <w:rFonts w:asciiTheme="minorHAnsi" w:hAnsiTheme="minorHAnsi" w:cstheme="minorHAnsi"/>
          <w:bCs/>
          <w:lang w:val="fr-FR"/>
        </w:rPr>
        <w:tab/>
      </w:r>
      <w:r w:rsidRPr="00CF7824">
        <w:rPr>
          <w:rFonts w:asciiTheme="minorHAnsi" w:hAnsiTheme="minorHAnsi" w:cstheme="minorHAnsi"/>
          <w:bCs/>
          <w:lang w:val="fr-FR"/>
        </w:rPr>
        <w:tab/>
      </w:r>
    </w:p>
    <w:p w:rsidR="00D46F37" w:rsidRPr="00CF7824" w:rsidRDefault="00164734" w:rsidP="00B7615F">
      <w:pPr>
        <w:rPr>
          <w:rFonts w:asciiTheme="minorHAnsi" w:hAnsiTheme="minorHAnsi" w:cstheme="minorHAnsi"/>
          <w:bCs/>
          <w:lang w:val="fr-FR"/>
        </w:rPr>
      </w:pPr>
      <w:r w:rsidRPr="00CF7824">
        <w:rPr>
          <w:rFonts w:cs="Calibri"/>
          <w:bCs/>
          <w:lang w:val="fr-FR"/>
        </w:rPr>
        <w:t>4.</w:t>
      </w:r>
      <w:r w:rsidRPr="00CF7824">
        <w:rPr>
          <w:rFonts w:cs="Calibri"/>
          <w:bCs/>
          <w:lang w:val="fr-FR"/>
        </w:rPr>
        <w:tab/>
        <w:t>Il est urgent de fournir une mise à jour de ces données et sources d</w:t>
      </w:r>
      <w:r w:rsidR="00016E39" w:rsidRPr="00CF7824">
        <w:rPr>
          <w:rFonts w:cs="Calibri"/>
          <w:bCs/>
          <w:lang w:val="fr-FR"/>
        </w:rPr>
        <w:t>’</w:t>
      </w:r>
      <w:r w:rsidRPr="00CF7824">
        <w:rPr>
          <w:rFonts w:cs="Calibri"/>
          <w:bCs/>
          <w:lang w:val="fr-FR"/>
        </w:rPr>
        <w:t>information, car les seuils de 1% publiés pour environ 35%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du monde ont maintenant plus de 12</w:t>
      </w:r>
      <w:r w:rsidR="00376BA1" w:rsidRPr="00CF7824">
        <w:rPr>
          <w:rFonts w:cs="Calibri"/>
          <w:bCs/>
          <w:lang w:val="fr-FR"/>
        </w:rPr>
        <w:t> </w:t>
      </w:r>
      <w:r w:rsidRPr="00CF7824">
        <w:rPr>
          <w:rFonts w:cs="Calibri"/>
          <w:bCs/>
          <w:lang w:val="fr-FR"/>
        </w:rPr>
        <w:t>ans et, dans certains cas, peuvent avoir jusqu</w:t>
      </w:r>
      <w:r w:rsidR="00016E39" w:rsidRPr="00CF7824">
        <w:rPr>
          <w:rFonts w:cs="Calibri"/>
          <w:bCs/>
          <w:lang w:val="fr-FR"/>
        </w:rPr>
        <w:t>’</w:t>
      </w:r>
      <w:r w:rsidRPr="00CF7824">
        <w:rPr>
          <w:rFonts w:cs="Calibri"/>
          <w:bCs/>
          <w:lang w:val="fr-FR"/>
        </w:rPr>
        <w:t>à 35</w:t>
      </w:r>
      <w:r w:rsidR="00376BA1" w:rsidRPr="00CF7824">
        <w:rPr>
          <w:rFonts w:cs="Calibri"/>
          <w:bCs/>
          <w:lang w:val="fr-FR"/>
        </w:rPr>
        <w:t> </w:t>
      </w:r>
      <w:r w:rsidRPr="00CF7824">
        <w:rPr>
          <w:rFonts w:cs="Calibri"/>
          <w:bCs/>
          <w:lang w:val="fr-FR"/>
        </w:rPr>
        <w:t>ans.</w:t>
      </w:r>
    </w:p>
    <w:p w:rsidR="00D46F37" w:rsidRPr="00CF7824" w:rsidRDefault="00D46F37" w:rsidP="00D46F37">
      <w:pPr>
        <w:rPr>
          <w:rFonts w:asciiTheme="minorHAnsi" w:hAnsiTheme="minorHAnsi" w:cstheme="minorHAnsi"/>
          <w:bCs/>
          <w:lang w:val="fr-FR"/>
        </w:rPr>
      </w:pPr>
    </w:p>
    <w:p w:rsidR="00D46F37" w:rsidRPr="00CF7824" w:rsidRDefault="00164734" w:rsidP="00B7615F">
      <w:pPr>
        <w:rPr>
          <w:rFonts w:asciiTheme="minorHAnsi" w:hAnsiTheme="minorHAnsi" w:cstheme="minorHAnsi"/>
          <w:bCs/>
          <w:lang w:val="fr-FR"/>
        </w:rPr>
      </w:pPr>
      <w:r w:rsidRPr="00CF7824">
        <w:rPr>
          <w:rFonts w:cs="Calibri"/>
          <w:bCs/>
          <w:lang w:val="fr-FR"/>
        </w:rPr>
        <w:t>5.</w:t>
      </w:r>
      <w:r w:rsidRPr="00CF7824">
        <w:rPr>
          <w:rFonts w:cs="Calibri"/>
          <w:bCs/>
          <w:lang w:val="fr-FR"/>
        </w:rPr>
        <w:tab/>
        <w:t xml:space="preserve">La situation actuelle est due au manque de financement opportun, adéquat et durable </w:t>
      </w:r>
      <w:r w:rsidR="004E074C" w:rsidRPr="00CF7824">
        <w:rPr>
          <w:rFonts w:cs="Calibri"/>
          <w:bCs/>
          <w:lang w:val="fr-FR"/>
        </w:rPr>
        <w:t xml:space="preserve">nécessaire </w:t>
      </w:r>
      <w:r w:rsidRPr="00CF7824">
        <w:rPr>
          <w:rFonts w:cs="Calibri"/>
          <w:bCs/>
          <w:lang w:val="fr-FR"/>
        </w:rPr>
        <w:t>pour réviser et mettre à jour les WPE pour chaque session de la Conférence des Parties contractantes (COP) à la Convention, comme l</w:t>
      </w:r>
      <w:r w:rsidR="00016E39" w:rsidRPr="00CF7824">
        <w:rPr>
          <w:rFonts w:cs="Calibri"/>
          <w:bCs/>
          <w:lang w:val="fr-FR"/>
        </w:rPr>
        <w:t>’</w:t>
      </w:r>
      <w:r w:rsidRPr="00CF7824">
        <w:rPr>
          <w:rFonts w:cs="Calibri"/>
          <w:bCs/>
          <w:lang w:val="fr-FR"/>
        </w:rPr>
        <w:t>exige la Résolution</w:t>
      </w:r>
      <w:r w:rsidR="00376BA1" w:rsidRPr="00CF7824">
        <w:rPr>
          <w:rFonts w:cs="Calibri"/>
          <w:bCs/>
          <w:lang w:val="fr-FR"/>
        </w:rPr>
        <w:t> </w:t>
      </w:r>
      <w:r w:rsidRPr="00CF7824">
        <w:rPr>
          <w:rFonts w:cs="Calibri"/>
          <w:bCs/>
          <w:lang w:val="fr-FR"/>
        </w:rPr>
        <w:t xml:space="preserve">VIII.38, </w:t>
      </w:r>
      <w:r w:rsidRPr="00CF7824">
        <w:rPr>
          <w:rFonts w:cs="Calibri"/>
          <w:bCs/>
          <w:i/>
          <w:iCs/>
          <w:lang w:val="fr-FR"/>
        </w:rPr>
        <w:t>Estimations des populations d</w:t>
      </w:r>
      <w:r w:rsidR="00016E39" w:rsidRPr="00CF7824">
        <w:rPr>
          <w:rFonts w:cs="Calibri"/>
          <w:bCs/>
          <w:i/>
          <w:iCs/>
          <w:lang w:val="fr-FR"/>
        </w:rPr>
        <w:t>’</w:t>
      </w:r>
      <w:r w:rsidRPr="00CF7824">
        <w:rPr>
          <w:rFonts w:cs="Calibri"/>
          <w:bCs/>
          <w:i/>
          <w:iCs/>
          <w:lang w:val="fr-FR"/>
        </w:rPr>
        <w:t>oiseaux d</w:t>
      </w:r>
      <w:r w:rsidR="00016E39" w:rsidRPr="00CF7824">
        <w:rPr>
          <w:rFonts w:cs="Calibri"/>
          <w:bCs/>
          <w:i/>
          <w:iCs/>
          <w:lang w:val="fr-FR"/>
        </w:rPr>
        <w:t>’</w:t>
      </w:r>
      <w:r w:rsidRPr="00CF7824">
        <w:rPr>
          <w:rFonts w:cs="Calibri"/>
          <w:bCs/>
          <w:i/>
          <w:iCs/>
          <w:lang w:val="fr-FR"/>
        </w:rPr>
        <w:t>eau et identification et inscription des zones humides d</w:t>
      </w:r>
      <w:r w:rsidR="00016E39" w:rsidRPr="00CF7824">
        <w:rPr>
          <w:rFonts w:cs="Calibri"/>
          <w:bCs/>
          <w:i/>
          <w:iCs/>
          <w:lang w:val="fr-FR"/>
        </w:rPr>
        <w:t>’</w:t>
      </w:r>
      <w:r w:rsidR="00BB6AB7" w:rsidRPr="00CF7824">
        <w:rPr>
          <w:rFonts w:cs="Calibri"/>
          <w:bCs/>
          <w:i/>
          <w:iCs/>
          <w:lang w:val="fr-FR"/>
        </w:rPr>
        <w:t>importance international</w:t>
      </w:r>
      <w:r w:rsidR="00FB5F0C">
        <w:rPr>
          <w:rFonts w:cs="Calibri"/>
          <w:bCs/>
          <w:i/>
          <w:iCs/>
          <w:lang w:val="fr-FR"/>
        </w:rPr>
        <w:t>e</w:t>
      </w:r>
      <w:r w:rsidRPr="00CF7824">
        <w:rPr>
          <w:rFonts w:cs="Calibri"/>
          <w:bCs/>
          <w:lang w:val="fr-FR"/>
        </w:rPr>
        <w:t xml:space="preserve">. </w:t>
      </w:r>
    </w:p>
    <w:p w:rsidR="00D46F37" w:rsidRPr="00CF7824" w:rsidRDefault="00D46F37" w:rsidP="00D46F37">
      <w:pPr>
        <w:rPr>
          <w:rFonts w:asciiTheme="minorHAnsi" w:hAnsiTheme="minorHAnsi" w:cstheme="minorHAnsi"/>
          <w:bCs/>
          <w:lang w:val="fr-FR"/>
        </w:rPr>
      </w:pPr>
    </w:p>
    <w:p w:rsidR="00D46F37" w:rsidRPr="00CF7824" w:rsidRDefault="00164734" w:rsidP="00886A84">
      <w:pPr>
        <w:rPr>
          <w:rFonts w:asciiTheme="minorHAnsi" w:hAnsiTheme="minorHAnsi" w:cstheme="minorHAnsi"/>
          <w:bCs/>
          <w:lang w:val="fr-FR"/>
        </w:rPr>
      </w:pPr>
      <w:r w:rsidRPr="00CF7824">
        <w:rPr>
          <w:rFonts w:cs="Calibri"/>
          <w:bCs/>
          <w:lang w:val="fr-FR"/>
        </w:rPr>
        <w:t>6.</w:t>
      </w:r>
      <w:r w:rsidRPr="00CF7824">
        <w:rPr>
          <w:rFonts w:cs="Calibri"/>
          <w:bCs/>
          <w:lang w:val="fr-FR"/>
        </w:rPr>
        <w:tab/>
        <w:t xml:space="preserve">Malgré ce problème, il existe de plus en plus de possibilités de prise en compte de nouvelles sources de données </w:t>
      </w:r>
      <w:r w:rsidR="00C927D2" w:rsidRPr="00CF7824">
        <w:rPr>
          <w:rFonts w:cs="Calibri"/>
          <w:bCs/>
          <w:lang w:val="fr-FR"/>
        </w:rPr>
        <w:t xml:space="preserve">qui </w:t>
      </w:r>
      <w:r w:rsidRPr="00CF7824">
        <w:rPr>
          <w:rFonts w:cs="Calibri"/>
          <w:bCs/>
          <w:lang w:val="fr-FR"/>
        </w:rPr>
        <w:t>prov</w:t>
      </w:r>
      <w:r w:rsidR="00C927D2" w:rsidRPr="00CF7824">
        <w:rPr>
          <w:rFonts w:cs="Calibri"/>
          <w:bCs/>
          <w:lang w:val="fr-FR"/>
        </w:rPr>
        <w:t>iennent</w:t>
      </w:r>
      <w:r w:rsidRPr="00CF7824">
        <w:rPr>
          <w:rFonts w:cs="Calibri"/>
          <w:bCs/>
          <w:lang w:val="fr-FR"/>
        </w:rPr>
        <w:t xml:space="preserve"> de </w:t>
      </w:r>
      <w:r w:rsidR="004E074C" w:rsidRPr="00CF7824">
        <w:rPr>
          <w:rFonts w:cs="Calibri"/>
          <w:bCs/>
          <w:lang w:val="fr-FR"/>
        </w:rPr>
        <w:t>diverses</w:t>
      </w:r>
      <w:r w:rsidRPr="00CF7824">
        <w:rPr>
          <w:rFonts w:cs="Calibri"/>
          <w:bCs/>
          <w:lang w:val="fr-FR"/>
        </w:rPr>
        <w:t xml:space="preserve"> initiatives de suivi de plusieurs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à travers différentes voies de migration et régions du monde, </w:t>
      </w:r>
      <w:r w:rsidR="00C927D2" w:rsidRPr="00CF7824">
        <w:rPr>
          <w:rFonts w:cs="Calibri"/>
          <w:bCs/>
          <w:lang w:val="fr-FR"/>
        </w:rPr>
        <w:t>et qui pourraient être</w:t>
      </w:r>
      <w:r w:rsidRPr="00CF7824">
        <w:rPr>
          <w:rFonts w:cs="Calibri"/>
          <w:bCs/>
          <w:lang w:val="fr-FR"/>
        </w:rPr>
        <w:t xml:space="preserve"> intégr</w:t>
      </w:r>
      <w:r w:rsidR="00C927D2" w:rsidRPr="00CF7824">
        <w:rPr>
          <w:rFonts w:cs="Calibri"/>
          <w:bCs/>
          <w:lang w:val="fr-FR"/>
        </w:rPr>
        <w:t>ées</w:t>
      </w:r>
      <w:r w:rsidRPr="00CF7824">
        <w:rPr>
          <w:rFonts w:cs="Calibri"/>
          <w:bCs/>
          <w:lang w:val="fr-FR"/>
        </w:rPr>
        <w:t xml:space="preserve"> dans les futures mises à jour des WPE (voir le tableau</w:t>
      </w:r>
      <w:r w:rsidR="001F19B5" w:rsidRPr="00CF7824">
        <w:rPr>
          <w:rFonts w:cs="Calibri"/>
          <w:bCs/>
          <w:lang w:val="fr-FR"/>
        </w:rPr>
        <w:t> </w:t>
      </w:r>
      <w:r w:rsidRPr="00CF7824">
        <w:rPr>
          <w:rFonts w:cs="Calibri"/>
          <w:bCs/>
          <w:lang w:val="fr-FR"/>
        </w:rPr>
        <w:t>3 ci-dessous).</w:t>
      </w:r>
    </w:p>
    <w:p w:rsidR="00D46F37" w:rsidRPr="00CF7824" w:rsidRDefault="00D46F37" w:rsidP="00D46F37">
      <w:pPr>
        <w:rPr>
          <w:rFonts w:asciiTheme="minorHAnsi" w:hAnsiTheme="minorHAnsi" w:cstheme="minorHAnsi"/>
          <w:bCs/>
          <w:lang w:val="fr-FR"/>
        </w:rPr>
      </w:pPr>
    </w:p>
    <w:p w:rsidR="00D46F37" w:rsidRPr="00CF7824" w:rsidRDefault="00164734" w:rsidP="00886A84">
      <w:pPr>
        <w:rPr>
          <w:rFonts w:asciiTheme="minorHAnsi" w:hAnsiTheme="minorHAnsi" w:cstheme="minorHAnsi"/>
          <w:bCs/>
          <w:lang w:val="fr-FR"/>
        </w:rPr>
      </w:pPr>
      <w:r w:rsidRPr="00CF7824">
        <w:rPr>
          <w:rFonts w:cs="Calibri"/>
          <w:bCs/>
          <w:lang w:val="fr-FR"/>
        </w:rPr>
        <w:t>7.</w:t>
      </w:r>
      <w:r w:rsidRPr="00CF7824">
        <w:rPr>
          <w:rFonts w:cs="Calibri"/>
          <w:bCs/>
          <w:lang w:val="fr-FR"/>
        </w:rPr>
        <w:tab/>
        <w:t>Comme demandé dans la Résolution</w:t>
      </w:r>
      <w:r w:rsidR="00376BA1" w:rsidRPr="00CF7824">
        <w:rPr>
          <w:rFonts w:cs="Calibri"/>
          <w:bCs/>
          <w:lang w:val="fr-FR"/>
        </w:rPr>
        <w:t> </w:t>
      </w:r>
      <w:r w:rsidRPr="00CF7824">
        <w:rPr>
          <w:rFonts w:cs="Calibri"/>
          <w:bCs/>
          <w:lang w:val="fr-FR"/>
        </w:rPr>
        <w:t xml:space="preserve">XIV.18, </w:t>
      </w:r>
      <w:r w:rsidRPr="00CF7824">
        <w:rPr>
          <w:rFonts w:cs="Calibri"/>
          <w:bCs/>
          <w:i/>
          <w:iCs/>
          <w:lang w:val="fr-FR"/>
        </w:rPr>
        <w:t>Estimations des populations d</w:t>
      </w:r>
      <w:r w:rsidR="00016E39" w:rsidRPr="00CF7824">
        <w:rPr>
          <w:rFonts w:cs="Calibri"/>
          <w:bCs/>
          <w:i/>
          <w:iCs/>
          <w:lang w:val="fr-FR"/>
        </w:rPr>
        <w:t>’</w:t>
      </w:r>
      <w:r w:rsidRPr="00CF7824">
        <w:rPr>
          <w:rFonts w:cs="Calibri"/>
          <w:bCs/>
          <w:i/>
          <w:iCs/>
          <w:lang w:val="fr-FR"/>
        </w:rPr>
        <w:t>oiseaux d</w:t>
      </w:r>
      <w:r w:rsidR="00016E39" w:rsidRPr="00CF7824">
        <w:rPr>
          <w:rFonts w:cs="Calibri"/>
          <w:bCs/>
          <w:i/>
          <w:iCs/>
          <w:lang w:val="fr-FR"/>
        </w:rPr>
        <w:t>’</w:t>
      </w:r>
      <w:r w:rsidRPr="00CF7824">
        <w:rPr>
          <w:rFonts w:cs="Calibri"/>
          <w:bCs/>
          <w:i/>
          <w:iCs/>
          <w:lang w:val="fr-FR"/>
        </w:rPr>
        <w:t>eau pour soutenir les inscriptions de Sites Ramsar nouveaux et existants en vertu du Critère</w:t>
      </w:r>
      <w:r w:rsidR="007A1486" w:rsidRPr="00CF7824">
        <w:rPr>
          <w:rFonts w:cs="Calibri"/>
          <w:bCs/>
          <w:i/>
          <w:iCs/>
          <w:lang w:val="fr-FR"/>
        </w:rPr>
        <w:t> </w:t>
      </w:r>
      <w:r w:rsidRPr="00CF7824">
        <w:rPr>
          <w:rFonts w:cs="Calibri"/>
          <w:bCs/>
          <w:i/>
          <w:iCs/>
          <w:lang w:val="fr-FR"/>
        </w:rPr>
        <w:t>6</w:t>
      </w:r>
      <w:r w:rsidR="00376BA1" w:rsidRPr="00CF7824">
        <w:rPr>
          <w:rFonts w:cs="Calibri"/>
          <w:bCs/>
          <w:i/>
          <w:iCs/>
          <w:lang w:val="fr-FR"/>
        </w:rPr>
        <w:t> </w:t>
      </w:r>
      <w:r w:rsidRPr="00CF7824">
        <w:rPr>
          <w:rFonts w:cs="Calibri"/>
          <w:bCs/>
          <w:i/>
          <w:iCs/>
          <w:lang w:val="fr-FR"/>
        </w:rPr>
        <w:t>Ramsar – util</w:t>
      </w:r>
      <w:r w:rsidR="00BB6AB7" w:rsidRPr="00CF7824">
        <w:rPr>
          <w:rFonts w:cs="Calibri"/>
          <w:bCs/>
          <w:i/>
          <w:iCs/>
          <w:lang w:val="fr-FR"/>
        </w:rPr>
        <w:t>isation de nouvelles estimations</w:t>
      </w:r>
      <w:r w:rsidRPr="00CF7824">
        <w:rPr>
          <w:rFonts w:cs="Calibri"/>
          <w:bCs/>
          <w:lang w:val="fr-FR"/>
        </w:rPr>
        <w:t xml:space="preserve"> le Groupe d</w:t>
      </w:r>
      <w:r w:rsidR="00016E39" w:rsidRPr="00CF7824">
        <w:rPr>
          <w:rFonts w:cs="Calibri"/>
          <w:bCs/>
          <w:lang w:val="fr-FR"/>
        </w:rPr>
        <w:t>’</w:t>
      </w:r>
      <w:r w:rsidRPr="00CF7824">
        <w:rPr>
          <w:rFonts w:cs="Calibri"/>
          <w:bCs/>
          <w:lang w:val="fr-FR"/>
        </w:rPr>
        <w:t>évaluation scientifique et technique (GEST) a examiné une série d</w:t>
      </w:r>
      <w:r w:rsidR="00016E39" w:rsidRPr="00CF7824">
        <w:rPr>
          <w:rFonts w:cs="Calibri"/>
          <w:bCs/>
          <w:lang w:val="fr-FR"/>
        </w:rPr>
        <w:t>’</w:t>
      </w:r>
      <w:r w:rsidRPr="00CF7824">
        <w:rPr>
          <w:rFonts w:cs="Calibri"/>
          <w:bCs/>
          <w:lang w:val="fr-FR"/>
        </w:rPr>
        <w:t xml:space="preserve">options décrites dans la section </w:t>
      </w:r>
      <w:r w:rsidRPr="00CF7824">
        <w:rPr>
          <w:rFonts w:cs="Calibri"/>
          <w:bCs/>
          <w:i/>
          <w:iCs/>
          <w:lang w:val="fr-FR"/>
        </w:rPr>
        <w:t>Problèmes et options</w:t>
      </w:r>
      <w:r w:rsidRPr="00CF7824">
        <w:rPr>
          <w:rFonts w:cs="Calibri"/>
          <w:bCs/>
          <w:lang w:val="fr-FR"/>
        </w:rPr>
        <w:t xml:space="preserve"> en vue d</w:t>
      </w:r>
      <w:r w:rsidR="00016E39" w:rsidRPr="00CF7824">
        <w:rPr>
          <w:rFonts w:cs="Calibri"/>
          <w:bCs/>
          <w:lang w:val="fr-FR"/>
        </w:rPr>
        <w:t>’</w:t>
      </w:r>
      <w:r w:rsidRPr="00CF7824">
        <w:rPr>
          <w:rFonts w:cs="Calibri"/>
          <w:bCs/>
          <w:lang w:val="fr-FR"/>
        </w:rPr>
        <w:t>une décision future sur la portée, les ressources et le mécanisme du processus WPE conçu pour la présente proposition technique.</w:t>
      </w:r>
    </w:p>
    <w:p w:rsidR="00D46F37" w:rsidRPr="00CF7824" w:rsidRDefault="00D46F37" w:rsidP="00D46F37">
      <w:pPr>
        <w:rPr>
          <w:rFonts w:asciiTheme="minorHAnsi" w:hAnsiTheme="minorHAnsi" w:cstheme="minorHAnsi"/>
          <w:bCs/>
          <w:lang w:val="fr-FR"/>
        </w:rPr>
      </w:pPr>
    </w:p>
    <w:p w:rsidR="00724BBB" w:rsidRPr="00CF7824" w:rsidRDefault="00164734" w:rsidP="00724BBB">
      <w:pPr>
        <w:rPr>
          <w:rFonts w:asciiTheme="minorHAnsi" w:hAnsiTheme="minorHAnsi" w:cstheme="minorHAnsi"/>
          <w:bCs/>
          <w:lang w:val="fr-FR"/>
        </w:rPr>
      </w:pPr>
      <w:r w:rsidRPr="00CF7824">
        <w:rPr>
          <w:rFonts w:cs="Calibri"/>
          <w:bCs/>
          <w:lang w:val="fr-FR"/>
        </w:rPr>
        <w:t>8.</w:t>
      </w:r>
      <w:r w:rsidRPr="00CF7824">
        <w:rPr>
          <w:rFonts w:cs="Calibri"/>
          <w:bCs/>
          <w:lang w:val="fr-FR"/>
        </w:rPr>
        <w:tab/>
        <w:t xml:space="preserve">La proposition recommandée par le GEST (voir les options de la proposition technique et leurs implications en matière de ressources ci-dessous) est un processus immédiat à court terme visant à produire une sixième édition des </w:t>
      </w:r>
      <w:r w:rsidRPr="00CF7824">
        <w:rPr>
          <w:rFonts w:cs="Calibri"/>
          <w:bCs/>
          <w:i/>
          <w:iCs/>
          <w:lang w:val="fr-FR"/>
        </w:rPr>
        <w:t>Waterbird Population Estimates</w:t>
      </w:r>
      <w:r w:rsidRPr="00CF7824">
        <w:rPr>
          <w:rFonts w:cs="Calibri"/>
          <w:bCs/>
          <w:lang w:val="fr-FR"/>
        </w:rPr>
        <w:t xml:space="preserve"> (WPE6, ci-après </w:t>
      </w:r>
      <w:r w:rsidR="00CF443B" w:rsidRPr="00CF7824">
        <w:rPr>
          <w:rFonts w:cs="Calibri"/>
          <w:bCs/>
          <w:lang w:val="fr-FR"/>
        </w:rPr>
        <w:t>appelés</w:t>
      </w:r>
      <w:r w:rsidR="004E074C" w:rsidRPr="00CF7824">
        <w:rPr>
          <w:rFonts w:cs="Calibri"/>
          <w:bCs/>
          <w:lang w:val="fr-FR"/>
        </w:rPr>
        <w:t xml:space="preserve"> WPE </w:t>
      </w:r>
      <w:r w:rsidRPr="00CF7824">
        <w:rPr>
          <w:rFonts w:cs="Calibri"/>
          <w:bCs/>
          <w:lang w:val="fr-FR"/>
        </w:rPr>
        <w:t xml:space="preserve">2027) au cours de la prochaine période triennale, avec une publication avant la COP16 (voir </w:t>
      </w:r>
      <w:r w:rsidR="00AA52E6" w:rsidRPr="00CF7824">
        <w:rPr>
          <w:rFonts w:cs="Calibri"/>
          <w:bCs/>
          <w:lang w:val="fr-FR"/>
        </w:rPr>
        <w:t xml:space="preserve">le </w:t>
      </w:r>
      <w:r w:rsidR="00C75FBD" w:rsidRPr="00CF7824">
        <w:rPr>
          <w:rFonts w:cs="Calibri"/>
          <w:bCs/>
          <w:lang w:val="fr-FR"/>
        </w:rPr>
        <w:t>tableau</w:t>
      </w:r>
      <w:r w:rsidR="001F19B5" w:rsidRPr="00CF7824">
        <w:rPr>
          <w:rFonts w:cs="Calibri"/>
          <w:bCs/>
          <w:lang w:val="fr-FR"/>
        </w:rPr>
        <w:t> </w:t>
      </w:r>
      <w:r w:rsidRPr="00CF7824">
        <w:rPr>
          <w:rFonts w:cs="Calibri"/>
          <w:bCs/>
          <w:lang w:val="fr-FR"/>
        </w:rPr>
        <w:t xml:space="preserve">6). </w:t>
      </w:r>
    </w:p>
    <w:p w:rsidR="00724BBB" w:rsidRPr="00CF7824" w:rsidRDefault="00724BBB" w:rsidP="00724BBB">
      <w:pPr>
        <w:rPr>
          <w:rFonts w:asciiTheme="minorHAnsi" w:hAnsiTheme="minorHAnsi" w:cstheme="minorHAnsi"/>
          <w:bCs/>
          <w:lang w:val="fr-FR"/>
        </w:rPr>
      </w:pPr>
    </w:p>
    <w:p w:rsidR="00D46F37" w:rsidRPr="00CF7824" w:rsidRDefault="00164734" w:rsidP="00724BBB">
      <w:pPr>
        <w:rPr>
          <w:rFonts w:asciiTheme="minorHAnsi" w:hAnsiTheme="minorHAnsi" w:cstheme="minorHAnsi"/>
          <w:bCs/>
          <w:lang w:val="fr-FR"/>
        </w:rPr>
      </w:pPr>
      <w:r w:rsidRPr="00CF7824">
        <w:rPr>
          <w:rFonts w:cs="Calibri"/>
          <w:bCs/>
          <w:lang w:val="fr-FR"/>
        </w:rPr>
        <w:t>9.</w:t>
      </w:r>
      <w:r w:rsidRPr="00CF7824">
        <w:rPr>
          <w:rFonts w:cs="Calibri"/>
          <w:bCs/>
          <w:lang w:val="fr-FR"/>
        </w:rPr>
        <w:tab/>
        <w:t>L</w:t>
      </w:r>
      <w:r w:rsidR="00016E39" w:rsidRPr="00CF7824">
        <w:rPr>
          <w:rFonts w:cs="Calibri"/>
          <w:bCs/>
          <w:lang w:val="fr-FR"/>
        </w:rPr>
        <w:t>’</w:t>
      </w:r>
      <w:r w:rsidRPr="00CF7824">
        <w:rPr>
          <w:rFonts w:cs="Calibri"/>
          <w:bCs/>
          <w:lang w:val="fr-FR"/>
        </w:rPr>
        <w:t>édition WPE 2027 devrait inclure toutes les mises à jour nécessaires des estimations de population existantes (lorsque les informations sont obsolètes) et donner la priorité à l</w:t>
      </w:r>
      <w:r w:rsidR="00016E39" w:rsidRPr="00CF7824">
        <w:rPr>
          <w:rFonts w:cs="Calibri"/>
          <w:bCs/>
          <w:lang w:val="fr-FR"/>
        </w:rPr>
        <w:t>’</w:t>
      </w:r>
      <w:r w:rsidRPr="00CF7824">
        <w:rPr>
          <w:rFonts w:cs="Calibri"/>
          <w:bCs/>
          <w:lang w:val="fr-FR"/>
        </w:rPr>
        <w:t>ajout de nouvelles estimations de population qui n</w:t>
      </w:r>
      <w:r w:rsidR="00016E39" w:rsidRPr="00CF7824">
        <w:rPr>
          <w:rFonts w:cs="Calibri"/>
          <w:bCs/>
          <w:lang w:val="fr-FR"/>
        </w:rPr>
        <w:t>’</w:t>
      </w:r>
      <w:r w:rsidRPr="00CF7824">
        <w:rPr>
          <w:rFonts w:cs="Calibri"/>
          <w:bCs/>
          <w:lang w:val="fr-FR"/>
        </w:rPr>
        <w:t xml:space="preserve">étaient pas incluses dans les éditions précédentes (WPE 1 à 5) </w:t>
      </w:r>
      <w:r w:rsidR="004E074C" w:rsidRPr="00CF7824">
        <w:rPr>
          <w:rFonts w:cs="Calibri"/>
          <w:bCs/>
          <w:lang w:val="fr-FR"/>
        </w:rPr>
        <w:t>mais</w:t>
      </w:r>
      <w:r w:rsidRPr="00CF7824">
        <w:rPr>
          <w:rFonts w:cs="Calibri"/>
          <w:bCs/>
          <w:lang w:val="fr-FR"/>
        </w:rPr>
        <w:t xml:space="preserve"> sont désormais disponibles (incluant potentiellement celles des Amériques, des espèces résidentes européennes et des populations endémiques</w:t>
      </w:r>
      <w:r w:rsidR="00CF443B" w:rsidRPr="00CF7824">
        <w:rPr>
          <w:rFonts w:cs="Calibri"/>
          <w:bCs/>
          <w:lang w:val="fr-FR"/>
        </w:rPr>
        <w:t>/</w:t>
      </w:r>
      <w:r w:rsidRPr="00CF7824">
        <w:rPr>
          <w:rFonts w:cs="Calibri"/>
          <w:bCs/>
          <w:lang w:val="fr-FR"/>
        </w:rPr>
        <w:t>insulaires, y compris d</w:t>
      </w:r>
      <w:r w:rsidR="00016E39" w:rsidRPr="00CF7824">
        <w:rPr>
          <w:rFonts w:cs="Calibri"/>
          <w:bCs/>
          <w:lang w:val="fr-FR"/>
        </w:rPr>
        <w:t>’</w:t>
      </w:r>
      <w:r w:rsidRPr="00CF7824">
        <w:rPr>
          <w:rFonts w:cs="Calibri"/>
          <w:bCs/>
          <w:lang w:val="fr-FR"/>
        </w:rPr>
        <w:t>Australie et de Nouvelle-Zélande). Elle intégrera également les mises à jour des derniers Rapports sur l</w:t>
      </w:r>
      <w:r w:rsidR="00016E39" w:rsidRPr="00CF7824">
        <w:rPr>
          <w:rFonts w:cs="Calibri"/>
          <w:bCs/>
          <w:lang w:val="fr-FR"/>
        </w:rPr>
        <w:t>’</w:t>
      </w:r>
      <w:r w:rsidRPr="00CF7824">
        <w:rPr>
          <w:rFonts w:cs="Calibri"/>
          <w:bCs/>
          <w:lang w:val="fr-FR"/>
        </w:rPr>
        <w:t xml:space="preserve">état de conservation (CSR – </w:t>
      </w:r>
      <w:r w:rsidRPr="00CF7824">
        <w:rPr>
          <w:rFonts w:cs="Calibri"/>
          <w:bCs/>
          <w:i/>
          <w:iCs/>
          <w:lang w:val="fr-FR"/>
        </w:rPr>
        <w:t>Conservation Status Reports</w:t>
      </w:r>
      <w:r w:rsidRPr="00CF7824">
        <w:rPr>
          <w:rFonts w:cs="Calibri"/>
          <w:bCs/>
          <w:lang w:val="fr-FR"/>
        </w:rPr>
        <w:t>) de l</w:t>
      </w:r>
      <w:r w:rsidR="00016E39" w:rsidRPr="00CF7824">
        <w:rPr>
          <w:rFonts w:cs="Calibri"/>
          <w:bCs/>
          <w:lang w:val="fr-FR"/>
        </w:rPr>
        <w:t>’</w:t>
      </w:r>
      <w:r w:rsidRPr="00CF7824">
        <w:rPr>
          <w:rFonts w:cs="Calibri"/>
          <w:bCs/>
          <w:lang w:val="fr-FR"/>
        </w:rPr>
        <w:t>Accord sur la conservation des oiseaux d</w:t>
      </w:r>
      <w:r w:rsidR="00016E39" w:rsidRPr="00CF7824">
        <w:rPr>
          <w:rFonts w:cs="Calibri"/>
          <w:bCs/>
          <w:lang w:val="fr-FR"/>
        </w:rPr>
        <w:t>’</w:t>
      </w:r>
      <w:r w:rsidRPr="00CF7824">
        <w:rPr>
          <w:rFonts w:cs="Calibri"/>
          <w:bCs/>
          <w:lang w:val="fr-FR"/>
        </w:rPr>
        <w:t>eau migrateurs d</w:t>
      </w:r>
      <w:r w:rsidR="00016E39" w:rsidRPr="00CF7824">
        <w:rPr>
          <w:rFonts w:cs="Calibri"/>
          <w:bCs/>
          <w:lang w:val="fr-FR"/>
        </w:rPr>
        <w:t>’</w:t>
      </w:r>
      <w:r w:rsidRPr="00CF7824">
        <w:rPr>
          <w:rFonts w:cs="Calibri"/>
          <w:bCs/>
          <w:lang w:val="fr-FR"/>
        </w:rPr>
        <w:t>Afrique-Eurasie</w:t>
      </w:r>
      <w:r w:rsidR="00CF443B" w:rsidRPr="00CF7824">
        <w:rPr>
          <w:rFonts w:cs="Calibri"/>
          <w:bCs/>
          <w:lang w:val="fr-FR"/>
        </w:rPr>
        <w:t xml:space="preserve"> (AEWA)</w:t>
      </w:r>
      <w:r w:rsidRPr="00CF7824">
        <w:rPr>
          <w:rFonts w:cs="Calibri"/>
          <w:bCs/>
          <w:lang w:val="fr-FR"/>
        </w:rPr>
        <w:t xml:space="preserve"> et du Partenariat </w:t>
      </w:r>
      <w:r w:rsidR="00304BDC" w:rsidRPr="00CF7824">
        <w:rPr>
          <w:rFonts w:cs="Calibri"/>
          <w:bCs/>
          <w:lang w:val="fr-FR"/>
        </w:rPr>
        <w:t>pour</w:t>
      </w:r>
      <w:r w:rsidRPr="00CF7824">
        <w:rPr>
          <w:rFonts w:cs="Calibri"/>
          <w:bCs/>
          <w:lang w:val="fr-FR"/>
        </w:rPr>
        <w:t xml:space="preserve"> la voie de migration Asie de l</w:t>
      </w:r>
      <w:r w:rsidR="00016E39" w:rsidRPr="00CF7824">
        <w:rPr>
          <w:rFonts w:cs="Calibri"/>
          <w:bCs/>
          <w:lang w:val="fr-FR"/>
        </w:rPr>
        <w:t>’</w:t>
      </w:r>
      <w:r w:rsidRPr="00CF7824">
        <w:rPr>
          <w:rFonts w:cs="Calibri"/>
          <w:bCs/>
          <w:lang w:val="fr-FR"/>
        </w:rPr>
        <w:t>Est</w:t>
      </w:r>
      <w:r w:rsidR="00467CB8" w:rsidRPr="00CF7824">
        <w:rPr>
          <w:rFonts w:cs="Calibri"/>
          <w:bCs/>
          <w:lang w:val="fr-FR"/>
        </w:rPr>
        <w:t>-</w:t>
      </w:r>
      <w:r w:rsidRPr="00CF7824">
        <w:rPr>
          <w:rFonts w:cs="Calibri"/>
          <w:bCs/>
          <w:lang w:val="fr-FR"/>
        </w:rPr>
        <w:t>Australasie</w:t>
      </w:r>
      <w:r w:rsidR="00CF443B" w:rsidRPr="00CF7824">
        <w:rPr>
          <w:rFonts w:cs="Calibri"/>
          <w:bCs/>
          <w:lang w:val="fr-FR"/>
        </w:rPr>
        <w:t xml:space="preserve"> (EAAFP)</w:t>
      </w:r>
      <w:r w:rsidRPr="00CF7824">
        <w:rPr>
          <w:rFonts w:cs="Calibri"/>
          <w:bCs/>
          <w:lang w:val="fr-FR"/>
        </w:rPr>
        <w:t>. La portée finale de la mise à jour dépendra des données et des ressources disponibles pour entreprendre l</w:t>
      </w:r>
      <w:r w:rsidR="00016E39" w:rsidRPr="00CF7824">
        <w:rPr>
          <w:rFonts w:cs="Calibri"/>
          <w:bCs/>
          <w:lang w:val="fr-FR"/>
        </w:rPr>
        <w:t>’</w:t>
      </w:r>
      <w:r w:rsidRPr="00CF7824">
        <w:rPr>
          <w:rFonts w:cs="Calibri"/>
          <w:bCs/>
          <w:lang w:val="fr-FR"/>
        </w:rPr>
        <w:t>évaluation.</w:t>
      </w:r>
    </w:p>
    <w:p w:rsidR="00D46F37" w:rsidRPr="00CF7824" w:rsidRDefault="00D46F37" w:rsidP="00D46F37">
      <w:pPr>
        <w:rPr>
          <w:rFonts w:asciiTheme="minorHAnsi" w:hAnsiTheme="minorHAnsi" w:cstheme="minorHAnsi"/>
          <w:bCs/>
          <w:lang w:val="fr-FR"/>
        </w:rPr>
      </w:pPr>
    </w:p>
    <w:p w:rsidR="00D46F37" w:rsidRPr="00CF7824" w:rsidRDefault="00164734" w:rsidP="00886A84">
      <w:pPr>
        <w:rPr>
          <w:rFonts w:asciiTheme="minorHAnsi" w:hAnsiTheme="minorHAnsi" w:cstheme="minorHAnsi"/>
          <w:bCs/>
          <w:lang w:val="fr-FR"/>
        </w:rPr>
      </w:pPr>
      <w:r w:rsidRPr="00CF7824">
        <w:rPr>
          <w:rFonts w:cs="Calibri"/>
          <w:bCs/>
          <w:lang w:val="fr-FR"/>
        </w:rPr>
        <w:t>10.</w:t>
      </w:r>
      <w:r w:rsidRPr="00CF7824">
        <w:rPr>
          <w:rFonts w:cs="Calibri"/>
          <w:bCs/>
          <w:lang w:val="fr-FR"/>
        </w:rPr>
        <w:tab/>
        <w:t xml:space="preserve">Parallèlement à ces travaux immédiats, il convient de mettre au point </w:t>
      </w:r>
      <w:r w:rsidR="004E074C" w:rsidRPr="00CF7824">
        <w:rPr>
          <w:rFonts w:cs="Calibri"/>
          <w:bCs/>
          <w:lang w:val="fr-FR"/>
        </w:rPr>
        <w:t xml:space="preserve">urgemment </w:t>
      </w:r>
      <w:r w:rsidRPr="00CF7824">
        <w:rPr>
          <w:rFonts w:cs="Calibri"/>
          <w:bCs/>
          <w:lang w:val="fr-FR"/>
        </w:rPr>
        <w:t>une solution à plus long terme qui facilite un processus périodique d</w:t>
      </w:r>
      <w:r w:rsidR="00016E39" w:rsidRPr="00CF7824">
        <w:rPr>
          <w:rFonts w:cs="Calibri"/>
          <w:bCs/>
          <w:lang w:val="fr-FR"/>
        </w:rPr>
        <w:t>’</w:t>
      </w:r>
      <w:r w:rsidRPr="00CF7824">
        <w:rPr>
          <w:rFonts w:cs="Calibri"/>
          <w:bCs/>
          <w:lang w:val="fr-FR"/>
        </w:rPr>
        <w:t>estimation des populations d</w:t>
      </w:r>
      <w:r w:rsidR="00016E39" w:rsidRPr="00CF7824">
        <w:rPr>
          <w:rFonts w:cs="Calibri"/>
          <w:bCs/>
          <w:lang w:val="fr-FR"/>
        </w:rPr>
        <w:t>’</w:t>
      </w:r>
      <w:r w:rsidRPr="00CF7824">
        <w:rPr>
          <w:rFonts w:cs="Calibri"/>
          <w:bCs/>
          <w:lang w:val="fr-FR"/>
        </w:rPr>
        <w:t xml:space="preserve">oiseau (processus WPE) en temps </w:t>
      </w:r>
      <w:r w:rsidR="00CF443B" w:rsidRPr="00CF7824">
        <w:rPr>
          <w:rFonts w:cs="Calibri"/>
          <w:bCs/>
          <w:lang w:val="fr-FR"/>
        </w:rPr>
        <w:t>opportun</w:t>
      </w:r>
      <w:r w:rsidRPr="00CF7824">
        <w:rPr>
          <w:rFonts w:cs="Calibri"/>
          <w:bCs/>
          <w:lang w:val="fr-FR"/>
        </w:rPr>
        <w:t xml:space="preserve"> et de manière régulière. Il est recommandé de mettre en place un </w:t>
      </w:r>
      <w:r w:rsidR="00376BA1" w:rsidRPr="00CF7824">
        <w:rPr>
          <w:rFonts w:cs="Calibri"/>
          <w:bCs/>
          <w:lang w:val="fr-FR"/>
        </w:rPr>
        <w:t>« </w:t>
      </w:r>
      <w:r w:rsidRPr="00CF7824">
        <w:rPr>
          <w:rFonts w:cs="Calibri"/>
          <w:bCs/>
          <w:lang w:val="fr-FR"/>
        </w:rPr>
        <w:t>Partenariat pour l</w:t>
      </w:r>
      <w:r w:rsidR="00016E39" w:rsidRPr="00CF7824">
        <w:rPr>
          <w:rFonts w:cs="Calibri"/>
          <w:bCs/>
          <w:lang w:val="fr-FR"/>
        </w:rPr>
        <w:t>’</w:t>
      </w:r>
      <w:r w:rsidRPr="00CF7824">
        <w:rPr>
          <w:rFonts w:cs="Calibri"/>
          <w:bCs/>
          <w:lang w:val="fr-FR"/>
        </w:rPr>
        <w:t>estimation des oiseaux d</w:t>
      </w:r>
      <w:r w:rsidR="00016E39" w:rsidRPr="00CF7824">
        <w:rPr>
          <w:rFonts w:cs="Calibri"/>
          <w:bCs/>
          <w:lang w:val="fr-FR"/>
        </w:rPr>
        <w:t>’</w:t>
      </w:r>
      <w:r w:rsidRPr="00CF7824">
        <w:rPr>
          <w:rFonts w:cs="Calibri"/>
          <w:bCs/>
          <w:lang w:val="fr-FR"/>
        </w:rPr>
        <w:t>eau</w:t>
      </w:r>
      <w:r w:rsidR="00376BA1" w:rsidRPr="00CF7824">
        <w:rPr>
          <w:rFonts w:cs="Calibri"/>
          <w:bCs/>
          <w:lang w:val="fr-FR"/>
        </w:rPr>
        <w:t> »</w:t>
      </w:r>
      <w:r w:rsidRPr="00CF7824">
        <w:rPr>
          <w:rFonts w:cs="Calibri"/>
          <w:bCs/>
          <w:lang w:val="fr-FR"/>
        </w:rPr>
        <w:t xml:space="preserve"> (WEP – </w:t>
      </w:r>
      <w:r w:rsidRPr="00CF7824">
        <w:rPr>
          <w:rFonts w:cs="Calibri"/>
          <w:bCs/>
          <w:i/>
          <w:iCs/>
          <w:lang w:val="fr-FR"/>
        </w:rPr>
        <w:t>Waterbird Estimates Partnership</w:t>
      </w:r>
      <w:r w:rsidRPr="00CF7824">
        <w:rPr>
          <w:rFonts w:cs="Calibri"/>
          <w:bCs/>
          <w:lang w:val="fr-FR"/>
        </w:rPr>
        <w:t>) mondial, en collaboration avec d</w:t>
      </w:r>
      <w:r w:rsidR="00016E39" w:rsidRPr="00CF7824">
        <w:rPr>
          <w:rFonts w:cs="Calibri"/>
          <w:bCs/>
          <w:lang w:val="fr-FR"/>
        </w:rPr>
        <w:t>’</w:t>
      </w:r>
      <w:r w:rsidRPr="00CF7824">
        <w:rPr>
          <w:rFonts w:cs="Calibri"/>
          <w:bCs/>
          <w:lang w:val="fr-FR"/>
        </w:rPr>
        <w:t>autres acteurs (fournisseurs et utilisateurs de données). Ce type de partenariat a été proposé précédemment (voir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2 du présent document)</w:t>
      </w:r>
      <w:r w:rsidR="00CF443B" w:rsidRPr="00CF7824">
        <w:rPr>
          <w:rFonts w:cs="Calibri"/>
          <w:bCs/>
          <w:lang w:val="fr-FR"/>
        </w:rPr>
        <w:t>, il</w:t>
      </w:r>
      <w:r w:rsidRPr="00CF7824">
        <w:rPr>
          <w:rFonts w:cs="Calibri"/>
          <w:bCs/>
          <w:lang w:val="fr-FR"/>
        </w:rPr>
        <w:t xml:space="preserve"> facilitera de nouvelles synergies et renforcera celles qui existent déjà entre les acteurs, permettra le développement d</w:t>
      </w:r>
      <w:r w:rsidR="00016E39" w:rsidRPr="00CF7824">
        <w:rPr>
          <w:rFonts w:cs="Calibri"/>
          <w:bCs/>
          <w:lang w:val="fr-FR"/>
        </w:rPr>
        <w:t>’</w:t>
      </w:r>
      <w:r w:rsidRPr="00CF7824">
        <w:rPr>
          <w:rFonts w:cs="Calibri"/>
          <w:bCs/>
          <w:lang w:val="fr-FR"/>
        </w:rPr>
        <w:t xml:space="preserve">un mécanisme efficient pour fournir les estimations en </w:t>
      </w:r>
      <w:r w:rsidRPr="00CF7824">
        <w:rPr>
          <w:rFonts w:cs="Calibri"/>
          <w:bCs/>
          <w:lang w:val="fr-FR"/>
        </w:rPr>
        <w:lastRenderedPageBreak/>
        <w:t>temps voulu à des fins et des utilisateurs multiples, et établira un processus qui intègre de nouvelles sources de données pour les estimations des populations. Le futur processus WPE, mis en œuvre par l</w:t>
      </w:r>
      <w:r w:rsidR="00016E39" w:rsidRPr="00CF7824">
        <w:rPr>
          <w:rFonts w:cs="Calibri"/>
          <w:bCs/>
          <w:lang w:val="fr-FR"/>
        </w:rPr>
        <w:t>’</w:t>
      </w:r>
      <w:r w:rsidRPr="00CF7824">
        <w:rPr>
          <w:rFonts w:cs="Calibri"/>
          <w:bCs/>
          <w:lang w:val="fr-FR"/>
        </w:rPr>
        <w:t>intermédiaire d</w:t>
      </w:r>
      <w:r w:rsidR="004E074C" w:rsidRPr="00CF7824">
        <w:rPr>
          <w:rFonts w:cs="Calibri"/>
          <w:bCs/>
          <w:lang w:val="fr-FR"/>
        </w:rPr>
        <w:t>u</w:t>
      </w:r>
      <w:r w:rsidRPr="00CF7824">
        <w:rPr>
          <w:rFonts w:cs="Calibri"/>
          <w:bCs/>
          <w:lang w:val="fr-FR"/>
        </w:rPr>
        <w:t xml:space="preserve"> Partenariat pour l</w:t>
      </w:r>
      <w:r w:rsidR="00016E39" w:rsidRPr="00CF7824">
        <w:rPr>
          <w:rFonts w:cs="Calibri"/>
          <w:bCs/>
          <w:lang w:val="fr-FR"/>
        </w:rPr>
        <w:t>’</w:t>
      </w:r>
      <w:r w:rsidRPr="00CF7824">
        <w:rPr>
          <w:rFonts w:cs="Calibri"/>
          <w:bCs/>
          <w:lang w:val="fr-FR"/>
        </w:rPr>
        <w:t>estimation des oiseaux d</w:t>
      </w:r>
      <w:r w:rsidR="00016E39" w:rsidRPr="00CF7824">
        <w:rPr>
          <w:rFonts w:cs="Calibri"/>
          <w:bCs/>
          <w:lang w:val="fr-FR"/>
        </w:rPr>
        <w:t>’</w:t>
      </w:r>
      <w:r w:rsidRPr="00CF7824">
        <w:rPr>
          <w:rFonts w:cs="Calibri"/>
          <w:bCs/>
          <w:lang w:val="fr-FR"/>
        </w:rPr>
        <w:t>eau, vise à réduire la charge globale en matière de dotation en ressources, mais il dépendra d</w:t>
      </w:r>
      <w:r w:rsidR="00016E39" w:rsidRPr="00CF7824">
        <w:rPr>
          <w:rFonts w:cs="Calibri"/>
          <w:bCs/>
          <w:lang w:val="fr-FR"/>
        </w:rPr>
        <w:t>’</w:t>
      </w:r>
      <w:r w:rsidRPr="00CF7824">
        <w:rPr>
          <w:rFonts w:cs="Calibri"/>
          <w:bCs/>
          <w:lang w:val="fr-FR"/>
        </w:rPr>
        <w:t>une solution de financement à long terme et de ressources plus larges (voir le tableau</w:t>
      </w:r>
      <w:r w:rsidR="001F19B5" w:rsidRPr="00CF7824">
        <w:rPr>
          <w:rFonts w:cs="Calibri"/>
          <w:bCs/>
          <w:lang w:val="fr-FR"/>
        </w:rPr>
        <w:t> </w:t>
      </w:r>
      <w:r w:rsidRPr="00CF7824">
        <w:rPr>
          <w:rFonts w:cs="Calibri"/>
          <w:bCs/>
          <w:lang w:val="fr-FR"/>
        </w:rPr>
        <w:t>5 et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4).</w:t>
      </w:r>
    </w:p>
    <w:p w:rsidR="00D46F37" w:rsidRPr="00CF7824" w:rsidRDefault="00D46F37" w:rsidP="00D46F37">
      <w:pPr>
        <w:rPr>
          <w:rFonts w:asciiTheme="minorHAnsi" w:hAnsiTheme="minorHAnsi" w:cstheme="minorHAnsi"/>
          <w:bCs/>
          <w:lang w:val="fr-FR"/>
        </w:rPr>
      </w:pPr>
    </w:p>
    <w:p w:rsidR="00D46F37" w:rsidRPr="00CF7824" w:rsidRDefault="00164734" w:rsidP="00886A84">
      <w:pPr>
        <w:rPr>
          <w:rFonts w:asciiTheme="minorHAnsi" w:hAnsiTheme="minorHAnsi" w:cstheme="minorHAnsi"/>
          <w:bCs/>
          <w:lang w:val="fr-FR"/>
        </w:rPr>
      </w:pPr>
      <w:r w:rsidRPr="00CF7824">
        <w:rPr>
          <w:rFonts w:cs="Calibri"/>
          <w:bCs/>
          <w:lang w:val="fr-FR"/>
        </w:rPr>
        <w:t>11.</w:t>
      </w:r>
      <w:r w:rsidRPr="00CF7824">
        <w:rPr>
          <w:rFonts w:cs="Calibri"/>
          <w:bCs/>
          <w:lang w:val="fr-FR"/>
        </w:rPr>
        <w:tab/>
        <w:t>L</w:t>
      </w:r>
      <w:r w:rsidR="00016E39" w:rsidRPr="00CF7824">
        <w:rPr>
          <w:rFonts w:cs="Calibri"/>
          <w:bCs/>
          <w:lang w:val="fr-FR"/>
        </w:rPr>
        <w:t>’</w:t>
      </w:r>
      <w:r w:rsidRPr="00CF7824">
        <w:rPr>
          <w:rFonts w:cs="Calibri"/>
          <w:bCs/>
          <w:lang w:val="fr-FR"/>
        </w:rPr>
        <w:t>approche de partenariat est recommandée compte tenu du large éventail de données et d</w:t>
      </w:r>
      <w:r w:rsidR="00016E39" w:rsidRPr="00CF7824">
        <w:rPr>
          <w:rFonts w:cs="Calibri"/>
          <w:bCs/>
          <w:lang w:val="fr-FR"/>
        </w:rPr>
        <w:t>’</w:t>
      </w:r>
      <w:r w:rsidRPr="00CF7824">
        <w:rPr>
          <w:rFonts w:cs="Calibri"/>
          <w:bCs/>
          <w:lang w:val="fr-FR"/>
        </w:rPr>
        <w:t xml:space="preserve">informations qui doivent être conservées pour garantir la précision des rapports pour les WPE. Le </w:t>
      </w:r>
      <w:r w:rsidR="00CD4B88" w:rsidRPr="00CF7824">
        <w:rPr>
          <w:rFonts w:cs="Calibri"/>
          <w:bCs/>
          <w:lang w:val="fr-FR"/>
        </w:rPr>
        <w:t xml:space="preserve">Partenariat </w:t>
      </w:r>
      <w:r w:rsidRPr="00CF7824">
        <w:rPr>
          <w:rFonts w:cs="Calibri"/>
          <w:bCs/>
          <w:lang w:val="fr-FR"/>
        </w:rPr>
        <w:t>permettra également de créer un forum pour répondre aux multiples questions techniques et procédurales liées à la mise à jour des WPE.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4 illustre les accords de partenariat qui pourraient s</w:t>
      </w:r>
      <w:r w:rsidR="00016E39" w:rsidRPr="00CF7824">
        <w:rPr>
          <w:rFonts w:cs="Calibri"/>
          <w:bCs/>
          <w:lang w:val="fr-FR"/>
        </w:rPr>
        <w:t>’</w:t>
      </w:r>
      <w:r w:rsidRPr="00CF7824">
        <w:rPr>
          <w:rFonts w:cs="Calibri"/>
          <w:bCs/>
          <w:lang w:val="fr-FR"/>
        </w:rPr>
        <w:t>avérer nécessaires pour mettre en œuvre les recommandations techniques relatives à la mise à jour des WPE dans plusieurs voies de migration et régions géographiques.</w:t>
      </w:r>
    </w:p>
    <w:p w:rsidR="00D46F37" w:rsidRPr="00CF7824" w:rsidRDefault="00D46F37" w:rsidP="00D46F37">
      <w:pPr>
        <w:rPr>
          <w:rFonts w:asciiTheme="minorHAnsi" w:hAnsiTheme="minorHAnsi" w:cstheme="minorHAnsi"/>
          <w:bCs/>
          <w:lang w:val="fr-FR"/>
        </w:rPr>
      </w:pPr>
    </w:p>
    <w:p w:rsidR="00D46F37" w:rsidRPr="00CF7824" w:rsidRDefault="00164734" w:rsidP="00886A84">
      <w:pPr>
        <w:rPr>
          <w:rFonts w:asciiTheme="minorHAnsi" w:hAnsiTheme="minorHAnsi" w:cstheme="minorHAnsi"/>
          <w:bCs/>
          <w:lang w:val="fr-FR"/>
        </w:rPr>
      </w:pPr>
      <w:r w:rsidRPr="00CF7824">
        <w:rPr>
          <w:rFonts w:cs="Calibri"/>
          <w:bCs/>
          <w:lang w:val="fr-FR"/>
        </w:rPr>
        <w:t xml:space="preserve">12. </w:t>
      </w:r>
      <w:r w:rsidRPr="00CF7824">
        <w:rPr>
          <w:rFonts w:cs="Calibri"/>
          <w:bCs/>
          <w:lang w:val="fr-FR"/>
        </w:rPr>
        <w:tab/>
        <w:t>Avec l</w:t>
      </w:r>
      <w:r w:rsidR="00016E39" w:rsidRPr="00CF7824">
        <w:rPr>
          <w:rFonts w:cs="Calibri"/>
          <w:bCs/>
          <w:lang w:val="fr-FR"/>
        </w:rPr>
        <w:t>’</w:t>
      </w:r>
      <w:r w:rsidRPr="00CF7824">
        <w:rPr>
          <w:rFonts w:cs="Calibri"/>
          <w:bCs/>
          <w:lang w:val="fr-FR"/>
        </w:rPr>
        <w:t>approbation de la Convention sur les zones humides et d</w:t>
      </w:r>
      <w:r w:rsidR="00016E39" w:rsidRPr="00CF7824">
        <w:rPr>
          <w:rFonts w:cs="Calibri"/>
          <w:bCs/>
          <w:lang w:val="fr-FR"/>
        </w:rPr>
        <w:t>’</w:t>
      </w:r>
      <w:r w:rsidRPr="00CF7824">
        <w:rPr>
          <w:rFonts w:cs="Calibri"/>
          <w:bCs/>
          <w:lang w:val="fr-FR"/>
        </w:rPr>
        <w:t xml:space="preserve">autres organisations (voir </w:t>
      </w:r>
      <w:r w:rsidR="00AA52E6" w:rsidRPr="00CF7824">
        <w:rPr>
          <w:rFonts w:cs="Calibri"/>
          <w:bCs/>
          <w:lang w:val="fr-FR"/>
        </w:rPr>
        <w:t>l’</w:t>
      </w:r>
      <w:r w:rsidRPr="00CF7824">
        <w:rPr>
          <w:rFonts w:cs="Calibri"/>
          <w:bCs/>
          <w:lang w:val="fr-FR"/>
        </w:rPr>
        <w:t>annexe</w:t>
      </w:r>
      <w:r w:rsidR="001F19B5" w:rsidRPr="00CF7824">
        <w:rPr>
          <w:rFonts w:cs="Calibri"/>
          <w:bCs/>
          <w:lang w:val="fr-FR"/>
        </w:rPr>
        <w:t> </w:t>
      </w:r>
      <w:r w:rsidRPr="00CF7824">
        <w:rPr>
          <w:rFonts w:cs="Calibri"/>
          <w:bCs/>
          <w:lang w:val="fr-FR"/>
        </w:rPr>
        <w:t>2), il serait possible d</w:t>
      </w:r>
      <w:r w:rsidR="00016E39" w:rsidRPr="00CF7824">
        <w:rPr>
          <w:rFonts w:cs="Calibri"/>
          <w:bCs/>
          <w:lang w:val="fr-FR"/>
        </w:rPr>
        <w:t>’</w:t>
      </w:r>
      <w:r w:rsidRPr="00CF7824">
        <w:rPr>
          <w:rFonts w:cs="Calibri"/>
          <w:bCs/>
          <w:lang w:val="fr-FR"/>
        </w:rPr>
        <w:t>explorer des solutions innovantes de financement des travaux du Partenariat et du processus WPE, y compris de la part d</w:t>
      </w:r>
      <w:r w:rsidR="00016E39" w:rsidRPr="00CF7824">
        <w:rPr>
          <w:rFonts w:cs="Calibri"/>
          <w:bCs/>
          <w:lang w:val="fr-FR"/>
        </w:rPr>
        <w:t>’</w:t>
      </w:r>
      <w:r w:rsidRPr="00CF7824">
        <w:rPr>
          <w:rFonts w:cs="Calibri"/>
          <w:bCs/>
          <w:lang w:val="fr-FR"/>
        </w:rPr>
        <w:t>entreprises et d</w:t>
      </w:r>
      <w:r w:rsidR="00016E39" w:rsidRPr="00CF7824">
        <w:rPr>
          <w:rFonts w:cs="Calibri"/>
          <w:bCs/>
          <w:lang w:val="fr-FR"/>
        </w:rPr>
        <w:t>’</w:t>
      </w:r>
      <w:r w:rsidRPr="00CF7824">
        <w:rPr>
          <w:rFonts w:cs="Calibri"/>
          <w:bCs/>
          <w:lang w:val="fr-FR"/>
        </w:rPr>
        <w:t xml:space="preserve">autres sources (voir </w:t>
      </w:r>
      <w:r w:rsidR="00AA52E6" w:rsidRPr="00CF7824">
        <w:rPr>
          <w:rFonts w:cs="Calibri"/>
          <w:bCs/>
          <w:lang w:val="fr-FR"/>
        </w:rPr>
        <w:t>l’</w:t>
      </w:r>
      <w:r w:rsidRPr="00CF7824">
        <w:rPr>
          <w:rFonts w:cs="Calibri"/>
          <w:bCs/>
          <w:lang w:val="fr-FR"/>
        </w:rPr>
        <w:t>annexe</w:t>
      </w:r>
      <w:r w:rsidR="001F19B5" w:rsidRPr="00CF7824">
        <w:rPr>
          <w:rFonts w:cs="Calibri"/>
          <w:bCs/>
          <w:lang w:val="fr-FR"/>
        </w:rPr>
        <w:t> </w:t>
      </w:r>
      <w:r w:rsidRPr="00CF7824">
        <w:rPr>
          <w:rFonts w:cs="Calibri"/>
          <w:bCs/>
          <w:lang w:val="fr-FR"/>
        </w:rPr>
        <w:t>3).</w:t>
      </w:r>
    </w:p>
    <w:p w:rsidR="00D46F37" w:rsidRPr="00CF7824" w:rsidRDefault="00D46F37" w:rsidP="00D46F37">
      <w:pPr>
        <w:rPr>
          <w:rFonts w:asciiTheme="minorHAnsi" w:hAnsiTheme="minorHAnsi" w:cstheme="minorHAnsi"/>
          <w:bCs/>
          <w:lang w:val="fr-FR"/>
        </w:rPr>
      </w:pPr>
    </w:p>
    <w:p w:rsidR="004A0F41" w:rsidRPr="00CF7824" w:rsidRDefault="00164734" w:rsidP="00886A84">
      <w:pPr>
        <w:rPr>
          <w:rFonts w:asciiTheme="minorHAnsi" w:hAnsiTheme="minorHAnsi" w:cstheme="minorHAnsi"/>
          <w:bCs/>
          <w:lang w:val="fr-FR"/>
        </w:rPr>
      </w:pPr>
      <w:r w:rsidRPr="00CF7824">
        <w:rPr>
          <w:rFonts w:cs="Calibri"/>
          <w:bCs/>
          <w:lang w:val="fr-FR"/>
        </w:rPr>
        <w:t>13.</w:t>
      </w:r>
      <w:r w:rsidRPr="00CF7824">
        <w:rPr>
          <w:rFonts w:cs="Calibri"/>
          <w:bCs/>
          <w:lang w:val="fr-FR"/>
        </w:rPr>
        <w:tab/>
      </w:r>
      <w:r w:rsidR="00CD4B88" w:rsidRPr="00CF7824">
        <w:rPr>
          <w:rFonts w:cs="Calibri"/>
          <w:bCs/>
          <w:lang w:val="fr-FR"/>
        </w:rPr>
        <w:t>Le</w:t>
      </w:r>
      <w:r w:rsidRPr="00CF7824">
        <w:rPr>
          <w:rFonts w:cs="Calibri"/>
          <w:bCs/>
          <w:lang w:val="fr-FR"/>
        </w:rPr>
        <w:t xml:space="preserve"> nouveau Partenariat pour l</w:t>
      </w:r>
      <w:r w:rsidR="00016E39" w:rsidRPr="00CF7824">
        <w:rPr>
          <w:rFonts w:cs="Calibri"/>
          <w:bCs/>
          <w:lang w:val="fr-FR"/>
        </w:rPr>
        <w:t>’</w:t>
      </w:r>
      <w:r w:rsidRPr="00CF7824">
        <w:rPr>
          <w:rFonts w:cs="Calibri"/>
          <w:bCs/>
          <w:lang w:val="fr-FR"/>
        </w:rPr>
        <w:t>estimation des oiseaux d</w:t>
      </w:r>
      <w:r w:rsidR="00016E39" w:rsidRPr="00CF7824">
        <w:rPr>
          <w:rFonts w:cs="Calibri"/>
          <w:bCs/>
          <w:lang w:val="fr-FR"/>
        </w:rPr>
        <w:t>’</w:t>
      </w:r>
      <w:r w:rsidRPr="00CF7824">
        <w:rPr>
          <w:rFonts w:cs="Calibri"/>
          <w:bCs/>
          <w:lang w:val="fr-FR"/>
        </w:rPr>
        <w:t>eau pourrait également jouer un rôle important en encourageant le renforcement du suivi dans tous les pays pour toutes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en mobilisant les ressources nécessaires pour améliorer le renforcement des capacités locales et </w:t>
      </w:r>
      <w:r w:rsidR="00CD4B88" w:rsidRPr="00CF7824">
        <w:rPr>
          <w:rFonts w:cs="Calibri"/>
          <w:bCs/>
          <w:lang w:val="fr-FR"/>
        </w:rPr>
        <w:t>en augmentant les</w:t>
      </w:r>
      <w:r w:rsidRPr="00CF7824">
        <w:rPr>
          <w:rFonts w:cs="Calibri"/>
          <w:bCs/>
          <w:lang w:val="fr-FR"/>
        </w:rPr>
        <w:t xml:space="preserve"> ressources pour la mise en œuvre du suivi afin d</w:t>
      </w:r>
      <w:r w:rsidR="00016E39" w:rsidRPr="00CF7824">
        <w:rPr>
          <w:rFonts w:cs="Calibri"/>
          <w:bCs/>
          <w:lang w:val="fr-FR"/>
        </w:rPr>
        <w:t>’</w:t>
      </w:r>
      <w:r w:rsidRPr="00CF7824">
        <w:rPr>
          <w:rFonts w:cs="Calibri"/>
          <w:bCs/>
          <w:lang w:val="fr-FR"/>
        </w:rPr>
        <w:t>améliorer les flux de données et de permettre des révisions régulières.</w:t>
      </w:r>
    </w:p>
    <w:p w:rsidR="007F19DC" w:rsidRPr="00CF7824" w:rsidRDefault="007F19DC" w:rsidP="00886A84">
      <w:pPr>
        <w:rPr>
          <w:rFonts w:asciiTheme="minorHAnsi" w:hAnsiTheme="minorHAnsi" w:cstheme="minorHAnsi"/>
          <w:bCs/>
          <w:lang w:val="fr-FR"/>
        </w:rPr>
      </w:pPr>
    </w:p>
    <w:p w:rsidR="007F19DC" w:rsidRPr="00CF7824" w:rsidRDefault="00164734" w:rsidP="00B87A43">
      <w:pPr>
        <w:keepNext/>
        <w:rPr>
          <w:rFonts w:asciiTheme="minorHAnsi" w:hAnsiTheme="minorHAnsi" w:cstheme="minorHAnsi"/>
          <w:bCs/>
          <w:lang w:val="fr-FR"/>
        </w:rPr>
      </w:pPr>
      <w:r w:rsidRPr="00CF7824">
        <w:rPr>
          <w:rFonts w:cs="Calibri"/>
          <w:bCs/>
          <w:lang w:val="fr-FR"/>
        </w:rPr>
        <w:t>14.</w:t>
      </w:r>
      <w:r w:rsidRPr="00CF7824">
        <w:rPr>
          <w:rFonts w:cs="Calibri"/>
          <w:bCs/>
          <w:lang w:val="fr-FR"/>
        </w:rPr>
        <w:tab/>
        <w:t xml:space="preserve">La présente proposition technique comprend six recommandations du GEST, résumées dans la section </w:t>
      </w:r>
      <w:r w:rsidR="003C4D84" w:rsidRPr="00CF7824">
        <w:rPr>
          <w:rFonts w:cs="Calibri"/>
          <w:bCs/>
          <w:lang w:val="fr-FR"/>
        </w:rPr>
        <w:t xml:space="preserve">portant </w:t>
      </w:r>
      <w:r w:rsidRPr="00CF7824">
        <w:rPr>
          <w:rFonts w:cs="Calibri"/>
          <w:bCs/>
          <w:lang w:val="fr-FR"/>
        </w:rPr>
        <w:t>sur les principales recommandations du GEST.</w:t>
      </w:r>
    </w:p>
    <w:p w:rsidR="00B20747" w:rsidRPr="00CF7824" w:rsidRDefault="00B20747" w:rsidP="000123FD">
      <w:pPr>
        <w:rPr>
          <w:rFonts w:asciiTheme="minorHAnsi" w:hAnsiTheme="minorHAnsi" w:cstheme="minorHAnsi"/>
          <w:bCs/>
          <w:lang w:val="fr-FR"/>
        </w:rPr>
      </w:pPr>
      <w:bookmarkStart w:id="1" w:name="_Toc159848044"/>
    </w:p>
    <w:p w:rsidR="00021D2D" w:rsidRPr="00CF7824" w:rsidRDefault="00164734" w:rsidP="00A5243C">
      <w:pPr>
        <w:keepNext/>
        <w:rPr>
          <w:rFonts w:asciiTheme="minorHAnsi" w:hAnsiTheme="minorHAnsi" w:cstheme="minorHAnsi"/>
          <w:b/>
          <w:lang w:val="fr-FR"/>
        </w:rPr>
      </w:pPr>
      <w:r w:rsidRPr="00CF7824">
        <w:rPr>
          <w:rFonts w:cs="Calibri"/>
          <w:b/>
          <w:bCs/>
          <w:lang w:val="fr-FR"/>
        </w:rPr>
        <w:t>Contexte</w:t>
      </w:r>
      <w:bookmarkEnd w:id="1"/>
    </w:p>
    <w:p w:rsidR="00424D20" w:rsidRPr="00CF7824" w:rsidRDefault="00424D20" w:rsidP="00424D20">
      <w:pPr>
        <w:rPr>
          <w:rFonts w:asciiTheme="minorHAnsi" w:hAnsiTheme="minorHAnsi" w:cstheme="minorHAnsi"/>
          <w:lang w:val="fr-FR"/>
        </w:rPr>
      </w:pPr>
    </w:p>
    <w:p w:rsidR="00015A36" w:rsidRPr="00CF7824" w:rsidRDefault="00164734" w:rsidP="00672F8A">
      <w:pPr>
        <w:keepNext/>
        <w:ind w:left="0" w:firstLine="0"/>
        <w:rPr>
          <w:rFonts w:asciiTheme="minorHAnsi" w:hAnsiTheme="minorHAnsi" w:cstheme="minorHAnsi"/>
          <w:u w:val="single"/>
          <w:lang w:val="fr-FR"/>
        </w:rPr>
      </w:pPr>
      <w:bookmarkStart w:id="2" w:name="_Toc159848045"/>
      <w:r w:rsidRPr="00CF7824">
        <w:rPr>
          <w:rFonts w:cs="Calibri"/>
          <w:u w:val="single"/>
          <w:lang w:val="fr-FR"/>
        </w:rPr>
        <w:t>Processus WPE à ce jour, autres estimations des populations d</w:t>
      </w:r>
      <w:r w:rsidR="00016E39" w:rsidRPr="00CF7824">
        <w:rPr>
          <w:rFonts w:cs="Calibri"/>
          <w:u w:val="single"/>
          <w:lang w:val="fr-FR"/>
        </w:rPr>
        <w:t>’</w:t>
      </w:r>
      <w:r w:rsidRPr="00CF7824">
        <w:rPr>
          <w:rFonts w:cs="Calibri"/>
          <w:u w:val="single"/>
          <w:lang w:val="fr-FR"/>
        </w:rPr>
        <w:t>oiseaux et nécessité d</w:t>
      </w:r>
      <w:r w:rsidR="00016E39" w:rsidRPr="00CF7824">
        <w:rPr>
          <w:rFonts w:cs="Calibri"/>
          <w:u w:val="single"/>
          <w:lang w:val="fr-FR"/>
        </w:rPr>
        <w:t>’</w:t>
      </w:r>
      <w:r w:rsidRPr="00CF7824">
        <w:rPr>
          <w:rFonts w:cs="Calibri"/>
          <w:u w:val="single"/>
          <w:lang w:val="fr-FR"/>
        </w:rPr>
        <w:t>une approche globale coordonnée</w:t>
      </w:r>
      <w:bookmarkEnd w:id="2"/>
    </w:p>
    <w:p w:rsidR="00E90D23" w:rsidRPr="00CF7824" w:rsidRDefault="00E90D23" w:rsidP="00015A36">
      <w:pPr>
        <w:rPr>
          <w:rFonts w:asciiTheme="minorHAnsi" w:hAnsiTheme="minorHAnsi" w:cstheme="minorHAnsi"/>
          <w:lang w:val="fr-FR"/>
        </w:rPr>
      </w:pPr>
    </w:p>
    <w:p w:rsidR="00E90D23" w:rsidRPr="00CF7824" w:rsidRDefault="00164734" w:rsidP="005A75E6">
      <w:pPr>
        <w:rPr>
          <w:rFonts w:asciiTheme="minorHAnsi" w:hAnsiTheme="minorHAnsi" w:cstheme="minorHAnsi"/>
          <w:lang w:val="fr-FR"/>
        </w:rPr>
      </w:pPr>
      <w:r w:rsidRPr="00CF7824">
        <w:rPr>
          <w:rFonts w:cs="Calibri"/>
          <w:bCs/>
          <w:lang w:val="fr-FR"/>
        </w:rPr>
        <w:t>15.</w:t>
      </w:r>
      <w:r w:rsidRPr="00CF7824">
        <w:rPr>
          <w:rFonts w:cs="Calibri"/>
          <w:bCs/>
          <w:lang w:val="fr-FR"/>
        </w:rPr>
        <w:tab/>
        <w:t>Une approche de la conservation des espèces et de la gestion des habitats et de leurs espèces reposant sur des éléments factuels nécessite des informations actualisées et un suivi rigoureux. Cette exigence est officiellement reconnue par le Cadre mondial de la biodiversité de la Convention sur la diversité biologique (CDB), le Plan stratégique de la Convention sur les zones humides, le Plan stratégique pour les espèces migratrices et d</w:t>
      </w:r>
      <w:r w:rsidR="00016E39" w:rsidRPr="00CF7824">
        <w:rPr>
          <w:rFonts w:cs="Calibri"/>
          <w:bCs/>
          <w:lang w:val="fr-FR"/>
        </w:rPr>
        <w:t>’</w:t>
      </w:r>
      <w:r w:rsidRPr="00CF7824">
        <w:rPr>
          <w:rFonts w:cs="Calibri"/>
          <w:bCs/>
          <w:lang w:val="fr-FR"/>
        </w:rPr>
        <w:t>autres cadres mondiaux et régionaux comme une exigence essentielle pour l</w:t>
      </w:r>
      <w:r w:rsidR="00016E39" w:rsidRPr="00CF7824">
        <w:rPr>
          <w:rFonts w:cs="Calibri"/>
          <w:bCs/>
          <w:lang w:val="fr-FR"/>
        </w:rPr>
        <w:t>’</w:t>
      </w:r>
      <w:r w:rsidRPr="00CF7824">
        <w:rPr>
          <w:rFonts w:cs="Calibri"/>
          <w:bCs/>
          <w:lang w:val="fr-FR"/>
        </w:rPr>
        <w:t>évaluation de la biodiversité et pour des décisions et des mesures de conservation fondées sur des données concrètes.</w:t>
      </w:r>
      <w:r w:rsidRPr="00CF7824">
        <w:rPr>
          <w:rFonts w:cs="Calibri"/>
          <w:bCs/>
          <w:lang w:val="fr-FR"/>
        </w:rPr>
        <w:br/>
      </w:r>
    </w:p>
    <w:p w:rsidR="00E90D23" w:rsidRPr="00CF7824" w:rsidRDefault="00164734" w:rsidP="005A75E6">
      <w:pPr>
        <w:rPr>
          <w:rFonts w:asciiTheme="minorHAnsi" w:hAnsiTheme="minorHAnsi" w:cstheme="minorHAnsi"/>
          <w:lang w:val="fr-FR"/>
        </w:rPr>
      </w:pPr>
      <w:r w:rsidRPr="00CF7824">
        <w:rPr>
          <w:rFonts w:cs="Calibri"/>
          <w:bCs/>
          <w:lang w:val="fr-FR"/>
        </w:rPr>
        <w:t>16.</w:t>
      </w:r>
      <w:r w:rsidRPr="00CF7824">
        <w:rPr>
          <w:rFonts w:cs="Calibri"/>
          <w:bCs/>
          <w:lang w:val="fr-FR"/>
        </w:rPr>
        <w:tab/>
        <w:t xml:space="preserve">Les </w:t>
      </w:r>
      <w:r w:rsidRPr="00CF7824">
        <w:rPr>
          <w:rFonts w:cs="Calibri"/>
          <w:bCs/>
          <w:i/>
          <w:iCs/>
          <w:lang w:val="fr-FR"/>
        </w:rPr>
        <w:t>Waterbird Population Estimates</w:t>
      </w:r>
      <w:r w:rsidRPr="00CF7824">
        <w:rPr>
          <w:rFonts w:cs="Calibri"/>
          <w:bCs/>
          <w:lang w:val="fr-FR"/>
        </w:rPr>
        <w:t xml:space="preserve"> (WPE), sous la forme d</w:t>
      </w:r>
      <w:r w:rsidR="00016E39" w:rsidRPr="00CF7824">
        <w:rPr>
          <w:rFonts w:cs="Calibri"/>
          <w:bCs/>
          <w:lang w:val="fr-FR"/>
        </w:rPr>
        <w:t>’</w:t>
      </w:r>
      <w:r w:rsidRPr="00CF7824">
        <w:rPr>
          <w:rFonts w:cs="Calibri"/>
          <w:bCs/>
          <w:lang w:val="fr-FR"/>
        </w:rPr>
        <w:t>une série de cinq publications (WPE1-5), et actuellement le dépôt numérique en ligne des informations sur les populations mondiales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sur le </w:t>
      </w:r>
      <w:r w:rsidRPr="00CF7824">
        <w:rPr>
          <w:rFonts w:cs="Calibri"/>
          <w:bCs/>
          <w:iCs/>
          <w:lang w:val="fr-FR"/>
        </w:rPr>
        <w:t>Waterbird Populations Portal</w:t>
      </w:r>
      <w:r w:rsidRPr="00CF7824">
        <w:rPr>
          <w:rStyle w:val="FootnoteReference"/>
          <w:rFonts w:asciiTheme="minorHAnsi" w:hAnsiTheme="minorHAnsi" w:cstheme="minorHAnsi"/>
        </w:rPr>
        <w:footnoteReference w:id="2"/>
      </w:r>
      <w:r w:rsidRPr="00CF7824">
        <w:rPr>
          <w:rFonts w:cs="Calibri"/>
          <w:bCs/>
          <w:lang w:val="fr-FR"/>
        </w:rPr>
        <w:t>, sont reconnus comme la source principale des estimations de</w:t>
      </w:r>
      <w:r w:rsidR="00F77F5A" w:rsidRPr="00CF7824">
        <w:rPr>
          <w:rFonts w:cs="Calibri"/>
          <w:bCs/>
          <w:lang w:val="fr-FR"/>
        </w:rPr>
        <w:t>s</w:t>
      </w:r>
      <w:r w:rsidRPr="00CF7824">
        <w:rPr>
          <w:rFonts w:cs="Calibri"/>
          <w:bCs/>
          <w:lang w:val="fr-FR"/>
        </w:rPr>
        <w:t xml:space="preserve"> population</w:t>
      </w:r>
      <w:r w:rsidR="00F77F5A" w:rsidRPr="00CF7824">
        <w:rPr>
          <w:rFonts w:cs="Calibri"/>
          <w:bCs/>
          <w:lang w:val="fr-FR"/>
        </w:rPr>
        <w:t>s</w:t>
      </w:r>
      <w:r w:rsidRPr="00CF7824">
        <w:rPr>
          <w:rFonts w:cs="Calibri"/>
          <w:bCs/>
          <w:lang w:val="fr-FR"/>
        </w:rPr>
        <w:t xml:space="preserve"> de la Convention sur les zones humides et des seuils de 1% qui en découlent et qui </w:t>
      </w:r>
      <w:r w:rsidR="00F77F5A" w:rsidRPr="00CF7824">
        <w:rPr>
          <w:rFonts w:cs="Calibri"/>
          <w:bCs/>
          <w:lang w:val="fr-FR"/>
        </w:rPr>
        <w:t>doivent être</w:t>
      </w:r>
      <w:r w:rsidRPr="00CF7824">
        <w:rPr>
          <w:rFonts w:cs="Calibri"/>
          <w:bCs/>
          <w:lang w:val="fr-FR"/>
        </w:rPr>
        <w:t xml:space="preserve"> utilis</w:t>
      </w:r>
      <w:r w:rsidR="00F77F5A" w:rsidRPr="00CF7824">
        <w:rPr>
          <w:rFonts w:cs="Calibri"/>
          <w:bCs/>
          <w:lang w:val="fr-FR"/>
        </w:rPr>
        <w:t>és</w:t>
      </w:r>
      <w:r w:rsidRPr="00CF7824">
        <w:rPr>
          <w:rFonts w:cs="Calibri"/>
          <w:bCs/>
          <w:lang w:val="fr-FR"/>
        </w:rPr>
        <w:t xml:space="preserve"> </w:t>
      </w:r>
      <w:r w:rsidR="00F77F5A" w:rsidRPr="00CF7824">
        <w:rPr>
          <w:rFonts w:cs="Calibri"/>
          <w:bCs/>
          <w:lang w:val="fr-FR"/>
        </w:rPr>
        <w:t>dans toute application du</w:t>
      </w:r>
      <w:r w:rsidRPr="00CF7824">
        <w:rPr>
          <w:rFonts w:cs="Calibri"/>
          <w:bCs/>
          <w:lang w:val="fr-FR"/>
        </w:rPr>
        <w:t xml:space="preserve"> Critère</w:t>
      </w:r>
      <w:r w:rsidR="001F19B5" w:rsidRPr="00CF7824">
        <w:rPr>
          <w:rFonts w:cs="Calibri"/>
          <w:bCs/>
          <w:lang w:val="fr-FR"/>
        </w:rPr>
        <w:t> </w:t>
      </w:r>
      <w:r w:rsidRPr="00CF7824">
        <w:rPr>
          <w:rFonts w:cs="Calibri"/>
          <w:bCs/>
          <w:lang w:val="fr-FR"/>
        </w:rPr>
        <w:t>6 pour l</w:t>
      </w:r>
      <w:r w:rsidR="00016E39" w:rsidRPr="00CF7824">
        <w:rPr>
          <w:rFonts w:cs="Calibri"/>
          <w:bCs/>
          <w:lang w:val="fr-FR"/>
        </w:rPr>
        <w:t>’</w:t>
      </w:r>
      <w:r w:rsidRPr="00CF7824">
        <w:rPr>
          <w:rFonts w:cs="Calibri"/>
          <w:bCs/>
          <w:lang w:val="fr-FR"/>
        </w:rPr>
        <w:t>inscription de Sites Ramsar. Les WPE fournissent une évaluation de toutes les populations</w:t>
      </w:r>
      <w:r w:rsidR="00FB5F0C">
        <w:rPr>
          <w:rFonts w:cs="Calibri"/>
          <w:bCs/>
          <w:lang w:val="fr-FR"/>
        </w:rPr>
        <w:t>.</w:t>
      </w:r>
      <w:r w:rsidRPr="00CF7824">
        <w:rPr>
          <w:rFonts w:cs="Calibri"/>
          <w:bCs/>
          <w:lang w:val="fr-FR"/>
        </w:rPr>
        <w:t xml:space="preserve"> </w:t>
      </w:r>
      <w:r w:rsidRPr="00CF7824">
        <w:rPr>
          <w:rFonts w:cs="Calibri"/>
          <w:bCs/>
          <w:lang w:val="fr-FR"/>
        </w:rPr>
        <w:lastRenderedPageBreak/>
        <w:t>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du monde. Le processus WPE le plus récent (WPE5, 2012</w:t>
      </w:r>
      <w:r w:rsidRPr="00CF7824">
        <w:rPr>
          <w:rStyle w:val="FootnoteReference"/>
          <w:rFonts w:asciiTheme="minorHAnsi" w:hAnsiTheme="minorHAnsi" w:cstheme="minorHAnsi"/>
        </w:rPr>
        <w:footnoteReference w:id="3"/>
      </w:r>
      <w:r w:rsidRPr="00CF7824">
        <w:rPr>
          <w:rFonts w:cs="Calibri"/>
          <w:bCs/>
          <w:lang w:val="fr-FR"/>
        </w:rPr>
        <w:t>) fournit des informations sur la répartition, l</w:t>
      </w:r>
      <w:r w:rsidR="00016E39" w:rsidRPr="00CF7824">
        <w:rPr>
          <w:rFonts w:cs="Calibri"/>
          <w:bCs/>
          <w:lang w:val="fr-FR"/>
        </w:rPr>
        <w:t>’</w:t>
      </w:r>
      <w:r w:rsidRPr="00CF7824">
        <w:rPr>
          <w:rFonts w:cs="Calibri"/>
          <w:bCs/>
          <w:lang w:val="fr-FR"/>
        </w:rPr>
        <w:t>état de conservation et les tendances de 2</w:t>
      </w:r>
      <w:r w:rsidR="00376BA1" w:rsidRPr="00CF7824">
        <w:rPr>
          <w:rFonts w:cs="Calibri"/>
          <w:bCs/>
          <w:lang w:val="fr-FR"/>
        </w:rPr>
        <w:t> 304 </w:t>
      </w:r>
      <w:r w:rsidRPr="00CF7824">
        <w:rPr>
          <w:rFonts w:cs="Calibri"/>
          <w:bCs/>
          <w:lang w:val="fr-FR"/>
        </w:rPr>
        <w:t>populations de 871</w:t>
      </w:r>
      <w:r w:rsidR="00376BA1" w:rsidRPr="00CF7824">
        <w:rPr>
          <w:rFonts w:cs="Calibri"/>
          <w:bCs/>
          <w:lang w:val="fr-FR"/>
        </w:rPr>
        <w:t> </w:t>
      </w:r>
      <w:r w:rsidRPr="00CF7824">
        <w:rPr>
          <w:rFonts w:cs="Calibri"/>
          <w:bCs/>
          <w:lang w:val="fr-FR"/>
        </w:rPr>
        <w:t>espèces et le Waterbird populations Portal (en 2024) comprend maintenant 2</w:t>
      </w:r>
      <w:r w:rsidR="00376BA1" w:rsidRPr="00CF7824">
        <w:rPr>
          <w:rFonts w:cs="Calibri"/>
          <w:bCs/>
          <w:lang w:val="fr-FR"/>
        </w:rPr>
        <w:t> 340 </w:t>
      </w:r>
      <w:r w:rsidRPr="00CF7824">
        <w:rPr>
          <w:rFonts w:cs="Calibri"/>
          <w:bCs/>
          <w:lang w:val="fr-FR"/>
        </w:rPr>
        <w:t>populations actives de 899</w:t>
      </w:r>
      <w:r w:rsidR="00376BA1" w:rsidRPr="00CF7824">
        <w:rPr>
          <w:rFonts w:cs="Calibri"/>
          <w:bCs/>
          <w:lang w:val="fr-FR"/>
        </w:rPr>
        <w:t> </w:t>
      </w:r>
      <w:r w:rsidRPr="00CF7824">
        <w:rPr>
          <w:rFonts w:cs="Calibri"/>
          <w:bCs/>
          <w:lang w:val="fr-FR"/>
        </w:rPr>
        <w:t>espèces (504 classées comme migratrices à longue distance et 1</w:t>
      </w:r>
      <w:r w:rsidR="00376BA1" w:rsidRPr="00CF7824">
        <w:rPr>
          <w:rFonts w:cs="Calibri"/>
          <w:bCs/>
          <w:lang w:val="fr-FR"/>
        </w:rPr>
        <w:t> </w:t>
      </w:r>
      <w:r w:rsidRPr="00CF7824">
        <w:rPr>
          <w:rFonts w:cs="Calibri"/>
          <w:bCs/>
          <w:lang w:val="fr-FR"/>
        </w:rPr>
        <w:t>836 résidentes ou migratrices à courte distance (voir les détails dans le tableau</w:t>
      </w:r>
      <w:r w:rsidR="001F19B5" w:rsidRPr="00CF7824">
        <w:rPr>
          <w:rFonts w:cs="Calibri"/>
          <w:bCs/>
          <w:lang w:val="fr-FR"/>
        </w:rPr>
        <w:t> </w:t>
      </w:r>
      <w:r w:rsidRPr="00CF7824">
        <w:rPr>
          <w:rFonts w:cs="Calibri"/>
          <w:bCs/>
          <w:lang w:val="fr-FR"/>
        </w:rPr>
        <w:t>3 de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2).</w:t>
      </w:r>
    </w:p>
    <w:p w:rsidR="00E90D23" w:rsidRPr="00CF7824" w:rsidRDefault="00E90D23" w:rsidP="00E90D23">
      <w:pPr>
        <w:rPr>
          <w:rFonts w:asciiTheme="minorHAnsi" w:hAnsiTheme="minorHAnsi" w:cstheme="minorHAnsi"/>
          <w:lang w:val="fr-FR"/>
        </w:rPr>
      </w:pPr>
    </w:p>
    <w:p w:rsidR="00E90D23" w:rsidRPr="00CF7824" w:rsidRDefault="00164734" w:rsidP="005A75E6">
      <w:pPr>
        <w:rPr>
          <w:rFonts w:asciiTheme="minorHAnsi" w:hAnsiTheme="minorHAnsi" w:cstheme="minorHAnsi"/>
          <w:lang w:val="fr-FR"/>
        </w:rPr>
      </w:pPr>
      <w:r w:rsidRPr="00CF7824">
        <w:rPr>
          <w:rFonts w:cs="Calibri"/>
          <w:bCs/>
          <w:lang w:val="fr-FR"/>
        </w:rPr>
        <w:t>17.</w:t>
      </w:r>
      <w:r w:rsidRPr="00CF7824">
        <w:rPr>
          <w:rFonts w:cs="Calibri"/>
          <w:bCs/>
          <w:lang w:val="fr-FR"/>
        </w:rPr>
        <w:tab/>
        <w:t>La Convention sur les zones humides a reconnu que les estimations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et les mises à jour des tendances sont basées sur un suivi régulier des populations par des programmes de suivis nationaux fiables dans tous les pays, et que les données devraient être soumises par l</w:t>
      </w:r>
      <w:r w:rsidR="00016E39" w:rsidRPr="00CF7824">
        <w:rPr>
          <w:rFonts w:cs="Calibri"/>
          <w:bCs/>
          <w:lang w:val="fr-FR"/>
        </w:rPr>
        <w:t>’</w:t>
      </w:r>
      <w:r w:rsidRPr="00CF7824">
        <w:rPr>
          <w:rFonts w:cs="Calibri"/>
          <w:bCs/>
          <w:lang w:val="fr-FR"/>
        </w:rPr>
        <w:t>intermédiaire des Dénombrements internationaux des oiseaux d</w:t>
      </w:r>
      <w:r w:rsidR="00016E39" w:rsidRPr="00CF7824">
        <w:rPr>
          <w:rFonts w:cs="Calibri"/>
          <w:bCs/>
          <w:lang w:val="fr-FR"/>
        </w:rPr>
        <w:t>’</w:t>
      </w:r>
      <w:r w:rsidRPr="00CF7824">
        <w:rPr>
          <w:rFonts w:cs="Calibri"/>
          <w:bCs/>
          <w:lang w:val="fr-FR"/>
        </w:rPr>
        <w:t>eau (coordonnés par Wetlands International) et d</w:t>
      </w:r>
      <w:r w:rsidR="00016E39" w:rsidRPr="00CF7824">
        <w:rPr>
          <w:rFonts w:cs="Calibri"/>
          <w:bCs/>
          <w:lang w:val="fr-FR"/>
        </w:rPr>
        <w:t>’</w:t>
      </w:r>
      <w:r w:rsidRPr="00CF7824">
        <w:rPr>
          <w:rFonts w:cs="Calibri"/>
          <w:bCs/>
          <w:lang w:val="fr-FR"/>
        </w:rPr>
        <w:t>autres sources afin d</w:t>
      </w:r>
      <w:r w:rsidR="00016E39" w:rsidRPr="00CF7824">
        <w:rPr>
          <w:rFonts w:cs="Calibri"/>
          <w:bCs/>
          <w:lang w:val="fr-FR"/>
        </w:rPr>
        <w:t>’</w:t>
      </w:r>
      <w:r w:rsidRPr="00CF7824">
        <w:rPr>
          <w:rFonts w:cs="Calibri"/>
          <w:bCs/>
          <w:lang w:val="fr-FR"/>
        </w:rPr>
        <w:t xml:space="preserve">alimenter les évaluations WPE périodiques (Résolutions </w:t>
      </w:r>
      <w:hyperlink r:id="rId11" w:history="1">
        <w:r w:rsidRPr="00CF7824">
          <w:rPr>
            <w:rFonts w:cs="Calibri"/>
            <w:bCs/>
            <w:color w:val="0000FF"/>
            <w:u w:val="single"/>
            <w:lang w:val="fr-FR"/>
          </w:rPr>
          <w:t>VIII.38</w:t>
        </w:r>
      </w:hyperlink>
      <w:r w:rsidRPr="00CF7824">
        <w:rPr>
          <w:rFonts w:cs="Calibri"/>
          <w:bCs/>
          <w:lang w:val="fr-FR"/>
        </w:rPr>
        <w:t xml:space="preserve">, </w:t>
      </w:r>
      <w:hyperlink r:id="rId12" w:history="1">
        <w:r w:rsidRPr="00CF7824">
          <w:rPr>
            <w:rFonts w:cs="Calibri"/>
            <w:bCs/>
            <w:color w:val="0000FF"/>
            <w:u w:val="single"/>
            <w:lang w:val="fr-FR"/>
          </w:rPr>
          <w:t>X.22</w:t>
        </w:r>
      </w:hyperlink>
      <w:r w:rsidRPr="00CF7824">
        <w:rPr>
          <w:rFonts w:cs="Calibri"/>
          <w:bCs/>
          <w:lang w:val="fr-FR"/>
        </w:rPr>
        <w:t xml:space="preserve"> et </w:t>
      </w:r>
      <w:hyperlink r:id="rId13" w:history="1">
        <w:r w:rsidRPr="00CF7824">
          <w:rPr>
            <w:rFonts w:cs="Calibri"/>
            <w:bCs/>
            <w:color w:val="0000FF"/>
            <w:u w:val="single"/>
            <w:lang w:val="fr-FR"/>
          </w:rPr>
          <w:t>XIV.18</w:t>
        </w:r>
      </w:hyperlink>
      <w:r w:rsidRPr="00CF7824">
        <w:rPr>
          <w:rFonts w:cs="Calibri"/>
          <w:bCs/>
          <w:lang w:val="fr-FR"/>
        </w:rPr>
        <w:t>, voir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2 pour toutes les résolutions pertinentes).</w:t>
      </w:r>
    </w:p>
    <w:p w:rsidR="00E90D23" w:rsidRPr="00CF7824" w:rsidRDefault="00E90D23" w:rsidP="00E90D23">
      <w:pPr>
        <w:rPr>
          <w:rFonts w:asciiTheme="minorHAnsi" w:hAnsiTheme="minorHAnsi" w:cstheme="minorHAnsi"/>
          <w:lang w:val="fr-FR"/>
        </w:rPr>
      </w:pPr>
    </w:p>
    <w:p w:rsidR="00E90D23" w:rsidRPr="00CF7824" w:rsidRDefault="00164734" w:rsidP="005A75E6">
      <w:pPr>
        <w:rPr>
          <w:rFonts w:asciiTheme="minorHAnsi" w:hAnsiTheme="minorHAnsi" w:cstheme="minorHAnsi"/>
          <w:lang w:val="fr-FR"/>
        </w:rPr>
      </w:pPr>
      <w:r w:rsidRPr="00CF7824">
        <w:rPr>
          <w:rFonts w:cs="Calibri"/>
          <w:bCs/>
          <w:lang w:val="fr-FR"/>
        </w:rPr>
        <w:t>18.</w:t>
      </w:r>
      <w:r w:rsidRPr="00CF7824">
        <w:rPr>
          <w:rFonts w:cs="Calibri"/>
          <w:bCs/>
          <w:lang w:val="fr-FR"/>
        </w:rPr>
        <w:tab/>
        <w:t xml:space="preserve">La Convention sur les zones humides a établi un processus de mise à jour des WPE pour ses COP et </w:t>
      </w:r>
      <w:r w:rsidR="00F77F5A" w:rsidRPr="00CF7824">
        <w:rPr>
          <w:rFonts w:cs="Calibri"/>
          <w:bCs/>
          <w:lang w:val="fr-FR"/>
        </w:rPr>
        <w:t xml:space="preserve">pour </w:t>
      </w:r>
      <w:r w:rsidRPr="00CF7824">
        <w:rPr>
          <w:rFonts w:cs="Calibri"/>
          <w:bCs/>
          <w:lang w:val="fr-FR"/>
        </w:rPr>
        <w:t>l</w:t>
      </w:r>
      <w:r w:rsidR="00016E39" w:rsidRPr="00CF7824">
        <w:rPr>
          <w:rFonts w:cs="Calibri"/>
          <w:bCs/>
          <w:lang w:val="fr-FR"/>
        </w:rPr>
        <w:t>’</w:t>
      </w:r>
      <w:r w:rsidRPr="00CF7824">
        <w:rPr>
          <w:rFonts w:cs="Calibri"/>
          <w:bCs/>
          <w:lang w:val="fr-FR"/>
        </w:rPr>
        <w:t xml:space="preserve">utilisation de ces informations </w:t>
      </w:r>
      <w:r w:rsidR="00F77F5A" w:rsidRPr="00CF7824">
        <w:rPr>
          <w:rFonts w:cs="Calibri"/>
          <w:bCs/>
          <w:lang w:val="fr-FR"/>
        </w:rPr>
        <w:t>lors de</w:t>
      </w:r>
      <w:r w:rsidRPr="00CF7824">
        <w:rPr>
          <w:rFonts w:cs="Calibri"/>
          <w:bCs/>
          <w:lang w:val="fr-FR"/>
        </w:rPr>
        <w:t xml:space="preserve"> l</w:t>
      </w:r>
      <w:r w:rsidR="00016E39" w:rsidRPr="00CF7824">
        <w:rPr>
          <w:rFonts w:cs="Calibri"/>
          <w:bCs/>
          <w:lang w:val="fr-FR"/>
        </w:rPr>
        <w:t>’</w:t>
      </w:r>
      <w:r w:rsidRPr="00CF7824">
        <w:rPr>
          <w:rFonts w:cs="Calibri"/>
          <w:bCs/>
          <w:lang w:val="fr-FR"/>
        </w:rPr>
        <w:t>application du Critère</w:t>
      </w:r>
      <w:r w:rsidR="001F19B5" w:rsidRPr="00CF7824">
        <w:rPr>
          <w:rFonts w:cs="Calibri"/>
          <w:bCs/>
          <w:lang w:val="fr-FR"/>
        </w:rPr>
        <w:t> </w:t>
      </w:r>
      <w:r w:rsidR="00F77F5A" w:rsidRPr="00CF7824">
        <w:rPr>
          <w:rFonts w:cs="Calibri"/>
          <w:bCs/>
          <w:lang w:val="fr-FR"/>
        </w:rPr>
        <w:t>6 par ses Parties (Résolutions </w:t>
      </w:r>
      <w:hyperlink r:id="rId14" w:history="1">
        <w:r w:rsidRPr="00CF7824">
          <w:rPr>
            <w:rFonts w:cs="Calibri"/>
            <w:bCs/>
            <w:lang w:val="fr-FR"/>
          </w:rPr>
          <w:t>5</w:t>
        </w:r>
        <w:r w:rsidR="00F77F5A" w:rsidRPr="00CF7824">
          <w:rPr>
            <w:rFonts w:cs="Calibri"/>
            <w:bCs/>
            <w:lang w:val="fr-FR"/>
          </w:rPr>
          <w:t>.</w:t>
        </w:r>
        <w:r w:rsidRPr="00CF7824">
          <w:rPr>
            <w:rFonts w:cs="Calibri"/>
            <w:bCs/>
            <w:lang w:val="fr-FR"/>
          </w:rPr>
          <w:t>9</w:t>
        </w:r>
      </w:hyperlink>
      <w:r w:rsidRPr="00CF7824">
        <w:rPr>
          <w:rFonts w:cs="Calibri"/>
          <w:bCs/>
          <w:lang w:val="fr-FR"/>
        </w:rPr>
        <w:t xml:space="preserve">, </w:t>
      </w:r>
      <w:hyperlink r:id="rId15" w:history="1">
        <w:r w:rsidRPr="00CF7824">
          <w:rPr>
            <w:rFonts w:cs="Calibri"/>
            <w:bCs/>
            <w:lang w:val="fr-FR"/>
          </w:rPr>
          <w:t>VI.4</w:t>
        </w:r>
      </w:hyperlink>
      <w:r w:rsidRPr="00CF7824">
        <w:rPr>
          <w:rFonts w:cs="Calibri"/>
          <w:bCs/>
          <w:lang w:val="fr-FR"/>
        </w:rPr>
        <w:t xml:space="preserve"> et </w:t>
      </w:r>
      <w:hyperlink r:id="rId16" w:history="1">
        <w:r w:rsidRPr="00CF7824">
          <w:rPr>
            <w:rFonts w:cs="Calibri"/>
            <w:bCs/>
            <w:lang w:val="fr-FR"/>
          </w:rPr>
          <w:t>VIII.38</w:t>
        </w:r>
      </w:hyperlink>
      <w:r w:rsidRPr="00CF7824">
        <w:rPr>
          <w:rFonts w:cs="Calibri"/>
          <w:bCs/>
          <w:lang w:val="fr-FR"/>
        </w:rPr>
        <w:t>, voir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2 pour toutes les résolutions pertinentes) comme suit</w:t>
      </w:r>
      <w:r w:rsidR="00376BA1" w:rsidRPr="00CF7824">
        <w:rPr>
          <w:rFonts w:cs="Calibri"/>
          <w:bCs/>
          <w:lang w:val="fr-FR"/>
        </w:rPr>
        <w:t> </w:t>
      </w:r>
      <w:r w:rsidRPr="00CF7824">
        <w:rPr>
          <w:rFonts w:cs="Calibri"/>
          <w:bCs/>
          <w:lang w:val="fr-FR"/>
        </w:rPr>
        <w:t>:</w:t>
      </w:r>
    </w:p>
    <w:p w:rsidR="00CF148E" w:rsidRPr="00CF7824" w:rsidRDefault="00CF148E" w:rsidP="00E90D23">
      <w:pPr>
        <w:rPr>
          <w:rFonts w:asciiTheme="minorHAnsi" w:hAnsiTheme="minorHAnsi" w:cstheme="minorHAnsi"/>
          <w:lang w:val="fr-FR"/>
        </w:rPr>
      </w:pPr>
    </w:p>
    <w:p w:rsidR="0098713D" w:rsidRPr="00CF7824" w:rsidRDefault="00164734" w:rsidP="008B3608">
      <w:pPr>
        <w:ind w:left="426" w:firstLine="0"/>
        <w:rPr>
          <w:rFonts w:asciiTheme="minorHAnsi" w:hAnsiTheme="minorHAnsi" w:cstheme="minorHAnsi"/>
          <w:i/>
          <w:lang w:val="fr-FR"/>
        </w:rPr>
      </w:pPr>
      <w:r w:rsidRPr="00CF7824">
        <w:rPr>
          <w:rFonts w:cs="Calibri"/>
          <w:i/>
          <w:iCs/>
          <w:lang w:val="fr-FR"/>
        </w:rPr>
        <w:t>Fréquence de préparation des révisions/mises à jour</w:t>
      </w:r>
      <w:r w:rsidR="00376BA1" w:rsidRPr="00CF7824">
        <w:rPr>
          <w:rFonts w:cs="Calibri"/>
          <w:i/>
          <w:iCs/>
          <w:lang w:val="fr-FR"/>
        </w:rPr>
        <w:t> </w:t>
      </w:r>
      <w:r w:rsidRPr="00CF7824">
        <w:rPr>
          <w:rFonts w:cs="Calibri"/>
          <w:i/>
          <w:iCs/>
          <w:lang w:val="fr-FR"/>
        </w:rPr>
        <w:t>:</w:t>
      </w:r>
    </w:p>
    <w:p w:rsidR="00CF148E" w:rsidRPr="00CF7824" w:rsidRDefault="00CF148E" w:rsidP="0098713D">
      <w:pPr>
        <w:ind w:left="450" w:firstLine="0"/>
        <w:rPr>
          <w:rFonts w:asciiTheme="minorHAnsi" w:hAnsiTheme="minorHAnsi" w:cstheme="minorHAnsi"/>
          <w:lang w:val="fr-FR"/>
        </w:rPr>
      </w:pPr>
    </w:p>
    <w:p w:rsidR="00CF148E" w:rsidRPr="00CF7824" w:rsidRDefault="00164734" w:rsidP="008B3608">
      <w:pPr>
        <w:ind w:left="851"/>
        <w:rPr>
          <w:rFonts w:asciiTheme="minorHAnsi" w:hAnsiTheme="minorHAnsi" w:cstheme="minorHAnsi"/>
          <w:lang w:val="fr-FR"/>
        </w:rPr>
      </w:pPr>
      <w:r w:rsidRPr="00CF7824">
        <w:rPr>
          <w:rFonts w:cs="Calibri"/>
          <w:lang w:val="fr-FR"/>
        </w:rPr>
        <w:t>a.</w:t>
      </w:r>
      <w:r w:rsidRPr="00CF7824">
        <w:rPr>
          <w:rFonts w:cs="Calibri"/>
          <w:lang w:val="fr-FR"/>
        </w:rPr>
        <w:tab/>
      </w:r>
      <w:r w:rsidR="00AA52E6" w:rsidRPr="00CF7824">
        <w:rPr>
          <w:rFonts w:cs="Calibri"/>
          <w:lang w:val="fr-FR"/>
        </w:rPr>
        <w:t>u</w:t>
      </w:r>
      <w:r w:rsidRPr="00CF7824">
        <w:rPr>
          <w:rFonts w:cs="Calibri"/>
          <w:lang w:val="fr-FR"/>
        </w:rPr>
        <w:t xml:space="preserve">ne demande à Wetlands International de travailler avec les Parties contractantes et les partenaires </w:t>
      </w:r>
      <w:r w:rsidR="00F77F5A" w:rsidRPr="00CF7824">
        <w:rPr>
          <w:rFonts w:cs="Calibri"/>
          <w:lang w:val="fr-FR"/>
        </w:rPr>
        <w:t>afin de</w:t>
      </w:r>
      <w:r w:rsidRPr="00CF7824">
        <w:rPr>
          <w:rFonts w:cs="Calibri"/>
          <w:lang w:val="fr-FR"/>
        </w:rPr>
        <w:t xml:space="preserve"> continuer à </w:t>
      </w:r>
      <w:r w:rsidR="00F77F5A" w:rsidRPr="00CF7824">
        <w:rPr>
          <w:rFonts w:cs="Calibri"/>
          <w:lang w:val="fr-FR"/>
        </w:rPr>
        <w:t>fournir</w:t>
      </w:r>
      <w:r w:rsidRPr="00CF7824">
        <w:rPr>
          <w:rFonts w:cs="Calibri"/>
          <w:lang w:val="fr-FR"/>
        </w:rPr>
        <w:t xml:space="preserve"> une édition mise à jour des </w:t>
      </w:r>
      <w:r w:rsidRPr="00CF7824">
        <w:rPr>
          <w:rFonts w:cs="Calibri"/>
          <w:i/>
          <w:iCs/>
          <w:lang w:val="fr-FR"/>
        </w:rPr>
        <w:t>Waterbird Population Estimates</w:t>
      </w:r>
      <w:r w:rsidRPr="00CF7824">
        <w:rPr>
          <w:rFonts w:cs="Calibri"/>
          <w:lang w:val="fr-FR"/>
        </w:rPr>
        <w:t xml:space="preserve"> à chaque Conférence des Parties, après avoir entrepris une consultation scientifique internationale sur son contenu en tant que base pour la période triennale suivante</w:t>
      </w:r>
      <w:r w:rsidR="00A12CF2" w:rsidRPr="00CF7824">
        <w:rPr>
          <w:rFonts w:cs="Calibri"/>
          <w:lang w:val="fr-FR"/>
        </w:rPr>
        <w:t>;</w:t>
      </w:r>
    </w:p>
    <w:p w:rsidR="00A309FA" w:rsidRPr="00CF7824" w:rsidRDefault="00A309FA" w:rsidP="008B3608">
      <w:pPr>
        <w:ind w:left="851"/>
        <w:rPr>
          <w:rFonts w:asciiTheme="minorHAnsi" w:hAnsiTheme="minorHAnsi" w:cstheme="minorHAnsi"/>
          <w:lang w:val="fr-FR"/>
        </w:rPr>
      </w:pPr>
    </w:p>
    <w:p w:rsidR="00CF148E" w:rsidRPr="00CF7824" w:rsidRDefault="00164734" w:rsidP="008B3608">
      <w:pPr>
        <w:ind w:left="851"/>
        <w:rPr>
          <w:rFonts w:asciiTheme="minorHAnsi" w:hAnsiTheme="minorHAnsi" w:cstheme="minorHAnsi"/>
          <w:lang w:val="fr-FR"/>
        </w:rPr>
      </w:pPr>
      <w:r w:rsidRPr="00CF7824">
        <w:rPr>
          <w:rFonts w:cs="Calibri"/>
          <w:lang w:val="fr-FR"/>
        </w:rPr>
        <w:t>b.</w:t>
      </w:r>
      <w:r w:rsidRPr="00CF7824">
        <w:rPr>
          <w:rFonts w:cs="Calibri"/>
          <w:lang w:val="fr-FR"/>
        </w:rPr>
        <w:tab/>
      </w:r>
      <w:r w:rsidR="00AA52E6" w:rsidRPr="00CF7824">
        <w:rPr>
          <w:rFonts w:cs="Calibri"/>
          <w:lang w:val="fr-FR"/>
        </w:rPr>
        <w:t xml:space="preserve">une </w:t>
      </w:r>
      <w:r w:rsidRPr="00CF7824">
        <w:rPr>
          <w:rFonts w:cs="Calibri"/>
          <w:lang w:val="fr-FR"/>
        </w:rPr>
        <w:t>demande de révision et de mise à jour des estimations de la taille et de la tendance des populations et des seuils de 1%, notamment en accordant la priorité à l</w:t>
      </w:r>
      <w:r w:rsidR="00016E39" w:rsidRPr="00CF7824">
        <w:rPr>
          <w:rFonts w:cs="Calibri"/>
          <w:lang w:val="fr-FR"/>
        </w:rPr>
        <w:t>’</w:t>
      </w:r>
      <w:r w:rsidRPr="00CF7824">
        <w:rPr>
          <w:rFonts w:cs="Calibri"/>
          <w:lang w:val="fr-FR"/>
        </w:rPr>
        <w:t>évaluation de la taille des populations pour lesquelles il n</w:t>
      </w:r>
      <w:r w:rsidR="00016E39" w:rsidRPr="00CF7824">
        <w:rPr>
          <w:rFonts w:cs="Calibri"/>
          <w:lang w:val="fr-FR"/>
        </w:rPr>
        <w:t>’</w:t>
      </w:r>
      <w:r w:rsidRPr="00CF7824">
        <w:rPr>
          <w:rFonts w:cs="Calibri"/>
          <w:lang w:val="fr-FR"/>
        </w:rPr>
        <w:t>existe actuellement aucune estimation fiable de la population ou du seuil de 1%</w:t>
      </w:r>
      <w:r w:rsidR="00A12CF2" w:rsidRPr="00CF7824">
        <w:rPr>
          <w:rFonts w:cs="Calibri"/>
          <w:lang w:val="fr-FR"/>
        </w:rPr>
        <w:t>;</w:t>
      </w:r>
      <w:r w:rsidRPr="00CF7824">
        <w:rPr>
          <w:rFonts w:cs="Calibri"/>
          <w:lang w:val="fr-FR"/>
        </w:rPr>
        <w:t xml:space="preserve"> et</w:t>
      </w:r>
    </w:p>
    <w:p w:rsidR="00A309FA" w:rsidRPr="00CF7824" w:rsidRDefault="00A309FA" w:rsidP="008B3608">
      <w:pPr>
        <w:ind w:left="851"/>
        <w:rPr>
          <w:rFonts w:asciiTheme="minorHAnsi" w:hAnsiTheme="minorHAnsi" w:cstheme="minorHAnsi"/>
          <w:lang w:val="fr-FR"/>
        </w:rPr>
      </w:pPr>
    </w:p>
    <w:p w:rsidR="00CF148E" w:rsidRPr="00CF7824" w:rsidRDefault="00164734" w:rsidP="008B3608">
      <w:pPr>
        <w:ind w:left="851"/>
        <w:rPr>
          <w:rFonts w:asciiTheme="minorHAnsi" w:hAnsiTheme="minorHAnsi" w:cstheme="minorHAnsi"/>
          <w:lang w:val="fr-FR"/>
        </w:rPr>
      </w:pPr>
      <w:r w:rsidRPr="00CF7824">
        <w:rPr>
          <w:rFonts w:cs="Calibri"/>
          <w:lang w:val="fr-FR"/>
        </w:rPr>
        <w:t>c.</w:t>
      </w:r>
      <w:r w:rsidRPr="00CF7824">
        <w:rPr>
          <w:rFonts w:cs="Calibri"/>
          <w:lang w:val="fr-FR"/>
        </w:rPr>
        <w:tab/>
      </w:r>
      <w:r w:rsidR="00AA52E6" w:rsidRPr="00CF7824">
        <w:rPr>
          <w:rFonts w:cs="Calibri"/>
          <w:lang w:val="fr-FR"/>
        </w:rPr>
        <w:t>u</w:t>
      </w:r>
      <w:r w:rsidRPr="00CF7824">
        <w:rPr>
          <w:rFonts w:cs="Calibri"/>
          <w:lang w:val="fr-FR"/>
        </w:rPr>
        <w:t>n accord selon lequel, à moins que les populations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 ne soient mal connues ou que l</w:t>
      </w:r>
      <w:r w:rsidR="00016E39" w:rsidRPr="00CF7824">
        <w:rPr>
          <w:rFonts w:cs="Calibri"/>
          <w:lang w:val="fr-FR"/>
        </w:rPr>
        <w:t>’</w:t>
      </w:r>
      <w:r w:rsidRPr="00CF7824">
        <w:rPr>
          <w:rFonts w:cs="Calibri"/>
          <w:lang w:val="fr-FR"/>
        </w:rPr>
        <w:t>on sache qu</w:t>
      </w:r>
      <w:r w:rsidR="00016E39" w:rsidRPr="00CF7824">
        <w:rPr>
          <w:rFonts w:cs="Calibri"/>
          <w:lang w:val="fr-FR"/>
        </w:rPr>
        <w:t>’</w:t>
      </w:r>
      <w:r w:rsidRPr="00CF7824">
        <w:rPr>
          <w:rFonts w:cs="Calibri"/>
          <w:lang w:val="fr-FR"/>
        </w:rPr>
        <w:t xml:space="preserve">elles changent rapidement, les seuils de 1% devraient être révisés seulement toutes les trois sessions ordinaires de la COP. </w:t>
      </w:r>
    </w:p>
    <w:p w:rsidR="000A7521" w:rsidRPr="00CF7824" w:rsidRDefault="000A7521" w:rsidP="00535879">
      <w:pPr>
        <w:ind w:left="1145"/>
        <w:rPr>
          <w:rFonts w:asciiTheme="minorHAnsi" w:hAnsiTheme="minorHAnsi" w:cstheme="minorHAnsi"/>
          <w:lang w:val="fr-FR"/>
        </w:rPr>
      </w:pPr>
    </w:p>
    <w:p w:rsidR="00CF148E" w:rsidRPr="00CF7824" w:rsidRDefault="00164734" w:rsidP="008B3608">
      <w:pPr>
        <w:ind w:left="426" w:firstLine="0"/>
        <w:rPr>
          <w:rFonts w:asciiTheme="minorHAnsi" w:hAnsiTheme="minorHAnsi" w:cstheme="minorHAnsi"/>
          <w:i/>
          <w:lang w:val="fr-FR"/>
        </w:rPr>
      </w:pPr>
      <w:r w:rsidRPr="00CF7824">
        <w:rPr>
          <w:rFonts w:cs="Calibri"/>
          <w:i/>
          <w:iCs/>
          <w:lang w:val="fr-FR"/>
        </w:rPr>
        <w:t>Application des derniers seuils de 1% :</w:t>
      </w:r>
      <w:r w:rsidRPr="00CF7824">
        <w:rPr>
          <w:rFonts w:cs="Calibri"/>
          <w:i/>
          <w:iCs/>
          <w:lang w:val="fr-FR"/>
        </w:rPr>
        <w:br/>
      </w:r>
    </w:p>
    <w:p w:rsidR="00CF148E" w:rsidRPr="00CF7824" w:rsidRDefault="00164734" w:rsidP="008B3608">
      <w:pPr>
        <w:ind w:left="851"/>
        <w:rPr>
          <w:rFonts w:asciiTheme="minorHAnsi" w:hAnsiTheme="minorHAnsi" w:cstheme="minorHAnsi"/>
          <w:lang w:val="fr-FR"/>
        </w:rPr>
      </w:pPr>
      <w:r w:rsidRPr="00CF7824">
        <w:rPr>
          <w:rFonts w:cs="Calibri"/>
          <w:lang w:val="fr-FR"/>
        </w:rPr>
        <w:t>a.</w:t>
      </w:r>
      <w:r w:rsidRPr="00CF7824">
        <w:rPr>
          <w:rFonts w:cs="Calibri"/>
          <w:lang w:val="fr-FR"/>
        </w:rPr>
        <w:tab/>
      </w:r>
      <w:r w:rsidR="00AA52E6" w:rsidRPr="00CF7824">
        <w:rPr>
          <w:rFonts w:cs="Calibri"/>
          <w:lang w:val="fr-FR"/>
        </w:rPr>
        <w:t>u</w:t>
      </w:r>
      <w:r w:rsidRPr="00CF7824">
        <w:rPr>
          <w:rFonts w:cs="Calibri"/>
          <w:lang w:val="fr-FR"/>
        </w:rPr>
        <w:t>n appel aux Parties contractantes pour qu</w:t>
      </w:r>
      <w:r w:rsidR="00016E39" w:rsidRPr="00CF7824">
        <w:rPr>
          <w:rFonts w:cs="Calibri"/>
          <w:lang w:val="fr-FR"/>
        </w:rPr>
        <w:t>’</w:t>
      </w:r>
      <w:r w:rsidRPr="00CF7824">
        <w:rPr>
          <w:rFonts w:cs="Calibri"/>
          <w:lang w:val="fr-FR"/>
        </w:rPr>
        <w:t>elles utilisent les dernières estimations et les derniers seuils fournis par les WPE comme base pour l</w:t>
      </w:r>
      <w:r w:rsidR="00016E39" w:rsidRPr="00CF7824">
        <w:rPr>
          <w:rFonts w:cs="Calibri"/>
          <w:lang w:val="fr-FR"/>
        </w:rPr>
        <w:t>’</w:t>
      </w:r>
      <w:r w:rsidRPr="00CF7824">
        <w:rPr>
          <w:rFonts w:cs="Calibri"/>
          <w:lang w:val="fr-FR"/>
        </w:rPr>
        <w:t xml:space="preserve">inscription de </w:t>
      </w:r>
      <w:r w:rsidR="00F77F5A" w:rsidRPr="00CF7824">
        <w:rPr>
          <w:rFonts w:cs="Calibri"/>
          <w:lang w:val="fr-FR"/>
        </w:rPr>
        <w:t xml:space="preserve">Sites </w:t>
      </w:r>
      <w:r w:rsidRPr="00CF7824">
        <w:rPr>
          <w:rFonts w:cs="Calibri"/>
          <w:lang w:val="fr-FR"/>
        </w:rPr>
        <w:t>Ramsar au cours des trois prochaines périodes triennales (à moins que des mises à jour ne soient publiées).</w:t>
      </w:r>
    </w:p>
    <w:p w:rsidR="009438AC" w:rsidRPr="00CF7824" w:rsidRDefault="009438AC" w:rsidP="009438AC">
      <w:pPr>
        <w:ind w:left="0" w:firstLine="0"/>
        <w:rPr>
          <w:rFonts w:asciiTheme="minorHAnsi" w:hAnsiTheme="minorHAnsi" w:cstheme="minorHAnsi"/>
          <w:lang w:val="fr-FR"/>
        </w:rPr>
      </w:pPr>
    </w:p>
    <w:p w:rsidR="00CB7A48" w:rsidRPr="00CF7824" w:rsidRDefault="00164734" w:rsidP="00DA3CBE">
      <w:pPr>
        <w:rPr>
          <w:rFonts w:asciiTheme="minorHAnsi" w:hAnsiTheme="minorHAnsi" w:cstheme="minorHAnsi"/>
          <w:lang w:val="fr-FR"/>
        </w:rPr>
      </w:pPr>
      <w:r w:rsidRPr="00CF7824">
        <w:rPr>
          <w:rFonts w:cs="Calibri"/>
          <w:bCs/>
          <w:lang w:val="fr-FR"/>
        </w:rPr>
        <w:t>19.</w:t>
      </w:r>
      <w:r w:rsidRPr="00CF7824">
        <w:rPr>
          <w:rFonts w:cs="Calibri"/>
          <w:bCs/>
          <w:lang w:val="fr-FR"/>
        </w:rPr>
        <w:tab/>
        <w:t>La première édition des WPE a été produite par le Bureau international de recherche sur les oiseaux d</w:t>
      </w:r>
      <w:r w:rsidR="00016E39" w:rsidRPr="00CF7824">
        <w:rPr>
          <w:rFonts w:cs="Calibri"/>
          <w:bCs/>
          <w:lang w:val="fr-FR"/>
        </w:rPr>
        <w:t>’</w:t>
      </w:r>
      <w:r w:rsidRPr="00CF7824">
        <w:rPr>
          <w:rFonts w:cs="Calibri"/>
          <w:bCs/>
          <w:lang w:val="fr-FR"/>
        </w:rPr>
        <w:t xml:space="preserve">eau et les zones humides (BIROE). Elle a été communiquée en tant que document </w:t>
      </w:r>
      <w:r w:rsidRPr="00CF7824">
        <w:rPr>
          <w:rFonts w:cs="Calibri"/>
          <w:bCs/>
          <w:lang w:val="fr-FR"/>
        </w:rPr>
        <w:lastRenderedPageBreak/>
        <w:t>d</w:t>
      </w:r>
      <w:r w:rsidR="00016E39" w:rsidRPr="00CF7824">
        <w:rPr>
          <w:rFonts w:cs="Calibri"/>
          <w:bCs/>
          <w:lang w:val="fr-FR"/>
        </w:rPr>
        <w:t>’</w:t>
      </w:r>
      <w:r w:rsidRPr="00CF7824">
        <w:rPr>
          <w:rFonts w:cs="Calibri"/>
          <w:bCs/>
          <w:lang w:val="fr-FR"/>
        </w:rPr>
        <w:t>information à la COP5 en 1993 et publiée par la suite (Rose &amp; Scott 1994)</w:t>
      </w:r>
      <w:r w:rsidRPr="00CF7824">
        <w:rPr>
          <w:rStyle w:val="FootnoteReference"/>
          <w:rFonts w:asciiTheme="minorHAnsi" w:hAnsiTheme="minorHAnsi" w:cstheme="minorHAnsi"/>
        </w:rPr>
        <w:footnoteReference w:id="4"/>
      </w:r>
      <w:r w:rsidR="00AA52E6" w:rsidRPr="00CF7824">
        <w:rPr>
          <w:rFonts w:cs="Calibri"/>
          <w:bCs/>
          <w:lang w:val="fr-FR"/>
        </w:rPr>
        <w:t>.</w:t>
      </w:r>
      <w:r w:rsidRPr="00CF7824">
        <w:rPr>
          <w:rFonts w:cs="Calibri"/>
          <w:bCs/>
          <w:lang w:val="fr-FR"/>
        </w:rPr>
        <w:t xml:space="preserve"> Les éditions suivantes ont été produites par Wetlands International avec des soutiens financiers ponctuels</w:t>
      </w:r>
      <w:r w:rsidRPr="00CF7824">
        <w:rPr>
          <w:rStyle w:val="FootnoteReference"/>
          <w:rFonts w:asciiTheme="minorHAnsi" w:hAnsiTheme="minorHAnsi" w:cstheme="minorHAnsi"/>
        </w:rPr>
        <w:footnoteReference w:id="5"/>
      </w:r>
      <w:r w:rsidR="00AA52E6" w:rsidRPr="00CF7824">
        <w:rPr>
          <w:rFonts w:cs="Calibri"/>
          <w:bCs/>
          <w:lang w:val="fr-FR"/>
        </w:rPr>
        <w:t>.</w:t>
      </w:r>
      <w:r w:rsidRPr="00CF7824">
        <w:rPr>
          <w:rFonts w:cs="Calibri"/>
          <w:bCs/>
          <w:lang w:val="fr-FR"/>
        </w:rPr>
        <w:t xml:space="preserve"> </w:t>
      </w:r>
    </w:p>
    <w:p w:rsidR="00CB7A48" w:rsidRPr="00CF7824" w:rsidRDefault="00CB7A48" w:rsidP="00CB7A48">
      <w:pPr>
        <w:ind w:left="0" w:firstLine="0"/>
        <w:rPr>
          <w:rFonts w:asciiTheme="minorHAnsi" w:hAnsiTheme="minorHAnsi" w:cstheme="minorHAnsi"/>
          <w:lang w:val="fr-FR"/>
        </w:rPr>
      </w:pPr>
    </w:p>
    <w:p w:rsidR="00CB7A48" w:rsidRPr="00CF7824" w:rsidRDefault="00164734" w:rsidP="00DA3CBE">
      <w:pPr>
        <w:rPr>
          <w:rFonts w:asciiTheme="minorHAnsi" w:hAnsiTheme="minorHAnsi" w:cstheme="minorHAnsi"/>
          <w:lang w:val="fr-FR"/>
        </w:rPr>
      </w:pPr>
      <w:r w:rsidRPr="00CF7824">
        <w:rPr>
          <w:rFonts w:cs="Calibri"/>
          <w:bCs/>
          <w:lang w:val="fr-FR"/>
        </w:rPr>
        <w:t>20.</w:t>
      </w:r>
      <w:r w:rsidRPr="00CF7824">
        <w:rPr>
          <w:rFonts w:cs="Calibri"/>
          <w:bCs/>
          <w:lang w:val="fr-FR"/>
        </w:rPr>
        <w:tab/>
        <w:t xml:space="preserve">La Convention sur les zones humides, par la </w:t>
      </w:r>
      <w:hyperlink r:id="rId17" w:history="1">
        <w:r w:rsidRPr="00CF7824">
          <w:rPr>
            <w:rFonts w:cs="Calibri"/>
            <w:bCs/>
            <w:lang w:val="fr-FR"/>
          </w:rPr>
          <w:t>Résolution</w:t>
        </w:r>
        <w:r w:rsidR="00376BA1" w:rsidRPr="00CF7824">
          <w:rPr>
            <w:rFonts w:cs="Calibri"/>
            <w:bCs/>
            <w:lang w:val="fr-FR"/>
          </w:rPr>
          <w:t> </w:t>
        </w:r>
        <w:r w:rsidRPr="00CF7824">
          <w:rPr>
            <w:rFonts w:cs="Calibri"/>
            <w:bCs/>
            <w:lang w:val="fr-FR"/>
          </w:rPr>
          <w:t>X.22</w:t>
        </w:r>
      </w:hyperlink>
      <w:r w:rsidRPr="00CF7824">
        <w:rPr>
          <w:rFonts w:cs="Calibri"/>
          <w:bCs/>
          <w:lang w:val="fr-FR"/>
        </w:rPr>
        <w:t>, a instamment prié ses Parties contractantes et d</w:t>
      </w:r>
      <w:r w:rsidR="00016E39" w:rsidRPr="00CF7824">
        <w:rPr>
          <w:rFonts w:cs="Calibri"/>
          <w:bCs/>
          <w:lang w:val="fr-FR"/>
        </w:rPr>
        <w:t>’</w:t>
      </w:r>
      <w:r w:rsidRPr="00CF7824">
        <w:rPr>
          <w:rFonts w:cs="Calibri"/>
          <w:bCs/>
          <w:lang w:val="fr-FR"/>
        </w:rPr>
        <w:t>autres organismes d</w:t>
      </w:r>
      <w:r w:rsidR="00016E39" w:rsidRPr="00CF7824">
        <w:rPr>
          <w:rFonts w:cs="Calibri"/>
          <w:bCs/>
          <w:lang w:val="fr-FR"/>
        </w:rPr>
        <w:t>’</w:t>
      </w:r>
      <w:r w:rsidRPr="00CF7824">
        <w:rPr>
          <w:rFonts w:cs="Calibri"/>
          <w:bCs/>
          <w:lang w:val="fr-FR"/>
        </w:rPr>
        <w:t>apporter l</w:t>
      </w:r>
      <w:r w:rsidR="00016E39" w:rsidRPr="00CF7824">
        <w:rPr>
          <w:rFonts w:cs="Calibri"/>
          <w:bCs/>
          <w:lang w:val="fr-FR"/>
        </w:rPr>
        <w:t>’</w:t>
      </w:r>
      <w:r w:rsidRPr="00CF7824">
        <w:rPr>
          <w:rFonts w:cs="Calibri"/>
          <w:bCs/>
          <w:lang w:val="fr-FR"/>
        </w:rPr>
        <w:t>appui financier nécessaire pour permettre la production de telles évaluations internationales. Toutefois, la compilation de ces estimations de population et des seuils de 1</w:t>
      </w:r>
      <w:r w:rsidR="00A12CF2" w:rsidRPr="00CF7824">
        <w:rPr>
          <w:rFonts w:cs="Calibri"/>
          <w:bCs/>
          <w:lang w:val="fr-FR"/>
        </w:rPr>
        <w:t>%</w:t>
      </w:r>
      <w:r w:rsidRPr="00CF7824">
        <w:rPr>
          <w:rFonts w:cs="Calibri"/>
          <w:bCs/>
          <w:lang w:val="fr-FR"/>
        </w:rPr>
        <w:t xml:space="preserve"> ainsi que leur mise à jour périodique ne bénéficient d</w:t>
      </w:r>
      <w:r w:rsidR="00016E39" w:rsidRPr="00CF7824">
        <w:rPr>
          <w:rFonts w:cs="Calibri"/>
          <w:bCs/>
          <w:lang w:val="fr-FR"/>
        </w:rPr>
        <w:t>’</w:t>
      </w:r>
      <w:r w:rsidRPr="00CF7824">
        <w:rPr>
          <w:rFonts w:cs="Calibri"/>
          <w:bCs/>
          <w:lang w:val="fr-FR"/>
        </w:rPr>
        <w:t>aucune source de financement régulière ou durable. En l</w:t>
      </w:r>
      <w:r w:rsidR="00016E39" w:rsidRPr="00CF7824">
        <w:rPr>
          <w:rFonts w:cs="Calibri"/>
          <w:bCs/>
          <w:lang w:val="fr-FR"/>
        </w:rPr>
        <w:t>’</w:t>
      </w:r>
      <w:r w:rsidRPr="00CF7824">
        <w:rPr>
          <w:rFonts w:cs="Calibri"/>
          <w:bCs/>
          <w:lang w:val="fr-FR"/>
        </w:rPr>
        <w:t>absence d</w:t>
      </w:r>
      <w:r w:rsidR="00016E39" w:rsidRPr="00CF7824">
        <w:rPr>
          <w:rFonts w:cs="Calibri"/>
          <w:bCs/>
          <w:lang w:val="fr-FR"/>
        </w:rPr>
        <w:t>’</w:t>
      </w:r>
      <w:r w:rsidRPr="00CF7824">
        <w:rPr>
          <w:rFonts w:cs="Calibri"/>
          <w:bCs/>
          <w:lang w:val="fr-FR"/>
        </w:rPr>
        <w:t>un financement régulier et entièrement planifié à long terme de la part de la Convention et d</w:t>
      </w:r>
      <w:r w:rsidR="00016E39" w:rsidRPr="00CF7824">
        <w:rPr>
          <w:rFonts w:cs="Calibri"/>
          <w:bCs/>
          <w:lang w:val="fr-FR"/>
        </w:rPr>
        <w:t>’</w:t>
      </w:r>
      <w:r w:rsidRPr="00CF7824">
        <w:rPr>
          <w:rFonts w:cs="Calibri"/>
          <w:bCs/>
          <w:lang w:val="fr-FR"/>
        </w:rPr>
        <w:t>autres organismes, le calendrier prévu au début du processus, à savoir la présentation d</w:t>
      </w:r>
      <w:r w:rsidR="00016E39" w:rsidRPr="00CF7824">
        <w:rPr>
          <w:rFonts w:cs="Calibri"/>
          <w:bCs/>
          <w:lang w:val="fr-FR"/>
        </w:rPr>
        <w:t>’</w:t>
      </w:r>
      <w:r w:rsidRPr="00CF7824">
        <w:rPr>
          <w:rFonts w:cs="Calibri"/>
          <w:bCs/>
          <w:lang w:val="fr-FR"/>
        </w:rPr>
        <w:t>une mise à jour triennale à chaque session de la COP, ne s</w:t>
      </w:r>
      <w:r w:rsidR="00016E39" w:rsidRPr="00CF7824">
        <w:rPr>
          <w:rFonts w:cs="Calibri"/>
          <w:bCs/>
          <w:lang w:val="fr-FR"/>
        </w:rPr>
        <w:t>’</w:t>
      </w:r>
      <w:r w:rsidRPr="00CF7824">
        <w:rPr>
          <w:rFonts w:cs="Calibri"/>
          <w:bCs/>
          <w:lang w:val="fr-FR"/>
        </w:rPr>
        <w:t>est pas avéré possible. Par conséquent, la production de la plupart de ces mises à jour a été limitée en raison d</w:t>
      </w:r>
      <w:r w:rsidR="00016E39" w:rsidRPr="00CF7824">
        <w:rPr>
          <w:rFonts w:cs="Calibri"/>
          <w:bCs/>
          <w:lang w:val="fr-FR"/>
        </w:rPr>
        <w:t>’</w:t>
      </w:r>
      <w:r w:rsidRPr="00CF7824">
        <w:rPr>
          <w:rFonts w:cs="Calibri"/>
          <w:bCs/>
          <w:lang w:val="fr-FR"/>
        </w:rPr>
        <w:t>un manque de ressources</w:t>
      </w:r>
      <w:r w:rsidR="00467CB8" w:rsidRPr="00CF7824">
        <w:rPr>
          <w:rFonts w:cs="Calibri"/>
          <w:bCs/>
          <w:lang w:val="fr-FR"/>
        </w:rPr>
        <w:t>,</w:t>
      </w:r>
      <w:r w:rsidRPr="00CF7824">
        <w:rPr>
          <w:rFonts w:cs="Calibri"/>
          <w:bCs/>
          <w:lang w:val="fr-FR"/>
        </w:rPr>
        <w:t xml:space="preserve"> et la dernière publication complète </w:t>
      </w:r>
      <w:r w:rsidR="00467CB8" w:rsidRPr="00CF7824">
        <w:rPr>
          <w:rFonts w:cs="Calibri"/>
          <w:bCs/>
          <w:lang w:val="fr-FR"/>
        </w:rPr>
        <w:t xml:space="preserve">et </w:t>
      </w:r>
      <w:r w:rsidRPr="00CF7824">
        <w:rPr>
          <w:rFonts w:cs="Calibri"/>
          <w:bCs/>
          <w:lang w:val="fr-FR"/>
        </w:rPr>
        <w:t>mise à jour des WPE (WPE5) a maintenant 12</w:t>
      </w:r>
      <w:r w:rsidR="00376BA1" w:rsidRPr="00CF7824">
        <w:rPr>
          <w:rFonts w:cs="Calibri"/>
          <w:bCs/>
          <w:lang w:val="fr-FR"/>
        </w:rPr>
        <w:t> </w:t>
      </w:r>
      <w:r w:rsidRPr="00CF7824">
        <w:rPr>
          <w:rFonts w:cs="Calibri"/>
          <w:bCs/>
          <w:lang w:val="fr-FR"/>
        </w:rPr>
        <w:t>ans, puisqu</w:t>
      </w:r>
      <w:r w:rsidR="00016E39" w:rsidRPr="00CF7824">
        <w:rPr>
          <w:rFonts w:cs="Calibri"/>
          <w:bCs/>
          <w:lang w:val="fr-FR"/>
        </w:rPr>
        <w:t>’</w:t>
      </w:r>
      <w:r w:rsidRPr="00CF7824">
        <w:rPr>
          <w:rFonts w:cs="Calibri"/>
          <w:bCs/>
          <w:lang w:val="fr-FR"/>
        </w:rPr>
        <w:t>elle a été publiée en 2012 (voir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1 pour plus d</w:t>
      </w:r>
      <w:r w:rsidR="00016E39" w:rsidRPr="00CF7824">
        <w:rPr>
          <w:rFonts w:cs="Calibri"/>
          <w:bCs/>
          <w:lang w:val="fr-FR"/>
        </w:rPr>
        <w:t>’</w:t>
      </w:r>
      <w:r w:rsidRPr="00CF7824">
        <w:rPr>
          <w:rFonts w:cs="Calibri"/>
          <w:bCs/>
          <w:lang w:val="fr-FR"/>
        </w:rPr>
        <w:t xml:space="preserve">informations). </w:t>
      </w:r>
    </w:p>
    <w:p w:rsidR="00CB7A48" w:rsidRPr="00CF7824" w:rsidRDefault="00CB7A48" w:rsidP="00CB7A48">
      <w:pPr>
        <w:ind w:left="0" w:firstLine="0"/>
        <w:rPr>
          <w:rFonts w:asciiTheme="minorHAnsi" w:hAnsiTheme="minorHAnsi" w:cstheme="minorHAnsi"/>
          <w:lang w:val="fr-FR"/>
        </w:rPr>
      </w:pPr>
    </w:p>
    <w:p w:rsidR="00CB7A48" w:rsidRPr="00CF7824" w:rsidRDefault="00164734" w:rsidP="005239FE">
      <w:pPr>
        <w:rPr>
          <w:rFonts w:asciiTheme="minorHAnsi" w:hAnsiTheme="minorHAnsi" w:cstheme="minorHAnsi"/>
          <w:bCs/>
          <w:lang w:val="fr-FR"/>
        </w:rPr>
      </w:pPr>
      <w:r w:rsidRPr="00CF7824">
        <w:rPr>
          <w:rFonts w:cs="Calibri"/>
          <w:bCs/>
          <w:lang w:val="fr-FR"/>
        </w:rPr>
        <w:t>21.</w:t>
      </w:r>
      <w:r w:rsidRPr="00CF7824">
        <w:rPr>
          <w:rFonts w:cs="Calibri"/>
          <w:bCs/>
          <w:lang w:val="fr-FR"/>
        </w:rPr>
        <w:tab/>
        <w:t>Les données des WPE sont également utilisées comme source d</w:t>
      </w:r>
      <w:r w:rsidR="00016E39" w:rsidRPr="00CF7824">
        <w:rPr>
          <w:rFonts w:cs="Calibri"/>
          <w:bCs/>
          <w:lang w:val="fr-FR"/>
        </w:rPr>
        <w:t>’</w:t>
      </w:r>
      <w:r w:rsidRPr="00CF7824">
        <w:rPr>
          <w:rFonts w:cs="Calibri"/>
          <w:bCs/>
          <w:lang w:val="fr-FR"/>
        </w:rPr>
        <w:t>information par plusieurs autres accords et initiatives régionaux dans le monde. Les seuils de 1% pour les oiseaux d</w:t>
      </w:r>
      <w:r w:rsidR="00016E39" w:rsidRPr="00CF7824">
        <w:rPr>
          <w:rFonts w:cs="Calibri"/>
          <w:bCs/>
          <w:lang w:val="fr-FR"/>
        </w:rPr>
        <w:t>’</w:t>
      </w:r>
      <w:r w:rsidRPr="00CF7824">
        <w:rPr>
          <w:rFonts w:cs="Calibri"/>
          <w:bCs/>
          <w:lang w:val="fr-FR"/>
        </w:rPr>
        <w:t>eau figurant dans les WPE informent et/ou étayent divers processus d</w:t>
      </w:r>
      <w:r w:rsidR="00016E39" w:rsidRPr="00CF7824">
        <w:rPr>
          <w:rFonts w:cs="Calibri"/>
          <w:bCs/>
          <w:lang w:val="fr-FR"/>
        </w:rPr>
        <w:t>’</w:t>
      </w:r>
      <w:r w:rsidRPr="00CF7824">
        <w:rPr>
          <w:rFonts w:cs="Calibri"/>
          <w:bCs/>
          <w:lang w:val="fr-FR"/>
        </w:rPr>
        <w:t>évaluation et d</w:t>
      </w:r>
      <w:r w:rsidR="00016E39" w:rsidRPr="00CF7824">
        <w:rPr>
          <w:rFonts w:cs="Calibri"/>
          <w:bCs/>
          <w:lang w:val="fr-FR"/>
        </w:rPr>
        <w:t>’</w:t>
      </w:r>
      <w:r w:rsidRPr="00CF7824">
        <w:rPr>
          <w:rFonts w:cs="Calibri"/>
          <w:bCs/>
          <w:lang w:val="fr-FR"/>
        </w:rPr>
        <w:t>inscription de sites, p</w:t>
      </w:r>
      <w:r w:rsidR="00C75FBD" w:rsidRPr="00CF7824">
        <w:rPr>
          <w:rFonts w:cs="Calibri"/>
          <w:bCs/>
          <w:lang w:val="fr-FR"/>
        </w:rPr>
        <w:t>.</w:t>
      </w:r>
      <w:r w:rsidRPr="00CF7824">
        <w:rPr>
          <w:rFonts w:cs="Calibri"/>
          <w:bCs/>
          <w:lang w:val="fr-FR"/>
        </w:rPr>
        <w:t xml:space="preserve"> ex. la Directive Oiseaux de l</w:t>
      </w:r>
      <w:r w:rsidR="00016E39" w:rsidRPr="00CF7824">
        <w:rPr>
          <w:rFonts w:cs="Calibri"/>
          <w:bCs/>
          <w:lang w:val="fr-FR"/>
        </w:rPr>
        <w:t>’</w:t>
      </w:r>
      <w:r w:rsidRPr="00CF7824">
        <w:rPr>
          <w:rFonts w:cs="Calibri"/>
          <w:bCs/>
          <w:lang w:val="fr-FR"/>
        </w:rPr>
        <w:t>Union européenne (UE) en aidant à identifier certains des sites méritant d</w:t>
      </w:r>
      <w:r w:rsidR="00016E39" w:rsidRPr="00CF7824">
        <w:rPr>
          <w:rFonts w:cs="Calibri"/>
          <w:bCs/>
          <w:lang w:val="fr-FR"/>
        </w:rPr>
        <w:t>’</w:t>
      </w:r>
      <w:r w:rsidRPr="00CF7824">
        <w:rPr>
          <w:rFonts w:cs="Calibri"/>
          <w:bCs/>
          <w:lang w:val="fr-FR"/>
        </w:rPr>
        <w:t>être inscrits comme Zones de protection spéciale (faisant partie du réseau Natura 2000) (et de la même façon pour les sites du Réseau Émeraude pour les Parties contractantes non membres de l</w:t>
      </w:r>
      <w:r w:rsidR="00016E39" w:rsidRPr="00CF7824">
        <w:rPr>
          <w:rFonts w:cs="Calibri"/>
          <w:bCs/>
          <w:lang w:val="fr-FR"/>
        </w:rPr>
        <w:t>’</w:t>
      </w:r>
      <w:r w:rsidRPr="00CF7824">
        <w:rPr>
          <w:rFonts w:cs="Calibri"/>
          <w:bCs/>
          <w:lang w:val="fr-FR"/>
        </w:rPr>
        <w:t>UE dans le cadre de la Convention de Berne), l</w:t>
      </w:r>
      <w:r w:rsidR="00016E39" w:rsidRPr="00CF7824">
        <w:rPr>
          <w:rFonts w:cs="Calibri"/>
          <w:bCs/>
          <w:lang w:val="fr-FR"/>
        </w:rPr>
        <w:t>’</w:t>
      </w:r>
      <w:r w:rsidRPr="00CF7824">
        <w:rPr>
          <w:rFonts w:cs="Calibri"/>
          <w:bCs/>
          <w:lang w:val="fr-FR"/>
        </w:rPr>
        <w:t>Accord sur les oiseaux d</w:t>
      </w:r>
      <w:r w:rsidR="00016E39" w:rsidRPr="00CF7824">
        <w:rPr>
          <w:rFonts w:cs="Calibri"/>
          <w:bCs/>
          <w:lang w:val="fr-FR"/>
        </w:rPr>
        <w:t>’</w:t>
      </w:r>
      <w:r w:rsidRPr="00CF7824">
        <w:rPr>
          <w:rFonts w:cs="Calibri"/>
          <w:bCs/>
          <w:lang w:val="fr-FR"/>
        </w:rPr>
        <w:t>eau migrateurs d</w:t>
      </w:r>
      <w:r w:rsidR="00016E39" w:rsidRPr="00CF7824">
        <w:rPr>
          <w:rFonts w:cs="Calibri"/>
          <w:bCs/>
          <w:lang w:val="fr-FR"/>
        </w:rPr>
        <w:t>’</w:t>
      </w:r>
      <w:r w:rsidRPr="00CF7824">
        <w:rPr>
          <w:rFonts w:cs="Calibri"/>
          <w:bCs/>
          <w:lang w:val="fr-FR"/>
        </w:rPr>
        <w:t xml:space="preserve">Afrique-Eurasie (AEWA) (pour identifier les sites </w:t>
      </w:r>
      <w:r w:rsidR="00376BA1" w:rsidRPr="00CF7824">
        <w:rPr>
          <w:rFonts w:cs="Calibri"/>
          <w:bCs/>
          <w:lang w:val="fr-FR"/>
        </w:rPr>
        <w:t>« </w:t>
      </w:r>
      <w:r w:rsidRPr="00CF7824">
        <w:rPr>
          <w:rFonts w:cs="Calibri"/>
          <w:bCs/>
          <w:lang w:val="fr-FR"/>
        </w:rPr>
        <w:t>critiques</w:t>
      </w:r>
      <w:r w:rsidR="00376BA1" w:rsidRPr="00CF7824">
        <w:rPr>
          <w:rFonts w:cs="Calibri"/>
          <w:bCs/>
          <w:lang w:val="fr-FR"/>
        </w:rPr>
        <w:t> »</w:t>
      </w:r>
      <w:r w:rsidRPr="00CF7824">
        <w:rPr>
          <w:rFonts w:cs="Calibri"/>
          <w:bCs/>
          <w:lang w:val="fr-FR"/>
        </w:rPr>
        <w:t xml:space="preserve"> de la voie de migration) et le Réseau de sites de la voie de migration Asie de l</w:t>
      </w:r>
      <w:r w:rsidR="00016E39" w:rsidRPr="00CF7824">
        <w:rPr>
          <w:rFonts w:cs="Calibri"/>
          <w:bCs/>
          <w:lang w:val="fr-FR"/>
        </w:rPr>
        <w:t>’</w:t>
      </w:r>
      <w:r w:rsidR="00C75FBD" w:rsidRPr="00CF7824">
        <w:rPr>
          <w:rFonts w:cs="Calibri"/>
          <w:bCs/>
          <w:lang w:val="fr-FR"/>
        </w:rPr>
        <w:t>Ouest</w:t>
      </w:r>
      <w:r w:rsidRPr="00CF7824">
        <w:rPr>
          <w:rFonts w:cs="Calibri"/>
          <w:bCs/>
          <w:lang w:val="fr-FR"/>
        </w:rPr>
        <w:t>/Asie centrale (pour identifier les sites du réseau de la voie de migration) dans le cadre de la Convention sur les espèces migratrices (CMS), le Partenariat de la voie de migration Asie de l</w:t>
      </w:r>
      <w:r w:rsidR="00016E39" w:rsidRPr="00CF7824">
        <w:rPr>
          <w:rFonts w:cs="Calibri"/>
          <w:bCs/>
          <w:lang w:val="fr-FR"/>
        </w:rPr>
        <w:t>’</w:t>
      </w:r>
      <w:r w:rsidRPr="00CF7824">
        <w:rPr>
          <w:rFonts w:cs="Calibri"/>
          <w:bCs/>
          <w:lang w:val="fr-FR"/>
        </w:rPr>
        <w:t>Est</w:t>
      </w:r>
      <w:r w:rsidR="00467CB8" w:rsidRPr="00CF7824">
        <w:rPr>
          <w:rFonts w:cs="Calibri"/>
          <w:bCs/>
          <w:lang w:val="fr-FR"/>
        </w:rPr>
        <w:t>-</w:t>
      </w:r>
      <w:r w:rsidRPr="00CF7824">
        <w:rPr>
          <w:rFonts w:cs="Calibri"/>
          <w:bCs/>
          <w:lang w:val="fr-FR"/>
        </w:rPr>
        <w:t>Australasie (EAAFP – East Asian</w:t>
      </w:r>
      <w:r w:rsidR="007A1486" w:rsidRPr="00CF7824">
        <w:rPr>
          <w:rFonts w:cs="Calibri"/>
          <w:bCs/>
          <w:lang w:val="fr-FR"/>
        </w:rPr>
        <w:t> – </w:t>
      </w:r>
      <w:r w:rsidRPr="00CF7824">
        <w:rPr>
          <w:rFonts w:cs="Calibri"/>
          <w:bCs/>
          <w:lang w:val="fr-FR"/>
        </w:rPr>
        <w:t xml:space="preserve">Australasian Flyway Partnership) et le </w:t>
      </w:r>
      <w:r w:rsidR="00F24EAD" w:rsidRPr="00CF7824">
        <w:rPr>
          <w:rFonts w:cs="Calibri"/>
          <w:color w:val="000000"/>
          <w:lang w:val="fr-FR"/>
        </w:rPr>
        <w:t>Réseau de réserves pour les oiseaux de rivage de l’hémisphère occidental (</w:t>
      </w:r>
      <w:r w:rsidR="00F24EAD" w:rsidRPr="00CF7824">
        <w:rPr>
          <w:rFonts w:cs="Calibri"/>
          <w:bCs/>
          <w:lang w:val="fr-FR"/>
        </w:rPr>
        <w:t xml:space="preserve">WHSN – </w:t>
      </w:r>
      <w:r w:rsidRPr="00CF7824">
        <w:rPr>
          <w:rFonts w:cs="Calibri"/>
          <w:bCs/>
          <w:lang w:val="fr-FR"/>
        </w:rPr>
        <w:t>Western Hemisp</w:t>
      </w:r>
      <w:r w:rsidR="00F24EAD" w:rsidRPr="00CF7824">
        <w:rPr>
          <w:rFonts w:cs="Calibri"/>
          <w:bCs/>
          <w:lang w:val="fr-FR"/>
        </w:rPr>
        <w:t>here Shorebird Reserve Network</w:t>
      </w:r>
      <w:r w:rsidRPr="00CF7824">
        <w:rPr>
          <w:rFonts w:cs="Calibri"/>
          <w:bCs/>
          <w:lang w:val="fr-FR"/>
        </w:rPr>
        <w:t xml:space="preserve">) (pour identifier les sites du réseau de voies de migration), ainsi que dans le cadre des évaluations entreprises </w:t>
      </w:r>
      <w:r w:rsidR="00467CB8" w:rsidRPr="00CF7824">
        <w:rPr>
          <w:rFonts w:cs="Calibri"/>
          <w:bCs/>
          <w:lang w:val="fr-FR"/>
        </w:rPr>
        <w:t>pour</w:t>
      </w:r>
      <w:r w:rsidRPr="00CF7824">
        <w:rPr>
          <w:rFonts w:cs="Calibri"/>
          <w:bCs/>
          <w:lang w:val="fr-FR"/>
        </w:rPr>
        <w:t xml:space="preserve"> la Liste rouge des espèces menacées </w:t>
      </w:r>
      <w:r w:rsidR="000E0EE0" w:rsidRPr="00CF7824">
        <w:rPr>
          <w:rFonts w:cs="Calibri"/>
          <w:bCs/>
          <w:lang w:val="fr-FR"/>
        </w:rPr>
        <w:t xml:space="preserve">dans le monde </w:t>
      </w:r>
      <w:r w:rsidRPr="00CF7824">
        <w:rPr>
          <w:rFonts w:cs="Calibri"/>
          <w:bCs/>
          <w:lang w:val="fr-FR"/>
        </w:rPr>
        <w:t>de l</w:t>
      </w:r>
      <w:r w:rsidR="00016E39" w:rsidRPr="00CF7824">
        <w:rPr>
          <w:rFonts w:cs="Calibri"/>
          <w:bCs/>
          <w:lang w:val="fr-FR"/>
        </w:rPr>
        <w:t>’</w:t>
      </w:r>
      <w:r w:rsidRPr="00CF7824">
        <w:rPr>
          <w:rFonts w:cs="Calibri"/>
          <w:bCs/>
          <w:lang w:val="fr-FR"/>
        </w:rPr>
        <w:t>UICN et pour l</w:t>
      </w:r>
      <w:r w:rsidR="00016E39" w:rsidRPr="00CF7824">
        <w:rPr>
          <w:rFonts w:cs="Calibri"/>
          <w:bCs/>
          <w:lang w:val="fr-FR"/>
        </w:rPr>
        <w:t>’</w:t>
      </w:r>
      <w:r w:rsidRPr="00CF7824">
        <w:rPr>
          <w:rFonts w:cs="Calibri"/>
          <w:bCs/>
          <w:lang w:val="fr-FR"/>
        </w:rPr>
        <w:t xml:space="preserve">identification des </w:t>
      </w:r>
      <w:r w:rsidR="00C75FBD" w:rsidRPr="00CF7824">
        <w:rPr>
          <w:rFonts w:cs="Calibri"/>
          <w:bCs/>
          <w:lang w:val="fr-FR"/>
        </w:rPr>
        <w:t>Z</w:t>
      </w:r>
      <w:r w:rsidRPr="00CF7824">
        <w:rPr>
          <w:rFonts w:cs="Calibri"/>
          <w:bCs/>
          <w:lang w:val="fr-FR"/>
        </w:rPr>
        <w:t xml:space="preserve">ones importantes pour la conservation des oiseaux et des </w:t>
      </w:r>
      <w:r w:rsidR="00C75FBD" w:rsidRPr="00CF7824">
        <w:rPr>
          <w:rFonts w:cs="Calibri"/>
          <w:bCs/>
          <w:lang w:val="fr-FR"/>
        </w:rPr>
        <w:t>Z</w:t>
      </w:r>
      <w:r w:rsidRPr="00CF7824">
        <w:rPr>
          <w:rFonts w:cs="Calibri"/>
          <w:bCs/>
          <w:lang w:val="fr-FR"/>
        </w:rPr>
        <w:t>ones clés pour la biodiversité produites par BirdLife International et l</w:t>
      </w:r>
      <w:r w:rsidR="00016E39" w:rsidRPr="00CF7824">
        <w:rPr>
          <w:rFonts w:cs="Calibri"/>
          <w:bCs/>
          <w:lang w:val="fr-FR"/>
        </w:rPr>
        <w:t>’</w:t>
      </w:r>
      <w:r w:rsidRPr="00CF7824">
        <w:rPr>
          <w:rFonts w:cs="Calibri"/>
          <w:bCs/>
          <w:lang w:val="fr-FR"/>
        </w:rPr>
        <w:t>UICN, respectivement (voir l</w:t>
      </w:r>
      <w:r w:rsidR="00016E39" w:rsidRPr="00CF7824">
        <w:rPr>
          <w:rFonts w:cs="Calibri"/>
          <w:bCs/>
          <w:lang w:val="fr-FR"/>
        </w:rPr>
        <w:t>’</w:t>
      </w:r>
      <w:r w:rsidRPr="00CF7824">
        <w:rPr>
          <w:rFonts w:cs="Calibri"/>
          <w:bCs/>
          <w:lang w:val="fr-FR"/>
        </w:rPr>
        <w:t>annexe</w:t>
      </w:r>
      <w:r w:rsidR="00376BA1" w:rsidRPr="00CF7824">
        <w:rPr>
          <w:rFonts w:cs="Calibri"/>
          <w:bCs/>
          <w:lang w:val="fr-FR"/>
        </w:rPr>
        <w:t> </w:t>
      </w:r>
      <w:r w:rsidRPr="00CF7824">
        <w:rPr>
          <w:rFonts w:cs="Calibri"/>
          <w:bCs/>
          <w:lang w:val="fr-FR"/>
        </w:rPr>
        <w:t>3 du présent document pour une liste d</w:t>
      </w:r>
      <w:r w:rsidR="00016E39" w:rsidRPr="00CF7824">
        <w:rPr>
          <w:rFonts w:cs="Calibri"/>
          <w:bCs/>
          <w:lang w:val="fr-FR"/>
        </w:rPr>
        <w:t>’</w:t>
      </w:r>
      <w:r w:rsidRPr="00CF7824">
        <w:rPr>
          <w:rFonts w:cs="Calibri"/>
          <w:bCs/>
          <w:lang w:val="fr-FR"/>
        </w:rPr>
        <w:t>autres utilisateurs).</w:t>
      </w:r>
    </w:p>
    <w:p w:rsidR="00CB7A48" w:rsidRPr="00CF7824" w:rsidRDefault="00CB7A48" w:rsidP="00CB7A48">
      <w:pPr>
        <w:ind w:left="0" w:firstLine="0"/>
        <w:rPr>
          <w:rFonts w:asciiTheme="minorHAnsi" w:hAnsiTheme="minorHAnsi" w:cstheme="minorHAnsi"/>
          <w:lang w:val="fr-FR"/>
        </w:rPr>
      </w:pPr>
    </w:p>
    <w:p w:rsidR="00CB7A48" w:rsidRPr="00CF7824" w:rsidRDefault="00164734" w:rsidP="00DA3CBE">
      <w:pPr>
        <w:rPr>
          <w:rFonts w:asciiTheme="minorHAnsi" w:hAnsiTheme="minorHAnsi" w:cstheme="minorHAnsi"/>
          <w:lang w:val="fr-FR"/>
        </w:rPr>
      </w:pPr>
      <w:r w:rsidRPr="00CF7824">
        <w:rPr>
          <w:rFonts w:cs="Calibri"/>
          <w:bCs/>
          <w:lang w:val="fr-FR"/>
        </w:rPr>
        <w:t>22.</w:t>
      </w:r>
      <w:r w:rsidRPr="00CF7824">
        <w:rPr>
          <w:rFonts w:cs="Calibri"/>
          <w:bCs/>
          <w:lang w:val="fr-FR"/>
        </w:rPr>
        <w:tab/>
        <w:t>Les initiatives relatives à des voies de migration, telles que l</w:t>
      </w:r>
      <w:r w:rsidR="00016E39" w:rsidRPr="00CF7824">
        <w:rPr>
          <w:rFonts w:cs="Calibri"/>
          <w:bCs/>
          <w:lang w:val="fr-FR"/>
        </w:rPr>
        <w:t>’</w:t>
      </w:r>
      <w:r w:rsidRPr="00CF7824">
        <w:rPr>
          <w:rFonts w:cs="Calibri"/>
          <w:bCs/>
          <w:lang w:val="fr-FR"/>
        </w:rPr>
        <w:t>AEWA, ont reconnu la nécessité de disposer d</w:t>
      </w:r>
      <w:r w:rsidR="00016E39" w:rsidRPr="00CF7824">
        <w:rPr>
          <w:rFonts w:cs="Calibri"/>
          <w:bCs/>
          <w:lang w:val="fr-FR"/>
        </w:rPr>
        <w:t>’</w:t>
      </w:r>
      <w:r w:rsidRPr="00CF7824">
        <w:rPr>
          <w:rFonts w:cs="Calibri"/>
          <w:bCs/>
          <w:lang w:val="fr-FR"/>
        </w:rPr>
        <w:t>informations actualisées sur la taille et les tendances des populations couvertes par leur mandat de conservation. Au cours des deux dernières décennies, ces initiatives régionales relatives aux voies de migration ont établi leurs propres processus indépendants qui génèrent des estimations de population et des seuils de 1% (mais uniquement pour les espèces migratrices – et en ne couvrant donc qu</w:t>
      </w:r>
      <w:r w:rsidR="00016E39" w:rsidRPr="00CF7824">
        <w:rPr>
          <w:rFonts w:cs="Calibri"/>
          <w:bCs/>
          <w:lang w:val="fr-FR"/>
        </w:rPr>
        <w:t>’</w:t>
      </w:r>
      <w:r w:rsidRPr="00CF7824">
        <w:rPr>
          <w:rFonts w:cs="Calibri"/>
          <w:bCs/>
          <w:lang w:val="fr-FR"/>
        </w:rPr>
        <w:t>une partie d</w:t>
      </w:r>
      <w:r w:rsidR="00467CB8" w:rsidRPr="00CF7824">
        <w:rPr>
          <w:rFonts w:cs="Calibri"/>
          <w:bCs/>
          <w:lang w:val="fr-FR"/>
        </w:rPr>
        <w:t>es</w:t>
      </w:r>
      <w:r w:rsidRPr="00CF7824">
        <w:rPr>
          <w:rFonts w:cs="Calibri"/>
          <w:bCs/>
          <w:lang w:val="fr-FR"/>
        </w:rPr>
        <w:t xml:space="preserve"> </w:t>
      </w:r>
      <w:r w:rsidR="00376BA1" w:rsidRPr="00CF7824">
        <w:rPr>
          <w:rFonts w:cs="Calibri"/>
          <w:bCs/>
          <w:lang w:val="fr-FR"/>
        </w:rPr>
        <w:t>« </w:t>
      </w:r>
      <w:r w:rsidRPr="00CF7824">
        <w:rPr>
          <w:rFonts w:cs="Calibri"/>
          <w:bCs/>
          <w:lang w:val="fr-FR"/>
        </w:rPr>
        <w:t>besoin</w:t>
      </w:r>
      <w:r w:rsidR="00467CB8" w:rsidRPr="00CF7824">
        <w:rPr>
          <w:rFonts w:cs="Calibri"/>
          <w:bCs/>
          <w:lang w:val="fr-FR"/>
        </w:rPr>
        <w:t>s</w:t>
      </w:r>
      <w:r w:rsidR="00376BA1" w:rsidRPr="00CF7824">
        <w:rPr>
          <w:rFonts w:cs="Calibri"/>
          <w:bCs/>
          <w:lang w:val="fr-FR"/>
        </w:rPr>
        <w:t> »</w:t>
      </w:r>
      <w:r w:rsidRPr="00CF7824">
        <w:rPr>
          <w:rFonts w:cs="Calibri"/>
          <w:bCs/>
          <w:lang w:val="fr-FR"/>
        </w:rPr>
        <w:t xml:space="preserve"> d</w:t>
      </w:r>
      <w:r w:rsidR="00016E39" w:rsidRPr="00CF7824">
        <w:rPr>
          <w:rFonts w:cs="Calibri"/>
          <w:bCs/>
          <w:lang w:val="fr-FR"/>
        </w:rPr>
        <w:t>’</w:t>
      </w:r>
      <w:r w:rsidRPr="00CF7824">
        <w:rPr>
          <w:rFonts w:cs="Calibri"/>
          <w:bCs/>
          <w:lang w:val="fr-FR"/>
        </w:rPr>
        <w:t>estimation des populations d</w:t>
      </w:r>
      <w:r w:rsidR="00016E39" w:rsidRPr="00CF7824">
        <w:rPr>
          <w:rFonts w:cs="Calibri"/>
          <w:bCs/>
          <w:lang w:val="fr-FR"/>
        </w:rPr>
        <w:t>’</w:t>
      </w:r>
      <w:r w:rsidRPr="00CF7824">
        <w:rPr>
          <w:rFonts w:cs="Calibri"/>
          <w:bCs/>
          <w:lang w:val="fr-FR"/>
        </w:rPr>
        <w:t>oiseaux de la Convention sur les zones humides pour cette région) pour une utilisation pertinente. Cela s</w:t>
      </w:r>
      <w:r w:rsidR="00016E39" w:rsidRPr="00CF7824">
        <w:rPr>
          <w:rFonts w:cs="Calibri"/>
          <w:bCs/>
          <w:lang w:val="fr-FR"/>
        </w:rPr>
        <w:t>’</w:t>
      </w:r>
      <w:r w:rsidRPr="00CF7824">
        <w:rPr>
          <w:rFonts w:cs="Calibri"/>
          <w:bCs/>
          <w:lang w:val="fr-FR"/>
        </w:rPr>
        <w:t>explique en partie par l</w:t>
      </w:r>
      <w:r w:rsidR="00016E39" w:rsidRPr="00CF7824">
        <w:rPr>
          <w:rFonts w:cs="Calibri"/>
          <w:bCs/>
          <w:lang w:val="fr-FR"/>
        </w:rPr>
        <w:t>’</w:t>
      </w:r>
      <w:r w:rsidRPr="00CF7824">
        <w:rPr>
          <w:rFonts w:cs="Calibri"/>
          <w:bCs/>
          <w:lang w:val="fr-FR"/>
        </w:rPr>
        <w:t>absence de processus international régulier de mise à jour des WPE.</w:t>
      </w:r>
    </w:p>
    <w:p w:rsidR="00CB7A48" w:rsidRPr="00CF7824" w:rsidRDefault="00CB7A48" w:rsidP="00CB7A48">
      <w:pPr>
        <w:ind w:left="0" w:firstLine="0"/>
        <w:rPr>
          <w:rFonts w:asciiTheme="minorHAnsi" w:hAnsiTheme="minorHAnsi" w:cstheme="minorHAnsi"/>
          <w:lang w:val="fr-FR"/>
        </w:rPr>
      </w:pPr>
    </w:p>
    <w:p w:rsidR="00CB7A48" w:rsidRPr="00CF7824" w:rsidRDefault="00164734" w:rsidP="005F7B72">
      <w:pPr>
        <w:rPr>
          <w:rFonts w:asciiTheme="minorHAnsi" w:hAnsiTheme="minorHAnsi" w:cstheme="minorHAnsi"/>
          <w:lang w:val="fr-FR"/>
        </w:rPr>
      </w:pPr>
      <w:r w:rsidRPr="00CF7824">
        <w:rPr>
          <w:rFonts w:cs="Calibri"/>
          <w:bCs/>
          <w:lang w:val="fr-FR"/>
        </w:rPr>
        <w:lastRenderedPageBreak/>
        <w:t>23.</w:t>
      </w:r>
      <w:r w:rsidRPr="00CF7824">
        <w:rPr>
          <w:rFonts w:cs="Calibri"/>
          <w:bCs/>
          <w:lang w:val="fr-FR"/>
        </w:rPr>
        <w:tab/>
        <w:t>L</w:t>
      </w:r>
      <w:r w:rsidR="00016E39" w:rsidRPr="00CF7824">
        <w:rPr>
          <w:rFonts w:cs="Calibri"/>
          <w:bCs/>
          <w:lang w:val="fr-FR"/>
        </w:rPr>
        <w:t>’</w:t>
      </w:r>
      <w:r w:rsidRPr="00CF7824">
        <w:rPr>
          <w:rFonts w:cs="Calibri"/>
          <w:bCs/>
          <w:lang w:val="fr-FR"/>
        </w:rPr>
        <w:t>AEWA a un cycle de mise à jour triennal via son processus de Rapport sur l</w:t>
      </w:r>
      <w:r w:rsidR="00016E39" w:rsidRPr="00CF7824">
        <w:rPr>
          <w:rFonts w:cs="Calibri"/>
          <w:bCs/>
          <w:lang w:val="fr-FR"/>
        </w:rPr>
        <w:t>’</w:t>
      </w:r>
      <w:r w:rsidRPr="00CF7824">
        <w:rPr>
          <w:rFonts w:cs="Calibri"/>
          <w:bCs/>
          <w:lang w:val="fr-FR"/>
        </w:rPr>
        <w:t xml:space="preserve">état de conservation (CSR – </w:t>
      </w:r>
      <w:r w:rsidRPr="00CF7824">
        <w:rPr>
          <w:rFonts w:cs="Calibri"/>
          <w:bCs/>
          <w:i/>
          <w:iCs/>
          <w:lang w:val="fr-FR"/>
        </w:rPr>
        <w:t>Conservation Status Report</w:t>
      </w:r>
      <w:r w:rsidRPr="00CF7824">
        <w:rPr>
          <w:rFonts w:cs="Calibri"/>
          <w:bCs/>
          <w:lang w:val="fr-FR"/>
        </w:rPr>
        <w:t>)</w:t>
      </w:r>
      <w:r w:rsidRPr="00CF7824">
        <w:rPr>
          <w:rStyle w:val="FootnoteReference"/>
          <w:rFonts w:asciiTheme="minorHAnsi" w:hAnsiTheme="minorHAnsi" w:cstheme="minorHAnsi"/>
        </w:rPr>
        <w:footnoteReference w:id="6"/>
      </w:r>
      <w:r w:rsidRPr="00CF7824">
        <w:rPr>
          <w:rFonts w:cs="Calibri"/>
          <w:bCs/>
          <w:lang w:val="fr-FR"/>
        </w:rPr>
        <w:t xml:space="preserve"> qui est financé à chaque fois par des contributions volontaires de certaines Parties dans le cadre d</w:t>
      </w:r>
      <w:r w:rsidR="00016E39" w:rsidRPr="00CF7824">
        <w:rPr>
          <w:rFonts w:cs="Calibri"/>
          <w:bCs/>
          <w:lang w:val="fr-FR"/>
        </w:rPr>
        <w:t>’</w:t>
      </w:r>
      <w:r w:rsidRPr="00CF7824">
        <w:rPr>
          <w:rFonts w:cs="Calibri"/>
          <w:bCs/>
          <w:lang w:val="fr-FR"/>
        </w:rPr>
        <w:t>un travail confié à Wetlands International par le Secrétariat de l</w:t>
      </w:r>
      <w:r w:rsidR="00016E39" w:rsidRPr="00CF7824">
        <w:rPr>
          <w:rFonts w:cs="Calibri"/>
          <w:bCs/>
          <w:lang w:val="fr-FR"/>
        </w:rPr>
        <w:t>’</w:t>
      </w:r>
      <w:r w:rsidRPr="00CF7824">
        <w:rPr>
          <w:rFonts w:cs="Calibri"/>
          <w:bCs/>
          <w:lang w:val="fr-FR"/>
        </w:rPr>
        <w:t>Accord. L</w:t>
      </w:r>
      <w:r w:rsidR="00016E39" w:rsidRPr="00CF7824">
        <w:rPr>
          <w:rFonts w:cs="Calibri"/>
          <w:bCs/>
          <w:lang w:val="fr-FR"/>
        </w:rPr>
        <w:t>’</w:t>
      </w:r>
      <w:r w:rsidRPr="00CF7824">
        <w:rPr>
          <w:rFonts w:cs="Calibri"/>
          <w:bCs/>
          <w:lang w:val="fr-FR"/>
        </w:rPr>
        <w:t>EAAFP a plus récemment mis en place un processus de mise à jour similaire, avec son premier CSR1 publié en 2022, son Secrétariat ayant confié de la même manière l</w:t>
      </w:r>
      <w:r w:rsidR="00016E39" w:rsidRPr="00CF7824">
        <w:rPr>
          <w:rFonts w:cs="Calibri"/>
          <w:bCs/>
          <w:lang w:val="fr-FR"/>
        </w:rPr>
        <w:t>’</w:t>
      </w:r>
      <w:r w:rsidRPr="00CF7824">
        <w:rPr>
          <w:rFonts w:cs="Calibri"/>
          <w:bCs/>
          <w:lang w:val="fr-FR"/>
        </w:rPr>
        <w:t>élaboration du rapport à Wetlands International. L</w:t>
      </w:r>
      <w:r w:rsidR="00016E39" w:rsidRPr="00CF7824">
        <w:rPr>
          <w:rFonts w:cs="Calibri"/>
          <w:bCs/>
          <w:lang w:val="fr-FR"/>
        </w:rPr>
        <w:t>’</w:t>
      </w:r>
      <w:r w:rsidRPr="00CF7824">
        <w:rPr>
          <w:rFonts w:cs="Calibri"/>
          <w:bCs/>
          <w:lang w:val="fr-FR"/>
        </w:rPr>
        <w:t>EAAFP n</w:t>
      </w:r>
      <w:r w:rsidR="00016E39" w:rsidRPr="00CF7824">
        <w:rPr>
          <w:rFonts w:cs="Calibri"/>
          <w:bCs/>
          <w:lang w:val="fr-FR"/>
        </w:rPr>
        <w:t>’</w:t>
      </w:r>
      <w:r w:rsidRPr="00CF7824">
        <w:rPr>
          <w:rFonts w:cs="Calibri"/>
          <w:bCs/>
          <w:lang w:val="fr-FR"/>
        </w:rPr>
        <w:t xml:space="preserve">a pas encore défini de fréquence régulière ni de processus de financement garanti pour les futures mises à jour. </w:t>
      </w:r>
    </w:p>
    <w:p w:rsidR="00CB7A48" w:rsidRPr="00CF7824" w:rsidRDefault="00CB7A48" w:rsidP="00CB7A48">
      <w:pPr>
        <w:ind w:left="0" w:firstLine="0"/>
        <w:rPr>
          <w:rFonts w:asciiTheme="minorHAnsi" w:hAnsiTheme="minorHAnsi" w:cstheme="minorHAnsi"/>
          <w:lang w:val="fr-FR"/>
        </w:rPr>
      </w:pPr>
    </w:p>
    <w:p w:rsidR="00CB7A48" w:rsidRPr="00CF7824" w:rsidRDefault="00164734" w:rsidP="005F7B72">
      <w:pPr>
        <w:rPr>
          <w:rFonts w:asciiTheme="minorHAnsi" w:hAnsiTheme="minorHAnsi" w:cstheme="minorHAnsi"/>
          <w:lang w:val="fr-FR"/>
        </w:rPr>
      </w:pPr>
      <w:r w:rsidRPr="00CF7824">
        <w:rPr>
          <w:rFonts w:cs="Calibri"/>
          <w:bCs/>
          <w:lang w:val="fr-FR"/>
        </w:rPr>
        <w:t>24.</w:t>
      </w:r>
      <w:r w:rsidRPr="00CF7824">
        <w:rPr>
          <w:rFonts w:cs="Calibri"/>
          <w:bCs/>
          <w:lang w:val="fr-FR"/>
        </w:rPr>
        <w:tab/>
        <w:t>Alors que les WPE évaluent toutes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du monde</w:t>
      </w:r>
      <w:r w:rsidRPr="00CF7824">
        <w:rPr>
          <w:rStyle w:val="FootnoteReference"/>
          <w:rFonts w:asciiTheme="minorHAnsi" w:hAnsiTheme="minorHAnsi" w:cstheme="minorHAnsi"/>
        </w:rPr>
        <w:footnoteReference w:id="7"/>
      </w:r>
      <w:r w:rsidRPr="00CF7824">
        <w:rPr>
          <w:rFonts w:cs="Calibri"/>
          <w:bCs/>
          <w:lang w:val="fr-FR"/>
        </w:rPr>
        <w:t>, le CSR8 de l</w:t>
      </w:r>
      <w:r w:rsidR="00016E39" w:rsidRPr="00CF7824">
        <w:rPr>
          <w:rFonts w:cs="Calibri"/>
          <w:bCs/>
          <w:lang w:val="fr-FR"/>
        </w:rPr>
        <w:t>’</w:t>
      </w:r>
      <w:r w:rsidRPr="00CF7824">
        <w:rPr>
          <w:rFonts w:cs="Calibri"/>
          <w:bCs/>
          <w:lang w:val="fr-FR"/>
        </w:rPr>
        <w:t>AEWA couvre 560</w:t>
      </w:r>
      <w:r w:rsidR="00376BA1" w:rsidRPr="00CF7824">
        <w:rPr>
          <w:rFonts w:cs="Calibri"/>
          <w:bCs/>
          <w:lang w:val="fr-FR"/>
        </w:rPr>
        <w:t> </w:t>
      </w:r>
      <w:r w:rsidRPr="00CF7824">
        <w:rPr>
          <w:rFonts w:cs="Calibri"/>
          <w:bCs/>
          <w:lang w:val="fr-FR"/>
        </w:rPr>
        <w:t>populations de 255</w:t>
      </w:r>
      <w:r w:rsidR="00376BA1" w:rsidRPr="00CF7824">
        <w:rPr>
          <w:rFonts w:cs="Calibri"/>
          <w:bCs/>
          <w:lang w:val="fr-FR"/>
        </w:rPr>
        <w:t> </w:t>
      </w:r>
      <w:r w:rsidRPr="00CF7824">
        <w:rPr>
          <w:rFonts w:cs="Calibri"/>
          <w:bCs/>
          <w:lang w:val="fr-FR"/>
        </w:rPr>
        <w:t>espèces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et d</w:t>
      </w:r>
      <w:r w:rsidR="00016E39" w:rsidRPr="00CF7824">
        <w:rPr>
          <w:rFonts w:cs="Calibri"/>
          <w:bCs/>
          <w:lang w:val="fr-FR"/>
        </w:rPr>
        <w:t>’</w:t>
      </w:r>
      <w:r w:rsidRPr="00CF7824">
        <w:rPr>
          <w:rFonts w:cs="Calibri"/>
          <w:bCs/>
          <w:lang w:val="fr-FR"/>
        </w:rPr>
        <w:t>oiseaux marins migrateurs dans la voie de migration Afrique-Eurasie, et le CSR de l</w:t>
      </w:r>
      <w:r w:rsidR="00016E39" w:rsidRPr="00CF7824">
        <w:rPr>
          <w:rFonts w:cs="Calibri"/>
          <w:bCs/>
          <w:lang w:val="fr-FR"/>
        </w:rPr>
        <w:t>’</w:t>
      </w:r>
      <w:r w:rsidRPr="00CF7824">
        <w:rPr>
          <w:rFonts w:cs="Calibri"/>
          <w:bCs/>
          <w:lang w:val="fr-FR"/>
        </w:rPr>
        <w:t>EAAFP couvre 276</w:t>
      </w:r>
      <w:r w:rsidR="00376BA1" w:rsidRPr="00CF7824">
        <w:rPr>
          <w:rFonts w:cs="Calibri"/>
          <w:bCs/>
          <w:lang w:val="fr-FR"/>
        </w:rPr>
        <w:t> </w:t>
      </w:r>
      <w:r w:rsidRPr="00CF7824">
        <w:rPr>
          <w:rFonts w:cs="Calibri"/>
          <w:bCs/>
          <w:lang w:val="fr-FR"/>
        </w:rPr>
        <w:t>populations de 216</w:t>
      </w:r>
      <w:r w:rsidR="00376BA1" w:rsidRPr="00CF7824">
        <w:rPr>
          <w:rFonts w:cs="Calibri"/>
          <w:bCs/>
          <w:lang w:val="fr-FR"/>
        </w:rPr>
        <w:t> </w:t>
      </w:r>
      <w:r w:rsidRPr="00CF7824">
        <w:rPr>
          <w:rFonts w:cs="Calibri"/>
          <w:bCs/>
          <w:lang w:val="fr-FR"/>
        </w:rPr>
        <w:t>espèces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migrateurs dans la voie de migration Asie de l</w:t>
      </w:r>
      <w:r w:rsidR="00016E39" w:rsidRPr="00CF7824">
        <w:rPr>
          <w:rFonts w:cs="Calibri"/>
          <w:bCs/>
          <w:lang w:val="fr-FR"/>
        </w:rPr>
        <w:t>’</w:t>
      </w:r>
      <w:r w:rsidRPr="00CF7824">
        <w:rPr>
          <w:rFonts w:cs="Calibri"/>
          <w:bCs/>
          <w:lang w:val="fr-FR"/>
        </w:rPr>
        <w:t xml:space="preserve">Est-Australasie. </w:t>
      </w:r>
    </w:p>
    <w:p w:rsidR="00CB7A48" w:rsidRPr="00CF7824" w:rsidRDefault="00CB7A48" w:rsidP="00CB7A48">
      <w:pPr>
        <w:ind w:left="0" w:firstLine="0"/>
        <w:rPr>
          <w:rFonts w:asciiTheme="minorHAnsi" w:hAnsiTheme="minorHAnsi" w:cstheme="minorHAnsi"/>
          <w:lang w:val="fr-FR"/>
        </w:rPr>
      </w:pPr>
    </w:p>
    <w:p w:rsidR="00ED69E4" w:rsidRPr="00CF7824" w:rsidRDefault="00164734" w:rsidP="005F7B72">
      <w:pPr>
        <w:rPr>
          <w:rFonts w:asciiTheme="minorHAnsi" w:hAnsiTheme="minorHAnsi" w:cstheme="minorHAnsi"/>
          <w:lang w:val="fr-FR"/>
        </w:rPr>
      </w:pPr>
      <w:r w:rsidRPr="00CF7824">
        <w:rPr>
          <w:rFonts w:cs="Calibri"/>
          <w:bCs/>
          <w:lang w:val="fr-FR"/>
        </w:rPr>
        <w:t>25.</w:t>
      </w:r>
      <w:r w:rsidRPr="00CF7824">
        <w:rPr>
          <w:rFonts w:cs="Calibri"/>
          <w:bCs/>
          <w:lang w:val="fr-FR"/>
        </w:rPr>
        <w:tab/>
        <w:t>Les résultats d</w:t>
      </w:r>
      <w:r w:rsidR="000E0EE0" w:rsidRPr="00CF7824">
        <w:rPr>
          <w:rFonts w:cs="Calibri"/>
          <w:bCs/>
          <w:lang w:val="fr-FR"/>
        </w:rPr>
        <w:t>es</w:t>
      </w:r>
      <w:r w:rsidRPr="00CF7824">
        <w:rPr>
          <w:rFonts w:cs="Calibri"/>
          <w:bCs/>
          <w:lang w:val="fr-FR"/>
        </w:rPr>
        <w:t xml:space="preserve"> WPE et d</w:t>
      </w:r>
      <w:r w:rsidR="000E0EE0" w:rsidRPr="00CF7824">
        <w:rPr>
          <w:rFonts w:cs="Calibri"/>
          <w:bCs/>
          <w:lang w:val="fr-FR"/>
        </w:rPr>
        <w:t>es</w:t>
      </w:r>
      <w:r w:rsidRPr="00CF7824">
        <w:rPr>
          <w:rFonts w:cs="Calibri"/>
          <w:bCs/>
          <w:lang w:val="fr-FR"/>
        </w:rPr>
        <w:t xml:space="preserve"> CSR sont disponibles en ligne depuis 2012 et sont accessibles dans un portail interactif en ligne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w:t>
      </w:r>
      <w:r w:rsidR="000E0EE0" w:rsidRPr="00CF7824">
        <w:rPr>
          <w:rFonts w:cs="Calibri"/>
          <w:bCs/>
          <w:lang w:val="fr-FR"/>
        </w:rPr>
        <w:t xml:space="preserve">, le </w:t>
      </w:r>
      <w:r w:rsidR="000E0EE0" w:rsidRPr="00CF7824">
        <w:rPr>
          <w:rFonts w:asciiTheme="minorHAnsi" w:hAnsiTheme="minorHAnsi" w:cstheme="minorHAnsi"/>
          <w:lang w:val="fr-FR"/>
        </w:rPr>
        <w:t>Waterbirds Populations Portal</w:t>
      </w:r>
      <w:r w:rsidRPr="00CF7824">
        <w:rPr>
          <w:rFonts w:cs="Calibri"/>
          <w:bCs/>
          <w:lang w:val="fr-FR"/>
        </w:rPr>
        <w:t>, conçu par Wetlands International en 2021 avec le financement de donateurs.</w:t>
      </w:r>
    </w:p>
    <w:p w:rsidR="00ED69E4" w:rsidRPr="00CF7824" w:rsidRDefault="00ED69E4" w:rsidP="009438AC">
      <w:pPr>
        <w:ind w:left="0" w:firstLine="0"/>
        <w:rPr>
          <w:rFonts w:asciiTheme="minorHAnsi" w:hAnsiTheme="minorHAnsi" w:cstheme="minorHAnsi"/>
          <w:lang w:val="fr-FR"/>
        </w:rPr>
      </w:pPr>
    </w:p>
    <w:p w:rsidR="00047320" w:rsidRPr="00CF7824" w:rsidRDefault="00164734" w:rsidP="008C54FC">
      <w:pPr>
        <w:keepNext/>
        <w:ind w:left="0" w:firstLine="0"/>
        <w:rPr>
          <w:rFonts w:cs="Arial"/>
          <w:i/>
          <w:lang w:val="fr-FR"/>
        </w:rPr>
      </w:pPr>
      <w:r w:rsidRPr="00CF7824">
        <w:rPr>
          <w:rFonts w:cs="Arial"/>
          <w:i/>
          <w:iCs/>
          <w:lang w:val="fr-FR"/>
        </w:rPr>
        <w:t>Figure</w:t>
      </w:r>
      <w:r w:rsidR="001F19B5" w:rsidRPr="00CF7824">
        <w:rPr>
          <w:rFonts w:cs="Arial"/>
          <w:i/>
          <w:iCs/>
          <w:lang w:val="fr-FR"/>
        </w:rPr>
        <w:t> </w:t>
      </w:r>
      <w:r w:rsidRPr="00CF7824">
        <w:rPr>
          <w:rFonts w:cs="Arial"/>
          <w:i/>
          <w:iCs/>
          <w:lang w:val="fr-FR"/>
        </w:rPr>
        <w:t xml:space="preserve">1 : Résumé des flux de données existants (pas nécessairement complets pour toutes les populations) et des lacunes restantes dans les flux de données au sein du </w:t>
      </w:r>
      <w:r w:rsidR="00376BA1" w:rsidRPr="00CF7824">
        <w:rPr>
          <w:rFonts w:cs="Arial"/>
          <w:i/>
          <w:iCs/>
          <w:lang w:val="fr-FR"/>
        </w:rPr>
        <w:t>« </w:t>
      </w:r>
      <w:r w:rsidRPr="00CF7824">
        <w:rPr>
          <w:rFonts w:cs="Arial"/>
          <w:i/>
          <w:iCs/>
          <w:lang w:val="fr-FR"/>
        </w:rPr>
        <w:t>processus</w:t>
      </w:r>
      <w:r w:rsidR="00376BA1" w:rsidRPr="00CF7824">
        <w:rPr>
          <w:rFonts w:cs="Arial"/>
          <w:i/>
          <w:iCs/>
          <w:lang w:val="fr-FR"/>
        </w:rPr>
        <w:t> »</w:t>
      </w:r>
      <w:r w:rsidRPr="00CF7824">
        <w:rPr>
          <w:rFonts w:cs="Arial"/>
          <w:i/>
          <w:iCs/>
          <w:lang w:val="fr-FR"/>
        </w:rPr>
        <w:t xml:space="preserve"> d</w:t>
      </w:r>
      <w:r w:rsidR="00016E39" w:rsidRPr="00CF7824">
        <w:rPr>
          <w:rFonts w:cs="Arial"/>
          <w:i/>
          <w:iCs/>
          <w:lang w:val="fr-FR"/>
        </w:rPr>
        <w:t>’</w:t>
      </w:r>
      <w:r w:rsidR="000E0EE0" w:rsidRPr="00CF7824">
        <w:rPr>
          <w:rFonts w:cs="Arial"/>
          <w:i/>
          <w:iCs/>
          <w:lang w:val="fr-FR"/>
        </w:rPr>
        <w:t>e</w:t>
      </w:r>
      <w:r w:rsidRPr="00CF7824">
        <w:rPr>
          <w:rFonts w:cs="Arial"/>
          <w:i/>
          <w:iCs/>
          <w:lang w:val="fr-FR"/>
        </w:rPr>
        <w:t>stimation</w:t>
      </w:r>
      <w:r w:rsidR="00C75FBD" w:rsidRPr="00CF7824">
        <w:rPr>
          <w:rFonts w:cs="Arial"/>
          <w:i/>
          <w:iCs/>
          <w:lang w:val="fr-FR"/>
        </w:rPr>
        <w:t>s</w:t>
      </w:r>
      <w:r w:rsidRPr="00CF7824">
        <w:rPr>
          <w:rFonts w:cs="Arial"/>
          <w:i/>
          <w:iCs/>
          <w:lang w:val="fr-FR"/>
        </w:rPr>
        <w:t xml:space="preserve"> des populations d</w:t>
      </w:r>
      <w:r w:rsidR="00016E39" w:rsidRPr="00CF7824">
        <w:rPr>
          <w:rFonts w:cs="Arial"/>
          <w:i/>
          <w:iCs/>
          <w:lang w:val="fr-FR"/>
        </w:rPr>
        <w:t>’</w:t>
      </w:r>
      <w:r w:rsidRPr="00CF7824">
        <w:rPr>
          <w:rFonts w:cs="Arial"/>
          <w:i/>
          <w:iCs/>
          <w:lang w:val="fr-FR"/>
        </w:rPr>
        <w:t>oiseaux d</w:t>
      </w:r>
      <w:r w:rsidR="00016E39" w:rsidRPr="00CF7824">
        <w:rPr>
          <w:rFonts w:cs="Arial"/>
          <w:i/>
          <w:iCs/>
          <w:lang w:val="fr-FR"/>
        </w:rPr>
        <w:t>’</w:t>
      </w:r>
      <w:r w:rsidRPr="00CF7824">
        <w:rPr>
          <w:rFonts w:cs="Arial"/>
          <w:i/>
          <w:iCs/>
          <w:lang w:val="fr-FR"/>
        </w:rPr>
        <w:t>eau (</w:t>
      </w:r>
      <w:r w:rsidR="000E0EE0" w:rsidRPr="00CF7824">
        <w:rPr>
          <w:rFonts w:cs="Arial"/>
          <w:i/>
          <w:iCs/>
          <w:lang w:val="fr-FR"/>
        </w:rPr>
        <w:t xml:space="preserve">processus </w:t>
      </w:r>
      <w:r w:rsidRPr="00CF7824">
        <w:rPr>
          <w:rFonts w:cs="Arial"/>
          <w:i/>
          <w:iCs/>
          <w:lang w:val="fr-FR"/>
        </w:rPr>
        <w:t>WPE) organisé en fonction des cinq principales voies de migration des oiseaux d</w:t>
      </w:r>
      <w:r w:rsidR="00016E39" w:rsidRPr="00CF7824">
        <w:rPr>
          <w:rFonts w:cs="Arial"/>
          <w:i/>
          <w:iCs/>
          <w:lang w:val="fr-FR"/>
        </w:rPr>
        <w:t>’</w:t>
      </w:r>
      <w:r w:rsidRPr="00CF7824">
        <w:rPr>
          <w:rFonts w:cs="Arial"/>
          <w:i/>
          <w:iCs/>
          <w:lang w:val="fr-FR"/>
        </w:rPr>
        <w:t>eau</w:t>
      </w:r>
      <w:r w:rsidR="000E0EE0" w:rsidRPr="00CF7824">
        <w:rPr>
          <w:rFonts w:cs="Arial"/>
          <w:i/>
          <w:iCs/>
          <w:lang w:val="fr-FR"/>
        </w:rPr>
        <w:t xml:space="preserve"> à l’échelle mondiale</w:t>
      </w:r>
      <w:r w:rsidRPr="00CF7824">
        <w:rPr>
          <w:rFonts w:cs="Arial"/>
          <w:i/>
          <w:iCs/>
          <w:lang w:val="fr-FR"/>
        </w:rPr>
        <w:t>.</w:t>
      </w:r>
    </w:p>
    <w:p w:rsidR="00047320" w:rsidRPr="00CF7824" w:rsidRDefault="00047320" w:rsidP="005F7B72">
      <w:pPr>
        <w:rPr>
          <w:rFonts w:asciiTheme="minorHAnsi" w:hAnsiTheme="minorHAnsi" w:cstheme="minorHAnsi"/>
          <w:lang w:val="fr-FR"/>
        </w:rPr>
      </w:pPr>
    </w:p>
    <w:p w:rsidR="00585D7C" w:rsidRPr="00CF7824" w:rsidRDefault="00247EC0" w:rsidP="005F7B72">
      <w:pPr>
        <w:rPr>
          <w:rFonts w:asciiTheme="minorHAnsi" w:hAnsiTheme="minorHAnsi" w:cstheme="minorHAnsi"/>
        </w:rPr>
      </w:pPr>
      <w:r w:rsidRPr="00CF7824">
        <w:rPr>
          <w:rFonts w:asciiTheme="minorHAnsi" w:hAnsiTheme="minorHAnsi" w:cstheme="minorHAnsi"/>
          <w:noProof/>
          <w:lang w:val="fr-FR" w:eastAsia="fr-FR"/>
        </w:rPr>
        <w:drawing>
          <wp:inline distT="0" distB="0" distL="0" distR="0" wp14:anchorId="50CCBE36" wp14:editId="59A9FEDF">
            <wp:extent cx="5715231" cy="220836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993" cy="2208656"/>
                    </a:xfrm>
                    <a:prstGeom prst="rect">
                      <a:avLst/>
                    </a:prstGeom>
                    <a:noFill/>
                  </pic:spPr>
                </pic:pic>
              </a:graphicData>
            </a:graphic>
          </wp:inline>
        </w:drawing>
      </w:r>
    </w:p>
    <w:p w:rsidR="00585D7C" w:rsidRDefault="00585D7C" w:rsidP="005F7B72">
      <w:pPr>
        <w:rPr>
          <w:rFonts w:asciiTheme="minorHAnsi" w:hAnsiTheme="minorHAnsi" w:cstheme="minorHAnsi"/>
        </w:rPr>
      </w:pPr>
    </w:p>
    <w:p w:rsidR="00785D5E" w:rsidRPr="00CF7824" w:rsidRDefault="00785D5E" w:rsidP="005F7B72">
      <w:pPr>
        <w:rPr>
          <w:rFonts w:asciiTheme="minorHAnsi" w:hAnsiTheme="minorHAnsi" w:cstheme="minorHAnsi"/>
        </w:rPr>
      </w:pPr>
    </w:p>
    <w:p w:rsidR="00C93A91" w:rsidRPr="00CF7824" w:rsidRDefault="00164734" w:rsidP="005F7B72">
      <w:pPr>
        <w:rPr>
          <w:rFonts w:asciiTheme="minorHAnsi" w:hAnsiTheme="minorHAnsi" w:cstheme="minorHAnsi"/>
          <w:lang w:val="fr-FR"/>
        </w:rPr>
      </w:pPr>
      <w:r w:rsidRPr="00CF7824">
        <w:rPr>
          <w:rFonts w:cs="Calibri"/>
          <w:bCs/>
          <w:lang w:val="fr-FR"/>
        </w:rPr>
        <w:t>26.</w:t>
      </w:r>
      <w:r w:rsidRPr="00CF7824">
        <w:rPr>
          <w:rFonts w:cs="Calibri"/>
          <w:bCs/>
          <w:lang w:val="fr-FR"/>
        </w:rPr>
        <w:tab/>
        <w:t>Cependant, la somme de ces deux processus régionaux de mise à jour des CSR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n</w:t>
      </w:r>
      <w:r w:rsidR="00016E39" w:rsidRPr="00CF7824">
        <w:rPr>
          <w:rFonts w:cs="Calibri"/>
          <w:bCs/>
          <w:lang w:val="fr-FR"/>
        </w:rPr>
        <w:t>’</w:t>
      </w:r>
      <w:r w:rsidRPr="00CF7824">
        <w:rPr>
          <w:rFonts w:cs="Calibri"/>
          <w:bCs/>
          <w:lang w:val="fr-FR"/>
        </w:rPr>
        <w:t xml:space="preserve">équivaut pas à un processus WPE </w:t>
      </w:r>
      <w:r w:rsidR="000E0EE0" w:rsidRPr="00CF7824">
        <w:rPr>
          <w:rFonts w:cs="Calibri"/>
          <w:bCs/>
          <w:lang w:val="fr-FR"/>
        </w:rPr>
        <w:t>à l’échelle mondiale</w:t>
      </w:r>
      <w:r w:rsidRPr="00CF7824">
        <w:rPr>
          <w:rFonts w:cs="Calibri"/>
          <w:bCs/>
          <w:lang w:val="fr-FR"/>
        </w:rPr>
        <w:t>, mais couvre seulement 34,5</w:t>
      </w:r>
      <w:r w:rsidR="00A12CF2" w:rsidRPr="00CF7824">
        <w:rPr>
          <w:rFonts w:cs="Calibri"/>
          <w:bCs/>
          <w:lang w:val="fr-FR"/>
        </w:rPr>
        <w:t>%</w:t>
      </w:r>
      <w:r w:rsidRPr="00CF7824">
        <w:rPr>
          <w:rFonts w:cs="Calibri"/>
          <w:bCs/>
          <w:lang w:val="fr-FR"/>
        </w:rPr>
        <w:t xml:space="preserve"> des 2</w:t>
      </w:r>
      <w:r w:rsidR="00376BA1" w:rsidRPr="00CF7824">
        <w:rPr>
          <w:rFonts w:cs="Calibri"/>
          <w:bCs/>
          <w:lang w:val="fr-FR"/>
        </w:rPr>
        <w:t> 340 </w:t>
      </w:r>
      <w:r w:rsidRPr="00CF7824">
        <w:rPr>
          <w:rFonts w:cs="Calibri"/>
          <w:bCs/>
          <w:lang w:val="fr-FR"/>
        </w:rPr>
        <w:t>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étant donné que</w:t>
      </w:r>
      <w:r w:rsidR="00376BA1" w:rsidRPr="00CF7824">
        <w:rPr>
          <w:rFonts w:cs="Calibri"/>
          <w:bCs/>
          <w:lang w:val="fr-FR"/>
        </w:rPr>
        <w:t> </w:t>
      </w:r>
      <w:r w:rsidRPr="00CF7824">
        <w:rPr>
          <w:rFonts w:cs="Calibri"/>
          <w:bCs/>
          <w:lang w:val="fr-FR"/>
        </w:rPr>
        <w:t>: a) toutes les régions/voies de migration ne sont pas couvertes</w:t>
      </w:r>
      <w:r w:rsidR="00A12CF2" w:rsidRPr="00CF7824">
        <w:rPr>
          <w:rFonts w:cs="Calibri"/>
          <w:bCs/>
          <w:lang w:val="fr-FR"/>
        </w:rPr>
        <w:t>;</w:t>
      </w:r>
      <w:r w:rsidRPr="00CF7824">
        <w:rPr>
          <w:rFonts w:cs="Calibri"/>
          <w:bCs/>
          <w:lang w:val="fr-FR"/>
        </w:rPr>
        <w:t xml:space="preserve"> et b) même au sein de ces deux régions, seules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migrateurs sont prises en compte, alors que le Critère</w:t>
      </w:r>
      <w:r w:rsidR="001F19B5" w:rsidRPr="00CF7824">
        <w:rPr>
          <w:rFonts w:cs="Calibri"/>
          <w:bCs/>
          <w:lang w:val="fr-FR"/>
        </w:rPr>
        <w:t> </w:t>
      </w:r>
      <w:r w:rsidRPr="00CF7824">
        <w:rPr>
          <w:rFonts w:cs="Calibri"/>
          <w:bCs/>
          <w:lang w:val="fr-FR"/>
        </w:rPr>
        <w:t>6 de la Convention sur les zones humides concerne toutes les espèces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y compris les populations non</w:t>
      </w:r>
      <w:r w:rsidR="00C75FBD" w:rsidRPr="00CF7824">
        <w:rPr>
          <w:rFonts w:cs="Calibri"/>
          <w:bCs/>
          <w:lang w:val="fr-FR"/>
        </w:rPr>
        <w:t xml:space="preserve"> </w:t>
      </w:r>
      <w:r w:rsidRPr="00CF7824">
        <w:rPr>
          <w:rFonts w:cs="Calibri"/>
          <w:bCs/>
          <w:lang w:val="fr-FR"/>
        </w:rPr>
        <w:t>migratrices et les populations résidentes. Ainsi, les deux initiatives relatives aux voies de migration (AEWA et EAAFP) ne couvrent qu</w:t>
      </w:r>
      <w:r w:rsidR="00016E39" w:rsidRPr="00CF7824">
        <w:rPr>
          <w:rFonts w:cs="Calibri"/>
          <w:bCs/>
          <w:lang w:val="fr-FR"/>
        </w:rPr>
        <w:t>’</w:t>
      </w:r>
      <w:r w:rsidRPr="00CF7824">
        <w:rPr>
          <w:rFonts w:cs="Calibri"/>
          <w:bCs/>
          <w:lang w:val="fr-FR"/>
        </w:rPr>
        <w:t>un sous-ensemble d</w:t>
      </w:r>
      <w:r w:rsidR="00016E39" w:rsidRPr="00CF7824">
        <w:rPr>
          <w:rFonts w:cs="Calibri"/>
          <w:bCs/>
          <w:lang w:val="fr-FR"/>
        </w:rPr>
        <w:t>’</w:t>
      </w:r>
      <w:r w:rsidRPr="00CF7824">
        <w:rPr>
          <w:rFonts w:cs="Calibri"/>
          <w:bCs/>
          <w:lang w:val="fr-FR"/>
        </w:rPr>
        <w:t>espèces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(uniquement les espèces migratrices) dans le cadre de leur mission de conservation. La figure</w:t>
      </w:r>
      <w:r w:rsidR="001F19B5" w:rsidRPr="00CF7824">
        <w:rPr>
          <w:rFonts w:cs="Calibri"/>
          <w:bCs/>
          <w:lang w:val="fr-FR"/>
        </w:rPr>
        <w:t> </w:t>
      </w:r>
      <w:r w:rsidRPr="00CF7824">
        <w:rPr>
          <w:rFonts w:cs="Calibri"/>
          <w:bCs/>
          <w:lang w:val="fr-FR"/>
        </w:rPr>
        <w:t xml:space="preserve">1 ci-dessus </w:t>
      </w:r>
      <w:r w:rsidR="000E0EE0" w:rsidRPr="00CF7824">
        <w:rPr>
          <w:rFonts w:cs="Calibri"/>
          <w:bCs/>
          <w:lang w:val="fr-FR"/>
        </w:rPr>
        <w:t>illustre</w:t>
      </w:r>
      <w:r w:rsidRPr="00CF7824">
        <w:rPr>
          <w:rFonts w:cs="Calibri"/>
          <w:bCs/>
          <w:lang w:val="fr-FR"/>
        </w:rPr>
        <w:t xml:space="preserve"> ce que l</w:t>
      </w:r>
      <w:r w:rsidR="00016E39" w:rsidRPr="00CF7824">
        <w:rPr>
          <w:rFonts w:cs="Calibri"/>
          <w:bCs/>
          <w:lang w:val="fr-FR"/>
        </w:rPr>
        <w:t>’</w:t>
      </w:r>
      <w:r w:rsidRPr="00CF7824">
        <w:rPr>
          <w:rFonts w:cs="Calibri"/>
          <w:bCs/>
          <w:lang w:val="fr-FR"/>
        </w:rPr>
        <w:t>on pourrait considérer comme un processus mondial</w:t>
      </w:r>
      <w:r w:rsidR="009361FF">
        <w:rPr>
          <w:rFonts w:cs="Calibri"/>
          <w:bCs/>
          <w:lang w:val="fr-FR"/>
        </w:rPr>
        <w:t>.</w:t>
      </w:r>
      <w:r w:rsidRPr="00CF7824">
        <w:rPr>
          <w:rFonts w:cs="Calibri"/>
          <w:bCs/>
          <w:lang w:val="fr-FR"/>
        </w:rPr>
        <w:t xml:space="preserve"> </w:t>
      </w:r>
      <w:r w:rsidRPr="00CF7824">
        <w:rPr>
          <w:rFonts w:cs="Calibri"/>
          <w:bCs/>
          <w:lang w:val="fr-FR"/>
        </w:rPr>
        <w:lastRenderedPageBreak/>
        <w:t>d</w:t>
      </w:r>
      <w:r w:rsidR="00016E39" w:rsidRPr="00CF7824">
        <w:rPr>
          <w:rFonts w:cs="Calibri"/>
          <w:bCs/>
          <w:lang w:val="fr-FR"/>
        </w:rPr>
        <w:t>’</w:t>
      </w:r>
      <w:r w:rsidRPr="00CF7824">
        <w:rPr>
          <w:rFonts w:cs="Calibri"/>
          <w:bCs/>
          <w:lang w:val="fr-FR"/>
        </w:rPr>
        <w:t>estimation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et des sources de données/informations qui devraient être incluses.</w:t>
      </w:r>
    </w:p>
    <w:p w:rsidR="00C93A91" w:rsidRPr="00CF7824" w:rsidRDefault="00C93A91" w:rsidP="005F7B72">
      <w:pPr>
        <w:rPr>
          <w:rFonts w:asciiTheme="minorHAnsi" w:hAnsiTheme="minorHAnsi" w:cstheme="minorHAnsi"/>
          <w:lang w:val="fr-FR"/>
        </w:rPr>
      </w:pPr>
    </w:p>
    <w:p w:rsidR="00373705" w:rsidRPr="00CF7824" w:rsidRDefault="00164734" w:rsidP="005F7B72">
      <w:pPr>
        <w:rPr>
          <w:rFonts w:asciiTheme="minorHAnsi" w:hAnsiTheme="minorHAnsi" w:cstheme="minorHAnsi"/>
          <w:lang w:val="fr-FR"/>
        </w:rPr>
      </w:pPr>
      <w:r w:rsidRPr="00CF7824">
        <w:rPr>
          <w:rFonts w:cs="Calibri"/>
          <w:bCs/>
          <w:lang w:val="fr-FR"/>
        </w:rPr>
        <w:t>27.</w:t>
      </w:r>
      <w:r w:rsidRPr="00CF7824">
        <w:rPr>
          <w:rFonts w:cs="Calibri"/>
          <w:bCs/>
          <w:lang w:val="fr-FR"/>
        </w:rPr>
        <w:tab/>
        <w:t>En outre, le processus de rapport prévu à l</w:t>
      </w:r>
      <w:r w:rsidR="00016E39" w:rsidRPr="00CF7824">
        <w:rPr>
          <w:rFonts w:cs="Calibri"/>
          <w:bCs/>
          <w:lang w:val="fr-FR"/>
        </w:rPr>
        <w:t>’</w:t>
      </w:r>
      <w:r w:rsidRPr="00CF7824">
        <w:rPr>
          <w:rFonts w:cs="Calibri"/>
          <w:bCs/>
          <w:lang w:val="fr-FR"/>
        </w:rPr>
        <w:t>Article</w:t>
      </w:r>
      <w:r w:rsidR="001F19B5" w:rsidRPr="00CF7824">
        <w:rPr>
          <w:rFonts w:cs="Calibri"/>
          <w:bCs/>
          <w:lang w:val="fr-FR"/>
        </w:rPr>
        <w:t> </w:t>
      </w:r>
      <w:r w:rsidRPr="00CF7824">
        <w:rPr>
          <w:rFonts w:cs="Calibri"/>
          <w:bCs/>
          <w:lang w:val="fr-FR"/>
        </w:rPr>
        <w:t xml:space="preserve">12 de la directive </w:t>
      </w:r>
      <w:r w:rsidR="00376BA1" w:rsidRPr="00CF7824">
        <w:rPr>
          <w:rFonts w:cs="Calibri"/>
          <w:bCs/>
          <w:lang w:val="fr-FR"/>
        </w:rPr>
        <w:t>« </w:t>
      </w:r>
      <w:r w:rsidRPr="00CF7824">
        <w:rPr>
          <w:rFonts w:cs="Calibri"/>
          <w:bCs/>
          <w:lang w:val="fr-FR"/>
        </w:rPr>
        <w:t>Oiseaux</w:t>
      </w:r>
      <w:r w:rsidR="00376BA1" w:rsidRPr="00CF7824">
        <w:rPr>
          <w:rFonts w:cs="Calibri"/>
          <w:bCs/>
          <w:lang w:val="fr-FR"/>
        </w:rPr>
        <w:t> »</w:t>
      </w:r>
      <w:r w:rsidRPr="00CF7824">
        <w:rPr>
          <w:rFonts w:cs="Calibri"/>
          <w:bCs/>
          <w:lang w:val="fr-FR"/>
        </w:rPr>
        <w:t xml:space="preserve"> de l</w:t>
      </w:r>
      <w:r w:rsidR="00016E39" w:rsidRPr="00CF7824">
        <w:rPr>
          <w:rFonts w:cs="Calibri"/>
          <w:bCs/>
          <w:lang w:val="fr-FR"/>
        </w:rPr>
        <w:t>’</w:t>
      </w:r>
      <w:r w:rsidRPr="00CF7824">
        <w:rPr>
          <w:rFonts w:cs="Calibri"/>
          <w:bCs/>
          <w:lang w:val="fr-FR"/>
        </w:rPr>
        <w:t>Union européenne, lié à la Liste rouge des oiseaux</w:t>
      </w:r>
      <w:r w:rsidR="000E0EE0" w:rsidRPr="00CF7824">
        <w:rPr>
          <w:rFonts w:cs="Calibri"/>
          <w:bCs/>
          <w:lang w:val="fr-FR"/>
        </w:rPr>
        <w:t xml:space="preserve"> d’Europe</w:t>
      </w:r>
      <w:r w:rsidRPr="00CF7824">
        <w:rPr>
          <w:rFonts w:cs="Calibri"/>
          <w:bCs/>
          <w:lang w:val="fr-FR"/>
        </w:rPr>
        <w:t xml:space="preserve"> et financé par la Commission européenne, a joué un rôle déterminant en Europe. Ce processus couvre toutes les populations </w:t>
      </w:r>
      <w:r w:rsidR="00376BA1" w:rsidRPr="00CF7824">
        <w:rPr>
          <w:rFonts w:cs="Calibri"/>
          <w:bCs/>
          <w:lang w:val="fr-FR"/>
        </w:rPr>
        <w:t>« </w:t>
      </w:r>
      <w:r w:rsidRPr="00CF7824">
        <w:rPr>
          <w:rFonts w:cs="Calibri"/>
          <w:bCs/>
          <w:lang w:val="fr-FR"/>
        </w:rPr>
        <w:t>d</w:t>
      </w:r>
      <w:r w:rsidR="00016E39" w:rsidRPr="00CF7824">
        <w:rPr>
          <w:rFonts w:cs="Calibri"/>
          <w:bCs/>
          <w:lang w:val="fr-FR"/>
        </w:rPr>
        <w:t>’</w:t>
      </w:r>
      <w:r w:rsidRPr="00CF7824">
        <w:rPr>
          <w:rFonts w:cs="Calibri"/>
          <w:bCs/>
          <w:lang w:val="fr-FR"/>
        </w:rPr>
        <w:t>oiseaux vivant naturellement à l</w:t>
      </w:r>
      <w:r w:rsidR="00016E39" w:rsidRPr="00CF7824">
        <w:rPr>
          <w:rFonts w:cs="Calibri"/>
          <w:bCs/>
          <w:lang w:val="fr-FR"/>
        </w:rPr>
        <w:t>’</w:t>
      </w:r>
      <w:r w:rsidRPr="00CF7824">
        <w:rPr>
          <w:rFonts w:cs="Calibri"/>
          <w:bCs/>
          <w:lang w:val="fr-FR"/>
        </w:rPr>
        <w:t>état sauvage sur le territoire européen des États membres</w:t>
      </w:r>
      <w:r w:rsidR="00376BA1" w:rsidRPr="00CF7824">
        <w:rPr>
          <w:rFonts w:cs="Calibri"/>
          <w:bCs/>
          <w:lang w:val="fr-FR"/>
        </w:rPr>
        <w:t> »</w:t>
      </w:r>
      <w:r w:rsidRPr="00CF7824">
        <w:rPr>
          <w:rFonts w:cs="Calibri"/>
          <w:bCs/>
          <w:lang w:val="fr-FR"/>
        </w:rPr>
        <w:t>, qu</w:t>
      </w:r>
      <w:r w:rsidR="00C75FBD" w:rsidRPr="00CF7824">
        <w:rPr>
          <w:rFonts w:cs="Calibri"/>
          <w:bCs/>
          <w:lang w:val="fr-FR"/>
        </w:rPr>
        <w:t>’</w:t>
      </w:r>
      <w:r w:rsidRPr="00CF7824">
        <w:rPr>
          <w:rFonts w:cs="Calibri"/>
          <w:bCs/>
          <w:lang w:val="fr-FR"/>
        </w:rPr>
        <w:t>il s</w:t>
      </w:r>
      <w:r w:rsidR="00016E39" w:rsidRPr="00CF7824">
        <w:rPr>
          <w:rFonts w:cs="Calibri"/>
          <w:bCs/>
          <w:lang w:val="fr-FR"/>
        </w:rPr>
        <w:t>’</w:t>
      </w:r>
      <w:r w:rsidRPr="00CF7824">
        <w:rPr>
          <w:rFonts w:cs="Calibri"/>
          <w:bCs/>
          <w:lang w:val="fr-FR"/>
        </w:rPr>
        <w:t>agisse d</w:t>
      </w:r>
      <w:r w:rsidR="00016E39" w:rsidRPr="00CF7824">
        <w:rPr>
          <w:rFonts w:cs="Calibri"/>
          <w:bCs/>
          <w:lang w:val="fr-FR"/>
        </w:rPr>
        <w:t>’</w:t>
      </w:r>
      <w:r w:rsidRPr="00CF7824">
        <w:rPr>
          <w:rFonts w:cs="Calibri"/>
          <w:bCs/>
          <w:lang w:val="fr-FR"/>
        </w:rPr>
        <w:t>espèces migratrices ou non migratrices. De même, en Amérique du Nord, Partners in Flight (un réseau de plus de 150</w:t>
      </w:r>
      <w:r w:rsidR="00376BA1" w:rsidRPr="00CF7824">
        <w:rPr>
          <w:rFonts w:cs="Calibri"/>
          <w:bCs/>
          <w:lang w:val="fr-FR"/>
        </w:rPr>
        <w:t> </w:t>
      </w:r>
      <w:r w:rsidRPr="00CF7824">
        <w:rPr>
          <w:rFonts w:cs="Calibri"/>
          <w:bCs/>
          <w:lang w:val="fr-FR"/>
        </w:rPr>
        <w:t>organisations partenaires réparties dans l</w:t>
      </w:r>
      <w:r w:rsidR="00016E39" w:rsidRPr="00CF7824">
        <w:rPr>
          <w:rFonts w:cs="Calibri"/>
          <w:bCs/>
          <w:lang w:val="fr-FR"/>
        </w:rPr>
        <w:t>’</w:t>
      </w:r>
      <w:r w:rsidRPr="00CF7824">
        <w:rPr>
          <w:rFonts w:cs="Calibri"/>
          <w:bCs/>
          <w:lang w:val="fr-FR"/>
        </w:rPr>
        <w:t>hémisphère occidental) gère la base de données Avian Conservation Assessment Database</w:t>
      </w:r>
      <w:r w:rsidRPr="00CF7824">
        <w:rPr>
          <w:rStyle w:val="FootnoteReference"/>
          <w:rFonts w:asciiTheme="minorHAnsi" w:hAnsiTheme="minorHAnsi" w:cstheme="minorHAnsi"/>
        </w:rPr>
        <w:footnoteReference w:id="8"/>
      </w:r>
      <w:r w:rsidRPr="00CF7824">
        <w:rPr>
          <w:rFonts w:cs="Calibri"/>
          <w:bCs/>
          <w:lang w:val="fr-FR"/>
        </w:rPr>
        <w:t>, qui produit des e</w:t>
      </w:r>
      <w:r w:rsidR="00CF7824">
        <w:rPr>
          <w:rFonts w:cs="Calibri"/>
          <w:bCs/>
          <w:lang w:val="fr-FR"/>
        </w:rPr>
        <w:t>stimations de</w:t>
      </w:r>
      <w:r w:rsidRPr="00CF7824">
        <w:rPr>
          <w:rFonts w:cs="Calibri"/>
          <w:bCs/>
          <w:lang w:val="fr-FR"/>
        </w:rPr>
        <w:t xml:space="preserve"> populations d</w:t>
      </w:r>
      <w:r w:rsidR="00016E39" w:rsidRPr="00CF7824">
        <w:rPr>
          <w:rFonts w:cs="Calibri"/>
          <w:bCs/>
          <w:lang w:val="fr-FR"/>
        </w:rPr>
        <w:t>’</w:t>
      </w:r>
      <w:r w:rsidRPr="00CF7824">
        <w:rPr>
          <w:rFonts w:cs="Calibri"/>
          <w:bCs/>
          <w:lang w:val="fr-FR"/>
        </w:rPr>
        <w:t>espèces résidentes et migratrices (et non</w:t>
      </w:r>
      <w:r w:rsidR="002957E4">
        <w:rPr>
          <w:rFonts w:cs="Calibri"/>
          <w:bCs/>
          <w:lang w:val="fr-FR"/>
        </w:rPr>
        <w:t>-</w:t>
      </w:r>
      <w:r w:rsidRPr="00CF7824">
        <w:rPr>
          <w:rFonts w:cs="Calibri"/>
          <w:bCs/>
          <w:lang w:val="fr-FR"/>
        </w:rPr>
        <w:t>populations). Cependant, ces sources de données pour toutes les populations américaines et les populations résidentes en Europe n</w:t>
      </w:r>
      <w:r w:rsidR="00016E39" w:rsidRPr="00CF7824">
        <w:rPr>
          <w:rFonts w:cs="Calibri"/>
          <w:bCs/>
          <w:lang w:val="fr-FR"/>
        </w:rPr>
        <w:t>’</w:t>
      </w:r>
      <w:r w:rsidRPr="00CF7824">
        <w:rPr>
          <w:rFonts w:cs="Calibri"/>
          <w:bCs/>
          <w:lang w:val="fr-FR"/>
        </w:rPr>
        <w:t>ont pas encore été examinées en vue de leur inclusion dans le Waterbird populations Portal depuis la publication d</w:t>
      </w:r>
      <w:r w:rsidR="000E0EE0" w:rsidRPr="00CF7824">
        <w:rPr>
          <w:rFonts w:cs="Calibri"/>
          <w:bCs/>
          <w:lang w:val="fr-FR"/>
        </w:rPr>
        <w:t>u</w:t>
      </w:r>
      <w:r w:rsidRPr="00CF7824">
        <w:rPr>
          <w:rFonts w:cs="Calibri"/>
          <w:bCs/>
          <w:lang w:val="fr-FR"/>
        </w:rPr>
        <w:t xml:space="preserve"> WPE5 et devraient être incluses dans la prochaine édition des WPE et </w:t>
      </w:r>
      <w:r w:rsidR="00A165F7" w:rsidRPr="00CF7824">
        <w:rPr>
          <w:rFonts w:cs="Calibri"/>
          <w:bCs/>
          <w:lang w:val="fr-FR"/>
        </w:rPr>
        <w:t xml:space="preserve">dans </w:t>
      </w:r>
      <w:r w:rsidRPr="00CF7824">
        <w:rPr>
          <w:rFonts w:cs="Calibri"/>
          <w:bCs/>
          <w:lang w:val="fr-FR"/>
        </w:rPr>
        <w:t>les mises à jour ultérieures.</w:t>
      </w:r>
    </w:p>
    <w:p w:rsidR="00373705" w:rsidRPr="00CF7824" w:rsidRDefault="00373705" w:rsidP="00373705">
      <w:pPr>
        <w:ind w:left="0" w:firstLine="0"/>
        <w:rPr>
          <w:rFonts w:asciiTheme="minorHAnsi" w:hAnsiTheme="minorHAnsi" w:cstheme="minorHAnsi"/>
          <w:lang w:val="fr-FR"/>
        </w:rPr>
      </w:pPr>
    </w:p>
    <w:p w:rsidR="00C40A5A" w:rsidRPr="00CF7824" w:rsidRDefault="00164734" w:rsidP="005F7B72">
      <w:pPr>
        <w:rPr>
          <w:rFonts w:asciiTheme="minorHAnsi" w:hAnsiTheme="minorHAnsi" w:cstheme="minorHAnsi"/>
          <w:lang w:val="fr-FR"/>
        </w:rPr>
      </w:pPr>
      <w:r w:rsidRPr="00CF7824">
        <w:rPr>
          <w:rFonts w:cs="Calibri"/>
          <w:bCs/>
          <w:lang w:val="fr-FR"/>
        </w:rPr>
        <w:t>28.</w:t>
      </w:r>
      <w:r w:rsidRPr="00CF7824">
        <w:rPr>
          <w:rFonts w:cs="Calibri"/>
          <w:bCs/>
          <w:lang w:val="fr-FR"/>
        </w:rPr>
        <w:tab/>
        <w:t>La Convention sur les zones humides se réfère toujours à l</w:t>
      </w:r>
      <w:r w:rsidR="00016E39" w:rsidRPr="00CF7824">
        <w:rPr>
          <w:rFonts w:cs="Calibri"/>
          <w:bCs/>
          <w:lang w:val="fr-FR"/>
        </w:rPr>
        <w:t>’</w:t>
      </w:r>
      <w:r w:rsidRPr="00CF7824">
        <w:rPr>
          <w:rFonts w:cs="Calibri"/>
          <w:bCs/>
          <w:lang w:val="fr-FR"/>
        </w:rPr>
        <w:t>édition</w:t>
      </w:r>
      <w:r w:rsidR="00376BA1" w:rsidRPr="00CF7824">
        <w:rPr>
          <w:rFonts w:cs="Calibri"/>
          <w:bCs/>
          <w:lang w:val="fr-FR"/>
        </w:rPr>
        <w:t> </w:t>
      </w:r>
      <w:r w:rsidRPr="00CF7824">
        <w:rPr>
          <w:rFonts w:cs="Calibri"/>
          <w:bCs/>
          <w:lang w:val="fr-FR"/>
        </w:rPr>
        <w:t>WPE5 comme fournis</w:t>
      </w:r>
      <w:r w:rsidR="00C75FBD" w:rsidRPr="00CF7824">
        <w:rPr>
          <w:rFonts w:cs="Calibri"/>
          <w:bCs/>
          <w:lang w:val="fr-FR"/>
        </w:rPr>
        <w:t>s</w:t>
      </w:r>
      <w:r w:rsidRPr="00CF7824">
        <w:rPr>
          <w:rFonts w:cs="Calibri"/>
          <w:bCs/>
          <w:lang w:val="fr-FR"/>
        </w:rPr>
        <w:t>ant les estimations de population les plus récentes disponibles. Cependant, pour le CSR7 de l</w:t>
      </w:r>
      <w:r w:rsidR="00016E39" w:rsidRPr="00CF7824">
        <w:rPr>
          <w:rFonts w:cs="Calibri"/>
          <w:bCs/>
          <w:lang w:val="fr-FR"/>
        </w:rPr>
        <w:t>’</w:t>
      </w:r>
      <w:r w:rsidRPr="00CF7824">
        <w:rPr>
          <w:rFonts w:cs="Calibri"/>
          <w:bCs/>
          <w:lang w:val="fr-FR"/>
        </w:rPr>
        <w:t>AEWA (2018) et en l</w:t>
      </w:r>
      <w:r w:rsidR="00016E39" w:rsidRPr="00CF7824">
        <w:rPr>
          <w:rFonts w:cs="Calibri"/>
          <w:bCs/>
          <w:lang w:val="fr-FR"/>
        </w:rPr>
        <w:t>’</w:t>
      </w:r>
      <w:r w:rsidRPr="00CF7824">
        <w:rPr>
          <w:rFonts w:cs="Calibri"/>
          <w:bCs/>
          <w:lang w:val="fr-FR"/>
        </w:rPr>
        <w:t xml:space="preserve">absence de </w:t>
      </w:r>
      <w:r w:rsidR="00C75FBD" w:rsidRPr="00CF7824">
        <w:rPr>
          <w:rFonts w:cs="Calibri"/>
          <w:bCs/>
          <w:lang w:val="fr-FR"/>
        </w:rPr>
        <w:t>mise</w:t>
      </w:r>
      <w:r w:rsidRPr="00CF7824">
        <w:rPr>
          <w:rFonts w:cs="Calibri"/>
          <w:bCs/>
          <w:lang w:val="fr-FR"/>
        </w:rPr>
        <w:t xml:space="preserve"> à jour régulière des WPE depuis cette date, le processus de l</w:t>
      </w:r>
      <w:r w:rsidR="00016E39" w:rsidRPr="00CF7824">
        <w:rPr>
          <w:rFonts w:cs="Calibri"/>
          <w:bCs/>
          <w:lang w:val="fr-FR"/>
        </w:rPr>
        <w:t>’</w:t>
      </w:r>
      <w:r w:rsidRPr="00CF7824">
        <w:rPr>
          <w:rFonts w:cs="Calibri"/>
          <w:bCs/>
          <w:lang w:val="fr-FR"/>
        </w:rPr>
        <w:t>AEWA a mis à jour les seuils de 1% pour les populations de la région de l</w:t>
      </w:r>
      <w:r w:rsidR="00016E39" w:rsidRPr="00CF7824">
        <w:rPr>
          <w:rFonts w:cs="Calibri"/>
          <w:bCs/>
          <w:lang w:val="fr-FR"/>
        </w:rPr>
        <w:t>’</w:t>
      </w:r>
      <w:r w:rsidRPr="00CF7824">
        <w:rPr>
          <w:rFonts w:cs="Calibri"/>
          <w:bCs/>
          <w:lang w:val="fr-FR"/>
        </w:rPr>
        <w:t>AEWA dont la taille de population avait changé, afin de les utiliser dans le</w:t>
      </w:r>
      <w:r w:rsidR="00A165F7" w:rsidRPr="00CF7824">
        <w:rPr>
          <w:rFonts w:cs="Calibri"/>
          <w:bCs/>
          <w:lang w:val="fr-FR"/>
        </w:rPr>
        <w:t>s</w:t>
      </w:r>
      <w:r w:rsidRPr="00CF7824">
        <w:rPr>
          <w:rFonts w:cs="Calibri"/>
          <w:bCs/>
          <w:lang w:val="fr-FR"/>
        </w:rPr>
        <w:t xml:space="preserve"> processus </w:t>
      </w:r>
      <w:r w:rsidR="00A165F7" w:rsidRPr="00CF7824">
        <w:rPr>
          <w:rFonts w:cs="Calibri"/>
          <w:bCs/>
          <w:lang w:val="fr-FR"/>
        </w:rPr>
        <w:t xml:space="preserve">de l’Accord </w:t>
      </w:r>
      <w:r w:rsidRPr="00CF7824">
        <w:rPr>
          <w:rFonts w:cs="Calibri"/>
          <w:bCs/>
          <w:lang w:val="fr-FR"/>
        </w:rPr>
        <w:t xml:space="preserve">relatifs aux voies de migration. Ceci entraîne une incertitude dans la région Afrique-Eurasie quant à la source </w:t>
      </w:r>
      <w:r w:rsidR="00A165F7" w:rsidRPr="00CF7824">
        <w:rPr>
          <w:rFonts w:cs="Calibri"/>
          <w:bCs/>
          <w:lang w:val="fr-FR"/>
        </w:rPr>
        <w:t>officielle</w:t>
      </w:r>
      <w:r w:rsidRPr="00CF7824">
        <w:rPr>
          <w:rFonts w:cs="Calibri"/>
          <w:bCs/>
          <w:lang w:val="fr-FR"/>
        </w:rPr>
        <w:t xml:space="preserve"> actuelle des seuils de 1%, puisque les Parties à l</w:t>
      </w:r>
      <w:r w:rsidR="00016E39" w:rsidRPr="00CF7824">
        <w:rPr>
          <w:rFonts w:cs="Calibri"/>
          <w:bCs/>
          <w:lang w:val="fr-FR"/>
        </w:rPr>
        <w:t>’</w:t>
      </w:r>
      <w:r w:rsidRPr="00CF7824">
        <w:rPr>
          <w:rFonts w:cs="Calibri"/>
          <w:bCs/>
          <w:lang w:val="fr-FR"/>
        </w:rPr>
        <w:t>AEWA ont établi un nouveau processus faisant que, pour certaines populations, il existe différentes estimations. Il existe également différents seuils de 1% publiés dans le WPE5 (2012) et le CSR7 (2018) et, plus récemment, le CSR8 (2021). En 2022, les partenaires de l</w:t>
      </w:r>
      <w:r w:rsidR="00016E39" w:rsidRPr="00CF7824">
        <w:rPr>
          <w:rFonts w:cs="Calibri"/>
          <w:bCs/>
          <w:lang w:val="fr-FR"/>
        </w:rPr>
        <w:t>’</w:t>
      </w:r>
      <w:r w:rsidRPr="00CF7824">
        <w:rPr>
          <w:rFonts w:cs="Calibri"/>
          <w:bCs/>
          <w:lang w:val="fr-FR"/>
        </w:rPr>
        <w:t xml:space="preserve">EAAFP ont également établi un nouveau processus, de sorte que le CSR1 a fourni </w:t>
      </w:r>
      <w:r w:rsidR="00A165F7" w:rsidRPr="00CF7824">
        <w:rPr>
          <w:rFonts w:cs="Calibri"/>
          <w:bCs/>
          <w:lang w:val="fr-FR"/>
        </w:rPr>
        <w:t>pour</w:t>
      </w:r>
      <w:r w:rsidRPr="00CF7824">
        <w:rPr>
          <w:rFonts w:cs="Calibri"/>
          <w:bCs/>
          <w:lang w:val="fr-FR"/>
        </w:rPr>
        <w:t xml:space="preserve"> 111</w:t>
      </w:r>
      <w:r w:rsidR="00376BA1" w:rsidRPr="00CF7824">
        <w:rPr>
          <w:rFonts w:cs="Calibri"/>
          <w:bCs/>
          <w:lang w:val="fr-FR"/>
        </w:rPr>
        <w:t> </w:t>
      </w:r>
      <w:r w:rsidRPr="00CF7824">
        <w:rPr>
          <w:rFonts w:cs="Calibri"/>
          <w:bCs/>
          <w:lang w:val="fr-FR"/>
        </w:rPr>
        <w:t xml:space="preserve">populations </w:t>
      </w:r>
      <w:r w:rsidR="00A165F7" w:rsidRPr="00CF7824">
        <w:rPr>
          <w:rFonts w:cs="Calibri"/>
          <w:bCs/>
          <w:lang w:val="fr-FR"/>
        </w:rPr>
        <w:t>de nouvelles valeurs des</w:t>
      </w:r>
      <w:r w:rsidRPr="00CF7824">
        <w:rPr>
          <w:rFonts w:cs="Calibri"/>
          <w:bCs/>
          <w:lang w:val="fr-FR"/>
        </w:rPr>
        <w:t xml:space="preserve"> estimations de la taille et des seuils de 1% par rapport à celles publiées dans le WPE5 (2012).</w:t>
      </w:r>
    </w:p>
    <w:p w:rsidR="003A43BE" w:rsidRPr="00CF7824" w:rsidRDefault="003A43BE" w:rsidP="00373705">
      <w:pPr>
        <w:ind w:left="0" w:firstLine="0"/>
        <w:rPr>
          <w:rFonts w:asciiTheme="minorHAnsi" w:hAnsiTheme="minorHAnsi" w:cstheme="minorHAnsi"/>
          <w:lang w:val="fr-FR"/>
        </w:rPr>
      </w:pPr>
    </w:p>
    <w:p w:rsidR="003A43BE" w:rsidRPr="00CF7824" w:rsidRDefault="00164734" w:rsidP="005F7B72">
      <w:pPr>
        <w:rPr>
          <w:rFonts w:asciiTheme="minorHAnsi" w:hAnsiTheme="minorHAnsi" w:cstheme="minorHAnsi"/>
          <w:lang w:val="fr-FR"/>
        </w:rPr>
      </w:pPr>
      <w:r w:rsidRPr="00CF7824">
        <w:rPr>
          <w:rFonts w:cs="Calibri"/>
          <w:bCs/>
          <w:lang w:val="fr-FR"/>
        </w:rPr>
        <w:t>29.</w:t>
      </w:r>
      <w:r w:rsidRPr="00CF7824">
        <w:rPr>
          <w:rFonts w:cs="Calibri"/>
          <w:bCs/>
          <w:lang w:val="fr-FR"/>
        </w:rPr>
        <w:tab/>
        <w:t>Pour les populations du monde entier, autres que celles couvertes par les processus de l</w:t>
      </w:r>
      <w:r w:rsidR="00016E39" w:rsidRPr="00CF7824">
        <w:rPr>
          <w:rFonts w:cs="Calibri"/>
          <w:bCs/>
          <w:lang w:val="fr-FR"/>
        </w:rPr>
        <w:t>’</w:t>
      </w:r>
      <w:r w:rsidRPr="00CF7824">
        <w:rPr>
          <w:rFonts w:cs="Calibri"/>
          <w:bCs/>
          <w:lang w:val="fr-FR"/>
        </w:rPr>
        <w:t>AEWA et de l</w:t>
      </w:r>
      <w:r w:rsidR="00016E39" w:rsidRPr="00CF7824">
        <w:rPr>
          <w:rFonts w:cs="Calibri"/>
          <w:bCs/>
          <w:lang w:val="fr-FR"/>
        </w:rPr>
        <w:t>’</w:t>
      </w:r>
      <w:r w:rsidRPr="00CF7824">
        <w:rPr>
          <w:rFonts w:cs="Calibri"/>
          <w:bCs/>
          <w:lang w:val="fr-FR"/>
        </w:rPr>
        <w:t>EAAFP, les études les plus récentes datent maintenant de 12</w:t>
      </w:r>
      <w:r w:rsidR="00376BA1" w:rsidRPr="00CF7824">
        <w:rPr>
          <w:rFonts w:cs="Calibri"/>
          <w:bCs/>
          <w:lang w:val="fr-FR"/>
        </w:rPr>
        <w:t> </w:t>
      </w:r>
      <w:r w:rsidRPr="00CF7824">
        <w:rPr>
          <w:rFonts w:cs="Calibri"/>
          <w:bCs/>
          <w:lang w:val="fr-FR"/>
        </w:rPr>
        <w:t>ans et les estimations de la taille des populations qui les sous-tendent sont souvent plus anciennes (jusqu</w:t>
      </w:r>
      <w:r w:rsidR="00016E39" w:rsidRPr="00CF7824">
        <w:rPr>
          <w:rFonts w:cs="Calibri"/>
          <w:bCs/>
          <w:lang w:val="fr-FR"/>
        </w:rPr>
        <w:t>’</w:t>
      </w:r>
      <w:r w:rsidRPr="00CF7824">
        <w:rPr>
          <w:rFonts w:cs="Calibri"/>
          <w:bCs/>
          <w:lang w:val="fr-FR"/>
        </w:rPr>
        <w:t>à 35</w:t>
      </w:r>
      <w:r w:rsidR="00376BA1" w:rsidRPr="00CF7824">
        <w:rPr>
          <w:rFonts w:cs="Calibri"/>
          <w:bCs/>
          <w:lang w:val="fr-FR"/>
        </w:rPr>
        <w:t> </w:t>
      </w:r>
      <w:r w:rsidRPr="00CF7824">
        <w:rPr>
          <w:rFonts w:cs="Calibri"/>
          <w:bCs/>
          <w:lang w:val="fr-FR"/>
        </w:rPr>
        <w:t>ans).</w:t>
      </w:r>
    </w:p>
    <w:p w:rsidR="00471684" w:rsidRPr="00CF7824" w:rsidRDefault="00471684" w:rsidP="000123FD">
      <w:pPr>
        <w:rPr>
          <w:rFonts w:asciiTheme="minorHAnsi" w:hAnsiTheme="minorHAnsi" w:cstheme="minorHAnsi"/>
          <w:lang w:val="fr-FR"/>
        </w:rPr>
      </w:pPr>
    </w:p>
    <w:p w:rsidR="00471684" w:rsidRPr="00CF7824" w:rsidRDefault="00164734" w:rsidP="00B2260F">
      <w:pPr>
        <w:pStyle w:val="Heading2"/>
        <w:rPr>
          <w:rFonts w:eastAsia="Calibri" w:cstheme="minorHAnsi"/>
          <w:szCs w:val="22"/>
          <w:lang w:val="fr-FR"/>
        </w:rPr>
      </w:pPr>
      <w:bookmarkStart w:id="3" w:name="_Toc159848046"/>
      <w:r w:rsidRPr="00CF7824">
        <w:rPr>
          <w:rFonts w:ascii="Calibri" w:eastAsia="Calibri" w:hAnsi="Calibri" w:cs="Calibri"/>
          <w:szCs w:val="22"/>
          <w:lang w:val="fr-FR"/>
        </w:rPr>
        <w:t>Comment résoudre ces problèmes</w:t>
      </w:r>
      <w:bookmarkEnd w:id="3"/>
    </w:p>
    <w:p w:rsidR="0090037C" w:rsidRPr="00CF7824" w:rsidRDefault="0090037C" w:rsidP="00B2260F">
      <w:pPr>
        <w:keepNext/>
        <w:rPr>
          <w:rFonts w:asciiTheme="minorHAnsi" w:hAnsiTheme="minorHAnsi" w:cstheme="minorHAnsi"/>
          <w:lang w:val="fr-FR"/>
        </w:rPr>
      </w:pPr>
    </w:p>
    <w:p w:rsidR="00A05053" w:rsidRPr="00CF7824" w:rsidRDefault="00164734" w:rsidP="00DA7D37">
      <w:pPr>
        <w:rPr>
          <w:rFonts w:asciiTheme="minorHAnsi" w:hAnsiTheme="minorHAnsi" w:cstheme="minorHAnsi"/>
          <w:lang w:val="fr-FR"/>
        </w:rPr>
      </w:pPr>
      <w:r w:rsidRPr="00CF7824">
        <w:rPr>
          <w:rFonts w:cs="Calibri"/>
          <w:bCs/>
          <w:lang w:val="fr-FR"/>
        </w:rPr>
        <w:t>30.</w:t>
      </w:r>
      <w:r w:rsidRPr="00CF7824">
        <w:rPr>
          <w:rFonts w:cs="Calibri"/>
          <w:bCs/>
          <w:lang w:val="fr-FR"/>
        </w:rPr>
        <w:tab/>
        <w:t xml:space="preserve">Les problèmes liés </w:t>
      </w:r>
      <w:r w:rsidR="009149E7" w:rsidRPr="00CF7824">
        <w:rPr>
          <w:rFonts w:cs="Calibri"/>
          <w:bCs/>
          <w:lang w:val="fr-FR"/>
        </w:rPr>
        <w:t xml:space="preserve">à </w:t>
      </w:r>
      <w:r w:rsidRPr="00CF7824">
        <w:rPr>
          <w:rFonts w:cs="Calibri"/>
          <w:bCs/>
          <w:lang w:val="fr-FR"/>
        </w:rPr>
        <w:t>la publication des mises à jour des WPE au coup par coup plutôt que selon un calendrier régulier, et la relation avec au moins deux processus internationaux (AEWA et EAAFP) ayant généré des estimations de population distinctes et des seuils dérivés, signifient que les travaux mondiaux sur les estimations de population d</w:t>
      </w:r>
      <w:r w:rsidR="00016E39" w:rsidRPr="00CF7824">
        <w:rPr>
          <w:rFonts w:cs="Calibri"/>
          <w:bCs/>
          <w:lang w:val="fr-FR"/>
        </w:rPr>
        <w:t>’</w:t>
      </w:r>
      <w:r w:rsidRPr="00CF7824">
        <w:rPr>
          <w:rFonts w:cs="Calibri"/>
          <w:bCs/>
          <w:lang w:val="fr-FR"/>
        </w:rPr>
        <w:t>oiseaux deviennent de plus en plus incohérents en l</w:t>
      </w:r>
      <w:r w:rsidR="00016E39" w:rsidRPr="00CF7824">
        <w:rPr>
          <w:rFonts w:cs="Calibri"/>
          <w:bCs/>
          <w:lang w:val="fr-FR"/>
        </w:rPr>
        <w:t>’</w:t>
      </w:r>
      <w:r w:rsidRPr="00CF7824">
        <w:rPr>
          <w:rFonts w:cs="Calibri"/>
          <w:bCs/>
          <w:lang w:val="fr-FR"/>
        </w:rPr>
        <w:t xml:space="preserve">absence de processus centralisé pour les mises à jour des WPE </w:t>
      </w:r>
      <w:r w:rsidR="009149E7" w:rsidRPr="00CF7824">
        <w:rPr>
          <w:rFonts w:cs="Calibri"/>
          <w:bCs/>
          <w:lang w:val="fr-FR"/>
        </w:rPr>
        <w:t>à l’échelle mondiale</w:t>
      </w:r>
      <w:r w:rsidRPr="00CF7824">
        <w:rPr>
          <w:rFonts w:cs="Calibri"/>
          <w:bCs/>
          <w:lang w:val="fr-FR"/>
        </w:rPr>
        <w:t xml:space="preserve">. </w:t>
      </w:r>
      <w:r w:rsidR="009149E7" w:rsidRPr="00CF7824">
        <w:rPr>
          <w:rFonts w:cs="Calibri"/>
          <w:bCs/>
          <w:lang w:val="fr-FR"/>
        </w:rPr>
        <w:t>En l’absence d’approche coordonnée, c</w:t>
      </w:r>
      <w:r w:rsidRPr="00CF7824">
        <w:rPr>
          <w:rFonts w:cs="Calibri"/>
          <w:bCs/>
          <w:lang w:val="fr-FR"/>
        </w:rPr>
        <w:t>ette situation ne fera qu</w:t>
      </w:r>
      <w:r w:rsidR="00016E39" w:rsidRPr="00CF7824">
        <w:rPr>
          <w:rFonts w:cs="Calibri"/>
          <w:bCs/>
          <w:lang w:val="fr-FR"/>
        </w:rPr>
        <w:t>’</w:t>
      </w:r>
      <w:r w:rsidRPr="00CF7824">
        <w:rPr>
          <w:rFonts w:cs="Calibri"/>
          <w:bCs/>
          <w:lang w:val="fr-FR"/>
        </w:rPr>
        <w:t xml:space="preserve">empirer au </w:t>
      </w:r>
      <w:r w:rsidR="009149E7" w:rsidRPr="00CF7824">
        <w:rPr>
          <w:rFonts w:cs="Calibri"/>
          <w:bCs/>
          <w:lang w:val="fr-FR"/>
        </w:rPr>
        <w:t>cours</w:t>
      </w:r>
      <w:r w:rsidRPr="00CF7824">
        <w:rPr>
          <w:rFonts w:cs="Calibri"/>
          <w:bCs/>
          <w:lang w:val="fr-FR"/>
        </w:rPr>
        <w:t xml:space="preserve"> du temps, à mesure que davantage de données sur les populations seront disponibles pour toutes les voies de migration et que davantage d</w:t>
      </w:r>
      <w:r w:rsidR="00016E39" w:rsidRPr="00CF7824">
        <w:rPr>
          <w:rFonts w:cs="Calibri"/>
          <w:bCs/>
          <w:lang w:val="fr-FR"/>
        </w:rPr>
        <w:t>’</w:t>
      </w:r>
      <w:r w:rsidRPr="00CF7824">
        <w:rPr>
          <w:rFonts w:cs="Calibri"/>
          <w:bCs/>
          <w:lang w:val="fr-FR"/>
        </w:rPr>
        <w:t>utilisations des donné</w:t>
      </w:r>
      <w:r w:rsidR="009149E7" w:rsidRPr="00CF7824">
        <w:rPr>
          <w:rFonts w:cs="Calibri"/>
          <w:bCs/>
          <w:lang w:val="fr-FR"/>
        </w:rPr>
        <w:t>es/informations se présenteront</w:t>
      </w:r>
      <w:r w:rsidRPr="00CF7824">
        <w:rPr>
          <w:rFonts w:cs="Calibri"/>
          <w:bCs/>
          <w:i/>
          <w:iCs/>
          <w:lang w:val="fr-FR"/>
        </w:rPr>
        <w:t>.</w:t>
      </w:r>
      <w:r w:rsidRPr="00CF7824">
        <w:rPr>
          <w:rFonts w:cs="Calibri"/>
          <w:bCs/>
          <w:lang w:val="fr-FR"/>
        </w:rPr>
        <w:t xml:space="preserve"> </w:t>
      </w:r>
    </w:p>
    <w:p w:rsidR="00A05053" w:rsidRPr="00CF7824" w:rsidRDefault="00A05053" w:rsidP="00C86BD1">
      <w:pPr>
        <w:ind w:left="0"/>
        <w:rPr>
          <w:rFonts w:asciiTheme="minorHAnsi" w:hAnsiTheme="minorHAnsi" w:cstheme="minorHAnsi"/>
          <w:lang w:val="fr-FR"/>
        </w:rPr>
      </w:pPr>
    </w:p>
    <w:p w:rsidR="00A05053" w:rsidRPr="00CF7824" w:rsidRDefault="00164734" w:rsidP="00DA7D37">
      <w:pPr>
        <w:rPr>
          <w:rFonts w:asciiTheme="minorHAnsi" w:hAnsiTheme="minorHAnsi" w:cstheme="minorHAnsi"/>
          <w:lang w:val="fr-FR"/>
        </w:rPr>
      </w:pPr>
      <w:r w:rsidRPr="00CF7824">
        <w:rPr>
          <w:rFonts w:cs="Calibri"/>
          <w:bCs/>
          <w:lang w:val="fr-FR"/>
        </w:rPr>
        <w:t>31.</w:t>
      </w:r>
      <w:r w:rsidRPr="00CF7824">
        <w:rPr>
          <w:rFonts w:cs="Calibri"/>
          <w:bCs/>
          <w:lang w:val="fr-FR"/>
        </w:rPr>
        <w:tab/>
        <w:t>À long terme, un appui financier régulier et durable à ce processus est nécessaire pour éviter la nécessité de collectes de fonds ponctuelles et pour fournir des publications régulières des WPE correspondant aux examens des initiatives régionales relatives aux voies de migration.</w:t>
      </w:r>
    </w:p>
    <w:p w:rsidR="00A05053" w:rsidRPr="00CF7824" w:rsidRDefault="00A05053" w:rsidP="00A05053">
      <w:pPr>
        <w:rPr>
          <w:rFonts w:asciiTheme="minorHAnsi" w:hAnsiTheme="minorHAnsi" w:cstheme="minorHAnsi"/>
          <w:lang w:val="fr-FR"/>
        </w:rPr>
      </w:pPr>
    </w:p>
    <w:p w:rsidR="00A05053" w:rsidRPr="00CF7824" w:rsidRDefault="00164734" w:rsidP="00DA7D37">
      <w:pPr>
        <w:rPr>
          <w:rFonts w:asciiTheme="minorHAnsi" w:hAnsiTheme="minorHAnsi" w:cstheme="minorHAnsi"/>
          <w:lang w:val="fr-FR"/>
        </w:rPr>
      </w:pPr>
      <w:r w:rsidRPr="00CF7824">
        <w:rPr>
          <w:rFonts w:cs="Calibri"/>
          <w:bCs/>
          <w:lang w:val="fr-FR"/>
        </w:rPr>
        <w:lastRenderedPageBreak/>
        <w:t>32.</w:t>
      </w:r>
      <w:r w:rsidRPr="00CF7824">
        <w:rPr>
          <w:rFonts w:cs="Calibri"/>
          <w:bCs/>
          <w:lang w:val="fr-FR"/>
        </w:rPr>
        <w:tab/>
        <w:t>Le Président du GEST a noté (voir le document</w:t>
      </w:r>
      <w:r w:rsidR="00376BA1" w:rsidRPr="00CF7824">
        <w:rPr>
          <w:rFonts w:cs="Calibri"/>
          <w:bCs/>
          <w:lang w:val="fr-FR"/>
        </w:rPr>
        <w:t> </w:t>
      </w:r>
      <w:r w:rsidRPr="00CF7824">
        <w:rPr>
          <w:rFonts w:cs="Calibri"/>
          <w:bCs/>
          <w:lang w:val="fr-FR"/>
        </w:rPr>
        <w:t xml:space="preserve">SC59 Doc.25 </w:t>
      </w:r>
      <w:r w:rsidRPr="00CF7824">
        <w:rPr>
          <w:rFonts w:cs="Calibri"/>
          <w:bCs/>
          <w:i/>
          <w:iCs/>
          <w:lang w:val="fr-FR"/>
        </w:rPr>
        <w:t>Rapport du Président du Groupe d</w:t>
      </w:r>
      <w:r w:rsidR="00016E39" w:rsidRPr="00CF7824">
        <w:rPr>
          <w:rFonts w:cs="Calibri"/>
          <w:bCs/>
          <w:i/>
          <w:iCs/>
          <w:lang w:val="fr-FR"/>
        </w:rPr>
        <w:t>’</w:t>
      </w:r>
      <w:r w:rsidRPr="00CF7824">
        <w:rPr>
          <w:rFonts w:cs="Calibri"/>
          <w:bCs/>
          <w:i/>
          <w:iCs/>
          <w:lang w:val="fr-FR"/>
        </w:rPr>
        <w:t>évaluation scientifique et technique</w:t>
      </w:r>
      <w:r w:rsidRPr="00CF7824">
        <w:rPr>
          <w:rFonts w:cs="Calibri"/>
          <w:bCs/>
          <w:lang w:val="fr-FR"/>
        </w:rPr>
        <w:t>) qu</w:t>
      </w:r>
      <w:r w:rsidR="00016E39" w:rsidRPr="00CF7824">
        <w:rPr>
          <w:rFonts w:cs="Calibri"/>
          <w:bCs/>
          <w:lang w:val="fr-FR"/>
        </w:rPr>
        <w:t>’</w:t>
      </w:r>
      <w:r w:rsidRPr="00CF7824">
        <w:rPr>
          <w:rFonts w:cs="Calibri"/>
          <w:bCs/>
          <w:lang w:val="fr-FR"/>
        </w:rPr>
        <w:t>« Un moyen logique et équitable de fournir le petit financement nécessaire serait de l</w:t>
      </w:r>
      <w:r w:rsidR="00016E39" w:rsidRPr="00CF7824">
        <w:rPr>
          <w:rFonts w:cs="Calibri"/>
          <w:bCs/>
          <w:lang w:val="fr-FR"/>
        </w:rPr>
        <w:t>’</w:t>
      </w:r>
      <w:r w:rsidRPr="00CF7824">
        <w:rPr>
          <w:rFonts w:cs="Calibri"/>
          <w:bCs/>
          <w:lang w:val="fr-FR"/>
        </w:rPr>
        <w:t>inscrire dans le budget administratif de la Convention, ce qui n</w:t>
      </w:r>
      <w:r w:rsidR="00016E39" w:rsidRPr="00CF7824">
        <w:rPr>
          <w:rFonts w:cs="Calibri"/>
          <w:bCs/>
          <w:lang w:val="fr-FR"/>
        </w:rPr>
        <w:t>’</w:t>
      </w:r>
      <w:r w:rsidRPr="00CF7824">
        <w:rPr>
          <w:rFonts w:cs="Calibri"/>
          <w:bCs/>
          <w:lang w:val="fr-FR"/>
        </w:rPr>
        <w:t>a jamais été possible sur un plan politique »</w:t>
      </w:r>
      <w:r w:rsidRPr="00CF7824">
        <w:rPr>
          <w:rStyle w:val="FootnoteReference"/>
          <w:rFonts w:asciiTheme="minorHAnsi" w:hAnsiTheme="minorHAnsi" w:cstheme="minorHAnsi"/>
        </w:rPr>
        <w:footnoteReference w:id="9"/>
      </w:r>
      <w:r w:rsidRPr="00CF7824">
        <w:rPr>
          <w:rFonts w:cs="Calibri"/>
          <w:bCs/>
          <w:lang w:val="fr-FR"/>
        </w:rPr>
        <w:t xml:space="preserve"> en reconnaissance du fait que les WPE sont une ressource d</w:t>
      </w:r>
      <w:r w:rsidR="00016E39" w:rsidRPr="00CF7824">
        <w:rPr>
          <w:rFonts w:cs="Calibri"/>
          <w:bCs/>
          <w:lang w:val="fr-FR"/>
        </w:rPr>
        <w:t>’</w:t>
      </w:r>
      <w:r w:rsidRPr="00CF7824">
        <w:rPr>
          <w:rFonts w:cs="Calibri"/>
          <w:bCs/>
          <w:lang w:val="fr-FR"/>
        </w:rPr>
        <w:t>information essentielle pour la Convention sur les zones humides.</w:t>
      </w:r>
    </w:p>
    <w:p w:rsidR="00A05053" w:rsidRPr="00CF7824" w:rsidRDefault="00A05053" w:rsidP="00A05053">
      <w:pPr>
        <w:rPr>
          <w:rFonts w:asciiTheme="minorHAnsi" w:hAnsiTheme="minorHAnsi" w:cstheme="minorHAnsi"/>
          <w:lang w:val="fr-FR"/>
        </w:rPr>
      </w:pPr>
    </w:p>
    <w:p w:rsidR="00A05053" w:rsidRPr="00CF7824" w:rsidRDefault="00164734" w:rsidP="00DA7D37">
      <w:pPr>
        <w:rPr>
          <w:rFonts w:asciiTheme="minorHAnsi" w:hAnsiTheme="minorHAnsi" w:cstheme="minorHAnsi"/>
          <w:lang w:val="fr-FR"/>
        </w:rPr>
      </w:pPr>
      <w:r w:rsidRPr="00CF7824">
        <w:rPr>
          <w:rFonts w:cs="Calibri"/>
          <w:bCs/>
          <w:lang w:val="fr-FR"/>
        </w:rPr>
        <w:t>33.</w:t>
      </w:r>
      <w:r w:rsidRPr="00CF7824">
        <w:rPr>
          <w:rFonts w:cs="Calibri"/>
          <w:bCs/>
          <w:lang w:val="fr-FR"/>
        </w:rPr>
        <w:tab/>
        <w:t>Nous concluons qu</w:t>
      </w:r>
      <w:r w:rsidR="00016E39" w:rsidRPr="00CF7824">
        <w:rPr>
          <w:rFonts w:cs="Calibri"/>
          <w:bCs/>
          <w:lang w:val="fr-FR"/>
        </w:rPr>
        <w:t>’</w:t>
      </w:r>
      <w:r w:rsidRPr="00CF7824">
        <w:rPr>
          <w:rFonts w:cs="Calibri"/>
          <w:bCs/>
          <w:lang w:val="fr-FR"/>
        </w:rPr>
        <w:t>une approche à la fois à court terme (immédiate) et à plus long terme peut s</w:t>
      </w:r>
      <w:r w:rsidR="00016E39" w:rsidRPr="00CF7824">
        <w:rPr>
          <w:rFonts w:cs="Calibri"/>
          <w:bCs/>
          <w:lang w:val="fr-FR"/>
        </w:rPr>
        <w:t>’</w:t>
      </w:r>
      <w:r w:rsidRPr="00CF7824">
        <w:rPr>
          <w:rFonts w:cs="Calibri"/>
          <w:bCs/>
          <w:lang w:val="fr-FR"/>
        </w:rPr>
        <w:t>avérer nécessaire pour publi</w:t>
      </w:r>
      <w:r w:rsidR="00C75FBD" w:rsidRPr="00CF7824">
        <w:rPr>
          <w:rFonts w:cs="Calibri"/>
          <w:bCs/>
          <w:lang w:val="fr-FR"/>
        </w:rPr>
        <w:t>er</w:t>
      </w:r>
      <w:r w:rsidRPr="00CF7824">
        <w:rPr>
          <w:rFonts w:cs="Calibri"/>
          <w:bCs/>
          <w:lang w:val="fr-FR"/>
        </w:rPr>
        <w:t xml:space="preserve"> des WPE mises à jour, comme indiqué dans les sections suivantes. </w:t>
      </w:r>
    </w:p>
    <w:p w:rsidR="00A05053" w:rsidRPr="00CF7824" w:rsidRDefault="00A05053" w:rsidP="001317F1">
      <w:pPr>
        <w:ind w:left="0" w:firstLine="0"/>
        <w:rPr>
          <w:rFonts w:asciiTheme="minorHAnsi" w:hAnsiTheme="minorHAnsi" w:cstheme="minorHAnsi"/>
          <w:lang w:val="fr-FR"/>
        </w:rPr>
      </w:pPr>
    </w:p>
    <w:p w:rsidR="005C7983" w:rsidRPr="00CF7824" w:rsidRDefault="00164734" w:rsidP="00DA7D37">
      <w:pPr>
        <w:rPr>
          <w:rFonts w:asciiTheme="minorHAnsi" w:hAnsiTheme="minorHAnsi" w:cstheme="minorHAnsi"/>
          <w:lang w:val="fr-FR"/>
        </w:rPr>
      </w:pPr>
      <w:r w:rsidRPr="00CF7824">
        <w:rPr>
          <w:rFonts w:cs="Calibri"/>
          <w:bCs/>
          <w:lang w:val="fr-FR"/>
        </w:rPr>
        <w:t>34.</w:t>
      </w:r>
      <w:r w:rsidRPr="00CF7824">
        <w:rPr>
          <w:rFonts w:cs="Calibri"/>
          <w:bCs/>
          <w:lang w:val="fr-FR"/>
        </w:rPr>
        <w:tab/>
        <w:t>La COP14 de la Convention sur les zones humides, par</w:t>
      </w:r>
      <w:r w:rsidR="00016E39" w:rsidRPr="00CF7824">
        <w:rPr>
          <w:rFonts w:cs="Calibri"/>
          <w:bCs/>
          <w:lang w:val="fr-FR"/>
        </w:rPr>
        <w:t xml:space="preserve"> </w:t>
      </w:r>
      <w:r w:rsidRPr="00CF7824">
        <w:rPr>
          <w:rFonts w:cs="Calibri"/>
          <w:bCs/>
          <w:lang w:val="fr-FR"/>
        </w:rPr>
        <w:t xml:space="preserve">la </w:t>
      </w:r>
      <w:hyperlink r:id="rId19" w:history="1">
        <w:r w:rsidRPr="00CF7824">
          <w:rPr>
            <w:rFonts w:cs="Calibri"/>
            <w:bCs/>
            <w:lang w:val="fr-FR"/>
          </w:rPr>
          <w:t>Résolution</w:t>
        </w:r>
        <w:r w:rsidR="00376BA1" w:rsidRPr="00CF7824">
          <w:rPr>
            <w:rFonts w:cs="Calibri"/>
            <w:bCs/>
            <w:lang w:val="fr-FR"/>
          </w:rPr>
          <w:t> </w:t>
        </w:r>
        <w:r w:rsidRPr="00CF7824">
          <w:rPr>
            <w:rFonts w:cs="Calibri"/>
            <w:bCs/>
            <w:lang w:val="fr-FR"/>
          </w:rPr>
          <w:t>XIV.18</w:t>
        </w:r>
      </w:hyperlink>
      <w:r w:rsidRPr="00CF7824">
        <w:rPr>
          <w:rFonts w:cs="Calibri"/>
          <w:bCs/>
          <w:color w:val="0000FF"/>
          <w:u w:val="single"/>
          <w:lang w:val="fr-FR"/>
        </w:rPr>
        <w:t>,</w:t>
      </w:r>
      <w:r w:rsidRPr="00CF7824">
        <w:rPr>
          <w:rFonts w:cs="Calibri"/>
          <w:bCs/>
          <w:lang w:val="fr-FR"/>
        </w:rPr>
        <w:t xml:space="preserve"> paragraphe</w:t>
      </w:r>
      <w:r w:rsidR="001F19B5" w:rsidRPr="00CF7824">
        <w:rPr>
          <w:rFonts w:cs="Calibri"/>
          <w:bCs/>
          <w:lang w:val="fr-FR"/>
        </w:rPr>
        <w:t> </w:t>
      </w:r>
      <w:r w:rsidRPr="00CF7824">
        <w:rPr>
          <w:rFonts w:cs="Calibri"/>
          <w:bCs/>
          <w:lang w:val="fr-FR"/>
        </w:rPr>
        <w:t>16, a reconnu la nécessité d</w:t>
      </w:r>
      <w:r w:rsidR="00016E39" w:rsidRPr="00CF7824">
        <w:rPr>
          <w:rFonts w:cs="Calibri"/>
          <w:bCs/>
          <w:lang w:val="fr-FR"/>
        </w:rPr>
        <w:t>’</w:t>
      </w:r>
      <w:r w:rsidRPr="00CF7824">
        <w:rPr>
          <w:rFonts w:cs="Calibri"/>
          <w:bCs/>
          <w:lang w:val="fr-FR"/>
        </w:rPr>
        <w:t>identifier des options pour financer les mises à jour des WPE et a prié « le Groupe d</w:t>
      </w:r>
      <w:r w:rsidR="00016E39" w:rsidRPr="00CF7824">
        <w:rPr>
          <w:rFonts w:cs="Calibri"/>
          <w:bCs/>
          <w:lang w:val="fr-FR"/>
        </w:rPr>
        <w:t>’</w:t>
      </w:r>
      <w:r w:rsidRPr="00CF7824">
        <w:rPr>
          <w:rFonts w:cs="Calibri"/>
          <w:bCs/>
          <w:lang w:val="fr-FR"/>
        </w:rPr>
        <w:t>évaluation scientifique et technique (GEST) GEST d</w:t>
      </w:r>
      <w:r w:rsidR="00016E39" w:rsidRPr="00CF7824">
        <w:rPr>
          <w:rFonts w:cs="Calibri"/>
          <w:bCs/>
          <w:lang w:val="fr-FR"/>
        </w:rPr>
        <w:t>’</w:t>
      </w:r>
      <w:r w:rsidRPr="00CF7824">
        <w:rPr>
          <w:rFonts w:cs="Calibri"/>
          <w:bCs/>
          <w:lang w:val="fr-FR"/>
        </w:rPr>
        <w:t>élaborer une proposition technique pour permettre le financement et la mise en œuvre des mises à jour futures et exhaustives des Estimations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en consultation avec les Parties contractantes, les accords et partenariats pertinents relatifs aux voies de migration, Wetlands International et les entités intéressées, en faisant en sorte que cette proposition technique, comprenant, avec l</w:t>
      </w:r>
      <w:r w:rsidR="00016E39" w:rsidRPr="00CF7824">
        <w:rPr>
          <w:rFonts w:cs="Calibri"/>
          <w:bCs/>
          <w:lang w:val="fr-FR"/>
        </w:rPr>
        <w:t>’</w:t>
      </w:r>
      <w:r w:rsidRPr="00CF7824">
        <w:rPr>
          <w:rFonts w:cs="Calibri"/>
          <w:bCs/>
          <w:lang w:val="fr-FR"/>
        </w:rPr>
        <w:t>avis du Secrétariat, un aperçu des incidences financières, soit présentée à la 63</w:t>
      </w:r>
      <w:r w:rsidRPr="00CF7824">
        <w:rPr>
          <w:rFonts w:cs="Calibri"/>
          <w:bCs/>
          <w:vertAlign w:val="superscript"/>
          <w:lang w:val="fr-FR"/>
        </w:rPr>
        <w:t>e</w:t>
      </w:r>
      <w:r w:rsidRPr="00CF7824">
        <w:rPr>
          <w:rFonts w:cs="Calibri"/>
          <w:bCs/>
          <w:lang w:val="fr-FR"/>
        </w:rPr>
        <w:t> Réunion du Comité permanent, en amont d</w:t>
      </w:r>
      <w:r w:rsidR="00016E39" w:rsidRPr="00CF7824">
        <w:rPr>
          <w:rFonts w:cs="Calibri"/>
          <w:bCs/>
          <w:lang w:val="fr-FR"/>
        </w:rPr>
        <w:t>’</w:t>
      </w:r>
      <w:r w:rsidRPr="00CF7824">
        <w:rPr>
          <w:rFonts w:cs="Calibri"/>
          <w:bCs/>
          <w:lang w:val="fr-FR"/>
        </w:rPr>
        <w:t>un projet de résolution destiné à la session suivante de la Conférence des Parties contractantes, sur les dispositions prévoyant des mises à jour futures et régulières du Waterbird Populations Portal. »</w:t>
      </w:r>
    </w:p>
    <w:p w:rsidR="00F7284B" w:rsidRPr="00CF7824" w:rsidRDefault="00F7284B" w:rsidP="00DA7D37">
      <w:pPr>
        <w:rPr>
          <w:rFonts w:asciiTheme="minorHAnsi" w:hAnsiTheme="minorHAnsi" w:cstheme="minorHAnsi"/>
          <w:lang w:val="fr-FR"/>
        </w:rPr>
      </w:pPr>
    </w:p>
    <w:p w:rsidR="00340C9D" w:rsidRPr="00CF7824" w:rsidRDefault="00164734" w:rsidP="00DA7D37">
      <w:pPr>
        <w:keepNext/>
        <w:rPr>
          <w:rFonts w:asciiTheme="minorHAnsi" w:hAnsiTheme="minorHAnsi" w:cstheme="minorHAnsi"/>
          <w:b/>
          <w:lang w:val="fr-FR"/>
        </w:rPr>
      </w:pPr>
      <w:bookmarkStart w:id="4" w:name="_Toc159848047"/>
      <w:r w:rsidRPr="00CF7824">
        <w:rPr>
          <w:rFonts w:cs="Calibri"/>
          <w:b/>
          <w:bCs/>
          <w:lang w:val="fr-FR"/>
        </w:rPr>
        <w:t>Objet de la proposition technique</w:t>
      </w:r>
      <w:bookmarkEnd w:id="4"/>
    </w:p>
    <w:p w:rsidR="00340C9D" w:rsidRPr="00CF7824" w:rsidRDefault="00340C9D" w:rsidP="00340C9D">
      <w:pPr>
        <w:rPr>
          <w:rFonts w:asciiTheme="minorHAnsi" w:hAnsiTheme="minorHAnsi" w:cstheme="minorHAnsi"/>
          <w:lang w:val="fr-FR"/>
        </w:rPr>
      </w:pPr>
    </w:p>
    <w:p w:rsidR="00153184" w:rsidRPr="00CF7824" w:rsidRDefault="00164734" w:rsidP="00DA7D37">
      <w:pPr>
        <w:rPr>
          <w:rFonts w:asciiTheme="minorHAnsi" w:hAnsiTheme="minorHAnsi" w:cstheme="minorHAnsi"/>
          <w:lang w:val="fr-FR"/>
        </w:rPr>
      </w:pPr>
      <w:r w:rsidRPr="00CF7824">
        <w:rPr>
          <w:rFonts w:cs="Calibri"/>
          <w:bCs/>
          <w:lang w:val="fr-FR"/>
        </w:rPr>
        <w:t>35.</w:t>
      </w:r>
      <w:r w:rsidRPr="00CF7824">
        <w:rPr>
          <w:rFonts w:cs="Calibri"/>
          <w:bCs/>
          <w:lang w:val="fr-FR"/>
        </w:rPr>
        <w:tab/>
        <w:t>L</w:t>
      </w:r>
      <w:r w:rsidR="00016E39" w:rsidRPr="00CF7824">
        <w:rPr>
          <w:rFonts w:cs="Calibri"/>
          <w:bCs/>
          <w:lang w:val="fr-FR"/>
        </w:rPr>
        <w:t>’</w:t>
      </w:r>
      <w:r w:rsidRPr="00CF7824">
        <w:rPr>
          <w:rFonts w:cs="Calibri"/>
          <w:bCs/>
          <w:lang w:val="fr-FR"/>
        </w:rPr>
        <w:t>objet de cette proposition technique est de :</w:t>
      </w:r>
    </w:p>
    <w:p w:rsidR="005A3C79" w:rsidRPr="00CF7824" w:rsidRDefault="005A3C79" w:rsidP="00153184">
      <w:pPr>
        <w:rPr>
          <w:rFonts w:asciiTheme="minorHAnsi" w:hAnsiTheme="minorHAnsi" w:cstheme="minorHAnsi"/>
          <w:lang w:val="fr-FR"/>
        </w:rPr>
      </w:pPr>
    </w:p>
    <w:p w:rsidR="005A3C79" w:rsidRPr="00CF7824" w:rsidRDefault="00164734" w:rsidP="002079B7">
      <w:pPr>
        <w:numPr>
          <w:ilvl w:val="0"/>
          <w:numId w:val="1"/>
        </w:numPr>
        <w:ind w:left="850" w:hanging="425"/>
        <w:rPr>
          <w:rFonts w:asciiTheme="minorHAnsi" w:hAnsiTheme="minorHAnsi" w:cstheme="minorHAnsi"/>
          <w:lang w:val="fr-FR"/>
        </w:rPr>
      </w:pPr>
      <w:r w:rsidRPr="00CF7824">
        <w:rPr>
          <w:rFonts w:cs="Calibri"/>
          <w:lang w:val="fr-FR"/>
        </w:rPr>
        <w:t xml:space="preserve">Proposer des options pour la dotation en ressources et la fourniture de futures mises à jour des WPE complètes et en temps </w:t>
      </w:r>
      <w:r w:rsidR="009E6A8A" w:rsidRPr="00CF7824">
        <w:rPr>
          <w:rFonts w:cs="Calibri"/>
          <w:lang w:val="fr-FR"/>
        </w:rPr>
        <w:t>opportun</w:t>
      </w:r>
      <w:r w:rsidRPr="00CF7824">
        <w:rPr>
          <w:rFonts w:cs="Calibri"/>
          <w:lang w:val="fr-FR"/>
        </w:rPr>
        <w:t xml:space="preserve">, en recommandant </w:t>
      </w:r>
      <w:r w:rsidR="009E6A8A" w:rsidRPr="00CF7824">
        <w:rPr>
          <w:rFonts w:cs="Calibri"/>
          <w:lang w:val="fr-FR"/>
        </w:rPr>
        <w:t>l’</w:t>
      </w:r>
      <w:r w:rsidRPr="00CF7824">
        <w:rPr>
          <w:rFonts w:cs="Calibri"/>
          <w:lang w:val="fr-FR"/>
        </w:rPr>
        <w:t>approche jugée préférable.</w:t>
      </w:r>
      <w:r w:rsidRPr="00CF7824">
        <w:rPr>
          <w:rFonts w:cs="Calibri"/>
          <w:lang w:val="fr-FR"/>
        </w:rPr>
        <w:br/>
      </w:r>
    </w:p>
    <w:p w:rsidR="00153184" w:rsidRPr="00CF7824" w:rsidRDefault="00164734" w:rsidP="002079B7">
      <w:pPr>
        <w:numPr>
          <w:ilvl w:val="0"/>
          <w:numId w:val="1"/>
        </w:numPr>
        <w:ind w:left="850" w:hanging="425"/>
        <w:rPr>
          <w:rFonts w:asciiTheme="minorHAnsi" w:hAnsiTheme="minorHAnsi" w:cstheme="minorHAnsi"/>
          <w:lang w:val="fr-FR"/>
        </w:rPr>
      </w:pPr>
      <w:r w:rsidRPr="00CF7824">
        <w:rPr>
          <w:rFonts w:cs="Calibri"/>
          <w:lang w:val="fr-FR"/>
        </w:rPr>
        <w:t>Préciser les ressources nécessaires pour compiler toutes les estimations des populations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 disponibles dans le monde entier dans les futures mises à jour des WPE de manière efficace et efficiente, afin de les présenter en ligne sur le Waterbird Populations Portal.</w:t>
      </w:r>
      <w:r w:rsidRPr="00CF7824">
        <w:rPr>
          <w:rFonts w:cs="Calibri"/>
          <w:lang w:val="fr-FR"/>
        </w:rPr>
        <w:br/>
      </w:r>
    </w:p>
    <w:p w:rsidR="00340C9D" w:rsidRPr="00CF7824" w:rsidRDefault="00164734" w:rsidP="002079B7">
      <w:pPr>
        <w:numPr>
          <w:ilvl w:val="0"/>
          <w:numId w:val="1"/>
        </w:numPr>
        <w:ind w:left="850" w:hanging="425"/>
        <w:rPr>
          <w:rFonts w:asciiTheme="minorHAnsi" w:hAnsiTheme="minorHAnsi" w:cstheme="minorHAnsi"/>
          <w:lang w:val="fr-FR"/>
        </w:rPr>
      </w:pPr>
      <w:r w:rsidRPr="00CF7824">
        <w:rPr>
          <w:rFonts w:cs="Calibri"/>
          <w:lang w:val="fr-FR"/>
        </w:rPr>
        <w:t>Identifier les besoins en matière de soutien technique aux Parties contractantes pour combler les lacunes identifiées dans les données sur les populations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w:t>
      </w:r>
      <w:r w:rsidRPr="00CF7824">
        <w:rPr>
          <w:rFonts w:cs="Calibri"/>
          <w:lang w:val="fr-FR"/>
        </w:rPr>
        <w:br/>
      </w:r>
    </w:p>
    <w:p w:rsidR="00EC1763" w:rsidRPr="00CF7824" w:rsidRDefault="00EC1763" w:rsidP="00BE112D">
      <w:pPr>
        <w:rPr>
          <w:rFonts w:asciiTheme="minorHAnsi" w:hAnsiTheme="minorHAnsi" w:cstheme="minorHAnsi"/>
          <w:i/>
          <w:iCs/>
          <w:lang w:val="fr-FR"/>
        </w:rPr>
      </w:pPr>
    </w:p>
    <w:p w:rsidR="00E738D4" w:rsidRPr="00CF7824" w:rsidRDefault="00E738D4">
      <w:pPr>
        <w:rPr>
          <w:rFonts w:cs="Calibri"/>
          <w:i/>
          <w:iCs/>
          <w:lang w:val="fr-FR"/>
        </w:rPr>
      </w:pPr>
      <w:r w:rsidRPr="00CF7824">
        <w:rPr>
          <w:rFonts w:cs="Calibri"/>
          <w:i/>
          <w:iCs/>
          <w:lang w:val="fr-FR"/>
        </w:rPr>
        <w:br w:type="page"/>
      </w:r>
    </w:p>
    <w:p w:rsidR="00BE112D" w:rsidRPr="00CF7824" w:rsidRDefault="00164734" w:rsidP="00385E09">
      <w:pPr>
        <w:keepNext/>
        <w:ind w:left="0" w:firstLine="0"/>
        <w:rPr>
          <w:rFonts w:asciiTheme="minorHAnsi" w:hAnsiTheme="minorHAnsi" w:cstheme="minorHAnsi"/>
          <w:i/>
          <w:iCs/>
          <w:lang w:val="fr-FR"/>
        </w:rPr>
      </w:pPr>
      <w:r w:rsidRPr="00CF7824">
        <w:rPr>
          <w:rFonts w:cs="Calibri"/>
          <w:i/>
          <w:iCs/>
          <w:lang w:val="fr-FR"/>
        </w:rPr>
        <w:lastRenderedPageBreak/>
        <w:t>Encadré</w:t>
      </w:r>
      <w:r w:rsidR="001F19B5" w:rsidRPr="00CF7824">
        <w:rPr>
          <w:rFonts w:cs="Calibri"/>
          <w:i/>
          <w:iCs/>
          <w:lang w:val="fr-FR"/>
        </w:rPr>
        <w:t> </w:t>
      </w:r>
      <w:r w:rsidRPr="00CF7824">
        <w:rPr>
          <w:rFonts w:cs="Calibri"/>
          <w:i/>
          <w:iCs/>
          <w:lang w:val="fr-FR"/>
        </w:rPr>
        <w:t xml:space="preserve">1 : </w:t>
      </w:r>
      <w:r w:rsidRPr="00CF7824">
        <w:rPr>
          <w:rFonts w:cs="Arial"/>
          <w:i/>
          <w:iCs/>
          <w:lang w:val="fr-FR"/>
        </w:rPr>
        <w:t>Libellé</w:t>
      </w:r>
      <w:r w:rsidRPr="00CF7824">
        <w:rPr>
          <w:rFonts w:cs="Calibri"/>
          <w:i/>
          <w:iCs/>
          <w:lang w:val="fr-FR"/>
        </w:rPr>
        <w:t xml:space="preserve"> de la Tâche 1.1.c) conformément au Plan de travail du GEST</w:t>
      </w:r>
      <w:r w:rsidR="001F19B5" w:rsidRPr="00CF7824">
        <w:rPr>
          <w:rFonts w:cs="Calibri"/>
          <w:i/>
          <w:iCs/>
          <w:lang w:val="fr-FR"/>
        </w:rPr>
        <w:t> </w:t>
      </w:r>
      <w:r w:rsidRPr="00CF7824">
        <w:rPr>
          <w:rFonts w:cs="Calibri"/>
          <w:i/>
          <w:iCs/>
          <w:lang w:val="fr-FR"/>
        </w:rPr>
        <w:t>2023-2025</w:t>
      </w:r>
      <w:r w:rsidRPr="00CF7824">
        <w:rPr>
          <w:rStyle w:val="FootnoteReference"/>
          <w:rFonts w:asciiTheme="minorHAnsi" w:hAnsiTheme="minorHAnsi" w:cstheme="minorHAnsi"/>
          <w:i/>
          <w:iCs/>
        </w:rPr>
        <w:footnoteReference w:id="10"/>
      </w:r>
      <w:r w:rsidRPr="00CF7824">
        <w:rPr>
          <w:rFonts w:cs="Calibri"/>
          <w:i/>
          <w:iCs/>
          <w:lang w:val="fr-FR"/>
        </w:rPr>
        <w:t xml:space="preserve"> pour référence.</w:t>
      </w:r>
    </w:p>
    <w:p w:rsidR="000123FD" w:rsidRPr="00CF7824" w:rsidRDefault="00E738D4" w:rsidP="00E738D4">
      <w:pPr>
        <w:ind w:left="0" w:firstLine="0"/>
        <w:rPr>
          <w:rFonts w:asciiTheme="minorHAnsi" w:hAnsiTheme="minorHAnsi" w:cstheme="minorHAnsi"/>
          <w:b/>
          <w:lang w:val="fr-FR"/>
        </w:rPr>
      </w:pPr>
      <w:bookmarkStart w:id="5" w:name="_Toc159848048"/>
      <w:r w:rsidRPr="00CF7824">
        <w:rPr>
          <w:rFonts w:asciiTheme="minorHAnsi" w:hAnsiTheme="minorHAnsi" w:cstheme="minorHAnsi"/>
          <w:noProof/>
          <w:lang w:val="fr-FR" w:eastAsia="fr-FR"/>
        </w:rPr>
        <mc:AlternateContent>
          <mc:Choice Requires="wps">
            <w:drawing>
              <wp:inline distT="0" distB="0" distL="0" distR="0" wp14:anchorId="69A3A85F" wp14:editId="467F2BEA">
                <wp:extent cx="5866130" cy="3752698"/>
                <wp:effectExtent l="0" t="0" r="2032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752698"/>
                        </a:xfrm>
                        <a:prstGeom prst="rect">
                          <a:avLst/>
                        </a:prstGeom>
                        <a:solidFill>
                          <a:srgbClr val="FFFFFF"/>
                        </a:solidFill>
                        <a:ln w="9525">
                          <a:solidFill>
                            <a:srgbClr val="000000"/>
                          </a:solidFill>
                          <a:miter lim="800000"/>
                          <a:headEnd/>
                          <a:tailEnd/>
                        </a:ln>
                      </wps:spPr>
                      <wps:txbx>
                        <w:txbxContent>
                          <w:p w:rsidR="00DA168E" w:rsidRPr="00164734" w:rsidRDefault="00DA168E" w:rsidP="00E738D4">
                            <w:pPr>
                              <w:ind w:left="0" w:firstLine="0"/>
                              <w:rPr>
                                <w:lang w:val="fr-FR"/>
                              </w:rPr>
                            </w:pPr>
                            <w:r>
                              <w:rPr>
                                <w:lang w:val="fr-FR"/>
                              </w:rPr>
                              <w:t xml:space="preserve">« Élaborer une proposition technique présentant plusieurs options en matière de mobilisation de ressources et de réalisation en temps voulu de la mise à jour complète des estimations de populations d’oiseaux d’eau </w:t>
                            </w:r>
                          </w:p>
                          <w:p w:rsidR="00DA168E" w:rsidRPr="00164734" w:rsidRDefault="00DA168E" w:rsidP="00E738D4">
                            <w:pPr>
                              <w:ind w:left="0" w:firstLine="0"/>
                              <w:rPr>
                                <w:lang w:val="fr-FR"/>
                              </w:rPr>
                            </w:pPr>
                          </w:p>
                          <w:p w:rsidR="00DA168E" w:rsidRPr="00164734" w:rsidRDefault="00DA168E" w:rsidP="00E738D4">
                            <w:pPr>
                              <w:ind w:left="0" w:firstLine="0"/>
                              <w:rPr>
                                <w:lang w:val="fr-FR"/>
                              </w:rPr>
                            </w:pPr>
                            <w:r>
                              <w:rPr>
                                <w:lang w:val="fr-FR"/>
                              </w:rPr>
                              <w:t xml:space="preserve">Il conviendra que cette proposition technique recense les besoins en matière d’assistance aux Parties contractantes pour combler les lacunes décelées dans les données sur les populations d’oiseaux d’eau et expose les différentes possibilités en matière de renforcement des capacités, de coopération technique et scientifique, et d’échange. </w:t>
                            </w:r>
                          </w:p>
                          <w:p w:rsidR="00DA168E" w:rsidRPr="00164734" w:rsidRDefault="00DA168E" w:rsidP="00E738D4">
                            <w:pPr>
                              <w:ind w:left="0" w:firstLine="0"/>
                              <w:rPr>
                                <w:lang w:val="fr-FR"/>
                              </w:rPr>
                            </w:pPr>
                          </w:p>
                          <w:p w:rsidR="00DA168E" w:rsidRPr="00164734" w:rsidRDefault="00DA168E" w:rsidP="00E738D4">
                            <w:pPr>
                              <w:ind w:left="0" w:firstLine="0"/>
                              <w:rPr>
                                <w:lang w:val="fr-FR"/>
                              </w:rPr>
                            </w:pPr>
                            <w:r>
                              <w:rPr>
                                <w:lang w:val="fr-FR"/>
                              </w:rPr>
                              <w:t xml:space="preserve">Il conviendra également que cette proposition technique aborde les questions suivantes : </w:t>
                            </w:r>
                            <w:r>
                              <w:rPr>
                                <w:lang w:val="fr-FR"/>
                              </w:rPr>
                              <w:br/>
                            </w:r>
                          </w:p>
                          <w:p w:rsidR="00DA168E" w:rsidRPr="00164734" w:rsidRDefault="00DA168E" w:rsidP="00E738D4">
                            <w:pPr>
                              <w:numPr>
                                <w:ilvl w:val="0"/>
                                <w:numId w:val="2"/>
                              </w:numPr>
                              <w:ind w:left="850" w:hanging="425"/>
                              <w:rPr>
                                <w:lang w:val="fr-FR"/>
                              </w:rPr>
                            </w:pPr>
                            <w:r>
                              <w:rPr>
                                <w:lang w:val="fr-FR"/>
                              </w:rPr>
                              <w:t>Synergies entre la Convention sur les zones humides et les divers accords relatifs aux oiseaux d’eau ainsi que les initiatives relatives aux voies de migration en ce qui concerne l’obtention des toutes dernières estimations des populations d’oiseaux d’eau.</w:t>
                            </w:r>
                          </w:p>
                          <w:p w:rsidR="00DA168E" w:rsidRPr="00164734" w:rsidRDefault="00DA168E" w:rsidP="00E738D4">
                            <w:pPr>
                              <w:numPr>
                                <w:ilvl w:val="0"/>
                                <w:numId w:val="2"/>
                              </w:numPr>
                              <w:ind w:left="850" w:hanging="425"/>
                              <w:rPr>
                                <w:lang w:val="fr-FR"/>
                              </w:rPr>
                            </w:pPr>
                            <w:r>
                              <w:rPr>
                                <w:rFonts w:cs="Arial"/>
                                <w:lang w:val="fr-FR"/>
                              </w:rPr>
                              <w:t>Institutionnalisation de la mobilisation de ressources et partenariat entre les organisations menant des évaluations pertinentes de l’état des populations (à l’échelle régionale ou propres à un groupe d’espèces).</w:t>
                            </w:r>
                          </w:p>
                          <w:p w:rsidR="00DA168E" w:rsidRPr="00164734" w:rsidRDefault="00DA168E" w:rsidP="00E738D4">
                            <w:pPr>
                              <w:numPr>
                                <w:ilvl w:val="0"/>
                                <w:numId w:val="2"/>
                              </w:numPr>
                              <w:ind w:left="850" w:hanging="425"/>
                              <w:rPr>
                                <w:lang w:val="fr-FR"/>
                              </w:rPr>
                            </w:pPr>
                            <w:r>
                              <w:rPr>
                                <w:rFonts w:cs="Arial"/>
                                <w:lang w:val="fr-FR"/>
                              </w:rPr>
                              <w:t>Opportunités et priorités en matière de renforcement des capacités, de coopération technique et scientifique et d’échanges.</w:t>
                            </w:r>
                          </w:p>
                          <w:p w:rsidR="00DA168E" w:rsidRPr="00164734" w:rsidRDefault="00DA168E" w:rsidP="00E738D4">
                            <w:pPr>
                              <w:numPr>
                                <w:ilvl w:val="0"/>
                                <w:numId w:val="2"/>
                              </w:numPr>
                              <w:ind w:left="850" w:hanging="425"/>
                              <w:rPr>
                                <w:lang w:val="fr-FR"/>
                              </w:rPr>
                            </w:pPr>
                            <w:r>
                              <w:rPr>
                                <w:lang w:val="fr-FR"/>
                              </w:rPr>
                              <w:t>Mesures visant à réduire les coûts de réalisation des estimations de populations d’oiseaux d’eau. »</w:t>
                            </w:r>
                          </w:p>
                        </w:txbxContent>
                      </wps:txbx>
                      <wps:bodyPr rot="0" vert="horz" wrap="square" lIns="91440" tIns="45720" rIns="91440" bIns="45720" anchor="t" anchorCtr="0">
                        <a:noAutofit/>
                      </wps:bodyPr>
                    </wps:wsp>
                  </a:graphicData>
                </a:graphic>
              </wp:inline>
            </w:drawing>
          </mc:Choice>
          <mc:Fallback>
            <w:pict>
              <v:shape w14:anchorId="69A3A85F" id="Text Box 2" o:spid="_x0000_s1027" type="#_x0000_t202" style="width:461.9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EmKAIAAE4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">
                <v:textbox>
                  <w:txbxContent>
                    <w:p w:rsidR="00DA168E" w:rsidRPr="00164734" w:rsidRDefault="00DA168E" w:rsidP="00E738D4">
                      <w:pPr>
                        <w:ind w:left="0" w:firstLine="0"/>
                        <w:rPr>
                          <w:lang w:val="fr-FR"/>
                        </w:rPr>
                      </w:pPr>
                      <w:r>
                        <w:rPr>
                          <w:lang w:val="fr-FR"/>
                        </w:rPr>
                        <w:t xml:space="preserve">« Élaborer une proposition technique présentant plusieurs options en matière de mobilisation de ressources et de réalisation en temps voulu de la mise à jour complète des estimations de populations d’oiseaux d’eau </w:t>
                      </w:r>
                    </w:p>
                    <w:p w:rsidR="00DA168E" w:rsidRPr="00164734" w:rsidRDefault="00DA168E" w:rsidP="00E738D4">
                      <w:pPr>
                        <w:ind w:left="0" w:firstLine="0"/>
                        <w:rPr>
                          <w:lang w:val="fr-FR"/>
                        </w:rPr>
                      </w:pPr>
                    </w:p>
                    <w:p w:rsidR="00DA168E" w:rsidRPr="00164734" w:rsidRDefault="00DA168E" w:rsidP="00E738D4">
                      <w:pPr>
                        <w:ind w:left="0" w:firstLine="0"/>
                        <w:rPr>
                          <w:lang w:val="fr-FR"/>
                        </w:rPr>
                      </w:pPr>
                      <w:r>
                        <w:rPr>
                          <w:lang w:val="fr-FR"/>
                        </w:rPr>
                        <w:t xml:space="preserve">Il conviendra que cette proposition technique recense les besoins en matière d’assistance aux Parties contractantes pour combler les lacunes décelées dans les données sur les populations d’oiseaux d’eau et expose les différentes possibilités en matière de renforcement des capacités, de coopération technique et scientifique, et d’échange. </w:t>
                      </w:r>
                    </w:p>
                    <w:p w:rsidR="00DA168E" w:rsidRPr="00164734" w:rsidRDefault="00DA168E" w:rsidP="00E738D4">
                      <w:pPr>
                        <w:ind w:left="0" w:firstLine="0"/>
                        <w:rPr>
                          <w:lang w:val="fr-FR"/>
                        </w:rPr>
                      </w:pPr>
                    </w:p>
                    <w:p w:rsidR="00DA168E" w:rsidRPr="00164734" w:rsidRDefault="00DA168E" w:rsidP="00E738D4">
                      <w:pPr>
                        <w:ind w:left="0" w:firstLine="0"/>
                        <w:rPr>
                          <w:lang w:val="fr-FR"/>
                        </w:rPr>
                      </w:pPr>
                      <w:r>
                        <w:rPr>
                          <w:lang w:val="fr-FR"/>
                        </w:rPr>
                        <w:t xml:space="preserve">Il conviendra également que cette proposition technique aborde les questions suivantes : </w:t>
                      </w:r>
                      <w:r>
                        <w:rPr>
                          <w:lang w:val="fr-FR"/>
                        </w:rPr>
                        <w:br/>
                      </w:r>
                    </w:p>
                    <w:p w:rsidR="00DA168E" w:rsidRPr="00164734" w:rsidRDefault="00DA168E" w:rsidP="00E738D4">
                      <w:pPr>
                        <w:numPr>
                          <w:ilvl w:val="0"/>
                          <w:numId w:val="2"/>
                        </w:numPr>
                        <w:ind w:left="850" w:hanging="425"/>
                        <w:rPr>
                          <w:lang w:val="fr-FR"/>
                        </w:rPr>
                      </w:pPr>
                      <w:r>
                        <w:rPr>
                          <w:lang w:val="fr-FR"/>
                        </w:rPr>
                        <w:t>Synergies entre la Convention sur les zones humides et les divers accords relatifs aux oiseaux d’eau ainsi que les initiatives relatives aux voies de migration en ce qui concerne l’obtention des toutes dernières estimations des populations d’oiseaux d’eau.</w:t>
                      </w:r>
                    </w:p>
                    <w:p w:rsidR="00DA168E" w:rsidRPr="00164734" w:rsidRDefault="00DA168E" w:rsidP="00E738D4">
                      <w:pPr>
                        <w:numPr>
                          <w:ilvl w:val="0"/>
                          <w:numId w:val="2"/>
                        </w:numPr>
                        <w:ind w:left="850" w:hanging="425"/>
                        <w:rPr>
                          <w:lang w:val="fr-FR"/>
                        </w:rPr>
                      </w:pPr>
                      <w:r>
                        <w:rPr>
                          <w:rFonts w:cs="Arial"/>
                          <w:lang w:val="fr-FR"/>
                        </w:rPr>
                        <w:t>Institutionnalisation de la mobilisation de ressources et partenariat entre les organisations menant des évaluations pertinentes de l’état des populations (à l’échelle régionale ou propres à un groupe d’espèces).</w:t>
                      </w:r>
                    </w:p>
                    <w:p w:rsidR="00DA168E" w:rsidRPr="00164734" w:rsidRDefault="00DA168E" w:rsidP="00E738D4">
                      <w:pPr>
                        <w:numPr>
                          <w:ilvl w:val="0"/>
                          <w:numId w:val="2"/>
                        </w:numPr>
                        <w:ind w:left="850" w:hanging="425"/>
                        <w:rPr>
                          <w:lang w:val="fr-FR"/>
                        </w:rPr>
                      </w:pPr>
                      <w:r>
                        <w:rPr>
                          <w:rFonts w:cs="Arial"/>
                          <w:lang w:val="fr-FR"/>
                        </w:rPr>
                        <w:t>Opportunités et priorités en matière de renforcement des capacités, de coopération technique et scientifique et d’échanges.</w:t>
                      </w:r>
                    </w:p>
                    <w:p w:rsidR="00DA168E" w:rsidRPr="00164734" w:rsidRDefault="00DA168E" w:rsidP="00E738D4">
                      <w:pPr>
                        <w:numPr>
                          <w:ilvl w:val="0"/>
                          <w:numId w:val="2"/>
                        </w:numPr>
                        <w:ind w:left="850" w:hanging="425"/>
                        <w:rPr>
                          <w:lang w:val="fr-FR"/>
                        </w:rPr>
                      </w:pPr>
                      <w:r>
                        <w:rPr>
                          <w:lang w:val="fr-FR"/>
                        </w:rPr>
                        <w:t>Mesures visant à réduire les coûts de réalisation des estimations de populations d’oiseaux d’eau. »</w:t>
                      </w:r>
                    </w:p>
                  </w:txbxContent>
                </v:textbox>
                <w10:anchorlock/>
              </v:shape>
            </w:pict>
          </mc:Fallback>
        </mc:AlternateContent>
      </w:r>
    </w:p>
    <w:p w:rsidR="00BB7638" w:rsidRDefault="00BB7638" w:rsidP="00EC1763">
      <w:pPr>
        <w:keepNext/>
        <w:ind w:left="0" w:firstLine="0"/>
        <w:rPr>
          <w:rFonts w:cs="Calibri"/>
          <w:b/>
          <w:bCs/>
          <w:lang w:val="fr-FR"/>
        </w:rPr>
      </w:pPr>
    </w:p>
    <w:p w:rsidR="00A06C4A" w:rsidRPr="00CF7824" w:rsidRDefault="00A06C4A" w:rsidP="00EC1763">
      <w:pPr>
        <w:keepNext/>
        <w:ind w:left="0" w:firstLine="0"/>
        <w:rPr>
          <w:rFonts w:cs="Calibri"/>
          <w:b/>
          <w:bCs/>
          <w:lang w:val="fr-FR"/>
        </w:rPr>
      </w:pPr>
    </w:p>
    <w:p w:rsidR="001C0E83" w:rsidRPr="00CF7824" w:rsidRDefault="00164734" w:rsidP="00EC1763">
      <w:pPr>
        <w:keepNext/>
        <w:ind w:left="0" w:firstLine="0"/>
        <w:rPr>
          <w:rFonts w:asciiTheme="minorHAnsi" w:hAnsiTheme="minorHAnsi" w:cstheme="minorHAnsi"/>
          <w:b/>
          <w:lang w:val="fr-FR"/>
        </w:rPr>
      </w:pPr>
      <w:r w:rsidRPr="00CF7824">
        <w:rPr>
          <w:rFonts w:cs="Calibri"/>
          <w:b/>
          <w:bCs/>
          <w:lang w:val="fr-FR"/>
        </w:rPr>
        <w:t>Problèmes et options relatives au champ d</w:t>
      </w:r>
      <w:r w:rsidR="00016E39" w:rsidRPr="00CF7824">
        <w:rPr>
          <w:rFonts w:cs="Calibri"/>
          <w:b/>
          <w:bCs/>
          <w:lang w:val="fr-FR"/>
        </w:rPr>
        <w:t>’</w:t>
      </w:r>
      <w:r w:rsidRPr="00CF7824">
        <w:rPr>
          <w:rFonts w:cs="Calibri"/>
          <w:b/>
          <w:bCs/>
          <w:lang w:val="fr-FR"/>
        </w:rPr>
        <w:t>application, à la dotation en ressources et au mécanisme du processus WPE</w:t>
      </w:r>
      <w:bookmarkEnd w:id="5"/>
    </w:p>
    <w:p w:rsidR="007122DA" w:rsidRPr="00CF7824" w:rsidRDefault="007122DA" w:rsidP="0032779C">
      <w:pPr>
        <w:rPr>
          <w:rFonts w:asciiTheme="minorHAnsi" w:hAnsiTheme="minorHAnsi" w:cstheme="minorHAnsi"/>
          <w:lang w:val="fr-FR"/>
        </w:rPr>
      </w:pPr>
    </w:p>
    <w:p w:rsidR="002E613B" w:rsidRPr="00CF7824" w:rsidRDefault="00164734" w:rsidP="00DA7D37">
      <w:pPr>
        <w:rPr>
          <w:rFonts w:asciiTheme="minorHAnsi" w:hAnsiTheme="minorHAnsi" w:cstheme="minorHAnsi"/>
        </w:rPr>
      </w:pPr>
      <w:r w:rsidRPr="00CF7824">
        <w:rPr>
          <w:rFonts w:cs="Calibri"/>
          <w:bCs/>
          <w:lang w:val="fr-FR"/>
        </w:rPr>
        <w:t>36.</w:t>
      </w:r>
      <w:r w:rsidRPr="00CF7824">
        <w:rPr>
          <w:rFonts w:cs="Calibri"/>
          <w:bCs/>
          <w:lang w:val="fr-FR"/>
        </w:rPr>
        <w:tab/>
        <w:t>La mise en place à long terme d</w:t>
      </w:r>
      <w:r w:rsidR="00016E39" w:rsidRPr="00CF7824">
        <w:rPr>
          <w:rFonts w:cs="Calibri"/>
          <w:bCs/>
          <w:lang w:val="fr-FR"/>
        </w:rPr>
        <w:t>’</w:t>
      </w:r>
      <w:r w:rsidRPr="00CF7824">
        <w:rPr>
          <w:rFonts w:cs="Calibri"/>
          <w:bCs/>
          <w:lang w:val="fr-FR"/>
        </w:rPr>
        <w:t>un mécanisme durable permettant de générer des mises à jour régulières des informations sur les oiseaux d</w:t>
      </w:r>
      <w:r w:rsidR="00016E39" w:rsidRPr="00CF7824">
        <w:rPr>
          <w:rFonts w:cs="Calibri"/>
          <w:bCs/>
          <w:lang w:val="fr-FR"/>
        </w:rPr>
        <w:t>’</w:t>
      </w:r>
      <w:r w:rsidRPr="00CF7824">
        <w:rPr>
          <w:rFonts w:cs="Calibri"/>
          <w:bCs/>
          <w:lang w:val="fr-FR"/>
        </w:rPr>
        <w:t>eau nécessitera la résolution de plusieurs problèmes dans le cadre de l</w:t>
      </w:r>
      <w:r w:rsidR="00016E39" w:rsidRPr="00CF7824">
        <w:rPr>
          <w:rFonts w:cs="Calibri"/>
          <w:bCs/>
          <w:lang w:val="fr-FR"/>
        </w:rPr>
        <w:t>’</w:t>
      </w:r>
      <w:r w:rsidRPr="00CF7824">
        <w:rPr>
          <w:rFonts w:cs="Calibri"/>
          <w:bCs/>
          <w:lang w:val="fr-FR"/>
        </w:rPr>
        <w:t>établissement de priorités et de calendriers pour les mises à jour. Il s</w:t>
      </w:r>
      <w:r w:rsidR="00016E39" w:rsidRPr="00CF7824">
        <w:rPr>
          <w:rFonts w:cs="Calibri"/>
          <w:bCs/>
          <w:lang w:val="fr-FR"/>
        </w:rPr>
        <w:t>’</w:t>
      </w:r>
      <w:r w:rsidRPr="00CF7824">
        <w:rPr>
          <w:rFonts w:cs="Calibri"/>
          <w:bCs/>
          <w:lang w:val="fr-FR"/>
        </w:rPr>
        <w:t>agit en particulier de :</w:t>
      </w:r>
      <w:r w:rsidRPr="00CF7824">
        <w:rPr>
          <w:rFonts w:cs="Calibri"/>
          <w:bCs/>
          <w:lang w:val="fr-FR"/>
        </w:rPr>
        <w:br/>
      </w:r>
    </w:p>
    <w:p w:rsidR="002E613B"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t>la périodicité des mises à jour (quand les WPE sont-il</w:t>
      </w:r>
      <w:r w:rsidR="00FB2D80" w:rsidRPr="00CF7824">
        <w:rPr>
          <w:rFonts w:cs="Calibri"/>
          <w:lang w:val="fr-FR"/>
        </w:rPr>
        <w:t>s</w:t>
      </w:r>
      <w:r w:rsidRPr="00CF7824">
        <w:rPr>
          <w:rFonts w:cs="Calibri"/>
          <w:lang w:val="fr-FR"/>
        </w:rPr>
        <w:t xml:space="preserve"> produits ?)</w:t>
      </w:r>
      <w:r w:rsidR="00A12CF2" w:rsidRPr="00CF7824">
        <w:rPr>
          <w:rFonts w:cs="Calibri"/>
          <w:lang w:val="fr-FR"/>
        </w:rPr>
        <w:t>;</w:t>
      </w:r>
      <w:r w:rsidRPr="00CF7824">
        <w:rPr>
          <w:rFonts w:cs="Calibri"/>
          <w:lang w:val="fr-FR"/>
        </w:rPr>
        <w:br/>
      </w:r>
    </w:p>
    <w:p w:rsidR="002062EA"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t>les priorités de mise à jour des informations WPE (quelles voies de migration ?)</w:t>
      </w:r>
      <w:r w:rsidR="00A12CF2" w:rsidRPr="00CF7824">
        <w:rPr>
          <w:rFonts w:cs="Calibri"/>
          <w:lang w:val="fr-FR"/>
        </w:rPr>
        <w:t>;</w:t>
      </w:r>
      <w:r w:rsidRPr="00CF7824">
        <w:rPr>
          <w:rFonts w:cs="Calibri"/>
          <w:lang w:val="fr-FR"/>
        </w:rPr>
        <w:br/>
      </w:r>
    </w:p>
    <w:p w:rsidR="002062EA"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t>le champ d</w:t>
      </w:r>
      <w:r w:rsidR="00016E39" w:rsidRPr="00CF7824">
        <w:rPr>
          <w:rFonts w:cs="Calibri"/>
          <w:lang w:val="fr-FR"/>
        </w:rPr>
        <w:t>’</w:t>
      </w:r>
      <w:r w:rsidRPr="00CF7824">
        <w:rPr>
          <w:rFonts w:cs="Calibri"/>
          <w:lang w:val="fr-FR"/>
        </w:rPr>
        <w:t>application taxonomique des WPE (quelles espèces ?)</w:t>
      </w:r>
      <w:r w:rsidR="00A12CF2" w:rsidRPr="00CF7824">
        <w:rPr>
          <w:rFonts w:cs="Calibri"/>
          <w:lang w:val="fr-FR"/>
        </w:rPr>
        <w:t>;</w:t>
      </w:r>
      <w:r w:rsidRPr="00CF7824">
        <w:rPr>
          <w:rFonts w:cs="Calibri"/>
          <w:lang w:val="fr-FR"/>
        </w:rPr>
        <w:br/>
      </w:r>
    </w:p>
    <w:p w:rsidR="002062EA"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t>les options structurelles et logistiques de l</w:t>
      </w:r>
      <w:r w:rsidR="00016E39" w:rsidRPr="00CF7824">
        <w:rPr>
          <w:rFonts w:cs="Calibri"/>
          <w:lang w:val="fr-FR"/>
        </w:rPr>
        <w:t>’</w:t>
      </w:r>
      <w:r w:rsidRPr="00CF7824">
        <w:rPr>
          <w:rFonts w:cs="Calibri"/>
          <w:lang w:val="fr-FR"/>
        </w:rPr>
        <w:t>établissement d</w:t>
      </w:r>
      <w:r w:rsidR="00016E39" w:rsidRPr="00CF7824">
        <w:rPr>
          <w:rFonts w:cs="Calibri"/>
          <w:lang w:val="fr-FR"/>
        </w:rPr>
        <w:t>’</w:t>
      </w:r>
      <w:r w:rsidRPr="00CF7824">
        <w:rPr>
          <w:rFonts w:cs="Calibri"/>
          <w:lang w:val="fr-FR"/>
        </w:rPr>
        <w:t>un partenariat, ou d</w:t>
      </w:r>
      <w:r w:rsidR="00016E39" w:rsidRPr="00CF7824">
        <w:rPr>
          <w:rFonts w:cs="Calibri"/>
          <w:lang w:val="fr-FR"/>
        </w:rPr>
        <w:t>’</w:t>
      </w:r>
      <w:r w:rsidRPr="00CF7824">
        <w:rPr>
          <w:rFonts w:cs="Calibri"/>
          <w:lang w:val="fr-FR"/>
        </w:rPr>
        <w:t>un autre mécanisme, qui rassemblerait les organisations clés pour fournir des orientations stratégiques sur la planification du processus de gestion et de mise à jour des WPE (comment ?)</w:t>
      </w:r>
      <w:r w:rsidR="00A12CF2" w:rsidRPr="00CF7824">
        <w:rPr>
          <w:rFonts w:cs="Calibri"/>
          <w:lang w:val="fr-FR"/>
        </w:rPr>
        <w:t>;</w:t>
      </w:r>
      <w:r w:rsidRPr="00CF7824">
        <w:rPr>
          <w:rFonts w:cs="Calibri"/>
          <w:lang w:val="fr-FR"/>
        </w:rPr>
        <w:br/>
      </w:r>
    </w:p>
    <w:p w:rsidR="002062EA"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t>la responsabilité d</w:t>
      </w:r>
      <w:r w:rsidR="00016E39" w:rsidRPr="00CF7824">
        <w:rPr>
          <w:rFonts w:cs="Calibri"/>
          <w:lang w:val="fr-FR"/>
        </w:rPr>
        <w:t>’</w:t>
      </w:r>
      <w:r w:rsidRPr="00CF7824">
        <w:rPr>
          <w:rFonts w:cs="Calibri"/>
          <w:lang w:val="fr-FR"/>
        </w:rPr>
        <w:t xml:space="preserve">entreprendre une mobilisation des </w:t>
      </w:r>
      <w:r w:rsidR="00376BA1" w:rsidRPr="00CF7824">
        <w:rPr>
          <w:rFonts w:cs="Calibri"/>
          <w:lang w:val="fr-FR"/>
        </w:rPr>
        <w:t>« </w:t>
      </w:r>
      <w:r w:rsidRPr="00CF7824">
        <w:rPr>
          <w:rFonts w:cs="Calibri"/>
          <w:lang w:val="fr-FR"/>
        </w:rPr>
        <w:t>parties prenantes</w:t>
      </w:r>
      <w:r w:rsidR="00376BA1" w:rsidRPr="00CF7824">
        <w:rPr>
          <w:rFonts w:cs="Calibri"/>
          <w:lang w:val="fr-FR"/>
        </w:rPr>
        <w:t> »</w:t>
      </w:r>
      <w:r w:rsidRPr="00CF7824">
        <w:rPr>
          <w:rFonts w:cs="Calibri"/>
          <w:lang w:val="fr-FR"/>
        </w:rPr>
        <w:t xml:space="preserve"> avec toutes les parties intéressées à s</w:t>
      </w:r>
      <w:r w:rsidR="00016E39" w:rsidRPr="00CF7824">
        <w:rPr>
          <w:rFonts w:cs="Calibri"/>
          <w:lang w:val="fr-FR"/>
        </w:rPr>
        <w:t>’</w:t>
      </w:r>
      <w:r w:rsidRPr="00CF7824">
        <w:rPr>
          <w:rFonts w:cs="Calibri"/>
          <w:lang w:val="fr-FR"/>
        </w:rPr>
        <w:t>engager dans un processus WPE redynamisé (qui ?)</w:t>
      </w:r>
      <w:r w:rsidR="00A12CF2" w:rsidRPr="00CF7824">
        <w:rPr>
          <w:rFonts w:cs="Calibri"/>
          <w:lang w:val="fr-FR"/>
        </w:rPr>
        <w:t>;</w:t>
      </w:r>
      <w:r w:rsidRPr="00CF7824">
        <w:rPr>
          <w:rFonts w:cs="Calibri"/>
          <w:lang w:val="fr-FR"/>
        </w:rPr>
        <w:t xml:space="preserve"> et</w:t>
      </w:r>
      <w:r w:rsidRPr="00CF7824">
        <w:rPr>
          <w:rFonts w:cs="Calibri"/>
          <w:lang w:val="fr-FR"/>
        </w:rPr>
        <w:br/>
      </w:r>
    </w:p>
    <w:p w:rsidR="00995A88" w:rsidRPr="00CF7824" w:rsidRDefault="00164734" w:rsidP="002079B7">
      <w:pPr>
        <w:numPr>
          <w:ilvl w:val="0"/>
          <w:numId w:val="3"/>
        </w:numPr>
        <w:ind w:left="850" w:hanging="425"/>
        <w:rPr>
          <w:rFonts w:asciiTheme="minorHAnsi" w:hAnsiTheme="minorHAnsi" w:cstheme="minorHAnsi"/>
          <w:lang w:val="fr-FR"/>
        </w:rPr>
      </w:pPr>
      <w:r w:rsidRPr="00CF7824">
        <w:rPr>
          <w:rFonts w:cs="Calibri"/>
          <w:lang w:val="fr-FR"/>
        </w:rPr>
        <w:lastRenderedPageBreak/>
        <w:t xml:space="preserve">les ressources nécessaires pour </w:t>
      </w:r>
      <w:r w:rsidR="00D3268A" w:rsidRPr="00CF7824">
        <w:rPr>
          <w:rFonts w:cs="Calibri"/>
          <w:lang w:val="fr-FR"/>
        </w:rPr>
        <w:t>soutenir</w:t>
      </w:r>
      <w:r w:rsidRPr="00CF7824">
        <w:rPr>
          <w:rFonts w:cs="Calibri"/>
          <w:lang w:val="fr-FR"/>
        </w:rPr>
        <w:t xml:space="preserve"> l</w:t>
      </w:r>
      <w:r w:rsidR="00016E39" w:rsidRPr="00CF7824">
        <w:rPr>
          <w:rFonts w:cs="Calibri"/>
          <w:lang w:val="fr-FR"/>
        </w:rPr>
        <w:t>’</w:t>
      </w:r>
      <w:r w:rsidRPr="00CF7824">
        <w:rPr>
          <w:rFonts w:cs="Calibri"/>
          <w:lang w:val="fr-FR"/>
        </w:rPr>
        <w:t>analyse des données et la publication des WPE sur le Waterbird populations Portal (comment financer ?).</w:t>
      </w:r>
    </w:p>
    <w:p w:rsidR="0083075F" w:rsidRPr="00CF7824" w:rsidRDefault="0083075F" w:rsidP="000123FD">
      <w:pPr>
        <w:rPr>
          <w:rFonts w:asciiTheme="minorHAnsi" w:hAnsiTheme="minorHAnsi" w:cstheme="minorHAnsi"/>
          <w:lang w:val="fr-FR"/>
        </w:rPr>
      </w:pPr>
      <w:bookmarkStart w:id="6" w:name="_Toc159848049"/>
    </w:p>
    <w:p w:rsidR="003E2A95" w:rsidRPr="00CF7824" w:rsidRDefault="00164734" w:rsidP="00FC5435">
      <w:pPr>
        <w:keepNext/>
        <w:rPr>
          <w:rFonts w:asciiTheme="minorHAnsi" w:hAnsiTheme="minorHAnsi" w:cstheme="minorHAnsi"/>
          <w:u w:val="single"/>
          <w:lang w:val="fr-FR"/>
        </w:rPr>
      </w:pPr>
      <w:r w:rsidRPr="00CF7824">
        <w:rPr>
          <w:rFonts w:cs="Calibri"/>
          <w:u w:val="single"/>
          <w:lang w:val="fr-FR"/>
        </w:rPr>
        <w:t xml:space="preserve">Options </w:t>
      </w:r>
      <w:r w:rsidR="004212F8" w:rsidRPr="00CF7824">
        <w:rPr>
          <w:rFonts w:cs="Calibri"/>
          <w:u w:val="single"/>
          <w:lang w:val="fr-FR"/>
        </w:rPr>
        <w:t>relatives à</w:t>
      </w:r>
      <w:r w:rsidRPr="00CF7824">
        <w:rPr>
          <w:rFonts w:cs="Calibri"/>
          <w:u w:val="single"/>
          <w:lang w:val="fr-FR"/>
        </w:rPr>
        <w:t xml:space="preserve"> la périodicité des mises à jour</w:t>
      </w:r>
      <w:bookmarkEnd w:id="6"/>
    </w:p>
    <w:p w:rsidR="003E2A95" w:rsidRPr="00CF7824" w:rsidRDefault="003E2A95" w:rsidP="00FC5435">
      <w:pPr>
        <w:keepNext/>
        <w:rPr>
          <w:rFonts w:asciiTheme="minorHAnsi" w:hAnsiTheme="minorHAnsi" w:cstheme="minorHAnsi"/>
          <w:lang w:val="fr-FR"/>
        </w:rPr>
      </w:pPr>
    </w:p>
    <w:p w:rsidR="00350182" w:rsidRPr="00CF7824" w:rsidRDefault="00164734" w:rsidP="0083075F">
      <w:pPr>
        <w:rPr>
          <w:rFonts w:asciiTheme="minorHAnsi" w:hAnsiTheme="minorHAnsi" w:cstheme="minorHAnsi"/>
          <w:lang w:val="fr-FR"/>
        </w:rPr>
      </w:pPr>
      <w:r w:rsidRPr="00CF7824">
        <w:rPr>
          <w:rFonts w:cs="Calibri"/>
          <w:bCs/>
          <w:lang w:val="fr-FR"/>
        </w:rPr>
        <w:t>37.</w:t>
      </w:r>
      <w:r w:rsidRPr="00CF7824">
        <w:rPr>
          <w:rFonts w:cs="Calibri"/>
          <w:bCs/>
          <w:lang w:val="fr-FR"/>
        </w:rPr>
        <w:tab/>
        <w:t xml:space="preserve">Comme indiqué dans la section </w:t>
      </w:r>
      <w:r w:rsidR="003C4D84" w:rsidRPr="00CF7824">
        <w:rPr>
          <w:rFonts w:cs="Calibri"/>
          <w:bCs/>
          <w:i/>
          <w:lang w:val="fr-FR"/>
        </w:rPr>
        <w:t>Contexte</w:t>
      </w:r>
      <w:r w:rsidRPr="00CF7824">
        <w:rPr>
          <w:rFonts w:cs="Calibri"/>
          <w:bCs/>
          <w:lang w:val="fr-FR"/>
        </w:rPr>
        <w:t>, la Convention sur les zones humides a demandé qu</w:t>
      </w:r>
      <w:r w:rsidR="00016E39" w:rsidRPr="00CF7824">
        <w:rPr>
          <w:rFonts w:cs="Calibri"/>
          <w:bCs/>
          <w:lang w:val="fr-FR"/>
        </w:rPr>
        <w:t>’</w:t>
      </w:r>
      <w:r w:rsidRPr="00CF7824">
        <w:rPr>
          <w:rFonts w:cs="Calibri"/>
          <w:bCs/>
          <w:lang w:val="fr-FR"/>
        </w:rPr>
        <w:t>un rapport triennal soit présenté à chaque COP, et que les populations soient examinées et les seuils de 1% mis à jour tous les neuf ans, c.-à-d. pas plus d</w:t>
      </w:r>
      <w:r w:rsidR="00016E39" w:rsidRPr="00CF7824">
        <w:rPr>
          <w:rFonts w:cs="Calibri"/>
          <w:bCs/>
          <w:lang w:val="fr-FR"/>
        </w:rPr>
        <w:t>’</w:t>
      </w:r>
      <w:r w:rsidRPr="00CF7824">
        <w:rPr>
          <w:rFonts w:cs="Calibri"/>
          <w:bCs/>
          <w:lang w:val="fr-FR"/>
        </w:rPr>
        <w:t>une session ordinaire de la COP sur trois, à moins que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soient mal connues ou que l</w:t>
      </w:r>
      <w:r w:rsidR="00016E39" w:rsidRPr="00CF7824">
        <w:rPr>
          <w:rFonts w:cs="Calibri"/>
          <w:bCs/>
          <w:lang w:val="fr-FR"/>
        </w:rPr>
        <w:t>’</w:t>
      </w:r>
      <w:r w:rsidRPr="00CF7824">
        <w:rPr>
          <w:rFonts w:cs="Calibri"/>
          <w:bCs/>
          <w:lang w:val="fr-FR"/>
        </w:rPr>
        <w:t>on sache qu</w:t>
      </w:r>
      <w:r w:rsidR="00016E39" w:rsidRPr="00CF7824">
        <w:rPr>
          <w:rFonts w:cs="Calibri"/>
          <w:bCs/>
          <w:lang w:val="fr-FR"/>
        </w:rPr>
        <w:t>’</w:t>
      </w:r>
      <w:r w:rsidRPr="00CF7824">
        <w:rPr>
          <w:rFonts w:cs="Calibri"/>
          <w:bCs/>
          <w:lang w:val="fr-FR"/>
        </w:rPr>
        <w:t>elles changent rapidement. L</w:t>
      </w:r>
      <w:r w:rsidR="00016E39" w:rsidRPr="00CF7824">
        <w:rPr>
          <w:rFonts w:cs="Calibri"/>
          <w:bCs/>
          <w:lang w:val="fr-FR"/>
        </w:rPr>
        <w:t>’</w:t>
      </w:r>
      <w:r w:rsidRPr="00CF7824">
        <w:rPr>
          <w:rFonts w:cs="Calibri"/>
          <w:bCs/>
          <w:lang w:val="fr-FR"/>
        </w:rPr>
        <w:t>AEWA a initialement adopté un cycle d</w:t>
      </w:r>
      <w:r w:rsidR="00016E39" w:rsidRPr="00CF7824">
        <w:rPr>
          <w:rFonts w:cs="Calibri"/>
          <w:bCs/>
          <w:lang w:val="fr-FR"/>
        </w:rPr>
        <w:t>’</w:t>
      </w:r>
      <w:r w:rsidRPr="00CF7824">
        <w:rPr>
          <w:rFonts w:cs="Calibri"/>
          <w:bCs/>
          <w:lang w:val="fr-FR"/>
        </w:rPr>
        <w:t xml:space="preserve">examen de trois ans et, plus récemment, une périodicité de six ans pour la mise à jour des seuils de 1% pour les populations couvertes par cet </w:t>
      </w:r>
      <w:r w:rsidR="00D3268A" w:rsidRPr="00CF7824">
        <w:rPr>
          <w:rFonts w:cs="Calibri"/>
          <w:bCs/>
          <w:lang w:val="fr-FR"/>
        </w:rPr>
        <w:t>A</w:t>
      </w:r>
      <w:r w:rsidRPr="00CF7824">
        <w:rPr>
          <w:rFonts w:cs="Calibri"/>
          <w:bCs/>
          <w:lang w:val="fr-FR"/>
        </w:rPr>
        <w:t>ccord.</w:t>
      </w:r>
    </w:p>
    <w:p w:rsidR="00350182" w:rsidRPr="00CF7824" w:rsidRDefault="00350182" w:rsidP="00350182">
      <w:pPr>
        <w:rPr>
          <w:rFonts w:asciiTheme="minorHAnsi" w:hAnsiTheme="minorHAnsi" w:cstheme="minorHAnsi"/>
          <w:lang w:val="fr-FR"/>
        </w:rPr>
      </w:pPr>
    </w:p>
    <w:p w:rsidR="003E2A95" w:rsidRPr="00CF7824" w:rsidRDefault="00164734" w:rsidP="0083075F">
      <w:pPr>
        <w:rPr>
          <w:rFonts w:asciiTheme="minorHAnsi" w:hAnsiTheme="minorHAnsi" w:cstheme="minorHAnsi"/>
          <w:lang w:val="fr-FR"/>
        </w:rPr>
      </w:pPr>
      <w:r w:rsidRPr="00CF7824">
        <w:rPr>
          <w:rFonts w:cs="Calibri"/>
          <w:bCs/>
          <w:lang w:val="fr-FR"/>
        </w:rPr>
        <w:t>38.</w:t>
      </w:r>
      <w:r w:rsidRPr="00CF7824">
        <w:rPr>
          <w:rFonts w:cs="Calibri"/>
          <w:bCs/>
          <w:lang w:val="fr-FR"/>
        </w:rPr>
        <w:tab/>
        <w:t>L</w:t>
      </w:r>
      <w:r w:rsidR="00016E39" w:rsidRPr="00CF7824">
        <w:rPr>
          <w:rFonts w:cs="Calibri"/>
          <w:bCs/>
          <w:lang w:val="fr-FR"/>
        </w:rPr>
        <w:t>’</w:t>
      </w:r>
      <w:r w:rsidRPr="00CF7824">
        <w:rPr>
          <w:rFonts w:cs="Calibri"/>
          <w:bCs/>
          <w:lang w:val="fr-FR"/>
        </w:rPr>
        <w:t>analyse d</w:t>
      </w:r>
      <w:r w:rsidR="00016E39" w:rsidRPr="00CF7824">
        <w:rPr>
          <w:rFonts w:cs="Calibri"/>
          <w:bCs/>
          <w:lang w:val="fr-FR"/>
        </w:rPr>
        <w:t>’</w:t>
      </w:r>
      <w:r w:rsidRPr="00CF7824">
        <w:rPr>
          <w:rFonts w:cs="Calibri"/>
          <w:bCs/>
          <w:lang w:val="fr-FR"/>
        </w:rPr>
        <w:t>une périodicité appropriée du cycle de mise à jour des informations par le processus WPE s</w:t>
      </w:r>
      <w:r w:rsidR="00016E39" w:rsidRPr="00CF7824">
        <w:rPr>
          <w:rFonts w:cs="Calibri"/>
          <w:bCs/>
          <w:lang w:val="fr-FR"/>
        </w:rPr>
        <w:t>’</w:t>
      </w:r>
      <w:r w:rsidRPr="00CF7824">
        <w:rPr>
          <w:rFonts w:cs="Calibri"/>
          <w:bCs/>
          <w:lang w:val="fr-FR"/>
        </w:rPr>
        <w:t>appuie sur les cycles historiques des WPE et d</w:t>
      </w:r>
      <w:r w:rsidR="00016E39" w:rsidRPr="00CF7824">
        <w:rPr>
          <w:rFonts w:cs="Calibri"/>
          <w:bCs/>
          <w:lang w:val="fr-FR"/>
        </w:rPr>
        <w:t>’</w:t>
      </w:r>
      <w:r w:rsidRPr="00CF7824">
        <w:rPr>
          <w:rFonts w:cs="Calibri"/>
          <w:bCs/>
          <w:lang w:val="fr-FR"/>
        </w:rPr>
        <w:t>autres processus liés existants (voir le tableau</w:t>
      </w:r>
      <w:r w:rsidR="001F19B5" w:rsidRPr="00CF7824">
        <w:rPr>
          <w:rFonts w:cs="Calibri"/>
          <w:bCs/>
          <w:lang w:val="fr-FR"/>
        </w:rPr>
        <w:t> </w:t>
      </w:r>
      <w:r w:rsidRPr="00CF7824">
        <w:rPr>
          <w:rFonts w:cs="Calibri"/>
          <w:bCs/>
          <w:lang w:val="fr-FR"/>
        </w:rPr>
        <w:t xml:space="preserve">1 ci-dessous), ainsi que sur les consultations internationales antérieures sur cette question, comme indiqué dans la </w:t>
      </w:r>
      <w:hyperlink r:id="rId20" w:history="1">
        <w:r w:rsidRPr="00CF7824">
          <w:rPr>
            <w:rFonts w:cs="Calibri"/>
            <w:bCs/>
            <w:lang w:val="fr-FR"/>
          </w:rPr>
          <w:t>Résolution</w:t>
        </w:r>
        <w:r w:rsidR="00376BA1" w:rsidRPr="00CF7824">
          <w:rPr>
            <w:rFonts w:cs="Calibri"/>
            <w:bCs/>
            <w:lang w:val="fr-FR"/>
          </w:rPr>
          <w:t> </w:t>
        </w:r>
        <w:r w:rsidRPr="00CF7824">
          <w:rPr>
            <w:rFonts w:cs="Calibri"/>
            <w:bCs/>
            <w:lang w:val="fr-FR"/>
          </w:rPr>
          <w:t>VI.4</w:t>
        </w:r>
      </w:hyperlink>
      <w:r w:rsidR="00376BA1" w:rsidRPr="00CF7824">
        <w:rPr>
          <w:rFonts w:cs="Calibri"/>
          <w:bCs/>
          <w:lang w:val="fr-FR"/>
        </w:rPr>
        <w:t> </w:t>
      </w:r>
      <w:r w:rsidRPr="00CF7824">
        <w:rPr>
          <w:rFonts w:cs="Calibri"/>
          <w:bCs/>
          <w:lang w:val="fr-FR"/>
        </w:rPr>
        <w:t xml:space="preserve">: </w:t>
      </w:r>
      <w:r w:rsidRPr="00CF7824">
        <w:rPr>
          <w:rFonts w:cs="Calibri"/>
          <w:bCs/>
          <w:i/>
          <w:iCs/>
          <w:lang w:val="fr-FR"/>
        </w:rPr>
        <w:t>Adoption d</w:t>
      </w:r>
      <w:r w:rsidR="00016E39" w:rsidRPr="00CF7824">
        <w:rPr>
          <w:rFonts w:cs="Calibri"/>
          <w:bCs/>
          <w:i/>
          <w:iCs/>
          <w:lang w:val="fr-FR"/>
        </w:rPr>
        <w:t>’</w:t>
      </w:r>
      <w:r w:rsidRPr="00CF7824">
        <w:rPr>
          <w:rFonts w:cs="Calibri"/>
          <w:bCs/>
          <w:i/>
          <w:iCs/>
          <w:lang w:val="fr-FR"/>
        </w:rPr>
        <w:t>estimations des populations pour l</w:t>
      </w:r>
      <w:r w:rsidR="00016E39" w:rsidRPr="00CF7824">
        <w:rPr>
          <w:rFonts w:cs="Calibri"/>
          <w:bCs/>
          <w:i/>
          <w:iCs/>
          <w:lang w:val="fr-FR"/>
        </w:rPr>
        <w:t>’</w:t>
      </w:r>
      <w:r w:rsidRPr="00CF7824">
        <w:rPr>
          <w:rFonts w:cs="Calibri"/>
          <w:bCs/>
          <w:i/>
          <w:iCs/>
          <w:lang w:val="fr-FR"/>
        </w:rPr>
        <w:t>application des crit</w:t>
      </w:r>
      <w:r w:rsidR="001F19B5" w:rsidRPr="00CF7824">
        <w:rPr>
          <w:rFonts w:cs="Calibri"/>
          <w:bCs/>
          <w:i/>
          <w:iCs/>
          <w:lang w:val="fr-FR"/>
        </w:rPr>
        <w:t>è</w:t>
      </w:r>
      <w:r w:rsidRPr="00CF7824">
        <w:rPr>
          <w:rFonts w:cs="Calibri"/>
          <w:bCs/>
          <w:i/>
          <w:iCs/>
          <w:lang w:val="fr-FR"/>
        </w:rPr>
        <w:t>res sp</w:t>
      </w:r>
      <w:r w:rsidR="001F19B5" w:rsidRPr="00CF7824">
        <w:rPr>
          <w:rFonts w:cs="Calibri"/>
          <w:bCs/>
          <w:i/>
          <w:iCs/>
          <w:lang w:val="fr-FR"/>
        </w:rPr>
        <w:t>é</w:t>
      </w:r>
      <w:r w:rsidRPr="00CF7824">
        <w:rPr>
          <w:rFonts w:cs="Calibri"/>
          <w:bCs/>
          <w:i/>
          <w:iCs/>
          <w:lang w:val="fr-FR"/>
        </w:rPr>
        <w:t>cifiques tenant compte des oiseaux d</w:t>
      </w:r>
      <w:r w:rsidR="00016E39" w:rsidRPr="00CF7824">
        <w:rPr>
          <w:rFonts w:cs="Calibri"/>
          <w:bCs/>
          <w:i/>
          <w:iCs/>
          <w:lang w:val="fr-FR"/>
        </w:rPr>
        <w:t>’</w:t>
      </w:r>
      <w:r w:rsidRPr="00CF7824">
        <w:rPr>
          <w:rFonts w:cs="Calibri"/>
          <w:bCs/>
          <w:i/>
          <w:iCs/>
          <w:lang w:val="fr-FR"/>
        </w:rPr>
        <w:t>eau</w:t>
      </w:r>
      <w:r w:rsidRPr="00CF7824">
        <w:rPr>
          <w:rFonts w:cs="Calibri"/>
          <w:bCs/>
          <w:lang w:val="fr-FR"/>
        </w:rPr>
        <w:t xml:space="preserve"> (1996) (voir </w:t>
      </w:r>
      <w:r w:rsidR="00AA52E6" w:rsidRPr="00CF7824">
        <w:rPr>
          <w:rFonts w:cs="Calibri"/>
          <w:bCs/>
          <w:lang w:val="fr-FR"/>
        </w:rPr>
        <w:t>l’</w:t>
      </w:r>
      <w:r w:rsidRPr="00CF7824">
        <w:rPr>
          <w:rFonts w:cs="Calibri"/>
          <w:bCs/>
          <w:lang w:val="fr-FR"/>
        </w:rPr>
        <w:t>annexe</w:t>
      </w:r>
      <w:r w:rsidR="001F19B5" w:rsidRPr="00CF7824">
        <w:rPr>
          <w:rFonts w:cs="Calibri"/>
          <w:bCs/>
          <w:lang w:val="fr-FR"/>
        </w:rPr>
        <w:t> </w:t>
      </w:r>
      <w:r w:rsidRPr="00CF7824">
        <w:rPr>
          <w:rFonts w:cs="Calibri"/>
          <w:bCs/>
          <w:lang w:val="fr-FR"/>
        </w:rPr>
        <w:t>2), et il pourrait être proposé de les aligner sur les exigences des évaluations régionales des estimations de population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et de les mettre en synergie, comme indiqué dans le tableau</w:t>
      </w:r>
      <w:r w:rsidR="001F19B5" w:rsidRPr="00CF7824">
        <w:rPr>
          <w:rFonts w:cs="Calibri"/>
          <w:bCs/>
          <w:lang w:val="fr-FR"/>
        </w:rPr>
        <w:t> </w:t>
      </w:r>
      <w:r w:rsidRPr="00CF7824">
        <w:rPr>
          <w:rFonts w:cs="Calibri"/>
          <w:bCs/>
          <w:lang w:val="fr-FR"/>
        </w:rPr>
        <w:t>3 ci-dessous.</w:t>
      </w:r>
    </w:p>
    <w:p w:rsidR="00C10F5D" w:rsidRPr="00CF7824" w:rsidRDefault="00C10F5D">
      <w:pPr>
        <w:rPr>
          <w:rFonts w:asciiTheme="minorHAnsi" w:hAnsiTheme="minorHAnsi" w:cstheme="minorHAnsi"/>
          <w:lang w:val="fr-FR"/>
        </w:rPr>
      </w:pPr>
    </w:p>
    <w:p w:rsidR="0083075F" w:rsidRPr="00CF7824" w:rsidRDefault="0083075F">
      <w:pPr>
        <w:rPr>
          <w:rFonts w:asciiTheme="minorHAnsi" w:hAnsiTheme="minorHAnsi" w:cstheme="minorHAnsi"/>
          <w:lang w:val="fr-FR"/>
        </w:rPr>
      </w:pPr>
    </w:p>
    <w:p w:rsidR="008C5EAF" w:rsidRPr="00CF7824" w:rsidRDefault="008C5EAF" w:rsidP="009909C4">
      <w:pPr>
        <w:rPr>
          <w:rFonts w:asciiTheme="minorHAnsi" w:hAnsiTheme="minorHAnsi" w:cstheme="minorHAnsi"/>
          <w:lang w:val="fr-FR"/>
        </w:rPr>
        <w:sectPr w:rsidR="008C5EAF" w:rsidRPr="00CF7824" w:rsidSect="000722D2">
          <w:headerReference w:type="default" r:id="rId21"/>
          <w:footerReference w:type="default" r:id="rId22"/>
          <w:pgSz w:w="11906" w:h="16838"/>
          <w:pgMar w:top="1440" w:right="1440" w:bottom="1440" w:left="1440" w:header="709" w:footer="709" w:gutter="0"/>
          <w:cols w:space="708"/>
          <w:titlePg/>
          <w:docGrid w:linePitch="360"/>
        </w:sectPr>
      </w:pPr>
    </w:p>
    <w:p w:rsidR="009909C4" w:rsidRPr="00CF7824" w:rsidRDefault="00164734" w:rsidP="005810D8">
      <w:pPr>
        <w:keepNext/>
        <w:spacing w:after="120"/>
        <w:ind w:left="0" w:firstLine="0"/>
        <w:rPr>
          <w:rFonts w:asciiTheme="minorHAnsi" w:hAnsiTheme="minorHAnsi" w:cstheme="minorHAnsi"/>
          <w:i/>
          <w:iCs/>
          <w:lang w:val="fr-FR"/>
        </w:rPr>
      </w:pPr>
      <w:r w:rsidRPr="00CF7824">
        <w:rPr>
          <w:rFonts w:cs="Calibri"/>
          <w:i/>
          <w:iCs/>
          <w:lang w:val="fr-FR"/>
        </w:rPr>
        <w:lastRenderedPageBreak/>
        <w:t>Tableau</w:t>
      </w:r>
      <w:r w:rsidR="001F19B5" w:rsidRPr="00CF7824">
        <w:rPr>
          <w:rFonts w:cs="Calibri"/>
          <w:i/>
          <w:iCs/>
          <w:lang w:val="fr-FR"/>
        </w:rPr>
        <w:t> </w:t>
      </w:r>
      <w:r w:rsidRPr="00CF7824">
        <w:rPr>
          <w:rFonts w:cs="Calibri"/>
          <w:i/>
          <w:iCs/>
          <w:lang w:val="fr-FR"/>
        </w:rPr>
        <w:t xml:space="preserve">1 : </w:t>
      </w:r>
      <w:r w:rsidRPr="00CF7824">
        <w:rPr>
          <w:rFonts w:cs="Arial"/>
          <w:i/>
          <w:iCs/>
          <w:lang w:val="fr-FR"/>
        </w:rPr>
        <w:t>Cycle de révision</w:t>
      </w:r>
      <w:r w:rsidRPr="00CF7824">
        <w:rPr>
          <w:rFonts w:cs="Calibri"/>
          <w:i/>
          <w:iCs/>
          <w:lang w:val="fr-FR"/>
        </w:rPr>
        <w:t>/mise à jour des WPE en rapport avec les exigences du Critère</w:t>
      </w:r>
      <w:r w:rsidR="001F19B5" w:rsidRPr="00CF7824">
        <w:rPr>
          <w:rFonts w:cs="Calibri"/>
          <w:i/>
          <w:iCs/>
          <w:lang w:val="fr-FR"/>
        </w:rPr>
        <w:t> </w:t>
      </w:r>
      <w:r w:rsidRPr="00CF7824">
        <w:rPr>
          <w:rFonts w:cs="Calibri"/>
          <w:i/>
          <w:iCs/>
          <w:lang w:val="fr-FR"/>
        </w:rPr>
        <w:t>6 de la Convention sur les zones humides et d</w:t>
      </w:r>
      <w:r w:rsidR="00016E39" w:rsidRPr="00CF7824">
        <w:rPr>
          <w:rFonts w:cs="Calibri"/>
          <w:i/>
          <w:iCs/>
          <w:lang w:val="fr-FR"/>
        </w:rPr>
        <w:t>’</w:t>
      </w:r>
      <w:r w:rsidRPr="00CF7824">
        <w:rPr>
          <w:rFonts w:cs="Calibri"/>
          <w:i/>
          <w:iCs/>
          <w:lang w:val="fr-FR"/>
        </w:rPr>
        <w:t xml:space="preserve">autres initiatives </w:t>
      </w:r>
      <w:r w:rsidR="00F47AD9" w:rsidRPr="00CF7824">
        <w:rPr>
          <w:rFonts w:cs="Calibri"/>
          <w:i/>
          <w:iCs/>
          <w:lang w:val="fr-FR"/>
        </w:rPr>
        <w:t xml:space="preserve">et cadres </w:t>
      </w:r>
      <w:r w:rsidRPr="00CF7824">
        <w:rPr>
          <w:rFonts w:cs="Calibri"/>
          <w:i/>
          <w:iCs/>
          <w:lang w:val="fr-FR"/>
        </w:rPr>
        <w:t xml:space="preserve">régionaux relatifs aux voies de migration </w:t>
      </w:r>
      <w:r w:rsidR="00F47AD9" w:rsidRPr="00CF7824">
        <w:rPr>
          <w:rFonts w:cs="Calibri"/>
          <w:i/>
          <w:iCs/>
          <w:lang w:val="fr-FR"/>
        </w:rPr>
        <w:t>pour la période</w:t>
      </w:r>
      <w:r w:rsidR="00FB2D80" w:rsidRPr="00CF7824">
        <w:rPr>
          <w:rFonts w:cs="Calibri"/>
          <w:i/>
          <w:iCs/>
          <w:lang w:val="fr-FR"/>
        </w:rPr>
        <w:t> </w:t>
      </w:r>
      <w:r w:rsidRPr="00CF7824">
        <w:rPr>
          <w:rFonts w:cs="Calibri"/>
          <w:i/>
          <w:iCs/>
          <w:lang w:val="fr-FR"/>
        </w:rPr>
        <w:t>2012-2023.</w:t>
      </w:r>
    </w:p>
    <w:p w:rsidR="00C10F5D" w:rsidRPr="00CF7824" w:rsidRDefault="00164734" w:rsidP="005810D8">
      <w:pPr>
        <w:spacing w:after="120"/>
        <w:ind w:left="0" w:firstLine="0"/>
        <w:rPr>
          <w:rFonts w:asciiTheme="minorHAnsi" w:hAnsiTheme="minorHAnsi" w:cstheme="minorHAnsi"/>
          <w:lang w:val="fr-FR"/>
        </w:rPr>
      </w:pPr>
      <w:r w:rsidRPr="00CF7824">
        <w:rPr>
          <w:rFonts w:cs="Calibri"/>
          <w:lang w:val="fr-FR"/>
        </w:rPr>
        <w:t xml:space="preserve">CSR = </w:t>
      </w:r>
      <w:r w:rsidRPr="00CF7824">
        <w:rPr>
          <w:rFonts w:cs="Calibri"/>
          <w:i/>
          <w:iCs/>
          <w:lang w:val="fr-FR"/>
        </w:rPr>
        <w:t xml:space="preserve">Conservation Status </w:t>
      </w:r>
      <w:r w:rsidR="00B56050" w:rsidRPr="00CF7824">
        <w:rPr>
          <w:rFonts w:cs="Calibri"/>
          <w:i/>
          <w:iCs/>
          <w:lang w:val="fr-FR"/>
        </w:rPr>
        <w:t>Review/Report</w:t>
      </w:r>
      <w:r w:rsidR="00AB38A9" w:rsidRPr="00CF7824">
        <w:rPr>
          <w:rFonts w:cs="Calibri"/>
          <w:i/>
          <w:iCs/>
          <w:lang w:val="fr-FR"/>
        </w:rPr>
        <w:t xml:space="preserve"> </w:t>
      </w:r>
      <w:r w:rsidR="00AB38A9" w:rsidRPr="00CF7824">
        <w:rPr>
          <w:rFonts w:cs="Calibri"/>
          <w:iCs/>
          <w:lang w:val="fr-FR"/>
        </w:rPr>
        <w:t>(Rapport sur l’état de conservation)</w:t>
      </w:r>
      <w:r w:rsidR="00D02DAB" w:rsidRPr="00CF7824">
        <w:rPr>
          <w:rFonts w:cs="Calibri"/>
          <w:iCs/>
          <w:lang w:val="fr-FR"/>
        </w:rPr>
        <w:t>;</w:t>
      </w:r>
      <w:r w:rsidRPr="00CF7824">
        <w:rPr>
          <w:rFonts w:cs="Calibri"/>
          <w:lang w:val="fr-FR"/>
        </w:rPr>
        <w:t xml:space="preserve"> EUSoN = EU</w:t>
      </w:r>
      <w:r w:rsidRPr="00CF7824">
        <w:rPr>
          <w:rFonts w:cs="Calibri"/>
          <w:i/>
          <w:iCs/>
          <w:lang w:val="fr-FR"/>
        </w:rPr>
        <w:t xml:space="preserve"> State of Nature</w:t>
      </w:r>
      <w:r w:rsidR="0059128A" w:rsidRPr="00CF7824">
        <w:rPr>
          <w:rFonts w:cs="Calibri"/>
          <w:i/>
          <w:iCs/>
          <w:lang w:val="fr-FR"/>
        </w:rPr>
        <w:t xml:space="preserve"> </w:t>
      </w:r>
      <w:r w:rsidR="00B56050" w:rsidRPr="00CF7824">
        <w:rPr>
          <w:rFonts w:cs="Calibri"/>
          <w:iCs/>
          <w:lang w:val="fr-FR"/>
        </w:rPr>
        <w:t>(</w:t>
      </w:r>
      <w:r w:rsidR="0059128A" w:rsidRPr="00CF7824">
        <w:rPr>
          <w:rFonts w:cs="Calibri"/>
          <w:iCs/>
          <w:lang w:val="fr-FR"/>
        </w:rPr>
        <w:t>rapport sur l’état de la nature dans l’Un</w:t>
      </w:r>
      <w:r w:rsidR="00F47AD9" w:rsidRPr="00CF7824">
        <w:rPr>
          <w:rFonts w:cs="Calibri"/>
          <w:iCs/>
          <w:lang w:val="fr-FR"/>
        </w:rPr>
        <w:t>ion européenne</w:t>
      </w:r>
      <w:r w:rsidR="005810D8" w:rsidRPr="00CF7824">
        <w:rPr>
          <w:rFonts w:cs="Calibri"/>
          <w:iCs/>
          <w:lang w:val="fr-FR"/>
        </w:rPr>
        <w:t>)</w:t>
      </w:r>
      <w:r w:rsidR="00A12CF2" w:rsidRPr="00CF7824">
        <w:rPr>
          <w:rFonts w:cs="Calibri"/>
          <w:lang w:val="fr-FR"/>
        </w:rPr>
        <w:t>;</w:t>
      </w:r>
      <w:r w:rsidRPr="00CF7824">
        <w:rPr>
          <w:rFonts w:cs="Calibri"/>
          <w:lang w:val="fr-FR"/>
        </w:rPr>
        <w:t xml:space="preserve"> ERLoB = </w:t>
      </w:r>
      <w:r w:rsidRPr="00CF7824">
        <w:rPr>
          <w:rFonts w:cs="Calibri"/>
          <w:i/>
          <w:iCs/>
          <w:lang w:val="fr-FR"/>
        </w:rPr>
        <w:t>European Red List of Birds</w:t>
      </w:r>
      <w:r w:rsidR="0059128A" w:rsidRPr="00CF7824">
        <w:rPr>
          <w:rFonts w:cs="Calibri"/>
          <w:i/>
          <w:iCs/>
          <w:lang w:val="fr-FR"/>
        </w:rPr>
        <w:t xml:space="preserve"> </w:t>
      </w:r>
      <w:r w:rsidR="00B56050" w:rsidRPr="00CF7824">
        <w:rPr>
          <w:rFonts w:cs="Calibri"/>
          <w:iCs/>
          <w:lang w:val="fr-FR"/>
        </w:rPr>
        <w:t>(</w:t>
      </w:r>
      <w:r w:rsidR="0059128A" w:rsidRPr="00CF7824">
        <w:rPr>
          <w:rFonts w:cs="Calibri"/>
          <w:iCs/>
          <w:lang w:val="fr-FR"/>
        </w:rPr>
        <w:t>Liste rouge des oiseaux d’E</w:t>
      </w:r>
      <w:r w:rsidR="00F47AD9" w:rsidRPr="00CF7824">
        <w:rPr>
          <w:rFonts w:cs="Calibri"/>
          <w:iCs/>
          <w:lang w:val="fr-FR"/>
        </w:rPr>
        <w:t>urope</w:t>
      </w:r>
      <w:r w:rsidR="00B56050" w:rsidRPr="00CF7824">
        <w:rPr>
          <w:rFonts w:cs="Calibri"/>
          <w:iCs/>
          <w:lang w:val="fr-FR"/>
        </w:rPr>
        <w:t>)</w:t>
      </w:r>
      <w:r w:rsidRPr="00CF7824">
        <w:rPr>
          <w:rFonts w:cs="Calibri"/>
          <w:lang w:val="fr-FR"/>
        </w:rPr>
        <w:t>, avec leu</w:t>
      </w:r>
      <w:r w:rsidR="005810D8" w:rsidRPr="00CF7824">
        <w:rPr>
          <w:rFonts w:cs="Calibri"/>
          <w:lang w:val="fr-FR"/>
        </w:rPr>
        <w:t>r année de publication (prévue)</w:t>
      </w:r>
    </w:p>
    <w:tbl>
      <w:tblPr>
        <w:tblStyle w:val="9"/>
        <w:tblW w:w="13886" w:type="dxa"/>
        <w:jc w:val="center"/>
        <w:tblLayout w:type="fixed"/>
        <w:tblLook w:val="0400" w:firstRow="0" w:lastRow="0" w:firstColumn="0" w:lastColumn="0" w:noHBand="0" w:noVBand="1"/>
      </w:tblPr>
      <w:tblGrid>
        <w:gridCol w:w="3674"/>
        <w:gridCol w:w="846"/>
        <w:gridCol w:w="856"/>
        <w:gridCol w:w="856"/>
        <w:gridCol w:w="934"/>
        <w:gridCol w:w="851"/>
        <w:gridCol w:w="708"/>
        <w:gridCol w:w="851"/>
        <w:gridCol w:w="850"/>
        <w:gridCol w:w="851"/>
        <w:gridCol w:w="908"/>
        <w:gridCol w:w="851"/>
        <w:gridCol w:w="850"/>
      </w:tblGrid>
      <w:tr w:rsidR="0020115C" w:rsidRPr="00CF7824" w:rsidTr="006F4096">
        <w:trPr>
          <w:tblHeader/>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E5AEE" w:rsidRPr="00CF7824" w:rsidRDefault="00164734">
            <w:pPr>
              <w:spacing w:after="120" w:line="240" w:lineRule="auto"/>
              <w:rPr>
                <w:rFonts w:asciiTheme="minorHAnsi" w:eastAsia="Arial" w:hAnsiTheme="minorHAnsi" w:cstheme="minorHAnsi"/>
                <w:b/>
                <w:color w:val="000000"/>
                <w:sz w:val="20"/>
                <w:szCs w:val="20"/>
              </w:rPr>
            </w:pPr>
            <w:r w:rsidRPr="00CF7824">
              <w:rPr>
                <w:rFonts w:cs="Calibri"/>
                <w:b/>
                <w:bCs/>
                <w:color w:val="000000"/>
                <w:sz w:val="20"/>
                <w:szCs w:val="20"/>
                <w:lang w:val="fr-FR"/>
              </w:rPr>
              <w:t>Initiative de conservation</w:t>
            </w:r>
          </w:p>
        </w:tc>
        <w:tc>
          <w:tcPr>
            <w:tcW w:w="846"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2012</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2013</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2014</w:t>
            </w:r>
          </w:p>
        </w:tc>
        <w:tc>
          <w:tcPr>
            <w:tcW w:w="934"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2015</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2016</w:t>
            </w:r>
          </w:p>
        </w:tc>
        <w:tc>
          <w:tcPr>
            <w:tcW w:w="708"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2017</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2018</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2019</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2020</w:t>
            </w:r>
          </w:p>
        </w:tc>
        <w:tc>
          <w:tcPr>
            <w:tcW w:w="908"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2021</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2022</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rsidR="00FE5AEE" w:rsidRPr="00CF7824" w:rsidRDefault="00164734">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2023</w:t>
            </w: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164734">
            <w:pP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WPE (Wetlands International)</w:t>
            </w:r>
          </w:p>
        </w:tc>
        <w:tc>
          <w:tcPr>
            <w:tcW w:w="846"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WPE5</w:t>
            </w: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785D5E" w:rsidTr="006F4096">
        <w:trPr>
          <w:jc w:val="center"/>
        </w:trPr>
        <w:tc>
          <w:tcPr>
            <w:tcW w:w="3674" w:type="dxa"/>
            <w:tcBorders>
              <w:top w:val="single" w:sz="4" w:space="0" w:color="000000"/>
              <w:left w:val="single" w:sz="4" w:space="0" w:color="000000"/>
              <w:right w:val="single" w:sz="4" w:space="0" w:color="000000"/>
            </w:tcBorders>
            <w:shd w:val="clear" w:color="auto" w:fill="auto"/>
          </w:tcPr>
          <w:p w:rsidR="00FE5AEE" w:rsidRPr="00CF7824" w:rsidRDefault="00164734">
            <w:pPr>
              <w:spacing w:after="120" w:line="240" w:lineRule="auto"/>
              <w:rPr>
                <w:rFonts w:asciiTheme="minorHAnsi" w:eastAsia="Arial" w:hAnsiTheme="minorHAnsi" w:cstheme="minorHAnsi"/>
                <w:color w:val="000000"/>
                <w:sz w:val="20"/>
                <w:szCs w:val="20"/>
                <w:lang w:val="fr-FR"/>
              </w:rPr>
            </w:pPr>
            <w:r w:rsidRPr="00CF7824">
              <w:rPr>
                <w:rFonts w:cs="Calibri"/>
                <w:sz w:val="20"/>
                <w:szCs w:val="20"/>
                <w:lang w:val="fr-FR"/>
              </w:rPr>
              <w:t>Convention sur les zones humides</w:t>
            </w:r>
          </w:p>
        </w:tc>
        <w:tc>
          <w:tcPr>
            <w:tcW w:w="84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r>
      <w:tr w:rsidR="0020115C" w:rsidRPr="00CF7824" w:rsidTr="006F4096">
        <w:trPr>
          <w:jc w:val="center"/>
        </w:trPr>
        <w:tc>
          <w:tcPr>
            <w:tcW w:w="3674" w:type="dxa"/>
            <w:tcBorders>
              <w:top w:val="nil"/>
              <w:left w:val="single" w:sz="4" w:space="0" w:color="000000"/>
              <w:right w:val="single" w:sz="4" w:space="0" w:color="000000"/>
            </w:tcBorders>
            <w:shd w:val="clear" w:color="auto" w:fill="auto"/>
          </w:tcPr>
          <w:p w:rsidR="00FE5AEE" w:rsidRPr="00CF7824" w:rsidRDefault="00164734" w:rsidP="0059128A">
            <w:pPr>
              <w:pStyle w:val="ListParagraph"/>
              <w:numPr>
                <w:ilvl w:val="0"/>
                <w:numId w:val="30"/>
              </w:numPr>
              <w:spacing w:after="120" w:line="240" w:lineRule="auto"/>
              <w:ind w:left="278" w:hanging="142"/>
              <w:rPr>
                <w:rFonts w:asciiTheme="minorHAnsi" w:eastAsia="Arial" w:hAnsiTheme="minorHAnsi" w:cstheme="minorHAnsi"/>
                <w:color w:val="000000"/>
                <w:sz w:val="20"/>
                <w:szCs w:val="20"/>
                <w:lang w:val="fr-FR"/>
              </w:rPr>
            </w:pPr>
            <w:r w:rsidRPr="00CF7824">
              <w:rPr>
                <w:rFonts w:cs="Calibri"/>
                <w:sz w:val="20"/>
                <w:szCs w:val="20"/>
                <w:lang w:val="fr-FR"/>
              </w:rPr>
              <w:t>mise à jour des estimations de la taille &amp;</w:t>
            </w:r>
            <w:r w:rsidR="0059128A" w:rsidRPr="00CF7824">
              <w:rPr>
                <w:rFonts w:cs="Calibri"/>
                <w:sz w:val="20"/>
                <w:szCs w:val="20"/>
                <w:lang w:val="fr-FR"/>
              </w:rPr>
              <w:t xml:space="preserve"> de la tendance des populations</w:t>
            </w:r>
          </w:p>
        </w:tc>
        <w:tc>
          <w:tcPr>
            <w:tcW w:w="846"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WPE</w:t>
            </w:r>
            <w:r w:rsidR="001F19B5" w:rsidRPr="00CF7824">
              <w:rPr>
                <w:rFonts w:cs="Calibri"/>
                <w:color w:val="000000"/>
                <w:sz w:val="20"/>
                <w:szCs w:val="20"/>
                <w:lang w:val="fr-FR"/>
              </w:rPr>
              <w:t> </w:t>
            </w:r>
            <w:r w:rsidRPr="00CF7824">
              <w:rPr>
                <w:rFonts w:cs="Calibri"/>
                <w:color w:val="000000"/>
                <w:sz w:val="20"/>
                <w:szCs w:val="20"/>
                <w:lang w:val="fr-FR"/>
              </w:rPr>
              <w:t>5</w:t>
            </w: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rsidR="00FE5AEE" w:rsidRPr="00CF7824" w:rsidRDefault="005810D8" w:rsidP="006F4096">
            <w:pPr>
              <w:spacing w:after="120" w:line="240" w:lineRule="auto"/>
              <w:jc w:val="center"/>
              <w:rPr>
                <w:rFonts w:asciiTheme="minorHAnsi" w:eastAsia="Arial" w:hAnsiTheme="minorHAnsi" w:cstheme="minorHAnsi"/>
                <w:i/>
                <w:color w:val="000000"/>
                <w:sz w:val="20"/>
                <w:szCs w:val="20"/>
              </w:rPr>
            </w:pPr>
            <w:r w:rsidRPr="00CF7824">
              <w:rPr>
                <w:rFonts w:asciiTheme="minorHAnsi" w:eastAsia="Arial" w:hAnsiTheme="minorHAnsi" w:cstheme="minorHAnsi"/>
                <w:i/>
                <w:color w:val="000000"/>
                <w:sz w:val="20"/>
                <w:szCs w:val="20"/>
              </w:rPr>
              <w:t>Oui</w:t>
            </w:r>
            <w:r w:rsidR="00164734" w:rsidRPr="00CF7824">
              <w:rPr>
                <w:rFonts w:asciiTheme="minorHAnsi" w:eastAsia="Arial" w:hAnsiTheme="minorHAnsi" w:cstheme="minorHAnsi"/>
                <w:i/>
                <w:color w:val="000000"/>
                <w:sz w:val="20"/>
                <w:szCs w:val="20"/>
                <w:vertAlign w:val="superscript"/>
              </w:rPr>
              <w:footnoteReference w:id="11"/>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i/>
                <w:iCs/>
                <w:color w:val="000000"/>
                <w:sz w:val="20"/>
                <w:szCs w:val="20"/>
              </w:rPr>
            </w:pPr>
            <w:r w:rsidRPr="00CF7824">
              <w:rPr>
                <w:rFonts w:cs="Calibri"/>
                <w:i/>
                <w:iCs/>
                <w:color w:val="000000"/>
                <w:sz w:val="20"/>
                <w:szCs w:val="20"/>
                <w:lang w:val="fr-FR"/>
              </w:rPr>
              <w:t>Oui</w:t>
            </w: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i/>
                <w:iCs/>
                <w:color w:val="000000"/>
                <w:sz w:val="20"/>
                <w:szCs w:val="20"/>
              </w:rPr>
            </w:pPr>
            <w:r w:rsidRPr="00CF7824">
              <w:rPr>
                <w:rFonts w:cs="Calibri"/>
                <w:i/>
                <w:iCs/>
                <w:color w:val="000000"/>
                <w:sz w:val="20"/>
                <w:szCs w:val="20"/>
                <w:lang w:val="fr-FR"/>
              </w:rPr>
              <w:t>Oui</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164734" w:rsidP="0059128A">
            <w:pPr>
              <w:pStyle w:val="ListParagraph"/>
              <w:numPr>
                <w:ilvl w:val="0"/>
                <w:numId w:val="30"/>
              </w:numPr>
              <w:spacing w:after="120"/>
              <w:ind w:left="275" w:hanging="141"/>
              <w:rPr>
                <w:rFonts w:asciiTheme="minorHAnsi" w:eastAsia="Arial" w:hAnsiTheme="minorHAnsi" w:cstheme="minorHAnsi"/>
                <w:color w:val="000000"/>
                <w:sz w:val="20"/>
                <w:szCs w:val="20"/>
              </w:rPr>
            </w:pPr>
            <w:r w:rsidRPr="00CF7824">
              <w:rPr>
                <w:rFonts w:cs="Calibri"/>
                <w:sz w:val="20"/>
                <w:szCs w:val="20"/>
                <w:lang w:val="fr-FR"/>
              </w:rPr>
              <w:t>actualisation des seuils de 1%</w:t>
            </w:r>
          </w:p>
        </w:tc>
        <w:tc>
          <w:tcPr>
            <w:tcW w:w="846"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WPE</w:t>
            </w:r>
            <w:r w:rsidR="001F19B5" w:rsidRPr="00CF7824">
              <w:rPr>
                <w:rFonts w:cs="Calibri"/>
                <w:color w:val="000000"/>
                <w:sz w:val="20"/>
                <w:szCs w:val="20"/>
                <w:lang w:val="fr-FR"/>
              </w:rPr>
              <w:t> </w:t>
            </w:r>
            <w:r w:rsidRPr="00CF7824">
              <w:rPr>
                <w:rFonts w:cs="Calibri"/>
                <w:color w:val="000000"/>
                <w:sz w:val="20"/>
                <w:szCs w:val="20"/>
                <w:lang w:val="fr-FR"/>
              </w:rPr>
              <w:t>5</w:t>
            </w: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i/>
                <w:iCs/>
                <w:color w:val="000000"/>
                <w:sz w:val="20"/>
                <w:szCs w:val="20"/>
              </w:rPr>
            </w:pPr>
            <w:r w:rsidRPr="00CF7824">
              <w:rPr>
                <w:rFonts w:cs="Calibri"/>
                <w:i/>
                <w:iCs/>
                <w:color w:val="000000"/>
                <w:sz w:val="20"/>
                <w:szCs w:val="20"/>
                <w:lang w:val="fr-FR"/>
              </w:rPr>
              <w:t>Oui</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B56050" w:rsidP="00B56050">
            <w:pPr>
              <w:spacing w:after="120"/>
              <w:rPr>
                <w:rFonts w:asciiTheme="minorHAnsi" w:eastAsia="Arial" w:hAnsiTheme="minorHAnsi" w:cstheme="minorHAnsi"/>
                <w:color w:val="000000"/>
                <w:sz w:val="20"/>
                <w:szCs w:val="20"/>
                <w:lang w:val="fr-FR"/>
              </w:rPr>
            </w:pPr>
            <w:r w:rsidRPr="00CF7824">
              <w:rPr>
                <w:rFonts w:cs="Calibri"/>
                <w:color w:val="000000"/>
                <w:sz w:val="20"/>
                <w:szCs w:val="20"/>
                <w:lang w:val="fr-FR"/>
              </w:rPr>
              <w:t>Rapport de l’AEWA sur l’état de conservation des oiseaux d’eau migrateurs</w:t>
            </w:r>
            <w:r w:rsidR="00164734" w:rsidRPr="00CF7824">
              <w:rPr>
                <w:rFonts w:cs="Calibri"/>
                <w:color w:val="000000"/>
                <w:sz w:val="20"/>
                <w:szCs w:val="20"/>
                <w:lang w:val="fr-FR"/>
              </w:rPr>
              <w:t xml:space="preserve"> </w:t>
            </w:r>
            <w:r w:rsidRPr="00CF7824">
              <w:rPr>
                <w:rFonts w:cs="Calibri"/>
                <w:color w:val="000000"/>
                <w:sz w:val="20"/>
                <w:szCs w:val="20"/>
                <w:lang w:val="fr-FR"/>
              </w:rPr>
              <w:t>(</w:t>
            </w:r>
            <w:r w:rsidR="00164734" w:rsidRPr="00CF7824">
              <w:rPr>
                <w:rFonts w:cs="Calibri"/>
                <w:color w:val="000000"/>
                <w:sz w:val="20"/>
                <w:szCs w:val="20"/>
                <w:lang w:val="fr-FR"/>
              </w:rPr>
              <w:t>CSR</w:t>
            </w:r>
            <w:r w:rsidRPr="00CF7824">
              <w:rPr>
                <w:rFonts w:cs="Calibri"/>
                <w:color w:val="000000"/>
                <w:sz w:val="20"/>
                <w:szCs w:val="20"/>
                <w:lang w:val="fr-FR"/>
              </w:rPr>
              <w:t>)</w:t>
            </w:r>
            <w:r w:rsidR="00164734" w:rsidRPr="00CF7824">
              <w:rPr>
                <w:rFonts w:cs="Calibri"/>
                <w:color w:val="000000"/>
                <w:sz w:val="20"/>
                <w:szCs w:val="20"/>
                <w:lang w:val="fr-FR"/>
              </w:rPr>
              <w:t xml:space="preserve"> </w:t>
            </w:r>
          </w:p>
        </w:tc>
        <w:tc>
          <w:tcPr>
            <w:tcW w:w="846"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CSR</w:t>
            </w:r>
            <w:r w:rsidR="001F19B5" w:rsidRPr="00CF7824">
              <w:rPr>
                <w:rFonts w:cs="Calibri"/>
                <w:color w:val="000000"/>
                <w:sz w:val="20"/>
                <w:szCs w:val="20"/>
                <w:lang w:val="fr-FR"/>
              </w:rPr>
              <w:t> </w:t>
            </w:r>
            <w:r w:rsidRPr="00CF7824">
              <w:rPr>
                <w:rFonts w:cs="Calibri"/>
                <w:color w:val="000000"/>
                <w:sz w:val="20"/>
                <w:szCs w:val="20"/>
                <w:lang w:val="fr-FR"/>
              </w:rPr>
              <w:t>5</w:t>
            </w: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CSR</w:t>
            </w:r>
            <w:r w:rsidR="001F19B5" w:rsidRPr="00CF7824">
              <w:rPr>
                <w:rFonts w:cs="Calibri"/>
                <w:color w:val="000000"/>
                <w:sz w:val="20"/>
                <w:szCs w:val="20"/>
                <w:lang w:val="fr-FR"/>
              </w:rPr>
              <w:t> </w:t>
            </w:r>
            <w:r w:rsidRPr="00CF7824">
              <w:rPr>
                <w:rFonts w:cs="Calibri"/>
                <w:color w:val="000000"/>
                <w:sz w:val="20"/>
                <w:szCs w:val="20"/>
                <w:lang w:val="fr-FR"/>
              </w:rPr>
              <w:t>6</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CSR</w:t>
            </w:r>
            <w:r w:rsidR="001F19B5" w:rsidRPr="00CF7824">
              <w:rPr>
                <w:rFonts w:cs="Calibri"/>
                <w:color w:val="000000"/>
                <w:sz w:val="20"/>
                <w:szCs w:val="20"/>
                <w:lang w:val="fr-FR"/>
              </w:rPr>
              <w:t> </w:t>
            </w:r>
            <w:r w:rsidRPr="00CF7824">
              <w:rPr>
                <w:rFonts w:cs="Calibri"/>
                <w:color w:val="000000"/>
                <w:sz w:val="20"/>
                <w:szCs w:val="20"/>
                <w:lang w:val="fr-FR"/>
              </w:rPr>
              <w:t>7</w:t>
            </w: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CSR</w:t>
            </w:r>
            <w:r w:rsidR="001F19B5" w:rsidRPr="00CF7824">
              <w:rPr>
                <w:rFonts w:cs="Calibri"/>
                <w:color w:val="000000"/>
                <w:sz w:val="20"/>
                <w:szCs w:val="20"/>
                <w:lang w:val="fr-FR"/>
              </w:rPr>
              <w:t> </w:t>
            </w:r>
            <w:r w:rsidRPr="00CF7824">
              <w:rPr>
                <w:rFonts w:cs="Calibri"/>
                <w:color w:val="000000"/>
                <w:sz w:val="20"/>
                <w:szCs w:val="20"/>
                <w:lang w:val="fr-FR"/>
              </w:rPr>
              <w:t>8</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164734">
            <w:pPr>
              <w:spacing w:after="12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Directive </w:t>
            </w:r>
            <w:r w:rsidR="00376BA1" w:rsidRPr="00CF7824">
              <w:rPr>
                <w:rFonts w:cs="Calibri"/>
                <w:color w:val="000000"/>
                <w:sz w:val="20"/>
                <w:szCs w:val="20"/>
                <w:lang w:val="fr-FR"/>
              </w:rPr>
              <w:t>« </w:t>
            </w:r>
            <w:r w:rsidRPr="00CF7824">
              <w:rPr>
                <w:rFonts w:cs="Calibri"/>
                <w:color w:val="000000"/>
                <w:sz w:val="20"/>
                <w:szCs w:val="20"/>
                <w:lang w:val="fr-FR"/>
              </w:rPr>
              <w:t>Oiseaux</w:t>
            </w:r>
            <w:r w:rsidR="00376BA1" w:rsidRPr="00CF7824">
              <w:rPr>
                <w:rFonts w:cs="Calibri"/>
                <w:color w:val="000000"/>
                <w:sz w:val="20"/>
                <w:szCs w:val="20"/>
                <w:lang w:val="fr-FR"/>
              </w:rPr>
              <w:t> »</w:t>
            </w:r>
            <w:r w:rsidRPr="00CF7824">
              <w:rPr>
                <w:rFonts w:cs="Calibri"/>
                <w:color w:val="000000"/>
                <w:sz w:val="20"/>
                <w:szCs w:val="20"/>
                <w:lang w:val="fr-FR"/>
              </w:rPr>
              <w:t xml:space="preserve"> de l</w:t>
            </w:r>
            <w:r w:rsidR="00016E39" w:rsidRPr="00CF7824">
              <w:rPr>
                <w:rFonts w:cs="Calibri"/>
                <w:color w:val="000000"/>
                <w:sz w:val="20"/>
                <w:szCs w:val="20"/>
                <w:lang w:val="fr-FR"/>
              </w:rPr>
              <w:t>’</w:t>
            </w:r>
            <w:r w:rsidRPr="00CF7824">
              <w:rPr>
                <w:rFonts w:cs="Calibri"/>
                <w:color w:val="000000"/>
                <w:sz w:val="20"/>
                <w:szCs w:val="20"/>
                <w:lang w:val="fr-FR"/>
              </w:rPr>
              <w:t>UE, Article</w:t>
            </w:r>
            <w:r w:rsidR="001F19B5" w:rsidRPr="00CF7824">
              <w:rPr>
                <w:rFonts w:cs="Calibri"/>
                <w:color w:val="000000"/>
                <w:sz w:val="20"/>
                <w:szCs w:val="20"/>
                <w:lang w:val="fr-FR"/>
              </w:rPr>
              <w:t> </w:t>
            </w:r>
            <w:r w:rsidRPr="00CF7824">
              <w:rPr>
                <w:rFonts w:cs="Calibri"/>
                <w:color w:val="000000"/>
                <w:sz w:val="20"/>
                <w:szCs w:val="20"/>
                <w:lang w:val="fr-FR"/>
              </w:rPr>
              <w:t>12</w:t>
            </w:r>
          </w:p>
        </w:tc>
        <w:tc>
          <w:tcPr>
            <w:tcW w:w="84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164734" w:rsidP="0059128A">
            <w:pPr>
              <w:spacing w:after="120" w:line="240" w:lineRule="auto"/>
              <w:ind w:left="-17" w:right="-90"/>
              <w:jc w:val="center"/>
              <w:rPr>
                <w:rFonts w:asciiTheme="minorHAnsi" w:eastAsia="Arial" w:hAnsiTheme="minorHAnsi" w:cstheme="minorHAnsi"/>
                <w:color w:val="000000"/>
                <w:sz w:val="20"/>
                <w:szCs w:val="20"/>
                <w:lang w:val="fr-FR"/>
              </w:rPr>
            </w:pPr>
            <w:r w:rsidRPr="00CF7824">
              <w:rPr>
                <w:rFonts w:cs="Calibri"/>
                <w:color w:val="000000"/>
                <w:sz w:val="18"/>
                <w:szCs w:val="20"/>
                <w:lang w:val="fr-FR"/>
              </w:rPr>
              <w:t>Rapport des États membres de l</w:t>
            </w:r>
            <w:r w:rsidR="00016E39" w:rsidRPr="00CF7824">
              <w:rPr>
                <w:rFonts w:cs="Calibri"/>
                <w:color w:val="000000"/>
                <w:sz w:val="18"/>
                <w:szCs w:val="20"/>
                <w:lang w:val="fr-FR"/>
              </w:rPr>
              <w:t>’</w:t>
            </w:r>
            <w:r w:rsidRPr="00CF7824">
              <w:rPr>
                <w:rFonts w:cs="Calibri"/>
                <w:color w:val="000000"/>
                <w:sz w:val="18"/>
                <w:szCs w:val="20"/>
                <w:lang w:val="fr-FR"/>
              </w:rPr>
              <w:t>UE</w:t>
            </w:r>
          </w:p>
        </w:tc>
        <w:tc>
          <w:tcPr>
            <w:tcW w:w="856"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EUSoN</w:t>
            </w: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164734" w:rsidP="0059128A">
            <w:pPr>
              <w:spacing w:after="120" w:line="240" w:lineRule="auto"/>
              <w:ind w:left="-88" w:right="-143"/>
              <w:jc w:val="center"/>
              <w:rPr>
                <w:rFonts w:asciiTheme="minorHAnsi" w:eastAsia="Arial" w:hAnsiTheme="minorHAnsi" w:cstheme="minorHAnsi"/>
                <w:color w:val="000000"/>
                <w:sz w:val="20"/>
                <w:szCs w:val="20"/>
                <w:lang w:val="fr-FR"/>
              </w:rPr>
            </w:pPr>
            <w:r w:rsidRPr="00CF7824">
              <w:rPr>
                <w:rFonts w:cs="Calibri"/>
                <w:color w:val="000000"/>
                <w:sz w:val="18"/>
                <w:szCs w:val="20"/>
                <w:lang w:val="fr-FR"/>
              </w:rPr>
              <w:t>Rapport des États membres de l</w:t>
            </w:r>
            <w:r w:rsidR="00016E39" w:rsidRPr="00CF7824">
              <w:rPr>
                <w:rFonts w:cs="Calibri"/>
                <w:color w:val="000000"/>
                <w:sz w:val="18"/>
                <w:szCs w:val="20"/>
                <w:lang w:val="fr-FR"/>
              </w:rPr>
              <w:t>’</w:t>
            </w:r>
            <w:r w:rsidRPr="00CF7824">
              <w:rPr>
                <w:rFonts w:cs="Calibri"/>
                <w:color w:val="000000"/>
                <w:sz w:val="18"/>
                <w:szCs w:val="20"/>
                <w:lang w:val="fr-FR"/>
              </w:rPr>
              <w:t>UE</w:t>
            </w:r>
          </w:p>
        </w:tc>
        <w:tc>
          <w:tcPr>
            <w:tcW w:w="851"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EUSoN</w:t>
            </w:r>
          </w:p>
        </w:tc>
        <w:tc>
          <w:tcPr>
            <w:tcW w:w="9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vAlign w:val="bottom"/>
          </w:tcPr>
          <w:p w:rsidR="00FE5AEE" w:rsidRPr="00CF7824" w:rsidRDefault="00164734">
            <w:pP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ERLoB (BirdLife International)</w:t>
            </w:r>
          </w:p>
        </w:tc>
        <w:tc>
          <w:tcPr>
            <w:tcW w:w="84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ERLoB</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ERLoB</w:t>
            </w: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164734" w:rsidP="00467CB8">
            <w:pPr>
              <w:spacing w:after="12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CSR Voie de migration Asie de l</w:t>
            </w:r>
            <w:r w:rsidR="00016E39" w:rsidRPr="00CF7824">
              <w:rPr>
                <w:rFonts w:cs="Calibri"/>
                <w:color w:val="000000"/>
                <w:sz w:val="20"/>
                <w:szCs w:val="20"/>
                <w:lang w:val="fr-FR"/>
              </w:rPr>
              <w:t>’</w:t>
            </w:r>
            <w:r w:rsidRPr="00CF7824">
              <w:rPr>
                <w:rFonts w:cs="Calibri"/>
                <w:color w:val="000000"/>
                <w:sz w:val="20"/>
                <w:szCs w:val="20"/>
                <w:lang w:val="fr-FR"/>
              </w:rPr>
              <w:t>Est</w:t>
            </w:r>
            <w:r w:rsidR="00467CB8" w:rsidRPr="00CF7824">
              <w:rPr>
                <w:rFonts w:cs="Calibri"/>
                <w:color w:val="000000"/>
                <w:sz w:val="20"/>
                <w:szCs w:val="20"/>
                <w:lang w:val="fr-FR"/>
              </w:rPr>
              <w:t>-</w:t>
            </w:r>
            <w:r w:rsidRPr="00CF7824">
              <w:rPr>
                <w:rFonts w:cs="Calibri"/>
                <w:color w:val="000000"/>
                <w:sz w:val="20"/>
                <w:szCs w:val="20"/>
                <w:lang w:val="fr-FR"/>
              </w:rPr>
              <w:t xml:space="preserve"> Australasie</w:t>
            </w:r>
          </w:p>
        </w:tc>
        <w:tc>
          <w:tcPr>
            <w:tcW w:w="84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CSR</w:t>
            </w:r>
            <w:r w:rsidR="001F19B5" w:rsidRPr="00CF7824">
              <w:rPr>
                <w:rFonts w:cs="Calibri"/>
                <w:color w:val="000000"/>
                <w:sz w:val="20"/>
                <w:szCs w:val="20"/>
                <w:lang w:val="fr-FR"/>
              </w:rPr>
              <w:t> </w:t>
            </w:r>
            <w:r w:rsidRPr="00CF7824">
              <w:rPr>
                <w:rFonts w:cs="Calibri"/>
                <w:color w:val="000000"/>
                <w:sz w:val="20"/>
                <w:szCs w:val="20"/>
                <w:lang w:val="fr-FR"/>
              </w:rPr>
              <w:t>1</w:t>
            </w: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rPr>
            </w:pPr>
          </w:p>
        </w:tc>
      </w:tr>
      <w:tr w:rsidR="0020115C" w:rsidRPr="00CF7824"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rsidR="00FE5AEE" w:rsidRPr="00CF7824" w:rsidRDefault="00164734" w:rsidP="0059128A">
            <w:pPr>
              <w:spacing w:after="12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Mises à jour </w:t>
            </w:r>
            <w:r w:rsidR="0059128A" w:rsidRPr="00CF7824">
              <w:rPr>
                <w:rFonts w:cs="Calibri"/>
                <w:color w:val="000000"/>
                <w:sz w:val="20"/>
                <w:szCs w:val="20"/>
                <w:lang w:val="fr-FR"/>
              </w:rPr>
              <w:t>Partners in Flight (PIF)</w:t>
            </w:r>
            <w:r w:rsidRPr="00CF7824">
              <w:rPr>
                <w:rFonts w:cs="Calibri"/>
                <w:color w:val="000000"/>
                <w:sz w:val="20"/>
                <w:szCs w:val="20"/>
                <w:lang w:val="fr-FR"/>
              </w:rPr>
              <w:t xml:space="preserve"> Amérique du Nord/Amériques</w:t>
            </w:r>
          </w:p>
        </w:tc>
        <w:tc>
          <w:tcPr>
            <w:tcW w:w="84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6"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34"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7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0"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908"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1" w:type="dxa"/>
            <w:tcBorders>
              <w:top w:val="nil"/>
              <w:left w:val="nil"/>
              <w:bottom w:val="single" w:sz="4" w:space="0" w:color="000000"/>
              <w:right w:val="single" w:sz="4" w:space="0" w:color="000000"/>
            </w:tcBorders>
            <w:shd w:val="clear" w:color="auto" w:fill="auto"/>
          </w:tcPr>
          <w:p w:rsidR="00FE5AEE" w:rsidRPr="00CF7824" w:rsidRDefault="00FE5AEE" w:rsidP="006F4096">
            <w:pPr>
              <w:spacing w:after="120" w:line="240" w:lineRule="auto"/>
              <w:jc w:val="center"/>
              <w:rPr>
                <w:rFonts w:asciiTheme="minorHAnsi" w:eastAsia="Arial" w:hAnsiTheme="minorHAnsi" w:cstheme="minorHAnsi"/>
                <w:color w:val="000000"/>
                <w:sz w:val="20"/>
                <w:szCs w:val="20"/>
                <w:lang w:val="fr-FR"/>
              </w:rPr>
            </w:pPr>
          </w:p>
        </w:tc>
        <w:tc>
          <w:tcPr>
            <w:tcW w:w="850" w:type="dxa"/>
            <w:tcBorders>
              <w:top w:val="nil"/>
              <w:left w:val="nil"/>
              <w:bottom w:val="single" w:sz="4" w:space="0" w:color="000000"/>
              <w:right w:val="single" w:sz="4" w:space="0" w:color="000000"/>
            </w:tcBorders>
            <w:shd w:val="clear" w:color="auto" w:fill="auto"/>
          </w:tcPr>
          <w:p w:rsidR="00BB7638" w:rsidRPr="00CF7824" w:rsidRDefault="00164734" w:rsidP="00BB7638">
            <w:pPr>
              <w:spacing w:after="0" w:line="240" w:lineRule="auto"/>
              <w:jc w:val="center"/>
              <w:rPr>
                <w:rFonts w:cs="Calibri"/>
                <w:color w:val="000000"/>
                <w:sz w:val="20"/>
                <w:szCs w:val="20"/>
                <w:lang w:val="fr-FR"/>
              </w:rPr>
            </w:pPr>
            <w:r w:rsidRPr="00CF7824">
              <w:rPr>
                <w:rFonts w:cs="Calibri"/>
                <w:color w:val="000000"/>
                <w:sz w:val="20"/>
                <w:szCs w:val="20"/>
                <w:lang w:val="fr-FR"/>
              </w:rPr>
              <w:t>PIF</w:t>
            </w:r>
            <w:r w:rsidR="001F19B5" w:rsidRPr="00CF7824">
              <w:rPr>
                <w:rFonts w:cs="Calibri"/>
                <w:color w:val="000000"/>
                <w:sz w:val="20"/>
                <w:szCs w:val="20"/>
                <w:lang w:val="fr-FR"/>
              </w:rPr>
              <w:t> </w:t>
            </w:r>
          </w:p>
          <w:p w:rsidR="00FE5AEE" w:rsidRPr="00CF7824" w:rsidRDefault="00164734" w:rsidP="006F4096">
            <w:pPr>
              <w:spacing w:after="120" w:line="240" w:lineRule="auto"/>
              <w:jc w:val="center"/>
              <w:rPr>
                <w:rFonts w:asciiTheme="minorHAnsi" w:eastAsia="Arial" w:hAnsiTheme="minorHAnsi" w:cstheme="minorHAnsi"/>
                <w:color w:val="000000"/>
                <w:sz w:val="20"/>
                <w:szCs w:val="20"/>
              </w:rPr>
            </w:pPr>
            <w:r w:rsidRPr="00CF7824">
              <w:rPr>
                <w:rFonts w:cs="Calibri"/>
                <w:color w:val="000000"/>
                <w:sz w:val="20"/>
                <w:szCs w:val="20"/>
                <w:lang w:val="fr-FR"/>
              </w:rPr>
              <w:t>2023</w:t>
            </w:r>
          </w:p>
        </w:tc>
      </w:tr>
    </w:tbl>
    <w:p w:rsidR="00CF30AC" w:rsidRPr="00CF7824" w:rsidRDefault="00CF30AC">
      <w:pPr>
        <w:rPr>
          <w:rFonts w:asciiTheme="minorHAnsi" w:hAnsiTheme="minorHAnsi" w:cstheme="minorHAnsi"/>
        </w:rPr>
      </w:pPr>
    </w:p>
    <w:p w:rsidR="008C5EAF" w:rsidRPr="00CF7824" w:rsidRDefault="008C5EAF" w:rsidP="00C10F5D">
      <w:pPr>
        <w:rPr>
          <w:rFonts w:asciiTheme="minorHAnsi" w:hAnsiTheme="minorHAnsi" w:cstheme="minorHAnsi"/>
        </w:rPr>
        <w:sectPr w:rsidR="008C5EAF" w:rsidRPr="00CF7824" w:rsidSect="00310B8A">
          <w:footerReference w:type="default" r:id="rId23"/>
          <w:footerReference w:type="first" r:id="rId24"/>
          <w:pgSz w:w="16838" w:h="11906" w:orient="landscape"/>
          <w:pgMar w:top="1440" w:right="1440" w:bottom="1440" w:left="1440" w:header="709" w:footer="709" w:gutter="0"/>
          <w:cols w:space="708"/>
          <w:docGrid w:linePitch="360"/>
        </w:sectPr>
      </w:pPr>
    </w:p>
    <w:p w:rsidR="00C10F5D" w:rsidRPr="00CF7824" w:rsidRDefault="00164734" w:rsidP="00500816">
      <w:pPr>
        <w:rPr>
          <w:rFonts w:asciiTheme="minorHAnsi" w:hAnsiTheme="minorHAnsi" w:cstheme="minorHAnsi"/>
          <w:lang w:val="fr-FR"/>
        </w:rPr>
      </w:pPr>
      <w:r w:rsidRPr="00CF7824">
        <w:rPr>
          <w:rFonts w:cs="Calibri"/>
          <w:bCs/>
          <w:lang w:val="fr-FR"/>
        </w:rPr>
        <w:lastRenderedPageBreak/>
        <w:t>39.</w:t>
      </w:r>
      <w:r w:rsidRPr="00CF7824">
        <w:rPr>
          <w:rFonts w:cs="Calibri"/>
          <w:bCs/>
          <w:lang w:val="fr-FR"/>
        </w:rPr>
        <w:tab/>
        <w:t>Il existe au moins trois options pour gérer et mettre à jour les informations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à l</w:t>
      </w:r>
      <w:r w:rsidR="00016E39" w:rsidRPr="00CF7824">
        <w:rPr>
          <w:rFonts w:cs="Calibri"/>
          <w:bCs/>
          <w:lang w:val="fr-FR"/>
        </w:rPr>
        <w:t>’</w:t>
      </w:r>
      <w:r w:rsidRPr="00CF7824">
        <w:rPr>
          <w:rFonts w:cs="Calibri"/>
          <w:bCs/>
          <w:lang w:val="fr-FR"/>
        </w:rPr>
        <w:t>échelle mondiale. Les avantages et les inconvénients de ces options sont présentés dans le tableau</w:t>
      </w:r>
      <w:r w:rsidR="001F19B5" w:rsidRPr="00CF7824">
        <w:rPr>
          <w:rFonts w:cs="Calibri"/>
          <w:bCs/>
          <w:lang w:val="fr-FR"/>
        </w:rPr>
        <w:t> </w:t>
      </w:r>
      <w:r w:rsidRPr="00CF7824">
        <w:rPr>
          <w:rFonts w:cs="Calibri"/>
          <w:bCs/>
          <w:lang w:val="fr-FR"/>
        </w:rPr>
        <w:t>2 ci-dessous.</w:t>
      </w:r>
      <w:r w:rsidRPr="00CF7824">
        <w:rPr>
          <w:rFonts w:cs="Calibri"/>
          <w:bCs/>
          <w:lang w:val="fr-FR"/>
        </w:rPr>
        <w:br/>
      </w:r>
    </w:p>
    <w:p w:rsidR="009D5E44" w:rsidRPr="00CF7824" w:rsidRDefault="00164734" w:rsidP="009D5E44">
      <w:pPr>
        <w:keepNext/>
        <w:ind w:left="0" w:firstLine="0"/>
        <w:rPr>
          <w:rFonts w:asciiTheme="minorHAnsi" w:hAnsiTheme="minorHAnsi" w:cstheme="minorHAnsi"/>
          <w:i/>
          <w:iCs/>
          <w:lang w:val="fr-FR"/>
        </w:rPr>
      </w:pPr>
      <w:r w:rsidRPr="00CF7824">
        <w:rPr>
          <w:rFonts w:cs="Calibri"/>
          <w:i/>
          <w:iCs/>
          <w:lang w:val="fr-FR"/>
        </w:rPr>
        <w:t>Tableau</w:t>
      </w:r>
      <w:r w:rsidR="001F19B5" w:rsidRPr="00CF7824">
        <w:rPr>
          <w:rFonts w:cs="Calibri"/>
          <w:i/>
          <w:iCs/>
          <w:lang w:val="fr-FR"/>
        </w:rPr>
        <w:t> </w:t>
      </w:r>
      <w:r w:rsidRPr="00CF7824">
        <w:rPr>
          <w:rFonts w:cs="Calibri"/>
          <w:i/>
          <w:iCs/>
          <w:lang w:val="fr-FR"/>
        </w:rPr>
        <w:t xml:space="preserve">2 : Options </w:t>
      </w:r>
      <w:r w:rsidRPr="00CF7824">
        <w:rPr>
          <w:rFonts w:cs="Arial"/>
          <w:i/>
          <w:iCs/>
          <w:lang w:val="fr-FR"/>
        </w:rPr>
        <w:t>pour</w:t>
      </w:r>
      <w:r w:rsidRPr="00CF7824">
        <w:rPr>
          <w:rFonts w:cs="Calibri"/>
          <w:i/>
          <w:iCs/>
          <w:lang w:val="fr-FR"/>
        </w:rPr>
        <w:t xml:space="preserve"> la gestion et la mise à jour périodique des informations relatives aux WPE à l</w:t>
      </w:r>
      <w:r w:rsidR="00016E39" w:rsidRPr="00CF7824">
        <w:rPr>
          <w:rFonts w:cs="Calibri"/>
          <w:i/>
          <w:iCs/>
          <w:lang w:val="fr-FR"/>
        </w:rPr>
        <w:t>’</w:t>
      </w:r>
      <w:r w:rsidRPr="00CF7824">
        <w:rPr>
          <w:rFonts w:cs="Calibri"/>
          <w:i/>
          <w:iCs/>
          <w:lang w:val="fr-FR"/>
        </w:rPr>
        <w:t>échelle mondiale</w:t>
      </w:r>
    </w:p>
    <w:tbl>
      <w:tblPr>
        <w:tblStyle w:val="6"/>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2269"/>
        <w:gridCol w:w="4252"/>
        <w:gridCol w:w="3119"/>
      </w:tblGrid>
      <w:tr w:rsidR="0020115C" w:rsidRPr="00CF7824" w:rsidTr="0095581C">
        <w:trPr>
          <w:cantSplit/>
          <w:tblHeader/>
        </w:trPr>
        <w:tc>
          <w:tcPr>
            <w:tcW w:w="2269" w:type="dxa"/>
            <w:shd w:val="clear" w:color="auto" w:fill="EEECE1" w:themeFill="background2"/>
          </w:tcPr>
          <w:p w:rsidR="009F1C9E" w:rsidRPr="00CF7824" w:rsidRDefault="00164734" w:rsidP="00D05890">
            <w:pPr>
              <w:jc w:val="center"/>
              <w:rPr>
                <w:rFonts w:asciiTheme="minorHAnsi" w:eastAsia="Arial" w:hAnsiTheme="minorHAnsi" w:cstheme="minorHAnsi"/>
                <w:b/>
                <w:sz w:val="20"/>
                <w:szCs w:val="20"/>
              </w:rPr>
            </w:pPr>
            <w:r w:rsidRPr="00CF7824">
              <w:rPr>
                <w:rFonts w:cs="Calibri"/>
                <w:b/>
                <w:bCs/>
                <w:sz w:val="20"/>
                <w:szCs w:val="20"/>
                <w:lang w:val="fr-FR"/>
              </w:rPr>
              <w:t>Options</w:t>
            </w:r>
          </w:p>
        </w:tc>
        <w:tc>
          <w:tcPr>
            <w:tcW w:w="4252" w:type="dxa"/>
            <w:shd w:val="clear" w:color="auto" w:fill="EEECE1" w:themeFill="background2"/>
          </w:tcPr>
          <w:p w:rsidR="009F1C9E" w:rsidRPr="00CF7824" w:rsidRDefault="00164734" w:rsidP="00D05890">
            <w:pPr>
              <w:jc w:val="center"/>
              <w:rPr>
                <w:rFonts w:asciiTheme="minorHAnsi" w:eastAsia="Arial" w:hAnsiTheme="minorHAnsi" w:cstheme="minorHAnsi"/>
                <w:b/>
                <w:sz w:val="20"/>
                <w:szCs w:val="20"/>
              </w:rPr>
            </w:pPr>
            <w:r w:rsidRPr="00CF7824">
              <w:rPr>
                <w:rFonts w:cs="Calibri"/>
                <w:b/>
                <w:bCs/>
                <w:sz w:val="20"/>
                <w:szCs w:val="20"/>
                <w:lang w:val="fr-FR"/>
              </w:rPr>
              <w:t>Avantages</w:t>
            </w:r>
          </w:p>
        </w:tc>
        <w:tc>
          <w:tcPr>
            <w:tcW w:w="3119" w:type="dxa"/>
            <w:shd w:val="clear" w:color="auto" w:fill="EEECE1" w:themeFill="background2"/>
          </w:tcPr>
          <w:p w:rsidR="009F1C9E" w:rsidRPr="00CF7824" w:rsidRDefault="00164734" w:rsidP="00D05890">
            <w:pPr>
              <w:jc w:val="center"/>
              <w:rPr>
                <w:rFonts w:asciiTheme="minorHAnsi" w:eastAsia="Arial" w:hAnsiTheme="minorHAnsi" w:cstheme="minorHAnsi"/>
                <w:b/>
                <w:sz w:val="20"/>
                <w:szCs w:val="20"/>
              </w:rPr>
            </w:pPr>
            <w:r w:rsidRPr="00CF7824">
              <w:rPr>
                <w:rFonts w:cs="Calibri"/>
                <w:b/>
                <w:bCs/>
                <w:sz w:val="20"/>
                <w:szCs w:val="20"/>
                <w:lang w:val="fr-FR"/>
              </w:rPr>
              <w:t>Inconvénients</w:t>
            </w:r>
          </w:p>
        </w:tc>
      </w:tr>
      <w:tr w:rsidR="0020115C" w:rsidRPr="00785D5E" w:rsidTr="0095581C">
        <w:trPr>
          <w:cantSplit/>
        </w:trPr>
        <w:tc>
          <w:tcPr>
            <w:tcW w:w="2269" w:type="dxa"/>
            <w:shd w:val="clear" w:color="auto" w:fill="auto"/>
          </w:tcPr>
          <w:p w:rsidR="009F1C9E" w:rsidRPr="00CF7824" w:rsidRDefault="00164734" w:rsidP="00D05890">
            <w:pPr>
              <w:pBdr>
                <w:top w:val="nil"/>
                <w:left w:val="nil"/>
                <w:bottom w:val="nil"/>
                <w:right w:val="nil"/>
                <w:between w:val="nil"/>
              </w:pBdr>
              <w:rPr>
                <w:rFonts w:asciiTheme="minorHAnsi" w:eastAsia="Arial" w:hAnsiTheme="minorHAnsi" w:cstheme="minorHAnsi"/>
                <w:color w:val="000000"/>
                <w:sz w:val="20"/>
                <w:szCs w:val="20"/>
                <w:lang w:val="fr-FR"/>
              </w:rPr>
            </w:pPr>
            <w:r w:rsidRPr="00CF7824">
              <w:rPr>
                <w:rFonts w:cs="Calibri"/>
                <w:b/>
                <w:bCs/>
                <w:color w:val="000000"/>
                <w:sz w:val="20"/>
                <w:szCs w:val="20"/>
                <w:lang w:val="fr-FR"/>
              </w:rPr>
              <w:t>1.</w:t>
            </w:r>
            <w:r w:rsidRPr="00CF7824">
              <w:rPr>
                <w:rFonts w:cs="Calibri"/>
                <w:color w:val="000000"/>
                <w:sz w:val="20"/>
                <w:szCs w:val="20"/>
                <w:lang w:val="fr-FR"/>
              </w:rPr>
              <w:t xml:space="preserve"> </w:t>
            </w:r>
            <w:r w:rsidRPr="00CF7824">
              <w:rPr>
                <w:rFonts w:cs="Calibri"/>
                <w:b/>
                <w:bCs/>
                <w:color w:val="000000"/>
                <w:sz w:val="20"/>
                <w:szCs w:val="20"/>
                <w:lang w:val="fr-FR"/>
              </w:rPr>
              <w:t xml:space="preserve">Mises à jour régulières et périodiques </w:t>
            </w:r>
            <w:r w:rsidRPr="00CF7824">
              <w:rPr>
                <w:rFonts w:cs="Calibri"/>
                <w:color w:val="000000"/>
                <w:sz w:val="20"/>
                <w:szCs w:val="20"/>
                <w:lang w:val="fr-FR"/>
              </w:rPr>
              <w:t>en s</w:t>
            </w:r>
            <w:r w:rsidR="00016E39" w:rsidRPr="00CF7824">
              <w:rPr>
                <w:rFonts w:cs="Calibri"/>
                <w:color w:val="000000"/>
                <w:sz w:val="20"/>
                <w:szCs w:val="20"/>
                <w:lang w:val="fr-FR"/>
              </w:rPr>
              <w:t>’</w:t>
            </w:r>
            <w:r w:rsidRPr="00CF7824">
              <w:rPr>
                <w:rFonts w:cs="Calibri"/>
                <w:color w:val="000000"/>
                <w:sz w:val="20"/>
                <w:szCs w:val="20"/>
                <w:lang w:val="fr-FR"/>
              </w:rPr>
              <w:t>appuyant sur les processus existants, avec des examens supplémentaires pour combler les lacunes (voir les trois options ci-dessous en fonction des différentes périodicités possibles des WPE)</w:t>
            </w:r>
            <w:r w:rsidR="00BB3000" w:rsidRPr="00CF7824">
              <w:rPr>
                <w:rFonts w:cs="Calibri"/>
                <w:color w:val="000000"/>
                <w:sz w:val="20"/>
                <w:szCs w:val="20"/>
                <w:lang w:val="fr-FR"/>
              </w:rPr>
              <w:t>.</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lang w:val="fr-FR"/>
              </w:rPr>
            </w:pPr>
            <w:r w:rsidRPr="00CF7824">
              <w:rPr>
                <w:rFonts w:cs="Calibri"/>
                <w:color w:val="000000"/>
                <w:sz w:val="20"/>
                <w:szCs w:val="20"/>
                <w:lang w:val="fr-FR"/>
              </w:rPr>
              <w:t>Stabilité à moyen terme des seuils de 1% pour l</w:t>
            </w:r>
            <w:r w:rsidR="00016E39" w:rsidRPr="00CF7824">
              <w:rPr>
                <w:rFonts w:cs="Calibri"/>
                <w:color w:val="000000"/>
                <w:sz w:val="20"/>
                <w:szCs w:val="20"/>
                <w:lang w:val="fr-FR"/>
              </w:rPr>
              <w:t>’</w:t>
            </w:r>
            <w:r w:rsidRPr="00CF7824">
              <w:rPr>
                <w:rFonts w:cs="Calibri"/>
                <w:color w:val="000000"/>
                <w:sz w:val="20"/>
                <w:szCs w:val="20"/>
                <w:lang w:val="fr-FR"/>
              </w:rPr>
              <w:t>ins</w:t>
            </w:r>
            <w:r w:rsidR="006F4457" w:rsidRPr="00CF7824">
              <w:rPr>
                <w:rFonts w:cs="Calibri"/>
                <w:color w:val="000000"/>
                <w:sz w:val="20"/>
                <w:szCs w:val="20"/>
                <w:lang w:val="fr-FR"/>
              </w:rPr>
              <w:t xml:space="preserve">cription et la </w:t>
            </w:r>
            <w:r w:rsidRPr="00CF7824">
              <w:rPr>
                <w:rFonts w:cs="Calibri"/>
                <w:color w:val="000000"/>
                <w:sz w:val="20"/>
                <w:szCs w:val="20"/>
                <w:lang w:val="fr-FR"/>
              </w:rPr>
              <w:t xml:space="preserve">gestion des </w:t>
            </w:r>
            <w:r w:rsidR="00F77F5A" w:rsidRPr="00CF7824">
              <w:rPr>
                <w:rFonts w:cs="Calibri"/>
                <w:color w:val="000000"/>
                <w:sz w:val="20"/>
                <w:szCs w:val="20"/>
                <w:lang w:val="fr-FR"/>
              </w:rPr>
              <w:t xml:space="preserve">Sites </w:t>
            </w:r>
            <w:r w:rsidRPr="00CF7824">
              <w:rPr>
                <w:rFonts w:cs="Calibri"/>
                <w:color w:val="000000"/>
                <w:sz w:val="20"/>
                <w:szCs w:val="20"/>
                <w:lang w:val="fr-FR"/>
              </w:rPr>
              <w:t>Ramsar, des sites des réseaux des voies de migration et d</w:t>
            </w:r>
            <w:r w:rsidR="00016E39" w:rsidRPr="00CF7824">
              <w:rPr>
                <w:rFonts w:cs="Calibri"/>
                <w:color w:val="000000"/>
                <w:sz w:val="20"/>
                <w:szCs w:val="20"/>
                <w:lang w:val="fr-FR"/>
              </w:rPr>
              <w:t>’</w:t>
            </w:r>
            <w:r w:rsidRPr="00CF7824">
              <w:rPr>
                <w:rFonts w:cs="Calibri"/>
                <w:color w:val="000000"/>
                <w:sz w:val="20"/>
                <w:szCs w:val="20"/>
                <w:lang w:val="fr-FR"/>
              </w:rPr>
              <w:t>autres utilisations reflétant la nature dynamique des populations.</w:t>
            </w:r>
          </w:p>
          <w:p w:rsidR="009F1C9E" w:rsidRPr="00CF7824" w:rsidRDefault="00164734"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lang w:val="fr-FR"/>
              </w:rPr>
            </w:pPr>
            <w:r w:rsidRPr="00CF7824">
              <w:rPr>
                <w:rFonts w:cs="Calibri"/>
                <w:color w:val="000000"/>
                <w:sz w:val="20"/>
                <w:szCs w:val="20"/>
                <w:lang w:val="fr-FR"/>
              </w:rPr>
              <w:t>Cycles d</w:t>
            </w:r>
            <w:r w:rsidR="00016E39" w:rsidRPr="00CF7824">
              <w:rPr>
                <w:rFonts w:cs="Calibri"/>
                <w:color w:val="000000"/>
                <w:sz w:val="20"/>
                <w:szCs w:val="20"/>
                <w:lang w:val="fr-FR"/>
              </w:rPr>
              <w:t>’</w:t>
            </w:r>
            <w:r w:rsidRPr="00CF7824">
              <w:rPr>
                <w:rFonts w:cs="Calibri"/>
                <w:color w:val="000000"/>
                <w:sz w:val="20"/>
                <w:szCs w:val="20"/>
                <w:lang w:val="fr-FR"/>
              </w:rPr>
              <w:t>examen prévisibles</w:t>
            </w:r>
            <w:r w:rsidR="006F4457" w:rsidRPr="00CF7824">
              <w:rPr>
                <w:rFonts w:cs="Calibri"/>
                <w:color w:val="000000"/>
                <w:sz w:val="20"/>
                <w:szCs w:val="20"/>
                <w:lang w:val="fr-FR"/>
              </w:rPr>
              <w:t>,</w:t>
            </w:r>
            <w:r w:rsidRPr="00CF7824">
              <w:rPr>
                <w:rFonts w:cs="Calibri"/>
                <w:color w:val="000000"/>
                <w:sz w:val="20"/>
                <w:szCs w:val="20"/>
                <w:lang w:val="fr-FR"/>
              </w:rPr>
              <w:t xml:space="preserve"> et mises à jour fournies aux processus intergouvernementaux internationaux/régionaux et autres.</w:t>
            </w:r>
          </w:p>
          <w:p w:rsidR="009F1C9E" w:rsidRPr="00CF7824" w:rsidRDefault="00164734"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lang w:val="fr-FR"/>
              </w:rPr>
            </w:pPr>
            <w:r w:rsidRPr="00CF7824">
              <w:rPr>
                <w:rFonts w:cs="Calibri"/>
                <w:color w:val="000000"/>
                <w:sz w:val="20"/>
                <w:szCs w:val="20"/>
                <w:lang w:val="fr-FR"/>
              </w:rPr>
              <w:t>Cycle prévisible des besoins de financement</w:t>
            </w:r>
            <w:r w:rsidR="006F4457" w:rsidRPr="00CF7824">
              <w:rPr>
                <w:rFonts w:cs="Calibri"/>
                <w:color w:val="000000"/>
                <w:sz w:val="20"/>
                <w:szCs w:val="20"/>
                <w:lang w:val="fr-FR"/>
              </w:rPr>
              <w:t>.</w:t>
            </w:r>
          </w:p>
          <w:p w:rsidR="009F1C9E" w:rsidRPr="00CF7824" w:rsidRDefault="00164734"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lang w:val="fr-FR"/>
              </w:rPr>
            </w:pPr>
            <w:r w:rsidRPr="00CF7824">
              <w:rPr>
                <w:rFonts w:cs="Calibri"/>
                <w:color w:val="000000"/>
                <w:sz w:val="20"/>
                <w:szCs w:val="20"/>
                <w:lang w:val="fr-FR"/>
              </w:rPr>
              <w:t>Options pour cibler les régions/voies de migration afin d</w:t>
            </w:r>
            <w:r w:rsidR="00016E39" w:rsidRPr="00CF7824">
              <w:rPr>
                <w:rFonts w:cs="Calibri"/>
                <w:color w:val="000000"/>
                <w:sz w:val="20"/>
                <w:szCs w:val="20"/>
                <w:lang w:val="fr-FR"/>
              </w:rPr>
              <w:t>’</w:t>
            </w:r>
            <w:r w:rsidRPr="00CF7824">
              <w:rPr>
                <w:rFonts w:cs="Calibri"/>
                <w:color w:val="000000"/>
                <w:sz w:val="20"/>
                <w:szCs w:val="20"/>
                <w:lang w:val="fr-FR"/>
              </w:rPr>
              <w:t>examiner les populations au cours d</w:t>
            </w:r>
            <w:r w:rsidR="00016E39" w:rsidRPr="00CF7824">
              <w:rPr>
                <w:rFonts w:cs="Calibri"/>
                <w:color w:val="000000"/>
                <w:sz w:val="20"/>
                <w:szCs w:val="20"/>
                <w:lang w:val="fr-FR"/>
              </w:rPr>
              <w:t>’</w:t>
            </w:r>
            <w:r w:rsidRPr="00CF7824">
              <w:rPr>
                <w:rFonts w:cs="Calibri"/>
                <w:color w:val="000000"/>
                <w:sz w:val="20"/>
                <w:szCs w:val="20"/>
                <w:lang w:val="fr-FR"/>
              </w:rPr>
              <w:t>une période triennale en fonction des lacunes en matière d</w:t>
            </w:r>
            <w:r w:rsidR="00016E39" w:rsidRPr="00CF7824">
              <w:rPr>
                <w:rFonts w:cs="Calibri"/>
                <w:color w:val="000000"/>
                <w:sz w:val="20"/>
                <w:szCs w:val="20"/>
                <w:lang w:val="fr-FR"/>
              </w:rPr>
              <w:t>’</w:t>
            </w:r>
            <w:r w:rsidR="006F4457" w:rsidRPr="00CF7824">
              <w:rPr>
                <w:rFonts w:cs="Calibri"/>
                <w:color w:val="000000"/>
                <w:sz w:val="20"/>
                <w:szCs w:val="20"/>
                <w:lang w:val="fr-FR"/>
              </w:rPr>
              <w:t>information/d’</w:t>
            </w:r>
            <w:r w:rsidRPr="00CF7824">
              <w:rPr>
                <w:rFonts w:cs="Calibri"/>
                <w:color w:val="000000"/>
                <w:sz w:val="20"/>
                <w:szCs w:val="20"/>
                <w:lang w:val="fr-FR"/>
              </w:rPr>
              <w:t>ancienneté des dernières mises à jour</w:t>
            </w:r>
            <w:r w:rsidR="006F4457" w:rsidRPr="00CF7824">
              <w:rPr>
                <w:rFonts w:cs="Calibri"/>
                <w:color w:val="000000"/>
                <w:sz w:val="20"/>
                <w:szCs w:val="20"/>
                <w:lang w:val="fr-FR"/>
              </w:rPr>
              <w:t>.</w:t>
            </w:r>
          </w:p>
          <w:p w:rsidR="009F1C9E" w:rsidRPr="00CF7824" w:rsidRDefault="00164734"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Bénéfices des liens avec des examens nationaux périodiques, comme en Australie et en Nouvelle-Zélande. </w:t>
            </w:r>
          </w:p>
        </w:tc>
        <w:tc>
          <w:tcPr>
            <w:tcW w:w="3119"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Retards dans la révision/actualisation des estimations de la taille de la population et des seuils de 1% si les options 1b ou 1c sont privilégiées</w:t>
            </w:r>
            <w:r w:rsidR="006F4457" w:rsidRPr="00CF7824">
              <w:rPr>
                <w:rFonts w:cs="Calibri"/>
                <w:color w:val="000000"/>
                <w:sz w:val="20"/>
                <w:szCs w:val="20"/>
                <w:lang w:val="fr-FR"/>
              </w:rPr>
              <w:t>.</w:t>
            </w:r>
          </w:p>
        </w:tc>
      </w:tr>
      <w:tr w:rsidR="0020115C" w:rsidRPr="00785D5E" w:rsidTr="0095581C">
        <w:trPr>
          <w:cantSplit/>
        </w:trPr>
        <w:tc>
          <w:tcPr>
            <w:tcW w:w="2269" w:type="dxa"/>
            <w:shd w:val="clear" w:color="auto" w:fill="auto"/>
          </w:tcPr>
          <w:p w:rsidR="009F1C9E" w:rsidRPr="00CF7824" w:rsidRDefault="00164734" w:rsidP="00D05890">
            <w:pPr>
              <w:pBdr>
                <w:top w:val="nil"/>
                <w:left w:val="nil"/>
                <w:bottom w:val="nil"/>
                <w:right w:val="nil"/>
                <w:between w:val="nil"/>
              </w:pBdr>
              <w:rPr>
                <w:rFonts w:asciiTheme="minorHAnsi" w:eastAsia="Arial" w:hAnsiTheme="minorHAnsi" w:cstheme="minorHAnsi"/>
                <w:color w:val="000000"/>
                <w:sz w:val="20"/>
                <w:szCs w:val="20"/>
                <w:lang w:val="fr-FR"/>
              </w:rPr>
            </w:pPr>
            <w:r w:rsidRPr="00CF7824">
              <w:rPr>
                <w:rFonts w:cs="Calibri"/>
                <w:b/>
                <w:bCs/>
                <w:color w:val="000000"/>
                <w:sz w:val="20"/>
                <w:szCs w:val="20"/>
                <w:lang w:val="fr-FR"/>
              </w:rPr>
              <w:t>1a.</w:t>
            </w:r>
            <w:r w:rsidRPr="00CF7824">
              <w:rPr>
                <w:rFonts w:cs="Calibri"/>
                <w:color w:val="000000"/>
                <w:sz w:val="20"/>
                <w:szCs w:val="20"/>
                <w:lang w:val="fr-FR"/>
              </w:rPr>
              <w:t xml:space="preserve"> </w:t>
            </w:r>
            <w:r w:rsidRPr="00CF7824">
              <w:rPr>
                <w:rFonts w:cs="Calibri"/>
                <w:b/>
                <w:bCs/>
                <w:color w:val="000000"/>
                <w:sz w:val="20"/>
                <w:szCs w:val="20"/>
                <w:lang w:val="fr-FR"/>
              </w:rPr>
              <w:t>Mise à jour périodique régulière</w:t>
            </w:r>
            <w:r w:rsidR="00376BA1" w:rsidRPr="00CF7824">
              <w:rPr>
                <w:rFonts w:cs="Calibri"/>
                <w:b/>
                <w:bCs/>
                <w:color w:val="000000"/>
                <w:sz w:val="20"/>
                <w:szCs w:val="20"/>
                <w:lang w:val="fr-FR"/>
              </w:rPr>
              <w:t> </w:t>
            </w:r>
            <w:r w:rsidRPr="00CF7824">
              <w:rPr>
                <w:rFonts w:cs="Calibri"/>
                <w:color w:val="000000"/>
                <w:sz w:val="20"/>
                <w:szCs w:val="20"/>
                <w:lang w:val="fr-FR"/>
              </w:rPr>
              <w:t xml:space="preserve">: Mise à jour des WPE et des seuils de 1% </w:t>
            </w:r>
            <w:r w:rsidRPr="00CF7824">
              <w:rPr>
                <w:rFonts w:cs="Calibri"/>
                <w:b/>
                <w:bCs/>
                <w:color w:val="000000"/>
                <w:sz w:val="20"/>
                <w:szCs w:val="20"/>
                <w:lang w:val="fr-FR"/>
              </w:rPr>
              <w:t>tous les trois ans</w:t>
            </w:r>
            <w:r w:rsidR="00BB3000" w:rsidRPr="00CF7824">
              <w:rPr>
                <w:rFonts w:cs="Calibri"/>
                <w:b/>
                <w:bCs/>
                <w:color w:val="000000"/>
                <w:sz w:val="20"/>
                <w:szCs w:val="20"/>
                <w:lang w:val="fr-FR"/>
              </w:rPr>
              <w:t>.</w:t>
            </w:r>
            <w:r w:rsidRPr="00CF7824">
              <w:rPr>
                <w:rFonts w:cs="Calibri"/>
                <w:color w:val="000000"/>
                <w:sz w:val="20"/>
                <w:szCs w:val="20"/>
                <w:lang w:val="fr-FR"/>
              </w:rPr>
              <w:t xml:space="preserve"> </w:t>
            </w:r>
          </w:p>
        </w:tc>
        <w:tc>
          <w:tcPr>
            <w:tcW w:w="4252" w:type="dxa"/>
            <w:shd w:val="clear" w:color="auto" w:fill="auto"/>
          </w:tcPr>
          <w:p w:rsidR="009F1C9E" w:rsidRPr="00CF7824" w:rsidRDefault="00164734" w:rsidP="006F445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Trois points de données sur une période de dix ans pour évaluer le changement dans les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 xml:space="preserve">eau et informer les évaluations du changement par </w:t>
            </w:r>
            <w:r w:rsidR="006F4457" w:rsidRPr="00CF7824">
              <w:rPr>
                <w:rFonts w:cs="Calibri"/>
                <w:color w:val="000000"/>
                <w:sz w:val="20"/>
                <w:szCs w:val="20"/>
                <w:lang w:val="fr-FR"/>
              </w:rPr>
              <w:t>des</w:t>
            </w:r>
            <w:r w:rsidRPr="00CF7824">
              <w:rPr>
                <w:rFonts w:cs="Calibri"/>
                <w:color w:val="000000"/>
                <w:sz w:val="20"/>
                <w:szCs w:val="20"/>
                <w:lang w:val="fr-FR"/>
              </w:rPr>
              <w:t xml:space="preserve"> processus internationaux tels que le Cadre mondial de la biodiversité de la CDB, les Objectifs de développement durable de l</w:t>
            </w:r>
            <w:r w:rsidR="00016E39" w:rsidRPr="00CF7824">
              <w:rPr>
                <w:rFonts w:cs="Calibri"/>
                <w:color w:val="000000"/>
                <w:sz w:val="20"/>
                <w:szCs w:val="20"/>
                <w:lang w:val="fr-FR"/>
              </w:rPr>
              <w:t>’</w:t>
            </w:r>
            <w:r w:rsidRPr="00CF7824">
              <w:rPr>
                <w:rFonts w:cs="Calibri"/>
                <w:color w:val="000000"/>
                <w:sz w:val="20"/>
                <w:szCs w:val="20"/>
                <w:lang w:val="fr-FR"/>
              </w:rPr>
              <w:t>ONU, les objectifs et cibles du Plan stratégique de la Convention sur les zones humides, etc., y compris pour informer les rapports nationaux dans le cadre de ces processus.</w:t>
            </w:r>
          </w:p>
        </w:tc>
        <w:tc>
          <w:tcPr>
            <w:tcW w:w="3119"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Incertitude pour les Parties et les autres utilisateurs </w:t>
            </w:r>
            <w:r w:rsidR="006F4457" w:rsidRPr="00CF7824">
              <w:rPr>
                <w:rFonts w:cs="Calibri"/>
                <w:color w:val="000000"/>
                <w:sz w:val="20"/>
                <w:szCs w:val="20"/>
                <w:lang w:val="fr-FR"/>
              </w:rPr>
              <w:t xml:space="preserve">sur le choix des valeurs des </w:t>
            </w:r>
            <w:r w:rsidRPr="00CF7824">
              <w:rPr>
                <w:rFonts w:cs="Calibri"/>
                <w:color w:val="000000"/>
                <w:sz w:val="20"/>
                <w:szCs w:val="20"/>
                <w:lang w:val="fr-FR"/>
              </w:rPr>
              <w:t>seuils de 1%</w:t>
            </w:r>
            <w:r w:rsidR="006F4457" w:rsidRPr="00CF7824">
              <w:rPr>
                <w:rFonts w:cs="Calibri"/>
                <w:color w:val="000000"/>
                <w:sz w:val="20"/>
                <w:szCs w:val="20"/>
                <w:lang w:val="fr-FR"/>
              </w:rPr>
              <w:t>, si ces seuils changent à court terme</w:t>
            </w:r>
            <w:r w:rsidRPr="00CF7824">
              <w:rPr>
                <w:rFonts w:cs="Calibri"/>
                <w:color w:val="000000"/>
                <w:sz w:val="20"/>
                <w:szCs w:val="20"/>
                <w:lang w:val="fr-FR"/>
              </w:rPr>
              <w:t xml:space="preserve"> et doivent servir de référence pour l</w:t>
            </w:r>
            <w:r w:rsidR="00016E39" w:rsidRPr="00CF7824">
              <w:rPr>
                <w:rFonts w:cs="Calibri"/>
                <w:color w:val="000000"/>
                <w:sz w:val="20"/>
                <w:szCs w:val="20"/>
                <w:lang w:val="fr-FR"/>
              </w:rPr>
              <w:t>’</w:t>
            </w:r>
            <w:r w:rsidRPr="00CF7824">
              <w:rPr>
                <w:rFonts w:cs="Calibri"/>
                <w:color w:val="000000"/>
                <w:sz w:val="20"/>
                <w:szCs w:val="20"/>
                <w:lang w:val="fr-FR"/>
              </w:rPr>
              <w:t>évaluation de l</w:t>
            </w:r>
            <w:r w:rsidR="00016E39" w:rsidRPr="00CF7824">
              <w:rPr>
                <w:rFonts w:cs="Calibri"/>
                <w:color w:val="000000"/>
                <w:sz w:val="20"/>
                <w:szCs w:val="20"/>
                <w:lang w:val="fr-FR"/>
              </w:rPr>
              <w:t>’</w:t>
            </w:r>
            <w:r w:rsidRPr="00CF7824">
              <w:rPr>
                <w:rFonts w:cs="Calibri"/>
                <w:color w:val="000000"/>
                <w:sz w:val="20"/>
                <w:szCs w:val="20"/>
                <w:lang w:val="fr-FR"/>
              </w:rPr>
              <w:t>état de conservation, les processus d</w:t>
            </w:r>
            <w:r w:rsidR="00016E39" w:rsidRPr="00CF7824">
              <w:rPr>
                <w:rFonts w:cs="Calibri"/>
                <w:color w:val="000000"/>
                <w:sz w:val="20"/>
                <w:szCs w:val="20"/>
                <w:lang w:val="fr-FR"/>
              </w:rPr>
              <w:t>’</w:t>
            </w:r>
            <w:r w:rsidRPr="00CF7824">
              <w:rPr>
                <w:rFonts w:cs="Calibri"/>
                <w:color w:val="000000"/>
                <w:sz w:val="20"/>
                <w:szCs w:val="20"/>
                <w:lang w:val="fr-FR"/>
              </w:rPr>
              <w:t>inscription et les mesures à prendre.</w:t>
            </w:r>
          </w:p>
          <w:p w:rsidR="009F1C9E" w:rsidRPr="00CF7824" w:rsidRDefault="00164734" w:rsidP="006F445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Davantage de ressources s</w:t>
            </w:r>
            <w:r w:rsidR="006F4457" w:rsidRPr="00CF7824">
              <w:rPr>
                <w:rFonts w:cs="Calibri"/>
                <w:color w:val="000000"/>
                <w:sz w:val="20"/>
                <w:szCs w:val="20"/>
                <w:lang w:val="fr-FR"/>
              </w:rPr>
              <w:t>eraien</w:t>
            </w:r>
            <w:r w:rsidRPr="00CF7824">
              <w:rPr>
                <w:rFonts w:cs="Calibri"/>
                <w:color w:val="000000"/>
                <w:sz w:val="20"/>
                <w:szCs w:val="20"/>
                <w:lang w:val="fr-FR"/>
              </w:rPr>
              <w:t>t nécessaires en raison de la courte fréquence du cycle de mise à jour.</w:t>
            </w:r>
          </w:p>
        </w:tc>
      </w:tr>
      <w:tr w:rsidR="0020115C" w:rsidRPr="00785D5E" w:rsidTr="0095581C">
        <w:trPr>
          <w:cantSplit/>
        </w:trPr>
        <w:tc>
          <w:tcPr>
            <w:tcW w:w="2269" w:type="dxa"/>
            <w:shd w:val="clear" w:color="auto" w:fill="auto"/>
          </w:tcPr>
          <w:p w:rsidR="009F1C9E" w:rsidRPr="00CF7824" w:rsidRDefault="00164734" w:rsidP="00D05890">
            <w:pPr>
              <w:pBdr>
                <w:top w:val="nil"/>
                <w:left w:val="nil"/>
                <w:bottom w:val="nil"/>
                <w:right w:val="nil"/>
                <w:between w:val="nil"/>
              </w:pBdr>
              <w:rPr>
                <w:rFonts w:asciiTheme="minorHAnsi" w:eastAsia="Arial" w:hAnsiTheme="minorHAnsi" w:cstheme="minorHAnsi"/>
                <w:color w:val="000000"/>
                <w:sz w:val="20"/>
                <w:szCs w:val="20"/>
                <w:lang w:val="fr-FR"/>
              </w:rPr>
            </w:pPr>
            <w:r w:rsidRPr="00CF7824">
              <w:rPr>
                <w:rFonts w:cs="Calibri"/>
                <w:b/>
                <w:bCs/>
                <w:color w:val="000000"/>
                <w:sz w:val="20"/>
                <w:szCs w:val="20"/>
                <w:lang w:val="fr-FR"/>
              </w:rPr>
              <w:lastRenderedPageBreak/>
              <w:t>1b.</w:t>
            </w:r>
            <w:r w:rsidRPr="00CF7824">
              <w:rPr>
                <w:rFonts w:cs="Calibri"/>
                <w:color w:val="000000"/>
                <w:sz w:val="20"/>
                <w:szCs w:val="20"/>
                <w:lang w:val="fr-FR"/>
              </w:rPr>
              <w:t xml:space="preserve"> </w:t>
            </w:r>
            <w:r w:rsidRPr="00CF7824">
              <w:rPr>
                <w:rFonts w:cs="Calibri"/>
                <w:b/>
                <w:bCs/>
                <w:color w:val="000000"/>
                <w:sz w:val="20"/>
                <w:szCs w:val="20"/>
                <w:lang w:val="fr-FR"/>
              </w:rPr>
              <w:t>Mise à jour périodique régulière</w:t>
            </w:r>
            <w:r w:rsidR="00376BA1" w:rsidRPr="00CF7824">
              <w:rPr>
                <w:rFonts w:cs="Calibri"/>
                <w:b/>
                <w:bCs/>
                <w:color w:val="000000"/>
                <w:sz w:val="20"/>
                <w:szCs w:val="20"/>
                <w:lang w:val="fr-FR"/>
              </w:rPr>
              <w:t> </w:t>
            </w:r>
            <w:r w:rsidRPr="00CF7824">
              <w:rPr>
                <w:rFonts w:cs="Calibri"/>
                <w:color w:val="000000"/>
                <w:sz w:val="20"/>
                <w:szCs w:val="20"/>
                <w:lang w:val="fr-FR"/>
              </w:rPr>
              <w:t xml:space="preserve">: Mise à jour des WPE et des seuils de 1% </w:t>
            </w:r>
            <w:r w:rsidRPr="00CF7824">
              <w:rPr>
                <w:rFonts w:cs="Calibri"/>
                <w:b/>
                <w:bCs/>
                <w:color w:val="000000"/>
                <w:sz w:val="20"/>
                <w:szCs w:val="20"/>
                <w:lang w:val="fr-FR"/>
              </w:rPr>
              <w:t>tous les six ans</w:t>
            </w:r>
            <w:r w:rsidR="00BB3000" w:rsidRPr="00CF7824">
              <w:rPr>
                <w:rFonts w:cs="Calibri"/>
                <w:color w:val="000000"/>
                <w:sz w:val="20"/>
                <w:szCs w:val="20"/>
                <w:lang w:val="fr-FR"/>
              </w:rPr>
              <w:t>.</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Bénéficie des liens avec les CSR de l</w:t>
            </w:r>
            <w:r w:rsidR="00016E39" w:rsidRPr="00CF7824">
              <w:rPr>
                <w:rFonts w:cs="Calibri"/>
                <w:color w:val="000000"/>
                <w:sz w:val="20"/>
                <w:szCs w:val="20"/>
                <w:lang w:val="fr-FR"/>
              </w:rPr>
              <w:t>’</w:t>
            </w:r>
            <w:r w:rsidRPr="00CF7824">
              <w:rPr>
                <w:rFonts w:cs="Calibri"/>
                <w:color w:val="000000"/>
                <w:sz w:val="20"/>
                <w:szCs w:val="20"/>
                <w:lang w:val="fr-FR"/>
              </w:rPr>
              <w:t>AEWA, les cycles de six ans de l</w:t>
            </w:r>
            <w:r w:rsidR="00016E39" w:rsidRPr="00CF7824">
              <w:rPr>
                <w:rFonts w:cs="Calibri"/>
                <w:color w:val="000000"/>
                <w:sz w:val="20"/>
                <w:szCs w:val="20"/>
                <w:lang w:val="fr-FR"/>
              </w:rPr>
              <w:t>’</w:t>
            </w:r>
            <w:r w:rsidRPr="00CF7824">
              <w:rPr>
                <w:rFonts w:cs="Calibri"/>
                <w:color w:val="000000"/>
                <w:sz w:val="20"/>
                <w:szCs w:val="20"/>
                <w:lang w:val="fr-FR"/>
              </w:rPr>
              <w:t>Article</w:t>
            </w:r>
            <w:r w:rsidR="001F19B5" w:rsidRPr="00CF7824">
              <w:rPr>
                <w:rFonts w:cs="Calibri"/>
                <w:color w:val="000000"/>
                <w:sz w:val="20"/>
                <w:szCs w:val="20"/>
                <w:lang w:val="fr-FR"/>
              </w:rPr>
              <w:t> </w:t>
            </w:r>
            <w:r w:rsidRPr="00CF7824">
              <w:rPr>
                <w:rFonts w:cs="Calibri"/>
                <w:color w:val="000000"/>
                <w:sz w:val="20"/>
                <w:szCs w:val="20"/>
                <w:lang w:val="fr-FR"/>
              </w:rPr>
              <w:t>12 de l</w:t>
            </w:r>
            <w:r w:rsidR="00016E39" w:rsidRPr="00CF7824">
              <w:rPr>
                <w:rFonts w:cs="Calibri"/>
                <w:color w:val="000000"/>
                <w:sz w:val="20"/>
                <w:szCs w:val="20"/>
                <w:lang w:val="fr-FR"/>
              </w:rPr>
              <w:t>’</w:t>
            </w:r>
            <w:r w:rsidRPr="00CF7824">
              <w:rPr>
                <w:rFonts w:cs="Calibri"/>
                <w:color w:val="000000"/>
                <w:sz w:val="20"/>
                <w:szCs w:val="20"/>
                <w:lang w:val="fr-FR"/>
              </w:rPr>
              <w:t>UE et les CSR de l</w:t>
            </w:r>
            <w:r w:rsidR="00016E39" w:rsidRPr="00CF7824">
              <w:rPr>
                <w:rFonts w:cs="Calibri"/>
                <w:color w:val="000000"/>
                <w:sz w:val="20"/>
                <w:szCs w:val="20"/>
                <w:lang w:val="fr-FR"/>
              </w:rPr>
              <w:t>’</w:t>
            </w:r>
            <w:r w:rsidRPr="00CF7824">
              <w:rPr>
                <w:rFonts w:cs="Calibri"/>
                <w:color w:val="000000"/>
                <w:sz w:val="20"/>
                <w:szCs w:val="20"/>
                <w:lang w:val="fr-FR"/>
              </w:rPr>
              <w:t>EAAFP, ainsi que des financements mobilisés pour ces cycles.</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Fournit aux Parties contractantes et aux autres utilisateurs l</w:t>
            </w:r>
            <w:r w:rsidR="00016E39" w:rsidRPr="00CF7824">
              <w:rPr>
                <w:rFonts w:cs="Calibri"/>
                <w:color w:val="000000"/>
                <w:sz w:val="20"/>
                <w:szCs w:val="20"/>
                <w:lang w:val="fr-FR"/>
              </w:rPr>
              <w:t>’</w:t>
            </w:r>
            <w:r w:rsidRPr="00CF7824">
              <w:rPr>
                <w:rFonts w:cs="Calibri"/>
                <w:color w:val="000000"/>
                <w:sz w:val="20"/>
                <w:szCs w:val="20"/>
                <w:lang w:val="fr-FR"/>
              </w:rPr>
              <w:t>assurance d</w:t>
            </w:r>
            <w:r w:rsidR="00016E39" w:rsidRPr="00CF7824">
              <w:rPr>
                <w:rFonts w:cs="Calibri"/>
                <w:color w:val="000000"/>
                <w:sz w:val="20"/>
                <w:szCs w:val="20"/>
                <w:lang w:val="fr-FR"/>
              </w:rPr>
              <w:t>’</w:t>
            </w:r>
            <w:r w:rsidRPr="00CF7824">
              <w:rPr>
                <w:rFonts w:cs="Calibri"/>
                <w:color w:val="000000"/>
                <w:sz w:val="20"/>
                <w:szCs w:val="20"/>
                <w:lang w:val="fr-FR"/>
              </w:rPr>
              <w:t>un ensemble d</w:t>
            </w:r>
            <w:r w:rsidR="00016E39" w:rsidRPr="00CF7824">
              <w:rPr>
                <w:rFonts w:cs="Calibri"/>
                <w:color w:val="000000"/>
                <w:sz w:val="20"/>
                <w:szCs w:val="20"/>
                <w:lang w:val="fr-FR"/>
              </w:rPr>
              <w:t>’</w:t>
            </w:r>
            <w:r w:rsidRPr="00CF7824">
              <w:rPr>
                <w:rFonts w:cs="Calibri"/>
                <w:color w:val="000000"/>
                <w:sz w:val="20"/>
                <w:szCs w:val="20"/>
                <w:lang w:val="fr-FR"/>
              </w:rPr>
              <w:t>informations utiles et stables sur la taille des populations biogéographiques et le</w:t>
            </w:r>
            <w:r w:rsidR="006F4457" w:rsidRPr="00CF7824">
              <w:rPr>
                <w:rFonts w:cs="Calibri"/>
                <w:color w:val="000000"/>
                <w:sz w:val="20"/>
                <w:szCs w:val="20"/>
                <w:lang w:val="fr-FR"/>
              </w:rPr>
              <w:t xml:space="preserve">s seuils </w:t>
            </w:r>
            <w:r w:rsidRPr="00CF7824">
              <w:rPr>
                <w:rFonts w:cs="Calibri"/>
                <w:color w:val="000000"/>
                <w:sz w:val="20"/>
                <w:szCs w:val="20"/>
                <w:lang w:val="fr-FR"/>
              </w:rPr>
              <w:t>de 1%, mis à jour assez régulièrement pour permettre des réponses appropriées en matière de conservation pour les populations qui évoluent rapidement (en ce qui concerne leur taille de population, leur répartition, etc.).</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Moins de ressources s</w:t>
            </w:r>
            <w:r w:rsidR="006F4457" w:rsidRPr="00CF7824">
              <w:rPr>
                <w:rFonts w:cs="Calibri"/>
                <w:color w:val="000000"/>
                <w:sz w:val="20"/>
                <w:szCs w:val="20"/>
                <w:lang w:val="fr-FR"/>
              </w:rPr>
              <w:t>eraient</w:t>
            </w:r>
            <w:r w:rsidRPr="00CF7824">
              <w:rPr>
                <w:rFonts w:cs="Calibri"/>
                <w:color w:val="000000"/>
                <w:sz w:val="20"/>
                <w:szCs w:val="20"/>
                <w:lang w:val="fr-FR"/>
              </w:rPr>
              <w:t xml:space="preserve"> potentiellement nécessaires en raison de la fréquence moyenne du cycle de mise à jour (bien que la fréquence relativement longue signifie que le travail risque d</w:t>
            </w:r>
            <w:r w:rsidR="00016E39" w:rsidRPr="00CF7824">
              <w:rPr>
                <w:rFonts w:cs="Calibri"/>
                <w:color w:val="000000"/>
                <w:sz w:val="20"/>
                <w:szCs w:val="20"/>
                <w:lang w:val="fr-FR"/>
              </w:rPr>
              <w:t>’</w:t>
            </w:r>
            <w:r w:rsidRPr="00CF7824">
              <w:rPr>
                <w:rFonts w:cs="Calibri"/>
                <w:color w:val="000000"/>
                <w:sz w:val="20"/>
                <w:szCs w:val="20"/>
                <w:lang w:val="fr-FR"/>
              </w:rPr>
              <w:t>être plus intensif tous les six ans).</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Plusieurs points de données (environ trois) sur une période de 20</w:t>
            </w:r>
            <w:r w:rsidR="00376BA1" w:rsidRPr="00CF7824">
              <w:rPr>
                <w:rFonts w:cs="Calibri"/>
                <w:color w:val="000000"/>
                <w:sz w:val="20"/>
                <w:szCs w:val="20"/>
                <w:lang w:val="fr-FR"/>
              </w:rPr>
              <w:t> </w:t>
            </w:r>
            <w:r w:rsidRPr="00CF7824">
              <w:rPr>
                <w:rFonts w:cs="Calibri"/>
                <w:color w:val="000000"/>
                <w:sz w:val="20"/>
                <w:szCs w:val="20"/>
                <w:lang w:val="fr-FR"/>
              </w:rPr>
              <w:t>ans pour évaluer le changement dans les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et informer les évaluations du changement par l</w:t>
            </w:r>
            <w:r w:rsidR="00016E39" w:rsidRPr="00CF7824">
              <w:rPr>
                <w:rFonts w:cs="Calibri"/>
                <w:color w:val="000000"/>
                <w:sz w:val="20"/>
                <w:szCs w:val="20"/>
                <w:lang w:val="fr-FR"/>
              </w:rPr>
              <w:t>’</w:t>
            </w:r>
            <w:r w:rsidRPr="00CF7824">
              <w:rPr>
                <w:rFonts w:cs="Calibri"/>
                <w:color w:val="000000"/>
                <w:sz w:val="20"/>
                <w:szCs w:val="20"/>
                <w:lang w:val="fr-FR"/>
              </w:rPr>
              <w:t>intermédiaire de processus internationaux tels que le Cadre mondial de la biodiversité de la CDB, les Objectifs de développement durable de l</w:t>
            </w:r>
            <w:r w:rsidR="00016E39" w:rsidRPr="00CF7824">
              <w:rPr>
                <w:rFonts w:cs="Calibri"/>
                <w:color w:val="000000"/>
                <w:sz w:val="20"/>
                <w:szCs w:val="20"/>
                <w:lang w:val="fr-FR"/>
              </w:rPr>
              <w:t>’</w:t>
            </w:r>
            <w:r w:rsidRPr="00CF7824">
              <w:rPr>
                <w:rFonts w:cs="Calibri"/>
                <w:color w:val="000000"/>
                <w:sz w:val="20"/>
                <w:szCs w:val="20"/>
                <w:lang w:val="fr-FR"/>
              </w:rPr>
              <w:t>ONU, les objectifs et cibles du Plan stratégique de la Convention sur les zones humides, etc</w:t>
            </w:r>
            <w:r w:rsidR="001F19B5" w:rsidRPr="00CF7824">
              <w:rPr>
                <w:rFonts w:cs="Calibri"/>
                <w:color w:val="000000"/>
                <w:sz w:val="20"/>
                <w:szCs w:val="20"/>
                <w:lang w:val="fr-FR"/>
              </w:rPr>
              <w:t>.</w:t>
            </w:r>
            <w:r w:rsidRPr="00CF7824">
              <w:rPr>
                <w:rFonts w:cs="Calibri"/>
                <w:color w:val="000000"/>
                <w:sz w:val="20"/>
                <w:szCs w:val="20"/>
                <w:lang w:val="fr-FR"/>
              </w:rPr>
              <w:t>, y compris pour informer les rapports nationaux dans le cadre de ces processus.</w:t>
            </w:r>
          </w:p>
        </w:tc>
        <w:tc>
          <w:tcPr>
            <w:tcW w:w="3119" w:type="dxa"/>
            <w:shd w:val="clear" w:color="auto" w:fill="auto"/>
          </w:tcPr>
          <w:p w:rsidR="009F1C9E" w:rsidRPr="00CF7824" w:rsidRDefault="009F1C9E" w:rsidP="00D05890">
            <w:pPr>
              <w:pBdr>
                <w:top w:val="nil"/>
                <w:left w:val="nil"/>
                <w:bottom w:val="nil"/>
                <w:right w:val="nil"/>
                <w:between w:val="nil"/>
              </w:pBdr>
              <w:ind w:left="8"/>
              <w:rPr>
                <w:rFonts w:asciiTheme="minorHAnsi" w:eastAsia="Arial" w:hAnsiTheme="minorHAnsi" w:cstheme="minorHAnsi"/>
                <w:color w:val="000000"/>
                <w:sz w:val="20"/>
                <w:szCs w:val="20"/>
                <w:lang w:val="fr-FR"/>
              </w:rPr>
            </w:pPr>
          </w:p>
        </w:tc>
      </w:tr>
      <w:tr w:rsidR="0020115C" w:rsidRPr="00785D5E" w:rsidTr="0095581C">
        <w:trPr>
          <w:cantSplit/>
        </w:trPr>
        <w:tc>
          <w:tcPr>
            <w:tcW w:w="2269" w:type="dxa"/>
            <w:shd w:val="clear" w:color="auto" w:fill="auto"/>
          </w:tcPr>
          <w:p w:rsidR="009F1C9E" w:rsidRPr="00CF7824" w:rsidRDefault="00164734" w:rsidP="00D05890">
            <w:pPr>
              <w:pBdr>
                <w:top w:val="nil"/>
                <w:left w:val="nil"/>
                <w:bottom w:val="nil"/>
                <w:right w:val="nil"/>
                <w:between w:val="nil"/>
              </w:pBdr>
              <w:rPr>
                <w:rFonts w:asciiTheme="minorHAnsi" w:hAnsiTheme="minorHAnsi" w:cstheme="minorHAnsi"/>
                <w:sz w:val="20"/>
                <w:szCs w:val="20"/>
                <w:lang w:val="fr-FR"/>
              </w:rPr>
            </w:pPr>
            <w:r w:rsidRPr="00CF7824">
              <w:rPr>
                <w:rFonts w:cs="Calibri"/>
                <w:b/>
                <w:bCs/>
                <w:sz w:val="20"/>
                <w:szCs w:val="20"/>
                <w:lang w:val="fr-FR"/>
              </w:rPr>
              <w:t>1c.</w:t>
            </w:r>
            <w:r w:rsidRPr="00CF7824">
              <w:rPr>
                <w:rFonts w:cs="Calibri"/>
                <w:sz w:val="20"/>
                <w:szCs w:val="20"/>
                <w:lang w:val="fr-FR"/>
              </w:rPr>
              <w:t xml:space="preserve"> </w:t>
            </w:r>
            <w:r w:rsidRPr="00CF7824">
              <w:rPr>
                <w:rFonts w:cs="Calibri"/>
                <w:b/>
                <w:bCs/>
                <w:color w:val="000000"/>
                <w:sz w:val="20"/>
                <w:szCs w:val="20"/>
                <w:lang w:val="fr-FR"/>
              </w:rPr>
              <w:t>Mise à jour périodique régulière </w:t>
            </w:r>
            <w:r w:rsidRPr="00CF7824">
              <w:rPr>
                <w:rFonts w:cs="Calibri"/>
                <w:color w:val="000000"/>
                <w:sz w:val="20"/>
                <w:szCs w:val="20"/>
                <w:lang w:val="fr-FR"/>
              </w:rPr>
              <w:t xml:space="preserve">: Mise à jour des WPE et des seuils de 1% </w:t>
            </w:r>
            <w:r w:rsidRPr="00CF7824">
              <w:rPr>
                <w:rFonts w:cs="Calibri"/>
                <w:b/>
                <w:bCs/>
                <w:color w:val="000000"/>
                <w:sz w:val="20"/>
                <w:szCs w:val="20"/>
                <w:lang w:val="fr-FR"/>
              </w:rPr>
              <w:t xml:space="preserve">tous les </w:t>
            </w:r>
            <w:r w:rsidRPr="00CF7824">
              <w:rPr>
                <w:rFonts w:cs="Calibri"/>
                <w:b/>
                <w:bCs/>
                <w:sz w:val="20"/>
                <w:szCs w:val="20"/>
                <w:lang w:val="fr-FR"/>
              </w:rPr>
              <w:t>neuf ans</w:t>
            </w:r>
            <w:r w:rsidR="00BB3000" w:rsidRPr="00CF7824">
              <w:rPr>
                <w:rFonts w:cs="Calibri"/>
                <w:b/>
                <w:bCs/>
                <w:sz w:val="20"/>
                <w:szCs w:val="20"/>
                <w:lang w:val="fr-FR"/>
              </w:rPr>
              <w:t>.</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Répond à la Résolution</w:t>
            </w:r>
            <w:r w:rsidR="00376BA1" w:rsidRPr="00CF7824">
              <w:rPr>
                <w:rFonts w:cs="Calibri"/>
                <w:color w:val="000000"/>
                <w:sz w:val="20"/>
                <w:szCs w:val="20"/>
                <w:lang w:val="fr-FR"/>
              </w:rPr>
              <w:t> </w:t>
            </w:r>
            <w:r w:rsidRPr="00CF7824">
              <w:rPr>
                <w:rFonts w:cs="Calibri"/>
                <w:color w:val="000000"/>
                <w:sz w:val="20"/>
                <w:szCs w:val="20"/>
                <w:lang w:val="fr-FR"/>
              </w:rPr>
              <w:t>VI.4 de la Convention sur les zones humides</w:t>
            </w:r>
            <w:r w:rsidRPr="00CF7824">
              <w:rPr>
                <w:rFonts w:cs="Calibri"/>
                <w:sz w:val="20"/>
                <w:szCs w:val="20"/>
                <w:lang w:val="fr-FR"/>
              </w:rPr>
              <w:t xml:space="preserve"> pour </w:t>
            </w:r>
            <w:r w:rsidRPr="00CF7824">
              <w:rPr>
                <w:rFonts w:cs="Calibri"/>
                <w:color w:val="000000"/>
                <w:sz w:val="20"/>
                <w:szCs w:val="20"/>
                <w:lang w:val="fr-FR"/>
              </w:rPr>
              <w:t>le cycle de mise à jour de neuf ans des seuils internationaux de 1%</w:t>
            </w:r>
            <w:r w:rsidR="00016E39" w:rsidRPr="00CF7824">
              <w:rPr>
                <w:rFonts w:cs="Calibri"/>
                <w:color w:val="000000"/>
                <w:sz w:val="20"/>
                <w:szCs w:val="20"/>
                <w:lang w:val="fr-FR"/>
              </w:rPr>
              <w:t xml:space="preserve"> </w:t>
            </w:r>
            <w:r w:rsidRPr="00CF7824">
              <w:rPr>
                <w:rFonts w:cs="Calibri"/>
                <w:color w:val="000000"/>
                <w:sz w:val="20"/>
                <w:szCs w:val="20"/>
                <w:lang w:val="fr-FR"/>
              </w:rPr>
              <w:t>(autre que pour les populations en évolution rapide)</w:t>
            </w:r>
            <w:r w:rsidR="006F4457" w:rsidRPr="00CF7824">
              <w:rPr>
                <w:rFonts w:cs="Calibri"/>
                <w:color w:val="000000"/>
                <w:sz w:val="20"/>
                <w:szCs w:val="20"/>
                <w:lang w:val="fr-FR"/>
              </w:rPr>
              <w:t>.</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Potentiellement moins de ressources nécessaires en raison de la fréquence longue du cycle de mise à jour (bien que la fréquence longue signifie que le travail sera probablement plus intensif tous les neuf ans).</w:t>
            </w:r>
          </w:p>
        </w:tc>
        <w:tc>
          <w:tcPr>
            <w:tcW w:w="3119"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Un seul point de données sur une période de dix ans pour évaluer le changement dans les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et informer les évaluations du changement par l</w:t>
            </w:r>
            <w:r w:rsidR="00016E39" w:rsidRPr="00CF7824">
              <w:rPr>
                <w:rFonts w:cs="Calibri"/>
                <w:color w:val="000000"/>
                <w:sz w:val="20"/>
                <w:szCs w:val="20"/>
                <w:lang w:val="fr-FR"/>
              </w:rPr>
              <w:t>’</w:t>
            </w:r>
            <w:r w:rsidRPr="00CF7824">
              <w:rPr>
                <w:rFonts w:cs="Calibri"/>
                <w:color w:val="000000"/>
                <w:sz w:val="20"/>
                <w:szCs w:val="20"/>
                <w:lang w:val="fr-FR"/>
              </w:rPr>
              <w:t>intermédiaire de processus internationaux tels que le Cadre mondial de la biodiversité de la CDB, les Objectifs de développement durable de l</w:t>
            </w:r>
            <w:r w:rsidR="00016E39" w:rsidRPr="00CF7824">
              <w:rPr>
                <w:rFonts w:cs="Calibri"/>
                <w:color w:val="000000"/>
                <w:sz w:val="20"/>
                <w:szCs w:val="20"/>
                <w:lang w:val="fr-FR"/>
              </w:rPr>
              <w:t>’</w:t>
            </w:r>
            <w:r w:rsidRPr="00CF7824">
              <w:rPr>
                <w:rFonts w:cs="Calibri"/>
                <w:color w:val="000000"/>
                <w:sz w:val="20"/>
                <w:szCs w:val="20"/>
                <w:lang w:val="fr-FR"/>
              </w:rPr>
              <w:t>ONU, les objectifs et cibles du Plan stratégique de la Convention sur les zones humides, etc</w:t>
            </w:r>
            <w:r w:rsidR="001F19B5" w:rsidRPr="00CF7824">
              <w:rPr>
                <w:rFonts w:cs="Calibri"/>
                <w:color w:val="000000"/>
                <w:sz w:val="20"/>
                <w:szCs w:val="20"/>
                <w:lang w:val="fr-FR"/>
              </w:rPr>
              <w:t>.</w:t>
            </w:r>
            <w:r w:rsidRPr="00CF7824">
              <w:rPr>
                <w:rFonts w:cs="Calibri"/>
                <w:color w:val="000000"/>
                <w:sz w:val="20"/>
                <w:szCs w:val="20"/>
                <w:lang w:val="fr-FR"/>
              </w:rPr>
              <w:t>, y compris pour informer les rapports nationaux dans le cadre de ces processus.</w:t>
            </w:r>
          </w:p>
        </w:tc>
      </w:tr>
      <w:tr w:rsidR="0020115C" w:rsidRPr="00785D5E" w:rsidTr="0095581C">
        <w:trPr>
          <w:cantSplit/>
        </w:trPr>
        <w:tc>
          <w:tcPr>
            <w:tcW w:w="2269" w:type="dxa"/>
            <w:shd w:val="clear" w:color="auto" w:fill="auto"/>
          </w:tcPr>
          <w:p w:rsidR="009F1C9E" w:rsidRPr="00CF7824" w:rsidRDefault="00D20A0A" w:rsidP="00D20A0A">
            <w:pPr>
              <w:pBdr>
                <w:top w:val="nil"/>
                <w:left w:val="nil"/>
                <w:bottom w:val="nil"/>
                <w:right w:val="nil"/>
                <w:between w:val="nil"/>
              </w:pBdr>
              <w:rPr>
                <w:rFonts w:asciiTheme="minorHAnsi" w:eastAsia="Arial" w:hAnsiTheme="minorHAnsi" w:cstheme="minorHAnsi"/>
                <w:color w:val="000000"/>
                <w:sz w:val="20"/>
                <w:szCs w:val="20"/>
                <w:lang w:val="fr-FR"/>
              </w:rPr>
            </w:pPr>
            <w:r w:rsidRPr="00CF7824">
              <w:rPr>
                <w:rFonts w:cs="Calibri"/>
                <w:b/>
                <w:bCs/>
                <w:color w:val="000000"/>
                <w:sz w:val="20"/>
                <w:szCs w:val="20"/>
                <w:lang w:val="fr-FR"/>
              </w:rPr>
              <w:lastRenderedPageBreak/>
              <w:t>2. Mise</w:t>
            </w:r>
            <w:r w:rsidR="00164734" w:rsidRPr="00CF7824">
              <w:rPr>
                <w:rFonts w:cs="Calibri"/>
                <w:b/>
                <w:bCs/>
                <w:color w:val="000000"/>
                <w:sz w:val="20"/>
                <w:szCs w:val="20"/>
                <w:lang w:val="fr-FR"/>
              </w:rPr>
              <w:t xml:space="preserve"> à jour </w:t>
            </w:r>
            <w:r w:rsidRPr="00CF7824">
              <w:rPr>
                <w:rFonts w:cs="Calibri"/>
                <w:b/>
                <w:bCs/>
                <w:color w:val="000000"/>
                <w:sz w:val="20"/>
                <w:szCs w:val="20"/>
                <w:lang w:val="fr-FR"/>
              </w:rPr>
              <w:t>continue</w:t>
            </w:r>
            <w:r w:rsidR="00164734" w:rsidRPr="00CF7824">
              <w:rPr>
                <w:rFonts w:cs="Calibri"/>
                <w:color w:val="000000"/>
                <w:sz w:val="20"/>
                <w:szCs w:val="20"/>
                <w:lang w:val="fr-FR"/>
              </w:rPr>
              <w:t xml:space="preserve"> en fonction des nouvelles informations et des évaluations indépendantes de la taille et de la tendance d</w:t>
            </w:r>
            <w:r w:rsidR="00016E39" w:rsidRPr="00CF7824">
              <w:rPr>
                <w:rFonts w:cs="Calibri"/>
                <w:color w:val="000000"/>
                <w:sz w:val="20"/>
                <w:szCs w:val="20"/>
                <w:lang w:val="fr-FR"/>
              </w:rPr>
              <w:t>’</w:t>
            </w:r>
            <w:r w:rsidR="00164734" w:rsidRPr="00CF7824">
              <w:rPr>
                <w:rFonts w:cs="Calibri"/>
                <w:color w:val="000000"/>
                <w:sz w:val="20"/>
                <w:szCs w:val="20"/>
                <w:lang w:val="fr-FR"/>
              </w:rPr>
              <w:t>espèces/populations particulières</w:t>
            </w:r>
            <w:r w:rsidR="00BB3000" w:rsidRPr="00CF7824">
              <w:rPr>
                <w:rFonts w:cs="Calibri"/>
                <w:color w:val="000000"/>
                <w:sz w:val="20"/>
                <w:szCs w:val="20"/>
                <w:lang w:val="fr-FR"/>
              </w:rPr>
              <w:t>.</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Bénéficier des dernières recherches sur la taille et les tendances des populations pour mettre à jour les seuils de 1% pour l</w:t>
            </w:r>
            <w:r w:rsidR="00016E39" w:rsidRPr="00CF7824">
              <w:rPr>
                <w:rFonts w:cs="Calibri"/>
                <w:color w:val="000000"/>
                <w:sz w:val="20"/>
                <w:szCs w:val="20"/>
                <w:lang w:val="fr-FR"/>
              </w:rPr>
              <w:t>’</w:t>
            </w:r>
            <w:r w:rsidR="00D20A0A" w:rsidRPr="00CF7824">
              <w:rPr>
                <w:rFonts w:cs="Calibri"/>
                <w:color w:val="000000"/>
                <w:sz w:val="20"/>
                <w:szCs w:val="20"/>
                <w:lang w:val="fr-FR"/>
              </w:rPr>
              <w:t xml:space="preserve">inscription et la </w:t>
            </w:r>
            <w:r w:rsidRPr="00CF7824">
              <w:rPr>
                <w:rFonts w:cs="Calibri"/>
                <w:color w:val="000000"/>
                <w:sz w:val="20"/>
                <w:szCs w:val="20"/>
                <w:lang w:val="fr-FR"/>
              </w:rPr>
              <w:t xml:space="preserve">gestion des </w:t>
            </w:r>
            <w:r w:rsidR="00F77F5A" w:rsidRPr="00CF7824">
              <w:rPr>
                <w:rFonts w:cs="Calibri"/>
                <w:color w:val="000000"/>
                <w:sz w:val="20"/>
                <w:szCs w:val="20"/>
                <w:lang w:val="fr-FR"/>
              </w:rPr>
              <w:t>Sites Ramsar</w:t>
            </w:r>
            <w:r w:rsidRPr="00CF7824">
              <w:rPr>
                <w:rFonts w:cs="Calibri"/>
                <w:color w:val="000000"/>
                <w:sz w:val="20"/>
                <w:szCs w:val="20"/>
                <w:lang w:val="fr-FR"/>
              </w:rPr>
              <w:t>, des sites du réseau des voies de migration et d</w:t>
            </w:r>
            <w:r w:rsidR="00016E39" w:rsidRPr="00CF7824">
              <w:rPr>
                <w:rFonts w:cs="Calibri"/>
                <w:color w:val="000000"/>
                <w:sz w:val="20"/>
                <w:szCs w:val="20"/>
                <w:lang w:val="fr-FR"/>
              </w:rPr>
              <w:t>’</w:t>
            </w:r>
            <w:r w:rsidRPr="00CF7824">
              <w:rPr>
                <w:rFonts w:cs="Calibri"/>
                <w:color w:val="000000"/>
                <w:sz w:val="20"/>
                <w:szCs w:val="20"/>
                <w:lang w:val="fr-FR"/>
              </w:rPr>
              <w:t>autres utilisations.</w:t>
            </w:r>
          </w:p>
          <w:p w:rsidR="009F1C9E" w:rsidRPr="00CF7824" w:rsidRDefault="00164734" w:rsidP="00D05890">
            <w:pPr>
              <w:numPr>
                <w:ilvl w:val="0"/>
                <w:numId w:val="6"/>
              </w:numPr>
              <w:pBdr>
                <w:top w:val="nil"/>
                <w:left w:val="nil"/>
                <w:bottom w:val="nil"/>
                <w:right w:val="nil"/>
                <w:between w:val="nil"/>
              </w:pBdr>
              <w:ind w:left="292" w:hanging="284"/>
              <w:rPr>
                <w:rFonts w:asciiTheme="minorHAnsi" w:hAnsiTheme="minorHAnsi" w:cstheme="minorHAnsi"/>
                <w:sz w:val="20"/>
                <w:szCs w:val="20"/>
                <w:lang w:val="fr-FR"/>
              </w:rPr>
            </w:pPr>
            <w:r w:rsidRPr="00CF7824">
              <w:rPr>
                <w:rFonts w:cs="Calibri"/>
                <w:color w:val="000000"/>
                <w:sz w:val="20"/>
                <w:szCs w:val="20"/>
                <w:lang w:val="fr-FR"/>
              </w:rPr>
              <w:t>L</w:t>
            </w:r>
            <w:r w:rsidR="00016E39" w:rsidRPr="00CF7824">
              <w:rPr>
                <w:rFonts w:cs="Calibri"/>
                <w:color w:val="000000"/>
                <w:sz w:val="20"/>
                <w:szCs w:val="20"/>
                <w:lang w:val="fr-FR"/>
              </w:rPr>
              <w:t>’</w:t>
            </w:r>
            <w:r w:rsidRPr="00CF7824">
              <w:rPr>
                <w:rFonts w:cs="Calibri"/>
                <w:color w:val="000000"/>
                <w:sz w:val="20"/>
                <w:szCs w:val="20"/>
                <w:lang w:val="fr-FR"/>
              </w:rPr>
              <w:t>étalement des coûts peut rendre le financement plus facile que des campagnes périodiques.</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Gestion plus facile des capacités du personnel</w:t>
            </w:r>
            <w:r w:rsidR="00BB3000" w:rsidRPr="00CF7824">
              <w:rPr>
                <w:rFonts w:cs="Calibri"/>
                <w:color w:val="000000"/>
                <w:sz w:val="20"/>
                <w:szCs w:val="20"/>
                <w:lang w:val="fr-FR"/>
              </w:rPr>
              <w:t>.</w:t>
            </w:r>
          </w:p>
        </w:tc>
        <w:tc>
          <w:tcPr>
            <w:tcW w:w="3119"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Pas de stabilité des seuils de 1% pour l</w:t>
            </w:r>
            <w:r w:rsidR="00016E39" w:rsidRPr="00CF7824">
              <w:rPr>
                <w:rFonts w:cs="Calibri"/>
                <w:color w:val="000000"/>
                <w:sz w:val="20"/>
                <w:szCs w:val="20"/>
                <w:lang w:val="fr-FR"/>
              </w:rPr>
              <w:t>’</w:t>
            </w:r>
            <w:r w:rsidRPr="00CF7824">
              <w:rPr>
                <w:rFonts w:cs="Calibri"/>
                <w:color w:val="000000"/>
                <w:sz w:val="20"/>
                <w:szCs w:val="20"/>
                <w:lang w:val="fr-FR"/>
              </w:rPr>
              <w:t xml:space="preserve">inscription/gestion des </w:t>
            </w:r>
            <w:r w:rsidR="00F77F5A" w:rsidRPr="00CF7824">
              <w:rPr>
                <w:rFonts w:cs="Calibri"/>
                <w:color w:val="000000"/>
                <w:sz w:val="20"/>
                <w:szCs w:val="20"/>
                <w:lang w:val="fr-FR"/>
              </w:rPr>
              <w:t>Sites Ramsar</w:t>
            </w:r>
            <w:r w:rsidRPr="00CF7824">
              <w:rPr>
                <w:rFonts w:cs="Calibri"/>
                <w:color w:val="000000"/>
                <w:sz w:val="20"/>
                <w:szCs w:val="20"/>
                <w:lang w:val="fr-FR"/>
              </w:rPr>
              <w:t>, des sites du réseau de voies de migration et d</w:t>
            </w:r>
            <w:r w:rsidR="00016E39" w:rsidRPr="00CF7824">
              <w:rPr>
                <w:rFonts w:cs="Calibri"/>
                <w:color w:val="000000"/>
                <w:sz w:val="20"/>
                <w:szCs w:val="20"/>
                <w:lang w:val="fr-FR"/>
              </w:rPr>
              <w:t>’</w:t>
            </w:r>
            <w:r w:rsidRPr="00CF7824">
              <w:rPr>
                <w:rFonts w:cs="Calibri"/>
                <w:color w:val="000000"/>
                <w:sz w:val="20"/>
                <w:szCs w:val="20"/>
                <w:lang w:val="fr-FR"/>
              </w:rPr>
              <w:t>autres utilisations</w:t>
            </w:r>
            <w:r w:rsidR="00D20A0A" w:rsidRPr="00CF7824">
              <w:rPr>
                <w:rFonts w:cs="Calibri"/>
                <w:color w:val="000000"/>
                <w:sz w:val="20"/>
                <w:szCs w:val="20"/>
                <w:lang w:val="fr-FR"/>
              </w:rPr>
              <w:t>.</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Incertitude pour les Parties avec des changements rapides et ad hoc des seuils</w:t>
            </w:r>
            <w:r w:rsidR="00D20A0A" w:rsidRPr="00CF7824">
              <w:rPr>
                <w:rFonts w:cs="Calibri"/>
                <w:color w:val="000000"/>
                <w:sz w:val="20"/>
                <w:szCs w:val="20"/>
                <w:lang w:val="fr-FR"/>
              </w:rPr>
              <w:t xml:space="preserve"> de 1%</w:t>
            </w:r>
            <w:r w:rsidRPr="00CF7824">
              <w:rPr>
                <w:rFonts w:cs="Calibri"/>
                <w:color w:val="000000"/>
                <w:sz w:val="20"/>
                <w:szCs w:val="20"/>
                <w:lang w:val="fr-FR"/>
              </w:rPr>
              <w:t xml:space="preserve"> qui devraient servir de référence pour l</w:t>
            </w:r>
            <w:r w:rsidR="00016E39" w:rsidRPr="00CF7824">
              <w:rPr>
                <w:rFonts w:cs="Calibri"/>
                <w:color w:val="000000"/>
                <w:sz w:val="20"/>
                <w:szCs w:val="20"/>
                <w:lang w:val="fr-FR"/>
              </w:rPr>
              <w:t>’</w:t>
            </w:r>
            <w:r w:rsidRPr="00CF7824">
              <w:rPr>
                <w:rFonts w:cs="Calibri"/>
                <w:color w:val="000000"/>
                <w:sz w:val="20"/>
                <w:szCs w:val="20"/>
                <w:lang w:val="fr-FR"/>
              </w:rPr>
              <w:t>évaluation</w:t>
            </w:r>
            <w:r w:rsidR="00D20A0A" w:rsidRPr="00CF7824">
              <w:rPr>
                <w:rFonts w:cs="Calibri"/>
                <w:color w:val="000000"/>
                <w:sz w:val="20"/>
                <w:szCs w:val="20"/>
                <w:lang w:val="fr-FR"/>
              </w:rPr>
              <w:t>.</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Désynchronisation en ce qui concerne les espèces et les populations couvertes par les CSR et d</w:t>
            </w:r>
            <w:r w:rsidR="00016E39" w:rsidRPr="00CF7824">
              <w:rPr>
                <w:rFonts w:cs="Calibri"/>
                <w:color w:val="000000"/>
                <w:sz w:val="20"/>
                <w:szCs w:val="20"/>
                <w:lang w:val="fr-FR"/>
              </w:rPr>
              <w:t>’</w:t>
            </w:r>
            <w:r w:rsidRPr="00CF7824">
              <w:rPr>
                <w:rFonts w:cs="Calibri"/>
                <w:color w:val="000000"/>
                <w:sz w:val="20"/>
                <w:szCs w:val="20"/>
                <w:lang w:val="fr-FR"/>
              </w:rPr>
              <w:t>autres processus régionaux</w:t>
            </w:r>
            <w:r w:rsidR="00D20A0A" w:rsidRPr="00CF7824">
              <w:rPr>
                <w:rFonts w:cs="Calibri"/>
                <w:color w:val="000000"/>
                <w:sz w:val="20"/>
                <w:szCs w:val="20"/>
                <w:lang w:val="fr-FR"/>
              </w:rPr>
              <w:t>.</w:t>
            </w:r>
          </w:p>
        </w:tc>
      </w:tr>
      <w:tr w:rsidR="0020115C" w:rsidRPr="00785D5E" w:rsidTr="0095581C">
        <w:trPr>
          <w:cantSplit/>
        </w:trPr>
        <w:tc>
          <w:tcPr>
            <w:tcW w:w="2269" w:type="dxa"/>
            <w:shd w:val="clear" w:color="auto" w:fill="auto"/>
          </w:tcPr>
          <w:p w:rsidR="009F1C9E" w:rsidRPr="00CF7824" w:rsidRDefault="00164734" w:rsidP="00D05890">
            <w:pPr>
              <w:pBdr>
                <w:top w:val="nil"/>
                <w:left w:val="nil"/>
                <w:bottom w:val="nil"/>
                <w:right w:val="nil"/>
                <w:between w:val="nil"/>
              </w:pBdr>
              <w:rPr>
                <w:rFonts w:asciiTheme="minorHAnsi" w:eastAsia="Arial" w:hAnsiTheme="minorHAnsi" w:cstheme="minorHAnsi"/>
                <w:color w:val="000000"/>
                <w:sz w:val="20"/>
                <w:szCs w:val="20"/>
                <w:lang w:val="fr-FR"/>
              </w:rPr>
            </w:pPr>
            <w:r w:rsidRPr="00CF7824">
              <w:rPr>
                <w:rFonts w:cs="Calibri"/>
                <w:b/>
                <w:bCs/>
                <w:color w:val="000000"/>
                <w:sz w:val="20"/>
                <w:szCs w:val="20"/>
                <w:lang w:val="fr-FR"/>
              </w:rPr>
              <w:t>3. Une combinaison des options</w:t>
            </w:r>
            <w:r w:rsidR="001F19B5" w:rsidRPr="00CF7824">
              <w:rPr>
                <w:rFonts w:cs="Calibri"/>
                <w:b/>
                <w:bCs/>
                <w:color w:val="000000"/>
                <w:sz w:val="20"/>
                <w:szCs w:val="20"/>
                <w:lang w:val="fr-FR"/>
              </w:rPr>
              <w:t> </w:t>
            </w:r>
            <w:r w:rsidRPr="00CF7824">
              <w:rPr>
                <w:rFonts w:cs="Calibri"/>
                <w:b/>
                <w:bCs/>
                <w:color w:val="000000"/>
                <w:sz w:val="20"/>
                <w:szCs w:val="20"/>
                <w:lang w:val="fr-FR"/>
              </w:rPr>
              <w:t>1 et 2 (période rég</w:t>
            </w:r>
            <w:r w:rsidR="00D20A0A" w:rsidRPr="00CF7824">
              <w:rPr>
                <w:rFonts w:cs="Calibri"/>
                <w:b/>
                <w:bCs/>
                <w:color w:val="000000"/>
                <w:sz w:val="20"/>
                <w:szCs w:val="20"/>
                <w:lang w:val="fr-FR"/>
              </w:rPr>
              <w:t>ulière et mise à jour continue</w:t>
            </w:r>
            <w:r w:rsidRPr="00CF7824">
              <w:rPr>
                <w:rFonts w:cs="Calibri"/>
                <w:b/>
                <w:bCs/>
                <w:color w:val="000000"/>
                <w:sz w:val="20"/>
                <w:szCs w:val="20"/>
                <w:lang w:val="fr-FR"/>
              </w:rPr>
              <w:t>)</w:t>
            </w:r>
            <w:r w:rsidRPr="00CF7824">
              <w:rPr>
                <w:rFonts w:cs="Calibri"/>
                <w:color w:val="000000"/>
                <w:sz w:val="20"/>
                <w:szCs w:val="20"/>
                <w:lang w:val="fr-FR"/>
              </w:rPr>
              <w:t>. Les mises à jour des WPE et des seuils de 1% pourraient encore avoir lieu tous les trois ou six ans, tandis que le processus de révision sous-jacent pourrait se dérouler en continu.</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Les flux de données contenant de nouvelles estimations et des informations sur les tendances sont reçus et stockés de façon continue.</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Maintien d</w:t>
            </w:r>
            <w:r w:rsidR="00016E39" w:rsidRPr="00CF7824">
              <w:rPr>
                <w:rFonts w:cs="Calibri"/>
                <w:color w:val="000000"/>
                <w:sz w:val="20"/>
                <w:szCs w:val="20"/>
                <w:lang w:val="fr-FR"/>
              </w:rPr>
              <w:t>’</w:t>
            </w:r>
            <w:r w:rsidRPr="00CF7824">
              <w:rPr>
                <w:rFonts w:cs="Calibri"/>
                <w:color w:val="000000"/>
                <w:sz w:val="20"/>
                <w:szCs w:val="20"/>
                <w:lang w:val="fr-FR"/>
              </w:rPr>
              <w:t>un dialogue continu avec tous les partenaires de la voie de migration / fournisseurs de données, ce qui pourrait également encourager des synergies plus efficaces et la fourniture des informations les plus récentes dans les meilleurs délais.</w:t>
            </w:r>
          </w:p>
        </w:tc>
        <w:tc>
          <w:tcPr>
            <w:tcW w:w="3119" w:type="dxa"/>
            <w:shd w:val="clear" w:color="auto" w:fill="auto"/>
          </w:tcPr>
          <w:p w:rsidR="009F1C9E" w:rsidRPr="00CF7824" w:rsidRDefault="00164734" w:rsidP="00D20A0A">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Besoin</w:t>
            </w:r>
            <w:r w:rsidR="00D20A0A" w:rsidRPr="00CF7824">
              <w:rPr>
                <w:rFonts w:cs="Calibri"/>
                <w:color w:val="000000"/>
                <w:sz w:val="20"/>
                <w:szCs w:val="20"/>
                <w:lang w:val="fr-FR"/>
              </w:rPr>
              <w:t>s</w:t>
            </w:r>
            <w:r w:rsidRPr="00CF7824">
              <w:rPr>
                <w:rFonts w:cs="Calibri"/>
                <w:color w:val="000000"/>
                <w:sz w:val="20"/>
                <w:szCs w:val="20"/>
                <w:lang w:val="fr-FR"/>
              </w:rPr>
              <w:t xml:space="preserve"> de ressources </w:t>
            </w:r>
            <w:r w:rsidR="00D20A0A" w:rsidRPr="00CF7824">
              <w:rPr>
                <w:rFonts w:cs="Calibri"/>
                <w:color w:val="000000"/>
                <w:sz w:val="20"/>
                <w:szCs w:val="20"/>
                <w:lang w:val="fr-FR"/>
              </w:rPr>
              <w:t xml:space="preserve">permanents </w:t>
            </w:r>
            <w:r w:rsidRPr="00CF7824">
              <w:rPr>
                <w:rFonts w:cs="Calibri"/>
                <w:color w:val="000000"/>
                <w:sz w:val="20"/>
                <w:szCs w:val="20"/>
                <w:lang w:val="fr-FR"/>
              </w:rPr>
              <w:t>pour des mises à jour continues, en plus des processus et des publications périodiques des WPE</w:t>
            </w:r>
            <w:r w:rsidR="00D20A0A" w:rsidRPr="00CF7824">
              <w:rPr>
                <w:rFonts w:cs="Calibri"/>
                <w:color w:val="000000"/>
                <w:sz w:val="20"/>
                <w:szCs w:val="20"/>
                <w:lang w:val="fr-FR"/>
              </w:rPr>
              <w:t>.</w:t>
            </w:r>
          </w:p>
        </w:tc>
      </w:tr>
      <w:tr w:rsidR="0020115C" w:rsidRPr="00785D5E" w:rsidTr="0095581C">
        <w:trPr>
          <w:cantSplit/>
        </w:trPr>
        <w:tc>
          <w:tcPr>
            <w:tcW w:w="2269" w:type="dxa"/>
            <w:shd w:val="clear" w:color="auto" w:fill="auto"/>
          </w:tcPr>
          <w:p w:rsidR="009F1C9E" w:rsidRPr="00CF7824" w:rsidRDefault="00164734" w:rsidP="00D20A0A">
            <w:pPr>
              <w:pStyle w:val="pf0"/>
              <w:spacing w:before="0" w:beforeAutospacing="0" w:after="0" w:afterAutospacing="0"/>
              <w:rPr>
                <w:rFonts w:asciiTheme="minorHAnsi" w:eastAsia="Arial" w:hAnsiTheme="minorHAnsi" w:cstheme="minorHAnsi"/>
                <w:color w:val="000000"/>
                <w:sz w:val="20"/>
                <w:szCs w:val="20"/>
                <w:lang w:val="fr-FR"/>
              </w:rPr>
            </w:pPr>
            <w:r w:rsidRPr="00CF7824">
              <w:rPr>
                <w:rStyle w:val="cf01"/>
                <w:rFonts w:ascii="Calibri" w:eastAsia="Calibri" w:hAnsi="Calibri" w:cs="Calibri"/>
                <w:b/>
                <w:bCs/>
                <w:sz w:val="20"/>
                <w:szCs w:val="20"/>
                <w:lang w:val="fr-FR"/>
              </w:rPr>
              <w:t xml:space="preserve">4. </w:t>
            </w:r>
            <w:r w:rsidRPr="00CF7824">
              <w:rPr>
                <w:rStyle w:val="cf01"/>
                <w:rFonts w:ascii="Calibri" w:eastAsia="Calibri" w:hAnsi="Calibri" w:cs="Calibri"/>
                <w:b/>
                <w:bCs/>
                <w:color w:val="000000"/>
                <w:sz w:val="20"/>
                <w:szCs w:val="20"/>
                <w:lang w:val="fr-FR"/>
              </w:rPr>
              <w:t xml:space="preserve">WPE et seuils de 1% mis à jour de manière asynchrone – </w:t>
            </w:r>
            <w:r w:rsidRPr="00CF7824">
              <w:rPr>
                <w:rStyle w:val="cf01"/>
                <w:rFonts w:ascii="Calibri" w:eastAsia="Calibri" w:hAnsi="Calibri" w:cs="Calibri"/>
                <w:sz w:val="20"/>
                <w:szCs w:val="20"/>
                <w:lang w:val="fr-FR"/>
              </w:rPr>
              <w:t xml:space="preserve">WPE publiés </w:t>
            </w:r>
            <w:r w:rsidRPr="00CF7824">
              <w:rPr>
                <w:rStyle w:val="cf01"/>
                <w:rFonts w:ascii="Calibri" w:eastAsia="Calibri" w:hAnsi="Calibri" w:cs="Calibri"/>
                <w:color w:val="000000"/>
                <w:sz w:val="20"/>
                <w:szCs w:val="20"/>
                <w:lang w:val="fr-FR"/>
              </w:rPr>
              <w:t>tous les trois ans lorsque les données sont disponibles (comme pour l</w:t>
            </w:r>
            <w:r w:rsidR="00016E39" w:rsidRPr="00CF7824">
              <w:rPr>
                <w:rStyle w:val="cf01"/>
                <w:rFonts w:ascii="Calibri" w:eastAsia="Calibri" w:hAnsi="Calibri" w:cs="Calibri"/>
                <w:color w:val="000000"/>
                <w:sz w:val="20"/>
                <w:szCs w:val="20"/>
                <w:lang w:val="fr-FR"/>
              </w:rPr>
              <w:t>’</w:t>
            </w:r>
            <w:r w:rsidRPr="00CF7824">
              <w:rPr>
                <w:rStyle w:val="cf01"/>
                <w:rFonts w:ascii="Calibri" w:eastAsia="Calibri" w:hAnsi="Calibri" w:cs="Calibri"/>
                <w:color w:val="000000"/>
                <w:sz w:val="20"/>
                <w:szCs w:val="20"/>
                <w:lang w:val="fr-FR"/>
              </w:rPr>
              <w:t>option</w:t>
            </w:r>
            <w:r w:rsidR="00376BA1" w:rsidRPr="00CF7824">
              <w:rPr>
                <w:rStyle w:val="cf01"/>
                <w:rFonts w:ascii="Calibri" w:eastAsia="Calibri" w:hAnsi="Calibri" w:cs="Calibri"/>
                <w:color w:val="000000"/>
                <w:sz w:val="20"/>
                <w:szCs w:val="20"/>
                <w:lang w:val="fr-FR"/>
              </w:rPr>
              <w:t> </w:t>
            </w:r>
            <w:r w:rsidRPr="00CF7824">
              <w:rPr>
                <w:rStyle w:val="cf01"/>
                <w:rFonts w:ascii="Calibri" w:eastAsia="Calibri" w:hAnsi="Calibri" w:cs="Calibri"/>
                <w:color w:val="000000"/>
                <w:sz w:val="20"/>
                <w:szCs w:val="20"/>
                <w:lang w:val="fr-FR"/>
              </w:rPr>
              <w:t>1a)</w:t>
            </w:r>
            <w:r w:rsidRPr="00CF7824">
              <w:rPr>
                <w:rStyle w:val="cf01"/>
                <w:rFonts w:ascii="Calibri" w:eastAsia="Calibri" w:hAnsi="Calibri" w:cs="Calibri"/>
                <w:sz w:val="20"/>
                <w:szCs w:val="20"/>
                <w:lang w:val="fr-FR"/>
              </w:rPr>
              <w:t xml:space="preserve"> mais seuils de 1% examinés et mis à jour que toutes les trois périodes trie</w:t>
            </w:r>
            <w:r w:rsidR="00D20A0A" w:rsidRPr="00CF7824">
              <w:rPr>
                <w:rStyle w:val="cf01"/>
                <w:rFonts w:ascii="Calibri" w:eastAsia="Calibri" w:hAnsi="Calibri" w:cs="Calibri"/>
                <w:sz w:val="20"/>
                <w:szCs w:val="20"/>
                <w:lang w:val="fr-FR"/>
              </w:rPr>
              <w:t xml:space="preserve">nnales (tous les neuf ans). Toutefois, </w:t>
            </w:r>
            <w:r w:rsidRPr="00CF7824">
              <w:rPr>
                <w:rStyle w:val="cf01"/>
                <w:rFonts w:ascii="Calibri" w:eastAsia="Calibri" w:hAnsi="Calibri" w:cs="Calibri"/>
                <w:sz w:val="20"/>
                <w:szCs w:val="20"/>
                <w:lang w:val="fr-FR"/>
              </w:rPr>
              <w:t>maintien de la possibilité de mettre à jour les seuils de 1% plus fréquemm</w:t>
            </w:r>
            <w:r w:rsidR="00D20A0A" w:rsidRPr="00CF7824">
              <w:rPr>
                <w:rStyle w:val="cf01"/>
                <w:rFonts w:ascii="Calibri" w:eastAsia="Calibri" w:hAnsi="Calibri" w:cs="Calibri"/>
                <w:sz w:val="20"/>
                <w:szCs w:val="20"/>
                <w:lang w:val="fr-FR"/>
              </w:rPr>
              <w:t>ent (tous les trois ou six ans) en cas d’évolution rapide des populations.</w:t>
            </w:r>
          </w:p>
        </w:tc>
        <w:tc>
          <w:tcPr>
            <w:tcW w:w="4252"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rPr>
            </w:pPr>
            <w:r w:rsidRPr="00CF7824">
              <w:rPr>
                <w:rFonts w:cs="Calibri"/>
                <w:color w:val="000000"/>
                <w:sz w:val="20"/>
                <w:szCs w:val="20"/>
                <w:lang w:val="fr-FR"/>
              </w:rPr>
              <w:t>Voir 1a.</w:t>
            </w:r>
          </w:p>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lang w:val="fr-FR"/>
              </w:rPr>
            </w:pPr>
            <w:r w:rsidRPr="00CF7824">
              <w:rPr>
                <w:rFonts w:cs="Calibri"/>
                <w:color w:val="000000"/>
                <w:sz w:val="20"/>
                <w:szCs w:val="20"/>
                <w:lang w:val="fr-FR"/>
              </w:rPr>
              <w:t>Les ressources nécessaires pour produire les seuils de 1% ne sont nécessaires qu</w:t>
            </w:r>
            <w:r w:rsidR="00016E39" w:rsidRPr="00CF7824">
              <w:rPr>
                <w:rFonts w:cs="Calibri"/>
                <w:color w:val="000000"/>
                <w:sz w:val="20"/>
                <w:szCs w:val="20"/>
                <w:lang w:val="fr-FR"/>
              </w:rPr>
              <w:t>’</w:t>
            </w:r>
            <w:r w:rsidRPr="00CF7824">
              <w:rPr>
                <w:rFonts w:cs="Calibri"/>
                <w:color w:val="000000"/>
                <w:sz w:val="20"/>
                <w:szCs w:val="20"/>
                <w:lang w:val="fr-FR"/>
              </w:rPr>
              <w:t>une fois tous les neuf ans.</w:t>
            </w:r>
          </w:p>
        </w:tc>
        <w:tc>
          <w:tcPr>
            <w:tcW w:w="3119" w:type="dxa"/>
            <w:shd w:val="clear" w:color="auto" w:fill="auto"/>
          </w:tcPr>
          <w:p w:rsidR="009F1C9E" w:rsidRPr="00CF7824" w:rsidRDefault="0016473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lang w:val="fr-FR"/>
              </w:rPr>
            </w:pPr>
            <w:r w:rsidRPr="00CF7824">
              <w:rPr>
                <w:rFonts w:cs="Calibri"/>
                <w:color w:val="000000"/>
                <w:sz w:val="20"/>
                <w:szCs w:val="20"/>
                <w:lang w:val="fr-FR"/>
              </w:rPr>
              <w:t>WPE publiés tous les trois ans – davantage de ressources nécessaires en raison de la fréquence rapide du cycle de mise à jour (bien que la fréquence rapide permette probablement d</w:t>
            </w:r>
            <w:r w:rsidR="00016E39" w:rsidRPr="00CF7824">
              <w:rPr>
                <w:rFonts w:cs="Calibri"/>
                <w:color w:val="000000"/>
                <w:sz w:val="20"/>
                <w:szCs w:val="20"/>
                <w:lang w:val="fr-FR"/>
              </w:rPr>
              <w:t>’</w:t>
            </w:r>
            <w:r w:rsidRPr="00CF7824">
              <w:rPr>
                <w:rFonts w:cs="Calibri"/>
                <w:color w:val="000000"/>
                <w:sz w:val="20"/>
                <w:szCs w:val="20"/>
                <w:lang w:val="fr-FR"/>
              </w:rPr>
              <w:t>économiser des ressources</w:t>
            </w:r>
            <w:r w:rsidR="001F19B5" w:rsidRPr="00CF7824">
              <w:rPr>
                <w:rFonts w:cs="Calibri"/>
                <w:color w:val="000000"/>
                <w:sz w:val="20"/>
                <w:szCs w:val="20"/>
                <w:lang w:val="fr-FR"/>
              </w:rPr>
              <w:t>,</w:t>
            </w:r>
            <w:r w:rsidRPr="00CF7824">
              <w:rPr>
                <w:rFonts w:cs="Calibri"/>
                <w:color w:val="000000"/>
                <w:sz w:val="20"/>
                <w:szCs w:val="20"/>
                <w:lang w:val="fr-FR"/>
              </w:rPr>
              <w:t xml:space="preserve"> car tous les travaux n</w:t>
            </w:r>
            <w:r w:rsidR="00016E39" w:rsidRPr="00CF7824">
              <w:rPr>
                <w:rFonts w:cs="Calibri"/>
                <w:color w:val="000000"/>
                <w:sz w:val="20"/>
                <w:szCs w:val="20"/>
                <w:lang w:val="fr-FR"/>
              </w:rPr>
              <w:t>’</w:t>
            </w:r>
            <w:r w:rsidRPr="00CF7824">
              <w:rPr>
                <w:rFonts w:cs="Calibri"/>
                <w:color w:val="000000"/>
                <w:sz w:val="20"/>
                <w:szCs w:val="20"/>
                <w:lang w:val="fr-FR"/>
              </w:rPr>
              <w:t>attendent pas d</w:t>
            </w:r>
            <w:r w:rsidR="00016E39" w:rsidRPr="00CF7824">
              <w:rPr>
                <w:rFonts w:cs="Calibri"/>
                <w:color w:val="000000"/>
                <w:sz w:val="20"/>
                <w:szCs w:val="20"/>
                <w:lang w:val="fr-FR"/>
              </w:rPr>
              <w:t>’</w:t>
            </w:r>
            <w:r w:rsidRPr="00CF7824">
              <w:rPr>
                <w:rFonts w:cs="Calibri"/>
                <w:color w:val="000000"/>
                <w:sz w:val="20"/>
                <w:szCs w:val="20"/>
                <w:lang w:val="fr-FR"/>
              </w:rPr>
              <w:t>être effectués tous les six ou neuf ans, comme dans les options 1b et 1c).</w:t>
            </w:r>
          </w:p>
        </w:tc>
      </w:tr>
    </w:tbl>
    <w:p w:rsidR="00D03D6E" w:rsidRPr="00CF7824" w:rsidRDefault="00D03D6E" w:rsidP="004A3E7F">
      <w:pPr>
        <w:ind w:left="0" w:firstLine="0"/>
        <w:rPr>
          <w:rFonts w:asciiTheme="minorHAnsi" w:hAnsiTheme="minorHAnsi" w:cstheme="minorHAnsi"/>
          <w:i/>
          <w:iCs/>
          <w:lang w:val="fr-FR"/>
        </w:rPr>
        <w:sectPr w:rsidR="00D03D6E" w:rsidRPr="00CF7824" w:rsidSect="00310B8A">
          <w:footerReference w:type="default" r:id="rId25"/>
          <w:footerReference w:type="first" r:id="rId26"/>
          <w:pgSz w:w="11906" w:h="16838"/>
          <w:pgMar w:top="1440" w:right="1440" w:bottom="1440" w:left="1440" w:header="709" w:footer="709" w:gutter="0"/>
          <w:cols w:space="708"/>
          <w:docGrid w:linePitch="360"/>
        </w:sectPr>
      </w:pPr>
    </w:p>
    <w:p w:rsidR="004736D7" w:rsidRPr="00CF7824" w:rsidRDefault="00164734" w:rsidP="009D5E44">
      <w:pPr>
        <w:keepNext/>
        <w:ind w:left="0" w:firstLine="0"/>
        <w:rPr>
          <w:rFonts w:asciiTheme="minorHAnsi" w:hAnsiTheme="minorHAnsi" w:cstheme="minorHAnsi"/>
          <w:i/>
          <w:iCs/>
          <w:lang w:val="fr-FR"/>
        </w:rPr>
      </w:pPr>
      <w:r w:rsidRPr="00CF7824">
        <w:rPr>
          <w:rFonts w:cs="Calibri"/>
          <w:i/>
          <w:iCs/>
          <w:lang w:val="fr-FR"/>
        </w:rPr>
        <w:lastRenderedPageBreak/>
        <w:t>Tableau</w:t>
      </w:r>
      <w:r w:rsidR="001F19B5" w:rsidRPr="00CF7824">
        <w:rPr>
          <w:rFonts w:cs="Calibri"/>
          <w:i/>
          <w:iCs/>
          <w:lang w:val="fr-FR"/>
        </w:rPr>
        <w:t> </w:t>
      </w:r>
      <w:r w:rsidRPr="00CF7824">
        <w:rPr>
          <w:rFonts w:cs="Calibri"/>
          <w:i/>
          <w:iCs/>
          <w:lang w:val="fr-FR"/>
        </w:rPr>
        <w:t xml:space="preserve">3 : Proposition de </w:t>
      </w:r>
      <w:r w:rsidR="00D02DAB" w:rsidRPr="00CF7824">
        <w:rPr>
          <w:rFonts w:cs="Calibri"/>
          <w:i/>
          <w:iCs/>
          <w:lang w:val="fr-FR"/>
        </w:rPr>
        <w:t>c</w:t>
      </w:r>
      <w:r w:rsidRPr="00CF7824">
        <w:rPr>
          <w:rFonts w:cs="Calibri"/>
          <w:i/>
          <w:iCs/>
          <w:lang w:val="fr-FR"/>
        </w:rPr>
        <w:t>ycle de révision/mise à jour des estimations et tendances des populations d</w:t>
      </w:r>
      <w:r w:rsidR="00016E39" w:rsidRPr="00CF7824">
        <w:rPr>
          <w:rFonts w:cs="Calibri"/>
          <w:i/>
          <w:iCs/>
          <w:lang w:val="fr-FR"/>
        </w:rPr>
        <w:t>’</w:t>
      </w:r>
      <w:r w:rsidRPr="00CF7824">
        <w:rPr>
          <w:rFonts w:cs="Calibri"/>
          <w:i/>
          <w:iCs/>
          <w:lang w:val="fr-FR"/>
        </w:rPr>
        <w:t>oiseaux d</w:t>
      </w:r>
      <w:r w:rsidR="00016E39" w:rsidRPr="00CF7824">
        <w:rPr>
          <w:rFonts w:cs="Calibri"/>
          <w:i/>
          <w:iCs/>
          <w:lang w:val="fr-FR"/>
        </w:rPr>
        <w:t>’</w:t>
      </w:r>
      <w:r w:rsidRPr="00CF7824">
        <w:rPr>
          <w:rFonts w:cs="Calibri"/>
          <w:i/>
          <w:iCs/>
          <w:lang w:val="fr-FR"/>
        </w:rPr>
        <w:t xml:space="preserve">eau </w:t>
      </w:r>
      <w:r w:rsidR="00D02DAB" w:rsidRPr="00CF7824">
        <w:rPr>
          <w:rFonts w:cs="Calibri"/>
          <w:i/>
          <w:iCs/>
          <w:lang w:val="fr-FR"/>
        </w:rPr>
        <w:t>en lien avec les</w:t>
      </w:r>
      <w:r w:rsidRPr="00CF7824">
        <w:rPr>
          <w:rFonts w:cs="Calibri"/>
          <w:i/>
          <w:iCs/>
          <w:lang w:val="fr-FR"/>
        </w:rPr>
        <w:t xml:space="preserve"> exigences du Critère</w:t>
      </w:r>
      <w:r w:rsidR="001F19B5" w:rsidRPr="00CF7824">
        <w:rPr>
          <w:rFonts w:cs="Calibri"/>
          <w:i/>
          <w:iCs/>
          <w:lang w:val="fr-FR"/>
        </w:rPr>
        <w:t> </w:t>
      </w:r>
      <w:r w:rsidRPr="00CF7824">
        <w:rPr>
          <w:rFonts w:cs="Calibri"/>
          <w:i/>
          <w:iCs/>
          <w:lang w:val="fr-FR"/>
        </w:rPr>
        <w:t xml:space="preserve">6 de la Convention sur les zones humides et </w:t>
      </w:r>
      <w:r w:rsidR="00D02DAB" w:rsidRPr="00CF7824">
        <w:rPr>
          <w:rFonts w:cs="Calibri"/>
          <w:i/>
          <w:iCs/>
          <w:lang w:val="fr-FR"/>
        </w:rPr>
        <w:t>d’</w:t>
      </w:r>
      <w:r w:rsidRPr="00CF7824">
        <w:rPr>
          <w:rFonts w:cs="Calibri"/>
          <w:i/>
          <w:iCs/>
          <w:lang w:val="fr-FR"/>
        </w:rPr>
        <w:t xml:space="preserve">autres </w:t>
      </w:r>
      <w:r w:rsidRPr="00CF7824">
        <w:rPr>
          <w:rFonts w:cs="Arial"/>
          <w:i/>
          <w:iCs/>
          <w:lang w:val="fr-FR"/>
        </w:rPr>
        <w:t>cadres/initiatives régionales</w:t>
      </w:r>
      <w:r w:rsidRPr="00CF7824">
        <w:rPr>
          <w:rFonts w:cs="Calibri"/>
          <w:i/>
          <w:iCs/>
          <w:lang w:val="fr-FR"/>
        </w:rPr>
        <w:t xml:space="preserve"> sur les voies de migration</w:t>
      </w:r>
      <w:r w:rsidR="001F19B5" w:rsidRPr="00CF7824">
        <w:rPr>
          <w:rFonts w:cs="Calibri"/>
          <w:i/>
          <w:iCs/>
          <w:lang w:val="fr-FR"/>
        </w:rPr>
        <w:t> </w:t>
      </w:r>
      <w:r w:rsidR="00D02DAB" w:rsidRPr="00CF7824">
        <w:rPr>
          <w:rFonts w:cs="Calibri"/>
          <w:i/>
          <w:iCs/>
          <w:lang w:val="fr-FR"/>
        </w:rPr>
        <w:t>pour la période</w:t>
      </w:r>
      <w:r w:rsidR="00FB2D80" w:rsidRPr="00CF7824">
        <w:rPr>
          <w:rFonts w:cs="Calibri"/>
          <w:i/>
          <w:iCs/>
          <w:lang w:val="fr-FR"/>
        </w:rPr>
        <w:t> </w:t>
      </w:r>
      <w:r w:rsidRPr="00CF7824">
        <w:rPr>
          <w:rFonts w:cs="Calibri"/>
          <w:i/>
          <w:iCs/>
          <w:lang w:val="fr-FR"/>
        </w:rPr>
        <w:t>2024-2042.</w:t>
      </w:r>
    </w:p>
    <w:p w:rsidR="00800DE9" w:rsidRPr="00CF7824" w:rsidRDefault="00800DE9" w:rsidP="004A3E7F">
      <w:pPr>
        <w:ind w:left="0" w:firstLine="0"/>
        <w:rPr>
          <w:rFonts w:asciiTheme="minorHAnsi" w:hAnsiTheme="minorHAnsi" w:cstheme="minorHAnsi"/>
          <w:i/>
          <w:iCs/>
          <w:lang w:val="fr-FR"/>
        </w:rPr>
      </w:pPr>
    </w:p>
    <w:p w:rsidR="00800DE9" w:rsidRPr="00CF7824" w:rsidRDefault="00164734" w:rsidP="00FE5AEE">
      <w:pPr>
        <w:rPr>
          <w:rFonts w:asciiTheme="minorHAnsi" w:hAnsiTheme="minorHAnsi" w:cstheme="minorHAnsi"/>
          <w:lang w:val="fr-FR"/>
        </w:rPr>
      </w:pPr>
      <w:r w:rsidRPr="00CF7824">
        <w:rPr>
          <w:rFonts w:cs="Calibri"/>
          <w:lang w:val="fr-FR"/>
        </w:rPr>
        <w:t xml:space="preserve">Note : seules les options </w:t>
      </w:r>
      <w:r w:rsidRPr="00CF7824">
        <w:rPr>
          <w:rFonts w:cs="Calibri"/>
          <w:b/>
          <w:bCs/>
          <w:lang w:val="fr-FR"/>
        </w:rPr>
        <w:t>1b</w:t>
      </w:r>
      <w:r w:rsidRPr="00CF7824">
        <w:rPr>
          <w:rFonts w:cs="Calibri"/>
          <w:lang w:val="fr-FR"/>
        </w:rPr>
        <w:t xml:space="preserve"> et </w:t>
      </w:r>
      <w:r w:rsidRPr="00CF7824">
        <w:rPr>
          <w:rFonts w:cs="Calibri"/>
          <w:b/>
          <w:bCs/>
          <w:lang w:val="fr-FR"/>
        </w:rPr>
        <w:t>1c</w:t>
      </w:r>
      <w:r w:rsidRPr="00CF7824">
        <w:rPr>
          <w:rFonts w:cs="Calibri"/>
          <w:lang w:val="fr-FR"/>
        </w:rPr>
        <w:t xml:space="preserve"> présentées dans le tableau</w:t>
      </w:r>
      <w:r w:rsidR="001F19B5" w:rsidRPr="00CF7824">
        <w:rPr>
          <w:rFonts w:cs="Calibri"/>
          <w:lang w:val="fr-FR"/>
        </w:rPr>
        <w:t> </w:t>
      </w:r>
      <w:r w:rsidRPr="00CF7824">
        <w:rPr>
          <w:rFonts w:cs="Calibri"/>
          <w:lang w:val="fr-FR"/>
        </w:rPr>
        <w:t>2 sont reprises dans ce tableau.</w:t>
      </w:r>
    </w:p>
    <w:p w:rsidR="004A3E7F" w:rsidRPr="00CF7824" w:rsidRDefault="004A3E7F" w:rsidP="004A3E7F">
      <w:pPr>
        <w:ind w:left="0" w:firstLine="0"/>
        <w:rPr>
          <w:rFonts w:asciiTheme="minorHAnsi" w:hAnsiTheme="minorHAnsi" w:cstheme="minorHAnsi"/>
          <w:i/>
          <w:iCs/>
          <w:lang w:val="fr-FR"/>
        </w:rPr>
      </w:pPr>
    </w:p>
    <w:tbl>
      <w:tblPr>
        <w:tblStyle w:val="8"/>
        <w:tblW w:w="14233" w:type="dxa"/>
        <w:tblLayout w:type="fixed"/>
        <w:tblCellMar>
          <w:left w:w="57" w:type="dxa"/>
          <w:right w:w="57" w:type="dxa"/>
        </w:tblCellMar>
        <w:tblLook w:val="0400" w:firstRow="0" w:lastRow="0" w:firstColumn="0" w:lastColumn="0" w:noHBand="0" w:noVBand="1"/>
      </w:tblPr>
      <w:tblGrid>
        <w:gridCol w:w="1615"/>
        <w:gridCol w:w="664"/>
        <w:gridCol w:w="664"/>
        <w:gridCol w:w="664"/>
        <w:gridCol w:w="664"/>
        <w:gridCol w:w="664"/>
        <w:gridCol w:w="664"/>
        <w:gridCol w:w="664"/>
        <w:gridCol w:w="664"/>
        <w:gridCol w:w="664"/>
        <w:gridCol w:w="665"/>
        <w:gridCol w:w="664"/>
        <w:gridCol w:w="664"/>
        <w:gridCol w:w="664"/>
        <w:gridCol w:w="664"/>
        <w:gridCol w:w="664"/>
        <w:gridCol w:w="664"/>
        <w:gridCol w:w="664"/>
        <w:gridCol w:w="664"/>
        <w:gridCol w:w="665"/>
      </w:tblGrid>
      <w:tr w:rsidR="0020115C" w:rsidRPr="00CF7824" w:rsidTr="006931FC">
        <w:trPr>
          <w:cantSplit/>
          <w:tblHead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Initiative de conservation</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2029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2031</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2032</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ind w:right="9"/>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2033</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2039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2040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2041</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rsidR="004A3E7F" w:rsidRPr="00CF7824" w:rsidRDefault="00164734" w:rsidP="003C7337">
            <w:pP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2042</w:t>
            </w:r>
          </w:p>
        </w:tc>
      </w:tr>
      <w:tr w:rsidR="0020115C" w:rsidRPr="00CF7824"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rPr>
                <w:rFonts w:asciiTheme="minorHAnsi" w:eastAsia="Arial" w:hAnsiTheme="minorHAnsi" w:cstheme="minorHAnsi"/>
                <w:color w:val="000000"/>
                <w:sz w:val="18"/>
                <w:szCs w:val="20"/>
                <w:lang w:val="fr-FR"/>
              </w:rPr>
            </w:pPr>
            <w:r w:rsidRPr="00CF7824">
              <w:rPr>
                <w:rFonts w:cs="Calibri"/>
                <w:color w:val="000000"/>
                <w:sz w:val="18"/>
                <w:szCs w:val="20"/>
                <w:lang w:val="fr-FR"/>
              </w:rPr>
              <w:t>Mises à jour WPE Wetlands International</w:t>
            </w:r>
            <w:r w:rsidRPr="00CF7824">
              <w:rPr>
                <w:rStyle w:val="FootnoteReference"/>
                <w:rFonts w:asciiTheme="minorHAnsi" w:eastAsia="Arial" w:hAnsiTheme="minorHAnsi" w:cstheme="minorHAnsi"/>
                <w:color w:val="000000"/>
                <w:sz w:val="18"/>
                <w:szCs w:val="20"/>
              </w:rPr>
              <w:footnoteReference w:id="12"/>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lang w:val="fr-FR"/>
              </w:rPr>
            </w:pPr>
            <w:r w:rsidRPr="00CF7824">
              <w:rPr>
                <w:rFonts w:asciiTheme="minorHAnsi" w:eastAsia="Arial" w:hAnsiTheme="minorHAnsi" w:cstheme="minorHAnsi"/>
                <w:color w:val="000000"/>
                <w:sz w:val="18"/>
                <w:szCs w:val="20"/>
                <w:lang w:val="fr-FR"/>
              </w:rPr>
              <w:t xml:space="preserve"> </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r w:rsidR="00FB2D80" w:rsidRPr="00CF7824">
              <w:rPr>
                <w:rFonts w:cs="Calibri"/>
                <w:color w:val="000000"/>
                <w:sz w:val="18"/>
                <w:szCs w:val="20"/>
                <w:lang w:val="fr-FR"/>
              </w:rPr>
              <w:t> </w:t>
            </w:r>
            <w:r w:rsidRPr="00CF7824">
              <w:rPr>
                <w:rFonts w:cs="Calibri"/>
                <w:color w:val="000000"/>
                <w:sz w:val="18"/>
                <w:szCs w:val="20"/>
                <w:lang w:val="fr-FR"/>
              </w:rPr>
              <w:t>2027</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r w:rsidR="00FB2D80" w:rsidRPr="00CF7824">
              <w:rPr>
                <w:rFonts w:cs="Calibri"/>
                <w:color w:val="000000"/>
                <w:sz w:val="18"/>
                <w:szCs w:val="20"/>
                <w:lang w:val="fr-FR"/>
              </w:rPr>
              <w:t> </w:t>
            </w:r>
            <w:r w:rsidRPr="00CF7824">
              <w:rPr>
                <w:rFonts w:cs="Calibri"/>
                <w:color w:val="000000"/>
                <w:sz w:val="18"/>
                <w:szCs w:val="20"/>
                <w:lang w:val="fr-FR"/>
              </w:rPr>
              <w:t>2030</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r w:rsidR="00FB2D80" w:rsidRPr="00CF7824">
              <w:rPr>
                <w:rFonts w:cs="Calibri"/>
                <w:color w:val="000000"/>
                <w:sz w:val="18"/>
                <w:szCs w:val="20"/>
                <w:lang w:val="fr-FR"/>
              </w:rPr>
              <w:t> </w:t>
            </w:r>
            <w:r w:rsidRPr="00CF7824">
              <w:rPr>
                <w:rFonts w:cs="Calibri"/>
                <w:color w:val="000000"/>
                <w:sz w:val="18"/>
                <w:szCs w:val="20"/>
                <w:lang w:val="fr-FR"/>
              </w:rPr>
              <w:t>2033</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F0A94"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p>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2036</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r w:rsidR="00FB2D80" w:rsidRPr="00CF7824">
              <w:rPr>
                <w:rFonts w:cs="Calibri"/>
                <w:color w:val="000000"/>
                <w:sz w:val="18"/>
                <w:szCs w:val="20"/>
                <w:lang w:val="fr-FR"/>
              </w:rPr>
              <w:t> </w:t>
            </w:r>
            <w:r w:rsidRPr="00CF7824">
              <w:rPr>
                <w:rFonts w:cs="Calibri"/>
                <w:color w:val="000000"/>
                <w:sz w:val="18"/>
                <w:szCs w:val="20"/>
                <w:lang w:val="fr-FR"/>
              </w:rPr>
              <w:t>2039</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WPE</w:t>
            </w:r>
            <w:r w:rsidR="00FB2D80" w:rsidRPr="00CF7824">
              <w:rPr>
                <w:rFonts w:cs="Calibri"/>
                <w:color w:val="000000"/>
                <w:sz w:val="18"/>
                <w:szCs w:val="20"/>
                <w:lang w:val="fr-FR"/>
              </w:rPr>
              <w:t> </w:t>
            </w:r>
            <w:r w:rsidRPr="00CF7824">
              <w:rPr>
                <w:rFonts w:cs="Calibri"/>
                <w:color w:val="000000"/>
                <w:sz w:val="18"/>
                <w:szCs w:val="20"/>
                <w:lang w:val="fr-FR"/>
              </w:rPr>
              <w:t>2042</w:t>
            </w:r>
          </w:p>
        </w:tc>
      </w:tr>
      <w:tr w:rsidR="0020115C" w:rsidRPr="00CF7824" w:rsidTr="006931FC">
        <w:trPr>
          <w:cantSplit/>
        </w:trPr>
        <w:tc>
          <w:tcPr>
            <w:tcW w:w="1615" w:type="dxa"/>
            <w:tcBorders>
              <w:top w:val="single" w:sz="4" w:space="0" w:color="000000" w:themeColor="text1"/>
              <w:left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rPr>
                <w:rFonts w:asciiTheme="minorHAnsi" w:eastAsia="Arial" w:hAnsiTheme="minorHAnsi" w:cstheme="minorHAnsi"/>
                <w:color w:val="000000"/>
                <w:sz w:val="18"/>
                <w:szCs w:val="20"/>
                <w:lang w:val="fr-FR"/>
              </w:rPr>
            </w:pPr>
            <w:r w:rsidRPr="00CF7824">
              <w:rPr>
                <w:rFonts w:cs="Calibri"/>
                <w:sz w:val="18"/>
                <w:szCs w:val="20"/>
                <w:lang w:val="fr-FR"/>
              </w:rPr>
              <w:t xml:space="preserve">Convention sur les zones humides </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15</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16</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17</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18</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19</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COP 20</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top w:val="nil"/>
              <w:left w:val="single" w:sz="4" w:space="0" w:color="000000" w:themeColor="text1"/>
              <w:right w:val="single" w:sz="4" w:space="0" w:color="000000" w:themeColor="text1"/>
            </w:tcBorders>
            <w:shd w:val="clear" w:color="auto" w:fill="auto"/>
          </w:tcPr>
          <w:p w:rsidR="004A3E7F" w:rsidRPr="00CF7824" w:rsidRDefault="00164734" w:rsidP="003C7337">
            <w:pPr>
              <w:pStyle w:val="ListParagraph"/>
              <w:numPr>
                <w:ilvl w:val="0"/>
                <w:numId w:val="5"/>
              </w:numPr>
              <w:spacing w:after="0" w:line="240" w:lineRule="auto"/>
              <w:ind w:left="142" w:hanging="142"/>
              <w:rPr>
                <w:rFonts w:asciiTheme="minorHAnsi" w:eastAsia="Arial" w:hAnsiTheme="minorHAnsi" w:cstheme="minorHAnsi"/>
                <w:sz w:val="18"/>
                <w:szCs w:val="20"/>
                <w:lang w:val="fr-FR"/>
              </w:rPr>
            </w:pPr>
            <w:r w:rsidRPr="00CF7824">
              <w:rPr>
                <w:rFonts w:cs="Calibri"/>
                <w:sz w:val="18"/>
                <w:szCs w:val="20"/>
                <w:lang w:val="fr-FR"/>
              </w:rPr>
              <w:t>Mise à jour des estimations de la taille &amp; des tendances des populations</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1B7E0F">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r w:rsidR="001B7E0F" w:rsidRPr="00CF7824">
              <w:rPr>
                <w:rStyle w:val="FootnoteReference"/>
                <w:rFonts w:cs="Calibri"/>
                <w:color w:val="000000"/>
                <w:sz w:val="18"/>
                <w:szCs w:val="20"/>
                <w:lang w:val="fr-FR"/>
              </w:rPr>
              <w:footnoteReference w:id="13"/>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r>
      <w:tr w:rsidR="0020115C" w:rsidRPr="00CF7824" w:rsidTr="006931FC">
        <w:trPr>
          <w:cantSplit/>
        </w:trPr>
        <w:tc>
          <w:tcPr>
            <w:tcW w:w="1615" w:type="dxa"/>
            <w:tcBorders>
              <w:top w:val="nil"/>
              <w:left w:val="single" w:sz="4" w:space="0" w:color="000000" w:themeColor="text1"/>
              <w:right w:val="single" w:sz="4" w:space="0" w:color="000000" w:themeColor="text1"/>
            </w:tcBorders>
            <w:shd w:val="clear" w:color="auto" w:fill="auto"/>
          </w:tcPr>
          <w:p w:rsidR="00B174C9" w:rsidRPr="00CF7824" w:rsidRDefault="00164734" w:rsidP="003C7337">
            <w:pPr>
              <w:pStyle w:val="ListParagraph"/>
              <w:numPr>
                <w:ilvl w:val="0"/>
                <w:numId w:val="5"/>
              </w:numPr>
              <w:spacing w:after="0" w:line="240" w:lineRule="auto"/>
              <w:ind w:left="142" w:hanging="142"/>
              <w:rPr>
                <w:rFonts w:asciiTheme="minorHAnsi" w:eastAsia="Arial" w:hAnsiTheme="minorHAnsi" w:cstheme="minorHAnsi"/>
                <w:sz w:val="18"/>
                <w:szCs w:val="20"/>
                <w:lang w:val="fr-FR"/>
              </w:rPr>
            </w:pPr>
            <w:r w:rsidRPr="00CF7824">
              <w:rPr>
                <w:rFonts w:cs="Calibri"/>
                <w:sz w:val="18"/>
                <w:szCs w:val="20"/>
                <w:lang w:val="fr-FR"/>
              </w:rPr>
              <w:t>Mise à jour des seuils de 1% (option 1b)</w:t>
            </w: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B174C9"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B174C9" w:rsidRPr="00CF7824" w:rsidRDefault="00B174C9"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3C7337">
            <w:pPr>
              <w:pStyle w:val="ListParagraph"/>
              <w:numPr>
                <w:ilvl w:val="0"/>
                <w:numId w:val="5"/>
              </w:numPr>
              <w:spacing w:after="0" w:line="240" w:lineRule="auto"/>
              <w:ind w:left="142" w:hanging="142"/>
              <w:rPr>
                <w:rFonts w:asciiTheme="minorHAnsi" w:eastAsia="Arial" w:hAnsiTheme="minorHAnsi" w:cstheme="minorHAnsi"/>
                <w:sz w:val="18"/>
                <w:szCs w:val="20"/>
                <w:lang w:val="fr-FR"/>
              </w:rPr>
            </w:pPr>
            <w:r w:rsidRPr="00CF7824">
              <w:rPr>
                <w:rFonts w:cs="Calibri"/>
                <w:sz w:val="18"/>
                <w:szCs w:val="20"/>
                <w:lang w:val="fr-FR"/>
              </w:rPr>
              <w:t>Mise à jour des seuils de 1% (option</w:t>
            </w:r>
            <w:r w:rsidR="00376BA1" w:rsidRPr="00CF7824">
              <w:rPr>
                <w:rFonts w:cs="Calibri"/>
                <w:sz w:val="18"/>
                <w:szCs w:val="20"/>
                <w:lang w:val="fr-FR"/>
              </w:rPr>
              <w:t> </w:t>
            </w:r>
            <w:r w:rsidRPr="00CF7824">
              <w:rPr>
                <w:rFonts w:cs="Calibri"/>
                <w:sz w:val="18"/>
                <w:szCs w:val="20"/>
                <w:lang w:val="fr-FR"/>
              </w:rPr>
              <w:t>1c)</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Oui</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rPr>
                <w:rFonts w:asciiTheme="minorHAnsi" w:eastAsia="Arial" w:hAnsiTheme="minorHAnsi" w:cstheme="minorHAnsi"/>
                <w:color w:val="000000"/>
                <w:sz w:val="18"/>
                <w:szCs w:val="20"/>
              </w:rPr>
            </w:pPr>
            <w:r w:rsidRPr="00CF7824">
              <w:rPr>
                <w:rFonts w:cs="Calibri"/>
                <w:color w:val="000000"/>
                <w:sz w:val="18"/>
                <w:szCs w:val="20"/>
                <w:lang w:val="fr-FR"/>
              </w:rPr>
              <w:t xml:space="preserve">CSR </w:t>
            </w:r>
            <w:r w:rsidR="00D02DAB" w:rsidRPr="00CF7824">
              <w:rPr>
                <w:rFonts w:cs="Calibri"/>
                <w:color w:val="000000"/>
                <w:sz w:val="18"/>
                <w:szCs w:val="20"/>
                <w:lang w:val="fr-FR"/>
              </w:rPr>
              <w:t>de l’AEWA</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CSR-9 (D&amp;P)</w:t>
            </w:r>
            <w:r w:rsidRPr="00CF7824">
              <w:rPr>
                <w:rFonts w:asciiTheme="minorHAnsi" w:eastAsia="Arial" w:hAnsiTheme="minorHAnsi" w:cstheme="minorHAnsi"/>
                <w:color w:val="000000"/>
                <w:sz w:val="18"/>
                <w:szCs w:val="20"/>
                <w:vertAlign w:val="superscript"/>
              </w:rPr>
              <w:footnoteReference w:id="14"/>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CSR-10 (PST)</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CSR-11 (D&amp;P)</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CSR-12 (PST)</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asciiTheme="minorHAnsi" w:eastAsia="Arial" w:hAnsiTheme="minorHAnsi" w:cstheme="minorHAnsi"/>
                <w:color w:val="000000"/>
                <w:sz w:val="18"/>
                <w:szCs w:val="20"/>
              </w:rPr>
              <w:t> </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CSR-13 (D&amp;P)</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ind w:hanging="116"/>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CSR-14 (PST)</w:t>
            </w: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Height w:val="651"/>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rPr>
                <w:rFonts w:asciiTheme="minorHAnsi" w:eastAsia="Arial" w:hAnsiTheme="minorHAnsi" w:cstheme="minorHAnsi"/>
                <w:color w:val="000000"/>
                <w:sz w:val="18"/>
                <w:szCs w:val="20"/>
                <w:lang w:val="fr-FR"/>
              </w:rPr>
            </w:pPr>
            <w:r w:rsidRPr="00CF7824">
              <w:rPr>
                <w:rFonts w:cs="Calibri"/>
                <w:color w:val="000000"/>
                <w:sz w:val="18"/>
                <w:szCs w:val="20"/>
                <w:lang w:val="fr-FR"/>
              </w:rPr>
              <w:lastRenderedPageBreak/>
              <w:t xml:space="preserve">Directive </w:t>
            </w:r>
            <w:r w:rsidR="00376BA1" w:rsidRPr="00CF7824">
              <w:rPr>
                <w:rFonts w:cs="Calibri"/>
                <w:color w:val="000000"/>
                <w:sz w:val="18"/>
                <w:szCs w:val="20"/>
                <w:lang w:val="fr-FR"/>
              </w:rPr>
              <w:t>« </w:t>
            </w:r>
            <w:r w:rsidRPr="00CF7824">
              <w:rPr>
                <w:rFonts w:cs="Calibri"/>
                <w:color w:val="000000"/>
                <w:sz w:val="18"/>
                <w:szCs w:val="20"/>
                <w:lang w:val="fr-FR"/>
              </w:rPr>
              <w:t>Oiseaux</w:t>
            </w:r>
            <w:r w:rsidR="00376BA1" w:rsidRPr="00CF7824">
              <w:rPr>
                <w:rFonts w:cs="Calibri"/>
                <w:color w:val="000000"/>
                <w:sz w:val="18"/>
                <w:szCs w:val="20"/>
                <w:lang w:val="fr-FR"/>
              </w:rPr>
              <w:t> »</w:t>
            </w:r>
            <w:r w:rsidRPr="00CF7824">
              <w:rPr>
                <w:rFonts w:cs="Calibri"/>
                <w:color w:val="000000"/>
                <w:sz w:val="18"/>
                <w:szCs w:val="20"/>
                <w:lang w:val="fr-FR"/>
              </w:rPr>
              <w:t xml:space="preserve"> de l</w:t>
            </w:r>
            <w:r w:rsidR="00016E39" w:rsidRPr="00CF7824">
              <w:rPr>
                <w:rFonts w:cs="Calibri"/>
                <w:color w:val="000000"/>
                <w:sz w:val="18"/>
                <w:szCs w:val="20"/>
                <w:lang w:val="fr-FR"/>
              </w:rPr>
              <w:t>’</w:t>
            </w:r>
            <w:r w:rsidRPr="00CF7824">
              <w:rPr>
                <w:rFonts w:cs="Calibri"/>
                <w:color w:val="000000"/>
                <w:sz w:val="18"/>
                <w:szCs w:val="20"/>
                <w:lang w:val="fr-FR"/>
              </w:rPr>
              <w:t>UE, Article</w:t>
            </w:r>
            <w:r w:rsidR="001F19B5" w:rsidRPr="00CF7824">
              <w:rPr>
                <w:rFonts w:cs="Calibri"/>
                <w:color w:val="000000"/>
                <w:sz w:val="18"/>
                <w:szCs w:val="20"/>
                <w:lang w:val="fr-FR"/>
              </w:rPr>
              <w:t> </w:t>
            </w:r>
            <w:r w:rsidRPr="00CF7824">
              <w:rPr>
                <w:rFonts w:cs="Calibri"/>
                <w:color w:val="000000"/>
                <w:sz w:val="18"/>
                <w:szCs w:val="20"/>
                <w:lang w:val="fr-FR"/>
              </w:rPr>
              <w:t>12</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D02DAB">
            <w:pPr>
              <w:spacing w:after="0" w:line="240" w:lineRule="auto"/>
              <w:jc w:val="center"/>
              <w:rPr>
                <w:rFonts w:asciiTheme="minorHAnsi" w:eastAsia="Arial" w:hAnsiTheme="minorHAnsi" w:cstheme="minorHAnsi"/>
                <w:color w:val="000000"/>
                <w:sz w:val="18"/>
                <w:szCs w:val="20"/>
                <w:lang w:val="fr-FR"/>
              </w:rPr>
            </w:pPr>
            <w:r w:rsidRPr="00CF7824">
              <w:rPr>
                <w:rFonts w:cs="Calibri"/>
                <w:color w:val="000000"/>
                <w:sz w:val="18"/>
                <w:szCs w:val="20"/>
                <w:lang w:val="fr-FR"/>
              </w:rPr>
              <w:t>Rap</w:t>
            </w:r>
            <w:r w:rsidR="00D02DAB" w:rsidRPr="00CF7824">
              <w:rPr>
                <w:rFonts w:cs="Calibri"/>
                <w:color w:val="000000"/>
                <w:sz w:val="18"/>
                <w:szCs w:val="20"/>
                <w:lang w:val="fr-FR"/>
              </w:rPr>
              <w:t>.</w:t>
            </w:r>
            <w:r w:rsidRPr="00CF7824">
              <w:rPr>
                <w:rFonts w:cs="Calibri"/>
                <w:color w:val="000000"/>
                <w:sz w:val="18"/>
                <w:szCs w:val="20"/>
                <w:lang w:val="fr-FR"/>
              </w:rPr>
              <w:t xml:space="preserve"> États membres de l</w:t>
            </w:r>
            <w:r w:rsidR="00016E39" w:rsidRPr="00CF7824">
              <w:rPr>
                <w:rFonts w:cs="Calibri"/>
                <w:color w:val="000000"/>
                <w:sz w:val="18"/>
                <w:szCs w:val="20"/>
                <w:lang w:val="fr-FR"/>
              </w:rPr>
              <w:t>’</w:t>
            </w:r>
            <w:r w:rsidRPr="00CF7824">
              <w:rPr>
                <w:rFonts w:cs="Calibri"/>
                <w:color w:val="000000"/>
                <w:sz w:val="18"/>
                <w:szCs w:val="20"/>
                <w:lang w:val="fr-FR"/>
              </w:rPr>
              <w:t>UE</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EUSoN</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D02DAB">
            <w:pPr>
              <w:spacing w:after="0" w:line="240" w:lineRule="auto"/>
              <w:jc w:val="center"/>
              <w:rPr>
                <w:rFonts w:asciiTheme="minorHAnsi" w:eastAsia="Arial" w:hAnsiTheme="minorHAnsi" w:cstheme="minorHAnsi"/>
                <w:sz w:val="18"/>
                <w:szCs w:val="20"/>
                <w:lang w:val="fr-FR"/>
              </w:rPr>
            </w:pPr>
            <w:r w:rsidRPr="00CF7824">
              <w:rPr>
                <w:rFonts w:cs="Calibri"/>
                <w:sz w:val="18"/>
                <w:szCs w:val="20"/>
                <w:lang w:val="fr-FR"/>
              </w:rPr>
              <w:t>Rap</w:t>
            </w:r>
            <w:r w:rsidR="00D02DAB" w:rsidRPr="00CF7824">
              <w:rPr>
                <w:rFonts w:cs="Calibri"/>
                <w:sz w:val="18"/>
                <w:szCs w:val="20"/>
                <w:lang w:val="fr-FR"/>
              </w:rPr>
              <w:t>.</w:t>
            </w:r>
            <w:r w:rsidRPr="00CF7824">
              <w:rPr>
                <w:rFonts w:cs="Calibri"/>
                <w:sz w:val="18"/>
                <w:szCs w:val="20"/>
                <w:lang w:val="fr-FR"/>
              </w:rPr>
              <w:t xml:space="preserve"> États membres de l</w:t>
            </w:r>
            <w:r w:rsidR="00016E39" w:rsidRPr="00CF7824">
              <w:rPr>
                <w:rFonts w:cs="Calibri"/>
                <w:sz w:val="18"/>
                <w:szCs w:val="20"/>
                <w:lang w:val="fr-FR"/>
              </w:rPr>
              <w:t>’</w:t>
            </w:r>
            <w:r w:rsidRPr="00CF7824">
              <w:rPr>
                <w:rFonts w:cs="Calibri"/>
                <w:sz w:val="18"/>
                <w:szCs w:val="20"/>
                <w:lang w:val="fr-FR"/>
              </w:rPr>
              <w:t>UE</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3C7337">
            <w:pPr>
              <w:spacing w:after="0" w:line="240" w:lineRule="auto"/>
              <w:jc w:val="center"/>
              <w:rPr>
                <w:rFonts w:asciiTheme="minorHAnsi" w:eastAsia="Arial" w:hAnsiTheme="minorHAnsi" w:cstheme="minorHAnsi"/>
                <w:sz w:val="18"/>
                <w:szCs w:val="20"/>
              </w:rPr>
            </w:pPr>
            <w:r w:rsidRPr="00CF7824">
              <w:rPr>
                <w:rFonts w:cs="Calibri"/>
                <w:sz w:val="18"/>
                <w:szCs w:val="20"/>
                <w:lang w:val="fr-FR"/>
              </w:rPr>
              <w:t>EU</w:t>
            </w:r>
            <w:r w:rsidR="0059128A" w:rsidRPr="00CF7824">
              <w:rPr>
                <w:rFonts w:cs="Calibri"/>
                <w:sz w:val="18"/>
                <w:szCs w:val="20"/>
                <w:lang w:val="fr-FR"/>
              </w:rPr>
              <w:t xml:space="preserve"> </w:t>
            </w:r>
            <w:r w:rsidRPr="00CF7824">
              <w:rPr>
                <w:rFonts w:cs="Calibri"/>
                <w:sz w:val="18"/>
                <w:szCs w:val="20"/>
                <w:lang w:val="fr-FR"/>
              </w:rPr>
              <w:t>SoN</w:t>
            </w: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D02DAB" w:rsidP="00D02DAB">
            <w:pPr>
              <w:spacing w:after="0" w:line="240" w:lineRule="auto"/>
              <w:jc w:val="center"/>
              <w:rPr>
                <w:rFonts w:asciiTheme="minorHAnsi" w:eastAsia="Arial" w:hAnsiTheme="minorHAnsi" w:cstheme="minorHAnsi"/>
                <w:sz w:val="18"/>
                <w:szCs w:val="20"/>
                <w:lang w:val="fr-FR"/>
              </w:rPr>
            </w:pPr>
            <w:r w:rsidRPr="00CF7824">
              <w:rPr>
                <w:rFonts w:cs="Calibri"/>
                <w:sz w:val="18"/>
                <w:szCs w:val="20"/>
                <w:lang w:val="fr-FR"/>
              </w:rPr>
              <w:t>Rap.</w:t>
            </w:r>
            <w:r w:rsidR="00164734" w:rsidRPr="00CF7824">
              <w:rPr>
                <w:rFonts w:cs="Calibri"/>
                <w:sz w:val="18"/>
                <w:szCs w:val="20"/>
                <w:lang w:val="fr-FR"/>
              </w:rPr>
              <w:t xml:space="preserve"> États membres de l</w:t>
            </w:r>
            <w:r w:rsidR="00016E39" w:rsidRPr="00CF7824">
              <w:rPr>
                <w:rFonts w:cs="Calibri"/>
                <w:sz w:val="18"/>
                <w:szCs w:val="20"/>
                <w:lang w:val="fr-FR"/>
              </w:rPr>
              <w:t>’</w:t>
            </w:r>
            <w:r w:rsidR="00164734" w:rsidRPr="00CF7824">
              <w:rPr>
                <w:rFonts w:cs="Calibri"/>
                <w:sz w:val="18"/>
                <w:szCs w:val="20"/>
                <w:lang w:val="fr-FR"/>
              </w:rPr>
              <w:t>UE</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3C7337">
            <w:pPr>
              <w:spacing w:after="0" w:line="240" w:lineRule="auto"/>
              <w:jc w:val="center"/>
              <w:rPr>
                <w:rFonts w:asciiTheme="minorHAnsi" w:eastAsia="Arial" w:hAnsiTheme="minorHAnsi" w:cstheme="minorHAnsi"/>
                <w:sz w:val="18"/>
                <w:szCs w:val="20"/>
              </w:rPr>
            </w:pPr>
            <w:r w:rsidRPr="00CF7824">
              <w:rPr>
                <w:rFonts w:cs="Calibri"/>
                <w:sz w:val="18"/>
                <w:szCs w:val="20"/>
                <w:lang w:val="fr-FR"/>
              </w:rPr>
              <w:t>EU</w:t>
            </w:r>
            <w:r w:rsidR="0059128A" w:rsidRPr="00CF7824">
              <w:rPr>
                <w:rFonts w:cs="Calibri"/>
                <w:sz w:val="18"/>
                <w:szCs w:val="20"/>
                <w:lang w:val="fr-FR"/>
              </w:rPr>
              <w:t xml:space="preserve"> </w:t>
            </w:r>
            <w:r w:rsidRPr="00CF7824">
              <w:rPr>
                <w:rFonts w:cs="Calibri"/>
                <w:sz w:val="18"/>
                <w:szCs w:val="20"/>
                <w:lang w:val="fr-FR"/>
              </w:rPr>
              <w:t>SoN</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rsidR="004A3E7F" w:rsidRPr="00CF7824" w:rsidRDefault="00164734" w:rsidP="003C7337">
            <w:pPr>
              <w:spacing w:after="0" w:line="240" w:lineRule="auto"/>
              <w:rPr>
                <w:rFonts w:asciiTheme="minorHAnsi" w:eastAsia="Arial" w:hAnsiTheme="minorHAnsi" w:cstheme="minorHAnsi"/>
                <w:color w:val="000000"/>
                <w:sz w:val="18"/>
                <w:szCs w:val="20"/>
              </w:rPr>
            </w:pPr>
            <w:r w:rsidRPr="00CF7824">
              <w:rPr>
                <w:rFonts w:cs="Calibri"/>
                <w:color w:val="000000"/>
                <w:sz w:val="18"/>
                <w:szCs w:val="20"/>
                <w:lang w:val="fr-FR"/>
              </w:rPr>
              <w:t>ERLoB (BirdLife)</w:t>
            </w:r>
            <w:r w:rsidRPr="00CF7824">
              <w:rPr>
                <w:rFonts w:asciiTheme="minorHAnsi" w:eastAsia="Arial" w:hAnsiTheme="minorHAnsi" w:cstheme="minorHAnsi"/>
                <w:color w:val="000000"/>
                <w:sz w:val="18"/>
                <w:szCs w:val="20"/>
                <w:vertAlign w:val="superscript"/>
              </w:rPr>
              <w:footnoteReference w:id="15"/>
            </w: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ERLoB</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sz w:val="18"/>
                <w:szCs w:val="20"/>
                <w:lang w:val="fr-FR"/>
              </w:rPr>
              <w:t>ERLoB</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sz w:val="18"/>
                <w:szCs w:val="20"/>
                <w:lang w:val="fr-FR"/>
              </w:rPr>
              <w:t>ERLoB</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467CB8">
            <w:pPr>
              <w:spacing w:after="0" w:line="240" w:lineRule="auto"/>
              <w:rPr>
                <w:rFonts w:asciiTheme="minorHAnsi" w:eastAsia="Arial" w:hAnsiTheme="minorHAnsi" w:cstheme="minorHAnsi"/>
                <w:color w:val="000000"/>
                <w:sz w:val="18"/>
                <w:szCs w:val="20"/>
                <w:lang w:val="fr-FR"/>
              </w:rPr>
            </w:pPr>
            <w:r w:rsidRPr="00CF7824">
              <w:rPr>
                <w:rFonts w:cs="Calibri"/>
                <w:color w:val="000000"/>
                <w:sz w:val="18"/>
                <w:szCs w:val="20"/>
                <w:lang w:val="fr-FR"/>
              </w:rPr>
              <w:t>CSR Voie de migration Asie de l</w:t>
            </w:r>
            <w:r w:rsidR="00016E39" w:rsidRPr="00CF7824">
              <w:rPr>
                <w:rFonts w:cs="Calibri"/>
                <w:color w:val="000000"/>
                <w:sz w:val="18"/>
                <w:szCs w:val="20"/>
                <w:lang w:val="fr-FR"/>
              </w:rPr>
              <w:t>’</w:t>
            </w:r>
            <w:r w:rsidR="00467CB8" w:rsidRPr="00CF7824">
              <w:rPr>
                <w:rFonts w:cs="Calibri"/>
                <w:color w:val="000000"/>
                <w:sz w:val="18"/>
                <w:szCs w:val="20"/>
                <w:lang w:val="fr-FR"/>
              </w:rPr>
              <w:t>Est-</w:t>
            </w:r>
            <w:r w:rsidRPr="00CF7824">
              <w:rPr>
                <w:rFonts w:cs="Calibri"/>
                <w:color w:val="000000"/>
                <w:sz w:val="18"/>
                <w:szCs w:val="20"/>
                <w:lang w:val="fr-FR"/>
              </w:rPr>
              <w:t>Australasie</w:t>
            </w:r>
            <w:r w:rsidRPr="00CF7824">
              <w:rPr>
                <w:rFonts w:asciiTheme="minorHAnsi" w:eastAsia="Arial" w:hAnsiTheme="minorHAnsi" w:cstheme="minorHAnsi"/>
                <w:color w:val="000000"/>
                <w:sz w:val="18"/>
                <w:szCs w:val="20"/>
                <w:vertAlign w:val="superscript"/>
              </w:rPr>
              <w:footnoteReference w:id="16"/>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CSR</w:t>
            </w:r>
            <w:r w:rsidR="001F19B5" w:rsidRPr="00CF7824">
              <w:rPr>
                <w:rFonts w:cs="Calibri"/>
                <w:color w:val="000000"/>
                <w:sz w:val="18"/>
                <w:szCs w:val="20"/>
                <w:lang w:val="fr-FR"/>
              </w:rPr>
              <w:t> </w:t>
            </w:r>
            <w:r w:rsidRPr="00CF7824">
              <w:rPr>
                <w:rFonts w:cs="Calibri"/>
                <w:color w:val="000000"/>
                <w:sz w:val="18"/>
                <w:szCs w:val="20"/>
                <w:lang w:val="fr-FR"/>
              </w:rPr>
              <w:t>2 ?</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r>
      <w:tr w:rsidR="0020115C" w:rsidRPr="00CF7824"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59128A">
            <w:pPr>
              <w:spacing w:after="0" w:line="240" w:lineRule="auto"/>
              <w:rPr>
                <w:rFonts w:asciiTheme="minorHAnsi" w:eastAsia="Arial" w:hAnsiTheme="minorHAnsi" w:cstheme="minorHAnsi"/>
                <w:color w:val="000000"/>
                <w:sz w:val="18"/>
                <w:szCs w:val="20"/>
                <w:lang w:val="fr-FR"/>
              </w:rPr>
            </w:pPr>
            <w:r w:rsidRPr="00CF7824">
              <w:rPr>
                <w:rFonts w:cs="Calibri"/>
                <w:sz w:val="18"/>
                <w:szCs w:val="20"/>
                <w:lang w:val="fr-FR"/>
              </w:rPr>
              <w:t>Mises à jour PIF Amérique du Nord/ Amériques</w:t>
            </w:r>
            <w:r w:rsidRPr="00CF7824">
              <w:rPr>
                <w:rStyle w:val="FootnoteReference"/>
                <w:rFonts w:asciiTheme="minorHAnsi" w:eastAsia="Arial" w:hAnsiTheme="minorHAnsi" w:cstheme="minorHAnsi"/>
                <w:sz w:val="18"/>
                <w:szCs w:val="20"/>
              </w:rPr>
              <w:footnoteReference w:id="17"/>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x</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x</w:t>
            </w: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x</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rPr>
            </w:pPr>
          </w:p>
        </w:tc>
        <w:tc>
          <w:tcPr>
            <w:tcW w:w="665" w:type="dxa"/>
            <w:tcBorders>
              <w:top w:val="nil"/>
              <w:left w:val="nil"/>
              <w:bottom w:val="single" w:sz="4" w:space="0" w:color="000000" w:themeColor="text1"/>
              <w:right w:val="single" w:sz="4" w:space="0" w:color="000000" w:themeColor="text1"/>
            </w:tcBorders>
          </w:tcPr>
          <w:p w:rsidR="004A3E7F" w:rsidRPr="00CF7824" w:rsidRDefault="00164734" w:rsidP="003C7337">
            <w:pPr>
              <w:spacing w:after="0" w:line="240" w:lineRule="auto"/>
              <w:jc w:val="center"/>
              <w:rPr>
                <w:rFonts w:asciiTheme="minorHAnsi" w:eastAsia="Arial" w:hAnsiTheme="minorHAnsi" w:cstheme="minorHAnsi"/>
                <w:color w:val="000000"/>
                <w:sz w:val="18"/>
                <w:szCs w:val="20"/>
              </w:rPr>
            </w:pPr>
            <w:r w:rsidRPr="00CF7824">
              <w:rPr>
                <w:rFonts w:cs="Calibri"/>
                <w:color w:val="000000"/>
                <w:sz w:val="18"/>
                <w:szCs w:val="20"/>
                <w:lang w:val="fr-FR"/>
              </w:rPr>
              <w:t>x</w:t>
            </w:r>
          </w:p>
        </w:tc>
      </w:tr>
      <w:tr w:rsidR="0020115C" w:rsidRPr="00785D5E" w:rsidTr="006931FC">
        <w:trPr>
          <w:cantSplit/>
        </w:trPr>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4A3E7F" w:rsidRPr="00CF7824" w:rsidRDefault="00164734" w:rsidP="003C7337">
            <w:pPr>
              <w:spacing w:after="0" w:line="240" w:lineRule="auto"/>
              <w:rPr>
                <w:rFonts w:asciiTheme="minorHAnsi" w:eastAsia="Arial" w:hAnsiTheme="minorHAnsi" w:cstheme="minorHAnsi"/>
                <w:color w:val="000000"/>
                <w:sz w:val="18"/>
                <w:szCs w:val="20"/>
                <w:lang w:val="fr-FR"/>
              </w:rPr>
            </w:pPr>
            <w:r w:rsidRPr="00CF7824">
              <w:rPr>
                <w:rFonts w:cs="Calibri"/>
                <w:color w:val="000000"/>
                <w:sz w:val="18"/>
                <w:szCs w:val="20"/>
                <w:lang w:val="fr-FR"/>
              </w:rPr>
              <w:t>Autres mises à jour pour les voies de migration</w:t>
            </w: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5"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shd w:val="clear" w:color="auto" w:fill="auto"/>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4"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c>
          <w:tcPr>
            <w:tcW w:w="665" w:type="dxa"/>
            <w:tcBorders>
              <w:top w:val="nil"/>
              <w:left w:val="nil"/>
              <w:bottom w:val="single" w:sz="4" w:space="0" w:color="000000" w:themeColor="text1"/>
              <w:right w:val="single" w:sz="4" w:space="0" w:color="000000" w:themeColor="text1"/>
            </w:tcBorders>
          </w:tcPr>
          <w:p w:rsidR="004A3E7F" w:rsidRPr="00CF7824" w:rsidRDefault="004A3E7F" w:rsidP="003C7337">
            <w:pPr>
              <w:spacing w:after="0" w:line="240" w:lineRule="auto"/>
              <w:jc w:val="center"/>
              <w:rPr>
                <w:rFonts w:asciiTheme="minorHAnsi" w:eastAsia="Arial" w:hAnsiTheme="minorHAnsi" w:cstheme="minorHAnsi"/>
                <w:color w:val="000000"/>
                <w:sz w:val="18"/>
                <w:szCs w:val="20"/>
                <w:lang w:val="fr-FR"/>
              </w:rPr>
            </w:pPr>
          </w:p>
        </w:tc>
      </w:tr>
    </w:tbl>
    <w:p w:rsidR="004A3E7F" w:rsidRPr="00CF7824" w:rsidRDefault="004A3E7F" w:rsidP="004A3E7F">
      <w:pPr>
        <w:ind w:left="0" w:firstLine="0"/>
        <w:rPr>
          <w:rFonts w:asciiTheme="minorHAnsi" w:hAnsiTheme="minorHAnsi" w:cstheme="minorHAnsi"/>
          <w:lang w:val="fr-FR"/>
        </w:rPr>
      </w:pPr>
    </w:p>
    <w:p w:rsidR="004A3E7F" w:rsidRPr="00CF7824" w:rsidRDefault="004A3E7F" w:rsidP="004A3E7F">
      <w:pPr>
        <w:ind w:left="0" w:firstLine="0"/>
        <w:rPr>
          <w:rFonts w:asciiTheme="minorHAnsi" w:hAnsiTheme="minorHAnsi" w:cstheme="minorHAnsi"/>
          <w:lang w:val="fr-FR"/>
        </w:rPr>
      </w:pPr>
    </w:p>
    <w:p w:rsidR="00D03D6E" w:rsidRPr="00CF7824" w:rsidRDefault="00D03D6E">
      <w:pPr>
        <w:rPr>
          <w:rFonts w:asciiTheme="minorHAnsi" w:hAnsiTheme="minorHAnsi" w:cstheme="minorHAnsi"/>
          <w:lang w:val="fr-FR"/>
        </w:rPr>
        <w:sectPr w:rsidR="00D03D6E" w:rsidRPr="00CF7824" w:rsidSect="00310B8A">
          <w:footerReference w:type="first" r:id="rId27"/>
          <w:pgSz w:w="16838" w:h="11906" w:orient="landscape"/>
          <w:pgMar w:top="1440" w:right="1440" w:bottom="1440" w:left="1440" w:header="709" w:footer="709" w:gutter="0"/>
          <w:cols w:space="708"/>
          <w:docGrid w:linePitch="360"/>
        </w:sectPr>
      </w:pPr>
    </w:p>
    <w:p w:rsidR="00454C34" w:rsidRPr="00CF7824" w:rsidRDefault="00164734" w:rsidP="009F1494">
      <w:pPr>
        <w:keepNext/>
        <w:ind w:left="0" w:firstLine="0"/>
        <w:rPr>
          <w:rFonts w:asciiTheme="minorHAnsi" w:hAnsiTheme="minorHAnsi" w:cstheme="minorHAnsi"/>
          <w:i/>
          <w:iCs/>
          <w:lang w:val="fr-FR"/>
        </w:rPr>
      </w:pPr>
      <w:r w:rsidRPr="00CF7824">
        <w:rPr>
          <w:rFonts w:asciiTheme="minorHAnsi" w:hAnsiTheme="minorHAnsi" w:cstheme="minorHAnsi"/>
          <w:i/>
          <w:iCs/>
          <w:noProof/>
          <w:lang w:val="fr-FR" w:eastAsia="fr-FR"/>
        </w:rPr>
        <w:lastRenderedPageBreak/>
        <mc:AlternateContent>
          <mc:Choice Requires="wps">
            <w:drawing>
              <wp:anchor distT="45720" distB="45720" distL="114300" distR="114300" simplePos="0" relativeHeight="251661312" behindDoc="0" locked="0" layoutInCell="1" allowOverlap="1" wp14:anchorId="17C47CF6" wp14:editId="67FAB1BF">
                <wp:simplePos x="0" y="0"/>
                <wp:positionH relativeFrom="margin">
                  <wp:posOffset>-635</wp:posOffset>
                </wp:positionH>
                <wp:positionV relativeFrom="paragraph">
                  <wp:posOffset>221615</wp:posOffset>
                </wp:positionV>
                <wp:extent cx="5859780" cy="1834388"/>
                <wp:effectExtent l="0" t="0" r="26670" b="15875"/>
                <wp:wrapSquare wrapText="bothSides"/>
                <wp:docPr id="382066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34388"/>
                        </a:xfrm>
                        <a:prstGeom prst="rect">
                          <a:avLst/>
                        </a:prstGeom>
                        <a:solidFill>
                          <a:srgbClr val="FFFFFF"/>
                        </a:solidFill>
                        <a:ln w="9525">
                          <a:solidFill>
                            <a:srgbClr val="000000"/>
                          </a:solidFill>
                          <a:miter lim="800000"/>
                          <a:headEnd/>
                          <a:tailEnd/>
                        </a:ln>
                      </wps:spPr>
                      <wps:txbx>
                        <w:txbxContent>
                          <w:p w:rsidR="00DA168E" w:rsidRPr="00164734" w:rsidRDefault="00DA168E" w:rsidP="00816EFB">
                            <w:pPr>
                              <w:ind w:left="0" w:firstLine="0"/>
                              <w:rPr>
                                <w:lang w:val="fr-FR"/>
                              </w:rPr>
                            </w:pPr>
                            <w:r>
                              <w:rPr>
                                <w:lang w:val="fr-FR"/>
                              </w:rPr>
                              <w:t xml:space="preserve">Après un examen attentif de ces options, il semblerait que la Convention sur les zones humides et les autres utilisateurs majeurs des informations relatives aux estimations des populations d’oiseaux d’eau bénéficieraient d’une stabilité appropriée dans la périodicité des estimations de la taille et des tendances des populations, ainsi que des seuils de 1% qui en découlent, qui répondrait également aux besoins fonctionnels des utilisateurs et permettrait de fournir des estimations récentes aux initiatives de conservation des populations d’oiseaux d’eau à l’échelle mondiale. </w:t>
                            </w:r>
                          </w:p>
                          <w:p w:rsidR="00DA168E" w:rsidRPr="00164734" w:rsidRDefault="00DA168E" w:rsidP="00816EFB">
                            <w:pPr>
                              <w:ind w:left="0" w:firstLine="0"/>
                              <w:rPr>
                                <w:lang w:val="fr-FR"/>
                              </w:rPr>
                            </w:pPr>
                          </w:p>
                          <w:p w:rsidR="00DA168E" w:rsidRPr="00164734" w:rsidRDefault="00DA168E" w:rsidP="00816EFB">
                            <w:pPr>
                              <w:ind w:left="0" w:firstLine="0"/>
                              <w:rPr>
                                <w:lang w:val="fr-FR"/>
                              </w:rPr>
                            </w:pPr>
                            <w:r>
                              <w:rPr>
                                <w:lang w:val="fr-FR"/>
                              </w:rPr>
                              <w:t xml:space="preserve">Par conséquent, les options </w:t>
                            </w:r>
                            <w:r>
                              <w:rPr>
                                <w:b/>
                                <w:bCs/>
                                <w:lang w:val="fr-FR"/>
                              </w:rPr>
                              <w:t>1b ou 1c</w:t>
                            </w:r>
                            <w:r>
                              <w:rPr>
                                <w:lang w:val="fr-FR"/>
                              </w:rPr>
                              <w:t xml:space="preserve"> (tableau 2) semblent les plus appropriées et les plus efficaces en matière de ressources, plutôt qu’un processus continu ou trop rapide, dans lequel des modifications trop fréquentes de ces informations dérivées ne seraient pas utiles pour diverses raisons pratiques et politiques. Il peut y avoir des exceptions à cette règle dans un petit nombre de cas où des mises à jour plus fréquentes sont nécessaires, en particulier pour les populations en évolution rapide (en déclin).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47CF6" id="_x0000_s1028" type="#_x0000_t202" style="position:absolute;margin-left:-.05pt;margin-top:17.45pt;width:461.4pt;height:144.4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">
                <v:textbox style="mso-fit-shape-to-text:t">
                  <w:txbxContent>
                    <w:p w:rsidR="00DA168E" w:rsidRPr="00164734" w:rsidRDefault="00DA168E" w:rsidP="00816EFB">
                      <w:pPr>
                        <w:ind w:left="0" w:firstLine="0"/>
                        <w:rPr>
                          <w:lang w:val="fr-FR"/>
                        </w:rPr>
                      </w:pPr>
                      <w:r>
                        <w:rPr>
                          <w:lang w:val="fr-FR"/>
                        </w:rPr>
                        <w:t xml:space="preserve">Après un examen attentif de ces options, il semblerait que la Convention sur les zones humides et les autres utilisateurs majeurs des informations relatives aux estimations des populations d’oiseaux d’eau bénéficieraient d’une stabilité appropriée dans la périodicité des estimations de la taille et des tendances des populations, ainsi que des seuils de 1% qui en découlent, qui répondrait également aux besoins fonctionnels des utilisateurs et permettrait de fournir des estimations récentes aux initiatives de conservation des populations d’oiseaux d’eau à l’échelle mondiale. </w:t>
                      </w:r>
                    </w:p>
                    <w:p w:rsidR="00DA168E" w:rsidRPr="00164734" w:rsidRDefault="00DA168E" w:rsidP="00816EFB">
                      <w:pPr>
                        <w:ind w:left="0" w:firstLine="0"/>
                        <w:rPr>
                          <w:lang w:val="fr-FR"/>
                        </w:rPr>
                      </w:pPr>
                    </w:p>
                    <w:p w:rsidR="00DA168E" w:rsidRPr="00164734" w:rsidRDefault="00DA168E" w:rsidP="00816EFB">
                      <w:pPr>
                        <w:ind w:left="0" w:firstLine="0"/>
                        <w:rPr>
                          <w:lang w:val="fr-FR"/>
                        </w:rPr>
                      </w:pPr>
                      <w:r>
                        <w:rPr>
                          <w:lang w:val="fr-FR"/>
                        </w:rPr>
                        <w:t xml:space="preserve">Par conséquent, les options </w:t>
                      </w:r>
                      <w:r>
                        <w:rPr>
                          <w:b/>
                          <w:bCs/>
                          <w:lang w:val="fr-FR"/>
                        </w:rPr>
                        <w:t>1b ou 1c</w:t>
                      </w:r>
                      <w:r>
                        <w:rPr>
                          <w:lang w:val="fr-FR"/>
                        </w:rPr>
                        <w:t xml:space="preserve"> (tableau 2) semblent les plus appropriées et les plus efficaces en matière de ressources, plutôt qu’un processus continu ou trop rapide, dans lequel des modifications trop fréquentes de ces informations dérivées ne seraient pas utiles pour diverses raisons pratiques et politiques. Il peut y avoir des exceptions à cette règle dans un petit nombre de cas où des mises à jour plus fréquentes sont nécessaires, en particulier pour les populations en évolution rapide (en déclin).</w:t>
                      </w:r>
                    </w:p>
                  </w:txbxContent>
                </v:textbox>
                <w10:wrap type="square" anchorx="margin"/>
              </v:shape>
            </w:pict>
          </mc:Fallback>
        </mc:AlternateContent>
      </w:r>
      <w:r w:rsidRPr="00CF7824">
        <w:rPr>
          <w:rFonts w:cs="Calibri"/>
          <w:i/>
          <w:iCs/>
          <w:lang w:val="fr-FR"/>
        </w:rPr>
        <w:t>Encadré 2 :</w:t>
      </w:r>
      <w:r w:rsidR="00016E39" w:rsidRPr="00CF7824">
        <w:rPr>
          <w:rFonts w:cs="Calibri"/>
          <w:i/>
          <w:iCs/>
          <w:lang w:val="fr-FR"/>
        </w:rPr>
        <w:t xml:space="preserve"> </w:t>
      </w:r>
      <w:r w:rsidRPr="00CF7824">
        <w:rPr>
          <w:rFonts w:cs="Calibri"/>
          <w:i/>
          <w:iCs/>
          <w:lang w:val="fr-FR"/>
        </w:rPr>
        <w:t>Recom</w:t>
      </w:r>
      <w:r w:rsidR="001F19B5" w:rsidRPr="00CF7824">
        <w:rPr>
          <w:rFonts w:cs="Calibri"/>
          <w:i/>
          <w:iCs/>
          <w:lang w:val="fr-FR"/>
        </w:rPr>
        <w:t>ma</w:t>
      </w:r>
      <w:r w:rsidRPr="00CF7824">
        <w:rPr>
          <w:rFonts w:cs="Calibri"/>
          <w:i/>
          <w:iCs/>
          <w:lang w:val="fr-FR"/>
        </w:rPr>
        <w:t>ndation</w:t>
      </w:r>
      <w:r w:rsidR="001F19B5" w:rsidRPr="00CF7824">
        <w:rPr>
          <w:rFonts w:cs="Calibri"/>
          <w:i/>
          <w:iCs/>
          <w:lang w:val="fr-FR"/>
        </w:rPr>
        <w:t> </w:t>
      </w:r>
      <w:r w:rsidRPr="00CF7824">
        <w:rPr>
          <w:rFonts w:cs="Calibri"/>
          <w:i/>
          <w:iCs/>
          <w:lang w:val="fr-FR"/>
        </w:rPr>
        <w:t>1 du GEST : Périodicité future des WPE et des seuils de 1%.</w:t>
      </w:r>
    </w:p>
    <w:p w:rsidR="005239FE" w:rsidRPr="00CF7824" w:rsidRDefault="005239FE" w:rsidP="00816EFB">
      <w:pPr>
        <w:keepNext/>
        <w:rPr>
          <w:rFonts w:asciiTheme="minorHAnsi" w:hAnsiTheme="minorHAnsi" w:cstheme="minorHAnsi"/>
          <w:u w:val="single"/>
          <w:lang w:val="fr-FR"/>
        </w:rPr>
      </w:pPr>
      <w:bookmarkStart w:id="7" w:name="_Toc159848050"/>
    </w:p>
    <w:p w:rsidR="005239FE" w:rsidRPr="00CF7824" w:rsidRDefault="005239FE" w:rsidP="00816EFB">
      <w:pPr>
        <w:keepNext/>
        <w:rPr>
          <w:rFonts w:asciiTheme="minorHAnsi" w:hAnsiTheme="minorHAnsi" w:cstheme="minorHAnsi"/>
          <w:u w:val="single"/>
          <w:lang w:val="fr-FR"/>
        </w:rPr>
      </w:pPr>
    </w:p>
    <w:p w:rsidR="000E5075" w:rsidRPr="00CF7824" w:rsidRDefault="00164734" w:rsidP="00816EFB">
      <w:pPr>
        <w:keepNext/>
        <w:rPr>
          <w:rFonts w:asciiTheme="minorHAnsi" w:hAnsiTheme="minorHAnsi" w:cstheme="minorHAnsi"/>
          <w:u w:val="single"/>
          <w:lang w:val="fr-FR"/>
        </w:rPr>
      </w:pPr>
      <w:r w:rsidRPr="00CF7824">
        <w:rPr>
          <w:rFonts w:cs="Calibri"/>
          <w:u w:val="single"/>
          <w:lang w:val="fr-FR"/>
        </w:rPr>
        <w:t>Priorité de la mise à jour des WPE</w:t>
      </w:r>
      <w:bookmarkEnd w:id="7"/>
    </w:p>
    <w:p w:rsidR="000E1114" w:rsidRPr="00CF7824" w:rsidRDefault="004212F8" w:rsidP="004212F8">
      <w:pPr>
        <w:tabs>
          <w:tab w:val="left" w:pos="5257"/>
          <w:tab w:val="left" w:pos="5665"/>
        </w:tabs>
        <w:rPr>
          <w:rFonts w:asciiTheme="minorHAnsi" w:hAnsiTheme="minorHAnsi" w:cstheme="minorHAnsi"/>
          <w:lang w:val="fr-FR"/>
        </w:rPr>
      </w:pPr>
      <w:r w:rsidRPr="00CF7824">
        <w:rPr>
          <w:rFonts w:asciiTheme="minorHAnsi" w:hAnsiTheme="minorHAnsi" w:cstheme="minorHAnsi"/>
          <w:lang w:val="fr-FR"/>
        </w:rPr>
        <w:tab/>
      </w:r>
      <w:r w:rsidRPr="00CF7824">
        <w:rPr>
          <w:rFonts w:asciiTheme="minorHAnsi" w:hAnsiTheme="minorHAnsi" w:cstheme="minorHAnsi"/>
          <w:lang w:val="fr-FR"/>
        </w:rPr>
        <w:tab/>
      </w:r>
      <w:r w:rsidRPr="00CF7824">
        <w:rPr>
          <w:rFonts w:asciiTheme="minorHAnsi" w:hAnsiTheme="minorHAnsi" w:cstheme="minorHAnsi"/>
          <w:lang w:val="fr-FR"/>
        </w:rPr>
        <w:tab/>
      </w:r>
    </w:p>
    <w:p w:rsidR="00A55328" w:rsidRPr="00CF7824" w:rsidRDefault="00164734" w:rsidP="00816EFB">
      <w:pPr>
        <w:rPr>
          <w:rFonts w:asciiTheme="minorHAnsi" w:hAnsiTheme="minorHAnsi" w:cstheme="minorHAnsi"/>
          <w:lang w:val="fr-FR"/>
        </w:rPr>
      </w:pPr>
      <w:r w:rsidRPr="00CF7824">
        <w:rPr>
          <w:rFonts w:cs="Calibri"/>
          <w:bCs/>
          <w:lang w:val="fr-FR"/>
        </w:rPr>
        <w:t>40.</w:t>
      </w:r>
      <w:r w:rsidRPr="00CF7824">
        <w:rPr>
          <w:rFonts w:cs="Calibri"/>
          <w:bCs/>
          <w:lang w:val="fr-FR"/>
        </w:rPr>
        <w:tab/>
        <w:t xml:space="preserve">Comme indiqué dans la sous-section </w:t>
      </w:r>
      <w:r w:rsidR="004212F8" w:rsidRPr="00CF7824">
        <w:rPr>
          <w:rFonts w:cs="Calibri"/>
          <w:bCs/>
          <w:i/>
          <w:lang w:val="fr-FR"/>
        </w:rPr>
        <w:t xml:space="preserve">Options </w:t>
      </w:r>
      <w:r w:rsidRPr="00CF7824">
        <w:rPr>
          <w:rFonts w:cs="Calibri"/>
          <w:bCs/>
          <w:i/>
          <w:lang w:val="fr-FR"/>
        </w:rPr>
        <w:t>relatives à la périodicité des mises à jour</w:t>
      </w:r>
      <w:r w:rsidRPr="00CF7824">
        <w:rPr>
          <w:rFonts w:cs="Calibri"/>
          <w:bCs/>
          <w:lang w:val="fr-FR"/>
        </w:rPr>
        <w:t>, il est nécessaire de procéder à une révision et une mise à jour périodiques des informations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afin de fournir aux utilisateurs des informations actualisées et cohérentes sur les populations </w:t>
      </w:r>
      <w:r w:rsidR="00912278" w:rsidRPr="00CF7824">
        <w:rPr>
          <w:rFonts w:cs="Calibri"/>
          <w:bCs/>
          <w:lang w:val="fr-FR"/>
        </w:rPr>
        <w:t>ainsi que d</w:t>
      </w:r>
      <w:r w:rsidRPr="00CF7824">
        <w:rPr>
          <w:rFonts w:cs="Calibri"/>
          <w:bCs/>
          <w:lang w:val="fr-FR"/>
        </w:rPr>
        <w:t>es seuils de 1% qui soutiennent efficacement les mesures de conservation et les prises de décision</w:t>
      </w:r>
      <w:r w:rsidR="00A206A7" w:rsidRPr="00CF7824">
        <w:rPr>
          <w:rFonts w:cs="Calibri"/>
          <w:bCs/>
          <w:lang w:val="fr-FR"/>
        </w:rPr>
        <w:t>s</w:t>
      </w:r>
      <w:r w:rsidRPr="00CF7824">
        <w:rPr>
          <w:rFonts w:cs="Calibri"/>
          <w:bCs/>
          <w:lang w:val="fr-FR"/>
        </w:rPr>
        <w:t xml:space="preserve"> qui s</w:t>
      </w:r>
      <w:r w:rsidR="00016E39" w:rsidRPr="00CF7824">
        <w:rPr>
          <w:rFonts w:cs="Calibri"/>
          <w:bCs/>
          <w:lang w:val="fr-FR"/>
        </w:rPr>
        <w:t>’</w:t>
      </w:r>
      <w:r w:rsidRPr="00CF7824">
        <w:rPr>
          <w:rFonts w:cs="Calibri"/>
          <w:bCs/>
          <w:lang w:val="fr-FR"/>
        </w:rPr>
        <w:t xml:space="preserve">y rapportent. </w:t>
      </w:r>
    </w:p>
    <w:p w:rsidR="00A55328" w:rsidRPr="00CF7824" w:rsidRDefault="00A55328" w:rsidP="00A55328">
      <w:pPr>
        <w:rPr>
          <w:rFonts w:asciiTheme="minorHAnsi" w:hAnsiTheme="minorHAnsi" w:cstheme="minorHAnsi"/>
          <w:lang w:val="fr-FR"/>
        </w:rPr>
      </w:pPr>
    </w:p>
    <w:p w:rsidR="00A55328" w:rsidRPr="00CF7824" w:rsidRDefault="00164734" w:rsidP="00790559">
      <w:pPr>
        <w:rPr>
          <w:rFonts w:asciiTheme="minorHAnsi" w:hAnsiTheme="minorHAnsi" w:cstheme="minorHAnsi"/>
          <w:lang w:val="fr-FR"/>
        </w:rPr>
      </w:pPr>
      <w:r w:rsidRPr="00CF7824">
        <w:rPr>
          <w:rFonts w:cs="Calibri"/>
          <w:bCs/>
          <w:lang w:val="fr-FR"/>
        </w:rPr>
        <w:t>41.</w:t>
      </w:r>
      <w:r w:rsidRPr="00CF7824">
        <w:rPr>
          <w:rFonts w:cs="Calibri"/>
          <w:bCs/>
          <w:lang w:val="fr-FR"/>
        </w:rPr>
        <w:tab/>
        <w:t>Alors qu</w:t>
      </w:r>
      <w:r w:rsidR="00016E39" w:rsidRPr="00CF7824">
        <w:rPr>
          <w:rFonts w:cs="Calibri"/>
          <w:bCs/>
          <w:lang w:val="fr-FR"/>
        </w:rPr>
        <w:t>’</w:t>
      </w:r>
      <w:r w:rsidRPr="00CF7824">
        <w:rPr>
          <w:rFonts w:cs="Calibri"/>
          <w:bCs/>
          <w:lang w:val="fr-FR"/>
        </w:rPr>
        <w:t>il est nécessaire de disposer d</w:t>
      </w:r>
      <w:r w:rsidR="00016E39" w:rsidRPr="00CF7824">
        <w:rPr>
          <w:rFonts w:cs="Calibri"/>
          <w:bCs/>
          <w:lang w:val="fr-FR"/>
        </w:rPr>
        <w:t>’</w:t>
      </w:r>
      <w:r w:rsidRPr="00CF7824">
        <w:rPr>
          <w:rFonts w:cs="Calibri"/>
          <w:bCs/>
          <w:lang w:val="fr-FR"/>
        </w:rPr>
        <w:t>informations actualisées, la situation actuelle est telle que les informations les plus récentes du Waterbird populations Portal concernent les populations migratrices des régions de l</w:t>
      </w:r>
      <w:r w:rsidR="00016E39" w:rsidRPr="00CF7824">
        <w:rPr>
          <w:rFonts w:cs="Calibri"/>
          <w:bCs/>
          <w:lang w:val="fr-FR"/>
        </w:rPr>
        <w:t>’</w:t>
      </w:r>
      <w:r w:rsidRPr="00CF7824">
        <w:rPr>
          <w:rFonts w:cs="Calibri"/>
          <w:bCs/>
          <w:lang w:val="fr-FR"/>
        </w:rPr>
        <w:t>AEWA et de l</w:t>
      </w:r>
      <w:r w:rsidR="00016E39" w:rsidRPr="00CF7824">
        <w:rPr>
          <w:rFonts w:cs="Calibri"/>
          <w:bCs/>
          <w:lang w:val="fr-FR"/>
        </w:rPr>
        <w:t>’</w:t>
      </w:r>
      <w:r w:rsidRPr="00CF7824">
        <w:rPr>
          <w:rFonts w:cs="Calibri"/>
          <w:bCs/>
          <w:lang w:val="fr-FR"/>
        </w:rPr>
        <w:t>EAAFP qui ont bénéficié des processus CSR (produits en dehors du cadre de la Convention sur les zones humides) résumés dans 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1 ci-après. Les informations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migrateurs dans d</w:t>
      </w:r>
      <w:r w:rsidR="00016E39" w:rsidRPr="00CF7824">
        <w:rPr>
          <w:rFonts w:cs="Calibri"/>
          <w:bCs/>
          <w:lang w:val="fr-FR"/>
        </w:rPr>
        <w:t>’</w:t>
      </w:r>
      <w:r w:rsidRPr="00CF7824">
        <w:rPr>
          <w:rFonts w:cs="Calibri"/>
          <w:bCs/>
          <w:lang w:val="fr-FR"/>
        </w:rPr>
        <w:t>autres voies de migration et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résidents dans le monde entier qui figurent sur le Waterbird populations Portal sont largement </w:t>
      </w:r>
      <w:r w:rsidR="00912278" w:rsidRPr="00CF7824">
        <w:rPr>
          <w:rFonts w:cs="Calibri"/>
          <w:bCs/>
          <w:lang w:val="fr-FR"/>
        </w:rPr>
        <w:t>obsolètes</w:t>
      </w:r>
      <w:r w:rsidRPr="00CF7824">
        <w:rPr>
          <w:rFonts w:cs="Calibri"/>
          <w:bCs/>
          <w:lang w:val="fr-FR"/>
        </w:rPr>
        <w:t xml:space="preserve"> et datent parfois de 30</w:t>
      </w:r>
      <w:r w:rsidR="00376BA1" w:rsidRPr="00CF7824">
        <w:rPr>
          <w:rFonts w:cs="Calibri"/>
          <w:bCs/>
          <w:lang w:val="fr-FR"/>
        </w:rPr>
        <w:t> </w:t>
      </w:r>
      <w:r w:rsidRPr="00CF7824">
        <w:rPr>
          <w:rFonts w:cs="Calibri"/>
          <w:bCs/>
          <w:lang w:val="fr-FR"/>
        </w:rPr>
        <w:t>ans</w:t>
      </w:r>
      <w:r w:rsidR="00A12CF2" w:rsidRPr="00CF7824">
        <w:rPr>
          <w:rFonts w:cs="Calibri"/>
          <w:bCs/>
          <w:lang w:val="fr-FR"/>
        </w:rPr>
        <w:t>;</w:t>
      </w:r>
      <w:r w:rsidRPr="00CF7824">
        <w:rPr>
          <w:rFonts w:cs="Calibri"/>
          <w:bCs/>
          <w:lang w:val="fr-FR"/>
        </w:rPr>
        <w:t xml:space="preserve"> il est donc urgent de les mettre à jour. </w:t>
      </w:r>
    </w:p>
    <w:p w:rsidR="00A55328" w:rsidRPr="00CF7824" w:rsidRDefault="00A55328" w:rsidP="00A55328">
      <w:pPr>
        <w:rPr>
          <w:rFonts w:asciiTheme="minorHAnsi" w:hAnsiTheme="minorHAnsi" w:cstheme="minorHAnsi"/>
          <w:lang w:val="fr-FR"/>
        </w:rPr>
      </w:pPr>
    </w:p>
    <w:p w:rsidR="00A55328" w:rsidRPr="00CF7824" w:rsidRDefault="00164734" w:rsidP="00790559">
      <w:pPr>
        <w:rPr>
          <w:rFonts w:asciiTheme="minorHAnsi" w:hAnsiTheme="minorHAnsi" w:cstheme="minorHAnsi"/>
          <w:lang w:val="fr-FR"/>
        </w:rPr>
      </w:pPr>
      <w:r w:rsidRPr="00CF7824">
        <w:rPr>
          <w:rFonts w:cs="Calibri"/>
          <w:bCs/>
          <w:lang w:val="fr-FR"/>
        </w:rPr>
        <w:t>42.</w:t>
      </w:r>
      <w:r w:rsidRPr="00CF7824">
        <w:rPr>
          <w:rFonts w:cs="Calibri"/>
          <w:bCs/>
          <w:lang w:val="fr-FR"/>
        </w:rPr>
        <w:tab/>
        <w:t>La présente proposition technique vise à fournir une base pour définir une solution durable et à long terme permettant une mise à jour périodique de l</w:t>
      </w:r>
      <w:r w:rsidR="00016E39" w:rsidRPr="00CF7824">
        <w:rPr>
          <w:rFonts w:cs="Calibri"/>
          <w:bCs/>
          <w:lang w:val="fr-FR"/>
        </w:rPr>
        <w:t>’</w:t>
      </w:r>
      <w:r w:rsidRPr="00CF7824">
        <w:rPr>
          <w:rFonts w:cs="Calibri"/>
          <w:bCs/>
          <w:lang w:val="fr-FR"/>
        </w:rPr>
        <w:t>estimation des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basée sur plusieurs processus d</w:t>
      </w:r>
      <w:r w:rsidR="00016E39" w:rsidRPr="00CF7824">
        <w:rPr>
          <w:rFonts w:cs="Calibri"/>
          <w:bCs/>
          <w:lang w:val="fr-FR"/>
        </w:rPr>
        <w:t>’</w:t>
      </w:r>
      <w:r w:rsidRPr="00CF7824">
        <w:rPr>
          <w:rFonts w:cs="Calibri"/>
          <w:bCs/>
          <w:lang w:val="fr-FR"/>
        </w:rPr>
        <w:t>examen opérés à travers le monde par une série d</w:t>
      </w:r>
      <w:r w:rsidR="00016E39" w:rsidRPr="00CF7824">
        <w:rPr>
          <w:rFonts w:cs="Calibri"/>
          <w:bCs/>
          <w:lang w:val="fr-FR"/>
        </w:rPr>
        <w:t>’</w:t>
      </w:r>
      <w:r w:rsidRPr="00CF7824">
        <w:rPr>
          <w:rFonts w:cs="Calibri"/>
          <w:bCs/>
          <w:lang w:val="fr-FR"/>
        </w:rPr>
        <w:t>acteurs internationaux, dont la Convention sur les zones humides, les processus de l</w:t>
      </w:r>
      <w:r w:rsidR="00016E39" w:rsidRPr="00CF7824">
        <w:rPr>
          <w:rFonts w:cs="Calibri"/>
          <w:bCs/>
          <w:lang w:val="fr-FR"/>
        </w:rPr>
        <w:t>’</w:t>
      </w:r>
      <w:r w:rsidRPr="00CF7824">
        <w:rPr>
          <w:rFonts w:cs="Calibri"/>
          <w:bCs/>
          <w:lang w:val="fr-FR"/>
        </w:rPr>
        <w:t>UE, de l</w:t>
      </w:r>
      <w:r w:rsidR="00016E39" w:rsidRPr="00CF7824">
        <w:rPr>
          <w:rFonts w:cs="Calibri"/>
          <w:bCs/>
          <w:lang w:val="fr-FR"/>
        </w:rPr>
        <w:t>’</w:t>
      </w:r>
      <w:r w:rsidRPr="00CF7824">
        <w:rPr>
          <w:rFonts w:cs="Calibri"/>
          <w:bCs/>
          <w:lang w:val="fr-FR"/>
        </w:rPr>
        <w:t>AEWA et de l</w:t>
      </w:r>
      <w:r w:rsidR="00016E39" w:rsidRPr="00CF7824">
        <w:rPr>
          <w:rFonts w:cs="Calibri"/>
          <w:bCs/>
          <w:lang w:val="fr-FR"/>
        </w:rPr>
        <w:t>’</w:t>
      </w:r>
      <w:r w:rsidRPr="00CF7824">
        <w:rPr>
          <w:rFonts w:cs="Calibri"/>
          <w:bCs/>
          <w:lang w:val="fr-FR"/>
        </w:rPr>
        <w:t>EAAFP ainsi que d</w:t>
      </w:r>
      <w:r w:rsidR="00016E39" w:rsidRPr="00CF7824">
        <w:rPr>
          <w:rFonts w:cs="Calibri"/>
          <w:bCs/>
          <w:lang w:val="fr-FR"/>
        </w:rPr>
        <w:t>’</w:t>
      </w:r>
      <w:r w:rsidRPr="00CF7824">
        <w:rPr>
          <w:rFonts w:cs="Calibri"/>
          <w:bCs/>
          <w:lang w:val="fr-FR"/>
        </w:rPr>
        <w:t>autres initiatives et partenariats relatifs aux voies de migration. Il conviendra d</w:t>
      </w:r>
      <w:r w:rsidR="00016E39" w:rsidRPr="00CF7824">
        <w:rPr>
          <w:rFonts w:cs="Calibri"/>
          <w:bCs/>
          <w:lang w:val="fr-FR"/>
        </w:rPr>
        <w:t>’</w:t>
      </w:r>
      <w:r w:rsidRPr="00CF7824">
        <w:rPr>
          <w:rFonts w:cs="Calibri"/>
          <w:bCs/>
          <w:lang w:val="fr-FR"/>
        </w:rPr>
        <w:t xml:space="preserve">établir des liens pertinents avec ces entités. </w:t>
      </w:r>
    </w:p>
    <w:p w:rsidR="00A55328" w:rsidRPr="00CF7824" w:rsidRDefault="00A55328" w:rsidP="00A55328">
      <w:pPr>
        <w:rPr>
          <w:rFonts w:asciiTheme="minorHAnsi" w:hAnsiTheme="minorHAnsi" w:cstheme="minorHAnsi"/>
          <w:lang w:val="fr-FR"/>
        </w:rPr>
      </w:pPr>
    </w:p>
    <w:p w:rsidR="00A55328" w:rsidRPr="00CF7824" w:rsidRDefault="00164734" w:rsidP="00790559">
      <w:pPr>
        <w:rPr>
          <w:rFonts w:asciiTheme="minorHAnsi" w:hAnsiTheme="minorHAnsi" w:cstheme="minorHAnsi"/>
          <w:lang w:val="fr-FR"/>
        </w:rPr>
      </w:pPr>
      <w:r w:rsidRPr="00CF7824">
        <w:rPr>
          <w:rFonts w:cs="Calibri"/>
          <w:bCs/>
          <w:lang w:val="fr-FR"/>
        </w:rPr>
        <w:t>43.</w:t>
      </w:r>
      <w:r w:rsidRPr="00CF7824">
        <w:rPr>
          <w:rFonts w:cs="Calibri"/>
          <w:bCs/>
          <w:lang w:val="fr-FR"/>
        </w:rPr>
        <w:tab/>
        <w:t xml:space="preserve">Toutefois, à court terme (les informations étant </w:t>
      </w:r>
      <w:r w:rsidR="00912278" w:rsidRPr="00CF7824">
        <w:rPr>
          <w:rFonts w:cs="Calibri"/>
          <w:bCs/>
          <w:lang w:val="fr-FR"/>
        </w:rPr>
        <w:t>obsolètes</w:t>
      </w:r>
      <w:r w:rsidRPr="00CF7824">
        <w:rPr>
          <w:rFonts w:cs="Calibri"/>
          <w:bCs/>
          <w:lang w:val="fr-FR"/>
        </w:rPr>
        <w:t xml:space="preserve"> pour de nombreuses populations), il y a un besoin immédiat de mise à jour axée sur plusieurs régions géographiques prioritaires (voies de migration) et sur certains groupes d</w:t>
      </w:r>
      <w:r w:rsidR="00016E39" w:rsidRPr="00CF7824">
        <w:rPr>
          <w:rFonts w:cs="Calibri"/>
          <w:bCs/>
          <w:lang w:val="fr-FR"/>
        </w:rPr>
        <w:t>’</w:t>
      </w:r>
      <w:r w:rsidRPr="00CF7824">
        <w:rPr>
          <w:rFonts w:cs="Calibri"/>
          <w:bCs/>
          <w:lang w:val="fr-FR"/>
        </w:rPr>
        <w:t xml:space="preserve">espèces prioritaires (pour lesquels des données sont déjà disponibles et qui sont nécessaires pour des actions de conservation prioritaires). </w:t>
      </w:r>
    </w:p>
    <w:p w:rsidR="00A55328" w:rsidRPr="00CF7824" w:rsidRDefault="00A55328" w:rsidP="00A55328">
      <w:pPr>
        <w:rPr>
          <w:rFonts w:asciiTheme="minorHAnsi" w:hAnsiTheme="minorHAnsi" w:cstheme="minorHAnsi"/>
          <w:lang w:val="fr-FR"/>
        </w:rPr>
      </w:pPr>
    </w:p>
    <w:p w:rsidR="00D63784" w:rsidRPr="00CF7824" w:rsidRDefault="00164734" w:rsidP="00790559">
      <w:pPr>
        <w:rPr>
          <w:rFonts w:asciiTheme="minorHAnsi" w:hAnsiTheme="minorHAnsi" w:cstheme="minorHAnsi"/>
          <w:lang w:val="fr-FR"/>
        </w:rPr>
      </w:pPr>
      <w:r w:rsidRPr="00CF7824">
        <w:rPr>
          <w:rFonts w:cs="Calibri"/>
          <w:bCs/>
          <w:lang w:val="fr-FR"/>
        </w:rPr>
        <w:t>44.</w:t>
      </w:r>
      <w:r w:rsidRPr="00CF7824">
        <w:rPr>
          <w:rFonts w:cs="Calibri"/>
          <w:bCs/>
          <w:lang w:val="fr-FR"/>
        </w:rPr>
        <w:tab/>
        <w:t>Si le financement le permet, les mises à jour devraient commencer dès que possible afin d</w:t>
      </w:r>
      <w:r w:rsidR="00016E39" w:rsidRPr="00CF7824">
        <w:rPr>
          <w:rFonts w:cs="Calibri"/>
          <w:bCs/>
          <w:lang w:val="fr-FR"/>
        </w:rPr>
        <w:t>’</w:t>
      </w:r>
      <w:r w:rsidRPr="00CF7824">
        <w:rPr>
          <w:rFonts w:cs="Calibri"/>
          <w:bCs/>
          <w:lang w:val="fr-FR"/>
        </w:rPr>
        <w:t>être disponibles pour la COP16 et avant tout nouveau cycle complet du processus WPE. Le tableau</w:t>
      </w:r>
      <w:r w:rsidR="001F19B5" w:rsidRPr="00CF7824">
        <w:rPr>
          <w:rFonts w:cs="Calibri"/>
          <w:bCs/>
          <w:lang w:val="fr-FR"/>
        </w:rPr>
        <w:t> </w:t>
      </w:r>
      <w:r w:rsidRPr="00CF7824">
        <w:rPr>
          <w:rFonts w:cs="Calibri"/>
          <w:bCs/>
          <w:lang w:val="fr-FR"/>
        </w:rPr>
        <w:t>4 décrit une première liste de groupes d</w:t>
      </w:r>
      <w:r w:rsidR="00016E39" w:rsidRPr="00CF7824">
        <w:rPr>
          <w:rFonts w:cs="Calibri"/>
          <w:bCs/>
          <w:lang w:val="fr-FR"/>
        </w:rPr>
        <w:t>’</w:t>
      </w:r>
      <w:r w:rsidRPr="00CF7824">
        <w:rPr>
          <w:rFonts w:cs="Calibri"/>
          <w:bCs/>
          <w:lang w:val="fr-FR"/>
        </w:rPr>
        <w:t>espèces et de régions identifiés comme prioritaires pour une mise à jour dans le cadre de l</w:t>
      </w:r>
      <w:r w:rsidR="00016E39" w:rsidRPr="00CF7824">
        <w:rPr>
          <w:rFonts w:cs="Calibri"/>
          <w:bCs/>
          <w:lang w:val="fr-FR"/>
        </w:rPr>
        <w:t>’</w:t>
      </w:r>
      <w:r w:rsidRPr="00CF7824">
        <w:rPr>
          <w:rFonts w:cs="Calibri"/>
          <w:bCs/>
          <w:lang w:val="fr-FR"/>
        </w:rPr>
        <w:t>actualisation intermédiaire proposée, établie pour les raisons mentionnées ci-dessus. Une telle révision intermédiaire pourrait tirer parti des informations existantes pour certaines régions</w:t>
      </w:r>
      <w:r w:rsidR="00912278" w:rsidRPr="00CF7824">
        <w:rPr>
          <w:rFonts w:cs="Calibri"/>
          <w:bCs/>
          <w:lang w:val="fr-FR"/>
        </w:rPr>
        <w:t xml:space="preserve"> ou certains </w:t>
      </w:r>
      <w:r w:rsidRPr="00CF7824">
        <w:rPr>
          <w:rFonts w:cs="Calibri"/>
          <w:bCs/>
          <w:lang w:val="fr-FR"/>
        </w:rPr>
        <w:t>groupes, tel</w:t>
      </w:r>
      <w:r w:rsidR="001F19B5" w:rsidRPr="00CF7824">
        <w:rPr>
          <w:rFonts w:cs="Calibri"/>
          <w:bCs/>
          <w:lang w:val="fr-FR"/>
        </w:rPr>
        <w:t>le</w:t>
      </w:r>
      <w:r w:rsidRPr="00CF7824">
        <w:rPr>
          <w:rFonts w:cs="Calibri"/>
          <w:bCs/>
          <w:lang w:val="fr-FR"/>
        </w:rPr>
        <w:t>s que les populations résidentes et non migratrices en Europe couvertes par le processus de l</w:t>
      </w:r>
      <w:r w:rsidR="00016E39" w:rsidRPr="00CF7824">
        <w:rPr>
          <w:rFonts w:cs="Calibri"/>
          <w:bCs/>
          <w:lang w:val="fr-FR"/>
        </w:rPr>
        <w:t>’</w:t>
      </w:r>
      <w:r w:rsidRPr="00CF7824">
        <w:rPr>
          <w:rFonts w:cs="Calibri"/>
          <w:bCs/>
          <w:lang w:val="fr-FR"/>
        </w:rPr>
        <w:t>Article 12 de l</w:t>
      </w:r>
      <w:r w:rsidR="00016E39" w:rsidRPr="00CF7824">
        <w:rPr>
          <w:rFonts w:cs="Calibri"/>
          <w:bCs/>
          <w:lang w:val="fr-FR"/>
        </w:rPr>
        <w:t>’</w:t>
      </w:r>
      <w:r w:rsidRPr="00CF7824">
        <w:rPr>
          <w:rFonts w:cs="Calibri"/>
          <w:bCs/>
          <w:lang w:val="fr-FR"/>
        </w:rPr>
        <w:t>UE et en lien avec la Liste rouge des oiseaux d</w:t>
      </w:r>
      <w:r w:rsidR="00016E39" w:rsidRPr="00CF7824">
        <w:rPr>
          <w:rFonts w:cs="Calibri"/>
          <w:bCs/>
          <w:lang w:val="fr-FR"/>
        </w:rPr>
        <w:t>’</w:t>
      </w:r>
      <w:r w:rsidRPr="00CF7824">
        <w:rPr>
          <w:rFonts w:cs="Calibri"/>
          <w:bCs/>
          <w:lang w:val="fr-FR"/>
        </w:rPr>
        <w:t>Europe (ERLoB) financée par l</w:t>
      </w:r>
      <w:r w:rsidR="00016E39" w:rsidRPr="00CF7824">
        <w:rPr>
          <w:rFonts w:cs="Calibri"/>
          <w:bCs/>
          <w:lang w:val="fr-FR"/>
        </w:rPr>
        <w:t>’</w:t>
      </w:r>
      <w:r w:rsidRPr="00CF7824">
        <w:rPr>
          <w:rFonts w:cs="Calibri"/>
          <w:bCs/>
          <w:lang w:val="fr-FR"/>
        </w:rPr>
        <w:t>UE</w:t>
      </w:r>
      <w:r w:rsidR="00A12CF2" w:rsidRPr="00CF7824">
        <w:rPr>
          <w:rFonts w:cs="Calibri"/>
          <w:bCs/>
          <w:lang w:val="fr-FR"/>
        </w:rPr>
        <w:t>;</w:t>
      </w:r>
      <w:r w:rsidRPr="00CF7824">
        <w:rPr>
          <w:rFonts w:cs="Calibri"/>
          <w:bCs/>
          <w:lang w:val="fr-FR"/>
        </w:rPr>
        <w:t xml:space="preserve"> en Amérique du Nord, avec l</w:t>
      </w:r>
      <w:r w:rsidR="00016E39" w:rsidRPr="00CF7824">
        <w:rPr>
          <w:rFonts w:cs="Calibri"/>
          <w:bCs/>
          <w:lang w:val="fr-FR"/>
        </w:rPr>
        <w:t>’</w:t>
      </w:r>
      <w:r w:rsidRPr="00CF7824">
        <w:rPr>
          <w:rFonts w:cs="Calibri"/>
          <w:bCs/>
          <w:lang w:val="fr-FR"/>
        </w:rPr>
        <w:t xml:space="preserve">Avian </w:t>
      </w:r>
      <w:r w:rsidRPr="00CF7824">
        <w:rPr>
          <w:rFonts w:cs="Calibri"/>
          <w:bCs/>
          <w:lang w:val="fr-FR"/>
        </w:rPr>
        <w:lastRenderedPageBreak/>
        <w:t>Conservation Assessment Databasebase gérée par Partners In Flight</w:t>
      </w:r>
      <w:r w:rsidRPr="00CF7824">
        <w:rPr>
          <w:rStyle w:val="FootnoteReference"/>
          <w:rFonts w:asciiTheme="minorHAnsi" w:hAnsiTheme="minorHAnsi" w:cstheme="minorHAnsi"/>
        </w:rPr>
        <w:footnoteReference w:id="18"/>
      </w:r>
      <w:r w:rsidR="00A12CF2" w:rsidRPr="00CF7824">
        <w:rPr>
          <w:rFonts w:cs="Calibri"/>
          <w:bCs/>
          <w:lang w:val="fr-FR"/>
        </w:rPr>
        <w:t>;</w:t>
      </w:r>
      <w:r w:rsidRPr="00CF7824">
        <w:rPr>
          <w:rFonts w:cs="Calibri"/>
          <w:bCs/>
          <w:lang w:val="fr-FR"/>
        </w:rPr>
        <w:t xml:space="preserve"> les populations non migratrices dans le monde entier, et les populations présentes dans un seul pays (p</w:t>
      </w:r>
      <w:r w:rsidR="001F19B5" w:rsidRPr="00CF7824">
        <w:rPr>
          <w:rFonts w:cs="Calibri"/>
          <w:bCs/>
          <w:lang w:val="fr-FR"/>
        </w:rPr>
        <w:t>.</w:t>
      </w:r>
      <w:r w:rsidR="00912278" w:rsidRPr="00CF7824">
        <w:rPr>
          <w:rFonts w:cs="Calibri"/>
          <w:bCs/>
          <w:lang w:val="fr-FR"/>
        </w:rPr>
        <w:t xml:space="preserve"> ex. Australie,</w:t>
      </w:r>
      <w:r w:rsidRPr="00CF7824">
        <w:rPr>
          <w:rFonts w:cs="Calibri"/>
          <w:bCs/>
          <w:lang w:val="fr-FR"/>
        </w:rPr>
        <w:t xml:space="preserve"> Nouvelle-Zélande) ou les espèces endémiques insulaires (p. ex. le râle d</w:t>
      </w:r>
      <w:r w:rsidR="00016E39" w:rsidRPr="00CF7824">
        <w:rPr>
          <w:rFonts w:cs="Calibri"/>
          <w:bCs/>
          <w:lang w:val="fr-FR"/>
        </w:rPr>
        <w:t>’</w:t>
      </w:r>
      <w:r w:rsidRPr="00CF7824">
        <w:rPr>
          <w:rFonts w:cs="Calibri"/>
          <w:bCs/>
          <w:lang w:val="fr-FR"/>
        </w:rPr>
        <w:t xml:space="preserve">Okinawa </w:t>
      </w:r>
      <w:r w:rsidRPr="00CF7824">
        <w:rPr>
          <w:rFonts w:cs="Calibri"/>
          <w:bCs/>
          <w:i/>
          <w:iCs/>
          <w:lang w:val="fr-FR"/>
        </w:rPr>
        <w:t>Hypotaenidia okinawae,</w:t>
      </w:r>
      <w:r w:rsidRPr="00CF7824">
        <w:rPr>
          <w:rFonts w:cs="Calibri"/>
          <w:bCs/>
          <w:lang w:val="fr-FR"/>
        </w:rPr>
        <w:t xml:space="preserve"> au Japon).</w:t>
      </w:r>
    </w:p>
    <w:p w:rsidR="00D63784" w:rsidRPr="00CF7824" w:rsidRDefault="00D63784" w:rsidP="00790559">
      <w:pPr>
        <w:rPr>
          <w:rFonts w:asciiTheme="minorHAnsi" w:hAnsiTheme="minorHAnsi" w:cstheme="minorHAnsi"/>
          <w:lang w:val="fr-FR"/>
        </w:rPr>
      </w:pPr>
    </w:p>
    <w:p w:rsidR="0000767F" w:rsidRPr="00CF7824" w:rsidRDefault="00164734" w:rsidP="005239FE">
      <w:pPr>
        <w:keepNext/>
        <w:ind w:left="0" w:firstLine="0"/>
        <w:rPr>
          <w:i/>
          <w:lang w:val="fr-FR"/>
        </w:rPr>
      </w:pPr>
      <w:r w:rsidRPr="00CF7824">
        <w:rPr>
          <w:i/>
          <w:iCs/>
          <w:lang w:val="fr-FR"/>
        </w:rPr>
        <w:t>Tableau</w:t>
      </w:r>
      <w:r w:rsidR="001F19B5" w:rsidRPr="00CF7824">
        <w:rPr>
          <w:i/>
          <w:iCs/>
          <w:lang w:val="fr-FR"/>
        </w:rPr>
        <w:t> </w:t>
      </w:r>
      <w:r w:rsidRPr="00CF7824">
        <w:rPr>
          <w:i/>
          <w:iCs/>
          <w:lang w:val="fr-FR"/>
        </w:rPr>
        <w:t>4</w:t>
      </w:r>
      <w:r w:rsidR="00376BA1" w:rsidRPr="00CF7824">
        <w:rPr>
          <w:i/>
          <w:iCs/>
          <w:lang w:val="fr-FR"/>
        </w:rPr>
        <w:t> </w:t>
      </w:r>
      <w:r w:rsidRPr="00CF7824">
        <w:rPr>
          <w:i/>
          <w:iCs/>
          <w:lang w:val="fr-FR"/>
        </w:rPr>
        <w:t>:</w:t>
      </w:r>
      <w:r w:rsidR="00016E39" w:rsidRPr="00CF7824">
        <w:rPr>
          <w:i/>
          <w:iCs/>
          <w:lang w:val="fr-FR"/>
        </w:rPr>
        <w:t xml:space="preserve"> </w:t>
      </w:r>
      <w:r w:rsidRPr="00CF7824">
        <w:rPr>
          <w:i/>
          <w:iCs/>
          <w:lang w:val="fr-FR"/>
        </w:rPr>
        <w:t>Processus de révision actuel et priorité pour la révision des estimations des populations d</w:t>
      </w:r>
      <w:r w:rsidR="00016E39" w:rsidRPr="00CF7824">
        <w:rPr>
          <w:i/>
          <w:iCs/>
          <w:lang w:val="fr-FR"/>
        </w:rPr>
        <w:t>’</w:t>
      </w:r>
      <w:r w:rsidRPr="00CF7824">
        <w:rPr>
          <w:i/>
          <w:iCs/>
          <w:lang w:val="fr-FR"/>
        </w:rPr>
        <w:t>oiseaux d</w:t>
      </w:r>
      <w:r w:rsidR="00016E39" w:rsidRPr="00CF7824">
        <w:rPr>
          <w:i/>
          <w:iCs/>
          <w:lang w:val="fr-FR"/>
        </w:rPr>
        <w:t>’</w:t>
      </w:r>
      <w:r w:rsidRPr="00CF7824">
        <w:rPr>
          <w:i/>
          <w:iCs/>
          <w:lang w:val="fr-FR"/>
        </w:rPr>
        <w:t>eau</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20115C" w:rsidRPr="00785D5E" w:rsidTr="00A06C4A">
        <w:trPr>
          <w:cantSplit/>
          <w:trHeight w:val="288"/>
          <w:tblHeader/>
        </w:trPr>
        <w:tc>
          <w:tcPr>
            <w:tcW w:w="2122" w:type="dxa"/>
            <w:tcBorders>
              <w:bottom w:val="single" w:sz="4" w:space="0" w:color="000000"/>
            </w:tcBorders>
            <w:shd w:val="clear" w:color="auto" w:fill="EEECE1" w:themeFill="background2"/>
            <w:vAlign w:val="center"/>
          </w:tcPr>
          <w:p w:rsidR="00DF13C8" w:rsidRPr="00CF7824" w:rsidRDefault="00164734" w:rsidP="00D63784">
            <w:pPr>
              <w:keepNext/>
              <w:spacing w:after="0" w:line="240" w:lineRule="auto"/>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Populations</w:t>
            </w:r>
          </w:p>
          <w:p w:rsidR="00DF13C8" w:rsidRPr="00CF7824" w:rsidRDefault="00164734" w:rsidP="00D63784">
            <w:pPr>
              <w:keepNext/>
              <w:spacing w:after="0" w:line="240" w:lineRule="auto"/>
              <w:jc w:val="center"/>
              <w:rPr>
                <w:rFonts w:asciiTheme="minorHAnsi" w:eastAsia="Arial" w:hAnsiTheme="minorHAnsi" w:cstheme="minorHAnsi"/>
                <w:b/>
                <w:color w:val="000000"/>
                <w:sz w:val="20"/>
                <w:szCs w:val="20"/>
                <w:lang w:val="fr-FR"/>
              </w:rPr>
            </w:pPr>
            <w:r w:rsidRPr="00CF7824">
              <w:rPr>
                <w:rFonts w:cs="Calibri"/>
                <w:bCs/>
                <w:color w:val="000000"/>
                <w:sz w:val="20"/>
                <w:szCs w:val="20"/>
                <w:lang w:val="fr-FR"/>
              </w:rPr>
              <w:t xml:space="preserve">(avec estimation du nombre de populations par région/voie de migration </w:t>
            </w:r>
            <w:r w:rsidR="003C4D84" w:rsidRPr="00CF7824">
              <w:rPr>
                <w:rFonts w:cs="Calibri"/>
                <w:bCs/>
                <w:color w:val="000000"/>
                <w:sz w:val="20"/>
                <w:szCs w:val="20"/>
                <w:lang w:val="fr-FR"/>
              </w:rPr>
              <w:t xml:space="preserve">figurant </w:t>
            </w:r>
            <w:r w:rsidRPr="00CF7824">
              <w:rPr>
                <w:rFonts w:cs="Calibri"/>
                <w:bCs/>
                <w:color w:val="000000"/>
                <w:sz w:val="20"/>
                <w:szCs w:val="20"/>
                <w:lang w:val="fr-FR"/>
              </w:rPr>
              <w:t>dans le Waterbird populations Portal)</w:t>
            </w:r>
          </w:p>
        </w:tc>
        <w:tc>
          <w:tcPr>
            <w:tcW w:w="2835" w:type="dxa"/>
            <w:tcBorders>
              <w:bottom w:val="single" w:sz="4" w:space="0" w:color="000000"/>
            </w:tcBorders>
            <w:shd w:val="clear" w:color="auto" w:fill="EEECE1" w:themeFill="background2"/>
            <w:vAlign w:val="center"/>
          </w:tcPr>
          <w:p w:rsidR="00DF13C8" w:rsidRPr="00CF7824" w:rsidRDefault="00164734" w:rsidP="00D63784">
            <w:pPr>
              <w:keepNext/>
              <w:spacing w:after="0" w:line="240" w:lineRule="auto"/>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 xml:space="preserve">Processus/mécanisme de révision actuel et évaluation </w:t>
            </w:r>
            <w:r w:rsidR="00912278" w:rsidRPr="00CF7824">
              <w:rPr>
                <w:rFonts w:cs="Calibri"/>
                <w:b/>
                <w:bCs/>
                <w:color w:val="000000"/>
                <w:sz w:val="20"/>
                <w:szCs w:val="20"/>
                <w:lang w:val="fr-FR"/>
              </w:rPr>
              <w:t>de la dotation</w:t>
            </w:r>
            <w:r w:rsidRPr="00CF7824">
              <w:rPr>
                <w:rFonts w:cs="Calibri"/>
                <w:b/>
                <w:bCs/>
                <w:color w:val="000000"/>
                <w:sz w:val="20"/>
                <w:szCs w:val="20"/>
                <w:lang w:val="fr-FR"/>
              </w:rPr>
              <w:t xml:space="preserve"> en ressources</w:t>
            </w:r>
          </w:p>
        </w:tc>
        <w:tc>
          <w:tcPr>
            <w:tcW w:w="1984" w:type="dxa"/>
            <w:tcBorders>
              <w:bottom w:val="single" w:sz="4" w:space="0" w:color="000000"/>
            </w:tcBorders>
            <w:shd w:val="clear" w:color="auto" w:fill="EEECE1" w:themeFill="background2"/>
            <w:vAlign w:val="center"/>
          </w:tcPr>
          <w:p w:rsidR="00DF13C8" w:rsidRPr="00CF7824" w:rsidRDefault="00164734" w:rsidP="00912278">
            <w:pPr>
              <w:keepNext/>
              <w:spacing w:after="0" w:line="240" w:lineRule="auto"/>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 xml:space="preserve">Priorité </w:t>
            </w:r>
            <w:r w:rsidR="00912278" w:rsidRPr="00CF7824">
              <w:rPr>
                <w:rFonts w:cs="Calibri"/>
                <w:b/>
                <w:bCs/>
                <w:color w:val="000000"/>
                <w:sz w:val="20"/>
                <w:szCs w:val="20"/>
                <w:lang w:val="fr-FR"/>
              </w:rPr>
              <w:t>de la</w:t>
            </w:r>
            <w:r w:rsidRPr="00CF7824">
              <w:rPr>
                <w:rFonts w:cs="Calibri"/>
                <w:b/>
                <w:bCs/>
                <w:color w:val="000000"/>
                <w:sz w:val="20"/>
                <w:szCs w:val="20"/>
                <w:lang w:val="fr-FR"/>
              </w:rPr>
              <w:t xml:space="preserve"> proposition de mise à jour pour l</w:t>
            </w:r>
            <w:r w:rsidR="00016E39" w:rsidRPr="00CF7824">
              <w:rPr>
                <w:rFonts w:cs="Calibri"/>
                <w:b/>
                <w:bCs/>
                <w:color w:val="000000"/>
                <w:sz w:val="20"/>
                <w:szCs w:val="20"/>
                <w:lang w:val="fr-FR"/>
              </w:rPr>
              <w:t>’</w:t>
            </w:r>
            <w:r w:rsidRPr="00CF7824">
              <w:rPr>
                <w:rFonts w:cs="Calibri"/>
                <w:b/>
                <w:bCs/>
                <w:color w:val="000000"/>
                <w:sz w:val="20"/>
                <w:szCs w:val="20"/>
                <w:lang w:val="fr-FR"/>
              </w:rPr>
              <w:t>édition WPE</w:t>
            </w:r>
            <w:r w:rsidR="001F19B5" w:rsidRPr="00CF7824">
              <w:rPr>
                <w:rFonts w:cs="Calibri"/>
                <w:b/>
                <w:bCs/>
                <w:color w:val="000000"/>
                <w:sz w:val="20"/>
                <w:szCs w:val="20"/>
                <w:lang w:val="fr-FR"/>
              </w:rPr>
              <w:t> </w:t>
            </w:r>
            <w:r w:rsidRPr="00CF7824">
              <w:rPr>
                <w:rFonts w:cs="Calibri"/>
                <w:b/>
                <w:bCs/>
                <w:color w:val="000000"/>
                <w:sz w:val="20"/>
                <w:szCs w:val="20"/>
                <w:lang w:val="fr-FR"/>
              </w:rPr>
              <w:t>2027</w:t>
            </w:r>
          </w:p>
        </w:tc>
        <w:tc>
          <w:tcPr>
            <w:tcW w:w="2080" w:type="dxa"/>
            <w:tcBorders>
              <w:bottom w:val="single" w:sz="4" w:space="0" w:color="000000"/>
            </w:tcBorders>
            <w:shd w:val="clear" w:color="auto" w:fill="EEECE1" w:themeFill="background2"/>
            <w:vAlign w:val="center"/>
          </w:tcPr>
          <w:p w:rsidR="00DF13C8" w:rsidRPr="00CF7824" w:rsidRDefault="00164734" w:rsidP="00D63784">
            <w:pPr>
              <w:keepNext/>
              <w:spacing w:after="0" w:line="240" w:lineRule="auto"/>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Implications en matière de ressources</w:t>
            </w:r>
          </w:p>
        </w:tc>
      </w:tr>
      <w:tr w:rsidR="0020115C" w:rsidRPr="00785D5E" w:rsidTr="00A06C4A">
        <w:trPr>
          <w:cantSplit/>
          <w:trHeight w:val="528"/>
        </w:trPr>
        <w:tc>
          <w:tcPr>
            <w:tcW w:w="2122" w:type="dxa"/>
            <w:tcBorders>
              <w:right w:val="nil"/>
            </w:tcBorders>
            <w:shd w:val="clear" w:color="auto" w:fill="auto"/>
          </w:tcPr>
          <w:p w:rsidR="00DF13C8" w:rsidRPr="00CF7824" w:rsidRDefault="00164734" w:rsidP="00D63784">
            <w:pPr>
              <w:spacing w:after="0" w:line="240" w:lineRule="auto"/>
              <w:rPr>
                <w:rFonts w:asciiTheme="minorHAnsi" w:eastAsia="Arial" w:hAnsiTheme="minorHAnsi" w:cstheme="minorHAnsi"/>
                <w:b/>
                <w:color w:val="000000"/>
                <w:sz w:val="20"/>
                <w:szCs w:val="20"/>
                <w:lang w:val="fr-FR"/>
              </w:rPr>
            </w:pPr>
            <w:r w:rsidRPr="00CF7824">
              <w:rPr>
                <w:rFonts w:cs="Calibri"/>
                <w:b/>
                <w:bCs/>
                <w:color w:val="000000"/>
                <w:sz w:val="20"/>
                <w:szCs w:val="20"/>
                <w:lang w:val="fr-FR"/>
              </w:rPr>
              <w:t>Résidentes ou se dispersant localement</w:t>
            </w:r>
          </w:p>
        </w:tc>
        <w:tc>
          <w:tcPr>
            <w:tcW w:w="2835" w:type="dxa"/>
            <w:tcBorders>
              <w:left w:val="nil"/>
              <w:right w:val="nil"/>
            </w:tcBorders>
            <w:shd w:val="clear" w:color="auto" w:fill="auto"/>
          </w:tcPr>
          <w:p w:rsidR="00DF13C8" w:rsidRPr="00CF7824" w:rsidRDefault="00DF13C8" w:rsidP="00D63784">
            <w:pPr>
              <w:spacing w:after="0" w:line="240" w:lineRule="auto"/>
              <w:rPr>
                <w:rFonts w:asciiTheme="minorHAnsi" w:eastAsia="Arial" w:hAnsiTheme="minorHAnsi" w:cstheme="minorHAnsi"/>
                <w:b/>
                <w:color w:val="000000"/>
                <w:sz w:val="20"/>
                <w:szCs w:val="20"/>
                <w:lang w:val="fr-FR"/>
              </w:rPr>
            </w:pPr>
          </w:p>
        </w:tc>
        <w:tc>
          <w:tcPr>
            <w:tcW w:w="1984" w:type="dxa"/>
            <w:tcBorders>
              <w:left w:val="nil"/>
              <w:right w:val="nil"/>
            </w:tcBorders>
            <w:shd w:val="clear" w:color="auto" w:fill="auto"/>
          </w:tcPr>
          <w:p w:rsidR="00DF13C8" w:rsidRPr="00CF7824" w:rsidRDefault="00DF13C8" w:rsidP="00D63784">
            <w:pPr>
              <w:spacing w:after="0" w:line="240" w:lineRule="auto"/>
              <w:rPr>
                <w:rFonts w:asciiTheme="minorHAnsi" w:eastAsia="Arial" w:hAnsiTheme="minorHAnsi" w:cstheme="minorHAnsi"/>
                <w:sz w:val="20"/>
                <w:szCs w:val="20"/>
                <w:lang w:val="fr-FR"/>
              </w:rPr>
            </w:pPr>
          </w:p>
        </w:tc>
        <w:tc>
          <w:tcPr>
            <w:tcW w:w="2080" w:type="dxa"/>
            <w:tcBorders>
              <w:left w:val="nil"/>
            </w:tcBorders>
            <w:shd w:val="clear" w:color="auto" w:fill="auto"/>
          </w:tcPr>
          <w:p w:rsidR="00DF13C8" w:rsidRPr="00CF7824" w:rsidRDefault="00DF13C8" w:rsidP="00D63784">
            <w:pPr>
              <w:spacing w:after="0" w:line="240" w:lineRule="auto"/>
              <w:rPr>
                <w:rFonts w:asciiTheme="minorHAnsi" w:eastAsia="Arial" w:hAnsiTheme="minorHAnsi" w:cstheme="minorHAnsi"/>
                <w:sz w:val="20"/>
                <w:szCs w:val="20"/>
                <w:lang w:val="fr-FR"/>
              </w:rPr>
            </w:pPr>
          </w:p>
        </w:tc>
      </w:tr>
      <w:tr w:rsidR="0020115C" w:rsidRPr="00785D5E" w:rsidTr="00A06C4A">
        <w:trPr>
          <w:cantSplit/>
          <w:trHeight w:val="576"/>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Afrique (226)</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Informations obsolètes et absence de processus en place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Compiler, réviser et mettre à jour les données dans le portail</w:t>
            </w:r>
          </w:p>
        </w:tc>
      </w:tr>
      <w:tr w:rsidR="0020115C" w:rsidRPr="00785D5E" w:rsidTr="00A06C4A">
        <w:trPr>
          <w:cantSplit/>
          <w:trHeight w:val="864"/>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Néarctique (Amérique du Nord) (91)</w:t>
            </w:r>
          </w:p>
        </w:tc>
        <w:tc>
          <w:tcPr>
            <w:tcW w:w="2835" w:type="dxa"/>
            <w:shd w:val="clear" w:color="auto" w:fill="auto"/>
          </w:tcPr>
          <w:p w:rsidR="00DF13C8" w:rsidRPr="00CF7824" w:rsidRDefault="00C805AE" w:rsidP="00C805AE">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w:t>
            </w:r>
            <w:r w:rsidR="00164734" w:rsidRPr="00CF7824">
              <w:rPr>
                <w:rFonts w:cs="Calibri"/>
                <w:color w:val="000000"/>
                <w:sz w:val="20"/>
                <w:szCs w:val="20"/>
                <w:lang w:val="fr-FR"/>
              </w:rPr>
              <w:t>rocessus nationaux en Amérique du Nord</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Évaluer la compatibilité des informations disponibles et les mettre à jour dans le portail</w:t>
            </w:r>
          </w:p>
        </w:tc>
      </w:tr>
      <w:tr w:rsidR="0020115C" w:rsidRPr="00785D5E" w:rsidTr="00A06C4A">
        <w:trPr>
          <w:cantSplit/>
          <w:trHeight w:val="576"/>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Néotropiques (Amérique centrale, Amérique du Sud et Caraïbes) (200) </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Informations obsolètes et absence de processus en place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Compiler, réviser et mettre à jour les données dans le portail</w:t>
            </w:r>
          </w:p>
        </w:tc>
      </w:tr>
      <w:tr w:rsidR="0020115C" w:rsidRPr="00785D5E" w:rsidTr="00A06C4A">
        <w:trPr>
          <w:cantSplit/>
          <w:trHeight w:val="576"/>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Asie (Indo-Malaise &amp; Paléarctique oriental) (132)</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Informations obsolètes et absence de processus en place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Compiler, réviser et mettre à jour les données dans le portail</w:t>
            </w:r>
          </w:p>
        </w:tc>
      </w:tr>
      <w:tr w:rsidR="0020115C" w:rsidRPr="00785D5E" w:rsidTr="00A06C4A">
        <w:trPr>
          <w:cantSplit/>
          <w:trHeight w:val="864"/>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Océanie (y compris Australasie) (337)</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Mises à jour nationales en Australie, Nouvelle-Zélande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Évaluer la compatibilité des informations disponibles et les mettre à jour dans le portail</w:t>
            </w:r>
          </w:p>
        </w:tc>
      </w:tr>
      <w:tr w:rsidR="0020115C" w:rsidRPr="00785D5E" w:rsidTr="00A06C4A">
        <w:trPr>
          <w:cantSplit/>
          <w:trHeight w:val="864"/>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Europe</w:t>
            </w:r>
          </w:p>
        </w:tc>
        <w:tc>
          <w:tcPr>
            <w:tcW w:w="2835" w:type="dxa"/>
            <w:shd w:val="clear" w:color="auto" w:fill="auto"/>
          </w:tcPr>
          <w:p w:rsidR="00DF13C8" w:rsidRPr="00CF7824" w:rsidRDefault="00164734" w:rsidP="00C805AE">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Processus Art.</w:t>
            </w:r>
            <w:r w:rsidR="001F19B5" w:rsidRPr="00CF7824">
              <w:rPr>
                <w:rFonts w:cs="Calibri"/>
                <w:color w:val="000000"/>
                <w:sz w:val="20"/>
                <w:szCs w:val="20"/>
                <w:lang w:val="fr-FR"/>
              </w:rPr>
              <w:t> </w:t>
            </w:r>
            <w:r w:rsidRPr="00CF7824">
              <w:rPr>
                <w:rFonts w:cs="Calibri"/>
                <w:color w:val="000000"/>
                <w:sz w:val="20"/>
                <w:szCs w:val="20"/>
                <w:lang w:val="fr-FR"/>
              </w:rPr>
              <w:t>12 de l</w:t>
            </w:r>
            <w:r w:rsidR="00016E39" w:rsidRPr="00CF7824">
              <w:rPr>
                <w:rFonts w:cs="Calibri"/>
                <w:color w:val="000000"/>
                <w:sz w:val="20"/>
                <w:szCs w:val="20"/>
                <w:lang w:val="fr-FR"/>
              </w:rPr>
              <w:t>’</w:t>
            </w:r>
            <w:r w:rsidRPr="00CF7824">
              <w:rPr>
                <w:rFonts w:cs="Calibri"/>
                <w:color w:val="000000"/>
                <w:sz w:val="20"/>
                <w:szCs w:val="20"/>
                <w:lang w:val="fr-FR"/>
              </w:rPr>
              <w:t>UE, lié à la Liste rouge des oiseaux d</w:t>
            </w:r>
            <w:r w:rsidR="00016E39" w:rsidRPr="00CF7824">
              <w:rPr>
                <w:rFonts w:cs="Calibri"/>
                <w:color w:val="000000"/>
                <w:sz w:val="20"/>
                <w:szCs w:val="20"/>
                <w:lang w:val="fr-FR"/>
              </w:rPr>
              <w:t>’</w:t>
            </w:r>
            <w:r w:rsidRPr="00CF7824">
              <w:rPr>
                <w:rFonts w:cs="Calibri"/>
                <w:color w:val="000000"/>
                <w:sz w:val="20"/>
                <w:szCs w:val="20"/>
                <w:lang w:val="fr-FR"/>
              </w:rPr>
              <w:t>Europe, compilation financée par l</w:t>
            </w:r>
            <w:r w:rsidR="00C805AE" w:rsidRPr="00CF7824">
              <w:rPr>
                <w:rFonts w:cs="Calibri"/>
                <w:color w:val="000000"/>
                <w:sz w:val="20"/>
                <w:szCs w:val="20"/>
                <w:lang w:val="fr-FR"/>
              </w:rPr>
              <w:t>a CE</w:t>
            </w:r>
            <w:r w:rsidRPr="00CF7824">
              <w:rPr>
                <w:rFonts w:cs="Calibri"/>
                <w:color w:val="000000"/>
                <w:sz w:val="20"/>
                <w:szCs w:val="20"/>
                <w:lang w:val="fr-FR"/>
              </w:rPr>
              <w:t>/</w:t>
            </w:r>
            <w:r w:rsidR="00F60695" w:rsidRPr="00CF7824">
              <w:rPr>
                <w:rFonts w:cs="Calibri"/>
                <w:color w:val="000000"/>
                <w:sz w:val="20"/>
                <w:szCs w:val="20"/>
                <w:lang w:val="fr-FR"/>
              </w:rPr>
              <w:t>AEE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Évaluer la compatibilité des informations disponibles et les mettre à jour dans le portail</w:t>
            </w:r>
          </w:p>
        </w:tc>
      </w:tr>
      <w:tr w:rsidR="0020115C" w:rsidRPr="00CF7824" w:rsidTr="00A06C4A">
        <w:trPr>
          <w:cantSplit/>
          <w:trHeight w:val="288"/>
        </w:trPr>
        <w:tc>
          <w:tcPr>
            <w:tcW w:w="2122" w:type="dxa"/>
            <w:tcBorders>
              <w:right w:val="nil"/>
            </w:tcBorders>
            <w:shd w:val="clear" w:color="auto" w:fill="auto"/>
          </w:tcPr>
          <w:p w:rsidR="00DF13C8" w:rsidRPr="00CF7824" w:rsidRDefault="00164734" w:rsidP="00D63784">
            <w:pPr>
              <w:spacing w:after="0" w:line="240" w:lineRule="auto"/>
              <w:rPr>
                <w:rFonts w:asciiTheme="minorHAnsi" w:eastAsia="Arial" w:hAnsiTheme="minorHAnsi" w:cstheme="minorHAnsi"/>
                <w:b/>
                <w:color w:val="000000"/>
                <w:sz w:val="20"/>
                <w:szCs w:val="20"/>
              </w:rPr>
            </w:pPr>
            <w:r w:rsidRPr="00CF7824">
              <w:rPr>
                <w:rFonts w:cs="Calibri"/>
                <w:b/>
                <w:bCs/>
                <w:color w:val="000000"/>
                <w:sz w:val="20"/>
                <w:szCs w:val="20"/>
                <w:lang w:val="fr-FR"/>
              </w:rPr>
              <w:t xml:space="preserve">Migratrices </w:t>
            </w:r>
          </w:p>
        </w:tc>
        <w:tc>
          <w:tcPr>
            <w:tcW w:w="2835" w:type="dxa"/>
            <w:tcBorders>
              <w:left w:val="nil"/>
              <w:right w:val="nil"/>
            </w:tcBorders>
            <w:shd w:val="clear" w:color="auto" w:fill="auto"/>
          </w:tcPr>
          <w:p w:rsidR="00DF13C8" w:rsidRPr="00CF7824" w:rsidRDefault="00DF13C8" w:rsidP="00D63784">
            <w:pPr>
              <w:spacing w:after="0" w:line="240" w:lineRule="auto"/>
              <w:rPr>
                <w:rFonts w:asciiTheme="minorHAnsi" w:eastAsia="Arial" w:hAnsiTheme="minorHAnsi" w:cstheme="minorHAnsi"/>
                <w:b/>
                <w:color w:val="000000"/>
                <w:sz w:val="20"/>
                <w:szCs w:val="20"/>
              </w:rPr>
            </w:pPr>
          </w:p>
        </w:tc>
        <w:tc>
          <w:tcPr>
            <w:tcW w:w="1984" w:type="dxa"/>
            <w:tcBorders>
              <w:left w:val="nil"/>
              <w:right w:val="nil"/>
            </w:tcBorders>
            <w:shd w:val="clear" w:color="auto" w:fill="auto"/>
          </w:tcPr>
          <w:p w:rsidR="00DF13C8" w:rsidRPr="00CF7824" w:rsidRDefault="00DF13C8" w:rsidP="00D63784">
            <w:pPr>
              <w:spacing w:after="0" w:line="240" w:lineRule="auto"/>
              <w:rPr>
                <w:rFonts w:asciiTheme="minorHAnsi" w:eastAsia="Arial" w:hAnsiTheme="minorHAnsi" w:cstheme="minorHAnsi"/>
                <w:sz w:val="20"/>
                <w:szCs w:val="20"/>
              </w:rPr>
            </w:pPr>
          </w:p>
        </w:tc>
        <w:tc>
          <w:tcPr>
            <w:tcW w:w="2080" w:type="dxa"/>
            <w:tcBorders>
              <w:left w:val="nil"/>
            </w:tcBorders>
            <w:shd w:val="clear" w:color="auto" w:fill="auto"/>
          </w:tcPr>
          <w:p w:rsidR="00DF13C8" w:rsidRPr="00CF7824" w:rsidRDefault="00DF13C8" w:rsidP="00D63784">
            <w:pPr>
              <w:spacing w:after="0" w:line="240" w:lineRule="auto"/>
              <w:rPr>
                <w:rFonts w:asciiTheme="minorHAnsi" w:eastAsia="Arial" w:hAnsiTheme="minorHAnsi" w:cstheme="minorHAnsi"/>
                <w:sz w:val="20"/>
                <w:szCs w:val="20"/>
              </w:rPr>
            </w:pPr>
          </w:p>
        </w:tc>
      </w:tr>
      <w:tr w:rsidR="0020115C" w:rsidRPr="00785D5E" w:rsidTr="00A06C4A">
        <w:trPr>
          <w:cantSplit/>
          <w:trHeight w:val="864"/>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Voie de migration d</w:t>
            </w:r>
            <w:r w:rsidR="00016E39" w:rsidRPr="00CF7824">
              <w:rPr>
                <w:rFonts w:cs="Calibri"/>
                <w:color w:val="000000"/>
                <w:sz w:val="20"/>
                <w:szCs w:val="20"/>
                <w:lang w:val="fr-FR"/>
              </w:rPr>
              <w:t>’</w:t>
            </w:r>
            <w:r w:rsidRPr="00CF7824">
              <w:rPr>
                <w:rFonts w:cs="Calibri"/>
                <w:color w:val="000000"/>
                <w:sz w:val="20"/>
                <w:szCs w:val="20"/>
                <w:lang w:val="fr-FR"/>
              </w:rPr>
              <w:t>Asie centrale (CAF) (264)</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Inclus dans le Plan d</w:t>
            </w:r>
            <w:r w:rsidR="00016E39" w:rsidRPr="00CF7824">
              <w:rPr>
                <w:rFonts w:cs="Calibri"/>
                <w:color w:val="000000"/>
                <w:sz w:val="20"/>
                <w:szCs w:val="20"/>
                <w:lang w:val="fr-FR"/>
              </w:rPr>
              <w:t>’</w:t>
            </w:r>
            <w:r w:rsidRPr="00CF7824">
              <w:rPr>
                <w:rFonts w:cs="Calibri"/>
                <w:color w:val="000000"/>
                <w:sz w:val="20"/>
                <w:szCs w:val="20"/>
                <w:lang w:val="fr-FR"/>
              </w:rPr>
              <w:t>action pour les oiseaux d</w:t>
            </w:r>
            <w:r w:rsidR="00016E39" w:rsidRPr="00CF7824">
              <w:rPr>
                <w:rFonts w:cs="Calibri"/>
                <w:color w:val="000000"/>
                <w:sz w:val="20"/>
                <w:szCs w:val="20"/>
                <w:lang w:val="fr-FR"/>
              </w:rPr>
              <w:t>’</w:t>
            </w:r>
            <w:r w:rsidRPr="00CF7824">
              <w:rPr>
                <w:rFonts w:cs="Calibri"/>
                <w:color w:val="000000"/>
                <w:sz w:val="20"/>
                <w:szCs w:val="20"/>
                <w:lang w:val="fr-FR"/>
              </w:rPr>
              <w:t>eau de la CAF</w:t>
            </w:r>
            <w:r w:rsidRPr="00CF7824">
              <w:rPr>
                <w:rFonts w:asciiTheme="minorHAnsi" w:eastAsia="Arial" w:hAnsiTheme="minorHAnsi" w:cstheme="minorHAnsi"/>
                <w:color w:val="000000"/>
                <w:sz w:val="20"/>
                <w:szCs w:val="20"/>
                <w:vertAlign w:val="superscript"/>
              </w:rPr>
              <w:footnoteReference w:id="19"/>
            </w:r>
            <w:r w:rsidRPr="00CF7824">
              <w:rPr>
                <w:rFonts w:cs="Calibri"/>
                <w:color w:val="000000"/>
                <w:sz w:val="20"/>
                <w:szCs w:val="20"/>
                <w:lang w:val="fr-FR"/>
              </w:rPr>
              <w:t>. (264 populations, dont &gt;</w:t>
            </w:r>
            <w:r w:rsidRPr="00CF7824">
              <w:rPr>
                <w:rFonts w:cs="Calibri"/>
                <w:sz w:val="20"/>
                <w:szCs w:val="20"/>
                <w:lang w:val="fr-FR"/>
              </w:rPr>
              <w:t>140</w:t>
            </w:r>
            <w:r w:rsidR="00376BA1" w:rsidRPr="00CF7824">
              <w:rPr>
                <w:rFonts w:cs="Calibri"/>
                <w:sz w:val="20"/>
                <w:szCs w:val="20"/>
                <w:lang w:val="fr-FR"/>
              </w:rPr>
              <w:t> </w:t>
            </w:r>
            <w:r w:rsidRPr="00CF7824">
              <w:rPr>
                <w:rFonts w:cs="Calibri"/>
                <w:sz w:val="20"/>
                <w:szCs w:val="20"/>
                <w:lang w:val="fr-FR"/>
              </w:rPr>
              <w:t>couvertes par les CSR de l</w:t>
            </w:r>
            <w:r w:rsidR="00016E39" w:rsidRPr="00CF7824">
              <w:rPr>
                <w:rFonts w:cs="Calibri"/>
                <w:sz w:val="20"/>
                <w:szCs w:val="20"/>
                <w:lang w:val="fr-FR"/>
              </w:rPr>
              <w:t>’</w:t>
            </w:r>
            <w:r w:rsidRPr="00CF7824">
              <w:rPr>
                <w:rFonts w:cs="Calibri"/>
                <w:sz w:val="20"/>
                <w:szCs w:val="20"/>
                <w:lang w:val="fr-FR"/>
              </w:rPr>
              <w:t>AEWA</w:t>
            </w:r>
            <w:r w:rsidRPr="00CF7824">
              <w:rPr>
                <w:rFonts w:cs="Calibri"/>
                <w:color w:val="000000"/>
                <w:sz w:val="20"/>
                <w:szCs w:val="20"/>
                <w:lang w:val="fr-FR"/>
              </w:rPr>
              <w:t xml:space="preserve">) </w:t>
            </w:r>
          </w:p>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Les informations obsolètes pour plus de 124 populations sans financement ni processus en place sont une priorité.</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Priorité élevée</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Compiler, réviser et mettre à jour les données dans le portail</w:t>
            </w:r>
          </w:p>
        </w:tc>
      </w:tr>
      <w:tr w:rsidR="0020115C" w:rsidRPr="00785D5E" w:rsidTr="00A06C4A">
        <w:trPr>
          <w:cantSplit/>
          <w:trHeight w:val="576"/>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lastRenderedPageBreak/>
              <w:t>Voie de migration du Pacifique central (&amp; Antarctique), y compris les populations</w:t>
            </w:r>
            <w:r w:rsidR="00016E39" w:rsidRPr="00CF7824">
              <w:rPr>
                <w:rFonts w:cs="Calibri"/>
                <w:color w:val="000000"/>
                <w:sz w:val="20"/>
                <w:szCs w:val="20"/>
                <w:lang w:val="fr-FR"/>
              </w:rPr>
              <w:t xml:space="preserve"> </w:t>
            </w:r>
            <w:r w:rsidRPr="00CF7824">
              <w:rPr>
                <w:rFonts w:cs="Calibri"/>
                <w:color w:val="000000"/>
                <w:sz w:val="20"/>
                <w:szCs w:val="20"/>
                <w:lang w:val="fr-FR"/>
              </w:rPr>
              <w:t>résidentes (60)</w:t>
            </w:r>
          </w:p>
        </w:tc>
        <w:tc>
          <w:tcPr>
            <w:tcW w:w="2835"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Informations obsolètes et absence de processus en place</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Priorité élevée</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Compiler, réviser et mettre à jour les données dans le portail</w:t>
            </w:r>
          </w:p>
        </w:tc>
      </w:tr>
      <w:tr w:rsidR="0020115C" w:rsidRPr="00785D5E" w:rsidTr="00A06C4A">
        <w:trPr>
          <w:cantSplit/>
          <w:trHeight w:val="487"/>
        </w:trPr>
        <w:tc>
          <w:tcPr>
            <w:tcW w:w="2122"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Voies de migration des Amériques (379)</w:t>
            </w:r>
          </w:p>
        </w:tc>
        <w:tc>
          <w:tcPr>
            <w:tcW w:w="2835" w:type="dxa"/>
            <w:shd w:val="clear" w:color="auto" w:fill="auto"/>
          </w:tcPr>
          <w:p w:rsidR="00DF13C8" w:rsidRPr="00CF7824" w:rsidRDefault="00C805AE" w:rsidP="00C805AE">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Processus </w:t>
            </w:r>
            <w:r w:rsidR="00164734" w:rsidRPr="00CF7824">
              <w:rPr>
                <w:rFonts w:cs="Calibri"/>
                <w:color w:val="000000"/>
                <w:sz w:val="20"/>
                <w:szCs w:val="20"/>
                <w:lang w:val="fr-FR"/>
              </w:rPr>
              <w:t>d</w:t>
            </w:r>
            <w:r w:rsidR="00016E39" w:rsidRPr="00CF7824">
              <w:rPr>
                <w:rFonts w:cs="Calibri"/>
                <w:color w:val="000000"/>
                <w:sz w:val="20"/>
                <w:szCs w:val="20"/>
                <w:lang w:val="fr-FR"/>
              </w:rPr>
              <w:t>’</w:t>
            </w:r>
            <w:r w:rsidR="00164734" w:rsidRPr="00CF7824">
              <w:rPr>
                <w:rFonts w:cs="Calibri"/>
                <w:color w:val="000000"/>
                <w:sz w:val="20"/>
                <w:szCs w:val="20"/>
                <w:lang w:val="fr-FR"/>
              </w:rPr>
              <w:t>examen pour les oiseaux d</w:t>
            </w:r>
            <w:r w:rsidR="00016E39" w:rsidRPr="00CF7824">
              <w:rPr>
                <w:rFonts w:cs="Calibri"/>
                <w:color w:val="000000"/>
                <w:sz w:val="20"/>
                <w:szCs w:val="20"/>
                <w:lang w:val="fr-FR"/>
              </w:rPr>
              <w:t>’</w:t>
            </w:r>
            <w:r w:rsidR="00164734" w:rsidRPr="00CF7824">
              <w:rPr>
                <w:rFonts w:cs="Calibri"/>
                <w:color w:val="000000"/>
                <w:sz w:val="20"/>
                <w:szCs w:val="20"/>
                <w:lang w:val="fr-FR"/>
              </w:rPr>
              <w:t>eau en Amérique du Nord (jusqu</w:t>
            </w:r>
            <w:r w:rsidR="00016E39" w:rsidRPr="00CF7824">
              <w:rPr>
                <w:rFonts w:cs="Calibri"/>
                <w:color w:val="000000"/>
                <w:sz w:val="20"/>
                <w:szCs w:val="20"/>
                <w:lang w:val="fr-FR"/>
              </w:rPr>
              <w:t>’</w:t>
            </w:r>
            <w:r w:rsidR="00164734" w:rsidRPr="00CF7824">
              <w:rPr>
                <w:rFonts w:cs="Calibri"/>
                <w:color w:val="000000"/>
                <w:sz w:val="20"/>
                <w:szCs w:val="20"/>
                <w:lang w:val="fr-FR"/>
              </w:rPr>
              <w:t>en Amérique centrale) et pour 79</w:t>
            </w:r>
            <w:r w:rsidR="00376BA1" w:rsidRPr="00CF7824">
              <w:rPr>
                <w:rFonts w:cs="Calibri"/>
                <w:color w:val="000000"/>
                <w:sz w:val="20"/>
                <w:szCs w:val="20"/>
                <w:lang w:val="fr-FR"/>
              </w:rPr>
              <w:t> </w:t>
            </w:r>
            <w:r w:rsidR="00164734" w:rsidRPr="00CF7824">
              <w:rPr>
                <w:rFonts w:cs="Calibri"/>
                <w:color w:val="000000"/>
                <w:sz w:val="20"/>
                <w:szCs w:val="20"/>
                <w:lang w:val="fr-FR"/>
              </w:rPr>
              <w:t>populations de limicoles mig</w:t>
            </w:r>
            <w:r w:rsidRPr="00CF7824">
              <w:rPr>
                <w:rFonts w:cs="Calibri"/>
                <w:color w:val="000000"/>
                <w:sz w:val="20"/>
                <w:szCs w:val="20"/>
                <w:lang w:val="fr-FR"/>
              </w:rPr>
              <w:t>rateurs à travers les Amériques</w:t>
            </w:r>
          </w:p>
        </w:tc>
        <w:tc>
          <w:tcPr>
            <w:tcW w:w="1984"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Priorité élevée </w:t>
            </w:r>
          </w:p>
        </w:tc>
        <w:tc>
          <w:tcPr>
            <w:tcW w:w="2080" w:type="dxa"/>
            <w:shd w:val="clear" w:color="auto" w:fill="auto"/>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Évaluer la compatibilité des informations disponibles et les mettre à jour dans le portail</w:t>
            </w:r>
          </w:p>
        </w:tc>
      </w:tr>
      <w:tr w:rsidR="0020115C" w:rsidRPr="00CF7824" w:rsidTr="00A06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76"/>
        </w:trPr>
        <w:tc>
          <w:tcPr>
            <w:tcW w:w="2122" w:type="dxa"/>
            <w:tcBorders>
              <w:top w:val="single" w:sz="4" w:space="0" w:color="auto"/>
              <w:left w:val="single" w:sz="4" w:space="0" w:color="auto"/>
              <w:bottom w:val="single" w:sz="4" w:space="0" w:color="auto"/>
              <w:right w:val="single" w:sz="4" w:space="0" w:color="auto"/>
            </w:tcBorders>
          </w:tcPr>
          <w:p w:rsidR="00DF13C8" w:rsidRPr="00CF7824" w:rsidRDefault="00164734" w:rsidP="00741B89">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Voie de migration Asie de l</w:t>
            </w:r>
            <w:r w:rsidR="00016E39" w:rsidRPr="00CF7824">
              <w:rPr>
                <w:rFonts w:cs="Calibri"/>
                <w:color w:val="000000"/>
                <w:sz w:val="20"/>
                <w:szCs w:val="20"/>
                <w:lang w:val="fr-FR"/>
              </w:rPr>
              <w:t>’</w:t>
            </w:r>
            <w:r w:rsidR="00741B89" w:rsidRPr="00CF7824">
              <w:rPr>
                <w:rFonts w:cs="Calibri"/>
                <w:color w:val="000000"/>
                <w:sz w:val="20"/>
                <w:szCs w:val="20"/>
                <w:lang w:val="fr-FR"/>
              </w:rPr>
              <w:t>Est-</w:t>
            </w:r>
            <w:r w:rsidRPr="00CF7824">
              <w:rPr>
                <w:rFonts w:cs="Calibri"/>
                <w:color w:val="000000"/>
                <w:sz w:val="20"/>
                <w:szCs w:val="20"/>
                <w:lang w:val="fr-FR"/>
              </w:rPr>
              <w:t>Australasie (276)</w:t>
            </w:r>
          </w:p>
        </w:tc>
        <w:tc>
          <w:tcPr>
            <w:tcW w:w="2835"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Processus des CSR de l</w:t>
            </w:r>
            <w:r w:rsidR="00016E39" w:rsidRPr="00CF7824">
              <w:rPr>
                <w:rFonts w:cs="Calibri"/>
                <w:color w:val="000000"/>
                <w:sz w:val="20"/>
                <w:szCs w:val="20"/>
                <w:lang w:val="fr-FR"/>
              </w:rPr>
              <w:t>’</w:t>
            </w:r>
            <w:r w:rsidRPr="00CF7824">
              <w:rPr>
                <w:rFonts w:cs="Calibri"/>
                <w:color w:val="000000"/>
                <w:sz w:val="20"/>
                <w:szCs w:val="20"/>
                <w:lang w:val="fr-FR"/>
              </w:rPr>
              <w:t>EAAFP financés par l</w:t>
            </w:r>
            <w:r w:rsidR="00016E39" w:rsidRPr="00CF7824">
              <w:rPr>
                <w:rFonts w:cs="Calibri"/>
                <w:color w:val="000000"/>
                <w:sz w:val="20"/>
                <w:szCs w:val="20"/>
                <w:lang w:val="fr-FR"/>
              </w:rPr>
              <w:t>’</w:t>
            </w:r>
            <w:r w:rsidRPr="00CF7824">
              <w:rPr>
                <w:rFonts w:cs="Calibri"/>
                <w:color w:val="000000"/>
                <w:sz w:val="20"/>
                <w:szCs w:val="20"/>
                <w:lang w:val="fr-FR"/>
              </w:rPr>
              <w:t>EAAFP (276 populations)</w:t>
            </w:r>
          </w:p>
        </w:tc>
        <w:tc>
          <w:tcPr>
            <w:tcW w:w="1984"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Priorité moyenne, pour combler les lacunes en matière de population pour de nombreuses familles et espèces non incluses dans le CSR1.</w:t>
            </w:r>
          </w:p>
        </w:tc>
        <w:tc>
          <w:tcPr>
            <w:tcW w:w="2080"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Aucune</w:t>
            </w:r>
          </w:p>
        </w:tc>
      </w:tr>
      <w:tr w:rsidR="0020115C" w:rsidRPr="00CF7824" w:rsidTr="00A06C4A">
        <w:trPr>
          <w:cantSplit/>
          <w:trHeight w:val="288"/>
        </w:trPr>
        <w:tc>
          <w:tcPr>
            <w:tcW w:w="2122"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Voie de migration Afrique-Eurasie (532)</w:t>
            </w:r>
          </w:p>
        </w:tc>
        <w:tc>
          <w:tcPr>
            <w:tcW w:w="2835" w:type="dxa"/>
            <w:tcBorders>
              <w:top w:val="single" w:sz="4" w:space="0" w:color="auto"/>
              <w:left w:val="single" w:sz="4" w:space="0" w:color="auto"/>
              <w:bottom w:val="single" w:sz="4" w:space="0" w:color="auto"/>
              <w:right w:val="single" w:sz="4" w:space="0" w:color="auto"/>
            </w:tcBorders>
          </w:tcPr>
          <w:p w:rsidR="00C805AE" w:rsidRPr="00CF7824" w:rsidRDefault="00164734" w:rsidP="00D63784">
            <w:pPr>
              <w:spacing w:after="0" w:line="240" w:lineRule="auto"/>
              <w:rPr>
                <w:rFonts w:cs="Calibri"/>
                <w:color w:val="000000"/>
                <w:sz w:val="20"/>
                <w:szCs w:val="20"/>
                <w:lang w:val="fr-FR"/>
              </w:rPr>
            </w:pPr>
            <w:r w:rsidRPr="00CF7824">
              <w:rPr>
                <w:rFonts w:cs="Calibri"/>
                <w:color w:val="000000"/>
                <w:sz w:val="20"/>
                <w:szCs w:val="20"/>
                <w:lang w:val="fr-FR"/>
              </w:rPr>
              <w:t>Processus CSR de l</w:t>
            </w:r>
            <w:r w:rsidR="00016E39" w:rsidRPr="00CF7824">
              <w:rPr>
                <w:rFonts w:cs="Calibri"/>
                <w:color w:val="000000"/>
                <w:sz w:val="20"/>
                <w:szCs w:val="20"/>
                <w:lang w:val="fr-FR"/>
              </w:rPr>
              <w:t>’</w:t>
            </w:r>
            <w:r w:rsidRPr="00CF7824">
              <w:rPr>
                <w:rFonts w:cs="Calibri"/>
                <w:color w:val="000000"/>
                <w:sz w:val="20"/>
                <w:szCs w:val="20"/>
                <w:lang w:val="fr-FR"/>
              </w:rPr>
              <w:t>AEWA financé par l</w:t>
            </w:r>
            <w:r w:rsidR="00016E39" w:rsidRPr="00CF7824">
              <w:rPr>
                <w:rFonts w:cs="Calibri"/>
                <w:color w:val="000000"/>
                <w:sz w:val="20"/>
                <w:szCs w:val="20"/>
                <w:lang w:val="fr-FR"/>
              </w:rPr>
              <w:t>’</w:t>
            </w:r>
            <w:r w:rsidRPr="00CF7824">
              <w:rPr>
                <w:rFonts w:cs="Calibri"/>
                <w:color w:val="000000"/>
                <w:sz w:val="20"/>
                <w:szCs w:val="20"/>
                <w:lang w:val="fr-FR"/>
              </w:rPr>
              <w:t xml:space="preserve">AEWA </w:t>
            </w:r>
          </w:p>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(CSR8 – 560</w:t>
            </w:r>
            <w:r w:rsidR="00376BA1" w:rsidRPr="00CF7824">
              <w:rPr>
                <w:rFonts w:cs="Calibri"/>
                <w:color w:val="000000"/>
                <w:sz w:val="20"/>
                <w:szCs w:val="20"/>
                <w:lang w:val="fr-FR"/>
              </w:rPr>
              <w:t> </w:t>
            </w:r>
            <w:r w:rsidRPr="00CF7824">
              <w:rPr>
                <w:rFonts w:cs="Calibri"/>
                <w:color w:val="000000"/>
                <w:sz w:val="20"/>
                <w:szCs w:val="20"/>
                <w:lang w:val="fr-FR"/>
              </w:rPr>
              <w:t>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et d</w:t>
            </w:r>
            <w:r w:rsidR="00016E39" w:rsidRPr="00CF7824">
              <w:rPr>
                <w:rFonts w:cs="Calibri"/>
                <w:color w:val="000000"/>
                <w:sz w:val="20"/>
                <w:szCs w:val="20"/>
                <w:lang w:val="fr-FR"/>
              </w:rPr>
              <w:t>’</w:t>
            </w:r>
            <w:r w:rsidRPr="00CF7824">
              <w:rPr>
                <w:rFonts w:cs="Calibri"/>
                <w:color w:val="000000"/>
                <w:sz w:val="20"/>
                <w:szCs w:val="20"/>
                <w:lang w:val="fr-FR"/>
              </w:rPr>
              <w:t>oiseaux marins)</w:t>
            </w:r>
          </w:p>
        </w:tc>
        <w:tc>
          <w:tcPr>
            <w:tcW w:w="1984"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Priorité faible, prévision pour la mise à jour de 2029</w:t>
            </w:r>
          </w:p>
        </w:tc>
        <w:tc>
          <w:tcPr>
            <w:tcW w:w="2080"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Aucune</w:t>
            </w:r>
          </w:p>
        </w:tc>
      </w:tr>
      <w:tr w:rsidR="0020115C" w:rsidRPr="00CF7824" w:rsidTr="00A06C4A">
        <w:trPr>
          <w:cantSplit/>
          <w:trHeight w:val="288"/>
        </w:trPr>
        <w:tc>
          <w:tcPr>
            <w:tcW w:w="2122"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Coût total indicatif :</w:t>
            </w:r>
          </w:p>
        </w:tc>
        <w:tc>
          <w:tcPr>
            <w:tcW w:w="2835" w:type="dxa"/>
            <w:tcBorders>
              <w:top w:val="single" w:sz="4" w:space="0" w:color="auto"/>
              <w:left w:val="single" w:sz="4" w:space="0" w:color="auto"/>
              <w:bottom w:val="single" w:sz="4" w:space="0" w:color="auto"/>
              <w:right w:val="single" w:sz="4" w:space="0" w:color="auto"/>
            </w:tcBorders>
          </w:tcPr>
          <w:p w:rsidR="00DF13C8" w:rsidRPr="00CF7824" w:rsidRDefault="00DF13C8" w:rsidP="00D63784">
            <w:pPr>
              <w:spacing w:after="0" w:line="240" w:lineRule="auto"/>
              <w:rPr>
                <w:rFonts w:asciiTheme="minorHAnsi" w:eastAsia="Arial" w:hAnsiTheme="minorHAnsi" w:cstheme="min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DF13C8" w:rsidRPr="00CF7824" w:rsidRDefault="00DF13C8" w:rsidP="00D63784">
            <w:pPr>
              <w:spacing w:after="0" w:line="240" w:lineRule="auto"/>
              <w:rPr>
                <w:rFonts w:asciiTheme="minorHAnsi" w:eastAsia="Arial" w:hAnsiTheme="minorHAnsi" w:cstheme="minorHAnsi"/>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DF13C8" w:rsidRPr="00CF7824" w:rsidRDefault="00164734" w:rsidP="00D63784">
            <w:pPr>
              <w:spacing w:after="0" w:line="240" w:lineRule="auto"/>
              <w:jc w:val="right"/>
              <w:rPr>
                <w:rFonts w:asciiTheme="minorHAnsi" w:eastAsia="Arial" w:hAnsiTheme="minorHAnsi" w:cstheme="minorHAnsi"/>
                <w:color w:val="000000"/>
                <w:sz w:val="20"/>
                <w:szCs w:val="20"/>
              </w:rPr>
            </w:pPr>
            <w:r w:rsidRPr="00CF7824">
              <w:rPr>
                <w:rFonts w:cs="Calibri"/>
                <w:sz w:val="20"/>
                <w:szCs w:val="20"/>
                <w:lang w:val="fr-FR"/>
              </w:rPr>
              <w:t>366 000 CHF</w:t>
            </w:r>
            <w:r w:rsidRPr="00CF7824">
              <w:rPr>
                <w:rStyle w:val="FootnoteReference"/>
                <w:rFonts w:asciiTheme="minorHAnsi" w:hAnsiTheme="minorHAnsi" w:cstheme="minorHAnsi"/>
                <w:sz w:val="20"/>
                <w:szCs w:val="20"/>
              </w:rPr>
              <w:footnoteReference w:id="20"/>
            </w:r>
          </w:p>
        </w:tc>
      </w:tr>
    </w:tbl>
    <w:p w:rsidR="00B9042C" w:rsidRPr="00CF7824" w:rsidRDefault="00B9042C" w:rsidP="00867334">
      <w:pPr>
        <w:pStyle w:val="ListParagraph"/>
        <w:rPr>
          <w:rFonts w:asciiTheme="minorHAnsi" w:hAnsiTheme="minorHAnsi" w:cstheme="minorHAnsi"/>
        </w:rPr>
      </w:pPr>
    </w:p>
    <w:p w:rsidR="009B5B32" w:rsidRPr="00CF7824" w:rsidRDefault="00164734" w:rsidP="00790559">
      <w:pPr>
        <w:rPr>
          <w:rFonts w:asciiTheme="minorHAnsi" w:hAnsiTheme="minorHAnsi" w:cstheme="minorHAnsi"/>
          <w:i/>
          <w:iCs/>
          <w:lang w:val="fr-FR"/>
        </w:rPr>
      </w:pPr>
      <w:r w:rsidRPr="00CF7824">
        <w:rPr>
          <w:rFonts w:cs="Calibri"/>
          <w:bCs/>
          <w:lang w:val="fr-FR"/>
        </w:rPr>
        <w:t>45.</w:t>
      </w:r>
      <w:r w:rsidRPr="00CF7824">
        <w:rPr>
          <w:rFonts w:cs="Calibri"/>
          <w:bCs/>
          <w:lang w:val="fr-FR"/>
        </w:rPr>
        <w:tab/>
        <w:t>Après la révision des estimations obsolètes et leur mise à jour pour la prochaine publication des WPE (WPE 2027), un cycle régulier de mises à jour pourrait être mis en place à l</w:t>
      </w:r>
      <w:r w:rsidR="00016E39" w:rsidRPr="00CF7824">
        <w:rPr>
          <w:rFonts w:cs="Calibri"/>
          <w:bCs/>
          <w:lang w:val="fr-FR"/>
        </w:rPr>
        <w:t>’</w:t>
      </w:r>
      <w:r w:rsidRPr="00CF7824">
        <w:rPr>
          <w:rFonts w:cs="Calibri"/>
          <w:bCs/>
          <w:lang w:val="fr-FR"/>
        </w:rPr>
        <w:t>avenir par un processus complet d</w:t>
      </w:r>
      <w:r w:rsidR="00016E39" w:rsidRPr="00CF7824">
        <w:rPr>
          <w:rFonts w:cs="Calibri"/>
          <w:bCs/>
          <w:lang w:val="fr-FR"/>
        </w:rPr>
        <w:t>’</w:t>
      </w:r>
      <w:r w:rsidRPr="00CF7824">
        <w:rPr>
          <w:rFonts w:cs="Calibri"/>
          <w:bCs/>
          <w:lang w:val="fr-FR"/>
        </w:rPr>
        <w:t>actualisation des WPE (comme proposé dans les options 1b ou 1c du tableau</w:t>
      </w:r>
      <w:r w:rsidR="001F19B5" w:rsidRPr="00CF7824">
        <w:rPr>
          <w:rFonts w:cs="Calibri"/>
          <w:bCs/>
          <w:lang w:val="fr-FR"/>
        </w:rPr>
        <w:t> </w:t>
      </w:r>
      <w:r w:rsidRPr="00CF7824">
        <w:rPr>
          <w:rFonts w:cs="Calibri"/>
          <w:bCs/>
          <w:lang w:val="fr-FR"/>
        </w:rPr>
        <w:t>2 ci-dessus).</w:t>
      </w:r>
    </w:p>
    <w:p w:rsidR="00DA2683" w:rsidRPr="00CF7824" w:rsidRDefault="00DA2683" w:rsidP="00DA2683">
      <w:pPr>
        <w:rPr>
          <w:rFonts w:asciiTheme="minorHAnsi" w:hAnsiTheme="minorHAnsi" w:cstheme="minorHAnsi"/>
          <w:i/>
          <w:iCs/>
          <w:lang w:val="fr-FR"/>
        </w:rPr>
      </w:pPr>
    </w:p>
    <w:p w:rsidR="00B25F52" w:rsidRPr="00CF7824" w:rsidRDefault="00164734" w:rsidP="00840D2F">
      <w:pPr>
        <w:spacing w:after="120"/>
        <w:ind w:left="0" w:firstLine="0"/>
        <w:rPr>
          <w:rFonts w:asciiTheme="minorHAnsi" w:hAnsiTheme="minorHAnsi" w:cstheme="minorHAnsi"/>
          <w:lang w:val="fr-FR"/>
        </w:rPr>
      </w:pPr>
      <w:r w:rsidRPr="00CF7824">
        <w:rPr>
          <w:rFonts w:cs="Calibri"/>
          <w:i/>
          <w:iCs/>
          <w:lang w:val="fr-FR"/>
        </w:rPr>
        <w:lastRenderedPageBreak/>
        <w:t>Encadré</w:t>
      </w:r>
      <w:r w:rsidR="001F19B5" w:rsidRPr="00CF7824">
        <w:rPr>
          <w:rFonts w:cs="Calibri"/>
          <w:i/>
          <w:iCs/>
          <w:lang w:val="fr-FR"/>
        </w:rPr>
        <w:t> </w:t>
      </w:r>
      <w:r w:rsidRPr="00CF7824">
        <w:rPr>
          <w:rFonts w:cs="Calibri"/>
          <w:i/>
          <w:iCs/>
          <w:lang w:val="fr-FR"/>
        </w:rPr>
        <w:t xml:space="preserve">3 : </w:t>
      </w:r>
      <w:r w:rsidR="00F149CA" w:rsidRPr="00CF7824">
        <w:rPr>
          <w:rFonts w:cs="Calibri"/>
          <w:i/>
          <w:iCs/>
          <w:lang w:val="fr-FR"/>
        </w:rPr>
        <w:t>Recommandation</w:t>
      </w:r>
      <w:r w:rsidR="001F19B5" w:rsidRPr="00CF7824">
        <w:rPr>
          <w:rFonts w:cs="Calibri"/>
          <w:i/>
          <w:iCs/>
          <w:lang w:val="fr-FR"/>
        </w:rPr>
        <w:t> </w:t>
      </w:r>
      <w:r w:rsidRPr="00CF7824">
        <w:rPr>
          <w:rFonts w:cs="Calibri"/>
          <w:i/>
          <w:iCs/>
          <w:lang w:val="fr-FR"/>
        </w:rPr>
        <w:t>2 du GEST : La mise en place d</w:t>
      </w:r>
      <w:r w:rsidR="00016E39" w:rsidRPr="00CF7824">
        <w:rPr>
          <w:rFonts w:cs="Calibri"/>
          <w:i/>
          <w:iCs/>
          <w:lang w:val="fr-FR"/>
        </w:rPr>
        <w:t>’</w:t>
      </w:r>
      <w:r w:rsidRPr="00CF7824">
        <w:rPr>
          <w:rFonts w:cs="Calibri"/>
          <w:i/>
          <w:iCs/>
          <w:lang w:val="fr-FR"/>
        </w:rPr>
        <w:t>un processus d</w:t>
      </w:r>
      <w:r w:rsidR="00016E39" w:rsidRPr="00CF7824">
        <w:rPr>
          <w:rFonts w:cs="Calibri"/>
          <w:i/>
          <w:iCs/>
          <w:lang w:val="fr-FR"/>
        </w:rPr>
        <w:t>’</w:t>
      </w:r>
      <w:r w:rsidRPr="00CF7824">
        <w:rPr>
          <w:rFonts w:cs="Calibri"/>
          <w:i/>
          <w:iCs/>
          <w:lang w:val="fr-FR"/>
        </w:rPr>
        <w:t>urgence pour la mise à jour des WPE d</w:t>
      </w:r>
      <w:r w:rsidR="00016E39" w:rsidRPr="00CF7824">
        <w:rPr>
          <w:rFonts w:cs="Calibri"/>
          <w:i/>
          <w:iCs/>
          <w:lang w:val="fr-FR"/>
        </w:rPr>
        <w:t>’</w:t>
      </w:r>
      <w:r w:rsidRPr="00CF7824">
        <w:rPr>
          <w:rFonts w:cs="Calibri"/>
          <w:i/>
          <w:iCs/>
          <w:lang w:val="fr-FR"/>
        </w:rPr>
        <w:t>ici la COP16, couvrant les groupes d</w:t>
      </w:r>
      <w:r w:rsidR="00016E39" w:rsidRPr="00CF7824">
        <w:rPr>
          <w:rFonts w:cs="Calibri"/>
          <w:i/>
          <w:iCs/>
          <w:lang w:val="fr-FR"/>
        </w:rPr>
        <w:t>’</w:t>
      </w:r>
      <w:r w:rsidRPr="00CF7824">
        <w:rPr>
          <w:rFonts w:cs="Calibri"/>
          <w:i/>
          <w:iCs/>
          <w:lang w:val="fr-FR"/>
        </w:rPr>
        <w:t>espèces et les régions dont la mise à jour est prioritaire.</w:t>
      </w:r>
    </w:p>
    <w:p w:rsidR="005239FE" w:rsidRPr="00CF7824" w:rsidRDefault="00840D2F" w:rsidP="00130B7F">
      <w:pPr>
        <w:keepNext/>
        <w:rPr>
          <w:rFonts w:asciiTheme="minorHAnsi" w:hAnsiTheme="minorHAnsi" w:cstheme="minorHAnsi"/>
          <w:u w:val="single"/>
          <w:lang w:val="fr-FR"/>
        </w:rPr>
      </w:pPr>
      <w:bookmarkStart w:id="8" w:name="_Toc159848051"/>
      <w:r w:rsidRPr="00CF7824">
        <w:rPr>
          <w:rFonts w:asciiTheme="minorHAnsi" w:hAnsiTheme="minorHAnsi" w:cstheme="minorHAnsi"/>
          <w:noProof/>
          <w:lang w:val="fr-FR" w:eastAsia="fr-FR"/>
        </w:rPr>
        <mc:AlternateContent>
          <mc:Choice Requires="wps">
            <w:drawing>
              <wp:inline distT="0" distB="0" distL="0" distR="0" wp14:anchorId="1781D810" wp14:editId="6B4A91F6">
                <wp:extent cx="5772150" cy="2587625"/>
                <wp:effectExtent l="0" t="0" r="19050" b="22225"/>
                <wp:docPr id="522811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587925"/>
                        </a:xfrm>
                        <a:prstGeom prst="rect">
                          <a:avLst/>
                        </a:prstGeom>
                        <a:solidFill>
                          <a:srgbClr val="FFFFFF"/>
                        </a:solidFill>
                        <a:ln w="9525">
                          <a:solidFill>
                            <a:srgbClr val="000000"/>
                          </a:solidFill>
                          <a:miter lim="800000"/>
                          <a:headEnd/>
                          <a:tailEnd/>
                        </a:ln>
                      </wps:spPr>
                      <wps:txbx>
                        <w:txbxContent>
                          <w:p w:rsidR="00DA168E" w:rsidRPr="00164734" w:rsidRDefault="00DA168E" w:rsidP="00840D2F">
                            <w:pPr>
                              <w:ind w:left="0" w:firstLine="0"/>
                              <w:rPr>
                                <w:rFonts w:asciiTheme="minorHAnsi" w:eastAsia="Arial" w:hAnsiTheme="minorHAnsi" w:cstheme="minorHAnsi"/>
                                <w:color w:val="000000"/>
                                <w:lang w:val="fr-FR"/>
                              </w:rPr>
                            </w:pPr>
                            <w:r>
                              <w:rPr>
                                <w:rFonts w:cs="Calibri"/>
                                <w:color w:val="000000"/>
                                <w:lang w:val="fr-FR"/>
                              </w:rPr>
                              <w:t>Les étapes suivantes sont proposées :</w:t>
                            </w:r>
                          </w:p>
                          <w:p w:rsidR="00DA168E" w:rsidRPr="00164734" w:rsidRDefault="00DA168E" w:rsidP="00840D2F">
                            <w:pPr>
                              <w:ind w:left="0" w:firstLine="0"/>
                              <w:rPr>
                                <w:rFonts w:asciiTheme="minorHAnsi" w:eastAsia="Arial" w:hAnsiTheme="minorHAnsi" w:cstheme="minorHAnsi"/>
                                <w:color w:val="000000"/>
                                <w:lang w:val="fr-FR"/>
                              </w:rPr>
                            </w:pPr>
                          </w:p>
                          <w:p w:rsidR="00DA168E" w:rsidRPr="00164734" w:rsidRDefault="00DA168E" w:rsidP="00840D2F">
                            <w:pPr>
                              <w:numPr>
                                <w:ilvl w:val="0"/>
                                <w:numId w:val="7"/>
                              </w:numPr>
                              <w:ind w:left="426" w:hanging="425"/>
                              <w:rPr>
                                <w:rFonts w:asciiTheme="minorHAnsi" w:eastAsia="Arial" w:hAnsiTheme="minorHAnsi" w:cstheme="minorHAnsi"/>
                                <w:color w:val="000000"/>
                                <w:lang w:val="fr-FR"/>
                              </w:rPr>
                            </w:pPr>
                            <w:r>
                              <w:rPr>
                                <w:rFonts w:cs="Calibri"/>
                                <w:color w:val="000000"/>
                                <w:lang w:val="fr-FR"/>
                              </w:rPr>
                              <w:t xml:space="preserve">Une </w:t>
                            </w:r>
                            <w:r>
                              <w:rPr>
                                <w:rFonts w:cs="Calibri"/>
                                <w:lang w:val="fr-FR"/>
                              </w:rPr>
                              <w:t>analyse mondiale</w:t>
                            </w:r>
                            <w:r>
                              <w:rPr>
                                <w:rFonts w:cs="Calibri"/>
                                <w:color w:val="000000"/>
                                <w:lang w:val="fr-FR"/>
                              </w:rPr>
                              <w:t xml:space="preserve"> de l’état actuel des informations afin d’identifier les populations prioritaires à examiner/mettre à jour (voir tableau 4 ci-dessus), en tenant compte de la menace indiquée par le statut de l’espèce sur la Liste rouge.</w:t>
                            </w:r>
                          </w:p>
                          <w:p w:rsidR="00DA168E" w:rsidRPr="00164734" w:rsidRDefault="00DA168E" w:rsidP="00840D2F">
                            <w:pPr>
                              <w:ind w:left="426" w:firstLine="0"/>
                              <w:rPr>
                                <w:rFonts w:asciiTheme="minorHAnsi" w:eastAsia="Arial" w:hAnsiTheme="minorHAnsi" w:cstheme="minorHAnsi"/>
                                <w:color w:val="000000"/>
                                <w:lang w:val="fr-FR"/>
                              </w:rPr>
                            </w:pPr>
                          </w:p>
                          <w:p w:rsidR="00DA168E" w:rsidRPr="00164734" w:rsidRDefault="00DA168E" w:rsidP="00840D2F">
                            <w:pPr>
                              <w:numPr>
                                <w:ilvl w:val="0"/>
                                <w:numId w:val="7"/>
                              </w:numPr>
                              <w:ind w:left="426" w:hanging="425"/>
                              <w:rPr>
                                <w:rFonts w:asciiTheme="minorHAnsi" w:eastAsia="Arial" w:hAnsiTheme="minorHAnsi" w:cstheme="minorHAnsi"/>
                                <w:color w:val="000000"/>
                                <w:lang w:val="fr-FR"/>
                              </w:rPr>
                            </w:pPr>
                            <w:r>
                              <w:rPr>
                                <w:rFonts w:cs="Calibri"/>
                                <w:color w:val="000000"/>
                                <w:lang w:val="fr-FR"/>
                              </w:rPr>
                              <w:t xml:space="preserve">Une mise à jour pour les populations hautement prioritaires, par un examen entrepris au cours des deux ou trois prochaines années dans le cadre de la publication des </w:t>
                            </w:r>
                            <w:r>
                              <w:rPr>
                                <w:rFonts w:cs="Calibri"/>
                                <w:lang w:val="fr-FR"/>
                              </w:rPr>
                              <w:t>WPE2027</w:t>
                            </w:r>
                            <w:r>
                              <w:rPr>
                                <w:rFonts w:cs="Calibri"/>
                                <w:color w:val="000000"/>
                                <w:lang w:val="fr-FR"/>
                              </w:rPr>
                              <w:t xml:space="preserve"> (d’ici la COP16), de manière à ce que les informations du Waterbird populations Portal soient d’une périodicité et d’une qualité comparables, créant ainsi une base d’informations plus fiable pour les futures mises à jour des WPE. </w:t>
                            </w:r>
                          </w:p>
                          <w:p w:rsidR="00DA168E" w:rsidRPr="00164734" w:rsidRDefault="00DA168E" w:rsidP="00840D2F">
                            <w:pPr>
                              <w:ind w:left="0" w:firstLine="0"/>
                              <w:rPr>
                                <w:rFonts w:asciiTheme="minorHAnsi" w:eastAsia="Arial" w:hAnsiTheme="minorHAnsi" w:cstheme="minorHAnsi"/>
                                <w:color w:val="000000"/>
                                <w:lang w:val="fr-FR"/>
                              </w:rPr>
                            </w:pPr>
                          </w:p>
                          <w:p w:rsidR="00DA168E" w:rsidRPr="00164734" w:rsidRDefault="00DA168E" w:rsidP="00840D2F">
                            <w:pPr>
                              <w:ind w:left="0" w:firstLine="0"/>
                              <w:rPr>
                                <w:rFonts w:asciiTheme="minorHAnsi" w:hAnsiTheme="minorHAnsi" w:cstheme="minorHAnsi"/>
                                <w:lang w:val="fr-FR"/>
                              </w:rPr>
                            </w:pPr>
                            <w:r>
                              <w:rPr>
                                <w:rFonts w:cs="Calibri"/>
                                <w:color w:val="000000"/>
                                <w:lang w:val="fr-FR"/>
                              </w:rPr>
                              <w:t>Les informations sur les différentes régions et voies de migration seront mises à jour à l’avenir selon un calendrier défini (à convenir).</w:t>
                            </w:r>
                          </w:p>
                        </w:txbxContent>
                      </wps:txbx>
                      <wps:bodyPr rot="0" vert="horz" wrap="square" lIns="91440" tIns="45720" rIns="91440" bIns="45720" anchor="t" anchorCtr="0">
                        <a:noAutofit/>
                      </wps:bodyPr>
                    </wps:wsp>
                  </a:graphicData>
                </a:graphic>
              </wp:inline>
            </w:drawing>
          </mc:Choice>
          <mc:Fallback>
            <w:pict>
              <v:shape w14:anchorId="1781D810" id="_x0000_s1029" type="#_x0000_t202" style="width:454.5pt;height:2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">
                <v:textbox>
                  <w:txbxContent>
                    <w:p w:rsidR="00DA168E" w:rsidRPr="00164734" w:rsidRDefault="00DA168E" w:rsidP="00840D2F">
                      <w:pPr>
                        <w:ind w:left="0" w:firstLine="0"/>
                        <w:rPr>
                          <w:rFonts w:asciiTheme="minorHAnsi" w:eastAsia="Arial" w:hAnsiTheme="minorHAnsi" w:cstheme="minorHAnsi"/>
                          <w:color w:val="000000"/>
                          <w:lang w:val="fr-FR"/>
                        </w:rPr>
                      </w:pPr>
                      <w:r>
                        <w:rPr>
                          <w:rFonts w:cs="Calibri"/>
                          <w:color w:val="000000"/>
                          <w:lang w:val="fr-FR"/>
                        </w:rPr>
                        <w:t>Les étapes suivantes sont proposées :</w:t>
                      </w:r>
                    </w:p>
                    <w:p w:rsidR="00DA168E" w:rsidRPr="00164734" w:rsidRDefault="00DA168E" w:rsidP="00840D2F">
                      <w:pPr>
                        <w:ind w:left="0" w:firstLine="0"/>
                        <w:rPr>
                          <w:rFonts w:asciiTheme="minorHAnsi" w:eastAsia="Arial" w:hAnsiTheme="minorHAnsi" w:cstheme="minorHAnsi"/>
                          <w:color w:val="000000"/>
                          <w:lang w:val="fr-FR"/>
                        </w:rPr>
                      </w:pPr>
                    </w:p>
                    <w:p w:rsidR="00DA168E" w:rsidRPr="00164734" w:rsidRDefault="00DA168E" w:rsidP="00840D2F">
                      <w:pPr>
                        <w:numPr>
                          <w:ilvl w:val="0"/>
                          <w:numId w:val="7"/>
                        </w:numPr>
                        <w:ind w:left="426" w:hanging="425"/>
                        <w:rPr>
                          <w:rFonts w:asciiTheme="minorHAnsi" w:eastAsia="Arial" w:hAnsiTheme="minorHAnsi" w:cstheme="minorHAnsi"/>
                          <w:color w:val="000000"/>
                          <w:lang w:val="fr-FR"/>
                        </w:rPr>
                      </w:pPr>
                      <w:r>
                        <w:rPr>
                          <w:rFonts w:cs="Calibri"/>
                          <w:color w:val="000000"/>
                          <w:lang w:val="fr-FR"/>
                        </w:rPr>
                        <w:t xml:space="preserve">Une </w:t>
                      </w:r>
                      <w:r>
                        <w:rPr>
                          <w:rFonts w:cs="Calibri"/>
                          <w:lang w:val="fr-FR"/>
                        </w:rPr>
                        <w:t>analyse mondiale</w:t>
                      </w:r>
                      <w:r>
                        <w:rPr>
                          <w:rFonts w:cs="Calibri"/>
                          <w:color w:val="000000"/>
                          <w:lang w:val="fr-FR"/>
                        </w:rPr>
                        <w:t xml:space="preserve"> de l’état actuel des informations afin d’identifier les populations prioritaires à examiner/mettre à jour (voir tableau 4 ci-dessus), en tenant compte de la menace indiquée par le statut de l’espèce sur la Liste rouge.</w:t>
                      </w:r>
                    </w:p>
                    <w:p w:rsidR="00DA168E" w:rsidRPr="00164734" w:rsidRDefault="00DA168E" w:rsidP="00840D2F">
                      <w:pPr>
                        <w:ind w:left="426" w:firstLine="0"/>
                        <w:rPr>
                          <w:rFonts w:asciiTheme="minorHAnsi" w:eastAsia="Arial" w:hAnsiTheme="minorHAnsi" w:cstheme="minorHAnsi"/>
                          <w:color w:val="000000"/>
                          <w:lang w:val="fr-FR"/>
                        </w:rPr>
                      </w:pPr>
                    </w:p>
                    <w:p w:rsidR="00DA168E" w:rsidRPr="00164734" w:rsidRDefault="00DA168E" w:rsidP="00840D2F">
                      <w:pPr>
                        <w:numPr>
                          <w:ilvl w:val="0"/>
                          <w:numId w:val="7"/>
                        </w:numPr>
                        <w:ind w:left="426" w:hanging="425"/>
                        <w:rPr>
                          <w:rFonts w:asciiTheme="minorHAnsi" w:eastAsia="Arial" w:hAnsiTheme="minorHAnsi" w:cstheme="minorHAnsi"/>
                          <w:color w:val="000000"/>
                          <w:lang w:val="fr-FR"/>
                        </w:rPr>
                      </w:pPr>
                      <w:r>
                        <w:rPr>
                          <w:rFonts w:cs="Calibri"/>
                          <w:color w:val="000000"/>
                          <w:lang w:val="fr-FR"/>
                        </w:rPr>
                        <w:t xml:space="preserve">Une mise à jour pour les populations hautement prioritaires, par un examen entrepris au cours des deux ou trois prochaines années dans le cadre de la publication des </w:t>
                      </w:r>
                      <w:r>
                        <w:rPr>
                          <w:rFonts w:cs="Calibri"/>
                          <w:lang w:val="fr-FR"/>
                        </w:rPr>
                        <w:t>WPE2027</w:t>
                      </w:r>
                      <w:r>
                        <w:rPr>
                          <w:rFonts w:cs="Calibri"/>
                          <w:color w:val="000000"/>
                          <w:lang w:val="fr-FR"/>
                        </w:rPr>
                        <w:t xml:space="preserve"> (d’ici la COP16), de manière à ce que les informations du Waterbird populations Portal soient d’une périodicité et d’une qualité comparables, créant ainsi une base d’informations plus fiable pour les futures mises à jour des WPE. </w:t>
                      </w:r>
                    </w:p>
                    <w:p w:rsidR="00DA168E" w:rsidRPr="00164734" w:rsidRDefault="00DA168E" w:rsidP="00840D2F">
                      <w:pPr>
                        <w:ind w:left="0" w:firstLine="0"/>
                        <w:rPr>
                          <w:rFonts w:asciiTheme="minorHAnsi" w:eastAsia="Arial" w:hAnsiTheme="minorHAnsi" w:cstheme="minorHAnsi"/>
                          <w:color w:val="000000"/>
                          <w:lang w:val="fr-FR"/>
                        </w:rPr>
                      </w:pPr>
                    </w:p>
                    <w:p w:rsidR="00DA168E" w:rsidRPr="00164734" w:rsidRDefault="00DA168E" w:rsidP="00840D2F">
                      <w:pPr>
                        <w:ind w:left="0" w:firstLine="0"/>
                        <w:rPr>
                          <w:rFonts w:asciiTheme="minorHAnsi" w:hAnsiTheme="minorHAnsi" w:cstheme="minorHAnsi"/>
                          <w:lang w:val="fr-FR"/>
                        </w:rPr>
                      </w:pPr>
                      <w:r>
                        <w:rPr>
                          <w:rFonts w:cs="Calibri"/>
                          <w:color w:val="000000"/>
                          <w:lang w:val="fr-FR"/>
                        </w:rPr>
                        <w:t>Les informations sur les différentes régions et voies de migration seront mises à jour à l’avenir selon un calendrier défini (à convenir).</w:t>
                      </w:r>
                    </w:p>
                  </w:txbxContent>
                </v:textbox>
                <w10:anchorlock/>
              </v:shape>
            </w:pict>
          </mc:Fallback>
        </mc:AlternateContent>
      </w:r>
    </w:p>
    <w:p w:rsidR="005239FE" w:rsidRPr="00CF7824" w:rsidRDefault="005239FE" w:rsidP="00130B7F">
      <w:pPr>
        <w:keepNext/>
        <w:rPr>
          <w:rFonts w:asciiTheme="minorHAnsi" w:hAnsiTheme="minorHAnsi" w:cstheme="minorHAnsi"/>
          <w:u w:val="single"/>
          <w:lang w:val="fr-FR"/>
        </w:rPr>
      </w:pPr>
    </w:p>
    <w:p w:rsidR="009A46F2" w:rsidRPr="00CF7824" w:rsidRDefault="00164734" w:rsidP="00130B7F">
      <w:pPr>
        <w:keepNext/>
        <w:rPr>
          <w:rFonts w:asciiTheme="minorHAnsi" w:hAnsiTheme="minorHAnsi" w:cstheme="minorHAnsi"/>
          <w:u w:val="single"/>
          <w:lang w:val="fr-FR"/>
        </w:rPr>
      </w:pPr>
      <w:r w:rsidRPr="00CF7824">
        <w:rPr>
          <w:rFonts w:cs="Calibri"/>
          <w:u w:val="single"/>
          <w:lang w:val="fr-FR"/>
        </w:rPr>
        <w:t>Options d</w:t>
      </w:r>
      <w:r w:rsidR="00016E39" w:rsidRPr="00CF7824">
        <w:rPr>
          <w:rFonts w:cs="Calibri"/>
          <w:u w:val="single"/>
          <w:lang w:val="fr-FR"/>
        </w:rPr>
        <w:t>’</w:t>
      </w:r>
      <w:r w:rsidRPr="00CF7824">
        <w:rPr>
          <w:rFonts w:cs="Calibri"/>
          <w:u w:val="single"/>
          <w:lang w:val="fr-FR"/>
        </w:rPr>
        <w:t>extension de la couverture taxonomique</w:t>
      </w:r>
      <w:bookmarkEnd w:id="8"/>
    </w:p>
    <w:p w:rsidR="00446F37" w:rsidRPr="00CF7824" w:rsidRDefault="00446F37" w:rsidP="00446F37">
      <w:pPr>
        <w:rPr>
          <w:rFonts w:asciiTheme="minorHAnsi" w:hAnsiTheme="minorHAnsi" w:cstheme="minorHAnsi"/>
          <w:lang w:val="fr-FR"/>
        </w:rPr>
      </w:pPr>
    </w:p>
    <w:p w:rsidR="00446F37" w:rsidRPr="00CF7824" w:rsidRDefault="00164734" w:rsidP="00790559">
      <w:pPr>
        <w:rPr>
          <w:rFonts w:asciiTheme="minorHAnsi" w:hAnsiTheme="minorHAnsi" w:cstheme="minorHAnsi"/>
          <w:lang w:val="fr-FR"/>
        </w:rPr>
      </w:pPr>
      <w:r w:rsidRPr="00CF7824">
        <w:rPr>
          <w:rFonts w:cs="Calibri"/>
          <w:bCs/>
          <w:lang w:val="fr-FR"/>
        </w:rPr>
        <w:t>46.</w:t>
      </w:r>
      <w:r w:rsidRPr="00CF7824">
        <w:rPr>
          <w:rFonts w:cs="Calibri"/>
          <w:bCs/>
          <w:lang w:val="fr-FR"/>
        </w:rPr>
        <w:tab/>
        <w:t>La couverture taxonomique actuelle des WPE en 2024 est de 2</w:t>
      </w:r>
      <w:r w:rsidR="00376BA1" w:rsidRPr="00CF7824">
        <w:rPr>
          <w:rFonts w:cs="Calibri"/>
          <w:bCs/>
          <w:lang w:val="fr-FR"/>
        </w:rPr>
        <w:t> 340 </w:t>
      </w:r>
      <w:r w:rsidRPr="00CF7824">
        <w:rPr>
          <w:rFonts w:cs="Calibri"/>
          <w:bCs/>
          <w:lang w:val="fr-FR"/>
        </w:rPr>
        <w:t>populations biogéographiques de 899</w:t>
      </w:r>
      <w:r w:rsidR="00376BA1" w:rsidRPr="00CF7824">
        <w:rPr>
          <w:rFonts w:cs="Calibri"/>
          <w:bCs/>
          <w:lang w:val="fr-FR"/>
        </w:rPr>
        <w:t> </w:t>
      </w:r>
      <w:r w:rsidRPr="00CF7824">
        <w:rPr>
          <w:rFonts w:cs="Calibri"/>
          <w:bCs/>
          <w:lang w:val="fr-FR"/>
        </w:rPr>
        <w:t xml:space="preserve">espèces </w:t>
      </w:r>
      <w:bookmarkStart w:id="9" w:name="_Hlk159853361"/>
      <w:r w:rsidRPr="00CF7824">
        <w:rPr>
          <w:rFonts w:cs="Calibri"/>
          <w:bCs/>
          <w:lang w:val="fr-FR"/>
        </w:rPr>
        <w:t>au sein de 33</w:t>
      </w:r>
      <w:r w:rsidR="00376BA1" w:rsidRPr="00CF7824">
        <w:rPr>
          <w:rFonts w:cs="Calibri"/>
          <w:bCs/>
          <w:lang w:val="fr-FR"/>
        </w:rPr>
        <w:t> </w:t>
      </w:r>
      <w:r w:rsidRPr="00CF7824">
        <w:rPr>
          <w:rFonts w:cs="Calibri"/>
          <w:bCs/>
          <w:lang w:val="fr-FR"/>
        </w:rPr>
        <w:t>familles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w:t>
      </w:r>
      <w:bookmarkEnd w:id="9"/>
      <w:r w:rsidRPr="00CF7824">
        <w:rPr>
          <w:rFonts w:cs="Calibri"/>
          <w:bCs/>
          <w:lang w:val="fr-FR"/>
        </w:rPr>
        <w:t>.</w:t>
      </w:r>
      <w:r w:rsidRPr="00CF7824">
        <w:rPr>
          <w:rFonts w:cs="Calibri"/>
          <w:bCs/>
          <w:lang w:val="fr-FR"/>
        </w:rPr>
        <w:br/>
      </w:r>
    </w:p>
    <w:p w:rsidR="00FC387E" w:rsidRPr="00CF7824" w:rsidRDefault="00164734" w:rsidP="00790559">
      <w:pPr>
        <w:rPr>
          <w:rFonts w:asciiTheme="minorHAnsi" w:hAnsiTheme="minorHAnsi" w:cstheme="minorHAnsi"/>
          <w:lang w:val="fr-FR"/>
        </w:rPr>
      </w:pPr>
      <w:r w:rsidRPr="00CF7824">
        <w:rPr>
          <w:rFonts w:cs="Calibri"/>
          <w:bCs/>
          <w:lang w:val="fr-FR"/>
        </w:rPr>
        <w:t>47.</w:t>
      </w:r>
      <w:r w:rsidRPr="00CF7824">
        <w:rPr>
          <w:rFonts w:cs="Calibri"/>
          <w:bCs/>
          <w:lang w:val="fr-FR"/>
        </w:rPr>
        <w:tab/>
        <w:t xml:space="preserve">La </w:t>
      </w:r>
      <w:hyperlink r:id="rId28" w:history="1">
        <w:r w:rsidRPr="00CF7824">
          <w:rPr>
            <w:rFonts w:cs="Calibri"/>
            <w:bCs/>
            <w:lang w:val="fr-FR"/>
          </w:rPr>
          <w:t>Résolution</w:t>
        </w:r>
        <w:r w:rsidR="00376BA1" w:rsidRPr="00CF7824">
          <w:rPr>
            <w:rFonts w:cs="Calibri"/>
            <w:bCs/>
            <w:lang w:val="fr-FR"/>
          </w:rPr>
          <w:t> </w:t>
        </w:r>
        <w:r w:rsidRPr="00CF7824">
          <w:rPr>
            <w:rFonts w:cs="Calibri"/>
            <w:bCs/>
            <w:lang w:val="fr-FR"/>
          </w:rPr>
          <w:t>VIII.38</w:t>
        </w:r>
      </w:hyperlink>
      <w:r w:rsidRPr="00CF7824">
        <w:rPr>
          <w:rFonts w:cs="Calibri"/>
          <w:bCs/>
          <w:lang w:val="fr-FR"/>
        </w:rPr>
        <w:t xml:space="preserve"> de la Convention sur les zones humides </w:t>
      </w:r>
      <w:r w:rsidR="00FB6E0D" w:rsidRPr="00CF7824">
        <w:rPr>
          <w:rFonts w:cs="Calibri"/>
          <w:bCs/>
          <w:lang w:val="fr-FR"/>
        </w:rPr>
        <w:t>indique que la Conférence des Parties contractantes</w:t>
      </w:r>
      <w:r w:rsidR="00376BA1" w:rsidRPr="00CF7824">
        <w:rPr>
          <w:rFonts w:cs="Calibri"/>
          <w:bCs/>
          <w:lang w:val="fr-FR"/>
        </w:rPr>
        <w:t> </w:t>
      </w:r>
      <w:r w:rsidRPr="00CF7824">
        <w:rPr>
          <w:rFonts w:cs="Calibri"/>
          <w:bCs/>
          <w:lang w:val="fr-FR"/>
        </w:rPr>
        <w:t>: « SE FÉLICITE de l</w:t>
      </w:r>
      <w:r w:rsidR="00016E39" w:rsidRPr="00CF7824">
        <w:rPr>
          <w:rFonts w:cs="Calibri"/>
          <w:bCs/>
          <w:lang w:val="fr-FR"/>
        </w:rPr>
        <w:t>’</w:t>
      </w:r>
      <w:r w:rsidRPr="00CF7824">
        <w:rPr>
          <w:rFonts w:cs="Calibri"/>
          <w:bCs/>
          <w:lang w:val="fr-FR"/>
        </w:rPr>
        <w:t xml:space="preserve">intention de Wetlands International de renforcer le champ et la couverture des futures éditions de </w:t>
      </w:r>
      <w:r w:rsidRPr="00CF7824">
        <w:rPr>
          <w:rFonts w:cs="Calibri"/>
          <w:bCs/>
          <w:i/>
          <w:iCs/>
          <w:lang w:val="fr-FR"/>
        </w:rPr>
        <w:t>Waterbird Population Estimates</w:t>
      </w:r>
      <w:r w:rsidRPr="00CF7824">
        <w:rPr>
          <w:rFonts w:cs="Calibri"/>
          <w:bCs/>
          <w:lang w:val="fr-FR"/>
        </w:rPr>
        <w:t xml:space="preserve"> afin d</w:t>
      </w:r>
      <w:r w:rsidR="00016E39" w:rsidRPr="00CF7824">
        <w:rPr>
          <w:rFonts w:cs="Calibri"/>
          <w:bCs/>
          <w:lang w:val="fr-FR"/>
        </w:rPr>
        <w:t>’</w:t>
      </w:r>
      <w:r w:rsidRPr="00CF7824">
        <w:rPr>
          <w:rFonts w:cs="Calibri"/>
          <w:bCs/>
          <w:lang w:val="fr-FR"/>
        </w:rPr>
        <w:t>inclure tous les taxons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 xml:space="preserve">eau inscrits dans le glossaire annexé au </w:t>
      </w:r>
      <w:r w:rsidRPr="00CF7824">
        <w:rPr>
          <w:rFonts w:cs="Calibri"/>
          <w:bCs/>
          <w:i/>
          <w:iCs/>
          <w:lang w:val="fr-FR"/>
        </w:rPr>
        <w:t>Cadre stratégique et lignes directrices</w:t>
      </w:r>
      <w:r w:rsidR="001F19B5" w:rsidRPr="00CF7824">
        <w:rPr>
          <w:rFonts w:cs="Calibri"/>
          <w:bCs/>
          <w:i/>
          <w:iCs/>
          <w:lang w:val="fr-FR"/>
        </w:rPr>
        <w:t xml:space="preserve"> </w:t>
      </w:r>
      <w:r w:rsidRPr="00CF7824">
        <w:rPr>
          <w:rFonts w:cs="Calibri"/>
          <w:bCs/>
          <w:i/>
          <w:iCs/>
          <w:lang w:val="fr-FR"/>
        </w:rPr>
        <w:t>pour orienter l</w:t>
      </w:r>
      <w:r w:rsidR="00016E39" w:rsidRPr="00CF7824">
        <w:rPr>
          <w:rFonts w:cs="Calibri"/>
          <w:bCs/>
          <w:i/>
          <w:iCs/>
          <w:lang w:val="fr-FR"/>
        </w:rPr>
        <w:t>’</w:t>
      </w:r>
      <w:r w:rsidRPr="00CF7824">
        <w:rPr>
          <w:rFonts w:cs="Calibri"/>
          <w:bCs/>
          <w:i/>
          <w:iCs/>
          <w:lang w:val="fr-FR"/>
        </w:rPr>
        <w:t>évolution de la Liste des zones humides d</w:t>
      </w:r>
      <w:r w:rsidR="00016E39" w:rsidRPr="00CF7824">
        <w:rPr>
          <w:rFonts w:cs="Calibri"/>
          <w:bCs/>
          <w:i/>
          <w:iCs/>
          <w:lang w:val="fr-FR"/>
        </w:rPr>
        <w:t>’</w:t>
      </w:r>
      <w:r w:rsidRPr="00CF7824">
        <w:rPr>
          <w:rFonts w:cs="Calibri"/>
          <w:bCs/>
          <w:i/>
          <w:iCs/>
          <w:lang w:val="fr-FR"/>
        </w:rPr>
        <w:t>importance internationale</w:t>
      </w:r>
      <w:r w:rsidRPr="00CF7824">
        <w:rPr>
          <w:rFonts w:cs="Calibri"/>
          <w:bCs/>
          <w:lang w:val="fr-FR"/>
        </w:rPr>
        <w:t>. »</w:t>
      </w:r>
      <w:r w:rsidRPr="00CF7824">
        <w:rPr>
          <w:rFonts w:cs="Calibri"/>
          <w:bCs/>
          <w:lang w:val="fr-FR"/>
        </w:rPr>
        <w:br/>
      </w:r>
    </w:p>
    <w:p w:rsidR="007616A1" w:rsidRPr="00CF7824" w:rsidRDefault="00164734" w:rsidP="00790559">
      <w:pPr>
        <w:rPr>
          <w:rFonts w:asciiTheme="minorHAnsi" w:hAnsiTheme="minorHAnsi" w:cstheme="minorHAnsi"/>
          <w:lang w:val="fr-FR"/>
        </w:rPr>
      </w:pPr>
      <w:r w:rsidRPr="00CF7824">
        <w:rPr>
          <w:rFonts w:cs="Calibri"/>
          <w:bCs/>
          <w:lang w:val="fr-FR"/>
        </w:rPr>
        <w:t>48.</w:t>
      </w:r>
      <w:r w:rsidRPr="00CF7824">
        <w:rPr>
          <w:rFonts w:cs="Calibri"/>
          <w:bCs/>
          <w:lang w:val="fr-FR"/>
        </w:rPr>
        <w:tab/>
        <w:t>Wetlands International n</w:t>
      </w:r>
      <w:r w:rsidR="00016E39" w:rsidRPr="00CF7824">
        <w:rPr>
          <w:rFonts w:cs="Calibri"/>
          <w:bCs/>
          <w:lang w:val="fr-FR"/>
        </w:rPr>
        <w:t>’</w:t>
      </w:r>
      <w:r w:rsidRPr="00CF7824">
        <w:rPr>
          <w:rFonts w:cs="Calibri"/>
          <w:bCs/>
          <w:lang w:val="fr-FR"/>
        </w:rPr>
        <w:t>a pas encore entrepris une telle extension de la couverture taxonomique à l</w:t>
      </w:r>
      <w:r w:rsidR="00016E39" w:rsidRPr="00CF7824">
        <w:rPr>
          <w:rFonts w:cs="Calibri"/>
          <w:bCs/>
          <w:lang w:val="fr-FR"/>
        </w:rPr>
        <w:t>’</w:t>
      </w:r>
      <w:r w:rsidRPr="00CF7824">
        <w:rPr>
          <w:rFonts w:cs="Calibri"/>
          <w:bCs/>
          <w:lang w:val="fr-FR"/>
        </w:rPr>
        <w:t>échelle mondiale, par manque de ressources et parce que l</w:t>
      </w:r>
      <w:r w:rsidR="00016E39" w:rsidRPr="00CF7824">
        <w:rPr>
          <w:rFonts w:cs="Calibri"/>
          <w:bCs/>
          <w:lang w:val="fr-FR"/>
        </w:rPr>
        <w:t>’</w:t>
      </w:r>
      <w:r w:rsidRPr="00CF7824">
        <w:rPr>
          <w:rFonts w:cs="Calibri"/>
          <w:bCs/>
          <w:lang w:val="fr-FR"/>
        </w:rPr>
        <w:t>accent a été mis sur la mise à jour pour les taxons déjà pris en compte afin de répondre aux besoins de la Convention sur les zones humides.</w:t>
      </w:r>
      <w:r w:rsidRPr="00CF7824">
        <w:rPr>
          <w:rFonts w:cs="Calibri"/>
          <w:bCs/>
          <w:lang w:val="fr-FR"/>
        </w:rPr>
        <w:br/>
      </w:r>
    </w:p>
    <w:p w:rsidR="00DF31F3" w:rsidRPr="00CF7824" w:rsidRDefault="00164734" w:rsidP="00130B7F">
      <w:pPr>
        <w:rPr>
          <w:rFonts w:asciiTheme="minorHAnsi" w:hAnsiTheme="minorHAnsi" w:cstheme="minorHAnsi"/>
          <w:lang w:val="fr-FR"/>
        </w:rPr>
      </w:pPr>
      <w:r w:rsidRPr="00CF7824">
        <w:rPr>
          <w:rFonts w:cs="Calibri"/>
          <w:bCs/>
          <w:lang w:val="fr-FR"/>
        </w:rPr>
        <w:t>49.</w:t>
      </w:r>
      <w:r w:rsidRPr="00CF7824">
        <w:rPr>
          <w:rFonts w:cs="Calibri"/>
          <w:bCs/>
          <w:lang w:val="fr-FR"/>
        </w:rPr>
        <w:tab/>
        <w:t>La couverture taxonomique actuelle de l</w:t>
      </w:r>
      <w:r w:rsidR="00016E39" w:rsidRPr="00CF7824">
        <w:rPr>
          <w:rFonts w:cs="Calibri"/>
          <w:bCs/>
          <w:lang w:val="fr-FR"/>
        </w:rPr>
        <w:t>’</w:t>
      </w:r>
      <w:r w:rsidRPr="00CF7824">
        <w:rPr>
          <w:rFonts w:cs="Calibri"/>
          <w:bCs/>
          <w:lang w:val="fr-FR"/>
        </w:rPr>
        <w:t>AEWA et de l</w:t>
      </w:r>
      <w:r w:rsidR="00016E39" w:rsidRPr="00CF7824">
        <w:rPr>
          <w:rFonts w:cs="Calibri"/>
          <w:bCs/>
          <w:lang w:val="fr-FR"/>
        </w:rPr>
        <w:t>’</w:t>
      </w:r>
      <w:r w:rsidRPr="00CF7824">
        <w:rPr>
          <w:rFonts w:cs="Calibri"/>
          <w:bCs/>
          <w:lang w:val="fr-FR"/>
        </w:rPr>
        <w:t>EAAFP comprend un nombre limité de populations de familles d</w:t>
      </w:r>
      <w:r w:rsidR="00016E39" w:rsidRPr="00CF7824">
        <w:rPr>
          <w:rFonts w:cs="Calibri"/>
          <w:bCs/>
          <w:lang w:val="fr-FR"/>
        </w:rPr>
        <w:t>’</w:t>
      </w:r>
      <w:r w:rsidRPr="00CF7824">
        <w:rPr>
          <w:rFonts w:cs="Calibri"/>
          <w:bCs/>
          <w:lang w:val="fr-FR"/>
        </w:rPr>
        <w:t xml:space="preserve">oiseaux marins sélectionnées, essentiellement côtières (dont beaucoup </w:t>
      </w:r>
      <w:r w:rsidR="00FB6E0D" w:rsidRPr="00CF7824">
        <w:rPr>
          <w:rFonts w:cs="Calibri"/>
          <w:bCs/>
          <w:lang w:val="fr-FR"/>
        </w:rPr>
        <w:t>servent d’</w:t>
      </w:r>
      <w:r w:rsidRPr="00CF7824">
        <w:rPr>
          <w:rFonts w:cs="Calibri"/>
          <w:bCs/>
          <w:lang w:val="fr-FR"/>
        </w:rPr>
        <w:t>indicateurs majeurs pour l</w:t>
      </w:r>
      <w:r w:rsidR="00016E39" w:rsidRPr="00CF7824">
        <w:rPr>
          <w:rFonts w:cs="Calibri"/>
          <w:bCs/>
          <w:lang w:val="fr-FR"/>
        </w:rPr>
        <w:t>’</w:t>
      </w:r>
      <w:r w:rsidRPr="00CF7824">
        <w:rPr>
          <w:rFonts w:cs="Calibri"/>
          <w:bCs/>
          <w:lang w:val="fr-FR"/>
        </w:rPr>
        <w:t xml:space="preserve">inscription de </w:t>
      </w:r>
      <w:r w:rsidR="00F77F5A" w:rsidRPr="00CF7824">
        <w:rPr>
          <w:rFonts w:cs="Calibri"/>
          <w:bCs/>
          <w:lang w:val="fr-FR"/>
        </w:rPr>
        <w:t>Sites Ramsar</w:t>
      </w:r>
      <w:r w:rsidRPr="00CF7824">
        <w:rPr>
          <w:rFonts w:cs="Calibri"/>
          <w:bCs/>
          <w:lang w:val="fr-FR"/>
        </w:rPr>
        <w:t>). L</w:t>
      </w:r>
      <w:r w:rsidR="00016E39" w:rsidRPr="00CF7824">
        <w:rPr>
          <w:rFonts w:cs="Calibri"/>
          <w:bCs/>
          <w:lang w:val="fr-FR"/>
        </w:rPr>
        <w:t>’</w:t>
      </w:r>
      <w:r w:rsidRPr="00CF7824">
        <w:rPr>
          <w:rFonts w:cs="Calibri"/>
          <w:bCs/>
          <w:lang w:val="fr-FR"/>
        </w:rPr>
        <w:t xml:space="preserve">AEWA </w:t>
      </w:r>
      <w:r w:rsidR="00FB6E0D" w:rsidRPr="00CF7824">
        <w:rPr>
          <w:rFonts w:cs="Calibri"/>
          <w:bCs/>
          <w:lang w:val="fr-FR"/>
        </w:rPr>
        <w:t>couvre</w:t>
      </w:r>
      <w:r w:rsidRPr="00CF7824">
        <w:rPr>
          <w:rFonts w:cs="Calibri"/>
          <w:bCs/>
          <w:lang w:val="fr-FR"/>
        </w:rPr>
        <w:t xml:space="preserve"> actuellement 36</w:t>
      </w:r>
      <w:r w:rsidR="00376BA1" w:rsidRPr="00CF7824">
        <w:rPr>
          <w:rFonts w:cs="Calibri"/>
          <w:bCs/>
          <w:lang w:val="fr-FR"/>
        </w:rPr>
        <w:t> </w:t>
      </w:r>
      <w:r w:rsidRPr="00CF7824">
        <w:rPr>
          <w:rFonts w:cs="Calibri"/>
          <w:bCs/>
          <w:lang w:val="fr-FR"/>
        </w:rPr>
        <w:t>populations de 16</w:t>
      </w:r>
      <w:r w:rsidR="00376BA1" w:rsidRPr="00CF7824">
        <w:rPr>
          <w:rFonts w:cs="Calibri"/>
          <w:bCs/>
          <w:lang w:val="fr-FR"/>
        </w:rPr>
        <w:t> </w:t>
      </w:r>
      <w:r w:rsidRPr="00CF7824">
        <w:rPr>
          <w:rFonts w:cs="Calibri"/>
          <w:bCs/>
          <w:lang w:val="fr-FR"/>
        </w:rPr>
        <w:t>espèces de cinq familles qui sont incluses dans le Waterbird populations Portal. Pour les CSR de l</w:t>
      </w:r>
      <w:r w:rsidR="00016E39" w:rsidRPr="00CF7824">
        <w:rPr>
          <w:rFonts w:cs="Calibri"/>
          <w:bCs/>
          <w:lang w:val="fr-FR"/>
        </w:rPr>
        <w:t>’</w:t>
      </w:r>
      <w:r w:rsidRPr="00CF7824">
        <w:rPr>
          <w:rFonts w:cs="Calibri"/>
          <w:bCs/>
          <w:lang w:val="fr-FR"/>
        </w:rPr>
        <w:t>EAAFP, les populations d</w:t>
      </w:r>
      <w:r w:rsidR="00016E39" w:rsidRPr="00CF7824">
        <w:rPr>
          <w:rFonts w:cs="Calibri"/>
          <w:bCs/>
          <w:lang w:val="fr-FR"/>
        </w:rPr>
        <w:t>’</w:t>
      </w:r>
      <w:r w:rsidRPr="00CF7824">
        <w:rPr>
          <w:rFonts w:cs="Calibri"/>
          <w:bCs/>
          <w:lang w:val="fr-FR"/>
        </w:rPr>
        <w:t>oiseaux marins avec des estimations de taille et de tendance et des seuils de 1% doivent encore être définies et seront incluses en priorité dans le CSR2 qui doit être produit d</w:t>
      </w:r>
      <w:r w:rsidR="00016E39" w:rsidRPr="00CF7824">
        <w:rPr>
          <w:rFonts w:cs="Calibri"/>
          <w:bCs/>
          <w:lang w:val="fr-FR"/>
        </w:rPr>
        <w:t>’</w:t>
      </w:r>
      <w:r w:rsidRPr="00CF7824">
        <w:rPr>
          <w:rFonts w:cs="Calibri"/>
          <w:bCs/>
          <w:lang w:val="fr-FR"/>
        </w:rPr>
        <w:t>ici 2026 et qui pourrait également être intégré au Waterbird populations Portal à l</w:t>
      </w:r>
      <w:r w:rsidR="00016E39" w:rsidRPr="00CF7824">
        <w:rPr>
          <w:rFonts w:cs="Calibri"/>
          <w:bCs/>
          <w:lang w:val="fr-FR"/>
        </w:rPr>
        <w:t>’</w:t>
      </w:r>
      <w:r w:rsidRPr="00CF7824">
        <w:rPr>
          <w:rFonts w:cs="Calibri"/>
          <w:bCs/>
          <w:lang w:val="fr-FR"/>
        </w:rPr>
        <w:t xml:space="preserve">avenir. </w:t>
      </w:r>
      <w:r w:rsidRPr="00CF7824">
        <w:rPr>
          <w:rFonts w:cs="Calibri"/>
          <w:bCs/>
          <w:lang w:val="fr-FR"/>
        </w:rPr>
        <w:br/>
      </w:r>
    </w:p>
    <w:p w:rsidR="005F053A" w:rsidRPr="00CF7824" w:rsidRDefault="00164734" w:rsidP="00130B7F">
      <w:pPr>
        <w:rPr>
          <w:rFonts w:asciiTheme="minorHAnsi" w:hAnsiTheme="minorHAnsi" w:cstheme="minorHAnsi"/>
          <w:lang w:val="fr-FR"/>
        </w:rPr>
      </w:pPr>
      <w:r w:rsidRPr="00CF7824">
        <w:rPr>
          <w:rFonts w:cs="Calibri"/>
          <w:bCs/>
          <w:lang w:val="fr-FR"/>
        </w:rPr>
        <w:t>50.</w:t>
      </w:r>
      <w:r w:rsidRPr="00CF7824">
        <w:rPr>
          <w:rFonts w:cs="Calibri"/>
          <w:bCs/>
          <w:lang w:val="fr-FR"/>
        </w:rPr>
        <w:tab/>
        <w:t>Il peut donc être envisagé : a) d</w:t>
      </w:r>
      <w:r w:rsidR="00016E39" w:rsidRPr="00CF7824">
        <w:rPr>
          <w:rFonts w:cs="Calibri"/>
          <w:bCs/>
          <w:lang w:val="fr-FR"/>
        </w:rPr>
        <w:t>’</w:t>
      </w:r>
      <w:r w:rsidRPr="00CF7824">
        <w:rPr>
          <w:rFonts w:cs="Calibri"/>
          <w:bCs/>
          <w:lang w:val="fr-FR"/>
        </w:rPr>
        <w:t>étendre ou non la couverture taxonomique des WPE pour y inclure (un nombre limité) de familles d</w:t>
      </w:r>
      <w:r w:rsidR="00016E39" w:rsidRPr="00CF7824">
        <w:rPr>
          <w:rFonts w:cs="Calibri"/>
          <w:bCs/>
          <w:lang w:val="fr-FR"/>
        </w:rPr>
        <w:t>’</w:t>
      </w:r>
      <w:r w:rsidRPr="00CF7824">
        <w:rPr>
          <w:rFonts w:cs="Calibri"/>
          <w:bCs/>
          <w:lang w:val="fr-FR"/>
        </w:rPr>
        <w:t>oiseaux marins</w:t>
      </w:r>
      <w:r w:rsidR="00A12CF2" w:rsidRPr="00CF7824">
        <w:rPr>
          <w:rFonts w:cs="Calibri"/>
          <w:bCs/>
          <w:lang w:val="fr-FR"/>
        </w:rPr>
        <w:t>;</w:t>
      </w:r>
      <w:r w:rsidRPr="00CF7824">
        <w:rPr>
          <w:rFonts w:cs="Calibri"/>
          <w:bCs/>
          <w:lang w:val="fr-FR"/>
        </w:rPr>
        <w:t xml:space="preserve"> et b) de déterminer quand une telle extension peut être opportune. Ceci doit être considéré par rapport à la situation actuelle, à savoir que : </w:t>
      </w:r>
      <w:r w:rsidR="008929F0" w:rsidRPr="00CF7824">
        <w:rPr>
          <w:rFonts w:cs="Calibri"/>
          <w:bCs/>
          <w:lang w:val="fr-FR"/>
        </w:rPr>
        <w:t>le Waterbird populations Portal inclu</w:t>
      </w:r>
      <w:r w:rsidRPr="00CF7824">
        <w:rPr>
          <w:rFonts w:cs="Calibri"/>
          <w:bCs/>
          <w:lang w:val="fr-FR"/>
        </w:rPr>
        <w:t>t actuellement un nombre important de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pour lesquelles la taille de la population est obsolète, ce qui affecte la qualité des seuils de population de 1%</w:t>
      </w:r>
      <w:r w:rsidR="00A12CF2" w:rsidRPr="00CF7824">
        <w:rPr>
          <w:rFonts w:cs="Calibri"/>
          <w:bCs/>
          <w:lang w:val="fr-FR"/>
        </w:rPr>
        <w:t>;</w:t>
      </w:r>
      <w:r w:rsidRPr="00CF7824">
        <w:rPr>
          <w:rFonts w:cs="Calibri"/>
          <w:bCs/>
          <w:lang w:val="fr-FR"/>
        </w:rPr>
        <w:t xml:space="preserve"> et la priorité devrait être d</w:t>
      </w:r>
      <w:r w:rsidR="00016E39" w:rsidRPr="00CF7824">
        <w:rPr>
          <w:rFonts w:cs="Calibri"/>
          <w:bCs/>
          <w:lang w:val="fr-FR"/>
        </w:rPr>
        <w:t>’</w:t>
      </w:r>
      <w:r w:rsidRPr="00CF7824">
        <w:rPr>
          <w:rFonts w:cs="Calibri"/>
          <w:bCs/>
          <w:lang w:val="fr-FR"/>
        </w:rPr>
        <w:t>améliorer ces informations en premier lieu.</w:t>
      </w:r>
      <w:r w:rsidRPr="00CF7824">
        <w:rPr>
          <w:rFonts w:cs="Calibri"/>
          <w:bCs/>
          <w:lang w:val="fr-FR"/>
        </w:rPr>
        <w:br/>
      </w:r>
    </w:p>
    <w:p w:rsidR="005646CC" w:rsidRPr="00CF7824" w:rsidRDefault="00164734" w:rsidP="002079B7">
      <w:pPr>
        <w:numPr>
          <w:ilvl w:val="1"/>
          <w:numId w:val="8"/>
        </w:numPr>
        <w:ind w:left="850" w:hanging="425"/>
        <w:rPr>
          <w:rFonts w:asciiTheme="minorHAnsi" w:hAnsiTheme="minorHAnsi" w:cstheme="minorHAnsi"/>
          <w:lang w:val="fr-FR"/>
        </w:rPr>
      </w:pPr>
      <w:r w:rsidRPr="00CF7824">
        <w:rPr>
          <w:rFonts w:cs="Calibri"/>
          <w:lang w:val="fr-FR"/>
        </w:rPr>
        <w:lastRenderedPageBreak/>
        <w:t>Option</w:t>
      </w:r>
      <w:r w:rsidR="001F19B5" w:rsidRPr="00CF7824">
        <w:rPr>
          <w:rFonts w:cs="Calibri"/>
          <w:lang w:val="fr-FR"/>
        </w:rPr>
        <w:t> </w:t>
      </w:r>
      <w:r w:rsidRPr="00CF7824">
        <w:rPr>
          <w:rFonts w:cs="Calibri"/>
          <w:lang w:val="fr-FR"/>
        </w:rPr>
        <w:t xml:space="preserve">1. </w:t>
      </w:r>
      <w:r w:rsidRPr="00CF7824">
        <w:rPr>
          <w:rFonts w:cs="Calibri"/>
          <w:b/>
          <w:bCs/>
          <w:lang w:val="fr-FR"/>
        </w:rPr>
        <w:t xml:space="preserve">Les WPE conservent la couverture taxonomique </w:t>
      </w:r>
      <w:r w:rsidR="00FB6E0D" w:rsidRPr="00CF7824">
        <w:rPr>
          <w:rFonts w:cs="Calibri"/>
          <w:b/>
          <w:bCs/>
          <w:lang w:val="fr-FR"/>
        </w:rPr>
        <w:t>existante</w:t>
      </w:r>
      <w:r w:rsidRPr="00CF7824">
        <w:rPr>
          <w:rFonts w:cs="Calibri"/>
          <w:lang w:val="fr-FR"/>
        </w:rPr>
        <w:t xml:space="preserve"> telle qu</w:t>
      </w:r>
      <w:r w:rsidR="00016E39" w:rsidRPr="00CF7824">
        <w:rPr>
          <w:rFonts w:cs="Calibri"/>
          <w:lang w:val="fr-FR"/>
        </w:rPr>
        <w:t>’</w:t>
      </w:r>
      <w:r w:rsidRPr="00CF7824">
        <w:rPr>
          <w:rFonts w:cs="Calibri"/>
          <w:lang w:val="fr-FR"/>
        </w:rPr>
        <w:t>elle est actuellement fournie à la Convention sur les zones humides, limitée à 33</w:t>
      </w:r>
      <w:r w:rsidR="00376BA1" w:rsidRPr="00CF7824">
        <w:rPr>
          <w:rFonts w:cs="Calibri"/>
          <w:lang w:val="fr-FR"/>
        </w:rPr>
        <w:t> </w:t>
      </w:r>
      <w:r w:rsidRPr="00CF7824">
        <w:rPr>
          <w:rFonts w:cs="Calibri"/>
          <w:lang w:val="fr-FR"/>
        </w:rPr>
        <w:t>familles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w:t>
      </w:r>
      <w:r w:rsidRPr="00CF7824">
        <w:rPr>
          <w:rFonts w:cs="Calibri"/>
          <w:lang w:val="fr-FR"/>
        </w:rPr>
        <w:br/>
      </w:r>
    </w:p>
    <w:p w:rsidR="005F053A" w:rsidRPr="00CF7824" w:rsidRDefault="00164734" w:rsidP="002079B7">
      <w:pPr>
        <w:numPr>
          <w:ilvl w:val="1"/>
          <w:numId w:val="8"/>
        </w:numPr>
        <w:ind w:left="850" w:hanging="425"/>
        <w:rPr>
          <w:rFonts w:asciiTheme="minorHAnsi" w:hAnsiTheme="minorHAnsi" w:cstheme="minorHAnsi"/>
          <w:lang w:val="fr-FR"/>
        </w:rPr>
      </w:pPr>
      <w:r w:rsidRPr="00CF7824">
        <w:rPr>
          <w:rFonts w:cs="Calibri"/>
          <w:lang w:val="fr-FR"/>
        </w:rPr>
        <w:t>Option</w:t>
      </w:r>
      <w:r w:rsidR="001F19B5" w:rsidRPr="00CF7824">
        <w:rPr>
          <w:rFonts w:cs="Calibri"/>
          <w:lang w:val="fr-FR"/>
        </w:rPr>
        <w:t> </w:t>
      </w:r>
      <w:r w:rsidRPr="00CF7824">
        <w:rPr>
          <w:rFonts w:cs="Calibri"/>
          <w:lang w:val="fr-FR"/>
        </w:rPr>
        <w:t xml:space="preserve">2. </w:t>
      </w:r>
      <w:r w:rsidRPr="00CF7824">
        <w:rPr>
          <w:rFonts w:cs="Calibri"/>
          <w:b/>
          <w:bCs/>
          <w:lang w:val="fr-FR"/>
        </w:rPr>
        <w:t>La couverture taxonomique des WPE est élargie pour inclure les familles d</w:t>
      </w:r>
      <w:r w:rsidR="00016E39" w:rsidRPr="00CF7824">
        <w:rPr>
          <w:rFonts w:cs="Calibri"/>
          <w:b/>
          <w:bCs/>
          <w:lang w:val="fr-FR"/>
        </w:rPr>
        <w:t>’</w:t>
      </w:r>
      <w:r w:rsidRPr="00CF7824">
        <w:rPr>
          <w:rFonts w:cs="Calibri"/>
          <w:b/>
          <w:bCs/>
          <w:lang w:val="fr-FR"/>
        </w:rPr>
        <w:t>oiseaux marins couvertes par les deux instruments des voies de migration régionales.</w:t>
      </w:r>
      <w:r w:rsidRPr="00CF7824">
        <w:rPr>
          <w:rFonts w:cs="Calibri"/>
          <w:lang w:val="fr-FR"/>
        </w:rPr>
        <w:t xml:space="preserve"> Leur intégration au Waterbird populations Portal dépendra des instruments des voies de migration fournissant les ressources nécessaires à l</w:t>
      </w:r>
      <w:r w:rsidR="00016E39" w:rsidRPr="00CF7824">
        <w:rPr>
          <w:rFonts w:cs="Calibri"/>
          <w:lang w:val="fr-FR"/>
        </w:rPr>
        <w:t>’</w:t>
      </w:r>
      <w:r w:rsidRPr="00CF7824">
        <w:rPr>
          <w:rFonts w:cs="Calibri"/>
          <w:lang w:val="fr-FR"/>
        </w:rPr>
        <w:t>examen et la gestion des mises à jour.</w:t>
      </w:r>
      <w:r w:rsidRPr="00CF7824">
        <w:rPr>
          <w:rFonts w:cs="Calibri"/>
          <w:lang w:val="fr-FR"/>
        </w:rPr>
        <w:br/>
      </w:r>
    </w:p>
    <w:p w:rsidR="00900B3B" w:rsidRPr="00CF7824" w:rsidRDefault="00164734" w:rsidP="002079B7">
      <w:pPr>
        <w:numPr>
          <w:ilvl w:val="1"/>
          <w:numId w:val="8"/>
        </w:numPr>
        <w:ind w:left="850" w:hanging="425"/>
        <w:rPr>
          <w:rFonts w:asciiTheme="minorHAnsi" w:hAnsiTheme="minorHAnsi" w:cstheme="minorHAnsi"/>
          <w:lang w:val="fr-FR"/>
        </w:rPr>
      </w:pPr>
      <w:r w:rsidRPr="00CF7824">
        <w:rPr>
          <w:rFonts w:cs="Calibri"/>
          <w:lang w:val="fr-FR"/>
        </w:rPr>
        <w:t>Option</w:t>
      </w:r>
      <w:r w:rsidR="001F19B5" w:rsidRPr="00CF7824">
        <w:rPr>
          <w:rFonts w:cs="Calibri"/>
          <w:lang w:val="fr-FR"/>
        </w:rPr>
        <w:t> </w:t>
      </w:r>
      <w:r w:rsidRPr="00CF7824">
        <w:rPr>
          <w:rFonts w:cs="Calibri"/>
          <w:lang w:val="fr-FR"/>
        </w:rPr>
        <w:t xml:space="preserve">3. </w:t>
      </w:r>
      <w:r w:rsidRPr="00CF7824">
        <w:rPr>
          <w:rFonts w:cs="Calibri"/>
          <w:b/>
          <w:bCs/>
          <w:lang w:val="fr-FR"/>
        </w:rPr>
        <w:t>La couverture taxonomique des WPE est étendue à toutes les familles d</w:t>
      </w:r>
      <w:r w:rsidR="00016E39" w:rsidRPr="00CF7824">
        <w:rPr>
          <w:rFonts w:cs="Calibri"/>
          <w:b/>
          <w:bCs/>
          <w:lang w:val="fr-FR"/>
        </w:rPr>
        <w:t>’</w:t>
      </w:r>
      <w:r w:rsidRPr="00CF7824">
        <w:rPr>
          <w:rFonts w:cs="Calibri"/>
          <w:b/>
          <w:bCs/>
          <w:lang w:val="fr-FR"/>
        </w:rPr>
        <w:t>oiseaux marins couvertes par les accords régionaux sur les voies de migration et d</w:t>
      </w:r>
      <w:r w:rsidR="00016E39" w:rsidRPr="00CF7824">
        <w:rPr>
          <w:rFonts w:cs="Calibri"/>
          <w:b/>
          <w:bCs/>
          <w:lang w:val="fr-FR"/>
        </w:rPr>
        <w:t>’</w:t>
      </w:r>
      <w:r w:rsidRPr="00CF7824">
        <w:rPr>
          <w:rFonts w:cs="Calibri"/>
          <w:b/>
          <w:bCs/>
          <w:lang w:val="fr-FR"/>
        </w:rPr>
        <w:t>autres cadres</w:t>
      </w:r>
      <w:r w:rsidRPr="00CF7824">
        <w:rPr>
          <w:rFonts w:cs="Calibri"/>
          <w:lang w:val="fr-FR"/>
        </w:rPr>
        <w:t>.</w:t>
      </w:r>
      <w:r w:rsidRPr="00CF7824">
        <w:rPr>
          <w:rFonts w:cs="Calibri"/>
          <w:lang w:val="fr-FR"/>
        </w:rPr>
        <w:br/>
      </w:r>
    </w:p>
    <w:p w:rsidR="00900B3B" w:rsidRPr="00CF7824" w:rsidRDefault="00164734" w:rsidP="00E45E83">
      <w:pPr>
        <w:rPr>
          <w:rFonts w:asciiTheme="minorHAnsi" w:hAnsiTheme="minorHAnsi" w:cstheme="minorHAnsi"/>
          <w:lang w:val="fr-FR"/>
        </w:rPr>
      </w:pPr>
      <w:r w:rsidRPr="00CF7824">
        <w:rPr>
          <w:rFonts w:cs="Calibri"/>
          <w:bCs/>
          <w:lang w:val="fr-FR"/>
        </w:rPr>
        <w:t>51.</w:t>
      </w:r>
      <w:r w:rsidRPr="00CF7824">
        <w:rPr>
          <w:rFonts w:cs="Calibri"/>
          <w:bCs/>
          <w:lang w:val="fr-FR"/>
        </w:rPr>
        <w:tab/>
        <w:t>Les décisions relatives à l</w:t>
      </w:r>
      <w:r w:rsidR="00016E39" w:rsidRPr="00CF7824">
        <w:rPr>
          <w:rFonts w:cs="Calibri"/>
          <w:bCs/>
          <w:lang w:val="fr-FR"/>
        </w:rPr>
        <w:t>’</w:t>
      </w:r>
      <w:r w:rsidRPr="00CF7824">
        <w:rPr>
          <w:rFonts w:cs="Calibri"/>
          <w:bCs/>
          <w:lang w:val="fr-FR"/>
        </w:rPr>
        <w:t>inclusion de toutes les familles d</w:t>
      </w:r>
      <w:r w:rsidR="00016E39" w:rsidRPr="00CF7824">
        <w:rPr>
          <w:rFonts w:cs="Calibri"/>
          <w:bCs/>
          <w:lang w:val="fr-FR"/>
        </w:rPr>
        <w:t>’</w:t>
      </w:r>
      <w:r w:rsidRPr="00CF7824">
        <w:rPr>
          <w:rFonts w:cs="Calibri"/>
          <w:bCs/>
          <w:lang w:val="fr-FR"/>
        </w:rPr>
        <w:t>oiseaux marins devront être envisagées dans une phase ultérieure, une fois que le processus et les ressources nécessaires à l</w:t>
      </w:r>
      <w:r w:rsidR="00016E39" w:rsidRPr="00CF7824">
        <w:rPr>
          <w:rFonts w:cs="Calibri"/>
          <w:bCs/>
          <w:lang w:val="fr-FR"/>
        </w:rPr>
        <w:t>’</w:t>
      </w:r>
      <w:r w:rsidRPr="00CF7824">
        <w:rPr>
          <w:rFonts w:cs="Calibri"/>
          <w:bCs/>
          <w:lang w:val="fr-FR"/>
        </w:rPr>
        <w:t>examen et à la mise à jour des groupes taxonomiques déjà pris en compte auront été mis en place et fonctionneront de manière efficace et efficiente.</w:t>
      </w:r>
      <w:r w:rsidRPr="00CF7824">
        <w:rPr>
          <w:rFonts w:cs="Calibri"/>
          <w:bCs/>
          <w:lang w:val="fr-FR"/>
        </w:rPr>
        <w:br/>
      </w:r>
    </w:p>
    <w:p w:rsidR="00B508CB" w:rsidRPr="00CF7824" w:rsidRDefault="00164734" w:rsidP="00E45E83">
      <w:pPr>
        <w:rPr>
          <w:rFonts w:asciiTheme="minorHAnsi" w:hAnsiTheme="minorHAnsi" w:cstheme="minorHAnsi"/>
          <w:lang w:val="fr-FR"/>
        </w:rPr>
      </w:pPr>
      <w:r w:rsidRPr="00CF7824">
        <w:rPr>
          <w:rFonts w:cs="Calibri"/>
          <w:bCs/>
          <w:lang w:val="fr-FR"/>
        </w:rPr>
        <w:t>52.</w:t>
      </w:r>
      <w:r w:rsidRPr="00CF7824">
        <w:rPr>
          <w:rFonts w:cs="Calibri"/>
          <w:bCs/>
          <w:lang w:val="fr-FR"/>
        </w:rPr>
        <w:tab/>
        <w:t>L</w:t>
      </w:r>
      <w:r w:rsidR="00016E39" w:rsidRPr="00CF7824">
        <w:rPr>
          <w:rFonts w:cs="Calibri"/>
          <w:bCs/>
          <w:lang w:val="fr-FR"/>
        </w:rPr>
        <w:t>’</w:t>
      </w:r>
      <w:r w:rsidRPr="00CF7824">
        <w:rPr>
          <w:rFonts w:cs="Calibri"/>
          <w:bCs/>
          <w:lang w:val="fr-FR"/>
        </w:rPr>
        <w:t>inclusion de familles supplémentaires nécessiterait l</w:t>
      </w:r>
      <w:r w:rsidR="00016E39" w:rsidRPr="00CF7824">
        <w:rPr>
          <w:rFonts w:cs="Calibri"/>
          <w:bCs/>
          <w:lang w:val="fr-FR"/>
        </w:rPr>
        <w:t>’</w:t>
      </w:r>
      <w:r w:rsidRPr="00CF7824">
        <w:rPr>
          <w:rFonts w:cs="Calibri"/>
          <w:bCs/>
          <w:lang w:val="fr-FR"/>
        </w:rPr>
        <w:t>identification de groupes pour lesquels il existe des informations</w:t>
      </w:r>
      <w:r w:rsidR="001F19B5" w:rsidRPr="00CF7824">
        <w:rPr>
          <w:rFonts w:cs="Calibri"/>
          <w:bCs/>
          <w:lang w:val="fr-FR"/>
        </w:rPr>
        <w:t xml:space="preserve"> </w:t>
      </w:r>
      <w:r w:rsidRPr="00CF7824">
        <w:rPr>
          <w:rFonts w:cs="Calibri"/>
          <w:bCs/>
          <w:lang w:val="fr-FR"/>
        </w:rPr>
        <w:t xml:space="preserve">ainsi que les capacités nécessaires pour procéder à des </w:t>
      </w:r>
      <w:r w:rsidR="00FB6E0D" w:rsidRPr="00CF7824">
        <w:rPr>
          <w:rFonts w:cs="Calibri"/>
          <w:bCs/>
          <w:lang w:val="fr-FR"/>
        </w:rPr>
        <w:t>révisions</w:t>
      </w:r>
      <w:r w:rsidRPr="00CF7824">
        <w:rPr>
          <w:rFonts w:cs="Calibri"/>
          <w:bCs/>
          <w:lang w:val="fr-FR"/>
        </w:rPr>
        <w:t xml:space="preserve"> périodiques. Les organismes concernés peuvent être World Seabird Union, l</w:t>
      </w:r>
      <w:r w:rsidR="00016E39" w:rsidRPr="00CF7824">
        <w:rPr>
          <w:rFonts w:cs="Calibri"/>
          <w:bCs/>
          <w:lang w:val="fr-FR"/>
        </w:rPr>
        <w:t>’</w:t>
      </w:r>
      <w:r w:rsidRPr="00CF7824">
        <w:rPr>
          <w:rFonts w:cs="Calibri"/>
          <w:bCs/>
          <w:lang w:val="fr-FR"/>
        </w:rPr>
        <w:t>Accord sur la conservation des albatros et des pétrels (ACAP), les conventions sur les mers régionales (</w:t>
      </w:r>
      <w:r w:rsidR="00FB6E0D" w:rsidRPr="00CF7824">
        <w:rPr>
          <w:rFonts w:cs="Calibri"/>
          <w:bCs/>
          <w:lang w:val="fr-FR"/>
        </w:rPr>
        <w:t xml:space="preserve">la </w:t>
      </w:r>
      <w:r w:rsidRPr="00CF7824">
        <w:rPr>
          <w:rFonts w:cs="Calibri"/>
          <w:bCs/>
          <w:lang w:val="fr-FR"/>
        </w:rPr>
        <w:t>Convention pour la protection du milieu marin de l</w:t>
      </w:r>
      <w:r w:rsidR="00016E39" w:rsidRPr="00CF7824">
        <w:rPr>
          <w:rFonts w:cs="Calibri"/>
          <w:bCs/>
          <w:lang w:val="fr-FR"/>
        </w:rPr>
        <w:t>’</w:t>
      </w:r>
      <w:r w:rsidRPr="00CF7824">
        <w:rPr>
          <w:rFonts w:cs="Calibri"/>
          <w:bCs/>
          <w:lang w:val="fr-FR"/>
        </w:rPr>
        <w:t>Atlantique du Nord-Est (OSPAR), la Commission pour la protection de l</w:t>
      </w:r>
      <w:r w:rsidR="00016E39" w:rsidRPr="00CF7824">
        <w:rPr>
          <w:rFonts w:cs="Calibri"/>
          <w:bCs/>
          <w:lang w:val="fr-FR"/>
        </w:rPr>
        <w:t>’</w:t>
      </w:r>
      <w:r w:rsidRPr="00CF7824">
        <w:rPr>
          <w:rFonts w:cs="Calibri"/>
          <w:bCs/>
          <w:lang w:val="fr-FR"/>
        </w:rPr>
        <w:t>environnement marin dans la région de la mer Baltique [HELCOM], etc.), le programme marin de BirdLife International, les groupes régionaux sur les oiseaux marins (Atlantique, Pacifique, etc.) et d</w:t>
      </w:r>
      <w:r w:rsidR="00016E39" w:rsidRPr="00CF7824">
        <w:rPr>
          <w:rFonts w:cs="Calibri"/>
          <w:bCs/>
          <w:lang w:val="fr-FR"/>
        </w:rPr>
        <w:t>’</w:t>
      </w:r>
      <w:r w:rsidRPr="00CF7824">
        <w:rPr>
          <w:rFonts w:cs="Calibri"/>
          <w:bCs/>
          <w:lang w:val="fr-FR"/>
        </w:rPr>
        <w:t xml:space="preserve">autres entités (voir </w:t>
      </w:r>
      <w:hyperlink r:id="rId29" w:history="1">
        <w:r w:rsidRPr="00CF7824">
          <w:rPr>
            <w:rFonts w:cs="Calibri"/>
            <w:bCs/>
            <w:color w:val="0000FF"/>
            <w:u w:val="single"/>
            <w:lang w:val="fr-FR"/>
          </w:rPr>
          <w:t>https://www.seabirds.net/member_organisations/</w:t>
        </w:r>
      </w:hyperlink>
      <w:r w:rsidRPr="00CF7824">
        <w:rPr>
          <w:rFonts w:cs="Calibri"/>
          <w:bCs/>
          <w:lang w:val="fr-FR"/>
        </w:rPr>
        <w:t>).</w:t>
      </w:r>
    </w:p>
    <w:p w:rsidR="0048039A" w:rsidRPr="00CF7824" w:rsidRDefault="0048039A" w:rsidP="00E45E83">
      <w:pPr>
        <w:rPr>
          <w:rFonts w:asciiTheme="minorHAnsi" w:hAnsiTheme="minorHAnsi" w:cstheme="minorHAnsi"/>
          <w:lang w:val="fr-FR"/>
        </w:rPr>
      </w:pPr>
    </w:p>
    <w:p w:rsidR="00A16E50" w:rsidRPr="00CF7824" w:rsidRDefault="00164734" w:rsidP="00A16E50">
      <w:pPr>
        <w:rPr>
          <w:rFonts w:asciiTheme="minorHAnsi" w:hAnsiTheme="minorHAnsi" w:cstheme="minorHAnsi"/>
          <w:i/>
          <w:iCs/>
          <w:lang w:val="fr-FR"/>
        </w:rPr>
      </w:pPr>
      <w:r w:rsidRPr="00CF7824">
        <w:rPr>
          <w:rFonts w:asciiTheme="minorHAnsi" w:hAnsiTheme="minorHAnsi" w:cstheme="minorHAnsi"/>
          <w:noProof/>
          <w:lang w:val="fr-FR" w:eastAsia="fr-FR"/>
        </w:rPr>
        <mc:AlternateContent>
          <mc:Choice Requires="wps">
            <w:drawing>
              <wp:anchor distT="45720" distB="45720" distL="114300" distR="114300" simplePos="0" relativeHeight="251665408" behindDoc="0" locked="0" layoutInCell="1" allowOverlap="1" wp14:anchorId="26CE7465" wp14:editId="5953FB11">
                <wp:simplePos x="0" y="0"/>
                <wp:positionH relativeFrom="margin">
                  <wp:align>left</wp:align>
                </wp:positionH>
                <wp:positionV relativeFrom="paragraph">
                  <wp:posOffset>224155</wp:posOffset>
                </wp:positionV>
                <wp:extent cx="5772150" cy="1832483"/>
                <wp:effectExtent l="0" t="0" r="19050" b="17780"/>
                <wp:wrapSquare wrapText="bothSides"/>
                <wp:docPr id="47845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832483"/>
                        </a:xfrm>
                        <a:prstGeom prst="rect">
                          <a:avLst/>
                        </a:prstGeom>
                        <a:solidFill>
                          <a:srgbClr val="FFFFFF"/>
                        </a:solidFill>
                        <a:ln w="9525">
                          <a:solidFill>
                            <a:srgbClr val="000000"/>
                          </a:solidFill>
                          <a:miter lim="800000"/>
                          <a:headEnd/>
                          <a:tailEnd/>
                        </a:ln>
                      </wps:spPr>
                      <wps:txbx>
                        <w:txbxContent>
                          <w:p w:rsidR="00DA168E" w:rsidRPr="0039006D" w:rsidRDefault="00DA168E" w:rsidP="00F145FC">
                            <w:pPr>
                              <w:ind w:left="0" w:firstLine="0"/>
                              <w:rPr>
                                <w:rFonts w:asciiTheme="minorHAnsi" w:hAnsiTheme="minorHAnsi" w:cstheme="minorHAnsi"/>
                                <w:lang w:val="fr-FR"/>
                              </w:rPr>
                            </w:pPr>
                            <w:r>
                              <w:rPr>
                                <w:rFonts w:cs="Calibri"/>
                                <w:color w:val="000000"/>
                                <w:lang w:val="fr-FR"/>
                              </w:rPr>
                              <w:t>Toute décision d’inclusion de familles d’oiseaux marins devra être envisagée dans une phase ultérieure, lorsque le processus et les ressources pour l’examen et la mise à jour des informations sur les populations et les seuils de 1% pour les groupes taxonomiques d’oiseaux d’eau actuellement couverts par le processus WPE auront été garantis et fonctionneront de manière efficace et efficiente.</w:t>
                            </w:r>
                            <w:r>
                              <w:rPr>
                                <w:rFonts w:cs="Calibri"/>
                                <w:lang w:val="fr-FR"/>
                              </w:rPr>
                              <w:t xml:space="preserve"> Il est proposé de poursuivre entre-temps l’option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E7465" id="_x0000_s1030" type="#_x0000_t202" style="position:absolute;left:0;text-align:left;margin-left:0;margin-top:17.65pt;width:454.5pt;height:144.3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">
                <v:textbox style="mso-fit-shape-to-text:t">
                  <w:txbxContent>
                    <w:p w:rsidR="00DA168E" w:rsidRPr="0039006D" w:rsidRDefault="00DA168E" w:rsidP="00F145FC">
                      <w:pPr>
                        <w:ind w:left="0" w:firstLine="0"/>
                        <w:rPr>
                          <w:rFonts w:asciiTheme="minorHAnsi" w:hAnsiTheme="minorHAnsi" w:cstheme="minorHAnsi"/>
                          <w:lang w:val="fr-FR"/>
                        </w:rPr>
                      </w:pPr>
                      <w:r>
                        <w:rPr>
                          <w:rFonts w:cs="Calibri"/>
                          <w:color w:val="000000"/>
                          <w:lang w:val="fr-FR"/>
                        </w:rPr>
                        <w:t>Toute décision d’inclusion de familles d’oiseaux marins devra être envisagée dans une phase ultérieure, lorsque le processus et les ressources pour l’examen et la mise à jour des informations sur les populations et les seuils de 1% pour les groupes taxonomiques d’oiseaux d’eau actuellement couverts par le processus WPE auront été garantis et fonctionneront de manière efficace et efficiente.</w:t>
                      </w:r>
                      <w:r>
                        <w:rPr>
                          <w:rFonts w:cs="Calibri"/>
                          <w:lang w:val="fr-FR"/>
                        </w:rPr>
                        <w:t xml:space="preserve"> Il est proposé de poursuivre entre-temps l’option 1.</w:t>
                      </w:r>
                    </w:p>
                  </w:txbxContent>
                </v:textbox>
                <w10:wrap type="square" anchorx="margin"/>
              </v:shape>
            </w:pict>
          </mc:Fallback>
        </mc:AlternateContent>
      </w:r>
      <w:r w:rsidRPr="00CF7824">
        <w:rPr>
          <w:rFonts w:cs="Calibri"/>
          <w:i/>
          <w:iCs/>
          <w:lang w:val="fr-FR"/>
        </w:rPr>
        <w:t xml:space="preserve">Encadré 4 : </w:t>
      </w:r>
      <w:r w:rsidR="00F149CA" w:rsidRPr="00CF7824">
        <w:rPr>
          <w:rFonts w:cs="Calibri"/>
          <w:i/>
          <w:iCs/>
          <w:lang w:val="fr-FR"/>
        </w:rPr>
        <w:t>Recommandation</w:t>
      </w:r>
      <w:r w:rsidR="001F19B5" w:rsidRPr="00CF7824">
        <w:rPr>
          <w:rFonts w:cs="Calibri"/>
          <w:i/>
          <w:iCs/>
          <w:lang w:val="fr-FR"/>
        </w:rPr>
        <w:t> </w:t>
      </w:r>
      <w:r w:rsidRPr="00CF7824">
        <w:rPr>
          <w:rFonts w:cs="Calibri"/>
          <w:i/>
          <w:iCs/>
          <w:lang w:val="fr-FR"/>
        </w:rPr>
        <w:t>3 du GEST : Couverture taxonomique des futures mises à jour des WPE</w:t>
      </w:r>
    </w:p>
    <w:p w:rsidR="0010450B" w:rsidRPr="00CF7824" w:rsidRDefault="0010450B">
      <w:pPr>
        <w:rPr>
          <w:rFonts w:asciiTheme="minorHAnsi" w:hAnsiTheme="minorHAnsi" w:cstheme="minorHAnsi"/>
          <w:lang w:val="fr-FR"/>
        </w:rPr>
      </w:pPr>
    </w:p>
    <w:p w:rsidR="00D63784" w:rsidRPr="00CF7824" w:rsidRDefault="00D63784" w:rsidP="00C32F0C">
      <w:pPr>
        <w:keepNext/>
        <w:ind w:left="0" w:firstLine="0"/>
        <w:rPr>
          <w:rFonts w:asciiTheme="minorHAnsi" w:hAnsiTheme="minorHAnsi" w:cstheme="minorHAnsi"/>
          <w:u w:val="single"/>
          <w:lang w:val="fr-FR"/>
        </w:rPr>
      </w:pPr>
      <w:bookmarkStart w:id="10" w:name="_Toc159848052"/>
    </w:p>
    <w:p w:rsidR="002919A7" w:rsidRPr="00CF7824" w:rsidRDefault="00164734" w:rsidP="00C32F0C">
      <w:pPr>
        <w:keepNext/>
        <w:ind w:left="0" w:firstLine="0"/>
        <w:rPr>
          <w:rFonts w:asciiTheme="minorHAnsi" w:hAnsiTheme="minorHAnsi" w:cstheme="minorHAnsi"/>
          <w:u w:val="single"/>
          <w:lang w:val="fr-FR"/>
        </w:rPr>
      </w:pPr>
      <w:r w:rsidRPr="00CF7824">
        <w:rPr>
          <w:rFonts w:cs="Calibri"/>
          <w:u w:val="single"/>
          <w:lang w:val="fr-FR"/>
        </w:rPr>
        <w:t>Option pour l</w:t>
      </w:r>
      <w:r w:rsidR="00016E39" w:rsidRPr="00CF7824">
        <w:rPr>
          <w:rFonts w:cs="Calibri"/>
          <w:u w:val="single"/>
          <w:lang w:val="fr-FR"/>
        </w:rPr>
        <w:t>’</w:t>
      </w:r>
      <w:r w:rsidRPr="00CF7824">
        <w:rPr>
          <w:rFonts w:cs="Calibri"/>
          <w:u w:val="single"/>
          <w:lang w:val="fr-FR"/>
        </w:rPr>
        <w:t>établissement d</w:t>
      </w:r>
      <w:r w:rsidR="00016E39" w:rsidRPr="00CF7824">
        <w:rPr>
          <w:rFonts w:cs="Calibri"/>
          <w:u w:val="single"/>
          <w:lang w:val="fr-FR"/>
        </w:rPr>
        <w:t>’</w:t>
      </w:r>
      <w:r w:rsidRPr="00CF7824">
        <w:rPr>
          <w:rFonts w:cs="Calibri"/>
          <w:u w:val="single"/>
          <w:lang w:val="fr-FR"/>
        </w:rPr>
        <w:t>un Partenariat pour l</w:t>
      </w:r>
      <w:r w:rsidR="00016E39" w:rsidRPr="00CF7824">
        <w:rPr>
          <w:rFonts w:cs="Calibri"/>
          <w:u w:val="single"/>
          <w:lang w:val="fr-FR"/>
        </w:rPr>
        <w:t>’</w:t>
      </w:r>
      <w:r w:rsidRPr="00CF7824">
        <w:rPr>
          <w:rFonts w:cs="Calibri"/>
          <w:u w:val="single"/>
          <w:lang w:val="fr-FR"/>
        </w:rPr>
        <w:t>estimation des oiseaux d</w:t>
      </w:r>
      <w:r w:rsidR="00016E39" w:rsidRPr="00CF7824">
        <w:rPr>
          <w:rFonts w:cs="Calibri"/>
          <w:u w:val="single"/>
          <w:lang w:val="fr-FR"/>
        </w:rPr>
        <w:t>’</w:t>
      </w:r>
      <w:r w:rsidRPr="00CF7824">
        <w:rPr>
          <w:rFonts w:cs="Calibri"/>
          <w:u w:val="single"/>
          <w:lang w:val="fr-FR"/>
        </w:rPr>
        <w:t xml:space="preserve">eau (WEP – </w:t>
      </w:r>
      <w:r w:rsidRPr="00CF7824">
        <w:rPr>
          <w:rFonts w:cs="Calibri"/>
          <w:i/>
          <w:iCs/>
          <w:u w:val="single"/>
          <w:lang w:val="fr-FR"/>
        </w:rPr>
        <w:t>Waterbird Estimates Partnership</w:t>
      </w:r>
      <w:r w:rsidRPr="00CF7824">
        <w:rPr>
          <w:rFonts w:cs="Calibri"/>
          <w:lang w:val="fr-FR"/>
        </w:rPr>
        <w:t>)</w:t>
      </w:r>
      <w:bookmarkEnd w:id="10"/>
      <w:r w:rsidRPr="00CF7824">
        <w:rPr>
          <w:rFonts w:cs="Calibri"/>
          <w:lang w:val="fr-FR"/>
        </w:rPr>
        <w:t xml:space="preserve"> </w:t>
      </w:r>
    </w:p>
    <w:p w:rsidR="009A46F2" w:rsidRPr="00CF7824" w:rsidRDefault="009A46F2">
      <w:pPr>
        <w:rPr>
          <w:rFonts w:asciiTheme="minorHAnsi" w:hAnsiTheme="minorHAnsi" w:cstheme="minorHAnsi"/>
          <w:lang w:val="fr-FR"/>
        </w:rPr>
      </w:pPr>
    </w:p>
    <w:p w:rsidR="00024FCA" w:rsidRPr="00CF7824" w:rsidRDefault="00164734" w:rsidP="00C32F0C">
      <w:pPr>
        <w:rPr>
          <w:rFonts w:asciiTheme="minorHAnsi" w:hAnsiTheme="minorHAnsi" w:cstheme="minorHAnsi"/>
          <w:lang w:val="fr-FR"/>
        </w:rPr>
      </w:pPr>
      <w:r w:rsidRPr="00CF7824">
        <w:rPr>
          <w:rFonts w:cs="Calibri"/>
          <w:bCs/>
          <w:lang w:val="fr-FR"/>
        </w:rPr>
        <w:t>53.</w:t>
      </w:r>
      <w:r w:rsidRPr="00CF7824">
        <w:rPr>
          <w:rFonts w:cs="Calibri"/>
          <w:bCs/>
          <w:lang w:val="fr-FR"/>
        </w:rPr>
        <w:tab/>
        <w:t>Cette option présente une proposition visant à faire évoluer le processus WPE à long terme vers une approche plus coordonnée et plus stable, qui fourni</w:t>
      </w:r>
      <w:r w:rsidR="00D07190" w:rsidRPr="00CF7824">
        <w:rPr>
          <w:rFonts w:cs="Calibri"/>
          <w:bCs/>
          <w:lang w:val="fr-FR"/>
        </w:rPr>
        <w:t>rai</w:t>
      </w:r>
      <w:r w:rsidRPr="00CF7824">
        <w:rPr>
          <w:rFonts w:cs="Calibri"/>
          <w:bCs/>
          <w:lang w:val="fr-FR"/>
        </w:rPr>
        <w:t>t les informations nécessaires à d</w:t>
      </w:r>
      <w:r w:rsidR="00016E39" w:rsidRPr="00CF7824">
        <w:rPr>
          <w:rFonts w:cs="Calibri"/>
          <w:bCs/>
          <w:lang w:val="fr-FR"/>
        </w:rPr>
        <w:t>’</w:t>
      </w:r>
      <w:r w:rsidRPr="00CF7824">
        <w:rPr>
          <w:rFonts w:cs="Calibri"/>
          <w:bCs/>
          <w:lang w:val="fr-FR"/>
        </w:rPr>
        <w:t>autres processus mondiaux et internationaux connexes nécessitant des informations actuelles et précises sur les populations d</w:t>
      </w:r>
      <w:r w:rsidR="00016E39" w:rsidRPr="00CF7824">
        <w:rPr>
          <w:rFonts w:cs="Calibri"/>
          <w:bCs/>
          <w:lang w:val="fr-FR"/>
        </w:rPr>
        <w:t>’</w:t>
      </w:r>
      <w:r w:rsidRPr="00CF7824">
        <w:rPr>
          <w:rFonts w:cs="Calibri"/>
          <w:bCs/>
          <w:lang w:val="fr-FR"/>
        </w:rPr>
        <w:t>oiseaux d</w:t>
      </w:r>
      <w:r w:rsidR="00016E39" w:rsidRPr="00CF7824">
        <w:rPr>
          <w:rFonts w:cs="Calibri"/>
          <w:bCs/>
          <w:lang w:val="fr-FR"/>
        </w:rPr>
        <w:t>’</w:t>
      </w:r>
      <w:r w:rsidRPr="00CF7824">
        <w:rPr>
          <w:rFonts w:cs="Calibri"/>
          <w:bCs/>
          <w:lang w:val="fr-FR"/>
        </w:rPr>
        <w:t>eau, cohérentes sur plusieurs cycles WPE.</w:t>
      </w:r>
      <w:r w:rsidRPr="00CF7824">
        <w:rPr>
          <w:rFonts w:cs="Calibri"/>
          <w:bCs/>
          <w:lang w:val="fr-FR"/>
        </w:rPr>
        <w:br/>
      </w:r>
    </w:p>
    <w:p w:rsidR="003D0A61" w:rsidRPr="00CF7824" w:rsidRDefault="00164734" w:rsidP="00C32F0C">
      <w:pPr>
        <w:rPr>
          <w:rFonts w:asciiTheme="minorHAnsi" w:hAnsiTheme="minorHAnsi" w:cstheme="minorHAnsi"/>
          <w:lang w:val="fr-FR"/>
        </w:rPr>
      </w:pPr>
      <w:r w:rsidRPr="00CF7824">
        <w:rPr>
          <w:rFonts w:cs="Calibri"/>
          <w:bCs/>
          <w:lang w:val="fr-FR"/>
        </w:rPr>
        <w:t>54.</w:t>
      </w:r>
      <w:r w:rsidRPr="00CF7824">
        <w:rPr>
          <w:rFonts w:cs="Calibri"/>
          <w:bCs/>
          <w:lang w:val="fr-FR"/>
        </w:rPr>
        <w:tab/>
        <w:t>La solution proposée découle des discussions avec les acteurs concernés au cours des cinq dernières années et des rapports du Président du GEST à la 58</w:t>
      </w:r>
      <w:r w:rsidRPr="00CF7824">
        <w:rPr>
          <w:rFonts w:cs="Calibri"/>
          <w:bCs/>
          <w:vertAlign w:val="superscript"/>
          <w:lang w:val="fr-FR"/>
        </w:rPr>
        <w:t>e </w:t>
      </w:r>
      <w:r w:rsidRPr="00CF7824">
        <w:rPr>
          <w:rFonts w:cs="Calibri"/>
          <w:bCs/>
          <w:lang w:val="fr-FR"/>
        </w:rPr>
        <w:t xml:space="preserve">Réunion (voir </w:t>
      </w:r>
      <w:r w:rsidR="00AA52E6" w:rsidRPr="00CF7824">
        <w:rPr>
          <w:rFonts w:cs="Calibri"/>
          <w:bCs/>
          <w:lang w:val="fr-FR"/>
        </w:rPr>
        <w:t xml:space="preserve">le </w:t>
      </w:r>
      <w:r w:rsidRPr="00CF7824">
        <w:rPr>
          <w:rFonts w:cs="Calibri"/>
          <w:bCs/>
          <w:lang w:val="fr-FR"/>
        </w:rPr>
        <w:t>document</w:t>
      </w:r>
      <w:r w:rsidR="00376BA1" w:rsidRPr="00CF7824">
        <w:rPr>
          <w:rFonts w:cs="Calibri"/>
          <w:bCs/>
          <w:lang w:val="fr-FR"/>
        </w:rPr>
        <w:t> </w:t>
      </w:r>
      <w:r w:rsidRPr="00CF7824">
        <w:rPr>
          <w:rFonts w:cs="Calibri"/>
          <w:bCs/>
          <w:lang w:val="fr-FR"/>
        </w:rPr>
        <w:t>SC58 Doc.19</w:t>
      </w:r>
      <w:r w:rsidRPr="00CF7824">
        <w:rPr>
          <w:rStyle w:val="FootnoteReference"/>
          <w:rFonts w:asciiTheme="minorHAnsi" w:hAnsiTheme="minorHAnsi" w:cstheme="minorHAnsi"/>
        </w:rPr>
        <w:footnoteReference w:id="21"/>
      </w:r>
      <w:r w:rsidRPr="00CF7824">
        <w:rPr>
          <w:rFonts w:cs="Calibri"/>
          <w:bCs/>
          <w:lang w:val="fr-FR"/>
        </w:rPr>
        <w:t>) et la 59</w:t>
      </w:r>
      <w:r w:rsidRPr="00CF7824">
        <w:rPr>
          <w:rFonts w:cs="Calibri"/>
          <w:bCs/>
          <w:vertAlign w:val="superscript"/>
          <w:lang w:val="fr-FR"/>
        </w:rPr>
        <w:t>e </w:t>
      </w:r>
      <w:r w:rsidRPr="00CF7824">
        <w:rPr>
          <w:rFonts w:cs="Calibri"/>
          <w:bCs/>
          <w:lang w:val="fr-FR"/>
        </w:rPr>
        <w:t xml:space="preserve">Réunion (voir </w:t>
      </w:r>
      <w:r w:rsidR="00AA52E6" w:rsidRPr="00CF7824">
        <w:rPr>
          <w:rFonts w:cs="Calibri"/>
          <w:bCs/>
          <w:lang w:val="fr-FR"/>
        </w:rPr>
        <w:t xml:space="preserve">le </w:t>
      </w:r>
      <w:r w:rsidRPr="00CF7824">
        <w:rPr>
          <w:rFonts w:cs="Calibri"/>
          <w:bCs/>
          <w:lang w:val="fr-FR"/>
        </w:rPr>
        <w:t>document</w:t>
      </w:r>
      <w:r w:rsidR="00376BA1" w:rsidRPr="00CF7824">
        <w:rPr>
          <w:rFonts w:cs="Calibri"/>
          <w:bCs/>
          <w:lang w:val="fr-FR"/>
        </w:rPr>
        <w:t> </w:t>
      </w:r>
      <w:r w:rsidRPr="00CF7824">
        <w:rPr>
          <w:rFonts w:cs="Calibri"/>
          <w:bCs/>
          <w:lang w:val="fr-FR"/>
        </w:rPr>
        <w:t>SC59 Doc.25</w:t>
      </w:r>
      <w:r w:rsidRPr="00CF7824">
        <w:rPr>
          <w:rStyle w:val="FootnoteReference"/>
          <w:rFonts w:asciiTheme="minorHAnsi" w:hAnsiTheme="minorHAnsi" w:cstheme="minorHAnsi"/>
        </w:rPr>
        <w:footnoteReference w:id="22"/>
      </w:r>
      <w:r w:rsidRPr="00CF7824">
        <w:rPr>
          <w:rFonts w:cs="Calibri"/>
          <w:bCs/>
          <w:lang w:val="fr-FR"/>
        </w:rPr>
        <w:t>) du Comité permanent.</w:t>
      </w:r>
      <w:r w:rsidRPr="00CF7824">
        <w:rPr>
          <w:rFonts w:cs="Calibri"/>
          <w:bCs/>
          <w:lang w:val="fr-FR"/>
        </w:rPr>
        <w:br/>
      </w:r>
    </w:p>
    <w:p w:rsidR="00DB4C60" w:rsidRPr="00CF7824" w:rsidRDefault="00164734" w:rsidP="00C32F0C">
      <w:pPr>
        <w:rPr>
          <w:rFonts w:asciiTheme="minorHAnsi" w:hAnsiTheme="minorHAnsi" w:cstheme="minorHAnsi"/>
          <w:lang w:val="fr-FR"/>
        </w:rPr>
      </w:pPr>
      <w:r w:rsidRPr="00CF7824">
        <w:rPr>
          <w:rFonts w:cs="Calibri"/>
          <w:bCs/>
          <w:lang w:val="fr-FR"/>
        </w:rPr>
        <w:t>55.</w:t>
      </w:r>
      <w:r w:rsidRPr="00CF7824">
        <w:rPr>
          <w:rFonts w:cs="Calibri"/>
          <w:bCs/>
          <w:lang w:val="fr-FR"/>
        </w:rPr>
        <w:tab/>
        <w:t>L</w:t>
      </w:r>
      <w:r w:rsidR="00016E39" w:rsidRPr="00CF7824">
        <w:rPr>
          <w:rFonts w:cs="Calibri"/>
          <w:bCs/>
          <w:lang w:val="fr-FR"/>
        </w:rPr>
        <w:t>’</w:t>
      </w:r>
      <w:r w:rsidRPr="00CF7824">
        <w:rPr>
          <w:rFonts w:cs="Calibri"/>
          <w:bCs/>
          <w:lang w:val="fr-FR"/>
        </w:rPr>
        <w:t>approche de partenariat proposée pour les mises à jour continue</w:t>
      </w:r>
      <w:r w:rsidR="001F19B5" w:rsidRPr="00CF7824">
        <w:rPr>
          <w:rFonts w:cs="Calibri"/>
          <w:bCs/>
          <w:lang w:val="fr-FR"/>
        </w:rPr>
        <w:t>s</w:t>
      </w:r>
      <w:r w:rsidRPr="00CF7824">
        <w:rPr>
          <w:rFonts w:cs="Calibri"/>
          <w:bCs/>
          <w:lang w:val="fr-FR"/>
        </w:rPr>
        <w:t xml:space="preserve"> des WPE reconnaît que :</w:t>
      </w:r>
    </w:p>
    <w:p w:rsidR="00BA4EA1" w:rsidRPr="00CF7824" w:rsidRDefault="00BA4EA1" w:rsidP="00C32F0C">
      <w:pPr>
        <w:rPr>
          <w:rFonts w:asciiTheme="minorHAnsi" w:hAnsiTheme="minorHAnsi" w:cstheme="minorHAnsi"/>
          <w:lang w:val="fr-FR"/>
        </w:rPr>
      </w:pPr>
    </w:p>
    <w:p w:rsidR="00DB4C60"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Depuis plus de 30</w:t>
      </w:r>
      <w:r w:rsidR="00376BA1" w:rsidRPr="00CF7824">
        <w:rPr>
          <w:rFonts w:cs="Calibri"/>
          <w:lang w:val="fr-FR"/>
        </w:rPr>
        <w:t> </w:t>
      </w:r>
      <w:r w:rsidRPr="00CF7824">
        <w:rPr>
          <w:rFonts w:cs="Calibri"/>
          <w:lang w:val="fr-FR"/>
        </w:rPr>
        <w:t>ans, la Convention sur les zones humides a besoin d</w:t>
      </w:r>
      <w:r w:rsidR="00016E39" w:rsidRPr="00CF7824">
        <w:rPr>
          <w:rFonts w:cs="Calibri"/>
          <w:lang w:val="fr-FR"/>
        </w:rPr>
        <w:t>’</w:t>
      </w:r>
      <w:r w:rsidRPr="00CF7824">
        <w:rPr>
          <w:rFonts w:cs="Calibri"/>
          <w:lang w:val="fr-FR"/>
        </w:rPr>
        <w:t>informations fondamentales sur les populations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 mais le soutien structurel et les processus mondiaux pour la mise à jour des estimations des populations sont insuffisants.</w:t>
      </w:r>
      <w:r w:rsidRPr="00CF7824">
        <w:rPr>
          <w:rFonts w:cs="Calibri"/>
          <w:lang w:val="fr-FR"/>
        </w:rPr>
        <w:br/>
      </w:r>
    </w:p>
    <w:p w:rsidR="008557BC"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L</w:t>
      </w:r>
      <w:r w:rsidR="00016E39" w:rsidRPr="00CF7824">
        <w:rPr>
          <w:rFonts w:cs="Calibri"/>
          <w:lang w:val="fr-FR"/>
        </w:rPr>
        <w:t>’</w:t>
      </w:r>
      <w:r w:rsidRPr="00CF7824">
        <w:rPr>
          <w:rFonts w:cs="Calibri"/>
          <w:lang w:val="fr-FR"/>
        </w:rPr>
        <w:t>activité d</w:t>
      </w:r>
      <w:r w:rsidR="00016E39" w:rsidRPr="00CF7824">
        <w:rPr>
          <w:rFonts w:cs="Calibri"/>
          <w:lang w:val="fr-FR"/>
        </w:rPr>
        <w:t>’</w:t>
      </w:r>
      <w:r w:rsidRPr="00CF7824">
        <w:rPr>
          <w:rFonts w:cs="Calibri"/>
          <w:lang w:val="fr-FR"/>
        </w:rPr>
        <w:t>évaluation des populations à l</w:t>
      </w:r>
      <w:r w:rsidR="00016E39" w:rsidRPr="00CF7824">
        <w:rPr>
          <w:rFonts w:cs="Calibri"/>
          <w:lang w:val="fr-FR"/>
        </w:rPr>
        <w:t>’</w:t>
      </w:r>
      <w:r w:rsidRPr="00CF7824">
        <w:rPr>
          <w:rFonts w:cs="Calibri"/>
          <w:lang w:val="fr-FR"/>
        </w:rPr>
        <w:t>échelle des voies de migration est en augmentation, stimulée par les initiatives relatives aux voies de migration pour les populations migratrices, mais certains aspects de ces évaluations ne sont pas bien intégrés aux WPE ce qui entraîne des incertitudes pour les Parties contractantes (un risque déjà prévu en 1996 – voir le paragraphe</w:t>
      </w:r>
      <w:r w:rsidR="001F19B5" w:rsidRPr="00CF7824">
        <w:rPr>
          <w:rFonts w:cs="Calibri"/>
          <w:lang w:val="fr-FR"/>
        </w:rPr>
        <w:t> </w:t>
      </w:r>
      <w:r w:rsidRPr="00CF7824">
        <w:rPr>
          <w:rFonts w:cs="Calibri"/>
          <w:lang w:val="fr-FR"/>
        </w:rPr>
        <w:t xml:space="preserve">5 de la </w:t>
      </w:r>
      <w:hyperlink r:id="rId30" w:history="1">
        <w:r w:rsidRPr="00CF7824">
          <w:rPr>
            <w:rFonts w:cs="Calibri"/>
            <w:lang w:val="fr-FR"/>
          </w:rPr>
          <w:t>Résolution</w:t>
        </w:r>
        <w:r w:rsidR="001F19B5" w:rsidRPr="00CF7824">
          <w:rPr>
            <w:rFonts w:cs="Calibri"/>
            <w:lang w:val="fr-FR"/>
          </w:rPr>
          <w:t> </w:t>
        </w:r>
        <w:r w:rsidRPr="00CF7824">
          <w:rPr>
            <w:rFonts w:cs="Calibri"/>
            <w:lang w:val="fr-FR"/>
          </w:rPr>
          <w:t>VI.4</w:t>
        </w:r>
      </w:hyperlink>
      <w:r w:rsidRPr="00CF7824">
        <w:rPr>
          <w:rFonts w:cs="Calibri"/>
          <w:lang w:val="fr-FR"/>
        </w:rPr>
        <w:t xml:space="preserve"> </w:t>
      </w:r>
      <w:r w:rsidRPr="00CF7824">
        <w:rPr>
          <w:rFonts w:cs="Calibri"/>
          <w:i/>
          <w:iCs/>
          <w:lang w:val="fr-FR"/>
        </w:rPr>
        <w:t>(Adoption d</w:t>
      </w:r>
      <w:r w:rsidR="00016E39" w:rsidRPr="00CF7824">
        <w:rPr>
          <w:rFonts w:cs="Calibri"/>
          <w:i/>
          <w:iCs/>
          <w:lang w:val="fr-FR"/>
        </w:rPr>
        <w:t>’</w:t>
      </w:r>
      <w:r w:rsidRPr="00CF7824">
        <w:rPr>
          <w:rFonts w:cs="Calibri"/>
          <w:i/>
          <w:iCs/>
          <w:lang w:val="fr-FR"/>
        </w:rPr>
        <w:t>estimations des populations pour l</w:t>
      </w:r>
      <w:r w:rsidR="00016E39" w:rsidRPr="00CF7824">
        <w:rPr>
          <w:rFonts w:cs="Calibri"/>
          <w:i/>
          <w:iCs/>
          <w:lang w:val="fr-FR"/>
        </w:rPr>
        <w:t>’</w:t>
      </w:r>
      <w:r w:rsidRPr="00CF7824">
        <w:rPr>
          <w:rFonts w:cs="Calibri"/>
          <w:i/>
          <w:iCs/>
          <w:lang w:val="fr-FR"/>
        </w:rPr>
        <w:t>application des critères spécifiques tenant compte des oiseaux d</w:t>
      </w:r>
      <w:r w:rsidR="00016E39" w:rsidRPr="00CF7824">
        <w:rPr>
          <w:rFonts w:cs="Calibri"/>
          <w:i/>
          <w:iCs/>
          <w:lang w:val="fr-FR"/>
        </w:rPr>
        <w:t>’</w:t>
      </w:r>
      <w:r w:rsidRPr="00CF7824">
        <w:rPr>
          <w:rFonts w:cs="Calibri"/>
          <w:i/>
          <w:iCs/>
          <w:lang w:val="fr-FR"/>
        </w:rPr>
        <w:t>eau</w:t>
      </w:r>
      <w:r w:rsidRPr="00CF7824">
        <w:rPr>
          <w:rFonts w:cs="Calibri"/>
          <w:lang w:val="fr-FR"/>
        </w:rPr>
        <w:t>) de la Convention sur les zones humides.</w:t>
      </w:r>
      <w:r w:rsidRPr="00CF7824">
        <w:rPr>
          <w:rFonts w:cs="Calibri"/>
          <w:lang w:val="fr-FR"/>
        </w:rPr>
        <w:br/>
      </w:r>
    </w:p>
    <w:p w:rsidR="000E1A39"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Les WPE couvrent un grand nombre de populations résidentes/non migratrices, ainsi que des populations migratrices, mais il n</w:t>
      </w:r>
      <w:r w:rsidR="00016E39" w:rsidRPr="00CF7824">
        <w:rPr>
          <w:rFonts w:cs="Calibri"/>
          <w:lang w:val="fr-FR"/>
        </w:rPr>
        <w:t>’</w:t>
      </w:r>
      <w:r w:rsidRPr="00CF7824">
        <w:rPr>
          <w:rFonts w:cs="Calibri"/>
          <w:lang w:val="fr-FR"/>
        </w:rPr>
        <w:t>existe pas de mécanisme ou de ressources disponibles pour examiner et mettre à jour les informations sur les populations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 résidentes dans le monde entier. Par conséquent, nombre de leurs estimations de population datent de plus de 30</w:t>
      </w:r>
      <w:r w:rsidR="00376BA1" w:rsidRPr="00CF7824">
        <w:rPr>
          <w:rFonts w:cs="Calibri"/>
          <w:lang w:val="fr-FR"/>
        </w:rPr>
        <w:t> </w:t>
      </w:r>
      <w:r w:rsidRPr="00CF7824">
        <w:rPr>
          <w:rFonts w:cs="Calibri"/>
          <w:lang w:val="fr-FR"/>
        </w:rPr>
        <w:t>ans.</w:t>
      </w:r>
      <w:r w:rsidRPr="00CF7824">
        <w:rPr>
          <w:rFonts w:cs="Calibri"/>
          <w:lang w:val="fr-FR"/>
        </w:rPr>
        <w:br/>
      </w:r>
    </w:p>
    <w:p w:rsidR="00B836F3"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Le processus WPE bénéficie à une série de processus internationaux et régionaux (voir l</w:t>
      </w:r>
      <w:r w:rsidR="00016E39" w:rsidRPr="00CF7824">
        <w:rPr>
          <w:rFonts w:cs="Calibri"/>
          <w:lang w:val="fr-FR"/>
        </w:rPr>
        <w:t>’</w:t>
      </w:r>
      <w:r w:rsidRPr="00CF7824">
        <w:rPr>
          <w:rFonts w:cs="Calibri"/>
          <w:lang w:val="fr-FR"/>
        </w:rPr>
        <w:t>annexe</w:t>
      </w:r>
      <w:r w:rsidR="001F19B5" w:rsidRPr="00CF7824">
        <w:rPr>
          <w:rFonts w:cs="Calibri"/>
          <w:lang w:val="fr-FR"/>
        </w:rPr>
        <w:t> </w:t>
      </w:r>
      <w:r w:rsidRPr="00CF7824">
        <w:rPr>
          <w:rFonts w:cs="Calibri"/>
          <w:lang w:val="fr-FR"/>
        </w:rPr>
        <w:t xml:space="preserve">3) et il </w:t>
      </w:r>
      <w:r w:rsidR="00D07190" w:rsidRPr="00CF7824">
        <w:rPr>
          <w:rFonts w:cs="Calibri"/>
          <w:lang w:val="fr-FR"/>
        </w:rPr>
        <w:t>conviendrait</w:t>
      </w:r>
      <w:r w:rsidRPr="00CF7824">
        <w:rPr>
          <w:rFonts w:cs="Calibri"/>
          <w:lang w:val="fr-FR"/>
        </w:rPr>
        <w:t xml:space="preserve"> d</w:t>
      </w:r>
      <w:r w:rsidR="00016E39" w:rsidRPr="00CF7824">
        <w:rPr>
          <w:rFonts w:cs="Calibri"/>
          <w:lang w:val="fr-FR"/>
        </w:rPr>
        <w:t>’</w:t>
      </w:r>
      <w:r w:rsidRPr="00CF7824">
        <w:rPr>
          <w:rFonts w:cs="Calibri"/>
          <w:lang w:val="fr-FR"/>
        </w:rPr>
        <w:t>examiner si d</w:t>
      </w:r>
      <w:r w:rsidR="00016E39" w:rsidRPr="00CF7824">
        <w:rPr>
          <w:rFonts w:cs="Calibri"/>
          <w:lang w:val="fr-FR"/>
        </w:rPr>
        <w:t>’</w:t>
      </w:r>
      <w:r w:rsidRPr="00CF7824">
        <w:rPr>
          <w:rFonts w:cs="Calibri"/>
          <w:lang w:val="fr-FR"/>
        </w:rPr>
        <w:t>autres entités pourraient être disposées à s</w:t>
      </w:r>
      <w:r w:rsidR="00016E39" w:rsidRPr="00CF7824">
        <w:rPr>
          <w:rFonts w:cs="Calibri"/>
          <w:lang w:val="fr-FR"/>
        </w:rPr>
        <w:t>’</w:t>
      </w:r>
      <w:r w:rsidRPr="00CF7824">
        <w:rPr>
          <w:rFonts w:cs="Calibri"/>
          <w:lang w:val="fr-FR"/>
        </w:rPr>
        <w:t>associer à la Convention sur les zones humides pour renforcer la coordination et l</w:t>
      </w:r>
      <w:r w:rsidR="00016E39" w:rsidRPr="00CF7824">
        <w:rPr>
          <w:rFonts w:cs="Calibri"/>
          <w:lang w:val="fr-FR"/>
        </w:rPr>
        <w:t>’</w:t>
      </w:r>
      <w:r w:rsidRPr="00CF7824">
        <w:rPr>
          <w:rFonts w:cs="Calibri"/>
          <w:lang w:val="fr-FR"/>
        </w:rPr>
        <w:t>exécution du travail, et pour fournir conjointement des ressources pour ce travail.</w:t>
      </w:r>
      <w:r w:rsidRPr="00CF7824">
        <w:rPr>
          <w:rFonts w:cs="Calibri"/>
          <w:lang w:val="fr-FR"/>
        </w:rPr>
        <w:br/>
      </w:r>
    </w:p>
    <w:p w:rsidR="005577CC"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Le fait d</w:t>
      </w:r>
      <w:r w:rsidR="00016E39" w:rsidRPr="00CF7824">
        <w:rPr>
          <w:rFonts w:cs="Calibri"/>
          <w:lang w:val="fr-FR"/>
        </w:rPr>
        <w:t>’</w:t>
      </w:r>
      <w:r w:rsidRPr="00CF7824">
        <w:rPr>
          <w:rFonts w:cs="Calibri"/>
          <w:lang w:val="fr-FR"/>
        </w:rPr>
        <w:t>inviter des organisations clés à établir un Partenariat pour l</w:t>
      </w:r>
      <w:r w:rsidR="00016E39" w:rsidRPr="00CF7824">
        <w:rPr>
          <w:rFonts w:cs="Calibri"/>
          <w:lang w:val="fr-FR"/>
        </w:rPr>
        <w:t>’</w:t>
      </w:r>
      <w:r w:rsidRPr="00CF7824">
        <w:rPr>
          <w:rFonts w:cs="Calibri"/>
          <w:lang w:val="fr-FR"/>
        </w:rPr>
        <w:t>estimation des oiseaux d</w:t>
      </w:r>
      <w:r w:rsidR="00016E39" w:rsidRPr="00CF7824">
        <w:rPr>
          <w:rFonts w:cs="Calibri"/>
          <w:lang w:val="fr-FR"/>
        </w:rPr>
        <w:t>’</w:t>
      </w:r>
      <w:r w:rsidRPr="00CF7824">
        <w:rPr>
          <w:rFonts w:cs="Calibri"/>
          <w:lang w:val="fr-FR"/>
        </w:rPr>
        <w:t>eau constitue un mécanisme permettant de fournir une orientation stratégique et un soutien à une solution à long terme pour la mise à jour régulière et opportune des WPE, étant donné que les réponses à court terme peuvent devenir de plus en plus difficiles à financer.</w:t>
      </w:r>
      <w:r w:rsidRPr="00CF7824">
        <w:rPr>
          <w:rFonts w:cs="Calibri"/>
          <w:lang w:val="fr-FR"/>
        </w:rPr>
        <w:br/>
      </w:r>
    </w:p>
    <w:p w:rsidR="00503150"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Les travaux et les résultats d</w:t>
      </w:r>
      <w:r w:rsidR="00016E39" w:rsidRPr="00CF7824">
        <w:rPr>
          <w:rFonts w:cs="Calibri"/>
          <w:lang w:val="fr-FR"/>
        </w:rPr>
        <w:t>’</w:t>
      </w:r>
      <w:r w:rsidRPr="00CF7824">
        <w:rPr>
          <w:rFonts w:cs="Calibri"/>
          <w:lang w:val="fr-FR"/>
        </w:rPr>
        <w:t>un tel partenariat contribueraient directement à la réalisation des Objectifs</w:t>
      </w:r>
      <w:r w:rsidR="001F19B5" w:rsidRPr="00CF7824">
        <w:rPr>
          <w:rFonts w:cs="Calibri"/>
          <w:lang w:val="fr-FR"/>
        </w:rPr>
        <w:t> </w:t>
      </w:r>
      <w:r w:rsidRPr="00CF7824">
        <w:rPr>
          <w:rFonts w:cs="Calibri"/>
          <w:lang w:val="fr-FR"/>
        </w:rPr>
        <w:t>6, 8, 14 et 18 du Plan stratégique de la Convention sur les zones humides pour 2016-2024, et faciliteraient l</w:t>
      </w:r>
      <w:r w:rsidR="00016E39" w:rsidRPr="00CF7824">
        <w:rPr>
          <w:rFonts w:cs="Calibri"/>
          <w:lang w:val="fr-FR"/>
        </w:rPr>
        <w:t>’</w:t>
      </w:r>
      <w:r w:rsidRPr="00CF7824">
        <w:rPr>
          <w:rFonts w:cs="Calibri"/>
          <w:lang w:val="fr-FR"/>
        </w:rPr>
        <w:t>obtention des informations nécessaires à d</w:t>
      </w:r>
      <w:r w:rsidR="00016E39" w:rsidRPr="00CF7824">
        <w:rPr>
          <w:rFonts w:cs="Calibri"/>
          <w:lang w:val="fr-FR"/>
        </w:rPr>
        <w:t>’</w:t>
      </w:r>
      <w:r w:rsidRPr="00CF7824">
        <w:rPr>
          <w:rFonts w:cs="Calibri"/>
          <w:lang w:val="fr-FR"/>
        </w:rPr>
        <w:t>autres processus mondiaux, régionaux et nationaux.</w:t>
      </w:r>
      <w:r w:rsidRPr="00CF7824">
        <w:rPr>
          <w:rFonts w:cs="Calibri"/>
          <w:lang w:val="fr-FR"/>
        </w:rPr>
        <w:br/>
      </w:r>
    </w:p>
    <w:p w:rsidR="00BD5664" w:rsidRPr="00CF7824" w:rsidRDefault="00164734" w:rsidP="002079B7">
      <w:pPr>
        <w:numPr>
          <w:ilvl w:val="0"/>
          <w:numId w:val="21"/>
        </w:numPr>
        <w:ind w:left="850" w:hanging="425"/>
        <w:rPr>
          <w:rFonts w:asciiTheme="minorHAnsi" w:hAnsiTheme="minorHAnsi" w:cstheme="minorHAnsi"/>
          <w:lang w:val="fr-FR"/>
        </w:rPr>
      </w:pPr>
      <w:r w:rsidRPr="00CF7824">
        <w:rPr>
          <w:rFonts w:cs="Calibri"/>
          <w:lang w:val="fr-FR"/>
        </w:rPr>
        <w:t>Une approche de partenariat offre la possibilité de nouvelles synergies avec d</w:t>
      </w:r>
      <w:r w:rsidR="00016E39" w:rsidRPr="00CF7824">
        <w:rPr>
          <w:rFonts w:cs="Calibri"/>
          <w:lang w:val="fr-FR"/>
        </w:rPr>
        <w:t>’</w:t>
      </w:r>
      <w:r w:rsidRPr="00CF7824">
        <w:rPr>
          <w:rFonts w:cs="Calibri"/>
          <w:lang w:val="fr-FR"/>
        </w:rPr>
        <w:t>autres accords multilatéraux sur l</w:t>
      </w:r>
      <w:r w:rsidR="00016E39" w:rsidRPr="00CF7824">
        <w:rPr>
          <w:rFonts w:cs="Calibri"/>
          <w:lang w:val="fr-FR"/>
        </w:rPr>
        <w:t>’</w:t>
      </w:r>
      <w:r w:rsidRPr="00CF7824">
        <w:rPr>
          <w:rFonts w:cs="Calibri"/>
          <w:lang w:val="fr-FR"/>
        </w:rPr>
        <w:t>environnement (dont l</w:t>
      </w:r>
      <w:r w:rsidR="00016E39" w:rsidRPr="00CF7824">
        <w:rPr>
          <w:rFonts w:cs="Calibri"/>
          <w:lang w:val="fr-FR"/>
        </w:rPr>
        <w:t>’</w:t>
      </w:r>
      <w:r w:rsidRPr="00CF7824">
        <w:rPr>
          <w:rFonts w:cs="Calibri"/>
          <w:lang w:val="fr-FR"/>
        </w:rPr>
        <w:t>AEWA et l</w:t>
      </w:r>
      <w:r w:rsidR="00016E39" w:rsidRPr="00CF7824">
        <w:rPr>
          <w:rFonts w:cs="Calibri"/>
          <w:lang w:val="fr-FR"/>
        </w:rPr>
        <w:t>’</w:t>
      </w:r>
      <w:r w:rsidRPr="00CF7824">
        <w:rPr>
          <w:rFonts w:cs="Calibri"/>
          <w:lang w:val="fr-FR"/>
        </w:rPr>
        <w:t>EAAFP) et d</w:t>
      </w:r>
      <w:r w:rsidR="00016E39" w:rsidRPr="00CF7824">
        <w:rPr>
          <w:rFonts w:cs="Calibri"/>
          <w:lang w:val="fr-FR"/>
        </w:rPr>
        <w:t>’</w:t>
      </w:r>
      <w:r w:rsidRPr="00CF7824">
        <w:rPr>
          <w:rFonts w:cs="Calibri"/>
          <w:lang w:val="fr-FR"/>
        </w:rPr>
        <w:t xml:space="preserve">autres institutions internationales, comme cela est demandé dans la </w:t>
      </w:r>
      <w:hyperlink r:id="rId31" w:history="1">
        <w:r w:rsidRPr="00CF7824">
          <w:rPr>
            <w:rFonts w:cs="Calibri"/>
            <w:lang w:val="fr-FR"/>
          </w:rPr>
          <w:t>Résolution</w:t>
        </w:r>
        <w:r w:rsidR="00376BA1" w:rsidRPr="00CF7824">
          <w:rPr>
            <w:rFonts w:cs="Calibri"/>
            <w:lang w:val="fr-FR"/>
          </w:rPr>
          <w:t> </w:t>
        </w:r>
        <w:r w:rsidRPr="00CF7824">
          <w:rPr>
            <w:rFonts w:cs="Calibri"/>
            <w:lang w:val="fr-FR"/>
          </w:rPr>
          <w:t>XIV.6 de la Convention sur les zones humides</w:t>
        </w:r>
      </w:hyperlink>
      <w:r w:rsidRPr="00CF7824">
        <w:rPr>
          <w:rFonts w:cs="Calibri"/>
          <w:lang w:val="fr-FR"/>
        </w:rPr>
        <w:t xml:space="preserve"> (</w:t>
      </w:r>
      <w:r w:rsidRPr="00CF7824">
        <w:rPr>
          <w:rFonts w:cs="Calibri"/>
          <w:i/>
          <w:iCs/>
          <w:lang w:val="fr-FR"/>
        </w:rPr>
        <w:t>Renforcer la visibilité de la Convention et les synergies avec d</w:t>
      </w:r>
      <w:r w:rsidR="00016E39" w:rsidRPr="00CF7824">
        <w:rPr>
          <w:rFonts w:cs="Calibri"/>
          <w:i/>
          <w:iCs/>
          <w:lang w:val="fr-FR"/>
        </w:rPr>
        <w:t>’</w:t>
      </w:r>
      <w:r w:rsidRPr="00CF7824">
        <w:rPr>
          <w:rFonts w:cs="Calibri"/>
          <w:i/>
          <w:iCs/>
          <w:lang w:val="fr-FR"/>
        </w:rPr>
        <w:t>autres accords multilatéraux sur l</w:t>
      </w:r>
      <w:r w:rsidR="00016E39" w:rsidRPr="00CF7824">
        <w:rPr>
          <w:rFonts w:cs="Calibri"/>
          <w:i/>
          <w:iCs/>
          <w:lang w:val="fr-FR"/>
        </w:rPr>
        <w:t>’</w:t>
      </w:r>
      <w:r w:rsidRPr="00CF7824">
        <w:rPr>
          <w:rFonts w:cs="Calibri"/>
          <w:i/>
          <w:iCs/>
          <w:lang w:val="fr-FR"/>
        </w:rPr>
        <w:t>environnement et institutions internationale</w:t>
      </w:r>
      <w:r w:rsidRPr="00CF7824">
        <w:rPr>
          <w:rFonts w:cs="Calibri"/>
          <w:lang w:val="fr-FR"/>
        </w:rPr>
        <w:t>s).</w:t>
      </w:r>
      <w:r w:rsidRPr="00CF7824">
        <w:rPr>
          <w:rFonts w:cs="Calibri"/>
          <w:lang w:val="fr-FR"/>
        </w:rPr>
        <w:br/>
      </w:r>
    </w:p>
    <w:p w:rsidR="00DB6B96" w:rsidRPr="00CF7824" w:rsidRDefault="00164734" w:rsidP="009D7657">
      <w:pPr>
        <w:keepNext/>
        <w:ind w:left="0" w:firstLine="0"/>
        <w:rPr>
          <w:rFonts w:asciiTheme="minorHAnsi" w:hAnsiTheme="minorHAnsi" w:cstheme="minorHAnsi"/>
          <w:i/>
          <w:iCs/>
          <w:lang w:val="fr-FR"/>
        </w:rPr>
      </w:pPr>
      <w:r w:rsidRPr="00CF7824">
        <w:rPr>
          <w:rFonts w:cs="Calibri"/>
          <w:i/>
          <w:iCs/>
          <w:lang w:val="fr-FR"/>
        </w:rPr>
        <w:t xml:space="preserve">Encadré 5 : </w:t>
      </w:r>
      <w:r w:rsidR="00F149CA" w:rsidRPr="00CF7824">
        <w:rPr>
          <w:rFonts w:cs="Calibri"/>
          <w:i/>
          <w:iCs/>
          <w:lang w:val="fr-FR"/>
        </w:rPr>
        <w:t>Recommandation</w:t>
      </w:r>
      <w:r w:rsidR="001F19B5" w:rsidRPr="00CF7824">
        <w:rPr>
          <w:rFonts w:cs="Calibri"/>
          <w:i/>
          <w:iCs/>
          <w:lang w:val="fr-FR"/>
        </w:rPr>
        <w:t> </w:t>
      </w:r>
      <w:r w:rsidRPr="00CF7824">
        <w:rPr>
          <w:rFonts w:cs="Calibri"/>
          <w:i/>
          <w:iCs/>
          <w:lang w:val="fr-FR"/>
        </w:rPr>
        <w:t>4 du GEST : Établissement d</w:t>
      </w:r>
      <w:r w:rsidR="00016E39" w:rsidRPr="00CF7824">
        <w:rPr>
          <w:rFonts w:cs="Calibri"/>
          <w:i/>
          <w:iCs/>
          <w:lang w:val="fr-FR"/>
        </w:rPr>
        <w:t>’</w:t>
      </w:r>
      <w:r w:rsidRPr="00CF7824">
        <w:rPr>
          <w:rFonts w:cs="Calibri"/>
          <w:i/>
          <w:iCs/>
          <w:lang w:val="fr-FR"/>
        </w:rPr>
        <w:t>un Partenariat pour l</w:t>
      </w:r>
      <w:r w:rsidR="00016E39" w:rsidRPr="00CF7824">
        <w:rPr>
          <w:rFonts w:cs="Calibri"/>
          <w:i/>
          <w:iCs/>
          <w:lang w:val="fr-FR"/>
        </w:rPr>
        <w:t>’</w:t>
      </w:r>
      <w:r w:rsidRPr="00CF7824">
        <w:rPr>
          <w:rFonts w:cs="Calibri"/>
          <w:i/>
          <w:iCs/>
          <w:lang w:val="fr-FR"/>
        </w:rPr>
        <w:t>estimation des oiseaux d</w:t>
      </w:r>
      <w:r w:rsidR="00016E39" w:rsidRPr="00CF7824">
        <w:rPr>
          <w:rFonts w:cs="Calibri"/>
          <w:i/>
          <w:iCs/>
          <w:lang w:val="fr-FR"/>
        </w:rPr>
        <w:t>’</w:t>
      </w:r>
      <w:r w:rsidRPr="00CF7824">
        <w:rPr>
          <w:rFonts w:cs="Calibri"/>
          <w:i/>
          <w:iCs/>
          <w:lang w:val="fr-FR"/>
        </w:rPr>
        <w:t>eau.</w:t>
      </w:r>
    </w:p>
    <w:p w:rsidR="00CD5745" w:rsidRPr="00CF7824" w:rsidRDefault="0016508D" w:rsidP="007320B0">
      <w:pPr>
        <w:keepNext/>
        <w:ind w:left="0" w:firstLine="0"/>
        <w:rPr>
          <w:rFonts w:asciiTheme="minorHAnsi" w:hAnsiTheme="minorHAnsi" w:cstheme="minorHAnsi"/>
          <w:lang w:val="fr-FR"/>
        </w:rPr>
      </w:pPr>
      <w:r w:rsidRPr="00CF7824">
        <w:rPr>
          <w:rFonts w:asciiTheme="minorHAnsi" w:hAnsiTheme="minorHAnsi" w:cstheme="minorHAnsi"/>
          <w:noProof/>
          <w:lang w:val="fr-FR" w:eastAsia="fr-FR"/>
        </w:rPr>
        <mc:AlternateContent>
          <mc:Choice Requires="wps">
            <w:drawing>
              <wp:inline distT="0" distB="0" distL="0" distR="0" wp14:anchorId="05D393BF" wp14:editId="20D7AE53">
                <wp:extent cx="5708650" cy="1832483"/>
                <wp:effectExtent l="0" t="0" r="25400" b="18415"/>
                <wp:docPr id="1864554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32483"/>
                        </a:xfrm>
                        <a:prstGeom prst="rect">
                          <a:avLst/>
                        </a:prstGeom>
                        <a:solidFill>
                          <a:srgbClr val="FFFFFF"/>
                        </a:solidFill>
                        <a:ln w="9525">
                          <a:solidFill>
                            <a:srgbClr val="000000"/>
                          </a:solidFill>
                          <a:miter lim="800000"/>
                          <a:headEnd/>
                          <a:tailEnd/>
                        </a:ln>
                      </wps:spPr>
                      <wps:txbx>
                        <w:txbxContent>
                          <w:p w:rsidR="00DA168E" w:rsidRPr="00164734" w:rsidRDefault="00DA168E" w:rsidP="0016508D">
                            <w:pPr>
                              <w:ind w:left="0" w:firstLine="0"/>
                              <w:rPr>
                                <w:lang w:val="fr-FR"/>
                              </w:rPr>
                            </w:pPr>
                            <w:r>
                              <w:rPr>
                                <w:lang w:val="fr-FR"/>
                              </w:rPr>
                              <w:t>Il est proposé d’inviter des organisations clés à établir un nouveau Partenariat pour l’estimation des oiseaux d’eau qui se réunirait régulièrement afin de définir une orientation stratégique pour la planification du processus WPE et de trouver une solution à long terme pour fournir des estimations de population fiables à la Convention sur les zones humides et à de nombreux autres utilisateurs.</w:t>
                            </w:r>
                          </w:p>
                        </w:txbxContent>
                      </wps:txbx>
                      <wps:bodyPr rot="0" vert="horz" wrap="square" lIns="91440" tIns="45720" rIns="91440" bIns="45720" anchor="t" anchorCtr="0">
                        <a:spAutoFit/>
                      </wps:bodyPr>
                    </wps:wsp>
                  </a:graphicData>
                </a:graphic>
              </wp:inline>
            </w:drawing>
          </mc:Choice>
          <mc:Fallback>
            <w:pict>
              <v:shape w14:anchorId="05D393BF" id="_x0000_s1031" type="#_x0000_t202" style="width:449.5pt;height:1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">
                <v:textbox style="mso-fit-shape-to-text:t">
                  <w:txbxContent>
                    <w:p w:rsidR="00DA168E" w:rsidRPr="00164734" w:rsidRDefault="00DA168E" w:rsidP="0016508D">
                      <w:pPr>
                        <w:ind w:left="0" w:firstLine="0"/>
                        <w:rPr>
                          <w:lang w:val="fr-FR"/>
                        </w:rPr>
                      </w:pPr>
                      <w:r>
                        <w:rPr>
                          <w:lang w:val="fr-FR"/>
                        </w:rPr>
                        <w:t>Il est proposé d’inviter des organisations clés à établir un nouveau Partenariat pour l’estimation des oiseaux d’eau qui se réunirait régulièrement afin de définir une orientation stratégique pour la planification du processus WPE et de trouver une solution à long terme pour fournir des estimations de population fiables à la Convention sur les zones humides et à de nombreux autres utilisateurs.</w:t>
                      </w:r>
                    </w:p>
                  </w:txbxContent>
                </v:textbox>
                <w10:anchorlock/>
              </v:shape>
            </w:pict>
          </mc:Fallback>
        </mc:AlternateContent>
      </w:r>
    </w:p>
    <w:p w:rsidR="007320B0" w:rsidRDefault="007320B0" w:rsidP="00597146">
      <w:pPr>
        <w:rPr>
          <w:rFonts w:asciiTheme="minorHAnsi" w:hAnsiTheme="minorHAnsi" w:cstheme="minorHAnsi"/>
          <w:bCs/>
          <w:lang w:val="fr-FR"/>
        </w:rPr>
      </w:pPr>
    </w:p>
    <w:p w:rsidR="00A06C4A" w:rsidRPr="00CF7824" w:rsidRDefault="00A06C4A" w:rsidP="00597146">
      <w:pPr>
        <w:rPr>
          <w:rFonts w:asciiTheme="minorHAnsi" w:hAnsiTheme="minorHAnsi" w:cstheme="minorHAnsi"/>
          <w:bCs/>
          <w:lang w:val="fr-FR"/>
        </w:rPr>
      </w:pPr>
    </w:p>
    <w:p w:rsidR="009A46F2" w:rsidRPr="00CF7824" w:rsidRDefault="00164734" w:rsidP="00597146">
      <w:pPr>
        <w:rPr>
          <w:rFonts w:asciiTheme="minorHAnsi" w:hAnsiTheme="minorHAnsi" w:cstheme="minorHAnsi"/>
          <w:lang w:val="fr-FR"/>
        </w:rPr>
      </w:pPr>
      <w:r w:rsidRPr="00CF7824">
        <w:rPr>
          <w:rFonts w:cs="Calibri"/>
          <w:bCs/>
          <w:lang w:val="fr-FR"/>
        </w:rPr>
        <w:t>56.</w:t>
      </w:r>
      <w:r w:rsidRPr="00CF7824">
        <w:rPr>
          <w:rFonts w:cs="Calibri"/>
          <w:bCs/>
          <w:lang w:val="fr-FR"/>
        </w:rPr>
        <w:tab/>
        <w:t>L</w:t>
      </w:r>
      <w:r w:rsidR="00016E39" w:rsidRPr="00CF7824">
        <w:rPr>
          <w:rFonts w:cs="Calibri"/>
          <w:bCs/>
          <w:lang w:val="fr-FR"/>
        </w:rPr>
        <w:t>’</w:t>
      </w:r>
      <w:r w:rsidRPr="00CF7824">
        <w:rPr>
          <w:rFonts w:cs="Calibri"/>
          <w:bCs/>
          <w:lang w:val="fr-FR"/>
        </w:rPr>
        <w:t>annexe</w:t>
      </w:r>
      <w:r w:rsidR="001F19B5" w:rsidRPr="00CF7824">
        <w:rPr>
          <w:rFonts w:cs="Calibri"/>
          <w:bCs/>
          <w:lang w:val="fr-FR"/>
        </w:rPr>
        <w:t> </w:t>
      </w:r>
      <w:r w:rsidRPr="00CF7824">
        <w:rPr>
          <w:rFonts w:cs="Calibri"/>
          <w:bCs/>
          <w:lang w:val="fr-FR"/>
        </w:rPr>
        <w:t>4 présente les dispositions du partenariat qui pourraient s</w:t>
      </w:r>
      <w:r w:rsidR="00016E39" w:rsidRPr="00CF7824">
        <w:rPr>
          <w:rFonts w:cs="Calibri"/>
          <w:bCs/>
          <w:lang w:val="fr-FR"/>
        </w:rPr>
        <w:t>’</w:t>
      </w:r>
      <w:r w:rsidRPr="00CF7824">
        <w:rPr>
          <w:rFonts w:cs="Calibri"/>
          <w:bCs/>
          <w:lang w:val="fr-FR"/>
        </w:rPr>
        <w:t xml:space="preserve">avérer nécessaires pour mettre en œuvre les recommandations techniques relatives à la mise à jour des WPE dans </w:t>
      </w:r>
      <w:r w:rsidRPr="00CF7824">
        <w:rPr>
          <w:rFonts w:cs="Calibri"/>
          <w:bCs/>
          <w:lang w:val="fr-FR"/>
        </w:rPr>
        <w:lastRenderedPageBreak/>
        <w:t>plusieurs voies de migration et régions géographiques, le champ d</w:t>
      </w:r>
      <w:r w:rsidR="00016E39" w:rsidRPr="00CF7824">
        <w:rPr>
          <w:rFonts w:cs="Calibri"/>
          <w:bCs/>
          <w:lang w:val="fr-FR"/>
        </w:rPr>
        <w:t>’</w:t>
      </w:r>
      <w:r w:rsidRPr="00CF7824">
        <w:rPr>
          <w:rFonts w:cs="Calibri"/>
          <w:bCs/>
          <w:lang w:val="fr-FR"/>
        </w:rPr>
        <w:t>action prévu pour le partenariat proposé étant décrit dans le tableau</w:t>
      </w:r>
      <w:r w:rsidR="001F19B5" w:rsidRPr="00CF7824">
        <w:rPr>
          <w:rFonts w:cs="Calibri"/>
          <w:bCs/>
          <w:lang w:val="fr-FR"/>
        </w:rPr>
        <w:t> </w:t>
      </w:r>
      <w:r w:rsidRPr="00CF7824">
        <w:rPr>
          <w:rFonts w:cs="Calibri"/>
          <w:bCs/>
          <w:lang w:val="fr-FR"/>
        </w:rPr>
        <w:t xml:space="preserve">5 ci-dessous. </w:t>
      </w:r>
    </w:p>
    <w:p w:rsidR="0048039A" w:rsidRPr="00CF7824" w:rsidRDefault="0048039A" w:rsidP="00597146">
      <w:pPr>
        <w:rPr>
          <w:rFonts w:asciiTheme="minorHAnsi" w:hAnsiTheme="minorHAnsi" w:cstheme="minorHAnsi"/>
          <w:lang w:val="fr-FR"/>
        </w:rPr>
      </w:pPr>
    </w:p>
    <w:p w:rsidR="00A42A33" w:rsidRPr="00CF7824" w:rsidRDefault="00164734" w:rsidP="005239FE">
      <w:pPr>
        <w:keepNext/>
        <w:ind w:left="0" w:firstLine="0"/>
        <w:rPr>
          <w:rFonts w:asciiTheme="minorHAnsi" w:hAnsiTheme="minorHAnsi" w:cstheme="minorHAnsi"/>
          <w:i/>
          <w:iCs/>
          <w:lang w:val="fr-FR"/>
        </w:rPr>
      </w:pPr>
      <w:r w:rsidRPr="00CF7824">
        <w:rPr>
          <w:rFonts w:cs="Calibri"/>
          <w:i/>
          <w:iCs/>
          <w:lang w:val="fr-FR"/>
        </w:rPr>
        <w:t>Tableau</w:t>
      </w:r>
      <w:r w:rsidR="001F19B5" w:rsidRPr="00CF7824">
        <w:rPr>
          <w:rFonts w:cs="Calibri"/>
          <w:i/>
          <w:iCs/>
          <w:lang w:val="fr-FR"/>
        </w:rPr>
        <w:t> </w:t>
      </w:r>
      <w:r w:rsidRPr="00CF7824">
        <w:rPr>
          <w:rFonts w:cs="Calibri"/>
          <w:i/>
          <w:iCs/>
          <w:lang w:val="fr-FR"/>
        </w:rPr>
        <w:t>5</w:t>
      </w:r>
      <w:r w:rsidR="00376BA1" w:rsidRPr="00CF7824">
        <w:rPr>
          <w:rFonts w:cs="Calibri"/>
          <w:i/>
          <w:iCs/>
          <w:lang w:val="fr-FR"/>
        </w:rPr>
        <w:t> </w:t>
      </w:r>
      <w:r w:rsidRPr="00CF7824">
        <w:rPr>
          <w:rFonts w:cs="Calibri"/>
          <w:i/>
          <w:iCs/>
          <w:lang w:val="fr-FR"/>
        </w:rPr>
        <w:t>: Travaux prévus dans le cadre du Partenariat pour l</w:t>
      </w:r>
      <w:r w:rsidR="00016E39" w:rsidRPr="00CF7824">
        <w:rPr>
          <w:rFonts w:cs="Calibri"/>
          <w:i/>
          <w:iCs/>
          <w:lang w:val="fr-FR"/>
        </w:rPr>
        <w:t>’</w:t>
      </w:r>
      <w:r w:rsidRPr="00CF7824">
        <w:rPr>
          <w:rFonts w:cs="Calibri"/>
          <w:i/>
          <w:iCs/>
          <w:lang w:val="fr-FR"/>
        </w:rPr>
        <w:t>estimation des oiseaux d</w:t>
      </w:r>
      <w:r w:rsidR="00016E39" w:rsidRPr="00CF7824">
        <w:rPr>
          <w:rFonts w:cs="Calibri"/>
          <w:i/>
          <w:iCs/>
          <w:lang w:val="fr-FR"/>
        </w:rPr>
        <w:t>’</w:t>
      </w:r>
      <w:r w:rsidRPr="00CF7824">
        <w:rPr>
          <w:rFonts w:cs="Calibri"/>
          <w:i/>
          <w:iCs/>
          <w:lang w:val="fr-FR"/>
        </w:rPr>
        <w:t>eau</w:t>
      </w:r>
    </w:p>
    <w:p w:rsidR="00B034DC" w:rsidRPr="00CF7824" w:rsidRDefault="00B034DC" w:rsidP="005239FE">
      <w:pPr>
        <w:keepNext/>
        <w:rPr>
          <w:rFonts w:asciiTheme="minorHAnsi" w:hAnsiTheme="minorHAnsi" w:cstheme="minorHAnsi"/>
          <w:lang w:val="fr-FR"/>
        </w:rPr>
      </w:pPr>
    </w:p>
    <w:p w:rsidR="00B034DC" w:rsidRPr="00CF7824" w:rsidRDefault="00164734" w:rsidP="001325FC">
      <w:pPr>
        <w:ind w:left="0" w:firstLine="0"/>
        <w:rPr>
          <w:rFonts w:asciiTheme="minorHAnsi" w:hAnsiTheme="minorHAnsi" w:cstheme="minorHAnsi"/>
          <w:lang w:val="fr-FR"/>
        </w:rPr>
      </w:pPr>
      <w:r w:rsidRPr="00CF7824">
        <w:rPr>
          <w:rFonts w:cs="Calibri"/>
          <w:lang w:val="fr-FR"/>
        </w:rPr>
        <w:t>REMARQUE</w:t>
      </w:r>
      <w:r w:rsidR="00376BA1" w:rsidRPr="00CF7824">
        <w:rPr>
          <w:rFonts w:cs="Calibri"/>
          <w:lang w:val="fr-FR"/>
        </w:rPr>
        <w:t> </w:t>
      </w:r>
      <w:r w:rsidRPr="00CF7824">
        <w:rPr>
          <w:rFonts w:cs="Calibri"/>
          <w:lang w:val="fr-FR"/>
        </w:rPr>
        <w:t xml:space="preserve">: </w:t>
      </w:r>
      <w:r w:rsidR="0016508D" w:rsidRPr="00CF7824">
        <w:rPr>
          <w:rFonts w:cs="Calibri"/>
          <w:lang w:val="fr-FR"/>
        </w:rPr>
        <w:t>l</w:t>
      </w:r>
      <w:r w:rsidRPr="00CF7824">
        <w:rPr>
          <w:rFonts w:cs="Calibri"/>
          <w:lang w:val="fr-FR"/>
        </w:rPr>
        <w:t>e travail prévu (et les considérations de ressources</w:t>
      </w:r>
      <w:r w:rsidR="0016508D" w:rsidRPr="00CF7824">
        <w:rPr>
          <w:rFonts w:cs="Calibri"/>
          <w:lang w:val="fr-FR"/>
        </w:rPr>
        <w:t xml:space="preserve">/coûts </w:t>
      </w:r>
      <w:r w:rsidRPr="00CF7824">
        <w:rPr>
          <w:rFonts w:cs="Calibri"/>
          <w:lang w:val="fr-FR"/>
        </w:rPr>
        <w:t>associés) est basé sur l</w:t>
      </w:r>
      <w:r w:rsidR="00016E39" w:rsidRPr="00CF7824">
        <w:rPr>
          <w:rFonts w:cs="Calibri"/>
          <w:lang w:val="fr-FR"/>
        </w:rPr>
        <w:t>’</w:t>
      </w:r>
      <w:r w:rsidRPr="00CF7824">
        <w:rPr>
          <w:rFonts w:cs="Calibri"/>
          <w:lang w:val="fr-FR"/>
        </w:rPr>
        <w:t>hypothèse d</w:t>
      </w:r>
      <w:r w:rsidR="00016E39" w:rsidRPr="00CF7824">
        <w:rPr>
          <w:rFonts w:cs="Calibri"/>
          <w:lang w:val="fr-FR"/>
        </w:rPr>
        <w:t>’</w:t>
      </w:r>
      <w:r w:rsidRPr="00CF7824">
        <w:rPr>
          <w:rFonts w:cs="Calibri"/>
          <w:lang w:val="fr-FR"/>
        </w:rPr>
        <w:t>une mise à jour complète des WPE tous les six ans et devra être réexaminé et révisé en fonction des décisions prises sur la périodicité des futures mises à jour des WPE.</w:t>
      </w:r>
      <w:r w:rsidRPr="00CF7824">
        <w:rPr>
          <w:rFonts w:cs="Calibri"/>
          <w:lang w:val="fr-FR"/>
        </w:rPr>
        <w:br/>
      </w:r>
    </w:p>
    <w:tbl>
      <w:tblPr>
        <w:tblStyle w:val="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453"/>
        <w:gridCol w:w="1701"/>
        <w:gridCol w:w="2857"/>
      </w:tblGrid>
      <w:tr w:rsidR="0020115C" w:rsidRPr="00CF7824" w:rsidTr="008F2BE5">
        <w:trPr>
          <w:cantSplit/>
          <w:trHeight w:val="110"/>
          <w:tblHeader/>
        </w:trPr>
        <w:tc>
          <w:tcPr>
            <w:tcW w:w="3345" w:type="dxa"/>
            <w:shd w:val="clear" w:color="auto" w:fill="EEECE1" w:themeFill="background2"/>
            <w:vAlign w:val="center"/>
          </w:tcPr>
          <w:p w:rsidR="00276F84" w:rsidRPr="00CF7824" w:rsidRDefault="00164734" w:rsidP="00602EDF">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sidRPr="00CF7824">
              <w:rPr>
                <w:rFonts w:cs="Calibri"/>
                <w:b/>
                <w:bCs/>
                <w:color w:val="000000"/>
                <w:sz w:val="20"/>
                <w:szCs w:val="20"/>
                <w:lang w:val="fr-FR"/>
              </w:rPr>
              <w:t>Module</w:t>
            </w:r>
          </w:p>
        </w:tc>
        <w:tc>
          <w:tcPr>
            <w:tcW w:w="1453" w:type="dxa"/>
            <w:shd w:val="clear" w:color="auto" w:fill="EEECE1" w:themeFill="background2"/>
            <w:vAlign w:val="center"/>
          </w:tcPr>
          <w:p w:rsidR="00276F84" w:rsidRPr="00CF7824" w:rsidRDefault="00164734" w:rsidP="00602EDF">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sidRPr="00CF7824">
              <w:rPr>
                <w:rFonts w:cs="Calibri"/>
                <w:b/>
                <w:bCs/>
                <w:color w:val="000000"/>
                <w:sz w:val="20"/>
                <w:szCs w:val="20"/>
                <w:lang w:val="fr-FR"/>
              </w:rPr>
              <w:t>Fréquence</w:t>
            </w:r>
            <w:r w:rsidRPr="00CF7824">
              <w:rPr>
                <w:rFonts w:asciiTheme="minorHAnsi" w:eastAsia="Arial" w:hAnsiTheme="minorHAnsi" w:cstheme="minorHAnsi"/>
                <w:color w:val="000000"/>
                <w:sz w:val="20"/>
                <w:szCs w:val="20"/>
                <w:vertAlign w:val="superscript"/>
              </w:rPr>
              <w:footnoteReference w:id="23"/>
            </w:r>
          </w:p>
        </w:tc>
        <w:tc>
          <w:tcPr>
            <w:tcW w:w="1701" w:type="dxa"/>
            <w:shd w:val="clear" w:color="auto" w:fill="EEECE1" w:themeFill="background2"/>
            <w:vAlign w:val="center"/>
          </w:tcPr>
          <w:p w:rsidR="00276F84" w:rsidRPr="00CF7824" w:rsidRDefault="00164734" w:rsidP="00602EDF">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Possibilités de couverture des coûts</w:t>
            </w:r>
          </w:p>
        </w:tc>
        <w:tc>
          <w:tcPr>
            <w:tcW w:w="2857" w:type="dxa"/>
            <w:shd w:val="clear" w:color="auto" w:fill="EEECE1" w:themeFill="background2"/>
            <w:vAlign w:val="center"/>
          </w:tcPr>
          <w:p w:rsidR="00276F84" w:rsidRPr="00CF7824" w:rsidRDefault="00164734" w:rsidP="00602EDF">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sidRPr="00CF7824">
              <w:rPr>
                <w:rFonts w:cs="Calibri"/>
                <w:b/>
                <w:bCs/>
                <w:color w:val="000000"/>
                <w:sz w:val="20"/>
                <w:szCs w:val="20"/>
                <w:lang w:val="fr-FR"/>
              </w:rPr>
              <w:t>Éléments de coûts</w:t>
            </w:r>
          </w:p>
        </w:tc>
      </w:tr>
      <w:tr w:rsidR="0020115C" w:rsidRPr="00785D5E" w:rsidTr="008F2BE5">
        <w:trPr>
          <w:cantSplit/>
          <w:trHeight w:val="110"/>
        </w:trPr>
        <w:tc>
          <w:tcPr>
            <w:tcW w:w="3345" w:type="dxa"/>
          </w:tcPr>
          <w:p w:rsidR="00276F84" w:rsidRPr="00CF7824" w:rsidRDefault="0016473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lang w:val="fr-FR"/>
              </w:rPr>
            </w:pPr>
            <w:r w:rsidRPr="00CF7824">
              <w:rPr>
                <w:rFonts w:cs="Calibri"/>
                <w:b/>
                <w:bCs/>
                <w:i/>
                <w:iCs/>
                <w:color w:val="000000"/>
                <w:sz w:val="20"/>
                <w:szCs w:val="20"/>
                <w:lang w:val="fr-FR"/>
              </w:rPr>
              <w:t>Gestion et mise à jour des informations WPE</w:t>
            </w:r>
          </w:p>
        </w:tc>
        <w:tc>
          <w:tcPr>
            <w:tcW w:w="1453"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c>
          <w:tcPr>
            <w:tcW w:w="1701"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c>
          <w:tcPr>
            <w:tcW w:w="2857"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244"/>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Compilation mondiale des estimations de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provenant de processus régionaux pour les espèces migratrices ou d</w:t>
            </w:r>
            <w:r w:rsidR="00016E39" w:rsidRPr="00CF7824">
              <w:rPr>
                <w:rFonts w:cs="Calibri"/>
                <w:color w:val="000000"/>
                <w:sz w:val="20"/>
                <w:szCs w:val="20"/>
                <w:lang w:val="fr-FR"/>
              </w:rPr>
              <w:t>’</w:t>
            </w:r>
            <w:r w:rsidRPr="00CF7824">
              <w:rPr>
                <w:rFonts w:cs="Calibri"/>
                <w:color w:val="000000"/>
                <w:sz w:val="20"/>
                <w:szCs w:val="20"/>
                <w:lang w:val="fr-FR"/>
              </w:rPr>
              <w:t>autres sources (ceci inclut le travail de compilation et d</w:t>
            </w:r>
            <w:r w:rsidR="00016E39" w:rsidRPr="00CF7824">
              <w:rPr>
                <w:rFonts w:cs="Calibri"/>
                <w:color w:val="000000"/>
                <w:sz w:val="20"/>
                <w:szCs w:val="20"/>
                <w:lang w:val="fr-FR"/>
              </w:rPr>
              <w:t>’</w:t>
            </w:r>
            <w:r w:rsidRPr="00CF7824">
              <w:rPr>
                <w:rFonts w:cs="Calibri"/>
                <w:color w:val="000000"/>
                <w:sz w:val="20"/>
                <w:szCs w:val="20"/>
                <w:lang w:val="fr-FR"/>
              </w:rPr>
              <w:t>analyse des données des points</w:t>
            </w:r>
            <w:r w:rsidR="001F19B5" w:rsidRPr="00CF7824">
              <w:rPr>
                <w:rFonts w:cs="Calibri"/>
                <w:color w:val="000000"/>
                <w:sz w:val="20"/>
                <w:szCs w:val="20"/>
                <w:lang w:val="fr-FR"/>
              </w:rPr>
              <w:t> </w:t>
            </w:r>
            <w:r w:rsidRPr="00CF7824">
              <w:rPr>
                <w:rFonts w:cs="Calibri"/>
                <w:color w:val="000000"/>
                <w:sz w:val="20"/>
                <w:szCs w:val="20"/>
                <w:lang w:val="fr-FR"/>
              </w:rPr>
              <w:t>2, 3, 4, 5, 6 et 7 de ce tableau).</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Annuel</w:t>
            </w:r>
            <w:r w:rsidR="0016508D" w:rsidRPr="00CF7824">
              <w:rPr>
                <w:rFonts w:cs="Calibri"/>
                <w:color w:val="000000"/>
                <w:sz w:val="20"/>
                <w:szCs w:val="20"/>
                <w:lang w:val="fr-FR"/>
              </w:rPr>
              <w:t>le</w:t>
            </w:r>
          </w:p>
        </w:tc>
        <w:tc>
          <w:tcPr>
            <w:tcW w:w="1701" w:type="dxa"/>
          </w:tcPr>
          <w:p w:rsidR="0016508D" w:rsidRPr="00CF7824" w:rsidRDefault="00164734" w:rsidP="00602EDF">
            <w:pPr>
              <w:pBdr>
                <w:top w:val="nil"/>
                <w:left w:val="nil"/>
                <w:bottom w:val="nil"/>
                <w:right w:val="nil"/>
                <w:between w:val="nil"/>
              </w:pBdr>
              <w:spacing w:after="0" w:line="240" w:lineRule="auto"/>
              <w:rPr>
                <w:rFonts w:cs="Calibri"/>
                <w:color w:val="000000"/>
                <w:sz w:val="20"/>
                <w:szCs w:val="20"/>
                <w:lang w:val="fr-FR"/>
              </w:rPr>
            </w:pPr>
            <w:r w:rsidRPr="00CF7824">
              <w:rPr>
                <w:rFonts w:cs="Calibri"/>
                <w:color w:val="000000"/>
                <w:sz w:val="20"/>
                <w:szCs w:val="20"/>
                <w:lang w:val="fr-FR"/>
              </w:rPr>
              <w:t xml:space="preserve">Convention sur les zones humides ? </w:t>
            </w:r>
          </w:p>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Autres entités apportant un soutien financier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régions/populations particulières.</w:t>
            </w:r>
          </w:p>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936"/>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Processus d</w:t>
            </w:r>
            <w:r w:rsidR="00016E39" w:rsidRPr="00CF7824">
              <w:rPr>
                <w:rFonts w:cs="Calibri"/>
                <w:color w:val="000000"/>
                <w:sz w:val="20"/>
                <w:szCs w:val="20"/>
                <w:lang w:val="fr-FR"/>
              </w:rPr>
              <w:t>’</w:t>
            </w:r>
            <w:r w:rsidRPr="00CF7824">
              <w:rPr>
                <w:rFonts w:cs="Calibri"/>
                <w:color w:val="000000"/>
                <w:sz w:val="20"/>
                <w:szCs w:val="20"/>
                <w:lang w:val="fr-FR"/>
              </w:rPr>
              <w:t>évaluation régionale (CSR) pour l</w:t>
            </w:r>
            <w:r w:rsidR="00016E39" w:rsidRPr="00CF7824">
              <w:rPr>
                <w:rFonts w:cs="Calibri"/>
                <w:color w:val="000000"/>
                <w:sz w:val="20"/>
                <w:szCs w:val="20"/>
                <w:lang w:val="fr-FR"/>
              </w:rPr>
              <w:t>’</w:t>
            </w:r>
            <w:r w:rsidRPr="00CF7824">
              <w:rPr>
                <w:rFonts w:cs="Calibri"/>
                <w:color w:val="000000"/>
                <w:sz w:val="20"/>
                <w:szCs w:val="20"/>
                <w:lang w:val="fr-FR"/>
              </w:rPr>
              <w:t>Accord sur la conservation des oiseaux d</w:t>
            </w:r>
            <w:r w:rsidR="00016E39" w:rsidRPr="00CF7824">
              <w:rPr>
                <w:rFonts w:cs="Calibri"/>
                <w:color w:val="000000"/>
                <w:sz w:val="20"/>
                <w:szCs w:val="20"/>
                <w:lang w:val="fr-FR"/>
              </w:rPr>
              <w:t>’</w:t>
            </w:r>
            <w:r w:rsidRPr="00CF7824">
              <w:rPr>
                <w:rFonts w:cs="Calibri"/>
                <w:color w:val="000000"/>
                <w:sz w:val="20"/>
                <w:szCs w:val="20"/>
                <w:lang w:val="fr-FR"/>
              </w:rPr>
              <w:t>eau migrateurs d</w:t>
            </w:r>
            <w:r w:rsidR="00016E39" w:rsidRPr="00CF7824">
              <w:rPr>
                <w:rFonts w:cs="Calibri"/>
                <w:color w:val="000000"/>
                <w:sz w:val="20"/>
                <w:szCs w:val="20"/>
                <w:lang w:val="fr-FR"/>
              </w:rPr>
              <w:t>’</w:t>
            </w:r>
            <w:r w:rsidRPr="00CF7824">
              <w:rPr>
                <w:rFonts w:cs="Calibri"/>
                <w:color w:val="000000"/>
                <w:sz w:val="20"/>
                <w:szCs w:val="20"/>
                <w:lang w:val="fr-FR"/>
              </w:rPr>
              <w:t>Afrique-Eurasie (AEWA)</w:t>
            </w:r>
            <w:r w:rsidRPr="00CF7824">
              <w:rPr>
                <w:rFonts w:asciiTheme="minorHAnsi" w:eastAsia="Arial" w:hAnsiTheme="minorHAnsi" w:cstheme="minorHAnsi"/>
                <w:color w:val="000000"/>
                <w:sz w:val="20"/>
                <w:szCs w:val="20"/>
                <w:vertAlign w:val="superscript"/>
              </w:rPr>
              <w:footnoteReference w:id="24"/>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Intervalles de six ans</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Secrétariat de l</w:t>
            </w:r>
            <w:r w:rsidR="00016E39" w:rsidRPr="00CF7824">
              <w:rPr>
                <w:rFonts w:cs="Calibri"/>
                <w:color w:val="000000"/>
                <w:sz w:val="20"/>
                <w:szCs w:val="20"/>
                <w:lang w:val="fr-FR"/>
              </w:rPr>
              <w:t>’</w:t>
            </w:r>
            <w:r w:rsidRPr="00CF7824">
              <w:rPr>
                <w:rFonts w:cs="Calibri"/>
                <w:color w:val="000000"/>
                <w:sz w:val="20"/>
                <w:szCs w:val="20"/>
                <w:lang w:val="fr-FR"/>
              </w:rPr>
              <w:t xml:space="preserve">AEWA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Le CSR8 a c</w:t>
            </w:r>
            <w:r w:rsidR="001F19B5" w:rsidRPr="00CF7824">
              <w:rPr>
                <w:rFonts w:cs="Calibri"/>
                <w:color w:val="000000"/>
                <w:sz w:val="20"/>
                <w:szCs w:val="20"/>
                <w:lang w:val="fr-FR"/>
              </w:rPr>
              <w:t>oû</w:t>
            </w:r>
            <w:r w:rsidRPr="00CF7824">
              <w:rPr>
                <w:rFonts w:cs="Calibri"/>
                <w:color w:val="000000"/>
                <w:sz w:val="20"/>
                <w:szCs w:val="20"/>
                <w:lang w:val="fr-FR"/>
              </w:rPr>
              <w:t>té 95</w:t>
            </w:r>
            <w:r w:rsidR="00376BA1" w:rsidRPr="00CF7824">
              <w:rPr>
                <w:rFonts w:cs="Calibri"/>
                <w:color w:val="000000"/>
                <w:sz w:val="20"/>
                <w:szCs w:val="20"/>
                <w:lang w:val="fr-FR"/>
              </w:rPr>
              <w:t> </w:t>
            </w:r>
            <w:r w:rsidRPr="00CF7824">
              <w:rPr>
                <w:rFonts w:cs="Calibri"/>
                <w:color w:val="000000"/>
                <w:sz w:val="20"/>
                <w:szCs w:val="20"/>
                <w:lang w:val="fr-FR"/>
              </w:rPr>
              <w:t>187 CHF en 2021. Les coûts des éditions ultérieures dépendront de l</w:t>
            </w:r>
            <w:r w:rsidR="00016E39" w:rsidRPr="00CF7824">
              <w:rPr>
                <w:rFonts w:cs="Calibri"/>
                <w:color w:val="000000"/>
                <w:sz w:val="20"/>
                <w:szCs w:val="20"/>
                <w:lang w:val="fr-FR"/>
              </w:rPr>
              <w:t>’</w:t>
            </w:r>
            <w:r w:rsidRPr="00CF7824">
              <w:rPr>
                <w:rFonts w:cs="Calibri"/>
                <w:color w:val="000000"/>
                <w:sz w:val="20"/>
                <w:szCs w:val="20"/>
                <w:lang w:val="fr-FR"/>
              </w:rPr>
              <w:t xml:space="preserve">étendue des travaux des rapports intermédiaires. </w:t>
            </w:r>
          </w:p>
        </w:tc>
      </w:tr>
      <w:tr w:rsidR="0020115C" w:rsidRPr="00785D5E" w:rsidTr="008F2BE5">
        <w:trPr>
          <w:cantSplit/>
          <w:trHeight w:val="243"/>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Processus d</w:t>
            </w:r>
            <w:r w:rsidR="00016E39" w:rsidRPr="00CF7824">
              <w:rPr>
                <w:rFonts w:cs="Calibri"/>
                <w:color w:val="000000"/>
                <w:sz w:val="20"/>
                <w:szCs w:val="20"/>
                <w:lang w:val="fr-FR"/>
              </w:rPr>
              <w:t>’</w:t>
            </w:r>
            <w:r w:rsidRPr="00CF7824">
              <w:rPr>
                <w:rFonts w:cs="Calibri"/>
                <w:color w:val="000000"/>
                <w:sz w:val="20"/>
                <w:szCs w:val="20"/>
                <w:lang w:val="fr-FR"/>
              </w:rPr>
              <w:t>évaluation régionale (CSR) pour la voie de migration Asie de l</w:t>
            </w:r>
            <w:r w:rsidR="00016E39" w:rsidRPr="00CF7824">
              <w:rPr>
                <w:rFonts w:cs="Calibri"/>
                <w:color w:val="000000"/>
                <w:sz w:val="20"/>
                <w:szCs w:val="20"/>
                <w:lang w:val="fr-FR"/>
              </w:rPr>
              <w:t>’</w:t>
            </w:r>
            <w:r w:rsidRPr="00CF7824">
              <w:rPr>
                <w:rFonts w:cs="Calibri"/>
                <w:color w:val="000000"/>
                <w:sz w:val="20"/>
                <w:szCs w:val="20"/>
                <w:lang w:val="fr-FR"/>
              </w:rPr>
              <w:t>Est-Australasie (EAAFP)</w:t>
            </w:r>
            <w:r w:rsidRPr="00CF7824">
              <w:rPr>
                <w:rFonts w:asciiTheme="minorHAnsi" w:eastAsia="Arial" w:hAnsiTheme="minorHAnsi" w:cstheme="minorHAnsi"/>
                <w:color w:val="000000"/>
                <w:sz w:val="20"/>
                <w:szCs w:val="20"/>
                <w:vertAlign w:val="superscript"/>
              </w:rPr>
              <w:footnoteReference w:id="25"/>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Intervalles de trois ou quatre ans</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Secrétariat de l</w:t>
            </w:r>
            <w:r w:rsidR="00016E39" w:rsidRPr="00CF7824">
              <w:rPr>
                <w:rFonts w:cs="Calibri"/>
                <w:color w:val="000000"/>
                <w:sz w:val="20"/>
                <w:szCs w:val="20"/>
                <w:lang w:val="fr-FR"/>
              </w:rPr>
              <w:t>’</w:t>
            </w:r>
            <w:r w:rsidRPr="00CF7824">
              <w:rPr>
                <w:rFonts w:cs="Calibri"/>
                <w:color w:val="000000"/>
                <w:sz w:val="20"/>
                <w:szCs w:val="20"/>
                <w:lang w:val="fr-FR"/>
              </w:rPr>
              <w:t>EAAFP</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Le CSR1 a coûté 83</w:t>
            </w:r>
            <w:r w:rsidR="00376BA1" w:rsidRPr="00CF7824">
              <w:rPr>
                <w:rFonts w:cs="Calibri"/>
                <w:color w:val="000000"/>
                <w:sz w:val="20"/>
                <w:szCs w:val="20"/>
                <w:lang w:val="fr-FR"/>
              </w:rPr>
              <w:t> </w:t>
            </w:r>
            <w:r w:rsidRPr="00CF7824">
              <w:rPr>
                <w:rFonts w:cs="Calibri"/>
                <w:color w:val="000000"/>
                <w:sz w:val="20"/>
                <w:szCs w:val="20"/>
                <w:lang w:val="fr-FR"/>
              </w:rPr>
              <w:t>290 CHF en 2022. Les coûts des éditions ultérieures dépendront de l</w:t>
            </w:r>
            <w:r w:rsidR="00016E39" w:rsidRPr="00CF7824">
              <w:rPr>
                <w:rFonts w:cs="Calibri"/>
                <w:color w:val="000000"/>
                <w:sz w:val="20"/>
                <w:szCs w:val="20"/>
                <w:lang w:val="fr-FR"/>
              </w:rPr>
              <w:t>’</w:t>
            </w:r>
            <w:r w:rsidRPr="00CF7824">
              <w:rPr>
                <w:rFonts w:cs="Calibri"/>
                <w:color w:val="000000"/>
                <w:sz w:val="20"/>
                <w:szCs w:val="20"/>
                <w:lang w:val="fr-FR"/>
              </w:rPr>
              <w:t xml:space="preserve">étendue des travaux des rapports intermédiaires. </w:t>
            </w:r>
          </w:p>
        </w:tc>
      </w:tr>
      <w:tr w:rsidR="0020115C" w:rsidRPr="00785D5E" w:rsidTr="008F2BE5">
        <w:trPr>
          <w:cantSplit/>
          <w:trHeight w:val="522"/>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Initiative régionale pour la voie de migration d</w:t>
            </w:r>
            <w:r w:rsidR="00016E39" w:rsidRPr="00CF7824">
              <w:rPr>
                <w:rFonts w:cs="Calibri"/>
                <w:color w:val="000000"/>
                <w:sz w:val="20"/>
                <w:szCs w:val="20"/>
                <w:lang w:val="fr-FR"/>
              </w:rPr>
              <w:t>’</w:t>
            </w:r>
            <w:r w:rsidRPr="00CF7824">
              <w:rPr>
                <w:rFonts w:cs="Calibri"/>
                <w:color w:val="000000"/>
                <w:sz w:val="20"/>
                <w:szCs w:val="20"/>
                <w:lang w:val="fr-FR"/>
              </w:rPr>
              <w:t>Asie centrale (CAF) (y compris le Plan d</w:t>
            </w:r>
            <w:r w:rsidR="00016E39" w:rsidRPr="00CF7824">
              <w:rPr>
                <w:rFonts w:cs="Calibri"/>
                <w:color w:val="000000"/>
                <w:sz w:val="20"/>
                <w:szCs w:val="20"/>
                <w:lang w:val="fr-FR"/>
              </w:rPr>
              <w:t>’</w:t>
            </w:r>
            <w:r w:rsidRPr="00CF7824">
              <w:rPr>
                <w:rFonts w:cs="Calibri"/>
                <w:color w:val="000000"/>
                <w:sz w:val="20"/>
                <w:szCs w:val="20"/>
                <w:lang w:val="fr-FR"/>
              </w:rPr>
              <w:t>action CAF pour les oiseaux d</w:t>
            </w:r>
            <w:r w:rsidR="00016E39" w:rsidRPr="00CF7824">
              <w:rPr>
                <w:rFonts w:cs="Calibri"/>
                <w:color w:val="000000"/>
                <w:sz w:val="20"/>
                <w:szCs w:val="20"/>
                <w:lang w:val="fr-FR"/>
              </w:rPr>
              <w:t>’</w:t>
            </w:r>
            <w:r w:rsidRPr="00CF7824">
              <w:rPr>
                <w:rFonts w:cs="Calibri"/>
                <w:color w:val="000000"/>
                <w:sz w:val="20"/>
                <w:szCs w:val="20"/>
                <w:lang w:val="fr-FR"/>
              </w:rPr>
              <w:t>eau</w:t>
            </w:r>
            <w:r w:rsidRPr="00CF7824">
              <w:rPr>
                <w:rFonts w:asciiTheme="minorHAnsi" w:eastAsia="Arial" w:hAnsiTheme="minorHAnsi" w:cstheme="minorHAnsi"/>
                <w:color w:val="000000"/>
                <w:sz w:val="20"/>
                <w:szCs w:val="20"/>
                <w:vertAlign w:val="superscript"/>
              </w:rPr>
              <w:footnoteReference w:id="26"/>
            </w:r>
            <w:r w:rsidRPr="00CF7824">
              <w:rPr>
                <w:rFonts w:cs="Calibri"/>
                <w:color w:val="000000"/>
                <w:sz w:val="20"/>
                <w:szCs w:val="20"/>
                <w:lang w:val="fr-FR"/>
              </w:rPr>
              <w:t>) adoptée à la COP14 de la CMS en février</w:t>
            </w:r>
            <w:r w:rsidR="001F19B5" w:rsidRPr="00CF7824">
              <w:rPr>
                <w:rFonts w:cs="Calibri"/>
                <w:color w:val="000000"/>
                <w:sz w:val="20"/>
                <w:szCs w:val="20"/>
                <w:lang w:val="fr-FR"/>
              </w:rPr>
              <w:t> </w:t>
            </w:r>
            <w:r w:rsidRPr="00CF7824">
              <w:rPr>
                <w:rFonts w:cs="Calibri"/>
                <w:color w:val="000000"/>
                <w:sz w:val="20"/>
                <w:szCs w:val="20"/>
                <w:lang w:val="fr-FR"/>
              </w:rPr>
              <w:t xml:space="preserve">2024, à Samarcande.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À déterminer, idéalement tous les six ans</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Initiative CAF de la CMS</w:t>
            </w:r>
            <w:r w:rsidR="00376BA1" w:rsidRPr="00CF7824">
              <w:rPr>
                <w:rFonts w:cs="Calibri"/>
                <w:color w:val="000000"/>
                <w:sz w:val="20"/>
                <w:szCs w:val="20"/>
                <w:lang w:val="fr-FR"/>
              </w:rPr>
              <w:t> </w:t>
            </w:r>
            <w:r w:rsidRPr="00CF7824">
              <w:rPr>
                <w:rFonts w:cs="Calibri"/>
                <w:color w:val="000000"/>
                <w:sz w:val="20"/>
                <w:szCs w:val="20"/>
                <w:lang w:val="fr-FR"/>
              </w:rPr>
              <w:t>? Convention sur les zones humides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régions/populations particulières.</w:t>
            </w:r>
          </w:p>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253"/>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lastRenderedPageBreak/>
              <w:t>Processus d</w:t>
            </w:r>
            <w:r w:rsidR="00016E39" w:rsidRPr="00CF7824">
              <w:rPr>
                <w:rFonts w:cs="Calibri"/>
                <w:color w:val="000000"/>
                <w:sz w:val="20"/>
                <w:szCs w:val="20"/>
                <w:lang w:val="fr-FR"/>
              </w:rPr>
              <w:t>’</w:t>
            </w:r>
            <w:r w:rsidRPr="00CF7824">
              <w:rPr>
                <w:rFonts w:cs="Calibri"/>
                <w:color w:val="000000"/>
                <w:sz w:val="20"/>
                <w:szCs w:val="20"/>
                <w:lang w:val="fr-FR"/>
              </w:rPr>
              <w:t xml:space="preserve">évaluation régionale pour la voie de migration du Pacifique central (pas de cadre existant)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À déterminer, idéalement tous les six ans</w:t>
            </w:r>
            <w:r w:rsidRPr="00CF7824">
              <w:rPr>
                <w:rFonts w:asciiTheme="minorHAnsi" w:eastAsia="Arial" w:hAnsiTheme="minorHAnsi" w:cstheme="minorHAnsi"/>
                <w:color w:val="000000"/>
                <w:sz w:val="20"/>
                <w:szCs w:val="20"/>
                <w:vertAlign w:val="superscript"/>
              </w:rPr>
              <w:footnoteReference w:id="27"/>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Convention sur les zones humides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régions/populations particulières.</w:t>
            </w:r>
          </w:p>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388"/>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Processus d</w:t>
            </w:r>
            <w:r w:rsidR="00016E39" w:rsidRPr="00CF7824">
              <w:rPr>
                <w:rFonts w:cs="Calibri"/>
                <w:color w:val="000000"/>
                <w:sz w:val="20"/>
                <w:szCs w:val="20"/>
                <w:lang w:val="fr-FR"/>
              </w:rPr>
              <w:t>’</w:t>
            </w:r>
            <w:r w:rsidRPr="00CF7824">
              <w:rPr>
                <w:rFonts w:cs="Calibri"/>
                <w:color w:val="000000"/>
                <w:sz w:val="20"/>
                <w:szCs w:val="20"/>
                <w:lang w:val="fr-FR"/>
              </w:rPr>
              <w:t>évaluation régionale pour les Amériques</w:t>
            </w:r>
            <w:r w:rsidRPr="00CF7824">
              <w:rPr>
                <w:rFonts w:asciiTheme="minorHAnsi" w:eastAsia="Arial" w:hAnsiTheme="minorHAnsi" w:cstheme="minorHAnsi"/>
                <w:color w:val="000000"/>
                <w:sz w:val="20"/>
                <w:szCs w:val="20"/>
                <w:vertAlign w:val="superscript"/>
              </w:rPr>
              <w:footnoteReference w:id="28"/>
            </w:r>
            <w:r w:rsidRPr="00CF7824">
              <w:rPr>
                <w:rFonts w:cs="Calibri"/>
                <w:color w:val="000000"/>
                <w:sz w:val="20"/>
                <w:szCs w:val="20"/>
                <w:lang w:val="fr-FR"/>
              </w:rPr>
              <w:t xml:space="preserve"> (Cadre pour les voies de migration des Amériques</w:t>
            </w:r>
            <w:r w:rsidR="00A12CF2" w:rsidRPr="00CF7824">
              <w:rPr>
                <w:rFonts w:cs="Calibri"/>
                <w:color w:val="000000"/>
                <w:sz w:val="20"/>
                <w:szCs w:val="20"/>
                <w:lang w:val="fr-FR"/>
              </w:rPr>
              <w:t>;</w:t>
            </w:r>
            <w:r w:rsidRPr="00CF7824">
              <w:rPr>
                <w:rFonts w:cs="Calibri"/>
                <w:color w:val="000000"/>
                <w:sz w:val="20"/>
                <w:szCs w:val="20"/>
                <w:lang w:val="fr-FR"/>
              </w:rPr>
              <w:t xml:space="preserve"> Cadre CMS pour les voies de migration des Amériques en cours d</w:t>
            </w:r>
            <w:r w:rsidR="00016E39" w:rsidRPr="00CF7824">
              <w:rPr>
                <w:rFonts w:cs="Calibri"/>
                <w:color w:val="000000"/>
                <w:sz w:val="20"/>
                <w:szCs w:val="20"/>
                <w:lang w:val="fr-FR"/>
              </w:rPr>
              <w:t>’</w:t>
            </w:r>
            <w:r w:rsidRPr="00CF7824">
              <w:rPr>
                <w:rFonts w:cs="Calibri"/>
                <w:color w:val="000000"/>
                <w:sz w:val="20"/>
                <w:szCs w:val="20"/>
                <w:lang w:val="fr-FR"/>
              </w:rPr>
              <w:t xml:space="preserve">élaboration)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À déterminer, idéalement tous les six ans </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CMS ou Convention sur les zones humides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régions/populations particulières.</w:t>
            </w:r>
          </w:p>
        </w:tc>
      </w:tr>
      <w:tr w:rsidR="0020115C" w:rsidRPr="00785D5E" w:rsidTr="008F2BE5">
        <w:trPr>
          <w:cantSplit/>
          <w:trHeight w:val="244"/>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Évaluation mondiale des oiseaux d</w:t>
            </w:r>
            <w:r w:rsidR="00016E39" w:rsidRPr="00CF7824">
              <w:rPr>
                <w:rFonts w:cs="Calibri"/>
                <w:color w:val="000000"/>
                <w:sz w:val="20"/>
                <w:szCs w:val="20"/>
                <w:lang w:val="fr-FR"/>
              </w:rPr>
              <w:t>’</w:t>
            </w:r>
            <w:r w:rsidRPr="00CF7824">
              <w:rPr>
                <w:rFonts w:cs="Calibri"/>
                <w:color w:val="000000"/>
                <w:sz w:val="20"/>
                <w:szCs w:val="20"/>
                <w:lang w:val="fr-FR"/>
              </w:rPr>
              <w:t xml:space="preserve">eau résidents/non migrateurs pour inclusion dans les </w:t>
            </w:r>
            <w:r w:rsidRPr="00CF7824">
              <w:rPr>
                <w:rFonts w:cs="Calibri"/>
                <w:i/>
                <w:iCs/>
                <w:color w:val="000000"/>
                <w:sz w:val="20"/>
                <w:szCs w:val="20"/>
                <w:lang w:val="fr-FR"/>
              </w:rPr>
              <w:t>Waterbird Population Estimates</w:t>
            </w:r>
          </w:p>
        </w:tc>
        <w:tc>
          <w:tcPr>
            <w:tcW w:w="1453" w:type="dxa"/>
          </w:tcPr>
          <w:p w:rsidR="00276F84" w:rsidRPr="00CF7824" w:rsidRDefault="00164734" w:rsidP="001A5D5D">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Mise à jour triennale échelonnée couvrant chaque région de la voie de migration à l</w:t>
            </w:r>
            <w:r w:rsidR="00016E39" w:rsidRPr="00CF7824">
              <w:rPr>
                <w:rFonts w:cs="Calibri"/>
                <w:color w:val="000000"/>
                <w:sz w:val="20"/>
                <w:szCs w:val="20"/>
                <w:lang w:val="fr-FR"/>
              </w:rPr>
              <w:t>’</w:t>
            </w:r>
            <w:r w:rsidRPr="00CF7824">
              <w:rPr>
                <w:rFonts w:cs="Calibri"/>
                <w:color w:val="000000"/>
                <w:sz w:val="20"/>
                <w:szCs w:val="20"/>
                <w:lang w:val="fr-FR"/>
              </w:rPr>
              <w:t>échelle mo</w:t>
            </w:r>
            <w:r w:rsidR="001A5D5D" w:rsidRPr="00CF7824">
              <w:rPr>
                <w:rFonts w:cs="Calibri"/>
                <w:color w:val="000000"/>
                <w:sz w:val="20"/>
                <w:szCs w:val="20"/>
                <w:lang w:val="fr-FR"/>
              </w:rPr>
              <w:t>ndiale ou comme convenu par le Partenariat</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Convention sur les zones humides ? Autres entités apportant un soutien financier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régions/populations particulières.</w:t>
            </w:r>
          </w:p>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110"/>
        </w:trPr>
        <w:tc>
          <w:tcPr>
            <w:tcW w:w="3345" w:type="dxa"/>
          </w:tcPr>
          <w:p w:rsidR="00276F84" w:rsidRPr="00CF7824" w:rsidRDefault="008F2BE5"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Gestion du</w:t>
            </w:r>
            <w:r w:rsidR="004278F7" w:rsidRPr="00CF7824">
              <w:rPr>
                <w:rFonts w:cs="Calibri"/>
                <w:color w:val="000000"/>
                <w:sz w:val="20"/>
                <w:szCs w:val="20"/>
                <w:lang w:val="fr-FR"/>
              </w:rPr>
              <w:t xml:space="preserve"> Waterbird</w:t>
            </w:r>
            <w:r w:rsidR="00164734" w:rsidRPr="00CF7824">
              <w:rPr>
                <w:rFonts w:cs="Calibri"/>
                <w:color w:val="000000"/>
                <w:sz w:val="20"/>
                <w:szCs w:val="20"/>
                <w:lang w:val="fr-FR"/>
              </w:rPr>
              <w:t xml:space="preserve"> Populations Portal pour fournir des informations sur les populations d</w:t>
            </w:r>
            <w:r w:rsidR="00016E39" w:rsidRPr="00CF7824">
              <w:rPr>
                <w:rFonts w:cs="Calibri"/>
                <w:color w:val="000000"/>
                <w:sz w:val="20"/>
                <w:szCs w:val="20"/>
                <w:lang w:val="fr-FR"/>
              </w:rPr>
              <w:t>’</w:t>
            </w:r>
            <w:r w:rsidR="00164734" w:rsidRPr="00CF7824">
              <w:rPr>
                <w:rFonts w:cs="Calibri"/>
                <w:color w:val="000000"/>
                <w:sz w:val="20"/>
                <w:szCs w:val="20"/>
                <w:lang w:val="fr-FR"/>
              </w:rPr>
              <w:t>oiseaux d</w:t>
            </w:r>
            <w:r w:rsidR="00016E39" w:rsidRPr="00CF7824">
              <w:rPr>
                <w:rFonts w:cs="Calibri"/>
                <w:color w:val="000000"/>
                <w:sz w:val="20"/>
                <w:szCs w:val="20"/>
                <w:lang w:val="fr-FR"/>
              </w:rPr>
              <w:t>’</w:t>
            </w:r>
            <w:r w:rsidR="00164734" w:rsidRPr="00CF7824">
              <w:rPr>
                <w:rFonts w:cs="Calibri"/>
                <w:color w:val="000000"/>
                <w:sz w:val="20"/>
                <w:szCs w:val="20"/>
                <w:lang w:val="fr-FR"/>
              </w:rPr>
              <w:t>eau et les mettre à jour en réponse aux mises à jour annuelles de la Liste rouge de l</w:t>
            </w:r>
            <w:r w:rsidR="00016E39" w:rsidRPr="00CF7824">
              <w:rPr>
                <w:rFonts w:cs="Calibri"/>
                <w:color w:val="000000"/>
                <w:sz w:val="20"/>
                <w:szCs w:val="20"/>
                <w:lang w:val="fr-FR"/>
              </w:rPr>
              <w:t>’</w:t>
            </w:r>
            <w:r w:rsidR="00164734" w:rsidRPr="00CF7824">
              <w:rPr>
                <w:rFonts w:cs="Calibri"/>
                <w:color w:val="000000"/>
                <w:sz w:val="20"/>
                <w:szCs w:val="20"/>
                <w:lang w:val="fr-FR"/>
              </w:rPr>
              <w:t>UICN, ainsi qu</w:t>
            </w:r>
            <w:r w:rsidR="00016E39" w:rsidRPr="00CF7824">
              <w:rPr>
                <w:rFonts w:cs="Calibri"/>
                <w:color w:val="000000"/>
                <w:sz w:val="20"/>
                <w:szCs w:val="20"/>
                <w:lang w:val="fr-FR"/>
              </w:rPr>
              <w:t>’</w:t>
            </w:r>
            <w:r w:rsidR="00164734" w:rsidRPr="00CF7824">
              <w:rPr>
                <w:rFonts w:cs="Calibri"/>
                <w:color w:val="000000"/>
                <w:sz w:val="20"/>
                <w:szCs w:val="20"/>
                <w:lang w:val="fr-FR"/>
              </w:rPr>
              <w:t xml:space="preserve">aux mises à jour périodiques des informations sur la taxonomie et les populations.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Annuel</w:t>
            </w:r>
            <w:r w:rsidR="0016508D" w:rsidRPr="00CF7824">
              <w:rPr>
                <w:rFonts w:cs="Calibri"/>
                <w:color w:val="000000"/>
                <w:sz w:val="20"/>
                <w:szCs w:val="20"/>
                <w:lang w:val="fr-FR"/>
              </w:rPr>
              <w:t>le</w:t>
            </w:r>
          </w:p>
        </w:tc>
        <w:tc>
          <w:tcPr>
            <w:tcW w:w="1701" w:type="dxa"/>
          </w:tcPr>
          <w:p w:rsidR="008F2BE5" w:rsidRPr="00CF7824" w:rsidRDefault="00164734" w:rsidP="00602EDF">
            <w:pPr>
              <w:pBdr>
                <w:top w:val="nil"/>
                <w:left w:val="nil"/>
                <w:bottom w:val="nil"/>
                <w:right w:val="nil"/>
                <w:between w:val="nil"/>
              </w:pBdr>
              <w:spacing w:after="0" w:line="240" w:lineRule="auto"/>
              <w:rPr>
                <w:rFonts w:cs="Calibri"/>
                <w:color w:val="000000"/>
                <w:sz w:val="20"/>
                <w:szCs w:val="20"/>
                <w:lang w:val="fr-FR"/>
              </w:rPr>
            </w:pPr>
            <w:r w:rsidRPr="00CF7824">
              <w:rPr>
                <w:rFonts w:cs="Calibri"/>
                <w:color w:val="000000"/>
                <w:sz w:val="20"/>
                <w:szCs w:val="20"/>
                <w:lang w:val="fr-FR"/>
              </w:rPr>
              <w:t xml:space="preserve">Convention sur les zones humides ? </w:t>
            </w:r>
          </w:p>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Autres entités apportant un soutien financier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du personnel (Wetlands International) et contrats de sous-traitance pour des développements particuliers.</w:t>
            </w:r>
          </w:p>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110"/>
        </w:trPr>
        <w:tc>
          <w:tcPr>
            <w:tcW w:w="3345" w:type="dxa"/>
          </w:tcPr>
          <w:p w:rsidR="00276F84" w:rsidRPr="00CF7824" w:rsidRDefault="0016473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lang w:val="fr-FR"/>
              </w:rPr>
            </w:pPr>
            <w:r w:rsidRPr="00CF7824">
              <w:rPr>
                <w:rFonts w:cs="Calibri"/>
                <w:b/>
                <w:bCs/>
                <w:i/>
                <w:iCs/>
                <w:color w:val="000000"/>
                <w:sz w:val="20"/>
                <w:szCs w:val="20"/>
                <w:lang w:val="fr-FR"/>
              </w:rPr>
              <w:t>Rapport sur les mises à jour des WPE et les principaux résultats</w:t>
            </w:r>
          </w:p>
        </w:tc>
        <w:tc>
          <w:tcPr>
            <w:tcW w:w="1453"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c>
          <w:tcPr>
            <w:tcW w:w="1701"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c>
          <w:tcPr>
            <w:tcW w:w="2857"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785D5E" w:rsidTr="008F2BE5">
        <w:trPr>
          <w:cantSplit/>
          <w:trHeight w:val="110"/>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Publication d</w:t>
            </w:r>
            <w:r w:rsidR="00016E39" w:rsidRPr="00CF7824">
              <w:rPr>
                <w:rFonts w:cs="Calibri"/>
                <w:color w:val="000000"/>
                <w:sz w:val="20"/>
                <w:szCs w:val="20"/>
                <w:lang w:val="fr-FR"/>
              </w:rPr>
              <w:t>’</w:t>
            </w:r>
            <w:r w:rsidRPr="00CF7824">
              <w:rPr>
                <w:rFonts w:cs="Calibri"/>
                <w:color w:val="000000"/>
                <w:sz w:val="20"/>
                <w:szCs w:val="20"/>
                <w:lang w:val="fr-FR"/>
              </w:rPr>
              <w:t>un rapport en ligne sur l</w:t>
            </w:r>
            <w:r w:rsidR="00016E39" w:rsidRPr="00CF7824">
              <w:rPr>
                <w:rFonts w:cs="Calibri"/>
                <w:color w:val="000000"/>
                <w:sz w:val="20"/>
                <w:szCs w:val="20"/>
                <w:lang w:val="fr-FR"/>
              </w:rPr>
              <w:t>’</w:t>
            </w:r>
            <w:r w:rsidRPr="00CF7824">
              <w:rPr>
                <w:rFonts w:cs="Calibri"/>
                <w:color w:val="000000"/>
                <w:sz w:val="20"/>
                <w:szCs w:val="20"/>
                <w:lang w:val="fr-FR"/>
              </w:rPr>
              <w:t>état de conservation des oiseaux d</w:t>
            </w:r>
            <w:r w:rsidR="00016E39" w:rsidRPr="00CF7824">
              <w:rPr>
                <w:rFonts w:cs="Calibri"/>
                <w:color w:val="000000"/>
                <w:sz w:val="20"/>
                <w:szCs w:val="20"/>
                <w:lang w:val="fr-FR"/>
              </w:rPr>
              <w:t>’</w:t>
            </w:r>
            <w:r w:rsidRPr="00CF7824">
              <w:rPr>
                <w:rFonts w:cs="Calibri"/>
                <w:color w:val="000000"/>
                <w:sz w:val="20"/>
                <w:szCs w:val="20"/>
                <w:lang w:val="fr-FR"/>
              </w:rPr>
              <w:t>eau dans le monde pour chaque COP de la Convention sur les zones humides, présentant une vue d</w:t>
            </w:r>
            <w:r w:rsidR="00016E39" w:rsidRPr="00CF7824">
              <w:rPr>
                <w:rFonts w:cs="Calibri"/>
                <w:color w:val="000000"/>
                <w:sz w:val="20"/>
                <w:szCs w:val="20"/>
                <w:lang w:val="fr-FR"/>
              </w:rPr>
              <w:t>’</w:t>
            </w:r>
            <w:r w:rsidRPr="00CF7824">
              <w:rPr>
                <w:rFonts w:cs="Calibri"/>
                <w:color w:val="000000"/>
                <w:sz w:val="20"/>
                <w:szCs w:val="20"/>
                <w:lang w:val="fr-FR"/>
              </w:rPr>
              <w:t>ensemble des estimations des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et des activités du Partenariat pour l</w:t>
            </w:r>
            <w:r w:rsidR="00016E39" w:rsidRPr="00CF7824">
              <w:rPr>
                <w:rFonts w:cs="Calibri"/>
                <w:color w:val="000000"/>
                <w:sz w:val="20"/>
                <w:szCs w:val="20"/>
                <w:lang w:val="fr-FR"/>
              </w:rPr>
              <w:t>’</w:t>
            </w:r>
            <w:r w:rsidRPr="00CF7824">
              <w:rPr>
                <w:rFonts w:cs="Calibri"/>
                <w:color w:val="000000"/>
                <w:sz w:val="20"/>
                <w:szCs w:val="20"/>
                <w:lang w:val="fr-FR"/>
              </w:rPr>
              <w:t>estimation des oiseaux d</w:t>
            </w:r>
            <w:r w:rsidR="00016E39" w:rsidRPr="00CF7824">
              <w:rPr>
                <w:rFonts w:cs="Calibri"/>
                <w:color w:val="000000"/>
                <w:sz w:val="20"/>
                <w:szCs w:val="20"/>
                <w:lang w:val="fr-FR"/>
              </w:rPr>
              <w:t>’</w:t>
            </w:r>
            <w:r w:rsidRPr="00CF7824">
              <w:rPr>
                <w:rFonts w:cs="Calibri"/>
                <w:color w:val="000000"/>
                <w:sz w:val="20"/>
                <w:szCs w:val="20"/>
                <w:lang w:val="fr-FR"/>
              </w:rPr>
              <w:t xml:space="preserve">eau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Triennale</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Convention sur les zones humides</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Temps de travail du personnel (Wetlands International) et contrats de sous-traitance pour des éléments particuliers du rapport. </w:t>
            </w:r>
          </w:p>
        </w:tc>
      </w:tr>
      <w:tr w:rsidR="0020115C" w:rsidRPr="00785D5E" w:rsidTr="008F2BE5">
        <w:trPr>
          <w:cantSplit/>
          <w:trHeight w:val="110"/>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lastRenderedPageBreak/>
              <w:t>Publication périodique des estimations mondiales des populations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 (rapport au nom de la Convention sur les zones humides et d</w:t>
            </w:r>
            <w:r w:rsidR="00016E39" w:rsidRPr="00CF7824">
              <w:rPr>
                <w:rFonts w:cs="Calibri"/>
                <w:color w:val="000000"/>
                <w:sz w:val="20"/>
                <w:szCs w:val="20"/>
                <w:lang w:val="fr-FR"/>
              </w:rPr>
              <w:t>’</w:t>
            </w:r>
            <w:r w:rsidRPr="00CF7824">
              <w:rPr>
                <w:rFonts w:cs="Calibri"/>
                <w:color w:val="000000"/>
                <w:sz w:val="20"/>
                <w:szCs w:val="20"/>
                <w:lang w:val="fr-FR"/>
              </w:rPr>
              <w:t>autres partenaires) contenant un résumé de la taille des populations, des estimations des tendances et des seuils de 1%.</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Intervalles de six ans</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Convention sur les zones humides</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Éléments de coûts à inclure :</w:t>
            </w:r>
          </w:p>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 xml:space="preserve">Rapport en ligne, pages Web associées sur le site Web de Wetlands International, communiqués de presse, hébergement du site Web, coûts des exemplaires imprimés. </w:t>
            </w:r>
          </w:p>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Le temps de travail du personnel chargé de compiler et de produire les informations, y compris les consultants externes et les pairs évaluateurs si nécessaire.</w:t>
            </w:r>
          </w:p>
        </w:tc>
      </w:tr>
      <w:tr w:rsidR="0020115C" w:rsidRPr="00785D5E" w:rsidTr="008F2BE5">
        <w:trPr>
          <w:cantSplit/>
          <w:trHeight w:val="110"/>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Rapports à d</w:t>
            </w:r>
            <w:r w:rsidR="00016E39" w:rsidRPr="00CF7824">
              <w:rPr>
                <w:rFonts w:cs="Calibri"/>
                <w:color w:val="000000"/>
                <w:sz w:val="20"/>
                <w:szCs w:val="20"/>
                <w:lang w:val="fr-FR"/>
              </w:rPr>
              <w:t>’</w:t>
            </w:r>
            <w:r w:rsidRPr="00CF7824">
              <w:rPr>
                <w:rFonts w:cs="Calibri"/>
                <w:color w:val="000000"/>
                <w:sz w:val="20"/>
                <w:szCs w:val="20"/>
                <w:lang w:val="fr-FR"/>
              </w:rPr>
              <w:t>autres processus de partenariat</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À décider en accord avec les partenaires</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Partenaires, collaboration avec la Convention sur les zones humides</w:t>
            </w:r>
            <w:r w:rsidR="00376BA1" w:rsidRPr="00CF7824">
              <w:rPr>
                <w:rFonts w:cs="Calibri"/>
                <w:color w:val="000000"/>
                <w:sz w:val="20"/>
                <w:szCs w:val="20"/>
                <w:lang w:val="fr-FR"/>
              </w:rPr>
              <w:t> </w:t>
            </w:r>
            <w:r w:rsidRPr="00CF7824">
              <w:rPr>
                <w:rFonts w:cs="Calibri"/>
                <w:color w:val="000000"/>
                <w:sz w:val="20"/>
                <w:szCs w:val="20"/>
                <w:lang w:val="fr-FR"/>
              </w:rPr>
              <w:t>?</w:t>
            </w:r>
          </w:p>
        </w:tc>
        <w:tc>
          <w:tcPr>
            <w:tcW w:w="2857"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p>
        </w:tc>
      </w:tr>
      <w:tr w:rsidR="0020115C" w:rsidRPr="00CF7824" w:rsidTr="008F2BE5">
        <w:trPr>
          <w:cantSplit/>
          <w:trHeight w:val="110"/>
        </w:trPr>
        <w:tc>
          <w:tcPr>
            <w:tcW w:w="3345" w:type="dxa"/>
          </w:tcPr>
          <w:p w:rsidR="00276F84" w:rsidRPr="00CF7824" w:rsidRDefault="0016473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sidRPr="00CF7824">
              <w:rPr>
                <w:rFonts w:cs="Calibri"/>
                <w:b/>
                <w:bCs/>
                <w:i/>
                <w:iCs/>
                <w:color w:val="000000"/>
                <w:sz w:val="20"/>
                <w:szCs w:val="20"/>
                <w:lang w:val="fr-FR"/>
              </w:rPr>
              <w:t>Coordination</w:t>
            </w:r>
          </w:p>
        </w:tc>
        <w:tc>
          <w:tcPr>
            <w:tcW w:w="1453"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rsidR="00276F84" w:rsidRPr="00CF7824"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0115C" w:rsidRPr="00785D5E" w:rsidTr="008F2BE5">
        <w:trPr>
          <w:cantSplit/>
          <w:trHeight w:val="110"/>
        </w:trPr>
        <w:tc>
          <w:tcPr>
            <w:tcW w:w="3345" w:type="dxa"/>
          </w:tcPr>
          <w:p w:rsidR="00276F84" w:rsidRPr="00CF7824" w:rsidRDefault="0016473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lang w:val="fr-FR"/>
              </w:rPr>
            </w:pPr>
            <w:r w:rsidRPr="00CF7824">
              <w:rPr>
                <w:rFonts w:cs="Calibri"/>
                <w:color w:val="000000"/>
                <w:sz w:val="20"/>
                <w:szCs w:val="20"/>
                <w:lang w:val="fr-FR"/>
              </w:rPr>
              <w:t>Coordination du Partenariat pour l</w:t>
            </w:r>
            <w:r w:rsidR="00016E39" w:rsidRPr="00CF7824">
              <w:rPr>
                <w:rFonts w:cs="Calibri"/>
                <w:color w:val="000000"/>
                <w:sz w:val="20"/>
                <w:szCs w:val="20"/>
                <w:lang w:val="fr-FR"/>
              </w:rPr>
              <w:t>’</w:t>
            </w:r>
            <w:r w:rsidRPr="00CF7824">
              <w:rPr>
                <w:rFonts w:cs="Calibri"/>
                <w:color w:val="000000"/>
                <w:sz w:val="20"/>
                <w:szCs w:val="20"/>
                <w:lang w:val="fr-FR"/>
              </w:rPr>
              <w:t>estimation des oiseaux d</w:t>
            </w:r>
            <w:r w:rsidR="00016E39" w:rsidRPr="00CF7824">
              <w:rPr>
                <w:rFonts w:cs="Calibri"/>
                <w:color w:val="000000"/>
                <w:sz w:val="20"/>
                <w:szCs w:val="20"/>
                <w:lang w:val="fr-FR"/>
              </w:rPr>
              <w:t>’</w:t>
            </w:r>
            <w:r w:rsidRPr="00CF7824">
              <w:rPr>
                <w:rFonts w:cs="Calibri"/>
                <w:color w:val="000000"/>
                <w:sz w:val="20"/>
                <w:szCs w:val="20"/>
                <w:lang w:val="fr-FR"/>
              </w:rPr>
              <w:t xml:space="preserve">eau par un </w:t>
            </w:r>
            <w:r w:rsidR="00376BA1" w:rsidRPr="00CF7824">
              <w:rPr>
                <w:rFonts w:cs="Calibri"/>
                <w:color w:val="000000"/>
                <w:sz w:val="20"/>
                <w:szCs w:val="20"/>
                <w:lang w:val="fr-FR"/>
              </w:rPr>
              <w:t>« </w:t>
            </w:r>
            <w:r w:rsidRPr="00CF7824">
              <w:rPr>
                <w:rFonts w:cs="Calibri"/>
                <w:color w:val="000000"/>
                <w:sz w:val="20"/>
                <w:szCs w:val="20"/>
                <w:lang w:val="fr-FR"/>
              </w:rPr>
              <w:t>Comité de coordination mondial</w:t>
            </w:r>
            <w:r w:rsidR="00376BA1" w:rsidRPr="00CF7824">
              <w:rPr>
                <w:rFonts w:cs="Calibri"/>
                <w:color w:val="000000"/>
                <w:sz w:val="20"/>
                <w:szCs w:val="20"/>
                <w:lang w:val="fr-FR"/>
              </w:rPr>
              <w:t> »</w:t>
            </w:r>
            <w:r w:rsidRPr="00CF7824">
              <w:rPr>
                <w:rFonts w:cs="Calibri"/>
                <w:color w:val="000000"/>
                <w:sz w:val="20"/>
                <w:szCs w:val="20"/>
                <w:lang w:val="fr-FR"/>
              </w:rPr>
              <w:t xml:space="preserve">. </w:t>
            </w:r>
          </w:p>
        </w:tc>
        <w:tc>
          <w:tcPr>
            <w:tcW w:w="1453"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CF7824">
              <w:rPr>
                <w:rFonts w:cs="Calibri"/>
                <w:color w:val="000000"/>
                <w:sz w:val="20"/>
                <w:szCs w:val="20"/>
                <w:lang w:val="fr-FR"/>
              </w:rPr>
              <w:t xml:space="preserve">Annuel </w:t>
            </w:r>
          </w:p>
        </w:tc>
        <w:tc>
          <w:tcPr>
            <w:tcW w:w="1701"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Convention sur les zones humides et partenaires ? Autres entités apportant un soutien financier ?</w:t>
            </w:r>
          </w:p>
        </w:tc>
        <w:tc>
          <w:tcPr>
            <w:tcW w:w="2857" w:type="dxa"/>
          </w:tcPr>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Temps de travail (Wetlands International).</w:t>
            </w:r>
          </w:p>
          <w:p w:rsidR="00276F84" w:rsidRPr="00CF7824" w:rsidRDefault="0016473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lang w:val="fr-FR"/>
              </w:rPr>
            </w:pPr>
            <w:r w:rsidRPr="00CF7824">
              <w:rPr>
                <w:rFonts w:cs="Calibri"/>
                <w:color w:val="000000"/>
                <w:sz w:val="20"/>
                <w:szCs w:val="20"/>
                <w:lang w:val="fr-FR"/>
              </w:rPr>
              <w:t>Frais de la réunion annuelle (frais de voyage et frais connexes s</w:t>
            </w:r>
            <w:r w:rsidR="00016E39" w:rsidRPr="00CF7824">
              <w:rPr>
                <w:rFonts w:cs="Calibri"/>
                <w:color w:val="000000"/>
                <w:sz w:val="20"/>
                <w:szCs w:val="20"/>
                <w:lang w:val="fr-FR"/>
              </w:rPr>
              <w:t>’</w:t>
            </w:r>
            <w:r w:rsidRPr="00CF7824">
              <w:rPr>
                <w:rFonts w:cs="Calibri"/>
                <w:color w:val="000000"/>
                <w:sz w:val="20"/>
                <w:szCs w:val="20"/>
                <w:lang w:val="fr-FR"/>
              </w:rPr>
              <w:t>ils sont liés à une autre réunion).</w:t>
            </w:r>
          </w:p>
        </w:tc>
      </w:tr>
    </w:tbl>
    <w:p w:rsidR="00447EB4" w:rsidRPr="00CF7824" w:rsidRDefault="00447EB4">
      <w:pPr>
        <w:rPr>
          <w:rFonts w:asciiTheme="minorHAnsi" w:hAnsiTheme="minorHAnsi" w:cstheme="minorHAnsi"/>
          <w:i/>
          <w:iCs/>
          <w:lang w:val="fr-FR"/>
        </w:rPr>
      </w:pPr>
    </w:p>
    <w:p w:rsidR="0048039A" w:rsidRPr="00CF7824" w:rsidRDefault="0048039A">
      <w:pPr>
        <w:rPr>
          <w:rFonts w:asciiTheme="minorHAnsi" w:hAnsiTheme="minorHAnsi" w:cstheme="minorHAnsi"/>
          <w:i/>
          <w:iCs/>
          <w:lang w:val="fr-FR"/>
        </w:rPr>
      </w:pPr>
    </w:p>
    <w:p w:rsidR="007142C2" w:rsidRPr="00CF7824" w:rsidRDefault="00164734" w:rsidP="009B6D38">
      <w:pPr>
        <w:keepNext/>
        <w:spacing w:after="120"/>
        <w:ind w:left="0" w:firstLine="0"/>
        <w:rPr>
          <w:rFonts w:asciiTheme="minorHAnsi" w:hAnsiTheme="minorHAnsi" w:cstheme="minorHAnsi"/>
          <w:i/>
          <w:iCs/>
          <w:lang w:val="fr-FR"/>
        </w:rPr>
      </w:pPr>
      <w:r w:rsidRPr="00CF7824">
        <w:rPr>
          <w:rFonts w:cs="Calibri"/>
          <w:i/>
          <w:iCs/>
          <w:lang w:val="fr-FR"/>
        </w:rPr>
        <w:t xml:space="preserve">Encadré 6 : </w:t>
      </w:r>
      <w:r w:rsidR="00F149CA" w:rsidRPr="00CF7824">
        <w:rPr>
          <w:rFonts w:cs="Calibri"/>
          <w:i/>
          <w:iCs/>
          <w:lang w:val="fr-FR"/>
        </w:rPr>
        <w:t>Recommandation</w:t>
      </w:r>
      <w:r w:rsidR="001F19B5" w:rsidRPr="00CF7824">
        <w:rPr>
          <w:rFonts w:cs="Calibri"/>
          <w:i/>
          <w:iCs/>
          <w:lang w:val="fr-FR"/>
        </w:rPr>
        <w:t> </w:t>
      </w:r>
      <w:r w:rsidRPr="00CF7824">
        <w:rPr>
          <w:rFonts w:cs="Calibri"/>
          <w:i/>
          <w:iCs/>
          <w:lang w:val="fr-FR"/>
        </w:rPr>
        <w:t>5 du GEST : Mode opératoire du Partenariat pour l</w:t>
      </w:r>
      <w:r w:rsidR="00016E39" w:rsidRPr="00CF7824">
        <w:rPr>
          <w:rFonts w:cs="Calibri"/>
          <w:i/>
          <w:iCs/>
          <w:lang w:val="fr-FR"/>
        </w:rPr>
        <w:t>’</w:t>
      </w:r>
      <w:r w:rsidRPr="00CF7824">
        <w:rPr>
          <w:rFonts w:cs="Calibri"/>
          <w:i/>
          <w:iCs/>
          <w:lang w:val="fr-FR"/>
        </w:rPr>
        <w:t>estimation des oiseaux d</w:t>
      </w:r>
      <w:r w:rsidR="00016E39" w:rsidRPr="00CF7824">
        <w:rPr>
          <w:rFonts w:cs="Calibri"/>
          <w:i/>
          <w:iCs/>
          <w:lang w:val="fr-FR"/>
        </w:rPr>
        <w:t>’</w:t>
      </w:r>
      <w:r w:rsidRPr="00CF7824">
        <w:rPr>
          <w:rFonts w:cs="Calibri"/>
          <w:i/>
          <w:iCs/>
          <w:lang w:val="fr-FR"/>
        </w:rPr>
        <w:t>eau.</w:t>
      </w:r>
    </w:p>
    <w:p w:rsidR="00A53FD0" w:rsidRPr="00CF7824" w:rsidRDefault="009B6D38">
      <w:pPr>
        <w:rPr>
          <w:rFonts w:asciiTheme="minorHAnsi" w:hAnsiTheme="minorHAnsi" w:cstheme="minorHAnsi"/>
          <w:b/>
          <w:lang w:val="fr-FR"/>
        </w:rPr>
      </w:pPr>
      <w:bookmarkStart w:id="11" w:name="_Toc159848053"/>
      <w:r w:rsidRPr="00CF7824">
        <w:rPr>
          <w:rFonts w:asciiTheme="minorHAnsi" w:hAnsiTheme="minorHAnsi" w:cstheme="minorHAnsi"/>
          <w:noProof/>
          <w:lang w:val="fr-FR" w:eastAsia="fr-FR"/>
        </w:rPr>
        <mc:AlternateContent>
          <mc:Choice Requires="wps">
            <w:drawing>
              <wp:inline distT="0" distB="0" distL="0" distR="0" wp14:anchorId="0D4778E0" wp14:editId="09F4F13C">
                <wp:extent cx="5791200" cy="1833753"/>
                <wp:effectExtent l="0" t="0" r="19050" b="17780"/>
                <wp:docPr id="90054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833753"/>
                        </a:xfrm>
                        <a:prstGeom prst="rect">
                          <a:avLst/>
                        </a:prstGeom>
                        <a:solidFill>
                          <a:srgbClr val="FFFFFF"/>
                        </a:solidFill>
                        <a:ln w="9525">
                          <a:solidFill>
                            <a:srgbClr val="000000"/>
                          </a:solidFill>
                          <a:miter lim="800000"/>
                          <a:headEnd/>
                          <a:tailEnd/>
                        </a:ln>
                      </wps:spPr>
                      <wps:txbx>
                        <w:txbxContent>
                          <w:p w:rsidR="00DA168E" w:rsidRPr="00164734" w:rsidRDefault="00DA168E" w:rsidP="009B6D38">
                            <w:pPr>
                              <w:pStyle w:val="ListParagraph"/>
                              <w:ind w:left="142" w:firstLine="0"/>
                              <w:rPr>
                                <w:lang w:val="fr-FR"/>
                              </w:rPr>
                            </w:pPr>
                            <w:r>
                              <w:rPr>
                                <w:rFonts w:cs="Calibri"/>
                                <w:lang w:val="fr-FR"/>
                              </w:rPr>
                              <w:t xml:space="preserve">Il est proposé de définir clairement le mode opératoire du Partenariat pour l’estimation des oiseaux d’eau sur la base des informations présentées dans le tableau 5 et l’annexe 4, comprenant un programme de travail modulaire et chiffré pour gérer un partenariat formel après la COP16 (2028), qui garantit à l’avenir la fourniture de </w:t>
                            </w:r>
                            <w:r>
                              <w:rPr>
                                <w:lang w:val="fr-FR"/>
                              </w:rPr>
                              <w:t>mises à jour régulières des WPE</w:t>
                            </w:r>
                            <w:r>
                              <w:rPr>
                                <w:rFonts w:cs="Calibri"/>
                                <w:lang w:val="fr-FR"/>
                              </w:rPr>
                              <w:t>.</w:t>
                            </w:r>
                          </w:p>
                        </w:txbxContent>
                      </wps:txbx>
                      <wps:bodyPr rot="0" vert="horz" wrap="square" lIns="91440" tIns="45720" rIns="91440" bIns="45720" anchor="t" anchorCtr="0">
                        <a:spAutoFit/>
                      </wps:bodyPr>
                    </wps:wsp>
                  </a:graphicData>
                </a:graphic>
              </wp:inline>
            </w:drawing>
          </mc:Choice>
          <mc:Fallback>
            <w:pict>
              <v:shape w14:anchorId="0D4778E0" id="_x0000_s1032" type="#_x0000_t202" style="width:456pt;height:1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">
                <v:textbox style="mso-fit-shape-to-text:t">
                  <w:txbxContent>
                    <w:p w:rsidR="00DA168E" w:rsidRPr="00164734" w:rsidRDefault="00DA168E" w:rsidP="009B6D38">
                      <w:pPr>
                        <w:pStyle w:val="ListParagraph"/>
                        <w:ind w:left="142" w:firstLine="0"/>
                        <w:rPr>
                          <w:lang w:val="fr-FR"/>
                        </w:rPr>
                      </w:pPr>
                      <w:r>
                        <w:rPr>
                          <w:rFonts w:cs="Calibri"/>
                          <w:lang w:val="fr-FR"/>
                        </w:rPr>
                        <w:t xml:space="preserve">Il est proposé de définir clairement le mode opératoire du Partenariat pour l’estimation des oiseaux d’eau sur la base des informations présentées dans le tableau 5 et l’annexe 4, comprenant un programme de travail modulaire et chiffré pour gérer un partenariat formel après la COP16 (2028), qui garantit à l’avenir la fourniture de </w:t>
                      </w:r>
                      <w:r>
                        <w:rPr>
                          <w:lang w:val="fr-FR"/>
                        </w:rPr>
                        <w:t>mises à jour régulières des WPE</w:t>
                      </w:r>
                      <w:r>
                        <w:rPr>
                          <w:rFonts w:cs="Calibri"/>
                          <w:lang w:val="fr-FR"/>
                        </w:rPr>
                        <w:t>.</w:t>
                      </w:r>
                    </w:p>
                  </w:txbxContent>
                </v:textbox>
                <w10:anchorlock/>
              </v:shape>
            </w:pict>
          </mc:Fallback>
        </mc:AlternateContent>
      </w:r>
    </w:p>
    <w:p w:rsidR="009F375B" w:rsidRPr="00CF7824" w:rsidRDefault="009F375B">
      <w:pPr>
        <w:rPr>
          <w:rFonts w:asciiTheme="minorHAnsi" w:hAnsiTheme="minorHAnsi" w:cstheme="minorHAnsi"/>
          <w:b/>
          <w:lang w:val="fr-FR"/>
        </w:rPr>
      </w:pPr>
    </w:p>
    <w:p w:rsidR="00486D02" w:rsidRPr="00CF7824" w:rsidRDefault="00164734" w:rsidP="009D359D">
      <w:pPr>
        <w:keepNext/>
        <w:rPr>
          <w:rFonts w:asciiTheme="minorHAnsi" w:hAnsiTheme="minorHAnsi" w:cstheme="minorHAnsi"/>
          <w:b/>
          <w:lang w:val="fr-FR"/>
        </w:rPr>
      </w:pPr>
      <w:r w:rsidRPr="00CF7824">
        <w:rPr>
          <w:rFonts w:cs="Calibri"/>
          <w:b/>
          <w:bCs/>
          <w:lang w:val="fr-FR"/>
        </w:rPr>
        <w:t>Implications de la proposition technique en matière de ressources</w:t>
      </w:r>
      <w:bookmarkEnd w:id="11"/>
    </w:p>
    <w:p w:rsidR="001409DB" w:rsidRPr="00CF7824" w:rsidRDefault="001409DB" w:rsidP="009D359D">
      <w:pPr>
        <w:keepNext/>
        <w:rPr>
          <w:rFonts w:asciiTheme="minorHAnsi" w:hAnsiTheme="minorHAnsi" w:cstheme="minorHAnsi"/>
          <w:lang w:val="fr-FR"/>
        </w:rPr>
      </w:pPr>
    </w:p>
    <w:p w:rsidR="000B108E" w:rsidRPr="00CF7824" w:rsidRDefault="00164734" w:rsidP="0036606D">
      <w:pPr>
        <w:rPr>
          <w:rFonts w:asciiTheme="minorHAnsi" w:hAnsiTheme="minorHAnsi" w:cstheme="minorHAnsi"/>
          <w:lang w:val="fr-FR"/>
        </w:rPr>
      </w:pPr>
      <w:r w:rsidRPr="00CF7824">
        <w:rPr>
          <w:rFonts w:cs="Calibri"/>
          <w:bCs/>
          <w:lang w:val="fr-FR"/>
        </w:rPr>
        <w:t>57.</w:t>
      </w:r>
      <w:r w:rsidRPr="00CF7824">
        <w:rPr>
          <w:rFonts w:cs="Calibri"/>
          <w:bCs/>
          <w:lang w:val="fr-FR"/>
        </w:rPr>
        <w:tab/>
        <w:t>Les implications en matière de ressources à court terme de la mise à jour immédiate des WPE entre 2025 et 2027 (pour la</w:t>
      </w:r>
      <w:r w:rsidR="008F2BE5" w:rsidRPr="00CF7824">
        <w:rPr>
          <w:rFonts w:cs="Calibri"/>
          <w:bCs/>
          <w:lang w:val="fr-FR"/>
        </w:rPr>
        <w:t xml:space="preserve"> publication des WPE</w:t>
      </w:r>
      <w:r w:rsidRPr="00CF7824">
        <w:rPr>
          <w:rFonts w:cs="Calibri"/>
          <w:bCs/>
          <w:lang w:val="fr-FR"/>
        </w:rPr>
        <w:t>2027) sont résumées dans le tableau</w:t>
      </w:r>
      <w:r w:rsidR="001F19B5" w:rsidRPr="00CF7824">
        <w:rPr>
          <w:rFonts w:cs="Calibri"/>
          <w:bCs/>
          <w:lang w:val="fr-FR"/>
        </w:rPr>
        <w:t> </w:t>
      </w:r>
      <w:r w:rsidRPr="00CF7824">
        <w:rPr>
          <w:rFonts w:cs="Calibri"/>
          <w:bCs/>
          <w:lang w:val="fr-FR"/>
        </w:rPr>
        <w:t>6.</w:t>
      </w:r>
    </w:p>
    <w:p w:rsidR="000B108E" w:rsidRPr="00CF7824" w:rsidRDefault="000B108E" w:rsidP="0036606D">
      <w:pPr>
        <w:rPr>
          <w:rFonts w:asciiTheme="minorHAnsi" w:hAnsiTheme="minorHAnsi" w:cstheme="minorHAnsi"/>
          <w:lang w:val="fr-FR"/>
        </w:rPr>
      </w:pPr>
    </w:p>
    <w:p w:rsidR="00516A57" w:rsidRPr="00CF7824" w:rsidRDefault="00164734" w:rsidP="0036606D">
      <w:pPr>
        <w:rPr>
          <w:rFonts w:asciiTheme="minorHAnsi" w:hAnsiTheme="minorHAnsi" w:cstheme="minorHAnsi"/>
          <w:lang w:val="fr-FR"/>
        </w:rPr>
      </w:pPr>
      <w:r w:rsidRPr="00CF7824">
        <w:rPr>
          <w:rFonts w:cs="Calibri"/>
          <w:lang w:val="fr-FR"/>
        </w:rPr>
        <w:t>58.</w:t>
      </w:r>
      <w:r w:rsidRPr="00CF7824">
        <w:rPr>
          <w:rFonts w:cs="Calibri"/>
          <w:lang w:val="fr-FR"/>
        </w:rPr>
        <w:tab/>
        <w:t>En outre, le tableau</w:t>
      </w:r>
      <w:r w:rsidR="001F19B5" w:rsidRPr="00CF7824">
        <w:rPr>
          <w:rFonts w:cs="Calibri"/>
          <w:lang w:val="fr-FR"/>
        </w:rPr>
        <w:t> </w:t>
      </w:r>
      <w:r w:rsidRPr="00CF7824">
        <w:rPr>
          <w:rFonts w:cs="Calibri"/>
          <w:lang w:val="fr-FR"/>
        </w:rPr>
        <w:t>6 présente les implications en matière de ressources pour la période</w:t>
      </w:r>
      <w:r w:rsidR="001F19B5" w:rsidRPr="00CF7824">
        <w:rPr>
          <w:rFonts w:cs="Calibri"/>
          <w:lang w:val="fr-FR"/>
        </w:rPr>
        <w:t> </w:t>
      </w:r>
      <w:r w:rsidRPr="00CF7824">
        <w:rPr>
          <w:rFonts w:cs="Calibri"/>
          <w:lang w:val="fr-FR"/>
        </w:rPr>
        <w:t>2025-2028 pour gérer le Waterbird populations Portal et faciliter l</w:t>
      </w:r>
      <w:r w:rsidR="00016E39" w:rsidRPr="00CF7824">
        <w:rPr>
          <w:rFonts w:cs="Calibri"/>
          <w:lang w:val="fr-FR"/>
        </w:rPr>
        <w:t>’</w:t>
      </w:r>
      <w:r w:rsidRPr="00CF7824">
        <w:rPr>
          <w:rFonts w:cs="Calibri"/>
          <w:lang w:val="fr-FR"/>
        </w:rPr>
        <w:t>établissement du Partenariat pour l</w:t>
      </w:r>
      <w:r w:rsidR="00016E39" w:rsidRPr="00CF7824">
        <w:rPr>
          <w:rFonts w:cs="Calibri"/>
          <w:lang w:val="fr-FR"/>
        </w:rPr>
        <w:t>’</w:t>
      </w:r>
      <w:r w:rsidRPr="00CF7824">
        <w:rPr>
          <w:rFonts w:cs="Calibri"/>
          <w:lang w:val="fr-FR"/>
        </w:rPr>
        <w:t>estimation des oiseaux d</w:t>
      </w:r>
      <w:r w:rsidR="00016E39" w:rsidRPr="00CF7824">
        <w:rPr>
          <w:rFonts w:cs="Calibri"/>
          <w:lang w:val="fr-FR"/>
        </w:rPr>
        <w:t>’</w:t>
      </w:r>
      <w:r w:rsidRPr="00CF7824">
        <w:rPr>
          <w:rFonts w:cs="Calibri"/>
          <w:lang w:val="fr-FR"/>
        </w:rPr>
        <w:t>eau.</w:t>
      </w:r>
    </w:p>
    <w:p w:rsidR="00602EDF" w:rsidRPr="00CF7824" w:rsidRDefault="00602EDF" w:rsidP="0036606D">
      <w:pPr>
        <w:rPr>
          <w:rFonts w:asciiTheme="minorHAnsi" w:hAnsiTheme="minorHAnsi" w:cstheme="minorHAnsi"/>
          <w:lang w:val="fr-FR"/>
        </w:rPr>
      </w:pPr>
    </w:p>
    <w:p w:rsidR="008A0A3C" w:rsidRPr="00CF7824" w:rsidRDefault="00164734" w:rsidP="009D5E44">
      <w:pPr>
        <w:keepNext/>
        <w:ind w:left="0" w:firstLine="0"/>
        <w:rPr>
          <w:rFonts w:asciiTheme="minorHAnsi" w:hAnsiTheme="minorHAnsi" w:cstheme="minorHAnsi"/>
          <w:i/>
          <w:iCs/>
          <w:lang w:val="fr-FR"/>
        </w:rPr>
      </w:pPr>
      <w:r w:rsidRPr="00CF7824">
        <w:rPr>
          <w:rFonts w:cs="Calibri"/>
          <w:i/>
          <w:iCs/>
          <w:lang w:val="fr-FR"/>
        </w:rPr>
        <w:lastRenderedPageBreak/>
        <w:t>Tableau</w:t>
      </w:r>
      <w:r w:rsidR="001F19B5" w:rsidRPr="00CF7824">
        <w:rPr>
          <w:rFonts w:cs="Calibri"/>
          <w:i/>
          <w:iCs/>
          <w:lang w:val="fr-FR"/>
        </w:rPr>
        <w:t> </w:t>
      </w:r>
      <w:r w:rsidRPr="00CF7824">
        <w:rPr>
          <w:rFonts w:cs="Calibri"/>
          <w:i/>
          <w:iCs/>
          <w:lang w:val="fr-FR"/>
        </w:rPr>
        <w:t>6</w:t>
      </w:r>
      <w:r w:rsidR="00376BA1" w:rsidRPr="00CF7824">
        <w:rPr>
          <w:rFonts w:cs="Calibri"/>
          <w:i/>
          <w:iCs/>
          <w:lang w:val="fr-FR"/>
        </w:rPr>
        <w:t> </w:t>
      </w:r>
      <w:r w:rsidRPr="00CF7824">
        <w:rPr>
          <w:rFonts w:cs="Calibri"/>
          <w:i/>
          <w:iCs/>
          <w:lang w:val="fr-FR"/>
        </w:rPr>
        <w:t>: Options chiffrées des priorités à court terme pour l</w:t>
      </w:r>
      <w:r w:rsidR="00016E39" w:rsidRPr="00CF7824">
        <w:rPr>
          <w:rFonts w:cs="Calibri"/>
          <w:i/>
          <w:iCs/>
          <w:lang w:val="fr-FR"/>
        </w:rPr>
        <w:t>’</w:t>
      </w:r>
      <w:r w:rsidRPr="00CF7824">
        <w:rPr>
          <w:rFonts w:cs="Calibri"/>
          <w:i/>
          <w:iCs/>
          <w:lang w:val="fr-FR"/>
        </w:rPr>
        <w:t xml:space="preserve">élaboration </w:t>
      </w:r>
      <w:r w:rsidR="008F2BE5" w:rsidRPr="00CF7824">
        <w:rPr>
          <w:rFonts w:cs="Calibri"/>
          <w:i/>
          <w:iCs/>
          <w:lang w:val="fr-FR"/>
        </w:rPr>
        <w:t>du</w:t>
      </w:r>
      <w:r w:rsidRPr="00CF7824">
        <w:rPr>
          <w:rFonts w:cs="Calibri"/>
          <w:i/>
          <w:iCs/>
          <w:lang w:val="fr-FR"/>
        </w:rPr>
        <w:t xml:space="preserve"> WPE2027 par la Convention sur les zones humides au cours de la période triennale</w:t>
      </w:r>
      <w:r w:rsidR="001F19B5" w:rsidRPr="00CF7824">
        <w:rPr>
          <w:rFonts w:cs="Calibri"/>
          <w:i/>
          <w:iCs/>
          <w:lang w:val="fr-FR"/>
        </w:rPr>
        <w:t> </w:t>
      </w:r>
      <w:r w:rsidRPr="00CF7824">
        <w:rPr>
          <w:rFonts w:cs="Calibri"/>
          <w:i/>
          <w:iCs/>
          <w:lang w:val="fr-FR"/>
        </w:rPr>
        <w:t>2025-2028 (en CHF).</w:t>
      </w:r>
      <w:r w:rsidRPr="00CF7824">
        <w:rPr>
          <w:rFonts w:cs="Calibri"/>
          <w:i/>
          <w:iCs/>
          <w:lang w:val="fr-FR"/>
        </w:rPr>
        <w:br/>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225"/>
        <w:gridCol w:w="1955"/>
      </w:tblGrid>
      <w:tr w:rsidR="0020115C" w:rsidRPr="00785D5E" w:rsidTr="00602EDF">
        <w:trPr>
          <w:tblHeader/>
        </w:trPr>
        <w:tc>
          <w:tcPr>
            <w:tcW w:w="7225" w:type="dxa"/>
            <w:shd w:val="clear" w:color="auto" w:fill="EEECE1" w:themeFill="background2"/>
            <w:noWrap/>
            <w:vAlign w:val="center"/>
            <w:hideMark/>
          </w:tcPr>
          <w:p w:rsidR="00447E70" w:rsidRPr="00CF7824" w:rsidRDefault="00164734" w:rsidP="00A53FD0">
            <w:pPr>
              <w:ind w:left="0" w:firstLine="0"/>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Action prioritaire à court terme pour permettre le WPE6</w:t>
            </w:r>
          </w:p>
        </w:tc>
        <w:tc>
          <w:tcPr>
            <w:tcW w:w="1955" w:type="dxa"/>
            <w:shd w:val="clear" w:color="auto" w:fill="EEECE1" w:themeFill="background2"/>
            <w:vAlign w:val="center"/>
          </w:tcPr>
          <w:p w:rsidR="00447E70" w:rsidRPr="00CF7824" w:rsidRDefault="00164734" w:rsidP="00A53FD0">
            <w:pPr>
              <w:ind w:left="0" w:firstLine="0"/>
              <w:jc w:val="center"/>
              <w:rPr>
                <w:rFonts w:asciiTheme="minorHAnsi" w:eastAsia="Arial" w:hAnsiTheme="minorHAnsi" w:cstheme="minorHAnsi"/>
                <w:b/>
                <w:color w:val="000000"/>
                <w:sz w:val="20"/>
                <w:szCs w:val="20"/>
                <w:lang w:val="fr-FR"/>
              </w:rPr>
            </w:pPr>
            <w:r w:rsidRPr="00CF7824">
              <w:rPr>
                <w:rFonts w:cs="Calibri"/>
                <w:b/>
                <w:bCs/>
                <w:color w:val="000000"/>
                <w:sz w:val="20"/>
                <w:szCs w:val="20"/>
                <w:lang w:val="fr-FR"/>
              </w:rPr>
              <w:t>Ressources prévues pour la réalisation de l</w:t>
            </w:r>
            <w:r w:rsidR="00016E39" w:rsidRPr="00CF7824">
              <w:rPr>
                <w:rFonts w:cs="Calibri"/>
                <w:b/>
                <w:bCs/>
                <w:color w:val="000000"/>
                <w:sz w:val="20"/>
                <w:szCs w:val="20"/>
                <w:lang w:val="fr-FR"/>
              </w:rPr>
              <w:t>’</w:t>
            </w:r>
            <w:r w:rsidRPr="00CF7824">
              <w:rPr>
                <w:rFonts w:cs="Calibri"/>
                <w:b/>
                <w:bCs/>
                <w:color w:val="000000"/>
                <w:sz w:val="20"/>
                <w:szCs w:val="20"/>
                <w:lang w:val="fr-FR"/>
              </w:rPr>
              <w:t>action</w:t>
            </w:r>
          </w:p>
        </w:tc>
      </w:tr>
      <w:tr w:rsidR="0020115C" w:rsidRPr="00CF7824" w:rsidTr="00602EDF">
        <w:tc>
          <w:tcPr>
            <w:tcW w:w="7225" w:type="dxa"/>
            <w:shd w:val="clear" w:color="auto" w:fill="auto"/>
            <w:noWrap/>
            <w:hideMark/>
          </w:tcPr>
          <w:p w:rsidR="00447E70" w:rsidRPr="00CF7824" w:rsidRDefault="00164734" w:rsidP="000E0EE0">
            <w:pPr>
              <w:pStyle w:val="ListParagraph"/>
              <w:numPr>
                <w:ilvl w:val="0"/>
                <w:numId w:val="12"/>
              </w:numPr>
              <w:ind w:left="284" w:hanging="284"/>
              <w:rPr>
                <w:rFonts w:asciiTheme="minorHAnsi" w:eastAsia="Times New Roman" w:hAnsiTheme="minorHAnsi" w:cstheme="minorHAnsi"/>
                <w:color w:val="000000"/>
                <w:sz w:val="20"/>
                <w:szCs w:val="20"/>
                <w:lang w:val="fr-FR"/>
              </w:rPr>
            </w:pPr>
            <w:r w:rsidRPr="00CF7824">
              <w:rPr>
                <w:rFonts w:cs="Calibri"/>
                <w:color w:val="000000"/>
                <w:sz w:val="20"/>
                <w:szCs w:val="20"/>
                <w:lang w:val="fr-FR"/>
              </w:rPr>
              <w:t>Entreprendre l</w:t>
            </w:r>
            <w:r w:rsidR="00016E39" w:rsidRPr="00CF7824">
              <w:rPr>
                <w:rFonts w:cs="Calibri"/>
                <w:color w:val="000000"/>
                <w:sz w:val="20"/>
                <w:szCs w:val="20"/>
                <w:lang w:val="fr-FR"/>
              </w:rPr>
              <w:t>’</w:t>
            </w:r>
            <w:r w:rsidRPr="00CF7824">
              <w:rPr>
                <w:rFonts w:cs="Calibri"/>
                <w:color w:val="000000"/>
                <w:sz w:val="20"/>
                <w:szCs w:val="20"/>
                <w:lang w:val="fr-FR"/>
              </w:rPr>
              <w:t>examen et la mise à jour d</w:t>
            </w:r>
            <w:r w:rsidR="00016E39" w:rsidRPr="00CF7824">
              <w:rPr>
                <w:rFonts w:cs="Calibri"/>
                <w:color w:val="000000"/>
                <w:sz w:val="20"/>
                <w:szCs w:val="20"/>
                <w:lang w:val="fr-FR"/>
              </w:rPr>
              <w:t>’</w:t>
            </w:r>
            <w:r w:rsidRPr="00CF7824">
              <w:rPr>
                <w:rFonts w:cs="Calibri"/>
                <w:color w:val="000000"/>
                <w:sz w:val="20"/>
                <w:szCs w:val="20"/>
                <w:lang w:val="fr-FR"/>
              </w:rPr>
              <w:t>une sélection de 1</w:t>
            </w:r>
            <w:r w:rsidR="00376BA1" w:rsidRPr="00CF7824">
              <w:rPr>
                <w:rFonts w:cs="Calibri"/>
                <w:color w:val="000000"/>
                <w:sz w:val="20"/>
                <w:szCs w:val="20"/>
                <w:lang w:val="fr-FR"/>
              </w:rPr>
              <w:t> 600 </w:t>
            </w:r>
            <w:r w:rsidRPr="00CF7824">
              <w:rPr>
                <w:rFonts w:cs="Calibri"/>
                <w:color w:val="000000"/>
                <w:sz w:val="20"/>
                <w:szCs w:val="20"/>
                <w:lang w:val="fr-FR"/>
              </w:rPr>
              <w:t>populations à inclure dans le WPE2027 (via la mise à jour urgente d</w:t>
            </w:r>
            <w:r w:rsidR="000E0EE0" w:rsidRPr="00CF7824">
              <w:rPr>
                <w:rFonts w:cs="Calibri"/>
                <w:color w:val="000000"/>
                <w:sz w:val="20"/>
                <w:szCs w:val="20"/>
                <w:lang w:val="fr-FR"/>
              </w:rPr>
              <w:t>es</w:t>
            </w:r>
            <w:r w:rsidRPr="00CF7824">
              <w:rPr>
                <w:rFonts w:cs="Calibri"/>
                <w:color w:val="000000"/>
                <w:sz w:val="20"/>
                <w:szCs w:val="20"/>
                <w:lang w:val="fr-FR"/>
              </w:rPr>
              <w:t xml:space="preserve"> WPE entre 2025 et 2027, et livrer à la COP16</w:t>
            </w:r>
            <w:r w:rsidRPr="00CF7824">
              <w:rPr>
                <w:rStyle w:val="FootnoteReference"/>
                <w:rFonts w:asciiTheme="minorHAnsi" w:hAnsiTheme="minorHAnsi" w:cstheme="minorHAnsi"/>
                <w:color w:val="000000"/>
                <w:sz w:val="20"/>
                <w:szCs w:val="20"/>
              </w:rPr>
              <w:footnoteReference w:id="29"/>
            </w:r>
            <w:r w:rsidRPr="00CF7824">
              <w:rPr>
                <w:rFonts w:cs="Calibri"/>
                <w:color w:val="000000"/>
                <w:sz w:val="20"/>
                <w:szCs w:val="20"/>
                <w:lang w:val="fr-FR"/>
              </w:rPr>
              <w:t xml:space="preserve"> (</w:t>
            </w:r>
            <w:r w:rsidRPr="00CF7824">
              <w:rPr>
                <w:rFonts w:cs="Calibri"/>
                <w:sz w:val="20"/>
                <w:szCs w:val="20"/>
                <w:lang w:val="fr-FR"/>
              </w:rPr>
              <w:t>voir le tableau</w:t>
            </w:r>
            <w:r w:rsidR="001F19B5" w:rsidRPr="00CF7824">
              <w:rPr>
                <w:rFonts w:cs="Calibri"/>
                <w:sz w:val="20"/>
                <w:szCs w:val="20"/>
                <w:lang w:val="fr-FR"/>
              </w:rPr>
              <w:t> </w:t>
            </w:r>
            <w:r w:rsidRPr="00CF7824">
              <w:rPr>
                <w:rFonts w:cs="Calibri"/>
                <w:sz w:val="20"/>
                <w:szCs w:val="20"/>
                <w:lang w:val="fr-FR"/>
              </w:rPr>
              <w:t xml:space="preserve">4 pour plus de détails) </w:t>
            </w:r>
          </w:p>
        </w:tc>
        <w:tc>
          <w:tcPr>
            <w:tcW w:w="1955" w:type="dxa"/>
          </w:tcPr>
          <w:p w:rsidR="00447E70" w:rsidRPr="00CF7824" w:rsidRDefault="00164734" w:rsidP="00A53FD0">
            <w:pPr>
              <w:jc w:val="right"/>
              <w:rPr>
                <w:rFonts w:asciiTheme="minorHAnsi" w:eastAsia="Times New Roman" w:hAnsiTheme="minorHAnsi" w:cstheme="minorHAnsi"/>
                <w:color w:val="000000"/>
                <w:sz w:val="20"/>
                <w:szCs w:val="20"/>
              </w:rPr>
            </w:pPr>
            <w:r w:rsidRPr="00CF7824">
              <w:rPr>
                <w:rFonts w:cs="Calibri"/>
                <w:sz w:val="20"/>
                <w:szCs w:val="20"/>
                <w:lang w:val="fr-FR"/>
              </w:rPr>
              <w:t>366 000</w:t>
            </w:r>
          </w:p>
        </w:tc>
      </w:tr>
      <w:tr w:rsidR="0020115C" w:rsidRPr="00CF7824" w:rsidTr="00602EDF">
        <w:tc>
          <w:tcPr>
            <w:tcW w:w="7225" w:type="dxa"/>
            <w:shd w:val="clear" w:color="auto" w:fill="auto"/>
            <w:noWrap/>
            <w:hideMark/>
          </w:tcPr>
          <w:p w:rsidR="00447E70" w:rsidRPr="00CF7824" w:rsidRDefault="004278F7" w:rsidP="008F2BE5">
            <w:pPr>
              <w:pStyle w:val="ListParagraph"/>
              <w:numPr>
                <w:ilvl w:val="0"/>
                <w:numId w:val="12"/>
              </w:numPr>
              <w:ind w:left="284" w:hanging="284"/>
              <w:rPr>
                <w:rFonts w:eastAsia="Arial"/>
                <w:lang w:val="fr-FR"/>
              </w:rPr>
            </w:pPr>
            <w:r w:rsidRPr="00CF7824">
              <w:rPr>
                <w:rFonts w:cs="Calibri"/>
                <w:color w:val="000000"/>
                <w:sz w:val="20"/>
                <w:szCs w:val="20"/>
                <w:lang w:val="fr-FR"/>
              </w:rPr>
              <w:t>Gérer le Waterbird</w:t>
            </w:r>
            <w:r w:rsidR="00164734" w:rsidRPr="00CF7824">
              <w:rPr>
                <w:rFonts w:cs="Calibri"/>
                <w:color w:val="000000"/>
                <w:sz w:val="20"/>
                <w:szCs w:val="20"/>
                <w:lang w:val="fr-FR"/>
              </w:rPr>
              <w:t xml:space="preserve"> Populations Portal pour fournir des informations sur les populations d</w:t>
            </w:r>
            <w:r w:rsidR="00016E39" w:rsidRPr="00CF7824">
              <w:rPr>
                <w:rFonts w:cs="Calibri"/>
                <w:color w:val="000000"/>
                <w:sz w:val="20"/>
                <w:szCs w:val="20"/>
                <w:lang w:val="fr-FR"/>
              </w:rPr>
              <w:t>’</w:t>
            </w:r>
            <w:r w:rsidR="00164734" w:rsidRPr="00CF7824">
              <w:rPr>
                <w:rFonts w:cs="Calibri"/>
                <w:color w:val="000000"/>
                <w:sz w:val="20"/>
                <w:szCs w:val="20"/>
                <w:lang w:val="fr-FR"/>
              </w:rPr>
              <w:t>oiseaux d</w:t>
            </w:r>
            <w:r w:rsidR="00016E39" w:rsidRPr="00CF7824">
              <w:rPr>
                <w:rFonts w:cs="Calibri"/>
                <w:color w:val="000000"/>
                <w:sz w:val="20"/>
                <w:szCs w:val="20"/>
                <w:lang w:val="fr-FR"/>
              </w:rPr>
              <w:t>’</w:t>
            </w:r>
            <w:r w:rsidR="00164734" w:rsidRPr="00CF7824">
              <w:rPr>
                <w:rFonts w:cs="Calibri"/>
                <w:color w:val="000000"/>
                <w:sz w:val="20"/>
                <w:szCs w:val="20"/>
                <w:lang w:val="fr-FR"/>
              </w:rPr>
              <w:t>eau et les actualiser en réponse aux mises à jour annuelles de la Liste rouge et aux mises à jour périodiques des informations sur la taxonomie et les populations (y compris en garantissant des fonctionnalités améliorées</w:t>
            </w:r>
            <w:r w:rsidR="00164734" w:rsidRPr="00CF7824">
              <w:rPr>
                <w:rStyle w:val="FootnoteReference"/>
                <w:rFonts w:asciiTheme="minorHAnsi" w:hAnsiTheme="minorHAnsi" w:cstheme="minorHAnsi"/>
                <w:color w:val="000000"/>
                <w:sz w:val="20"/>
                <w:szCs w:val="20"/>
              </w:rPr>
              <w:footnoteReference w:id="30"/>
            </w:r>
            <w:r w:rsidR="00164734" w:rsidRPr="00CF7824">
              <w:rPr>
                <w:rFonts w:cs="Calibri"/>
                <w:color w:val="000000"/>
                <w:sz w:val="20"/>
                <w:szCs w:val="20"/>
                <w:lang w:val="fr-FR"/>
              </w:rPr>
              <w:t xml:space="preserve"> pour une plus grande facilité d</w:t>
            </w:r>
            <w:r w:rsidR="00016E39" w:rsidRPr="00CF7824">
              <w:rPr>
                <w:rFonts w:cs="Calibri"/>
                <w:color w:val="000000"/>
                <w:sz w:val="20"/>
                <w:szCs w:val="20"/>
                <w:lang w:val="fr-FR"/>
              </w:rPr>
              <w:t>’</w:t>
            </w:r>
            <w:r w:rsidR="00164734" w:rsidRPr="00CF7824">
              <w:rPr>
                <w:rFonts w:cs="Calibri"/>
                <w:color w:val="000000"/>
                <w:sz w:val="20"/>
                <w:szCs w:val="20"/>
                <w:lang w:val="fr-FR"/>
              </w:rPr>
              <w:t>utilisation par les Parties)</w:t>
            </w:r>
            <w:r w:rsidR="008F2BE5" w:rsidRPr="00CF7824">
              <w:rPr>
                <w:rFonts w:cs="Calibri"/>
                <w:color w:val="000000"/>
                <w:sz w:val="20"/>
                <w:szCs w:val="20"/>
                <w:lang w:val="fr-FR"/>
              </w:rPr>
              <w:t xml:space="preserve"> (</w:t>
            </w:r>
            <w:r w:rsidR="00164734" w:rsidRPr="00CF7824">
              <w:rPr>
                <w:rFonts w:cs="Calibri"/>
                <w:color w:val="000000"/>
                <w:sz w:val="20"/>
                <w:szCs w:val="20"/>
                <w:lang w:val="fr-FR"/>
              </w:rPr>
              <w:t>2025-2028</w:t>
            </w:r>
            <w:r w:rsidR="008F2BE5" w:rsidRPr="00CF7824">
              <w:rPr>
                <w:rFonts w:cs="Calibri"/>
                <w:color w:val="000000"/>
                <w:sz w:val="20"/>
                <w:szCs w:val="20"/>
                <w:lang w:val="fr-FR"/>
              </w:rPr>
              <w:t>).</w:t>
            </w:r>
          </w:p>
        </w:tc>
        <w:tc>
          <w:tcPr>
            <w:tcW w:w="1955" w:type="dxa"/>
          </w:tcPr>
          <w:p w:rsidR="00447E70" w:rsidRPr="00CF7824" w:rsidRDefault="00164734" w:rsidP="00A53FD0">
            <w:pPr>
              <w:jc w:val="right"/>
              <w:rPr>
                <w:rFonts w:asciiTheme="minorHAnsi" w:eastAsia="Times New Roman" w:hAnsiTheme="minorHAnsi" w:cstheme="minorHAnsi"/>
                <w:color w:val="000000"/>
                <w:sz w:val="20"/>
                <w:szCs w:val="20"/>
              </w:rPr>
            </w:pPr>
            <w:r w:rsidRPr="00CF7824">
              <w:rPr>
                <w:rFonts w:cs="Calibri"/>
                <w:sz w:val="20"/>
                <w:szCs w:val="20"/>
                <w:lang w:val="fr-FR"/>
              </w:rPr>
              <w:t>61 000</w:t>
            </w:r>
          </w:p>
        </w:tc>
      </w:tr>
      <w:tr w:rsidR="0020115C" w:rsidRPr="00CF7824" w:rsidTr="00602EDF">
        <w:tc>
          <w:tcPr>
            <w:tcW w:w="7225" w:type="dxa"/>
            <w:shd w:val="clear" w:color="auto" w:fill="auto"/>
            <w:noWrap/>
            <w:hideMark/>
          </w:tcPr>
          <w:p w:rsidR="00447E70" w:rsidRPr="00CF7824" w:rsidRDefault="00164734" w:rsidP="00A53FD0">
            <w:pPr>
              <w:pStyle w:val="ListParagraph"/>
              <w:numPr>
                <w:ilvl w:val="0"/>
                <w:numId w:val="12"/>
              </w:numPr>
              <w:ind w:left="284" w:hanging="284"/>
              <w:rPr>
                <w:rFonts w:asciiTheme="minorHAnsi" w:eastAsia="Times New Roman" w:hAnsiTheme="minorHAnsi" w:cstheme="minorHAnsi"/>
                <w:color w:val="000000"/>
                <w:sz w:val="20"/>
                <w:szCs w:val="20"/>
                <w:lang w:val="fr-FR"/>
              </w:rPr>
            </w:pPr>
            <w:r w:rsidRPr="00CF7824">
              <w:rPr>
                <w:rFonts w:cs="Calibri"/>
                <w:color w:val="000000"/>
                <w:sz w:val="20"/>
                <w:szCs w:val="20"/>
                <w:lang w:val="fr-FR"/>
              </w:rPr>
              <w:t xml:space="preserve">Établir un </w:t>
            </w:r>
            <w:r w:rsidR="00376BA1" w:rsidRPr="00CF7824">
              <w:rPr>
                <w:rFonts w:cs="Calibri"/>
                <w:color w:val="000000"/>
                <w:sz w:val="20"/>
                <w:szCs w:val="20"/>
                <w:lang w:val="fr-FR"/>
              </w:rPr>
              <w:t>« </w:t>
            </w:r>
            <w:r w:rsidRPr="00CF7824">
              <w:rPr>
                <w:rFonts w:cs="Calibri"/>
                <w:color w:val="000000"/>
                <w:sz w:val="20"/>
                <w:szCs w:val="20"/>
                <w:lang w:val="fr-FR"/>
              </w:rPr>
              <w:t>Partenariat pour l</w:t>
            </w:r>
            <w:r w:rsidR="00016E39" w:rsidRPr="00CF7824">
              <w:rPr>
                <w:rFonts w:cs="Calibri"/>
                <w:color w:val="000000"/>
                <w:sz w:val="20"/>
                <w:szCs w:val="20"/>
                <w:lang w:val="fr-FR"/>
              </w:rPr>
              <w:t>’</w:t>
            </w:r>
            <w:r w:rsidRPr="00CF7824">
              <w:rPr>
                <w:rFonts w:cs="Calibri"/>
                <w:color w:val="000000"/>
                <w:sz w:val="20"/>
                <w:szCs w:val="20"/>
                <w:lang w:val="fr-FR"/>
              </w:rPr>
              <w:t>estimation des oiseaux d</w:t>
            </w:r>
            <w:r w:rsidR="00016E39" w:rsidRPr="00CF7824">
              <w:rPr>
                <w:rFonts w:cs="Calibri"/>
                <w:color w:val="000000"/>
                <w:sz w:val="20"/>
                <w:szCs w:val="20"/>
                <w:lang w:val="fr-FR"/>
              </w:rPr>
              <w:t>’</w:t>
            </w:r>
            <w:r w:rsidRPr="00CF7824">
              <w:rPr>
                <w:rFonts w:cs="Calibri"/>
                <w:color w:val="000000"/>
                <w:sz w:val="20"/>
                <w:szCs w:val="20"/>
                <w:lang w:val="fr-FR"/>
              </w:rPr>
              <w:t>eau</w:t>
            </w:r>
            <w:r w:rsidR="00376BA1" w:rsidRPr="00CF7824">
              <w:rPr>
                <w:rFonts w:cs="Calibri"/>
                <w:color w:val="000000"/>
                <w:sz w:val="20"/>
                <w:szCs w:val="20"/>
                <w:lang w:val="fr-FR"/>
              </w:rPr>
              <w:t> »</w:t>
            </w:r>
            <w:r w:rsidRPr="00CF7824">
              <w:rPr>
                <w:rFonts w:cs="Calibri"/>
                <w:color w:val="000000"/>
                <w:sz w:val="20"/>
                <w:szCs w:val="20"/>
                <w:lang w:val="fr-FR"/>
              </w:rPr>
              <w:t xml:space="preserve"> en vue de son lancement à la COP16 – Lancer une consultation et obtenir l</w:t>
            </w:r>
            <w:r w:rsidR="00016E39" w:rsidRPr="00CF7824">
              <w:rPr>
                <w:rFonts w:cs="Calibri"/>
                <w:color w:val="000000"/>
                <w:sz w:val="20"/>
                <w:szCs w:val="20"/>
                <w:lang w:val="fr-FR"/>
              </w:rPr>
              <w:t>’</w:t>
            </w:r>
            <w:r w:rsidRPr="00CF7824">
              <w:rPr>
                <w:rFonts w:cs="Calibri"/>
                <w:color w:val="000000"/>
                <w:sz w:val="20"/>
                <w:szCs w:val="20"/>
                <w:lang w:val="fr-FR"/>
              </w:rPr>
              <w:t>accord de partenaires potentiels pour établir un partenariat, élaborer un plan de travail et un budget triennaux, y compris un accord de cofinancement (2026-2027).</w:t>
            </w:r>
          </w:p>
        </w:tc>
        <w:tc>
          <w:tcPr>
            <w:tcW w:w="1955" w:type="dxa"/>
          </w:tcPr>
          <w:p w:rsidR="00447E70" w:rsidRPr="00CF7824" w:rsidRDefault="00164734" w:rsidP="00A53FD0">
            <w:pPr>
              <w:jc w:val="right"/>
              <w:rPr>
                <w:rFonts w:asciiTheme="minorHAnsi" w:eastAsia="Times New Roman" w:hAnsiTheme="minorHAnsi" w:cstheme="minorHAnsi"/>
                <w:color w:val="000000" w:themeColor="text1"/>
                <w:sz w:val="20"/>
                <w:szCs w:val="20"/>
              </w:rPr>
            </w:pPr>
            <w:r w:rsidRPr="00CF7824">
              <w:rPr>
                <w:rFonts w:cs="Calibri"/>
                <w:sz w:val="20"/>
                <w:szCs w:val="20"/>
                <w:lang w:val="fr-FR"/>
              </w:rPr>
              <w:t xml:space="preserve"> 38 000 </w:t>
            </w:r>
          </w:p>
        </w:tc>
      </w:tr>
      <w:tr w:rsidR="0020115C" w:rsidRPr="00CF7824" w:rsidTr="00602EDF">
        <w:tc>
          <w:tcPr>
            <w:tcW w:w="7225" w:type="dxa"/>
            <w:shd w:val="clear" w:color="auto" w:fill="auto"/>
            <w:noWrap/>
          </w:tcPr>
          <w:p w:rsidR="00447E70" w:rsidRPr="00CF7824" w:rsidRDefault="00164734" w:rsidP="00A53FD0">
            <w:pPr>
              <w:rPr>
                <w:rFonts w:asciiTheme="minorHAnsi" w:eastAsia="Times New Roman" w:hAnsiTheme="minorHAnsi" w:cstheme="minorHAnsi"/>
                <w:b/>
                <w:bCs/>
                <w:color w:val="000000" w:themeColor="text1"/>
                <w:sz w:val="20"/>
                <w:szCs w:val="20"/>
                <w:lang w:val="fr-FR"/>
              </w:rPr>
            </w:pPr>
            <w:r w:rsidRPr="00CF7824">
              <w:rPr>
                <w:rFonts w:cs="Calibri"/>
                <w:b/>
                <w:bCs/>
                <w:color w:val="000000"/>
                <w:sz w:val="20"/>
                <w:szCs w:val="20"/>
                <w:lang w:val="fr-FR"/>
              </w:rPr>
              <w:t>Coût total indicatif (première estimation) :</w:t>
            </w:r>
          </w:p>
        </w:tc>
        <w:tc>
          <w:tcPr>
            <w:tcW w:w="1955" w:type="dxa"/>
          </w:tcPr>
          <w:p w:rsidR="00447E70" w:rsidRPr="00CF7824" w:rsidRDefault="00164734" w:rsidP="00A53FD0">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465 000</w:t>
            </w:r>
          </w:p>
        </w:tc>
      </w:tr>
    </w:tbl>
    <w:p w:rsidR="00335125" w:rsidRPr="00CF7824" w:rsidRDefault="00335125">
      <w:pPr>
        <w:rPr>
          <w:rFonts w:asciiTheme="minorHAnsi" w:hAnsiTheme="minorHAnsi" w:cstheme="minorHAnsi"/>
          <w:i/>
          <w:iCs/>
        </w:rPr>
      </w:pPr>
    </w:p>
    <w:p w:rsidR="00D15DD7" w:rsidRPr="00CF7824" w:rsidRDefault="00164734" w:rsidP="009B6D38">
      <w:pPr>
        <w:keepNext/>
        <w:spacing w:after="120"/>
        <w:ind w:left="0" w:firstLine="0"/>
        <w:rPr>
          <w:rFonts w:asciiTheme="minorHAnsi" w:hAnsiTheme="minorHAnsi" w:cstheme="minorHAnsi"/>
          <w:i/>
          <w:iCs/>
          <w:lang w:val="fr-FR"/>
        </w:rPr>
      </w:pPr>
      <w:r w:rsidRPr="00CF7824">
        <w:rPr>
          <w:rFonts w:cs="Calibri"/>
          <w:i/>
          <w:iCs/>
          <w:lang w:val="fr-FR"/>
        </w:rPr>
        <w:lastRenderedPageBreak/>
        <w:t xml:space="preserve">Encadré 7 : </w:t>
      </w:r>
      <w:r w:rsidR="009B6D38" w:rsidRPr="00CF7824">
        <w:rPr>
          <w:rFonts w:cs="Calibri"/>
          <w:i/>
          <w:iCs/>
          <w:lang w:val="fr-FR"/>
        </w:rPr>
        <w:t>Recommandation</w:t>
      </w:r>
      <w:r w:rsidR="001F19B5" w:rsidRPr="00CF7824">
        <w:rPr>
          <w:rFonts w:cs="Calibri"/>
          <w:i/>
          <w:iCs/>
          <w:lang w:val="fr-FR"/>
        </w:rPr>
        <w:t> </w:t>
      </w:r>
      <w:r w:rsidRPr="00CF7824">
        <w:rPr>
          <w:rFonts w:cs="Calibri"/>
          <w:i/>
          <w:iCs/>
          <w:lang w:val="fr-FR"/>
        </w:rPr>
        <w:t>6 du GEST : Dotation en ressources du futur processus d</w:t>
      </w:r>
      <w:r w:rsidR="00016E39" w:rsidRPr="00CF7824">
        <w:rPr>
          <w:rFonts w:cs="Calibri"/>
          <w:i/>
          <w:iCs/>
          <w:lang w:val="fr-FR"/>
        </w:rPr>
        <w:t>’</w:t>
      </w:r>
      <w:r w:rsidRPr="00CF7824">
        <w:rPr>
          <w:rFonts w:cs="Calibri"/>
          <w:i/>
          <w:iCs/>
          <w:lang w:val="fr-FR"/>
        </w:rPr>
        <w:t>estimation des populations d</w:t>
      </w:r>
      <w:r w:rsidR="00016E39" w:rsidRPr="00CF7824">
        <w:rPr>
          <w:rFonts w:cs="Calibri"/>
          <w:i/>
          <w:iCs/>
          <w:lang w:val="fr-FR"/>
        </w:rPr>
        <w:t>’</w:t>
      </w:r>
      <w:r w:rsidRPr="00CF7824">
        <w:rPr>
          <w:rFonts w:cs="Calibri"/>
          <w:i/>
          <w:iCs/>
          <w:lang w:val="fr-FR"/>
        </w:rPr>
        <w:t>oiseaux d</w:t>
      </w:r>
      <w:r w:rsidR="00016E39" w:rsidRPr="00CF7824">
        <w:rPr>
          <w:rFonts w:cs="Calibri"/>
          <w:i/>
          <w:iCs/>
          <w:lang w:val="fr-FR"/>
        </w:rPr>
        <w:t>’</w:t>
      </w:r>
      <w:r w:rsidR="00955E7B" w:rsidRPr="00CF7824">
        <w:rPr>
          <w:rFonts w:cs="Calibri"/>
          <w:i/>
          <w:iCs/>
          <w:lang w:val="fr-FR"/>
        </w:rPr>
        <w:t>eau</w:t>
      </w:r>
      <w:r w:rsidRPr="00CF7824">
        <w:rPr>
          <w:rFonts w:cs="Calibri"/>
          <w:i/>
          <w:iCs/>
          <w:lang w:val="fr-FR"/>
        </w:rPr>
        <w:t>, y compris par un Partenariat pour l</w:t>
      </w:r>
      <w:r w:rsidR="00016E39" w:rsidRPr="00CF7824">
        <w:rPr>
          <w:rFonts w:cs="Calibri"/>
          <w:i/>
          <w:iCs/>
          <w:lang w:val="fr-FR"/>
        </w:rPr>
        <w:t>’</w:t>
      </w:r>
      <w:r w:rsidRPr="00CF7824">
        <w:rPr>
          <w:rFonts w:cs="Calibri"/>
          <w:i/>
          <w:iCs/>
          <w:lang w:val="fr-FR"/>
        </w:rPr>
        <w:t>estimation des oiseaux d</w:t>
      </w:r>
      <w:r w:rsidR="00016E39" w:rsidRPr="00CF7824">
        <w:rPr>
          <w:rFonts w:cs="Calibri"/>
          <w:i/>
          <w:iCs/>
          <w:lang w:val="fr-FR"/>
        </w:rPr>
        <w:t>’</w:t>
      </w:r>
      <w:r w:rsidRPr="00CF7824">
        <w:rPr>
          <w:rFonts w:cs="Calibri"/>
          <w:i/>
          <w:iCs/>
          <w:lang w:val="fr-FR"/>
        </w:rPr>
        <w:t>eau (WEP).</w:t>
      </w:r>
    </w:p>
    <w:p w:rsidR="00765FEE" w:rsidRPr="00CF7824" w:rsidRDefault="009B6D38" w:rsidP="00A42A33">
      <w:pPr>
        <w:rPr>
          <w:rFonts w:asciiTheme="minorHAnsi" w:hAnsiTheme="minorHAnsi" w:cstheme="minorHAnsi"/>
          <w:lang w:val="fr-FR"/>
        </w:rPr>
      </w:pPr>
      <w:r w:rsidRPr="00CF7824">
        <w:rPr>
          <w:rFonts w:asciiTheme="minorHAnsi" w:hAnsiTheme="minorHAnsi" w:cstheme="minorHAnsi"/>
          <w:noProof/>
          <w:lang w:val="fr-FR" w:eastAsia="fr-FR"/>
        </w:rPr>
        <mc:AlternateContent>
          <mc:Choice Requires="wps">
            <w:drawing>
              <wp:inline distT="0" distB="0" distL="0" distR="0" wp14:anchorId="14D745B2" wp14:editId="2199684D">
                <wp:extent cx="5716905" cy="1834388"/>
                <wp:effectExtent l="0" t="0" r="17145" b="19685"/>
                <wp:docPr id="943873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834388"/>
                        </a:xfrm>
                        <a:prstGeom prst="rect">
                          <a:avLst/>
                        </a:prstGeom>
                        <a:solidFill>
                          <a:srgbClr val="FFFFFF"/>
                        </a:solidFill>
                        <a:ln w="9525">
                          <a:solidFill>
                            <a:srgbClr val="000000"/>
                          </a:solidFill>
                          <a:miter lim="800000"/>
                          <a:headEnd/>
                          <a:tailEnd/>
                        </a:ln>
                      </wps:spPr>
                      <wps:txbx>
                        <w:txbxContent>
                          <w:p w:rsidR="00DA168E" w:rsidRPr="00164734" w:rsidRDefault="00DA168E" w:rsidP="009B6D38">
                            <w:pPr>
                              <w:rPr>
                                <w:lang w:val="fr-FR"/>
                              </w:rPr>
                            </w:pPr>
                            <w:r>
                              <w:rPr>
                                <w:lang w:val="fr-FR"/>
                              </w:rPr>
                              <w:t>Les principales mesures à prendre sont les suivantes :</w:t>
                            </w:r>
                          </w:p>
                          <w:p w:rsidR="00DA168E" w:rsidRPr="00164734" w:rsidRDefault="00DA168E" w:rsidP="009B6D38">
                            <w:pPr>
                              <w:numPr>
                                <w:ilvl w:val="0"/>
                                <w:numId w:val="13"/>
                              </w:numPr>
                              <w:ind w:left="426" w:hanging="425"/>
                              <w:rPr>
                                <w:lang w:val="fr-FR"/>
                              </w:rPr>
                            </w:pPr>
                            <w:r>
                              <w:rPr>
                                <w:rFonts w:cs="Arial"/>
                                <w:lang w:val="fr-FR"/>
                              </w:rPr>
                              <w:t>Doter de ressources</w:t>
                            </w:r>
                            <w:r>
                              <w:rPr>
                                <w:lang w:val="fr-FR"/>
                              </w:rPr>
                              <w:t xml:space="preserve"> un processus WPE2027 immédiat en 2025-2027 pour une livraison à la COP16.</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 xml:space="preserve">Établir et financer le Partenariat pour l’estimation des oiseaux d’eau à long terme qui sera formellement constitué pour être présenté à la COP16 et qui fournira une orientation stratégique et un soutien pour </w:t>
                            </w:r>
                            <w:r w:rsidRPr="004804A5">
                              <w:rPr>
                                <w:lang w:val="fr-FR"/>
                              </w:rPr>
                              <w:t>les mises à jour régulières des WPE</w:t>
                            </w:r>
                            <w:r>
                              <w:rPr>
                                <w:lang w:val="fr-FR"/>
                              </w:rPr>
                              <w:t xml:space="preserve">. </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 xml:space="preserve">Élaborer un programme de travail modulaire et chiffré pour la production des WPE après la COP15. </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Définir un accord sur les responsabilités en matière de partage des coûts entre toutes les entités du Partenariat pour l’estimation des oiseaux d’eau</w:t>
                            </w:r>
                            <w:r w:rsidRPr="00955E7B">
                              <w:rPr>
                                <w:lang w:val="fr-FR"/>
                              </w:rPr>
                              <w:t xml:space="preserve"> </w:t>
                            </w:r>
                            <w:r>
                              <w:rPr>
                                <w:lang w:val="fr-FR"/>
                              </w:rPr>
                              <w:t>afin de soutenir la production régulière des futurs WPE.</w:t>
                            </w:r>
                          </w:p>
                          <w:p w:rsidR="00DA168E" w:rsidRPr="00164734" w:rsidRDefault="00DA168E" w:rsidP="009B6D38">
                            <w:pPr>
                              <w:rPr>
                                <w:lang w:val="fr-FR"/>
                              </w:rPr>
                            </w:pPr>
                          </w:p>
                          <w:p w:rsidR="00DA168E" w:rsidRPr="00164734" w:rsidRDefault="00DA168E" w:rsidP="009B6D38">
                            <w:pPr>
                              <w:rPr>
                                <w:lang w:val="fr-FR"/>
                              </w:rPr>
                            </w:pPr>
                            <w:r>
                              <w:rPr>
                                <w:lang w:val="fr-FR"/>
                              </w:rPr>
                              <w:t>Les implications prévues en matière de dotation en ressources sont les suivantes :</w:t>
                            </w:r>
                          </w:p>
                          <w:p w:rsidR="00DA168E" w:rsidRPr="00164734" w:rsidRDefault="00DA168E" w:rsidP="009B6D38">
                            <w:pPr>
                              <w:numPr>
                                <w:ilvl w:val="0"/>
                                <w:numId w:val="22"/>
                              </w:numPr>
                              <w:ind w:left="426" w:hanging="425"/>
                              <w:rPr>
                                <w:lang w:val="fr-FR"/>
                              </w:rPr>
                            </w:pPr>
                            <w:r>
                              <w:rPr>
                                <w:lang w:val="fr-FR"/>
                              </w:rPr>
                              <w:t>Entreprendre l’examen et la mise à jour des populations prioritaires sélectionnées à inclure dans l’édition WPE2027 entre 2025 et 2027 (366 000 CHF).</w:t>
                            </w:r>
                          </w:p>
                          <w:p w:rsidR="00DA168E" w:rsidRPr="00164734" w:rsidRDefault="00DA168E" w:rsidP="009B6D38">
                            <w:pPr>
                              <w:ind w:left="426" w:firstLine="0"/>
                              <w:rPr>
                                <w:lang w:val="fr-FR"/>
                              </w:rPr>
                            </w:pPr>
                          </w:p>
                          <w:p w:rsidR="00DA168E" w:rsidRPr="00164734" w:rsidRDefault="00DA168E" w:rsidP="009B6D38">
                            <w:pPr>
                              <w:numPr>
                                <w:ilvl w:val="0"/>
                                <w:numId w:val="22"/>
                              </w:numPr>
                              <w:ind w:left="426" w:hanging="425"/>
                              <w:rPr>
                                <w:lang w:val="fr-FR"/>
                              </w:rPr>
                            </w:pPr>
                            <w:r>
                              <w:rPr>
                                <w:lang w:val="fr-FR"/>
                              </w:rPr>
                              <w:t>Maintenir le Waterbird Populations Portal pour fournir des informations sur les populations d’oiseaux d’eau, l’actualiser en réponse aux mises à jour annuelles de la Liste rouge et aux mises à jour périodiques des informations sur la taxonomie et les populations (y compris assurer des fonctionnalités supplémentaires pour une plus grande facilité d’utilisation par les Parties), à entreprendre entre 2025 et 2028 (61 000 CHF).</w:t>
                            </w:r>
                          </w:p>
                          <w:p w:rsidR="00DA168E" w:rsidRPr="00164734" w:rsidRDefault="00DA168E" w:rsidP="009B6D38">
                            <w:pPr>
                              <w:ind w:left="426" w:firstLine="0"/>
                              <w:rPr>
                                <w:lang w:val="fr-FR"/>
                              </w:rPr>
                            </w:pPr>
                          </w:p>
                          <w:p w:rsidR="00DA168E" w:rsidRPr="00164734" w:rsidRDefault="00DA168E" w:rsidP="009B6D38">
                            <w:pPr>
                              <w:numPr>
                                <w:ilvl w:val="0"/>
                                <w:numId w:val="22"/>
                              </w:numPr>
                              <w:ind w:left="426" w:hanging="425"/>
                              <w:rPr>
                                <w:lang w:val="fr-FR"/>
                              </w:rPr>
                            </w:pPr>
                            <w:r>
                              <w:rPr>
                                <w:lang w:val="fr-FR"/>
                              </w:rPr>
                              <w:t>Établir un partenariat pour l’estimation des oiseaux d’eau qui sera lancé lors de la COP16, entre 2026 et 2027 (38 000 CHF).</w:t>
                            </w:r>
                          </w:p>
                        </w:txbxContent>
                      </wps:txbx>
                      <wps:bodyPr rot="0" vert="horz" wrap="square" lIns="91440" tIns="45720" rIns="91440" bIns="45720" anchor="t" anchorCtr="0">
                        <a:spAutoFit/>
                      </wps:bodyPr>
                    </wps:wsp>
                  </a:graphicData>
                </a:graphic>
              </wp:inline>
            </w:drawing>
          </mc:Choice>
          <mc:Fallback>
            <w:pict>
              <v:shape w14:anchorId="14D745B2" id="_x0000_s1033" type="#_x0000_t202" style="width:450.15pt;height:1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">
                <v:textbox style="mso-fit-shape-to-text:t">
                  <w:txbxContent>
                    <w:p w:rsidR="00DA168E" w:rsidRPr="00164734" w:rsidRDefault="00DA168E" w:rsidP="009B6D38">
                      <w:pPr>
                        <w:rPr>
                          <w:lang w:val="fr-FR"/>
                        </w:rPr>
                      </w:pPr>
                      <w:r>
                        <w:rPr>
                          <w:lang w:val="fr-FR"/>
                        </w:rPr>
                        <w:t>Les principales mesures à prendre sont les suivantes :</w:t>
                      </w:r>
                    </w:p>
                    <w:p w:rsidR="00DA168E" w:rsidRPr="00164734" w:rsidRDefault="00DA168E" w:rsidP="009B6D38">
                      <w:pPr>
                        <w:numPr>
                          <w:ilvl w:val="0"/>
                          <w:numId w:val="13"/>
                        </w:numPr>
                        <w:ind w:left="426" w:hanging="425"/>
                        <w:rPr>
                          <w:lang w:val="fr-FR"/>
                        </w:rPr>
                      </w:pPr>
                      <w:r>
                        <w:rPr>
                          <w:rFonts w:cs="Arial"/>
                          <w:lang w:val="fr-FR"/>
                        </w:rPr>
                        <w:t>Doter de ressources</w:t>
                      </w:r>
                      <w:r>
                        <w:rPr>
                          <w:lang w:val="fr-FR"/>
                        </w:rPr>
                        <w:t xml:space="preserve"> un processus WPE2027 immédiat en 2025-2027 pour une livraison à la COP16.</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 xml:space="preserve">Établir et financer le Partenariat pour l’estimation des oiseaux d’eau à long terme qui sera formellement constitué pour être présenté à la COP16 et qui fournira une orientation stratégique et un soutien pour </w:t>
                      </w:r>
                      <w:r w:rsidRPr="004804A5">
                        <w:rPr>
                          <w:lang w:val="fr-FR"/>
                        </w:rPr>
                        <w:t>les mises à jour régulières des WPE</w:t>
                      </w:r>
                      <w:r>
                        <w:rPr>
                          <w:lang w:val="fr-FR"/>
                        </w:rPr>
                        <w:t xml:space="preserve">. </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 xml:space="preserve">Élaborer un programme de travail modulaire et chiffré pour la production des WPE après la COP15. </w:t>
                      </w:r>
                    </w:p>
                    <w:p w:rsidR="00DA168E" w:rsidRPr="00164734" w:rsidRDefault="00DA168E" w:rsidP="009B6D38">
                      <w:pPr>
                        <w:ind w:left="426" w:firstLine="0"/>
                        <w:rPr>
                          <w:lang w:val="fr-FR"/>
                        </w:rPr>
                      </w:pPr>
                    </w:p>
                    <w:p w:rsidR="00DA168E" w:rsidRPr="00164734" w:rsidRDefault="00DA168E" w:rsidP="009B6D38">
                      <w:pPr>
                        <w:numPr>
                          <w:ilvl w:val="0"/>
                          <w:numId w:val="13"/>
                        </w:numPr>
                        <w:ind w:left="426" w:hanging="425"/>
                        <w:rPr>
                          <w:lang w:val="fr-FR"/>
                        </w:rPr>
                      </w:pPr>
                      <w:r>
                        <w:rPr>
                          <w:lang w:val="fr-FR"/>
                        </w:rPr>
                        <w:t>Définir un accord sur les responsabilités en matière de partage des coûts entre toutes les entités du Partenariat pour l’estimation des oiseaux d’eau</w:t>
                      </w:r>
                      <w:r w:rsidRPr="00955E7B">
                        <w:rPr>
                          <w:lang w:val="fr-FR"/>
                        </w:rPr>
                        <w:t xml:space="preserve"> </w:t>
                      </w:r>
                      <w:r>
                        <w:rPr>
                          <w:lang w:val="fr-FR"/>
                        </w:rPr>
                        <w:t>afin de soutenir la production régulière des futurs WPE.</w:t>
                      </w:r>
                    </w:p>
                    <w:p w:rsidR="00DA168E" w:rsidRPr="00164734" w:rsidRDefault="00DA168E" w:rsidP="009B6D38">
                      <w:pPr>
                        <w:rPr>
                          <w:lang w:val="fr-FR"/>
                        </w:rPr>
                      </w:pPr>
                    </w:p>
                    <w:p w:rsidR="00DA168E" w:rsidRPr="00164734" w:rsidRDefault="00DA168E" w:rsidP="009B6D38">
                      <w:pPr>
                        <w:rPr>
                          <w:lang w:val="fr-FR"/>
                        </w:rPr>
                      </w:pPr>
                      <w:r>
                        <w:rPr>
                          <w:lang w:val="fr-FR"/>
                        </w:rPr>
                        <w:t>Les implications prévues en matière de dotation en ressources sont les suivantes :</w:t>
                      </w:r>
                    </w:p>
                    <w:p w:rsidR="00DA168E" w:rsidRPr="00164734" w:rsidRDefault="00DA168E" w:rsidP="009B6D38">
                      <w:pPr>
                        <w:numPr>
                          <w:ilvl w:val="0"/>
                          <w:numId w:val="22"/>
                        </w:numPr>
                        <w:ind w:left="426" w:hanging="425"/>
                        <w:rPr>
                          <w:lang w:val="fr-FR"/>
                        </w:rPr>
                      </w:pPr>
                      <w:r>
                        <w:rPr>
                          <w:lang w:val="fr-FR"/>
                        </w:rPr>
                        <w:t>Entreprendre l’examen et la mise à jour des populations prioritaires sélectionnées à inclure dans l’édition WPE2027 entre 2025 et 2027 (366 000 CHF).</w:t>
                      </w:r>
                    </w:p>
                    <w:p w:rsidR="00DA168E" w:rsidRPr="00164734" w:rsidRDefault="00DA168E" w:rsidP="009B6D38">
                      <w:pPr>
                        <w:ind w:left="426" w:firstLine="0"/>
                        <w:rPr>
                          <w:lang w:val="fr-FR"/>
                        </w:rPr>
                      </w:pPr>
                    </w:p>
                    <w:p w:rsidR="00DA168E" w:rsidRPr="00164734" w:rsidRDefault="00DA168E" w:rsidP="009B6D38">
                      <w:pPr>
                        <w:numPr>
                          <w:ilvl w:val="0"/>
                          <w:numId w:val="22"/>
                        </w:numPr>
                        <w:ind w:left="426" w:hanging="425"/>
                        <w:rPr>
                          <w:lang w:val="fr-FR"/>
                        </w:rPr>
                      </w:pPr>
                      <w:r>
                        <w:rPr>
                          <w:lang w:val="fr-FR"/>
                        </w:rPr>
                        <w:t>Maintenir le Waterbird Populations Portal pour fournir des informations sur les populations d’oiseaux d’eau, l’actualiser en réponse aux mises à jour annuelles de la Liste rouge et aux mises à jour périodiques des informations sur la taxonomie et les populations (y compris assurer des fonctionnalités supplémentaires pour une plus grande facilité d’utilisation par les Parties), à entreprendre entre 2025 et 2028 (61 000 CHF).</w:t>
                      </w:r>
                    </w:p>
                    <w:p w:rsidR="00DA168E" w:rsidRPr="00164734" w:rsidRDefault="00DA168E" w:rsidP="009B6D38">
                      <w:pPr>
                        <w:ind w:left="426" w:firstLine="0"/>
                        <w:rPr>
                          <w:lang w:val="fr-FR"/>
                        </w:rPr>
                      </w:pPr>
                    </w:p>
                    <w:p w:rsidR="00DA168E" w:rsidRPr="00164734" w:rsidRDefault="00DA168E" w:rsidP="009B6D38">
                      <w:pPr>
                        <w:numPr>
                          <w:ilvl w:val="0"/>
                          <w:numId w:val="22"/>
                        </w:numPr>
                        <w:ind w:left="426" w:hanging="425"/>
                        <w:rPr>
                          <w:lang w:val="fr-FR"/>
                        </w:rPr>
                      </w:pPr>
                      <w:r>
                        <w:rPr>
                          <w:lang w:val="fr-FR"/>
                        </w:rPr>
                        <w:t>Établir un partenariat pour l’estimation des oiseaux d’eau qui sera lancé lors de la COP16, entre 2026 et 2027 (38 000 CHF).</w:t>
                      </w:r>
                    </w:p>
                  </w:txbxContent>
                </v:textbox>
                <w10:anchorlock/>
              </v:shape>
            </w:pict>
          </mc:Fallback>
        </mc:AlternateContent>
      </w:r>
    </w:p>
    <w:p w:rsidR="00602EDF" w:rsidRDefault="00602EDF" w:rsidP="0022612B">
      <w:pPr>
        <w:keepNext/>
        <w:rPr>
          <w:rFonts w:asciiTheme="minorHAnsi" w:hAnsiTheme="minorHAnsi" w:cstheme="minorHAnsi"/>
          <w:b/>
          <w:lang w:val="fr-FR"/>
        </w:rPr>
      </w:pPr>
      <w:bookmarkStart w:id="12" w:name="_Toc159848054"/>
    </w:p>
    <w:p w:rsidR="00A06C4A" w:rsidRPr="00CF7824" w:rsidRDefault="00A06C4A" w:rsidP="0022612B">
      <w:pPr>
        <w:keepNext/>
        <w:rPr>
          <w:rFonts w:asciiTheme="minorHAnsi" w:hAnsiTheme="minorHAnsi" w:cstheme="minorHAnsi"/>
          <w:b/>
          <w:lang w:val="fr-FR"/>
        </w:rPr>
      </w:pPr>
    </w:p>
    <w:p w:rsidR="00D40B93" w:rsidRPr="00CF7824" w:rsidRDefault="00164734" w:rsidP="0022612B">
      <w:pPr>
        <w:keepNext/>
        <w:rPr>
          <w:rFonts w:asciiTheme="minorHAnsi" w:hAnsiTheme="minorHAnsi" w:cstheme="minorHAnsi"/>
          <w:b/>
          <w:lang w:val="fr-FR"/>
        </w:rPr>
      </w:pPr>
      <w:r w:rsidRPr="00CF7824">
        <w:rPr>
          <w:rFonts w:cs="Calibri"/>
          <w:b/>
          <w:bCs/>
          <w:lang w:val="fr-FR"/>
        </w:rPr>
        <w:t>Résumé des recommandations du GEST</w:t>
      </w:r>
      <w:bookmarkEnd w:id="12"/>
    </w:p>
    <w:p w:rsidR="00D40B93" w:rsidRPr="00CF7824" w:rsidRDefault="00D40B93" w:rsidP="00D40B93">
      <w:pPr>
        <w:rPr>
          <w:rFonts w:asciiTheme="minorHAnsi" w:hAnsiTheme="minorHAnsi" w:cstheme="minorHAnsi"/>
          <w:lang w:val="fr-FR"/>
        </w:rPr>
      </w:pPr>
    </w:p>
    <w:p w:rsidR="009D4D53" w:rsidRPr="00CF7824" w:rsidRDefault="009B6D38" w:rsidP="002C7FE5">
      <w:pPr>
        <w:keepNext/>
        <w:ind w:left="0" w:firstLine="0"/>
        <w:rPr>
          <w:rFonts w:asciiTheme="minorHAnsi" w:hAnsiTheme="minorHAnsi" w:cstheme="minorHAnsi"/>
          <w:u w:val="single"/>
          <w:lang w:val="fr-FR"/>
        </w:rPr>
      </w:pPr>
      <w:bookmarkStart w:id="13" w:name="_Toc159848055"/>
      <w:r w:rsidRPr="00CF7824">
        <w:rPr>
          <w:rFonts w:cs="Calibri"/>
          <w:u w:val="single"/>
          <w:lang w:val="fr-FR"/>
        </w:rPr>
        <w:t>Recommandation</w:t>
      </w:r>
      <w:r w:rsidR="00FB2D80" w:rsidRPr="00CF7824">
        <w:rPr>
          <w:rFonts w:cs="Calibri"/>
          <w:u w:val="single"/>
          <w:lang w:val="fr-FR"/>
        </w:rPr>
        <w:t> </w:t>
      </w:r>
      <w:r w:rsidR="00164734" w:rsidRPr="00CF7824">
        <w:rPr>
          <w:rFonts w:cs="Calibri"/>
          <w:u w:val="single"/>
          <w:lang w:val="fr-FR"/>
        </w:rPr>
        <w:t>1</w:t>
      </w:r>
      <w:r w:rsidR="00791FA4">
        <w:rPr>
          <w:rFonts w:cs="Calibri"/>
          <w:u w:val="single"/>
          <w:lang w:val="fr-FR"/>
        </w:rPr>
        <w:t> </w:t>
      </w:r>
      <w:r w:rsidR="00164734" w:rsidRPr="00CF7824">
        <w:rPr>
          <w:rFonts w:cs="Calibri"/>
          <w:u w:val="single"/>
          <w:lang w:val="fr-FR"/>
        </w:rPr>
        <w:t>: Périodicité future des WPE et des seuils de 1%</w:t>
      </w:r>
      <w:bookmarkEnd w:id="13"/>
    </w:p>
    <w:p w:rsidR="0046551D" w:rsidRPr="00CF7824" w:rsidRDefault="0046551D" w:rsidP="0046551D">
      <w:pPr>
        <w:rPr>
          <w:rFonts w:asciiTheme="minorHAnsi" w:hAnsiTheme="minorHAnsi" w:cstheme="minorHAnsi"/>
          <w:lang w:val="fr-FR"/>
        </w:rPr>
      </w:pPr>
    </w:p>
    <w:p w:rsidR="00912278" w:rsidRPr="00CF7824" w:rsidRDefault="00912278" w:rsidP="00912278">
      <w:pPr>
        <w:pStyle w:val="ListParagraph"/>
        <w:numPr>
          <w:ilvl w:val="0"/>
          <w:numId w:val="4"/>
        </w:numPr>
        <w:ind w:left="425" w:hanging="425"/>
        <w:rPr>
          <w:rFonts w:cs="Calibri"/>
          <w:lang w:val="fr-FR"/>
        </w:rPr>
      </w:pPr>
      <w:r w:rsidRPr="00CF7824">
        <w:rPr>
          <w:rFonts w:cs="Calibri"/>
          <w:lang w:val="fr-FR"/>
        </w:rPr>
        <w:t xml:space="preserve">Après un examen attentif de ces options, il semblerait que la Convention sur les zones humides et les autres utilisateurs majeurs des informations relatives aux estimations des populations d’oiseaux d’eau bénéficieraient d’une stabilité appropriée dans la périodicité des estimations de la taille et des tendances des populations, ainsi que des seuils de 1% qui en découlent, qui répondrait également aux besoins fonctionnels des utilisateurs et permettrait de fournir des estimations récentes aux initiatives de conservation des populations d’oiseaux d’eau à l’échelle mondiale. </w:t>
      </w:r>
    </w:p>
    <w:p w:rsidR="00912278" w:rsidRPr="00CF7824" w:rsidRDefault="00912278" w:rsidP="00912278">
      <w:pPr>
        <w:pStyle w:val="ListParagraph"/>
        <w:ind w:left="425"/>
        <w:rPr>
          <w:rFonts w:cs="Calibri"/>
          <w:lang w:val="fr-FR"/>
        </w:rPr>
      </w:pPr>
    </w:p>
    <w:p w:rsidR="00D40B93" w:rsidRPr="00CF7824" w:rsidRDefault="00912278" w:rsidP="00912278">
      <w:pPr>
        <w:pStyle w:val="ListParagraph"/>
        <w:numPr>
          <w:ilvl w:val="0"/>
          <w:numId w:val="4"/>
        </w:numPr>
        <w:ind w:left="425" w:hanging="425"/>
        <w:rPr>
          <w:rFonts w:asciiTheme="minorHAnsi" w:hAnsiTheme="minorHAnsi" w:cstheme="minorHAnsi"/>
          <w:lang w:val="fr-FR"/>
        </w:rPr>
      </w:pPr>
      <w:r w:rsidRPr="00CF7824">
        <w:rPr>
          <w:rFonts w:cs="Calibri"/>
          <w:lang w:val="fr-FR"/>
        </w:rPr>
        <w:t>Par conséquent, les options 1b ou 1</w:t>
      </w:r>
      <w:r w:rsidR="00791FA4">
        <w:rPr>
          <w:rFonts w:cs="Calibri"/>
          <w:lang w:val="fr-FR"/>
        </w:rPr>
        <w:t> </w:t>
      </w:r>
      <w:r w:rsidRPr="00CF7824">
        <w:rPr>
          <w:rFonts w:cs="Calibri"/>
          <w:lang w:val="fr-FR"/>
        </w:rPr>
        <w:t>c (tableau</w:t>
      </w:r>
      <w:r w:rsidR="00791FA4">
        <w:rPr>
          <w:rFonts w:cs="Calibri"/>
          <w:lang w:val="fr-FR"/>
        </w:rPr>
        <w:t> </w:t>
      </w:r>
      <w:r w:rsidRPr="00CF7824">
        <w:rPr>
          <w:rFonts w:cs="Calibri"/>
          <w:lang w:val="fr-FR"/>
        </w:rPr>
        <w:t>2) semblent les plus appropriées et les plus efficaces en matière de ressources, plutôt qu’un processus continu ou trop rapide, dans lequel des modifications trop fréquentes de ces informations dérivées ne seraient pas utiles pour diverses raisons pratiques et politiques. Il peut y avoir des exceptions à cette règle dans un petit nombre de cas où des mises à jour plus fréquentes sont nécessaires, en particulier pour les populations en évolution rapide (en déclin).</w:t>
      </w:r>
      <w:r w:rsidR="00164734" w:rsidRPr="00CF7824">
        <w:rPr>
          <w:rFonts w:cs="Calibri"/>
          <w:lang w:val="fr-FR"/>
        </w:rPr>
        <w:br/>
      </w:r>
      <w:r w:rsidR="00164734" w:rsidRPr="00CF7824">
        <w:rPr>
          <w:rFonts w:cs="Calibri"/>
          <w:lang w:val="fr-FR"/>
        </w:rPr>
        <w:br/>
      </w:r>
    </w:p>
    <w:p w:rsidR="0094101B" w:rsidRPr="00CF7824" w:rsidRDefault="009B6D38" w:rsidP="002C7FE5">
      <w:pPr>
        <w:keepNext/>
        <w:ind w:left="0" w:firstLine="0"/>
        <w:rPr>
          <w:rFonts w:asciiTheme="minorHAnsi" w:hAnsiTheme="minorHAnsi" w:cstheme="minorHAnsi"/>
          <w:lang w:val="fr-FR"/>
        </w:rPr>
      </w:pPr>
      <w:bookmarkStart w:id="14" w:name="_Toc159848056"/>
      <w:r w:rsidRPr="00CF7824">
        <w:rPr>
          <w:rFonts w:cs="Calibri"/>
          <w:u w:val="single"/>
          <w:lang w:val="fr-FR"/>
        </w:rPr>
        <w:lastRenderedPageBreak/>
        <w:t>Recommandation</w:t>
      </w:r>
      <w:r w:rsidR="00FB2D80" w:rsidRPr="00CF7824">
        <w:rPr>
          <w:rFonts w:cs="Calibri"/>
          <w:u w:val="single"/>
          <w:lang w:val="fr-FR"/>
        </w:rPr>
        <w:t> </w:t>
      </w:r>
      <w:r w:rsidR="00164734" w:rsidRPr="00CF7824">
        <w:rPr>
          <w:rFonts w:cs="Calibri"/>
          <w:u w:val="single"/>
          <w:lang w:val="fr-FR"/>
        </w:rPr>
        <w:t>2</w:t>
      </w:r>
      <w:r w:rsidR="00791FA4">
        <w:rPr>
          <w:rFonts w:cs="Calibri"/>
          <w:u w:val="single"/>
          <w:lang w:val="fr-FR"/>
        </w:rPr>
        <w:t> </w:t>
      </w:r>
      <w:r w:rsidR="00164734" w:rsidRPr="00CF7824">
        <w:rPr>
          <w:rFonts w:cs="Calibri"/>
          <w:u w:val="single"/>
          <w:lang w:val="fr-FR"/>
        </w:rPr>
        <w:t>: Mise en place d</w:t>
      </w:r>
      <w:r w:rsidR="00016E39" w:rsidRPr="00CF7824">
        <w:rPr>
          <w:rFonts w:cs="Calibri"/>
          <w:u w:val="single"/>
          <w:lang w:val="fr-FR"/>
        </w:rPr>
        <w:t>’</w:t>
      </w:r>
      <w:r w:rsidR="00164734" w:rsidRPr="00CF7824">
        <w:rPr>
          <w:rFonts w:cs="Calibri"/>
          <w:u w:val="single"/>
          <w:lang w:val="fr-FR"/>
        </w:rPr>
        <w:t>un processus intermédiaire de mise à jour des WPE d</w:t>
      </w:r>
      <w:r w:rsidR="00016E39" w:rsidRPr="00CF7824">
        <w:rPr>
          <w:rFonts w:cs="Calibri"/>
          <w:u w:val="single"/>
          <w:lang w:val="fr-FR"/>
        </w:rPr>
        <w:t>’</w:t>
      </w:r>
      <w:r w:rsidR="00164734" w:rsidRPr="00CF7824">
        <w:rPr>
          <w:rFonts w:cs="Calibri"/>
          <w:u w:val="single"/>
          <w:lang w:val="fr-FR"/>
        </w:rPr>
        <w:t>ici la COP16, couvrant les groupes d</w:t>
      </w:r>
      <w:r w:rsidR="00016E39" w:rsidRPr="00CF7824">
        <w:rPr>
          <w:rFonts w:cs="Calibri"/>
          <w:u w:val="single"/>
          <w:lang w:val="fr-FR"/>
        </w:rPr>
        <w:t>’</w:t>
      </w:r>
      <w:r w:rsidR="00164734" w:rsidRPr="00CF7824">
        <w:rPr>
          <w:rFonts w:cs="Calibri"/>
          <w:u w:val="single"/>
          <w:lang w:val="fr-FR"/>
        </w:rPr>
        <w:t>espèces et les régions dont la mise à jour est prioritaire</w:t>
      </w:r>
      <w:r w:rsidR="00164734" w:rsidRPr="00CF7824">
        <w:rPr>
          <w:rStyle w:val="FootnoteReference"/>
          <w:rFonts w:asciiTheme="minorHAnsi" w:hAnsiTheme="minorHAnsi" w:cstheme="minorHAnsi"/>
          <w:i/>
          <w:iCs/>
        </w:rPr>
        <w:footnoteReference w:id="31"/>
      </w:r>
      <w:bookmarkEnd w:id="14"/>
    </w:p>
    <w:p w:rsidR="00396F1C" w:rsidRPr="00CF7824" w:rsidRDefault="00396F1C" w:rsidP="00DD5699">
      <w:pPr>
        <w:ind w:left="360" w:firstLine="0"/>
        <w:rPr>
          <w:rFonts w:asciiTheme="minorHAnsi" w:hAnsiTheme="minorHAnsi" w:cstheme="minorHAnsi"/>
          <w:lang w:val="fr-FR"/>
        </w:rPr>
      </w:pPr>
    </w:p>
    <w:p w:rsidR="00976F47" w:rsidRPr="00CF7824" w:rsidRDefault="00164734" w:rsidP="00602EDF">
      <w:pPr>
        <w:pStyle w:val="ListParagraph"/>
        <w:numPr>
          <w:ilvl w:val="0"/>
          <w:numId w:val="4"/>
        </w:numPr>
        <w:ind w:left="426" w:hanging="426"/>
        <w:rPr>
          <w:rFonts w:asciiTheme="minorHAnsi" w:hAnsiTheme="minorHAnsi" w:cstheme="minorHAnsi"/>
          <w:lang w:val="fr-FR"/>
        </w:rPr>
      </w:pPr>
      <w:r w:rsidRPr="00CF7824">
        <w:rPr>
          <w:rFonts w:cs="Calibri"/>
          <w:lang w:val="fr-FR"/>
        </w:rPr>
        <w:t>Les étapes suivantes sont proposées :</w:t>
      </w:r>
      <w:r w:rsidRPr="00CF7824">
        <w:rPr>
          <w:rFonts w:cs="Calibri"/>
          <w:lang w:val="fr-FR"/>
        </w:rPr>
        <w:br/>
      </w:r>
    </w:p>
    <w:p w:rsidR="00F149CA" w:rsidRPr="00CF7824" w:rsidRDefault="00F149CA" w:rsidP="00F149CA">
      <w:pPr>
        <w:pStyle w:val="ListParagraph"/>
        <w:numPr>
          <w:ilvl w:val="0"/>
          <w:numId w:val="25"/>
        </w:numPr>
        <w:ind w:left="850" w:hanging="425"/>
        <w:contextualSpacing w:val="0"/>
        <w:rPr>
          <w:rFonts w:cs="Calibri"/>
          <w:lang w:val="fr-FR"/>
        </w:rPr>
      </w:pPr>
      <w:r w:rsidRPr="00CF7824">
        <w:rPr>
          <w:rFonts w:cs="Calibri"/>
          <w:lang w:val="fr-FR"/>
        </w:rPr>
        <w:t>Une analyse mondiale de l’état actuel des informations afin d’identifier les populations prioritaires à examiner/mettre à jour (voir tableau</w:t>
      </w:r>
      <w:r w:rsidR="00791FA4">
        <w:rPr>
          <w:rFonts w:cs="Calibri"/>
          <w:lang w:val="fr-FR"/>
        </w:rPr>
        <w:t> </w:t>
      </w:r>
      <w:r w:rsidRPr="00CF7824">
        <w:rPr>
          <w:rFonts w:cs="Calibri"/>
          <w:lang w:val="fr-FR"/>
        </w:rPr>
        <w:t>4 ci-dessus), en tenant compte de la menace indiquée par le statut de l’espèce sur la Liste rouge.</w:t>
      </w:r>
    </w:p>
    <w:p w:rsidR="003E6C66" w:rsidRPr="00CF7824" w:rsidRDefault="00164734" w:rsidP="00F149CA">
      <w:pPr>
        <w:numPr>
          <w:ilvl w:val="0"/>
          <w:numId w:val="25"/>
        </w:numPr>
        <w:ind w:left="850" w:hanging="425"/>
        <w:rPr>
          <w:rFonts w:asciiTheme="minorHAnsi" w:hAnsiTheme="minorHAnsi" w:cstheme="minorHAnsi"/>
          <w:lang w:val="fr-FR"/>
        </w:rPr>
      </w:pPr>
      <w:r w:rsidRPr="00CF7824">
        <w:rPr>
          <w:rFonts w:cs="Calibri"/>
          <w:lang w:val="fr-FR"/>
        </w:rPr>
        <w:t>Une mise à jour pour les populations hautement prioritaires, par un examen entrepris au cours des deux ou trois prochaines années dans le cadre de la publication des WPE2027 (d</w:t>
      </w:r>
      <w:r w:rsidR="00016E39" w:rsidRPr="00CF7824">
        <w:rPr>
          <w:rFonts w:cs="Calibri"/>
          <w:lang w:val="fr-FR"/>
        </w:rPr>
        <w:t>’</w:t>
      </w:r>
      <w:r w:rsidRPr="00CF7824">
        <w:rPr>
          <w:rFonts w:cs="Calibri"/>
          <w:lang w:val="fr-FR"/>
        </w:rPr>
        <w:t>ici la COP16), de manière à ce que les informations du Waterbird populations Portal soient d</w:t>
      </w:r>
      <w:r w:rsidR="00016E39" w:rsidRPr="00CF7824">
        <w:rPr>
          <w:rFonts w:cs="Calibri"/>
          <w:lang w:val="fr-FR"/>
        </w:rPr>
        <w:t>’</w:t>
      </w:r>
      <w:r w:rsidRPr="00CF7824">
        <w:rPr>
          <w:rFonts w:cs="Calibri"/>
          <w:lang w:val="fr-FR"/>
        </w:rPr>
        <w:t>une périodicité et d</w:t>
      </w:r>
      <w:r w:rsidR="00016E39" w:rsidRPr="00CF7824">
        <w:rPr>
          <w:rFonts w:cs="Calibri"/>
          <w:lang w:val="fr-FR"/>
        </w:rPr>
        <w:t>’</w:t>
      </w:r>
      <w:r w:rsidRPr="00CF7824">
        <w:rPr>
          <w:rFonts w:cs="Calibri"/>
          <w:lang w:val="fr-FR"/>
        </w:rPr>
        <w:t>une qualité comparables, créant ainsi une base d</w:t>
      </w:r>
      <w:r w:rsidR="00016E39" w:rsidRPr="00CF7824">
        <w:rPr>
          <w:rFonts w:cs="Calibri"/>
          <w:lang w:val="fr-FR"/>
        </w:rPr>
        <w:t>’</w:t>
      </w:r>
      <w:r w:rsidRPr="00CF7824">
        <w:rPr>
          <w:rFonts w:cs="Calibri"/>
          <w:lang w:val="fr-FR"/>
        </w:rPr>
        <w:t>informations plus fiable pour les futures mises à jour des WPE.</w:t>
      </w:r>
    </w:p>
    <w:p w:rsidR="00D40B93" w:rsidRPr="00CF7824" w:rsidRDefault="00164734" w:rsidP="00602EDF">
      <w:pPr>
        <w:numPr>
          <w:ilvl w:val="0"/>
          <w:numId w:val="25"/>
        </w:numPr>
        <w:ind w:left="851" w:hanging="425"/>
        <w:rPr>
          <w:rFonts w:asciiTheme="minorHAnsi" w:hAnsiTheme="minorHAnsi" w:cstheme="minorHAnsi"/>
          <w:lang w:val="fr-FR"/>
        </w:rPr>
      </w:pPr>
      <w:r w:rsidRPr="00CF7824">
        <w:rPr>
          <w:rFonts w:cs="Calibri"/>
          <w:lang w:val="fr-FR"/>
        </w:rPr>
        <w:t>Les informations sur les différentes régions et voies de migration seront mises à jour à l</w:t>
      </w:r>
      <w:r w:rsidR="00016E39" w:rsidRPr="00CF7824">
        <w:rPr>
          <w:rFonts w:cs="Calibri"/>
          <w:lang w:val="fr-FR"/>
        </w:rPr>
        <w:t>’</w:t>
      </w:r>
      <w:r w:rsidRPr="00CF7824">
        <w:rPr>
          <w:rFonts w:cs="Calibri"/>
          <w:lang w:val="fr-FR"/>
        </w:rPr>
        <w:t>avenir selon un calendrier défini (à convenir).</w:t>
      </w:r>
    </w:p>
    <w:p w:rsidR="00541DAC" w:rsidRPr="00CF7824" w:rsidRDefault="00541DAC" w:rsidP="00541DAC">
      <w:pPr>
        <w:rPr>
          <w:rFonts w:asciiTheme="minorHAnsi" w:hAnsiTheme="minorHAnsi" w:cstheme="minorHAnsi"/>
          <w:lang w:val="fr-FR"/>
        </w:rPr>
      </w:pPr>
    </w:p>
    <w:p w:rsidR="00D8579F" w:rsidRPr="00CF7824" w:rsidRDefault="009B6D38" w:rsidP="00541DAC">
      <w:pPr>
        <w:keepNext/>
        <w:ind w:left="0" w:firstLine="0"/>
        <w:rPr>
          <w:rFonts w:asciiTheme="minorHAnsi" w:hAnsiTheme="minorHAnsi" w:cstheme="minorHAnsi"/>
          <w:u w:val="single"/>
          <w:lang w:val="fr-FR"/>
        </w:rPr>
      </w:pPr>
      <w:bookmarkStart w:id="15" w:name="_Toc159848057"/>
      <w:r w:rsidRPr="00CF7824">
        <w:rPr>
          <w:rFonts w:cs="Calibri"/>
          <w:u w:val="single"/>
          <w:lang w:val="fr-FR"/>
        </w:rPr>
        <w:t>Recommandation</w:t>
      </w:r>
      <w:r w:rsidR="00FB2D80" w:rsidRPr="00CF7824">
        <w:rPr>
          <w:rFonts w:cs="Calibri"/>
          <w:u w:val="single"/>
          <w:lang w:val="fr-FR"/>
        </w:rPr>
        <w:t> </w:t>
      </w:r>
      <w:r w:rsidR="00164734" w:rsidRPr="00CF7824">
        <w:rPr>
          <w:rFonts w:cs="Calibri"/>
          <w:u w:val="single"/>
          <w:lang w:val="fr-FR"/>
        </w:rPr>
        <w:t>3</w:t>
      </w:r>
      <w:r w:rsidR="00791FA4">
        <w:rPr>
          <w:rFonts w:cs="Calibri"/>
          <w:u w:val="single"/>
          <w:lang w:val="fr-FR"/>
        </w:rPr>
        <w:t> </w:t>
      </w:r>
      <w:r w:rsidR="00164734" w:rsidRPr="00CF7824">
        <w:rPr>
          <w:rFonts w:cs="Calibri"/>
          <w:u w:val="single"/>
          <w:lang w:val="fr-FR"/>
        </w:rPr>
        <w:t>: Couverture taxonomique des futures mises à jour des WPE</w:t>
      </w:r>
      <w:bookmarkEnd w:id="15"/>
    </w:p>
    <w:p w:rsidR="00D8579F" w:rsidRPr="00CF7824" w:rsidRDefault="00D8579F" w:rsidP="00D8579F">
      <w:pPr>
        <w:ind w:left="360" w:firstLine="0"/>
        <w:rPr>
          <w:rFonts w:asciiTheme="minorHAnsi" w:hAnsiTheme="minorHAnsi" w:cstheme="minorHAnsi"/>
          <w:lang w:val="fr-FR"/>
        </w:rPr>
      </w:pPr>
    </w:p>
    <w:p w:rsidR="00D40B93" w:rsidRPr="00CF7824" w:rsidRDefault="00164734" w:rsidP="00602EDF">
      <w:pPr>
        <w:pStyle w:val="ListParagraph"/>
        <w:numPr>
          <w:ilvl w:val="0"/>
          <w:numId w:val="4"/>
        </w:numPr>
        <w:ind w:left="426" w:hanging="426"/>
        <w:rPr>
          <w:rFonts w:asciiTheme="minorHAnsi" w:hAnsiTheme="minorHAnsi" w:cstheme="minorHAnsi"/>
          <w:lang w:val="fr-FR"/>
        </w:rPr>
      </w:pPr>
      <w:r w:rsidRPr="00CF7824">
        <w:rPr>
          <w:rFonts w:cs="Calibri"/>
          <w:lang w:val="fr-FR"/>
        </w:rPr>
        <w:t>Toute décision d</w:t>
      </w:r>
      <w:r w:rsidR="00016E39" w:rsidRPr="00CF7824">
        <w:rPr>
          <w:rFonts w:cs="Calibri"/>
          <w:lang w:val="fr-FR"/>
        </w:rPr>
        <w:t>’</w:t>
      </w:r>
      <w:r w:rsidRPr="00CF7824">
        <w:rPr>
          <w:rFonts w:cs="Calibri"/>
          <w:lang w:val="fr-FR"/>
        </w:rPr>
        <w:t>inclusio</w:t>
      </w:r>
      <w:r w:rsidR="00D07190" w:rsidRPr="00CF7824">
        <w:rPr>
          <w:rFonts w:cs="Calibri"/>
          <w:lang w:val="fr-FR"/>
        </w:rPr>
        <w:t>n de</w:t>
      </w:r>
      <w:r w:rsidRPr="00CF7824">
        <w:rPr>
          <w:rFonts w:cs="Calibri"/>
          <w:lang w:val="fr-FR"/>
        </w:rPr>
        <w:t xml:space="preserve"> familles d</w:t>
      </w:r>
      <w:r w:rsidR="00016E39" w:rsidRPr="00CF7824">
        <w:rPr>
          <w:rFonts w:cs="Calibri"/>
          <w:lang w:val="fr-FR"/>
        </w:rPr>
        <w:t>’</w:t>
      </w:r>
      <w:r w:rsidRPr="00CF7824">
        <w:rPr>
          <w:rFonts w:cs="Calibri"/>
          <w:lang w:val="fr-FR"/>
        </w:rPr>
        <w:t>oiseaux marins devra être envisagée dans une phase ultérieure, lorsque le processus et les ressources pour l</w:t>
      </w:r>
      <w:r w:rsidR="00016E39" w:rsidRPr="00CF7824">
        <w:rPr>
          <w:rFonts w:cs="Calibri"/>
          <w:lang w:val="fr-FR"/>
        </w:rPr>
        <w:t>’</w:t>
      </w:r>
      <w:r w:rsidRPr="00CF7824">
        <w:rPr>
          <w:rFonts w:cs="Calibri"/>
          <w:lang w:val="fr-FR"/>
        </w:rPr>
        <w:t>examen et la mise à jour des informations sur les populations et les seuils de 1% pour les groupes taxonomiques d</w:t>
      </w:r>
      <w:r w:rsidR="00016E39" w:rsidRPr="00CF7824">
        <w:rPr>
          <w:rFonts w:cs="Calibri"/>
          <w:lang w:val="fr-FR"/>
        </w:rPr>
        <w:t>’</w:t>
      </w:r>
      <w:r w:rsidRPr="00CF7824">
        <w:rPr>
          <w:rFonts w:cs="Calibri"/>
          <w:lang w:val="fr-FR"/>
        </w:rPr>
        <w:t>oiseaux d</w:t>
      </w:r>
      <w:r w:rsidR="00016E39" w:rsidRPr="00CF7824">
        <w:rPr>
          <w:rFonts w:cs="Calibri"/>
          <w:lang w:val="fr-FR"/>
        </w:rPr>
        <w:t>’</w:t>
      </w:r>
      <w:r w:rsidRPr="00CF7824">
        <w:rPr>
          <w:rFonts w:cs="Calibri"/>
          <w:lang w:val="fr-FR"/>
        </w:rPr>
        <w:t>eau actuellement couverts par le processus WPE auront été garantis et fonctionneront de manière efficace et efficiente. Dans l</w:t>
      </w:r>
      <w:r w:rsidR="00016E39" w:rsidRPr="00CF7824">
        <w:rPr>
          <w:rFonts w:cs="Calibri"/>
          <w:lang w:val="fr-FR"/>
        </w:rPr>
        <w:t>’</w:t>
      </w:r>
      <w:r w:rsidRPr="00CF7824">
        <w:rPr>
          <w:rFonts w:cs="Calibri"/>
          <w:lang w:val="fr-FR"/>
        </w:rPr>
        <w:t>intervalle, les WPE continuent d</w:t>
      </w:r>
      <w:r w:rsidR="00016E39" w:rsidRPr="00CF7824">
        <w:rPr>
          <w:rFonts w:cs="Calibri"/>
          <w:lang w:val="fr-FR"/>
        </w:rPr>
        <w:t>’</w:t>
      </w:r>
      <w:r w:rsidRPr="00CF7824">
        <w:rPr>
          <w:rFonts w:cs="Calibri"/>
          <w:lang w:val="fr-FR"/>
        </w:rPr>
        <w:t>avoir la couverture taxonomique actuelle.</w:t>
      </w:r>
      <w:r w:rsidRPr="00CF7824">
        <w:rPr>
          <w:rFonts w:cs="Calibri"/>
          <w:lang w:val="fr-FR"/>
        </w:rPr>
        <w:br/>
      </w:r>
    </w:p>
    <w:p w:rsidR="00D8579F" w:rsidRPr="00CF7824" w:rsidRDefault="009B6D38" w:rsidP="003E6C66">
      <w:pPr>
        <w:keepNext/>
        <w:ind w:left="0" w:firstLine="0"/>
        <w:rPr>
          <w:rFonts w:asciiTheme="minorHAnsi" w:hAnsiTheme="minorHAnsi" w:cstheme="minorHAnsi"/>
          <w:lang w:val="fr-FR"/>
        </w:rPr>
      </w:pPr>
      <w:bookmarkStart w:id="16" w:name="_Toc159848058"/>
      <w:r w:rsidRPr="00CF7824">
        <w:rPr>
          <w:rFonts w:cs="Calibri"/>
          <w:u w:val="single"/>
          <w:lang w:val="fr-FR"/>
        </w:rPr>
        <w:t>Recommandation</w:t>
      </w:r>
      <w:r w:rsidR="00FB2D80" w:rsidRPr="00CF7824">
        <w:rPr>
          <w:rFonts w:cs="Calibri"/>
          <w:u w:val="single"/>
          <w:lang w:val="fr-FR"/>
        </w:rPr>
        <w:t> </w:t>
      </w:r>
      <w:r w:rsidR="00164734" w:rsidRPr="00CF7824">
        <w:rPr>
          <w:rFonts w:cs="Calibri"/>
          <w:u w:val="single"/>
          <w:lang w:val="fr-FR"/>
        </w:rPr>
        <w:t>4</w:t>
      </w:r>
      <w:r w:rsidR="00791FA4">
        <w:rPr>
          <w:rFonts w:cs="Calibri"/>
          <w:u w:val="single"/>
          <w:lang w:val="fr-FR"/>
        </w:rPr>
        <w:t> </w:t>
      </w:r>
      <w:r w:rsidR="00164734" w:rsidRPr="00CF7824">
        <w:rPr>
          <w:rFonts w:cs="Calibri"/>
          <w:u w:val="single"/>
          <w:lang w:val="fr-FR"/>
        </w:rPr>
        <w:t>: Établissement d</w:t>
      </w:r>
      <w:r w:rsidR="00016E39" w:rsidRPr="00CF7824">
        <w:rPr>
          <w:rFonts w:cs="Calibri"/>
          <w:u w:val="single"/>
          <w:lang w:val="fr-FR"/>
        </w:rPr>
        <w:t>’</w:t>
      </w:r>
      <w:r w:rsidR="00164734" w:rsidRPr="00CF7824">
        <w:rPr>
          <w:rFonts w:cs="Calibri"/>
          <w:u w:val="single"/>
          <w:lang w:val="fr-FR"/>
        </w:rPr>
        <w:t>un Partenariat pour l</w:t>
      </w:r>
      <w:r w:rsidR="00016E39" w:rsidRPr="00CF7824">
        <w:rPr>
          <w:rFonts w:cs="Calibri"/>
          <w:u w:val="single"/>
          <w:lang w:val="fr-FR"/>
        </w:rPr>
        <w:t>’</w:t>
      </w:r>
      <w:r w:rsidR="00164734" w:rsidRPr="00CF7824">
        <w:rPr>
          <w:rFonts w:cs="Calibri"/>
          <w:u w:val="single"/>
          <w:lang w:val="fr-FR"/>
        </w:rPr>
        <w:t>estimation des oiseaux d</w:t>
      </w:r>
      <w:r w:rsidR="00016E39" w:rsidRPr="00CF7824">
        <w:rPr>
          <w:rFonts w:cs="Calibri"/>
          <w:u w:val="single"/>
          <w:lang w:val="fr-FR"/>
        </w:rPr>
        <w:t>’</w:t>
      </w:r>
      <w:r w:rsidR="00164734" w:rsidRPr="00CF7824">
        <w:rPr>
          <w:rFonts w:cs="Calibri"/>
          <w:u w:val="single"/>
          <w:lang w:val="fr-FR"/>
        </w:rPr>
        <w:t>eau</w:t>
      </w:r>
      <w:bookmarkEnd w:id="16"/>
      <w:r w:rsidR="00164734" w:rsidRPr="00CF7824">
        <w:rPr>
          <w:rFonts w:cs="Calibri"/>
          <w:lang w:val="fr-FR"/>
        </w:rPr>
        <w:br/>
      </w:r>
    </w:p>
    <w:p w:rsidR="00D40B93" w:rsidRPr="00CF7824" w:rsidRDefault="0016508D" w:rsidP="00602EDF">
      <w:pPr>
        <w:pStyle w:val="ListParagraph"/>
        <w:numPr>
          <w:ilvl w:val="0"/>
          <w:numId w:val="4"/>
        </w:numPr>
        <w:ind w:left="426" w:hanging="426"/>
        <w:rPr>
          <w:rFonts w:asciiTheme="minorHAnsi" w:hAnsiTheme="minorHAnsi" w:cstheme="minorHAnsi"/>
          <w:lang w:val="fr-FR"/>
        </w:rPr>
      </w:pPr>
      <w:r w:rsidRPr="00CF7824">
        <w:rPr>
          <w:lang w:val="fr-FR"/>
        </w:rPr>
        <w:t>Inviter les organisations clés à établir un nouveau Partenariat pour l’estimation des oiseaux d’eau qui se réunirait régulièrement afin de définir une orientation stratégique pour la planification du processus WPE et de trouver une solution à long terme pour fournir des estimations de population fiables à la Convention sur les zones humides et à de nombreux autres utilisateurs.</w:t>
      </w:r>
    </w:p>
    <w:p w:rsidR="0016508D" w:rsidRPr="00CF7824" w:rsidRDefault="0016508D" w:rsidP="0016508D">
      <w:pPr>
        <w:pStyle w:val="ListParagraph"/>
        <w:ind w:left="426" w:firstLine="0"/>
        <w:rPr>
          <w:rFonts w:asciiTheme="minorHAnsi" w:hAnsiTheme="minorHAnsi" w:cstheme="minorHAnsi"/>
          <w:lang w:val="fr-FR"/>
        </w:rPr>
      </w:pPr>
    </w:p>
    <w:p w:rsidR="0010026D" w:rsidRPr="00CF7824" w:rsidRDefault="009B6D38" w:rsidP="003E6C66">
      <w:pPr>
        <w:keepNext/>
        <w:ind w:left="0" w:firstLine="0"/>
        <w:rPr>
          <w:rFonts w:asciiTheme="minorHAnsi" w:hAnsiTheme="minorHAnsi" w:cstheme="minorHAnsi"/>
          <w:lang w:val="fr-FR"/>
        </w:rPr>
      </w:pPr>
      <w:bookmarkStart w:id="17" w:name="_Toc159848059"/>
      <w:r w:rsidRPr="00CF7824">
        <w:rPr>
          <w:rFonts w:cs="Calibri"/>
          <w:u w:val="single"/>
          <w:lang w:val="fr-FR"/>
        </w:rPr>
        <w:t>Recommandation</w:t>
      </w:r>
      <w:r w:rsidR="00FB2D80" w:rsidRPr="00CF7824">
        <w:rPr>
          <w:rFonts w:cs="Calibri"/>
          <w:u w:val="single"/>
          <w:lang w:val="fr-FR"/>
        </w:rPr>
        <w:t> </w:t>
      </w:r>
      <w:r w:rsidR="00164734" w:rsidRPr="00CF7824">
        <w:rPr>
          <w:rFonts w:cs="Calibri"/>
          <w:u w:val="single"/>
          <w:lang w:val="fr-FR"/>
        </w:rPr>
        <w:t>5</w:t>
      </w:r>
      <w:r w:rsidR="00791FA4">
        <w:rPr>
          <w:rFonts w:cs="Calibri"/>
          <w:u w:val="single"/>
          <w:lang w:val="fr-FR"/>
        </w:rPr>
        <w:t> </w:t>
      </w:r>
      <w:r w:rsidR="00164734" w:rsidRPr="00CF7824">
        <w:rPr>
          <w:rFonts w:cs="Calibri"/>
          <w:u w:val="single"/>
          <w:lang w:val="fr-FR"/>
        </w:rPr>
        <w:t>: Mode opératoire du Partenariat pour l</w:t>
      </w:r>
      <w:r w:rsidR="00016E39" w:rsidRPr="00CF7824">
        <w:rPr>
          <w:rFonts w:cs="Calibri"/>
          <w:u w:val="single"/>
          <w:lang w:val="fr-FR"/>
        </w:rPr>
        <w:t>’</w:t>
      </w:r>
      <w:r w:rsidR="00164734" w:rsidRPr="00CF7824">
        <w:rPr>
          <w:rFonts w:cs="Calibri"/>
          <w:u w:val="single"/>
          <w:lang w:val="fr-FR"/>
        </w:rPr>
        <w:t>estimation des oiseaux d</w:t>
      </w:r>
      <w:r w:rsidR="00016E39" w:rsidRPr="00CF7824">
        <w:rPr>
          <w:rFonts w:cs="Calibri"/>
          <w:u w:val="single"/>
          <w:lang w:val="fr-FR"/>
        </w:rPr>
        <w:t>’</w:t>
      </w:r>
      <w:r w:rsidR="00164734" w:rsidRPr="00CF7824">
        <w:rPr>
          <w:rFonts w:cs="Calibri"/>
          <w:u w:val="single"/>
          <w:lang w:val="fr-FR"/>
        </w:rPr>
        <w:t>eau.</w:t>
      </w:r>
      <w:bookmarkEnd w:id="17"/>
    </w:p>
    <w:p w:rsidR="0051195C" w:rsidRPr="00CF7824" w:rsidRDefault="0051195C" w:rsidP="0051195C">
      <w:pPr>
        <w:rPr>
          <w:rFonts w:asciiTheme="minorHAnsi" w:hAnsiTheme="minorHAnsi" w:cstheme="minorHAnsi"/>
          <w:lang w:val="fr-FR"/>
        </w:rPr>
      </w:pPr>
    </w:p>
    <w:p w:rsidR="0086785A" w:rsidRPr="00CF7824" w:rsidRDefault="00164734" w:rsidP="008F2BE5">
      <w:pPr>
        <w:pStyle w:val="ListParagraph"/>
        <w:numPr>
          <w:ilvl w:val="0"/>
          <w:numId w:val="4"/>
        </w:numPr>
        <w:ind w:left="425" w:hanging="425"/>
        <w:rPr>
          <w:rFonts w:asciiTheme="minorHAnsi" w:hAnsiTheme="minorHAnsi" w:cstheme="minorHAnsi"/>
          <w:lang w:val="fr-FR"/>
        </w:rPr>
      </w:pPr>
      <w:r w:rsidRPr="00CF7824">
        <w:rPr>
          <w:rFonts w:cs="Calibri"/>
          <w:lang w:val="fr-FR"/>
        </w:rPr>
        <w:t xml:space="preserve">Il est </w:t>
      </w:r>
      <w:r w:rsidR="008F2BE5" w:rsidRPr="00CF7824">
        <w:rPr>
          <w:rFonts w:cs="Calibri"/>
          <w:lang w:val="fr-FR"/>
        </w:rPr>
        <w:t>proposé de définir clairement le mode opératoire du Partenariat pour l’estimation des oiseaux d’eau sur la base des informations présentées dans le tableau</w:t>
      </w:r>
      <w:r w:rsidR="00791FA4">
        <w:rPr>
          <w:rFonts w:cs="Calibri"/>
          <w:lang w:val="fr-FR"/>
        </w:rPr>
        <w:t> </w:t>
      </w:r>
      <w:r w:rsidR="008F2BE5" w:rsidRPr="00CF7824">
        <w:rPr>
          <w:rFonts w:cs="Calibri"/>
          <w:lang w:val="fr-FR"/>
        </w:rPr>
        <w:t>5 et l’annexe</w:t>
      </w:r>
      <w:r w:rsidR="00791FA4">
        <w:rPr>
          <w:rFonts w:cs="Calibri"/>
          <w:lang w:val="fr-FR"/>
        </w:rPr>
        <w:t> </w:t>
      </w:r>
      <w:r w:rsidR="008F2BE5" w:rsidRPr="00CF7824">
        <w:rPr>
          <w:rFonts w:cs="Calibri"/>
          <w:lang w:val="fr-FR"/>
        </w:rPr>
        <w:t>4, comprenant un programme de travail modulaire et chiffré pour gérer un partenariat formel après la COP16 (2028), qui garantit à l’avenir la fourniture de mises à jour régulières des WPE.</w:t>
      </w:r>
    </w:p>
    <w:p w:rsidR="00B530F6" w:rsidRPr="00CF7824" w:rsidRDefault="00B530F6" w:rsidP="000123FD">
      <w:pPr>
        <w:ind w:left="360" w:firstLine="0"/>
        <w:rPr>
          <w:rFonts w:asciiTheme="minorHAnsi" w:hAnsiTheme="minorHAnsi" w:cstheme="minorHAnsi"/>
          <w:lang w:val="fr-FR"/>
        </w:rPr>
      </w:pPr>
      <w:bookmarkStart w:id="18" w:name="_Toc159848060"/>
    </w:p>
    <w:p w:rsidR="00742E0D" w:rsidRPr="00CF7824" w:rsidRDefault="00164734" w:rsidP="003E6C66">
      <w:pPr>
        <w:keepNext/>
        <w:ind w:left="0" w:firstLine="0"/>
        <w:rPr>
          <w:rFonts w:asciiTheme="minorHAnsi" w:hAnsiTheme="minorHAnsi" w:cstheme="minorHAnsi"/>
          <w:u w:val="single"/>
          <w:lang w:val="fr-FR"/>
        </w:rPr>
      </w:pPr>
      <w:r w:rsidRPr="00CF7824">
        <w:rPr>
          <w:rFonts w:cs="Calibri"/>
          <w:u w:val="single"/>
          <w:lang w:val="fr-FR"/>
        </w:rPr>
        <w:t>Recommandation</w:t>
      </w:r>
      <w:r w:rsidR="001F19B5" w:rsidRPr="00CF7824">
        <w:rPr>
          <w:rFonts w:cs="Calibri"/>
          <w:u w:val="single"/>
          <w:lang w:val="fr-FR"/>
        </w:rPr>
        <w:t> </w:t>
      </w:r>
      <w:r w:rsidRPr="00CF7824">
        <w:rPr>
          <w:rFonts w:cs="Calibri"/>
          <w:u w:val="single"/>
          <w:lang w:val="fr-FR"/>
        </w:rPr>
        <w:t>6 : Dotation en ressources du futur processus d</w:t>
      </w:r>
      <w:r w:rsidR="00016E39" w:rsidRPr="00CF7824">
        <w:rPr>
          <w:rFonts w:cs="Calibri"/>
          <w:u w:val="single"/>
          <w:lang w:val="fr-FR"/>
        </w:rPr>
        <w:t>’</w:t>
      </w:r>
      <w:r w:rsidRPr="00CF7824">
        <w:rPr>
          <w:rFonts w:cs="Calibri"/>
          <w:u w:val="single"/>
          <w:lang w:val="fr-FR"/>
        </w:rPr>
        <w:t>estimation des populations d</w:t>
      </w:r>
      <w:r w:rsidR="00016E39" w:rsidRPr="00CF7824">
        <w:rPr>
          <w:rFonts w:cs="Calibri"/>
          <w:u w:val="single"/>
          <w:lang w:val="fr-FR"/>
        </w:rPr>
        <w:t>’</w:t>
      </w:r>
      <w:r w:rsidRPr="00CF7824">
        <w:rPr>
          <w:rFonts w:cs="Calibri"/>
          <w:u w:val="single"/>
          <w:lang w:val="fr-FR"/>
        </w:rPr>
        <w:t>oiseaux d</w:t>
      </w:r>
      <w:r w:rsidR="00016E39" w:rsidRPr="00CF7824">
        <w:rPr>
          <w:rFonts w:cs="Calibri"/>
          <w:u w:val="single"/>
          <w:lang w:val="fr-FR"/>
        </w:rPr>
        <w:t>’</w:t>
      </w:r>
      <w:r w:rsidRPr="00CF7824">
        <w:rPr>
          <w:rFonts w:cs="Calibri"/>
          <w:u w:val="single"/>
          <w:lang w:val="fr-FR"/>
        </w:rPr>
        <w:t>eau, y compris par un Partenariat pour l</w:t>
      </w:r>
      <w:r w:rsidR="00016E39" w:rsidRPr="00CF7824">
        <w:rPr>
          <w:rFonts w:cs="Calibri"/>
          <w:u w:val="single"/>
          <w:lang w:val="fr-FR"/>
        </w:rPr>
        <w:t>’</w:t>
      </w:r>
      <w:r w:rsidRPr="00CF7824">
        <w:rPr>
          <w:rFonts w:cs="Calibri"/>
          <w:u w:val="single"/>
          <w:lang w:val="fr-FR"/>
        </w:rPr>
        <w:t>estimation des oiseaux d</w:t>
      </w:r>
      <w:r w:rsidR="00016E39" w:rsidRPr="00CF7824">
        <w:rPr>
          <w:rFonts w:cs="Calibri"/>
          <w:u w:val="single"/>
          <w:lang w:val="fr-FR"/>
        </w:rPr>
        <w:t>’</w:t>
      </w:r>
      <w:r w:rsidRPr="00CF7824">
        <w:rPr>
          <w:rFonts w:cs="Calibri"/>
          <w:u w:val="single"/>
          <w:lang w:val="fr-FR"/>
        </w:rPr>
        <w:t>eau.</w:t>
      </w:r>
      <w:bookmarkEnd w:id="18"/>
    </w:p>
    <w:p w:rsidR="00867334" w:rsidRPr="00CF7824" w:rsidRDefault="00867334" w:rsidP="00867334">
      <w:pPr>
        <w:rPr>
          <w:rFonts w:asciiTheme="minorHAnsi" w:hAnsiTheme="minorHAnsi" w:cstheme="minorHAnsi"/>
          <w:lang w:val="fr-FR"/>
        </w:rPr>
      </w:pPr>
    </w:p>
    <w:p w:rsidR="00C10F78" w:rsidRPr="00CF7824" w:rsidRDefault="00164734" w:rsidP="008F2BE5">
      <w:pPr>
        <w:pStyle w:val="ListParagraph"/>
        <w:numPr>
          <w:ilvl w:val="0"/>
          <w:numId w:val="4"/>
        </w:numPr>
        <w:ind w:left="425" w:hanging="425"/>
        <w:rPr>
          <w:rFonts w:asciiTheme="minorHAnsi" w:hAnsiTheme="minorHAnsi" w:cstheme="minorHAnsi"/>
          <w:lang w:val="fr-FR"/>
        </w:rPr>
      </w:pPr>
      <w:r w:rsidRPr="00CF7824">
        <w:rPr>
          <w:rFonts w:cs="Calibri"/>
          <w:lang w:val="fr-FR"/>
        </w:rPr>
        <w:t>Les principales mesures à prendre sont les suivantes :</w:t>
      </w:r>
      <w:r w:rsidRPr="00CF7824">
        <w:rPr>
          <w:rFonts w:cs="Calibri"/>
          <w:lang w:val="fr-FR"/>
        </w:rPr>
        <w:br/>
      </w:r>
    </w:p>
    <w:p w:rsidR="003E2D7B" w:rsidRPr="00CF7824" w:rsidRDefault="00164734" w:rsidP="004804A5">
      <w:pPr>
        <w:numPr>
          <w:ilvl w:val="0"/>
          <w:numId w:val="13"/>
        </w:numPr>
        <w:ind w:left="850" w:hanging="425"/>
        <w:rPr>
          <w:lang w:val="fr-FR"/>
        </w:rPr>
      </w:pPr>
      <w:r w:rsidRPr="00CF7824">
        <w:rPr>
          <w:rFonts w:cs="Arial"/>
          <w:lang w:val="fr-FR"/>
        </w:rPr>
        <w:t>Doter de ressources</w:t>
      </w:r>
      <w:r w:rsidRPr="00CF7824">
        <w:rPr>
          <w:lang w:val="fr-FR"/>
        </w:rPr>
        <w:t xml:space="preserve"> un processus</w:t>
      </w:r>
      <w:r w:rsidR="00376BA1" w:rsidRPr="00CF7824">
        <w:rPr>
          <w:lang w:val="fr-FR"/>
        </w:rPr>
        <w:t> </w:t>
      </w:r>
      <w:r w:rsidRPr="00CF7824">
        <w:rPr>
          <w:lang w:val="fr-FR"/>
        </w:rPr>
        <w:t>WPE2027 immédiat en 2025-2027 pour une livraison à la COP16.</w:t>
      </w:r>
    </w:p>
    <w:p w:rsidR="00276343" w:rsidRPr="00CF7824" w:rsidRDefault="00276343" w:rsidP="004804A5">
      <w:pPr>
        <w:pStyle w:val="ListParagraph"/>
        <w:numPr>
          <w:ilvl w:val="0"/>
          <w:numId w:val="13"/>
        </w:numPr>
        <w:ind w:left="850" w:hanging="425"/>
        <w:contextualSpacing w:val="0"/>
        <w:rPr>
          <w:lang w:val="fr-FR"/>
        </w:rPr>
      </w:pPr>
      <w:r w:rsidRPr="00CF7824">
        <w:rPr>
          <w:lang w:val="fr-FR"/>
        </w:rPr>
        <w:t xml:space="preserve">Établir et financer le Partenariat pour l’estimation des oiseaux d’eau à long terme </w:t>
      </w:r>
      <w:r w:rsidR="004804A5" w:rsidRPr="00CF7824">
        <w:rPr>
          <w:lang w:val="fr-FR"/>
        </w:rPr>
        <w:t>qui sera formellement constitué pour être présenté à la COP16 et qui fournira une orientation stratégique et un soutien pour les mises à jour régulières des WPE</w:t>
      </w:r>
      <w:r w:rsidRPr="00CF7824">
        <w:rPr>
          <w:lang w:val="fr-FR"/>
        </w:rPr>
        <w:t xml:space="preserve">. </w:t>
      </w:r>
    </w:p>
    <w:p w:rsidR="003E2D7B" w:rsidRPr="00CF7824" w:rsidRDefault="00164734" w:rsidP="00276343">
      <w:pPr>
        <w:numPr>
          <w:ilvl w:val="0"/>
          <w:numId w:val="13"/>
        </w:numPr>
        <w:ind w:left="850" w:hanging="425"/>
        <w:rPr>
          <w:lang w:val="fr-FR"/>
        </w:rPr>
      </w:pPr>
      <w:r w:rsidRPr="00CF7824">
        <w:rPr>
          <w:lang w:val="fr-FR"/>
        </w:rPr>
        <w:t>Élaborer un programme de travail modulaire et chiffré pour la production des WPE après la COP15.</w:t>
      </w:r>
    </w:p>
    <w:p w:rsidR="003E2D7B" w:rsidRPr="00CF7824" w:rsidRDefault="00276343" w:rsidP="00276343">
      <w:pPr>
        <w:numPr>
          <w:ilvl w:val="0"/>
          <w:numId w:val="13"/>
        </w:numPr>
        <w:ind w:left="850" w:hanging="425"/>
        <w:rPr>
          <w:lang w:val="fr-FR"/>
        </w:rPr>
      </w:pPr>
      <w:r w:rsidRPr="00CF7824">
        <w:rPr>
          <w:lang w:val="fr-FR"/>
        </w:rPr>
        <w:lastRenderedPageBreak/>
        <w:t>Définir un accord sur les responsabilités en matière de partage des coûts entre toutes les entités du Partenariat pour l’estimation des oiseaux d’eau afin de soutenir la production régulière des futurs WPE</w:t>
      </w:r>
      <w:r w:rsidR="00164734" w:rsidRPr="00CF7824">
        <w:rPr>
          <w:lang w:val="fr-FR"/>
        </w:rPr>
        <w:t>.</w:t>
      </w:r>
    </w:p>
    <w:p w:rsidR="003E2D7B" w:rsidRPr="00CF7824" w:rsidRDefault="003E2D7B" w:rsidP="003E2D7B">
      <w:pPr>
        <w:rPr>
          <w:lang w:val="fr-FR"/>
        </w:rPr>
      </w:pPr>
    </w:p>
    <w:p w:rsidR="003E2D7B" w:rsidRPr="00CF7824" w:rsidRDefault="00164734" w:rsidP="00602EDF">
      <w:pPr>
        <w:pStyle w:val="ListParagraph"/>
        <w:numPr>
          <w:ilvl w:val="0"/>
          <w:numId w:val="4"/>
        </w:numPr>
        <w:ind w:left="426" w:hanging="426"/>
        <w:rPr>
          <w:lang w:val="fr-FR"/>
        </w:rPr>
      </w:pPr>
      <w:r w:rsidRPr="00CF7824">
        <w:rPr>
          <w:rFonts w:cs="Calibri"/>
          <w:lang w:val="fr-FR"/>
        </w:rPr>
        <w:t xml:space="preserve">Les </w:t>
      </w:r>
      <w:r w:rsidRPr="00CF7824">
        <w:rPr>
          <w:lang w:val="fr-FR"/>
        </w:rPr>
        <w:t>implications prévues en matière de dotation en ressources sont les suivantes :</w:t>
      </w:r>
    </w:p>
    <w:p w:rsidR="003E2D7B" w:rsidRPr="00CF7824" w:rsidRDefault="003E2D7B" w:rsidP="003E2D7B">
      <w:pPr>
        <w:rPr>
          <w:lang w:val="fr-FR"/>
        </w:rPr>
      </w:pPr>
    </w:p>
    <w:p w:rsidR="003E2D7B" w:rsidRPr="00CF7824" w:rsidRDefault="00164734" w:rsidP="002079B7">
      <w:pPr>
        <w:numPr>
          <w:ilvl w:val="0"/>
          <w:numId w:val="22"/>
        </w:numPr>
        <w:ind w:left="850" w:hanging="425"/>
        <w:rPr>
          <w:lang w:val="fr-FR"/>
        </w:rPr>
      </w:pPr>
      <w:r w:rsidRPr="00CF7824">
        <w:rPr>
          <w:lang w:val="fr-FR"/>
        </w:rPr>
        <w:t>Entreprendre l</w:t>
      </w:r>
      <w:r w:rsidR="00016E39" w:rsidRPr="00CF7824">
        <w:rPr>
          <w:lang w:val="fr-FR"/>
        </w:rPr>
        <w:t>’</w:t>
      </w:r>
      <w:r w:rsidRPr="00CF7824">
        <w:rPr>
          <w:lang w:val="fr-FR"/>
        </w:rPr>
        <w:t>examen et la mise à jour des populations prioritaires sélectionnées, à inclure dans l</w:t>
      </w:r>
      <w:r w:rsidR="00016E39" w:rsidRPr="00CF7824">
        <w:rPr>
          <w:lang w:val="fr-FR"/>
        </w:rPr>
        <w:t>’</w:t>
      </w:r>
      <w:r w:rsidRPr="00CF7824">
        <w:rPr>
          <w:lang w:val="fr-FR"/>
        </w:rPr>
        <w:t>édition WPE2027 entre 2025 et 2027 (366 000 CHF).</w:t>
      </w:r>
    </w:p>
    <w:p w:rsidR="003E2D7B" w:rsidRPr="00CF7824" w:rsidRDefault="00164734" w:rsidP="002079B7">
      <w:pPr>
        <w:numPr>
          <w:ilvl w:val="0"/>
          <w:numId w:val="22"/>
        </w:numPr>
        <w:ind w:left="850" w:hanging="425"/>
        <w:rPr>
          <w:lang w:val="fr-FR"/>
        </w:rPr>
      </w:pPr>
      <w:r w:rsidRPr="00CF7824">
        <w:rPr>
          <w:lang w:val="fr-FR"/>
        </w:rPr>
        <w:t>Maintenir le Waterbirds Populations Portal pour fournir des informations sur les populations d</w:t>
      </w:r>
      <w:r w:rsidR="00016E39" w:rsidRPr="00CF7824">
        <w:rPr>
          <w:lang w:val="fr-FR"/>
        </w:rPr>
        <w:t>’</w:t>
      </w:r>
      <w:r w:rsidRPr="00CF7824">
        <w:rPr>
          <w:lang w:val="fr-FR"/>
        </w:rPr>
        <w:t>oiseaux d</w:t>
      </w:r>
      <w:r w:rsidR="00016E39" w:rsidRPr="00CF7824">
        <w:rPr>
          <w:lang w:val="fr-FR"/>
        </w:rPr>
        <w:t>’</w:t>
      </w:r>
      <w:r w:rsidRPr="00CF7824">
        <w:rPr>
          <w:lang w:val="fr-FR"/>
        </w:rPr>
        <w:t>eau, l</w:t>
      </w:r>
      <w:r w:rsidR="00016E39" w:rsidRPr="00CF7824">
        <w:rPr>
          <w:lang w:val="fr-FR"/>
        </w:rPr>
        <w:t>’</w:t>
      </w:r>
      <w:r w:rsidRPr="00CF7824">
        <w:rPr>
          <w:lang w:val="fr-FR"/>
        </w:rPr>
        <w:t>actualiser en réponse aux mises à jour annuelles de la Liste rouge et aux mises à jour périodiques des informations sur la taxonomie et les populations (y compris assurer des fonctionnalités supplémentaires pour une plus grande facilité d</w:t>
      </w:r>
      <w:r w:rsidR="00016E39" w:rsidRPr="00CF7824">
        <w:rPr>
          <w:lang w:val="fr-FR"/>
        </w:rPr>
        <w:t>’</w:t>
      </w:r>
      <w:r w:rsidRPr="00CF7824">
        <w:rPr>
          <w:lang w:val="fr-FR"/>
        </w:rPr>
        <w:t>utilisation par les Part</w:t>
      </w:r>
      <w:r w:rsidR="00AA52E6" w:rsidRPr="00CF7824">
        <w:rPr>
          <w:lang w:val="fr-FR"/>
        </w:rPr>
        <w:t xml:space="preserve">ies), à entreprendre entre 2025 et </w:t>
      </w:r>
      <w:r w:rsidRPr="00CF7824">
        <w:rPr>
          <w:lang w:val="fr-FR"/>
        </w:rPr>
        <w:t>2028 (</w:t>
      </w:r>
      <w:r w:rsidR="00791FA4">
        <w:rPr>
          <w:lang w:val="fr-FR"/>
        </w:rPr>
        <w:t>61 000 CHF</w:t>
      </w:r>
      <w:r w:rsidRPr="00CF7824">
        <w:rPr>
          <w:lang w:val="fr-FR"/>
        </w:rPr>
        <w:t>).</w:t>
      </w:r>
    </w:p>
    <w:p w:rsidR="00033E80" w:rsidRPr="00CF7824" w:rsidRDefault="00164734" w:rsidP="004D0EFE">
      <w:pPr>
        <w:numPr>
          <w:ilvl w:val="0"/>
          <w:numId w:val="22"/>
        </w:numPr>
        <w:ind w:left="850" w:hanging="425"/>
        <w:rPr>
          <w:rFonts w:asciiTheme="minorHAnsi" w:eastAsiaTheme="majorEastAsia" w:hAnsiTheme="minorHAnsi" w:cstheme="minorHAnsi"/>
          <w:szCs w:val="26"/>
          <w:u w:val="single"/>
          <w:lang w:val="fr-FR"/>
        </w:rPr>
      </w:pPr>
      <w:r w:rsidRPr="00CF7824">
        <w:rPr>
          <w:lang w:val="fr-FR"/>
        </w:rPr>
        <w:t>Établir un Partenariat pour l</w:t>
      </w:r>
      <w:r w:rsidR="00016E39" w:rsidRPr="00CF7824">
        <w:rPr>
          <w:lang w:val="fr-FR"/>
        </w:rPr>
        <w:t>’</w:t>
      </w:r>
      <w:r w:rsidRPr="00CF7824">
        <w:rPr>
          <w:lang w:val="fr-FR"/>
        </w:rPr>
        <w:t>estimation des oiseaux d</w:t>
      </w:r>
      <w:r w:rsidR="00016E39" w:rsidRPr="00CF7824">
        <w:rPr>
          <w:lang w:val="fr-FR"/>
        </w:rPr>
        <w:t>’</w:t>
      </w:r>
      <w:r w:rsidRPr="00CF7824">
        <w:rPr>
          <w:lang w:val="fr-FR"/>
        </w:rPr>
        <w:t>eau qui sera lancé lors de la COP16 et qui sera mis en œuvre entre 2026 et 2028 (38</w:t>
      </w:r>
      <w:r w:rsidR="00376BA1" w:rsidRPr="00CF7824">
        <w:rPr>
          <w:lang w:val="fr-FR"/>
        </w:rPr>
        <w:t> </w:t>
      </w:r>
      <w:r w:rsidRPr="00CF7824">
        <w:rPr>
          <w:lang w:val="fr-FR"/>
        </w:rPr>
        <w:t>000</w:t>
      </w:r>
      <w:r w:rsidR="00791FA4">
        <w:rPr>
          <w:lang w:val="fr-FR"/>
        </w:rPr>
        <w:t> </w:t>
      </w:r>
      <w:r w:rsidRPr="00CF7824">
        <w:rPr>
          <w:lang w:val="fr-FR"/>
        </w:rPr>
        <w:t>CHF).</w:t>
      </w:r>
      <w:r w:rsidRPr="00CF7824">
        <w:rPr>
          <w:lang w:val="fr-FR"/>
        </w:rPr>
        <w:br w:type="page"/>
      </w:r>
    </w:p>
    <w:p w:rsidR="001253CE" w:rsidRPr="00CF7824" w:rsidRDefault="00164734" w:rsidP="00651B2C">
      <w:pPr>
        <w:ind w:left="0" w:firstLine="0"/>
        <w:rPr>
          <w:rFonts w:asciiTheme="minorHAnsi" w:hAnsiTheme="minorHAnsi" w:cstheme="minorHAnsi"/>
          <w:b/>
          <w:sz w:val="24"/>
          <w:szCs w:val="24"/>
          <w:lang w:val="fr-FR"/>
        </w:rPr>
      </w:pPr>
      <w:bookmarkStart w:id="19" w:name="_Toc159848062"/>
      <w:r w:rsidRPr="00CF7824">
        <w:rPr>
          <w:rFonts w:cs="Calibri"/>
          <w:b/>
          <w:bCs/>
          <w:sz w:val="24"/>
          <w:szCs w:val="24"/>
          <w:lang w:val="fr-FR"/>
        </w:rPr>
        <w:lastRenderedPageBreak/>
        <w:t>Annexe</w:t>
      </w:r>
      <w:r w:rsidR="001F19B5" w:rsidRPr="00CF7824">
        <w:rPr>
          <w:rFonts w:cs="Calibri"/>
          <w:b/>
          <w:bCs/>
          <w:sz w:val="24"/>
          <w:szCs w:val="24"/>
          <w:lang w:val="fr-FR"/>
        </w:rPr>
        <w:t> </w:t>
      </w:r>
      <w:r w:rsidRPr="00CF7824">
        <w:rPr>
          <w:rFonts w:cs="Calibri"/>
          <w:b/>
          <w:bCs/>
          <w:sz w:val="24"/>
          <w:szCs w:val="24"/>
          <w:lang w:val="fr-FR"/>
        </w:rPr>
        <w:t>1</w:t>
      </w:r>
    </w:p>
    <w:p w:rsidR="003E05D3" w:rsidRPr="00CF7824" w:rsidRDefault="00164734" w:rsidP="001253CE">
      <w:pPr>
        <w:ind w:left="0" w:firstLine="0"/>
        <w:rPr>
          <w:rFonts w:asciiTheme="minorHAnsi" w:hAnsiTheme="minorHAnsi" w:cstheme="minorHAnsi"/>
          <w:b/>
          <w:sz w:val="24"/>
          <w:szCs w:val="24"/>
          <w:lang w:val="fr-FR"/>
        </w:rPr>
      </w:pPr>
      <w:r w:rsidRPr="00CF7824">
        <w:rPr>
          <w:rFonts w:cs="Calibri"/>
          <w:b/>
          <w:bCs/>
          <w:sz w:val="24"/>
          <w:szCs w:val="24"/>
          <w:lang w:val="fr-FR"/>
        </w:rPr>
        <w:t>Critères quantitatifs de la Convention sur les zones humides relatifs aux oiseaux d</w:t>
      </w:r>
      <w:r w:rsidR="00016E39" w:rsidRPr="00CF7824">
        <w:rPr>
          <w:rFonts w:cs="Calibri"/>
          <w:b/>
          <w:bCs/>
          <w:sz w:val="24"/>
          <w:szCs w:val="24"/>
          <w:lang w:val="fr-FR"/>
        </w:rPr>
        <w:t>’</w:t>
      </w:r>
      <w:r w:rsidRPr="00CF7824">
        <w:rPr>
          <w:rFonts w:cs="Calibri"/>
          <w:b/>
          <w:bCs/>
          <w:sz w:val="24"/>
          <w:szCs w:val="24"/>
          <w:lang w:val="fr-FR"/>
        </w:rPr>
        <w:t>eau – Historique et état actuel des populations WPE</w:t>
      </w:r>
      <w:bookmarkEnd w:id="19"/>
    </w:p>
    <w:p w:rsidR="0015329B" w:rsidRPr="00CF7824" w:rsidRDefault="0015329B" w:rsidP="00EA250F">
      <w:pPr>
        <w:rPr>
          <w:rFonts w:asciiTheme="minorHAnsi" w:hAnsiTheme="minorHAnsi" w:cstheme="minorHAnsi"/>
          <w:lang w:val="fr-FR"/>
        </w:rPr>
      </w:pPr>
    </w:p>
    <w:p w:rsidR="00E15673" w:rsidRPr="00CF7824" w:rsidRDefault="00164734" w:rsidP="00EA250F">
      <w:pPr>
        <w:rPr>
          <w:rFonts w:asciiTheme="minorHAnsi" w:eastAsia="Arial" w:hAnsiTheme="minorHAnsi" w:cstheme="minorHAnsi"/>
          <w:color w:val="000000"/>
          <w:lang w:val="fr-FR"/>
        </w:rPr>
      </w:pPr>
      <w:r w:rsidRPr="00CF7824">
        <w:rPr>
          <w:rFonts w:cs="Calibri"/>
          <w:color w:val="000000"/>
          <w:lang w:val="fr-FR"/>
        </w:rPr>
        <w:t>1.</w:t>
      </w:r>
      <w:r w:rsidRPr="00CF7824">
        <w:rPr>
          <w:rFonts w:cs="Calibri"/>
          <w:color w:val="000000"/>
          <w:lang w:val="fr-FR"/>
        </w:rPr>
        <w:tab/>
        <w:t>Il existe deux critères quantitatifs basés sur les oiseaux d</w:t>
      </w:r>
      <w:r w:rsidR="00016E39" w:rsidRPr="00CF7824">
        <w:rPr>
          <w:rFonts w:cs="Calibri"/>
          <w:color w:val="000000"/>
          <w:lang w:val="fr-FR"/>
        </w:rPr>
        <w:t>’</w:t>
      </w:r>
      <w:r w:rsidRPr="00CF7824">
        <w:rPr>
          <w:rFonts w:cs="Calibri"/>
          <w:color w:val="000000"/>
          <w:lang w:val="fr-FR"/>
        </w:rPr>
        <w:t xml:space="preserve">eau pour la sélection des </w:t>
      </w:r>
      <w:r w:rsidR="00F77F5A" w:rsidRPr="00CF7824">
        <w:rPr>
          <w:rFonts w:cs="Calibri"/>
          <w:color w:val="000000"/>
          <w:lang w:val="fr-FR"/>
        </w:rPr>
        <w:t>Sites Ramsar</w:t>
      </w:r>
      <w:r w:rsidRPr="00CF7824">
        <w:rPr>
          <w:rFonts w:asciiTheme="minorHAnsi" w:eastAsia="Arial" w:hAnsiTheme="minorHAnsi" w:cstheme="minorHAnsi"/>
          <w:color w:val="000000"/>
          <w:vertAlign w:val="superscript"/>
        </w:rPr>
        <w:footnoteReference w:id="32"/>
      </w:r>
      <w:r w:rsidR="00376BA1" w:rsidRPr="00CF7824">
        <w:rPr>
          <w:rFonts w:cs="Calibri"/>
          <w:color w:val="000000"/>
          <w:lang w:val="fr-FR"/>
        </w:rPr>
        <w:t> </w:t>
      </w:r>
      <w:r w:rsidRPr="00CF7824">
        <w:rPr>
          <w:rFonts w:cs="Calibri"/>
          <w:color w:val="000000"/>
          <w:lang w:val="fr-FR"/>
        </w:rPr>
        <w:t>: Critère</w:t>
      </w:r>
      <w:r w:rsidR="001F19B5" w:rsidRPr="00CF7824">
        <w:rPr>
          <w:rFonts w:cs="Calibri"/>
          <w:color w:val="000000"/>
          <w:lang w:val="fr-FR"/>
        </w:rPr>
        <w:t> </w:t>
      </w:r>
      <w:r w:rsidRPr="00CF7824">
        <w:rPr>
          <w:rFonts w:cs="Calibri"/>
          <w:color w:val="000000"/>
          <w:lang w:val="fr-FR"/>
        </w:rPr>
        <w:t>5 (&gt;</w:t>
      </w:r>
      <w:r w:rsidRPr="00CF7824">
        <w:rPr>
          <w:rFonts w:cs="Calibri"/>
          <w:lang w:val="fr-FR"/>
        </w:rPr>
        <w:t>plus</w:t>
      </w:r>
      <w:r w:rsidRPr="00CF7824">
        <w:rPr>
          <w:rFonts w:cs="Calibri"/>
          <w:color w:val="000000"/>
          <w:lang w:val="fr-FR"/>
        </w:rPr>
        <w:t xml:space="preserve"> de 20</w:t>
      </w:r>
      <w:r w:rsidR="00376BA1" w:rsidRPr="00CF7824">
        <w:rPr>
          <w:rFonts w:cs="Calibri"/>
          <w:color w:val="000000"/>
          <w:lang w:val="fr-FR"/>
        </w:rPr>
        <w:t> 000 </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régulièrement présents), et critère</w:t>
      </w:r>
      <w:r w:rsidR="001F19B5" w:rsidRPr="00CF7824">
        <w:rPr>
          <w:rFonts w:cs="Calibri"/>
          <w:color w:val="000000"/>
          <w:lang w:val="fr-FR"/>
        </w:rPr>
        <w:t> </w:t>
      </w:r>
      <w:r w:rsidR="00C17CDF" w:rsidRPr="00CF7824">
        <w:rPr>
          <w:rFonts w:cs="Calibri"/>
          <w:color w:val="000000"/>
          <w:lang w:val="fr-FR"/>
        </w:rPr>
        <w:t>6 (</w:t>
      </w:r>
      <w:r w:rsidRPr="00CF7824">
        <w:rPr>
          <w:rFonts w:cs="Calibri"/>
          <w:color w:val="000000"/>
          <w:lang w:val="fr-FR"/>
        </w:rPr>
        <w:t>1% des individus d</w:t>
      </w:r>
      <w:r w:rsidR="00016E39" w:rsidRPr="00CF7824">
        <w:rPr>
          <w:rFonts w:cs="Calibri"/>
          <w:color w:val="000000"/>
          <w:lang w:val="fr-FR"/>
        </w:rPr>
        <w:t>’</w:t>
      </w:r>
      <w:r w:rsidRPr="00CF7824">
        <w:rPr>
          <w:rFonts w:cs="Calibri"/>
          <w:color w:val="000000"/>
          <w:lang w:val="fr-FR"/>
        </w:rPr>
        <w:t>une population biogéographique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 xml:space="preserve">eau régulièrement présents). </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44518B">
      <w:pPr>
        <w:rPr>
          <w:rFonts w:asciiTheme="minorHAnsi" w:eastAsia="Arial" w:hAnsiTheme="minorHAnsi" w:cstheme="minorHAnsi"/>
          <w:color w:val="000000"/>
          <w:lang w:val="fr-FR"/>
        </w:rPr>
      </w:pPr>
      <w:r w:rsidRPr="00CF7824">
        <w:rPr>
          <w:rFonts w:cs="Calibri"/>
          <w:color w:val="000000"/>
          <w:lang w:val="fr-FR"/>
        </w:rPr>
        <w:t>2.</w:t>
      </w:r>
      <w:r w:rsidRPr="00CF7824">
        <w:rPr>
          <w:rFonts w:cs="Calibri"/>
          <w:color w:val="000000"/>
          <w:lang w:val="fr-FR"/>
        </w:rPr>
        <w:tab/>
        <w:t>L</w:t>
      </w:r>
      <w:r w:rsidR="00016E39" w:rsidRPr="00CF7824">
        <w:rPr>
          <w:rFonts w:cs="Calibri"/>
          <w:color w:val="000000"/>
          <w:lang w:val="fr-FR"/>
        </w:rPr>
        <w:t>’</w:t>
      </w:r>
      <w:r w:rsidRPr="00CF7824">
        <w:rPr>
          <w:rFonts w:cs="Calibri"/>
          <w:color w:val="000000"/>
          <w:lang w:val="fr-FR"/>
        </w:rPr>
        <w:t>historique des deux critères relatifs aux oiseaux d</w:t>
      </w:r>
      <w:r w:rsidR="00016E39" w:rsidRPr="00CF7824">
        <w:rPr>
          <w:rFonts w:cs="Calibri"/>
          <w:color w:val="000000"/>
          <w:lang w:val="fr-FR"/>
        </w:rPr>
        <w:t>’</w:t>
      </w:r>
      <w:r w:rsidRPr="00CF7824">
        <w:rPr>
          <w:rFonts w:cs="Calibri"/>
          <w:color w:val="000000"/>
          <w:lang w:val="fr-FR"/>
        </w:rPr>
        <w:t>eau (actuellement Critères</w:t>
      </w:r>
      <w:r w:rsidR="001F19B5" w:rsidRPr="00CF7824">
        <w:rPr>
          <w:rFonts w:cs="Calibri"/>
          <w:color w:val="000000"/>
          <w:lang w:val="fr-FR"/>
        </w:rPr>
        <w:t> </w:t>
      </w:r>
      <w:r w:rsidRPr="00CF7824">
        <w:rPr>
          <w:rFonts w:cs="Calibri"/>
          <w:color w:val="000000"/>
          <w:lang w:val="fr-FR"/>
        </w:rPr>
        <w:t>5 et 6) est décrit par Matthews (1993)</w:t>
      </w:r>
      <w:r w:rsidRPr="00CF7824">
        <w:rPr>
          <w:rFonts w:asciiTheme="minorHAnsi" w:eastAsia="Arial" w:hAnsiTheme="minorHAnsi" w:cstheme="minorHAnsi"/>
          <w:color w:val="000000"/>
          <w:vertAlign w:val="superscript"/>
        </w:rPr>
        <w:footnoteReference w:id="33"/>
      </w:r>
      <w:r w:rsidRPr="00CF7824">
        <w:rPr>
          <w:rFonts w:cs="Calibri"/>
          <w:color w:val="000000"/>
          <w:lang w:val="fr-FR"/>
        </w:rPr>
        <w:t xml:space="preserve">. Compte tenu de la </w:t>
      </w:r>
      <w:r w:rsidR="00EC4E8C" w:rsidRPr="00CF7824">
        <w:rPr>
          <w:rFonts w:cs="Calibri"/>
          <w:color w:val="000000"/>
          <w:lang w:val="fr-FR"/>
        </w:rPr>
        <w:t>vocation</w:t>
      </w:r>
      <w:r w:rsidRPr="00CF7824">
        <w:rPr>
          <w:rFonts w:cs="Calibri"/>
          <w:color w:val="000000"/>
          <w:lang w:val="fr-FR"/>
        </w:rPr>
        <w:t xml:space="preserve"> initiale de la Convention en tant qu</w:t>
      </w:r>
      <w:r w:rsidR="00016E39" w:rsidRPr="00CF7824">
        <w:rPr>
          <w:rFonts w:cs="Calibri"/>
          <w:color w:val="000000"/>
          <w:lang w:val="fr-FR"/>
        </w:rPr>
        <w:t>’</w:t>
      </w:r>
      <w:r w:rsidRPr="00CF7824">
        <w:rPr>
          <w:rFonts w:cs="Calibri"/>
          <w:color w:val="000000"/>
          <w:lang w:val="fr-FR"/>
        </w:rPr>
        <w:t>outil politique pour la conservation des habitats des oiseaux d</w:t>
      </w:r>
      <w:r w:rsidR="00016E39" w:rsidRPr="00CF7824">
        <w:rPr>
          <w:rFonts w:cs="Calibri"/>
          <w:color w:val="000000"/>
          <w:lang w:val="fr-FR"/>
        </w:rPr>
        <w:t>’</w:t>
      </w:r>
      <w:r w:rsidRPr="00CF7824">
        <w:rPr>
          <w:rFonts w:cs="Calibri"/>
          <w:color w:val="000000"/>
          <w:lang w:val="fr-FR"/>
        </w:rPr>
        <w:t>eau, il n</w:t>
      </w:r>
      <w:r w:rsidR="00016E39" w:rsidRPr="00CF7824">
        <w:rPr>
          <w:rFonts w:cs="Calibri"/>
          <w:color w:val="000000"/>
          <w:lang w:val="fr-FR"/>
        </w:rPr>
        <w:t>’</w:t>
      </w:r>
      <w:r w:rsidRPr="00CF7824">
        <w:rPr>
          <w:rFonts w:cs="Calibri"/>
          <w:color w:val="000000"/>
          <w:lang w:val="fr-FR"/>
        </w:rPr>
        <w:t>est pas surprenant que ces critères aient fait l</w:t>
      </w:r>
      <w:r w:rsidR="00016E39" w:rsidRPr="00CF7824">
        <w:rPr>
          <w:rFonts w:cs="Calibri"/>
          <w:color w:val="000000"/>
          <w:lang w:val="fr-FR"/>
        </w:rPr>
        <w:t>’</w:t>
      </w:r>
      <w:r w:rsidRPr="00CF7824">
        <w:rPr>
          <w:rFonts w:cs="Calibri"/>
          <w:color w:val="000000"/>
          <w:lang w:val="fr-FR"/>
        </w:rPr>
        <w:t>objet d</w:t>
      </w:r>
      <w:r w:rsidR="00016E39" w:rsidRPr="00CF7824">
        <w:rPr>
          <w:rFonts w:cs="Calibri"/>
          <w:color w:val="000000"/>
          <w:lang w:val="fr-FR"/>
        </w:rPr>
        <w:t>’</w:t>
      </w:r>
      <w:r w:rsidRPr="00CF7824">
        <w:rPr>
          <w:rFonts w:cs="Calibri"/>
          <w:color w:val="000000"/>
          <w:lang w:val="fr-FR"/>
        </w:rPr>
        <w:t>une attention précoce. Ils reflètent principalement deux attributs liés, mais différents, de l</w:t>
      </w:r>
      <w:r w:rsidR="00016E39" w:rsidRPr="00CF7824">
        <w:rPr>
          <w:rFonts w:cs="Calibri"/>
          <w:color w:val="000000"/>
          <w:lang w:val="fr-FR"/>
        </w:rPr>
        <w:t>’</w:t>
      </w:r>
      <w:r w:rsidRPr="00CF7824">
        <w:rPr>
          <w:rFonts w:cs="Calibri"/>
          <w:color w:val="000000"/>
          <w:lang w:val="fr-FR"/>
        </w:rPr>
        <w:t>importance d</w:t>
      </w:r>
      <w:r w:rsidR="00016E39" w:rsidRPr="00CF7824">
        <w:rPr>
          <w:rFonts w:cs="Calibri"/>
          <w:color w:val="000000"/>
          <w:lang w:val="fr-FR"/>
        </w:rPr>
        <w:t>’</w:t>
      </w:r>
      <w:r w:rsidRPr="00CF7824">
        <w:rPr>
          <w:rFonts w:cs="Calibri"/>
          <w:color w:val="000000"/>
          <w:lang w:val="fr-FR"/>
        </w:rPr>
        <w:t>une zone humide</w:t>
      </w:r>
      <w:r w:rsidR="00376BA1" w:rsidRPr="00CF7824">
        <w:rPr>
          <w:rFonts w:cs="Calibri"/>
          <w:color w:val="000000"/>
          <w:lang w:val="fr-FR"/>
        </w:rPr>
        <w:t> </w:t>
      </w:r>
      <w:r w:rsidRPr="00CF7824">
        <w:rPr>
          <w:rFonts w:cs="Calibri"/>
          <w:color w:val="000000"/>
          <w:lang w:val="fr-FR"/>
        </w:rPr>
        <w:t>: le nombre absolu d</w:t>
      </w:r>
      <w:r w:rsidR="00016E39" w:rsidRPr="00CF7824">
        <w:rPr>
          <w:rFonts w:cs="Calibri"/>
          <w:color w:val="000000"/>
          <w:lang w:val="fr-FR"/>
        </w:rPr>
        <w:t>’</w:t>
      </w:r>
      <w:r w:rsidRPr="00CF7824">
        <w:rPr>
          <w:rFonts w:cs="Calibri"/>
          <w:color w:val="000000"/>
          <w:lang w:val="fr-FR"/>
        </w:rPr>
        <w:t>oiseaux présents (Critère</w:t>
      </w:r>
      <w:r w:rsidR="001F19B5" w:rsidRPr="00CF7824">
        <w:rPr>
          <w:rFonts w:cs="Calibri"/>
          <w:color w:val="000000"/>
          <w:lang w:val="fr-FR"/>
        </w:rPr>
        <w:t> </w:t>
      </w:r>
      <w:r w:rsidRPr="00CF7824">
        <w:rPr>
          <w:rFonts w:cs="Calibri"/>
          <w:color w:val="000000"/>
          <w:lang w:val="fr-FR"/>
        </w:rPr>
        <w:t>5) et l</w:t>
      </w:r>
      <w:r w:rsidR="00016E39" w:rsidRPr="00CF7824">
        <w:rPr>
          <w:rFonts w:cs="Calibri"/>
          <w:color w:val="000000"/>
          <w:lang w:val="fr-FR"/>
        </w:rPr>
        <w:t>’</w:t>
      </w:r>
      <w:r w:rsidRPr="00CF7824">
        <w:rPr>
          <w:rFonts w:cs="Calibri"/>
          <w:color w:val="000000"/>
          <w:lang w:val="fr-FR"/>
        </w:rPr>
        <w:t>importance proportionnelle pour une population donnée (Critère</w:t>
      </w:r>
      <w:r w:rsidR="001F19B5" w:rsidRPr="00CF7824">
        <w:rPr>
          <w:rFonts w:cs="Calibri"/>
          <w:color w:val="000000"/>
          <w:lang w:val="fr-FR"/>
        </w:rPr>
        <w:t> </w:t>
      </w:r>
      <w:r w:rsidRPr="00CF7824">
        <w:rPr>
          <w:rFonts w:cs="Calibri"/>
          <w:color w:val="000000"/>
          <w:lang w:val="fr-FR"/>
        </w:rPr>
        <w:t xml:space="preserve">6). </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44518B">
      <w:pPr>
        <w:rPr>
          <w:rFonts w:asciiTheme="minorHAnsi" w:eastAsia="Arial" w:hAnsiTheme="minorHAnsi" w:cstheme="minorHAnsi"/>
          <w:color w:val="000000"/>
          <w:lang w:val="fr-FR"/>
        </w:rPr>
      </w:pPr>
      <w:r w:rsidRPr="00CF7824">
        <w:rPr>
          <w:rFonts w:cs="Calibri"/>
          <w:color w:val="000000"/>
          <w:lang w:val="fr-FR"/>
        </w:rPr>
        <w:t>3.</w:t>
      </w:r>
      <w:r w:rsidRPr="00CF7824">
        <w:rPr>
          <w:rFonts w:cs="Calibri"/>
          <w:color w:val="000000"/>
          <w:lang w:val="fr-FR"/>
        </w:rPr>
        <w:tab/>
        <w:t>Le Critère</w:t>
      </w:r>
      <w:r w:rsidR="001F19B5" w:rsidRPr="00CF7824">
        <w:rPr>
          <w:rFonts w:cs="Calibri"/>
          <w:color w:val="000000"/>
          <w:lang w:val="fr-FR"/>
        </w:rPr>
        <w:t> </w:t>
      </w:r>
      <w:r w:rsidRPr="00CF7824">
        <w:rPr>
          <w:rFonts w:cs="Calibri"/>
          <w:color w:val="000000"/>
          <w:lang w:val="fr-FR"/>
        </w:rPr>
        <w:t>6 est un moyen efficace et largement adopté pour identifier les zones humides d</w:t>
      </w:r>
      <w:r w:rsidR="00016E39" w:rsidRPr="00CF7824">
        <w:rPr>
          <w:rFonts w:cs="Calibri"/>
          <w:color w:val="000000"/>
          <w:lang w:val="fr-FR"/>
        </w:rPr>
        <w:t>’</w:t>
      </w:r>
      <w:r w:rsidRPr="00CF7824">
        <w:rPr>
          <w:rFonts w:cs="Calibri"/>
          <w:color w:val="000000"/>
          <w:lang w:val="fr-FR"/>
        </w:rPr>
        <w:t>importance internationale pour les oiseaux d</w:t>
      </w:r>
      <w:r w:rsidR="00016E39" w:rsidRPr="00CF7824">
        <w:rPr>
          <w:rFonts w:cs="Calibri"/>
          <w:color w:val="000000"/>
          <w:lang w:val="fr-FR"/>
        </w:rPr>
        <w:t>’</w:t>
      </w:r>
      <w:r w:rsidRPr="00CF7824">
        <w:rPr>
          <w:rFonts w:cs="Calibri"/>
          <w:color w:val="000000"/>
          <w:lang w:val="fr-FR"/>
        </w:rPr>
        <w:t xml:space="preserve">eau (Atkinson-Willes </w:t>
      </w:r>
      <w:r w:rsidRPr="00CF7824">
        <w:rPr>
          <w:rFonts w:cs="Calibri"/>
          <w:i/>
          <w:iCs/>
          <w:color w:val="000000"/>
          <w:lang w:val="fr-FR"/>
        </w:rPr>
        <w:t xml:space="preserve">et al. </w:t>
      </w:r>
      <w:r w:rsidRPr="00CF7824">
        <w:rPr>
          <w:rFonts w:cs="Calibri"/>
          <w:color w:val="000000"/>
          <w:lang w:val="fr-FR"/>
        </w:rPr>
        <w:t>1982)</w:t>
      </w:r>
      <w:r w:rsidRPr="00CF7824">
        <w:rPr>
          <w:rFonts w:asciiTheme="minorHAnsi" w:eastAsia="Arial" w:hAnsiTheme="minorHAnsi" w:cstheme="minorHAnsi"/>
          <w:color w:val="000000"/>
          <w:vertAlign w:val="superscript"/>
        </w:rPr>
        <w:footnoteReference w:id="34"/>
      </w:r>
      <w:r w:rsidRPr="00CF7824">
        <w:rPr>
          <w:rFonts w:cs="Calibri"/>
          <w:color w:val="000000"/>
          <w:lang w:val="fr-FR"/>
        </w:rPr>
        <w:t>. Il ne fonctionne que pour les oiseaux d</w:t>
      </w:r>
      <w:r w:rsidR="00016E39" w:rsidRPr="00CF7824">
        <w:rPr>
          <w:rFonts w:cs="Calibri"/>
          <w:color w:val="000000"/>
          <w:lang w:val="fr-FR"/>
        </w:rPr>
        <w:t>’</w:t>
      </w:r>
      <w:r w:rsidRPr="00CF7824">
        <w:rPr>
          <w:rFonts w:cs="Calibri"/>
          <w:color w:val="000000"/>
          <w:lang w:val="fr-FR"/>
        </w:rPr>
        <w:t>eau qui ont tendance à se rassembler, une caractéristique appréciable</w:t>
      </w:r>
      <w:r w:rsidR="001F19B5" w:rsidRPr="00CF7824">
        <w:rPr>
          <w:rFonts w:cs="Calibri"/>
          <w:color w:val="000000"/>
          <w:lang w:val="fr-FR"/>
        </w:rPr>
        <w:t>,</w:t>
      </w:r>
      <w:r w:rsidRPr="00CF7824">
        <w:rPr>
          <w:rFonts w:cs="Calibri"/>
          <w:color w:val="000000"/>
          <w:lang w:val="fr-FR"/>
        </w:rPr>
        <w:t xml:space="preserve"> car ces espèces sont, par définition, celles qui dépendent d</w:t>
      </w:r>
      <w:r w:rsidR="00016E39" w:rsidRPr="00CF7824">
        <w:rPr>
          <w:rFonts w:cs="Calibri"/>
          <w:color w:val="000000"/>
          <w:lang w:val="fr-FR"/>
        </w:rPr>
        <w:t>’</w:t>
      </w:r>
      <w:r w:rsidRPr="00CF7824">
        <w:rPr>
          <w:rFonts w:cs="Calibri"/>
          <w:color w:val="000000"/>
          <w:lang w:val="fr-FR"/>
        </w:rPr>
        <w:t>une proportion relativement faible de leur territoire total et qui sont donc vulnérables aux changements qui surviennent dans cette zone restreinte.</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44518B">
      <w:pPr>
        <w:rPr>
          <w:rFonts w:asciiTheme="minorHAnsi" w:eastAsia="Arial" w:hAnsiTheme="minorHAnsi" w:cstheme="minorHAnsi"/>
          <w:color w:val="000000"/>
          <w:lang w:val="fr-FR"/>
        </w:rPr>
      </w:pPr>
      <w:r w:rsidRPr="00CF7824">
        <w:rPr>
          <w:rFonts w:cs="Calibri"/>
          <w:color w:val="000000"/>
          <w:lang w:val="fr-FR"/>
        </w:rPr>
        <w:t>4.</w:t>
      </w:r>
      <w:r w:rsidRPr="00CF7824">
        <w:rPr>
          <w:rFonts w:cs="Calibri"/>
          <w:color w:val="000000"/>
          <w:lang w:val="fr-FR"/>
        </w:rPr>
        <w:tab/>
        <w:t>L</w:t>
      </w:r>
      <w:r w:rsidR="00016E39" w:rsidRPr="00CF7824">
        <w:rPr>
          <w:rFonts w:cs="Calibri"/>
          <w:color w:val="000000"/>
          <w:lang w:val="fr-FR"/>
        </w:rPr>
        <w:t>’</w:t>
      </w:r>
      <w:r w:rsidRPr="00CF7824">
        <w:rPr>
          <w:rFonts w:cs="Calibri"/>
          <w:color w:val="000000"/>
          <w:lang w:val="fr-FR"/>
        </w:rPr>
        <w:t>application du Critère</w:t>
      </w:r>
      <w:r w:rsidR="001F19B5" w:rsidRPr="00CF7824">
        <w:rPr>
          <w:rFonts w:cs="Calibri"/>
          <w:color w:val="000000"/>
          <w:lang w:val="fr-FR"/>
        </w:rPr>
        <w:t> </w:t>
      </w:r>
      <w:r w:rsidRPr="00CF7824">
        <w:rPr>
          <w:rFonts w:cs="Calibri"/>
          <w:color w:val="000000"/>
          <w:lang w:val="fr-FR"/>
        </w:rPr>
        <w:t>6 dépend des informations actuelles sur la taille des populations, à la fois sur les différents sites et, surtout, à l</w:t>
      </w:r>
      <w:r w:rsidR="00016E39" w:rsidRPr="00CF7824">
        <w:rPr>
          <w:rFonts w:cs="Calibri"/>
          <w:color w:val="000000"/>
          <w:lang w:val="fr-FR"/>
        </w:rPr>
        <w:t>’</w:t>
      </w:r>
      <w:r w:rsidRPr="00CF7824">
        <w:rPr>
          <w:rFonts w:cs="Calibri"/>
          <w:color w:val="000000"/>
          <w:lang w:val="fr-FR"/>
        </w:rPr>
        <w:t>échelle biogéographique, pour le calcul des seuils de 1%. Ces besoins de données se sont avérés très stimulants pour le suivi des oiseaux d</w:t>
      </w:r>
      <w:r w:rsidR="00016E39" w:rsidRPr="00CF7824">
        <w:rPr>
          <w:rFonts w:cs="Calibri"/>
          <w:color w:val="000000"/>
          <w:lang w:val="fr-FR"/>
        </w:rPr>
        <w:t>’</w:t>
      </w:r>
      <w:r w:rsidRPr="00CF7824">
        <w:rPr>
          <w:rFonts w:cs="Calibri"/>
          <w:color w:val="000000"/>
          <w:lang w:val="fr-FR"/>
        </w:rPr>
        <w:t xml:space="preserve">eau dans le monde entier, notamment </w:t>
      </w:r>
      <w:r w:rsidR="00EC4E8C" w:rsidRPr="00CF7824">
        <w:rPr>
          <w:rFonts w:cs="Calibri"/>
          <w:color w:val="000000"/>
          <w:lang w:val="fr-FR"/>
        </w:rPr>
        <w:t>dans le cadre des</w:t>
      </w:r>
      <w:r w:rsidRPr="00CF7824">
        <w:rPr>
          <w:rFonts w:cs="Calibri"/>
          <w:color w:val="000000"/>
          <w:lang w:val="fr-FR"/>
        </w:rPr>
        <w:t xml:space="preserve"> Dénombrements internationaux des oiseaux d</w:t>
      </w:r>
      <w:r w:rsidR="00016E39" w:rsidRPr="00CF7824">
        <w:rPr>
          <w:rFonts w:cs="Calibri"/>
          <w:color w:val="000000"/>
          <w:lang w:val="fr-FR"/>
        </w:rPr>
        <w:t>’</w:t>
      </w:r>
      <w:r w:rsidRPr="00CF7824">
        <w:rPr>
          <w:rFonts w:cs="Calibri"/>
          <w:color w:val="000000"/>
          <w:lang w:val="fr-FR"/>
        </w:rPr>
        <w:t xml:space="preserve">eau (DIOE). </w:t>
      </w:r>
    </w:p>
    <w:p w:rsidR="00E15673" w:rsidRPr="00CF7824" w:rsidRDefault="00E15673" w:rsidP="00E15673">
      <w:pPr>
        <w:pBdr>
          <w:top w:val="nil"/>
          <w:left w:val="nil"/>
          <w:bottom w:val="nil"/>
          <w:right w:val="nil"/>
          <w:between w:val="nil"/>
        </w:pBdr>
        <w:ind w:left="360"/>
        <w:rPr>
          <w:rFonts w:asciiTheme="minorHAnsi" w:eastAsia="Arial" w:hAnsiTheme="minorHAnsi" w:cstheme="minorHAnsi"/>
          <w:color w:val="000000"/>
          <w:lang w:val="fr-FR"/>
        </w:rPr>
      </w:pPr>
    </w:p>
    <w:p w:rsidR="00E15673" w:rsidRPr="00CF7824" w:rsidRDefault="00164734" w:rsidP="0044518B">
      <w:pPr>
        <w:rPr>
          <w:rFonts w:asciiTheme="minorHAnsi" w:eastAsia="Arial" w:hAnsiTheme="minorHAnsi" w:cstheme="minorHAnsi"/>
          <w:color w:val="000000"/>
          <w:lang w:val="fr-FR"/>
        </w:rPr>
      </w:pPr>
      <w:r w:rsidRPr="00CF7824">
        <w:rPr>
          <w:rFonts w:cs="Calibri"/>
          <w:color w:val="000000"/>
          <w:lang w:val="fr-FR"/>
        </w:rPr>
        <w:t>5.</w:t>
      </w:r>
      <w:r w:rsidRPr="00CF7824">
        <w:rPr>
          <w:rFonts w:cs="Calibri"/>
          <w:color w:val="000000"/>
          <w:lang w:val="fr-FR"/>
        </w:rPr>
        <w:tab/>
        <w:t>Une première liste complète des tailles de population et des seuils formels pour tous les oiseaux d</w:t>
      </w:r>
      <w:r w:rsidR="00016E39" w:rsidRPr="00CF7824">
        <w:rPr>
          <w:rFonts w:cs="Calibri"/>
          <w:color w:val="000000"/>
          <w:lang w:val="fr-FR"/>
        </w:rPr>
        <w:t>’</w:t>
      </w:r>
      <w:r w:rsidRPr="00CF7824">
        <w:rPr>
          <w:rFonts w:cs="Calibri"/>
          <w:color w:val="000000"/>
          <w:lang w:val="fr-FR"/>
        </w:rPr>
        <w:t>eau a été présentée par le Bur</w:t>
      </w:r>
      <w:r w:rsidR="001F19B5" w:rsidRPr="00CF7824">
        <w:rPr>
          <w:rFonts w:cs="Calibri"/>
          <w:color w:val="000000"/>
          <w:lang w:val="fr-FR"/>
        </w:rPr>
        <w:t>e</w:t>
      </w:r>
      <w:r w:rsidRPr="00CF7824">
        <w:rPr>
          <w:rFonts w:cs="Calibri"/>
          <w:color w:val="000000"/>
          <w:lang w:val="fr-FR"/>
        </w:rPr>
        <w:t>au international de recherche sur les oiseaux d</w:t>
      </w:r>
      <w:r w:rsidR="00016E39" w:rsidRPr="00CF7824">
        <w:rPr>
          <w:rFonts w:cs="Calibri"/>
          <w:color w:val="000000"/>
          <w:lang w:val="fr-FR"/>
        </w:rPr>
        <w:t>’</w:t>
      </w:r>
      <w:r w:rsidRPr="00CF7824">
        <w:rPr>
          <w:rFonts w:cs="Calibri"/>
          <w:color w:val="000000"/>
          <w:lang w:val="fr-FR"/>
        </w:rPr>
        <w:t>eau et les zones humides (BIROE), en tant que document d</w:t>
      </w:r>
      <w:r w:rsidR="00016E39" w:rsidRPr="00CF7824">
        <w:rPr>
          <w:rFonts w:cs="Calibri"/>
          <w:color w:val="000000"/>
          <w:lang w:val="fr-FR"/>
        </w:rPr>
        <w:t>’</w:t>
      </w:r>
      <w:r w:rsidRPr="00CF7824">
        <w:rPr>
          <w:rFonts w:cs="Calibri"/>
          <w:color w:val="000000"/>
          <w:lang w:val="fr-FR"/>
        </w:rPr>
        <w:t>information pour la COP5 de la Convention sur les zones humides en 1993 et publiée par la suite (Rose &amp; Scott 1994</w:t>
      </w:r>
      <w:r w:rsidRPr="00CF7824">
        <w:rPr>
          <w:rFonts w:asciiTheme="minorHAnsi" w:eastAsia="Arial" w:hAnsiTheme="minorHAnsi" w:cstheme="minorHAnsi"/>
          <w:color w:val="000000"/>
          <w:vertAlign w:val="superscript"/>
        </w:rPr>
        <w:footnoteReference w:id="35"/>
      </w:r>
      <w:r w:rsidRPr="00CF7824">
        <w:rPr>
          <w:rFonts w:cs="Calibri"/>
          <w:color w:val="000000"/>
          <w:lang w:val="fr-FR"/>
        </w:rPr>
        <w:t>). La Résolution</w:t>
      </w:r>
      <w:r w:rsidR="001F19B5" w:rsidRPr="00CF7824">
        <w:rPr>
          <w:rFonts w:cs="Calibri"/>
          <w:color w:val="000000"/>
          <w:lang w:val="fr-FR"/>
        </w:rPr>
        <w:t> </w:t>
      </w:r>
      <w:r w:rsidRPr="00CF7824">
        <w:rPr>
          <w:rFonts w:cs="Calibri"/>
          <w:color w:val="000000"/>
          <w:lang w:val="fr-FR"/>
        </w:rPr>
        <w:t>5.9 de la Convention sur les zones humides a établi l</w:t>
      </w:r>
      <w:r w:rsidR="00016E39" w:rsidRPr="00CF7824">
        <w:rPr>
          <w:rFonts w:cs="Calibri"/>
          <w:color w:val="000000"/>
          <w:lang w:val="fr-FR"/>
        </w:rPr>
        <w:t>’</w:t>
      </w:r>
      <w:r w:rsidRPr="00CF7824">
        <w:rPr>
          <w:rFonts w:cs="Calibri"/>
          <w:color w:val="000000"/>
          <w:lang w:val="fr-FR"/>
        </w:rPr>
        <w:t>application par les Parties d</w:t>
      </w:r>
      <w:r w:rsidR="00016E39" w:rsidRPr="00CF7824">
        <w:rPr>
          <w:rFonts w:cs="Calibri"/>
          <w:color w:val="000000"/>
          <w:lang w:val="fr-FR"/>
        </w:rPr>
        <w:t>’</w:t>
      </w:r>
      <w:r w:rsidRPr="00CF7824">
        <w:rPr>
          <w:rFonts w:cs="Calibri"/>
          <w:color w:val="000000"/>
          <w:lang w:val="fr-FR"/>
        </w:rPr>
        <w:t>estimations normalisées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comme base pour l</w:t>
      </w:r>
      <w:r w:rsidR="00016E39" w:rsidRPr="00CF7824">
        <w:rPr>
          <w:rFonts w:cs="Calibri"/>
          <w:color w:val="000000"/>
          <w:lang w:val="fr-FR"/>
        </w:rPr>
        <w:t>’</w:t>
      </w:r>
      <w:r w:rsidRPr="00CF7824">
        <w:rPr>
          <w:rFonts w:cs="Calibri"/>
          <w:color w:val="000000"/>
          <w:lang w:val="fr-FR"/>
        </w:rPr>
        <w:t>utilisation du critère de 1% et a demandé au BIROE de préparer d</w:t>
      </w:r>
      <w:r w:rsidR="00016E39" w:rsidRPr="00CF7824">
        <w:rPr>
          <w:rFonts w:cs="Calibri"/>
          <w:color w:val="000000"/>
          <w:lang w:val="fr-FR"/>
        </w:rPr>
        <w:t>’</w:t>
      </w:r>
      <w:r w:rsidRPr="00CF7824">
        <w:rPr>
          <w:rFonts w:cs="Calibri"/>
          <w:color w:val="000000"/>
          <w:lang w:val="fr-FR"/>
        </w:rPr>
        <w:t>autres mises à jour des estimations des populations d</w:t>
      </w:r>
      <w:r w:rsidR="00016E39" w:rsidRPr="00CF7824">
        <w:rPr>
          <w:rFonts w:cs="Calibri"/>
          <w:color w:val="000000"/>
          <w:lang w:val="fr-FR"/>
        </w:rPr>
        <w:t>’</w:t>
      </w:r>
      <w:r w:rsidRPr="00CF7824">
        <w:rPr>
          <w:rFonts w:cs="Calibri"/>
          <w:color w:val="000000"/>
          <w:lang w:val="fr-FR"/>
        </w:rPr>
        <w:t>oiseaux. C</w:t>
      </w:r>
      <w:r w:rsidR="00016E39" w:rsidRPr="00CF7824">
        <w:rPr>
          <w:rFonts w:cs="Calibri"/>
          <w:color w:val="000000"/>
          <w:lang w:val="fr-FR"/>
        </w:rPr>
        <w:t>’</w:t>
      </w:r>
      <w:r w:rsidRPr="00CF7824">
        <w:rPr>
          <w:rFonts w:cs="Calibri"/>
          <w:color w:val="000000"/>
          <w:lang w:val="fr-FR"/>
        </w:rPr>
        <w:t>est ce qui a été fait et les WPE en sont maintenant à leur cinquième édition et existent sous la forme d</w:t>
      </w:r>
      <w:r w:rsidR="00016E39" w:rsidRPr="00CF7824">
        <w:rPr>
          <w:rFonts w:cs="Calibri"/>
          <w:color w:val="000000"/>
          <w:lang w:val="fr-FR"/>
        </w:rPr>
        <w:t>’</w:t>
      </w:r>
      <w:r w:rsidRPr="00CF7824">
        <w:rPr>
          <w:rFonts w:cs="Calibri"/>
          <w:color w:val="000000"/>
          <w:lang w:val="fr-FR"/>
        </w:rPr>
        <w:t xml:space="preserve">une base de données </w:t>
      </w:r>
      <w:r w:rsidR="00EC4E8C" w:rsidRPr="00CF7824">
        <w:rPr>
          <w:rFonts w:cs="Calibri"/>
          <w:color w:val="000000"/>
          <w:lang w:val="fr-FR"/>
        </w:rPr>
        <w:t xml:space="preserve">consultable </w:t>
      </w:r>
      <w:r w:rsidRPr="00CF7824">
        <w:rPr>
          <w:rFonts w:cs="Calibri"/>
          <w:color w:val="000000"/>
          <w:lang w:val="fr-FR"/>
        </w:rPr>
        <w:t>en ligne</w:t>
      </w:r>
      <w:r w:rsidR="00EC4E8C" w:rsidRPr="00CF7824">
        <w:rPr>
          <w:rFonts w:cs="Calibri"/>
          <w:color w:val="000000"/>
          <w:lang w:val="fr-FR"/>
        </w:rPr>
        <w:t>,</w:t>
      </w:r>
      <w:r w:rsidRPr="00CF7824">
        <w:rPr>
          <w:rFonts w:cs="Calibri"/>
          <w:color w:val="000000"/>
          <w:lang w:val="fr-FR"/>
        </w:rPr>
        <w:t xml:space="preserve"> gérée par Wetlands International (tableau</w:t>
      </w:r>
      <w:r w:rsidR="001F19B5" w:rsidRPr="00CF7824">
        <w:rPr>
          <w:rFonts w:cs="Calibri"/>
          <w:color w:val="000000"/>
          <w:lang w:val="fr-FR"/>
        </w:rPr>
        <w:t> </w:t>
      </w:r>
      <w:r w:rsidRPr="00CF7824">
        <w:rPr>
          <w:rFonts w:cs="Calibri"/>
          <w:color w:val="000000"/>
          <w:lang w:val="fr-FR"/>
        </w:rPr>
        <w:t>1). Toutefois, en l</w:t>
      </w:r>
      <w:r w:rsidR="00016E39" w:rsidRPr="00CF7824">
        <w:rPr>
          <w:rFonts w:cs="Calibri"/>
          <w:color w:val="000000"/>
          <w:lang w:val="fr-FR"/>
        </w:rPr>
        <w:t>’</w:t>
      </w:r>
      <w:r w:rsidRPr="00CF7824">
        <w:rPr>
          <w:rFonts w:cs="Calibri"/>
          <w:color w:val="000000"/>
          <w:lang w:val="fr-FR"/>
        </w:rPr>
        <w:t>absence de financement par la Convention, le calendrier prévu au début du processus, qui consistait à présenter une mise à jour triennale à chaque COP, n</w:t>
      </w:r>
      <w:r w:rsidR="00016E39" w:rsidRPr="00CF7824">
        <w:rPr>
          <w:rFonts w:cs="Calibri"/>
          <w:color w:val="000000"/>
          <w:lang w:val="fr-FR"/>
        </w:rPr>
        <w:t>’</w:t>
      </w:r>
      <w:r w:rsidRPr="00CF7824">
        <w:rPr>
          <w:rFonts w:cs="Calibri"/>
          <w:color w:val="000000"/>
          <w:lang w:val="fr-FR"/>
        </w:rPr>
        <w:t xml:space="preserve">a pas pu être </w:t>
      </w:r>
      <w:r w:rsidRPr="00CF7824">
        <w:rPr>
          <w:rFonts w:cs="Calibri"/>
          <w:color w:val="000000"/>
          <w:lang w:val="fr-FR"/>
        </w:rPr>
        <w:lastRenderedPageBreak/>
        <w:t xml:space="preserve">respecté, et des éditions </w:t>
      </w:r>
      <w:r w:rsidRPr="00CF7824">
        <w:rPr>
          <w:rFonts w:cs="Calibri"/>
          <w:i/>
          <w:iCs/>
          <w:color w:val="000000"/>
          <w:lang w:val="fr-FR"/>
        </w:rPr>
        <w:t xml:space="preserve">ad hoc </w:t>
      </w:r>
      <w:r w:rsidRPr="00CF7824">
        <w:rPr>
          <w:rFonts w:cs="Calibri"/>
          <w:color w:val="000000"/>
          <w:lang w:val="fr-FR"/>
        </w:rPr>
        <w:t>ont été produites au fur et à mesure que les donateurs le permettaient.</w:t>
      </w:r>
    </w:p>
    <w:p w:rsidR="0015329B" w:rsidRPr="00CF7824" w:rsidRDefault="0015329B" w:rsidP="00320E21">
      <w:pPr>
        <w:pStyle w:val="ListParagraph"/>
        <w:rPr>
          <w:rFonts w:asciiTheme="minorHAnsi" w:eastAsia="Arial" w:hAnsiTheme="minorHAnsi" w:cstheme="minorHAnsi"/>
          <w:color w:val="000000"/>
          <w:lang w:val="fr-FR"/>
        </w:rPr>
      </w:pPr>
    </w:p>
    <w:p w:rsidR="0015329B" w:rsidRPr="00CF7824" w:rsidRDefault="00164734" w:rsidP="0044518B">
      <w:pPr>
        <w:rPr>
          <w:rFonts w:asciiTheme="minorHAnsi" w:eastAsia="Arial" w:hAnsiTheme="minorHAnsi" w:cstheme="minorHAnsi"/>
          <w:color w:val="000000"/>
          <w:lang w:val="fr-FR"/>
        </w:rPr>
      </w:pPr>
      <w:r w:rsidRPr="00CF7824">
        <w:rPr>
          <w:rFonts w:cs="Calibri"/>
          <w:color w:val="000000"/>
          <w:lang w:val="fr-FR"/>
        </w:rPr>
        <w:t>6.</w:t>
      </w:r>
      <w:r w:rsidRPr="00CF7824">
        <w:rPr>
          <w:rFonts w:cs="Calibri"/>
          <w:color w:val="000000"/>
          <w:lang w:val="fr-FR"/>
        </w:rPr>
        <w:tab/>
        <w:t>Le processus WPE le plus récent (</w:t>
      </w:r>
      <w:hyperlink r:id="rId32" w:history="1">
        <w:r w:rsidRPr="00CF7824">
          <w:rPr>
            <w:rFonts w:cs="Calibri"/>
            <w:color w:val="0000FF"/>
            <w:u w:val="single"/>
            <w:lang w:val="fr-FR"/>
          </w:rPr>
          <w:t>WPE5</w:t>
        </w:r>
      </w:hyperlink>
      <w:r w:rsidRPr="00CF7824">
        <w:rPr>
          <w:rFonts w:cs="Calibri"/>
          <w:color w:val="0000FF"/>
          <w:u w:val="single"/>
          <w:lang w:val="fr-FR"/>
        </w:rPr>
        <w:t>, 2012</w:t>
      </w:r>
      <w:r w:rsidRPr="00CF7824">
        <w:rPr>
          <w:rFonts w:cs="Calibri"/>
          <w:color w:val="000000"/>
          <w:lang w:val="fr-FR"/>
        </w:rPr>
        <w:t>) fournit des informations sur la répartition, l</w:t>
      </w:r>
      <w:r w:rsidR="00016E39" w:rsidRPr="00CF7824">
        <w:rPr>
          <w:rFonts w:cs="Calibri"/>
          <w:color w:val="000000"/>
          <w:lang w:val="fr-FR"/>
        </w:rPr>
        <w:t>’</w:t>
      </w:r>
      <w:r w:rsidRPr="00CF7824">
        <w:rPr>
          <w:rFonts w:cs="Calibri"/>
          <w:color w:val="000000"/>
          <w:lang w:val="fr-FR"/>
        </w:rPr>
        <w:t>état de conservation et les tendances de 2</w:t>
      </w:r>
      <w:r w:rsidR="00376BA1" w:rsidRPr="00CF7824">
        <w:rPr>
          <w:rFonts w:cs="Calibri"/>
          <w:color w:val="000000"/>
          <w:lang w:val="fr-FR"/>
        </w:rPr>
        <w:t> 304 </w:t>
      </w:r>
      <w:r w:rsidRPr="00CF7824">
        <w:rPr>
          <w:rFonts w:cs="Calibri"/>
          <w:color w:val="000000"/>
          <w:lang w:val="fr-FR"/>
        </w:rPr>
        <w:t>populations de 871</w:t>
      </w:r>
      <w:r w:rsidR="00376BA1" w:rsidRPr="00CF7824">
        <w:rPr>
          <w:rFonts w:cs="Calibri"/>
          <w:color w:val="000000"/>
          <w:lang w:val="fr-FR"/>
        </w:rPr>
        <w:t> </w:t>
      </w:r>
      <w:r w:rsidRPr="00CF7824">
        <w:rPr>
          <w:rFonts w:cs="Calibri"/>
          <w:color w:val="000000"/>
          <w:lang w:val="fr-FR"/>
        </w:rPr>
        <w:t>espèces (voir le tableau</w:t>
      </w:r>
      <w:r w:rsidR="001F19B5" w:rsidRPr="00CF7824">
        <w:rPr>
          <w:rFonts w:cs="Calibri"/>
          <w:color w:val="000000"/>
          <w:lang w:val="fr-FR"/>
        </w:rPr>
        <w:t> </w:t>
      </w:r>
      <w:r w:rsidRPr="00CF7824">
        <w:rPr>
          <w:rFonts w:cs="Calibri"/>
          <w:color w:val="000000"/>
          <w:lang w:val="fr-FR"/>
        </w:rPr>
        <w:t xml:space="preserve">2 ci-dessous) et le Waterbird populations Portal comprend maintenant </w:t>
      </w:r>
      <w:r w:rsidR="001B1025" w:rsidRPr="00CF7824">
        <w:rPr>
          <w:rFonts w:cs="Calibri"/>
          <w:color w:val="000000"/>
          <w:lang w:val="fr-FR"/>
        </w:rPr>
        <w:t xml:space="preserve">(en 2024) </w:t>
      </w:r>
      <w:r w:rsidRPr="00CF7824">
        <w:rPr>
          <w:rFonts w:cs="Calibri"/>
          <w:color w:val="000000"/>
          <w:lang w:val="fr-FR"/>
        </w:rPr>
        <w:t>2</w:t>
      </w:r>
      <w:r w:rsidR="00376BA1" w:rsidRPr="00CF7824">
        <w:rPr>
          <w:rFonts w:cs="Calibri"/>
          <w:color w:val="000000"/>
          <w:lang w:val="fr-FR"/>
        </w:rPr>
        <w:t> 340 </w:t>
      </w:r>
      <w:r w:rsidRPr="00CF7824">
        <w:rPr>
          <w:rFonts w:cs="Calibri"/>
          <w:color w:val="000000"/>
          <w:lang w:val="fr-FR"/>
        </w:rPr>
        <w:t>populations actives de 899</w:t>
      </w:r>
      <w:r w:rsidR="00376BA1" w:rsidRPr="00CF7824">
        <w:rPr>
          <w:rFonts w:cs="Calibri"/>
          <w:color w:val="000000"/>
          <w:lang w:val="fr-FR"/>
        </w:rPr>
        <w:t> </w:t>
      </w:r>
      <w:r w:rsidRPr="00CF7824">
        <w:rPr>
          <w:rFonts w:cs="Calibri"/>
          <w:color w:val="000000"/>
          <w:lang w:val="fr-FR"/>
        </w:rPr>
        <w:t>espèces (504 classées comme migratrices de longue distance et 1</w:t>
      </w:r>
      <w:r w:rsidR="00376BA1" w:rsidRPr="00CF7824">
        <w:rPr>
          <w:rFonts w:cs="Calibri"/>
          <w:color w:val="000000"/>
          <w:lang w:val="fr-FR"/>
        </w:rPr>
        <w:t> 836 </w:t>
      </w:r>
      <w:r w:rsidRPr="00CF7824">
        <w:rPr>
          <w:rFonts w:cs="Calibri"/>
          <w:color w:val="000000"/>
          <w:lang w:val="fr-FR"/>
        </w:rPr>
        <w:t>résidentes ou migratrices de courte distance (voir le tableau</w:t>
      </w:r>
      <w:r w:rsidR="001F19B5" w:rsidRPr="00CF7824">
        <w:rPr>
          <w:rFonts w:cs="Calibri"/>
          <w:color w:val="000000"/>
          <w:lang w:val="fr-FR"/>
        </w:rPr>
        <w:t> </w:t>
      </w:r>
      <w:r w:rsidRPr="00CF7824">
        <w:rPr>
          <w:rFonts w:cs="Calibri"/>
          <w:color w:val="000000"/>
          <w:lang w:val="fr-FR"/>
        </w:rPr>
        <w:t>3).</w:t>
      </w:r>
    </w:p>
    <w:p w:rsidR="0044518B" w:rsidRPr="00CF7824" w:rsidRDefault="0044518B" w:rsidP="0044518B">
      <w:pPr>
        <w:rPr>
          <w:rFonts w:asciiTheme="minorHAnsi" w:eastAsia="Arial" w:hAnsiTheme="minorHAnsi" w:cstheme="minorHAnsi"/>
          <w:color w:val="000000"/>
          <w:lang w:val="fr-FR"/>
        </w:rPr>
      </w:pPr>
    </w:p>
    <w:p w:rsidR="00E15673" w:rsidRPr="00CF7824" w:rsidRDefault="00164734" w:rsidP="00A63EBC">
      <w:pPr>
        <w:keepNext/>
        <w:ind w:left="0" w:firstLine="0"/>
        <w:rPr>
          <w:rFonts w:asciiTheme="minorHAnsi" w:eastAsia="Arial" w:hAnsiTheme="minorHAnsi" w:cstheme="minorHAnsi"/>
          <w:b/>
          <w:color w:val="000000"/>
          <w:sz w:val="20"/>
          <w:szCs w:val="20"/>
          <w:lang w:val="fr-FR"/>
        </w:rPr>
      </w:pPr>
      <w:r w:rsidRPr="00CF7824">
        <w:rPr>
          <w:rFonts w:cs="Arial"/>
          <w:i/>
          <w:iCs/>
          <w:lang w:val="fr-FR"/>
        </w:rPr>
        <w:t>Tableau</w:t>
      </w:r>
      <w:r w:rsidR="001F19B5" w:rsidRPr="00CF7824">
        <w:rPr>
          <w:rFonts w:cs="Arial"/>
          <w:i/>
          <w:iCs/>
          <w:lang w:val="fr-FR"/>
        </w:rPr>
        <w:t> </w:t>
      </w:r>
      <w:r w:rsidRPr="00CF7824">
        <w:rPr>
          <w:rFonts w:cs="Arial"/>
          <w:i/>
          <w:iCs/>
          <w:lang w:val="fr-FR"/>
        </w:rPr>
        <w:t>1 : La publication des Estimations des populations d</w:t>
      </w:r>
      <w:r w:rsidR="00016E39" w:rsidRPr="00CF7824">
        <w:rPr>
          <w:rFonts w:cs="Arial"/>
          <w:i/>
          <w:iCs/>
          <w:lang w:val="fr-FR"/>
        </w:rPr>
        <w:t>’</w:t>
      </w:r>
      <w:r w:rsidRPr="00CF7824">
        <w:rPr>
          <w:rFonts w:cs="Arial"/>
          <w:i/>
          <w:iCs/>
          <w:lang w:val="fr-FR"/>
        </w:rPr>
        <w:t>oiseaux d</w:t>
      </w:r>
      <w:r w:rsidR="00016E39" w:rsidRPr="00CF7824">
        <w:rPr>
          <w:rFonts w:cs="Arial"/>
          <w:i/>
          <w:iCs/>
          <w:lang w:val="fr-FR"/>
        </w:rPr>
        <w:t>’</w:t>
      </w:r>
      <w:r w:rsidRPr="00CF7824">
        <w:rPr>
          <w:rFonts w:cs="Arial"/>
          <w:i/>
          <w:iCs/>
          <w:lang w:val="fr-FR"/>
        </w:rPr>
        <w:t>eau</w:t>
      </w:r>
    </w:p>
    <w:tbl>
      <w:tblPr>
        <w:tblStyle w:v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2779"/>
        <w:gridCol w:w="3819"/>
      </w:tblGrid>
      <w:tr w:rsidR="0020115C" w:rsidRPr="00CF7824" w:rsidTr="00A63EBC">
        <w:trPr>
          <w:trHeight w:val="249"/>
          <w:tblHeader/>
        </w:trPr>
        <w:tc>
          <w:tcPr>
            <w:tcW w:w="2616" w:type="dxa"/>
            <w:shd w:val="clear" w:color="auto" w:fill="EEECE1" w:themeFill="background2"/>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b/>
                <w:bCs/>
                <w:color w:val="000000"/>
                <w:sz w:val="20"/>
                <w:szCs w:val="20"/>
                <w:lang w:val="fr-FR"/>
              </w:rPr>
              <w:t xml:space="preserve">Édition </w:t>
            </w:r>
          </w:p>
        </w:tc>
        <w:tc>
          <w:tcPr>
            <w:tcW w:w="2779" w:type="dxa"/>
            <w:shd w:val="clear" w:color="auto" w:fill="EEECE1" w:themeFill="background2"/>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b/>
                <w:bCs/>
                <w:color w:val="000000"/>
                <w:sz w:val="20"/>
                <w:szCs w:val="20"/>
                <w:lang w:val="fr-FR"/>
              </w:rPr>
              <w:t>Citation</w:t>
            </w:r>
          </w:p>
        </w:tc>
        <w:tc>
          <w:tcPr>
            <w:tcW w:w="3819" w:type="dxa"/>
            <w:shd w:val="clear" w:color="auto" w:fill="EEECE1" w:themeFill="background2"/>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b/>
                <w:bCs/>
                <w:color w:val="000000"/>
                <w:sz w:val="20"/>
                <w:szCs w:val="20"/>
                <w:lang w:val="fr-FR"/>
              </w:rPr>
              <w:t>Format</w:t>
            </w:r>
          </w:p>
        </w:tc>
      </w:tr>
      <w:tr w:rsidR="0020115C" w:rsidRPr="00CF7824" w:rsidTr="00A63EBC">
        <w:trPr>
          <w:trHeight w:val="110"/>
        </w:trPr>
        <w:tc>
          <w:tcPr>
            <w:tcW w:w="2616" w:type="dxa"/>
          </w:tcPr>
          <w:p w:rsidR="00E15673" w:rsidRPr="00CF7824" w:rsidRDefault="00164734">
            <w:pPr>
              <w:pBdr>
                <w:top w:val="nil"/>
                <w:left w:val="nil"/>
                <w:bottom w:val="nil"/>
                <w:right w:val="nil"/>
                <w:between w:val="nil"/>
              </w:pBdr>
              <w:spacing w:after="120" w:line="240" w:lineRule="auto"/>
              <w:ind w:left="484" w:hanging="484"/>
              <w:rPr>
                <w:rFonts w:asciiTheme="minorHAnsi" w:eastAsia="Arial" w:hAnsiTheme="minorHAnsi" w:cstheme="minorHAnsi"/>
                <w:color w:val="000000"/>
                <w:sz w:val="20"/>
                <w:szCs w:val="20"/>
              </w:rPr>
            </w:pPr>
            <w:r w:rsidRPr="00CF7824">
              <w:rPr>
                <w:rFonts w:cs="Calibri"/>
                <w:i/>
                <w:iCs/>
                <w:color w:val="000000"/>
                <w:sz w:val="20"/>
                <w:szCs w:val="20"/>
                <w:lang w:val="fr-FR"/>
              </w:rPr>
              <w:t>WPE</w:t>
            </w:r>
            <w:r w:rsidR="001F19B5" w:rsidRPr="00CF7824">
              <w:rPr>
                <w:rFonts w:cs="Calibri"/>
                <w:i/>
                <w:iCs/>
                <w:color w:val="000000"/>
                <w:sz w:val="20"/>
                <w:szCs w:val="20"/>
                <w:lang w:val="fr-FR"/>
              </w:rPr>
              <w:t> </w:t>
            </w:r>
            <w:r w:rsidRPr="00CF7824">
              <w:rPr>
                <w:rFonts w:cs="Calibri"/>
                <w:i/>
                <w:iCs/>
                <w:color w:val="000000"/>
                <w:sz w:val="20"/>
                <w:szCs w:val="20"/>
                <w:lang w:val="fr-FR"/>
              </w:rPr>
              <w:t>1</w:t>
            </w:r>
          </w:p>
        </w:tc>
        <w:tc>
          <w:tcPr>
            <w:tcW w:w="277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Rose &amp; Scott</w:t>
            </w:r>
            <w:r w:rsidR="001F19B5" w:rsidRPr="00CF7824">
              <w:rPr>
                <w:rFonts w:cs="Calibri"/>
                <w:color w:val="000000"/>
                <w:sz w:val="20"/>
                <w:szCs w:val="20"/>
                <w:lang w:val="fr-FR"/>
              </w:rPr>
              <w:t> </w:t>
            </w:r>
            <w:r w:rsidRPr="00CF7824">
              <w:rPr>
                <w:rFonts w:cs="Calibri"/>
                <w:color w:val="000000"/>
                <w:sz w:val="20"/>
                <w:szCs w:val="20"/>
                <w:lang w:val="fr-FR"/>
              </w:rPr>
              <w:t xml:space="preserve">1994 </w:t>
            </w:r>
          </w:p>
        </w:tc>
        <w:tc>
          <w:tcPr>
            <w:tcW w:w="381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Imprimé, 102</w:t>
            </w:r>
            <w:r w:rsidR="00376BA1" w:rsidRPr="00CF7824">
              <w:rPr>
                <w:rFonts w:cs="Calibri"/>
                <w:color w:val="000000"/>
                <w:sz w:val="20"/>
                <w:szCs w:val="20"/>
                <w:lang w:val="fr-FR"/>
              </w:rPr>
              <w:t> </w:t>
            </w:r>
            <w:r w:rsidRPr="00CF7824">
              <w:rPr>
                <w:rFonts w:cs="Calibri"/>
                <w:color w:val="000000"/>
                <w:sz w:val="20"/>
                <w:szCs w:val="20"/>
                <w:lang w:val="fr-FR"/>
              </w:rPr>
              <w:t xml:space="preserve">pages </w:t>
            </w:r>
          </w:p>
        </w:tc>
      </w:tr>
      <w:tr w:rsidR="0020115C" w:rsidRPr="00CF7824" w:rsidTr="00A63EBC">
        <w:trPr>
          <w:trHeight w:val="110"/>
        </w:trPr>
        <w:tc>
          <w:tcPr>
            <w:tcW w:w="2616"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i/>
                <w:iCs/>
                <w:color w:val="000000"/>
                <w:sz w:val="20"/>
                <w:szCs w:val="20"/>
                <w:lang w:val="fr-FR"/>
              </w:rPr>
              <w:t>WPE</w:t>
            </w:r>
            <w:r w:rsidR="001F19B5" w:rsidRPr="00CF7824">
              <w:rPr>
                <w:rFonts w:cs="Calibri"/>
                <w:i/>
                <w:iCs/>
                <w:color w:val="000000"/>
                <w:sz w:val="20"/>
                <w:szCs w:val="20"/>
                <w:lang w:val="fr-FR"/>
              </w:rPr>
              <w:t> </w:t>
            </w:r>
            <w:r w:rsidRPr="00CF7824">
              <w:rPr>
                <w:rFonts w:cs="Calibri"/>
                <w:i/>
                <w:iCs/>
                <w:color w:val="000000"/>
                <w:sz w:val="20"/>
                <w:szCs w:val="20"/>
                <w:lang w:val="fr-FR"/>
              </w:rPr>
              <w:t>2</w:t>
            </w:r>
          </w:p>
        </w:tc>
        <w:tc>
          <w:tcPr>
            <w:tcW w:w="277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Rose &amp; Scott</w:t>
            </w:r>
            <w:r w:rsidR="001F19B5" w:rsidRPr="00CF7824">
              <w:rPr>
                <w:rFonts w:cs="Calibri"/>
                <w:color w:val="000000"/>
                <w:sz w:val="20"/>
                <w:szCs w:val="20"/>
                <w:lang w:val="fr-FR"/>
              </w:rPr>
              <w:t> </w:t>
            </w:r>
            <w:r w:rsidRPr="00CF7824">
              <w:rPr>
                <w:rFonts w:cs="Calibri"/>
                <w:color w:val="000000"/>
                <w:sz w:val="20"/>
                <w:szCs w:val="20"/>
                <w:lang w:val="fr-FR"/>
              </w:rPr>
              <w:t xml:space="preserve">1997 </w:t>
            </w:r>
          </w:p>
        </w:tc>
        <w:tc>
          <w:tcPr>
            <w:tcW w:w="381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Imprimé, 106</w:t>
            </w:r>
            <w:r w:rsidR="00376BA1" w:rsidRPr="00CF7824">
              <w:rPr>
                <w:rFonts w:cs="Calibri"/>
                <w:color w:val="000000"/>
                <w:sz w:val="20"/>
                <w:szCs w:val="20"/>
                <w:lang w:val="fr-FR"/>
              </w:rPr>
              <w:t> </w:t>
            </w:r>
            <w:r w:rsidRPr="00CF7824">
              <w:rPr>
                <w:rFonts w:cs="Calibri"/>
                <w:color w:val="000000"/>
                <w:sz w:val="20"/>
                <w:szCs w:val="20"/>
                <w:lang w:val="fr-FR"/>
              </w:rPr>
              <w:t xml:space="preserve">pages </w:t>
            </w:r>
          </w:p>
        </w:tc>
      </w:tr>
      <w:tr w:rsidR="0020115C" w:rsidRPr="00CF7824" w:rsidTr="00A63EBC">
        <w:trPr>
          <w:trHeight w:val="110"/>
        </w:trPr>
        <w:tc>
          <w:tcPr>
            <w:tcW w:w="2616"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i/>
                <w:iCs/>
                <w:color w:val="000000"/>
                <w:sz w:val="20"/>
                <w:szCs w:val="20"/>
                <w:lang w:val="fr-FR"/>
              </w:rPr>
              <w:t>WPE</w:t>
            </w:r>
            <w:r w:rsidR="001F19B5" w:rsidRPr="00CF7824">
              <w:rPr>
                <w:rFonts w:cs="Calibri"/>
                <w:i/>
                <w:iCs/>
                <w:color w:val="000000"/>
                <w:sz w:val="20"/>
                <w:szCs w:val="20"/>
                <w:lang w:val="fr-FR"/>
              </w:rPr>
              <w:t> </w:t>
            </w:r>
            <w:r w:rsidRPr="00CF7824">
              <w:rPr>
                <w:rFonts w:cs="Calibri"/>
                <w:i/>
                <w:iCs/>
                <w:color w:val="000000"/>
                <w:sz w:val="20"/>
                <w:szCs w:val="20"/>
                <w:lang w:val="fr-FR"/>
              </w:rPr>
              <w:t>3</w:t>
            </w:r>
          </w:p>
        </w:tc>
        <w:tc>
          <w:tcPr>
            <w:tcW w:w="277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Delany &amp; Scott</w:t>
            </w:r>
            <w:r w:rsidR="001F19B5" w:rsidRPr="00CF7824">
              <w:rPr>
                <w:rFonts w:cs="Calibri"/>
                <w:color w:val="000000"/>
                <w:sz w:val="20"/>
                <w:szCs w:val="20"/>
                <w:lang w:val="fr-FR"/>
              </w:rPr>
              <w:t> </w:t>
            </w:r>
            <w:r w:rsidRPr="00CF7824">
              <w:rPr>
                <w:rFonts w:cs="Calibri"/>
                <w:color w:val="000000"/>
                <w:sz w:val="20"/>
                <w:szCs w:val="20"/>
                <w:lang w:val="fr-FR"/>
              </w:rPr>
              <w:t xml:space="preserve">2002 </w:t>
            </w:r>
          </w:p>
        </w:tc>
        <w:tc>
          <w:tcPr>
            <w:tcW w:w="381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Imprimé, 226</w:t>
            </w:r>
            <w:r w:rsidR="00376BA1" w:rsidRPr="00CF7824">
              <w:rPr>
                <w:rFonts w:cs="Calibri"/>
                <w:color w:val="000000"/>
                <w:sz w:val="20"/>
                <w:szCs w:val="20"/>
                <w:lang w:val="fr-FR"/>
              </w:rPr>
              <w:t> </w:t>
            </w:r>
            <w:r w:rsidRPr="00CF7824">
              <w:rPr>
                <w:rFonts w:cs="Calibri"/>
                <w:color w:val="000000"/>
                <w:sz w:val="20"/>
                <w:szCs w:val="20"/>
                <w:lang w:val="fr-FR"/>
              </w:rPr>
              <w:t xml:space="preserve">pages </w:t>
            </w:r>
          </w:p>
        </w:tc>
      </w:tr>
      <w:tr w:rsidR="0020115C" w:rsidRPr="00CF7824" w:rsidTr="00A63EBC">
        <w:trPr>
          <w:trHeight w:val="110"/>
        </w:trPr>
        <w:tc>
          <w:tcPr>
            <w:tcW w:w="2616"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i/>
                <w:iCs/>
                <w:color w:val="000000"/>
                <w:sz w:val="20"/>
                <w:szCs w:val="20"/>
                <w:lang w:val="fr-FR"/>
              </w:rPr>
              <w:t>WPE</w:t>
            </w:r>
            <w:r w:rsidR="001F19B5" w:rsidRPr="00CF7824">
              <w:rPr>
                <w:rFonts w:cs="Calibri"/>
                <w:i/>
                <w:iCs/>
                <w:color w:val="000000"/>
                <w:sz w:val="20"/>
                <w:szCs w:val="20"/>
                <w:lang w:val="fr-FR"/>
              </w:rPr>
              <w:t> </w:t>
            </w:r>
            <w:r w:rsidRPr="00CF7824">
              <w:rPr>
                <w:rFonts w:cs="Calibri"/>
                <w:i/>
                <w:iCs/>
                <w:color w:val="000000"/>
                <w:sz w:val="20"/>
                <w:szCs w:val="20"/>
                <w:lang w:val="fr-FR"/>
              </w:rPr>
              <w:t>4</w:t>
            </w:r>
          </w:p>
        </w:tc>
        <w:tc>
          <w:tcPr>
            <w:tcW w:w="277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Delany &amp; Scott</w:t>
            </w:r>
            <w:r w:rsidR="001F19B5" w:rsidRPr="00CF7824">
              <w:rPr>
                <w:rFonts w:cs="Calibri"/>
                <w:color w:val="000000"/>
                <w:sz w:val="20"/>
                <w:szCs w:val="20"/>
                <w:lang w:val="fr-FR"/>
              </w:rPr>
              <w:t> </w:t>
            </w:r>
            <w:r w:rsidRPr="00CF7824">
              <w:rPr>
                <w:rFonts w:cs="Calibri"/>
                <w:color w:val="000000"/>
                <w:sz w:val="20"/>
                <w:szCs w:val="20"/>
                <w:lang w:val="fr-FR"/>
              </w:rPr>
              <w:t xml:space="preserve">2006 </w:t>
            </w:r>
          </w:p>
        </w:tc>
        <w:tc>
          <w:tcPr>
            <w:tcW w:w="381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Imprimé, 239</w:t>
            </w:r>
            <w:r w:rsidR="00376BA1" w:rsidRPr="00CF7824">
              <w:rPr>
                <w:rFonts w:cs="Calibri"/>
                <w:color w:val="000000"/>
                <w:sz w:val="20"/>
                <w:szCs w:val="20"/>
                <w:lang w:val="fr-FR"/>
              </w:rPr>
              <w:t> </w:t>
            </w:r>
            <w:r w:rsidRPr="00CF7824">
              <w:rPr>
                <w:rFonts w:cs="Calibri"/>
                <w:color w:val="000000"/>
                <w:sz w:val="20"/>
                <w:szCs w:val="20"/>
                <w:lang w:val="fr-FR"/>
              </w:rPr>
              <w:t xml:space="preserve">pages </w:t>
            </w:r>
          </w:p>
        </w:tc>
      </w:tr>
      <w:tr w:rsidR="0020115C" w:rsidRPr="00785D5E" w:rsidTr="00A63EBC">
        <w:trPr>
          <w:trHeight w:val="377"/>
        </w:trPr>
        <w:tc>
          <w:tcPr>
            <w:tcW w:w="2616"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i/>
                <w:iCs/>
                <w:color w:val="000000"/>
                <w:sz w:val="20"/>
                <w:szCs w:val="20"/>
                <w:lang w:val="fr-FR"/>
              </w:rPr>
              <w:t>WPE</w:t>
            </w:r>
            <w:r w:rsidR="001F19B5" w:rsidRPr="00CF7824">
              <w:rPr>
                <w:rFonts w:cs="Calibri"/>
                <w:i/>
                <w:iCs/>
                <w:color w:val="000000"/>
                <w:sz w:val="20"/>
                <w:szCs w:val="20"/>
                <w:lang w:val="fr-FR"/>
              </w:rPr>
              <w:t> </w:t>
            </w:r>
            <w:r w:rsidRPr="00CF7824">
              <w:rPr>
                <w:rFonts w:cs="Calibri"/>
                <w:i/>
                <w:iCs/>
                <w:color w:val="000000"/>
                <w:sz w:val="20"/>
                <w:szCs w:val="20"/>
                <w:lang w:val="fr-FR"/>
              </w:rPr>
              <w:t>5</w:t>
            </w:r>
          </w:p>
        </w:tc>
        <w:tc>
          <w:tcPr>
            <w:tcW w:w="2779" w:type="dxa"/>
          </w:tcPr>
          <w:p w:rsidR="00E15673" w:rsidRPr="00CF7824" w:rsidRDefault="00164734">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CF7824">
              <w:rPr>
                <w:rFonts w:cs="Calibri"/>
                <w:color w:val="000000"/>
                <w:sz w:val="20"/>
                <w:szCs w:val="20"/>
                <w:lang w:val="fr-FR"/>
              </w:rPr>
              <w:t>Mundkur &amp; Nagy</w:t>
            </w:r>
            <w:r w:rsidR="001F19B5" w:rsidRPr="00CF7824">
              <w:rPr>
                <w:rFonts w:cs="Calibri"/>
                <w:color w:val="000000"/>
                <w:sz w:val="20"/>
                <w:szCs w:val="20"/>
                <w:lang w:val="fr-FR"/>
              </w:rPr>
              <w:t> </w:t>
            </w:r>
            <w:r w:rsidRPr="00CF7824">
              <w:rPr>
                <w:rFonts w:cs="Calibri"/>
                <w:color w:val="000000"/>
                <w:sz w:val="20"/>
                <w:szCs w:val="20"/>
                <w:lang w:val="fr-FR"/>
              </w:rPr>
              <w:t xml:space="preserve">2012 </w:t>
            </w:r>
          </w:p>
        </w:tc>
        <w:tc>
          <w:tcPr>
            <w:tcW w:w="3819" w:type="dxa"/>
          </w:tcPr>
          <w:p w:rsidR="00E15673" w:rsidRPr="00CF7824" w:rsidRDefault="00164734" w:rsidP="001B1025">
            <w:pPr>
              <w:pBdr>
                <w:top w:val="nil"/>
                <w:left w:val="nil"/>
                <w:bottom w:val="nil"/>
                <w:right w:val="nil"/>
                <w:between w:val="nil"/>
              </w:pBdr>
              <w:spacing w:after="120" w:line="240" w:lineRule="auto"/>
              <w:rPr>
                <w:rFonts w:cs="Calibri"/>
                <w:color w:val="0462C1"/>
                <w:sz w:val="20"/>
                <w:szCs w:val="20"/>
                <w:lang w:val="fr-FR"/>
              </w:rPr>
            </w:pPr>
            <w:r w:rsidRPr="00CF7824">
              <w:rPr>
                <w:rFonts w:cs="Calibri"/>
                <w:color w:val="000000"/>
                <w:sz w:val="20"/>
                <w:szCs w:val="20"/>
                <w:lang w:val="fr-FR"/>
              </w:rPr>
              <w:t>Base de données consultable en ligne sur</w:t>
            </w:r>
            <w:r w:rsidR="001B1025" w:rsidRPr="00CF7824">
              <w:rPr>
                <w:rFonts w:cs="Calibri"/>
                <w:color w:val="000000"/>
                <w:sz w:val="20"/>
                <w:szCs w:val="20"/>
                <w:lang w:val="fr-FR"/>
              </w:rPr>
              <w:t xml:space="preserve"> </w:t>
            </w:r>
            <w:hyperlink r:id="rId33" w:history="1">
              <w:r w:rsidR="001B1025" w:rsidRPr="00CF7824">
                <w:rPr>
                  <w:rStyle w:val="Hyperlink"/>
                  <w:rFonts w:cs="Calibri"/>
                  <w:sz w:val="20"/>
                  <w:szCs w:val="20"/>
                  <w:lang w:val="fr-FR"/>
                </w:rPr>
                <w:t>http://wpp.wetlands.org/</w:t>
              </w:r>
            </w:hyperlink>
            <w:r w:rsidRPr="00CF7824">
              <w:rPr>
                <w:rFonts w:cs="Calibri"/>
                <w:color w:val="000000"/>
                <w:sz w:val="20"/>
                <w:szCs w:val="20"/>
                <w:lang w:val="fr-FR"/>
              </w:rPr>
              <w:t>; rapport de synthèse de 24</w:t>
            </w:r>
            <w:r w:rsidR="00376BA1" w:rsidRPr="00CF7824">
              <w:rPr>
                <w:rFonts w:cs="Calibri"/>
                <w:color w:val="000000"/>
                <w:sz w:val="20"/>
                <w:szCs w:val="20"/>
                <w:lang w:val="fr-FR"/>
              </w:rPr>
              <w:t> </w:t>
            </w:r>
            <w:r w:rsidRPr="00CF7824">
              <w:rPr>
                <w:rFonts w:cs="Calibri"/>
                <w:color w:val="000000"/>
                <w:sz w:val="20"/>
                <w:szCs w:val="20"/>
                <w:lang w:val="fr-FR"/>
              </w:rPr>
              <w:t xml:space="preserve">pages </w:t>
            </w:r>
          </w:p>
        </w:tc>
      </w:tr>
    </w:tbl>
    <w:p w:rsidR="00E15673" w:rsidRPr="00CF7824" w:rsidRDefault="00E15673" w:rsidP="00E15673">
      <w:pPr>
        <w:pBdr>
          <w:top w:val="nil"/>
          <w:left w:val="nil"/>
          <w:bottom w:val="nil"/>
          <w:right w:val="nil"/>
          <w:between w:val="nil"/>
        </w:pBdr>
        <w:rPr>
          <w:rFonts w:asciiTheme="minorHAnsi" w:eastAsia="Arial" w:hAnsiTheme="minorHAnsi" w:cstheme="minorHAnsi"/>
          <w:color w:val="000000"/>
          <w:sz w:val="20"/>
          <w:szCs w:val="20"/>
          <w:lang w:val="fr-FR"/>
        </w:rPr>
      </w:pPr>
    </w:p>
    <w:p w:rsidR="00A63EBC" w:rsidRPr="00CF7824" w:rsidRDefault="00A63EBC" w:rsidP="00E15673">
      <w:pPr>
        <w:pBdr>
          <w:top w:val="nil"/>
          <w:left w:val="nil"/>
          <w:bottom w:val="nil"/>
          <w:right w:val="nil"/>
          <w:between w:val="nil"/>
        </w:pBdr>
        <w:rPr>
          <w:rFonts w:asciiTheme="minorHAnsi" w:eastAsia="Arial" w:hAnsiTheme="minorHAnsi" w:cstheme="minorHAnsi"/>
          <w:color w:val="000000"/>
          <w:sz w:val="20"/>
          <w:szCs w:val="20"/>
          <w:lang w:val="fr-FR"/>
        </w:rPr>
      </w:pPr>
    </w:p>
    <w:p w:rsidR="00E15673" w:rsidRPr="00CF7824" w:rsidRDefault="00164734" w:rsidP="003A29E6">
      <w:pPr>
        <w:keepNext/>
        <w:ind w:left="0" w:firstLine="0"/>
        <w:rPr>
          <w:rFonts w:cs="Arial"/>
          <w:i/>
          <w:lang w:val="fr-FR"/>
        </w:rPr>
      </w:pPr>
      <w:r w:rsidRPr="00CF7824">
        <w:rPr>
          <w:rFonts w:cs="Arial"/>
          <w:i/>
          <w:iCs/>
          <w:lang w:val="fr-FR"/>
        </w:rPr>
        <w:t>Tableau</w:t>
      </w:r>
      <w:r w:rsidR="001F19B5" w:rsidRPr="00CF7824">
        <w:rPr>
          <w:rFonts w:cs="Arial"/>
          <w:i/>
          <w:iCs/>
          <w:lang w:val="fr-FR"/>
        </w:rPr>
        <w:t> </w:t>
      </w:r>
      <w:r w:rsidRPr="00CF7824">
        <w:rPr>
          <w:rFonts w:cs="Arial"/>
          <w:i/>
          <w:iCs/>
          <w:lang w:val="fr-FR"/>
        </w:rPr>
        <w:t>2 : L</w:t>
      </w:r>
      <w:r w:rsidR="00016E39" w:rsidRPr="00CF7824">
        <w:rPr>
          <w:rFonts w:cs="Arial"/>
          <w:i/>
          <w:iCs/>
          <w:lang w:val="fr-FR"/>
        </w:rPr>
        <w:t>’</w:t>
      </w:r>
      <w:r w:rsidRPr="00CF7824">
        <w:rPr>
          <w:rFonts w:cs="Arial"/>
          <w:i/>
          <w:iCs/>
          <w:lang w:val="fr-FR"/>
        </w:rPr>
        <w:t>accroissement des connaissances sur les effectifs et les tendances des populations d</w:t>
      </w:r>
      <w:r w:rsidR="00016E39" w:rsidRPr="00CF7824">
        <w:rPr>
          <w:rFonts w:cs="Arial"/>
          <w:i/>
          <w:iCs/>
          <w:lang w:val="fr-FR"/>
        </w:rPr>
        <w:t>’</w:t>
      </w:r>
      <w:r w:rsidRPr="00CF7824">
        <w:rPr>
          <w:rFonts w:cs="Arial"/>
          <w:i/>
          <w:iCs/>
          <w:lang w:val="fr-FR"/>
        </w:rPr>
        <w:t>oiseaux d</w:t>
      </w:r>
      <w:r w:rsidR="00016E39" w:rsidRPr="00CF7824">
        <w:rPr>
          <w:rFonts w:cs="Arial"/>
          <w:i/>
          <w:iCs/>
          <w:lang w:val="fr-FR"/>
        </w:rPr>
        <w:t>’</w:t>
      </w:r>
      <w:r w:rsidRPr="00CF7824">
        <w:rPr>
          <w:rFonts w:cs="Arial"/>
          <w:i/>
          <w:iCs/>
          <w:lang w:val="fr-FR"/>
        </w:rPr>
        <w:t>eau dans le monde au cours des 18</w:t>
      </w:r>
      <w:r w:rsidR="00376BA1" w:rsidRPr="00CF7824">
        <w:rPr>
          <w:rFonts w:cs="Arial"/>
          <w:i/>
          <w:iCs/>
          <w:lang w:val="fr-FR"/>
        </w:rPr>
        <w:t> </w:t>
      </w:r>
      <w:r w:rsidRPr="00CF7824">
        <w:rPr>
          <w:rFonts w:cs="Arial"/>
          <w:i/>
          <w:iCs/>
          <w:lang w:val="fr-FR"/>
        </w:rPr>
        <w:t>dernières années, tel qu</w:t>
      </w:r>
      <w:r w:rsidR="00016E39" w:rsidRPr="00CF7824">
        <w:rPr>
          <w:rFonts w:cs="Arial"/>
          <w:i/>
          <w:iCs/>
          <w:lang w:val="fr-FR"/>
        </w:rPr>
        <w:t>’</w:t>
      </w:r>
      <w:r w:rsidRPr="00CF7824">
        <w:rPr>
          <w:rFonts w:cs="Arial"/>
          <w:i/>
          <w:iCs/>
          <w:lang w:val="fr-FR"/>
        </w:rPr>
        <w:t xml:space="preserve">il est représenté par le contenu de la série </w:t>
      </w:r>
      <w:r w:rsidRPr="00CF7824">
        <w:rPr>
          <w:rFonts w:cs="Arial"/>
          <w:lang w:val="fr-FR"/>
        </w:rPr>
        <w:t>Waterbird Population Estimates</w:t>
      </w:r>
    </w:p>
    <w:tbl>
      <w:tblPr>
        <w:tblStyle w:val="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49"/>
        <w:gridCol w:w="1049"/>
        <w:gridCol w:w="1049"/>
        <w:gridCol w:w="1049"/>
        <w:gridCol w:w="1049"/>
      </w:tblGrid>
      <w:tr w:rsidR="0020115C" w:rsidRPr="00CF7824" w:rsidTr="00A63EBC">
        <w:tc>
          <w:tcPr>
            <w:tcW w:w="3964" w:type="dxa"/>
            <w:tcBorders>
              <w:bottom w:val="nil"/>
            </w:tcBorders>
            <w:shd w:val="clear" w:color="auto" w:fill="EEECE1" w:themeFill="background2"/>
          </w:tcPr>
          <w:p w:rsidR="00E15673" w:rsidRPr="00CF7824" w:rsidRDefault="00E15673">
            <w:pPr>
              <w:pBdr>
                <w:top w:val="nil"/>
                <w:left w:val="nil"/>
                <w:bottom w:val="nil"/>
                <w:right w:val="nil"/>
                <w:between w:val="nil"/>
              </w:pBdr>
              <w:spacing w:after="120"/>
              <w:rPr>
                <w:rFonts w:asciiTheme="minorHAnsi" w:eastAsia="Arial" w:hAnsiTheme="minorHAnsi" w:cstheme="minorHAnsi"/>
                <w:color w:val="000000"/>
                <w:sz w:val="20"/>
                <w:szCs w:val="20"/>
                <w:lang w:val="fr-FR"/>
              </w:rPr>
            </w:pP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CF7824">
              <w:rPr>
                <w:rFonts w:cs="Calibri"/>
                <w:b/>
                <w:bCs/>
                <w:color w:val="000000"/>
                <w:sz w:val="20"/>
                <w:szCs w:val="20"/>
                <w:lang w:val="fr-FR"/>
              </w:rPr>
              <w:t>WPE1</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CF7824">
              <w:rPr>
                <w:rFonts w:cs="Calibri"/>
                <w:b/>
                <w:bCs/>
                <w:color w:val="000000"/>
                <w:sz w:val="20"/>
                <w:szCs w:val="20"/>
                <w:lang w:val="fr-FR"/>
              </w:rPr>
              <w:t>WPE2</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CF7824">
              <w:rPr>
                <w:rFonts w:cs="Calibri"/>
                <w:b/>
                <w:bCs/>
                <w:color w:val="000000"/>
                <w:sz w:val="20"/>
                <w:szCs w:val="20"/>
                <w:lang w:val="fr-FR"/>
              </w:rPr>
              <w:t>WPE3</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CF7824">
              <w:rPr>
                <w:rFonts w:cs="Calibri"/>
                <w:b/>
                <w:bCs/>
                <w:color w:val="000000"/>
                <w:sz w:val="20"/>
                <w:szCs w:val="20"/>
                <w:lang w:val="fr-FR"/>
              </w:rPr>
              <w:t>WPE4</w:t>
            </w:r>
          </w:p>
        </w:tc>
        <w:tc>
          <w:tcPr>
            <w:tcW w:w="1049" w:type="dxa"/>
            <w:shd w:val="clear" w:color="auto" w:fill="EEECE1" w:themeFill="background2"/>
          </w:tcPr>
          <w:p w:rsidR="00E15673" w:rsidRPr="00CF7824" w:rsidRDefault="00164734">
            <w:pPr>
              <w:spacing w:after="120"/>
              <w:jc w:val="center"/>
              <w:rPr>
                <w:rFonts w:asciiTheme="minorHAnsi" w:eastAsia="Arial" w:hAnsiTheme="minorHAnsi" w:cstheme="minorHAnsi"/>
                <w:b/>
                <w:sz w:val="20"/>
                <w:szCs w:val="20"/>
              </w:rPr>
            </w:pPr>
            <w:r w:rsidRPr="00CF7824">
              <w:rPr>
                <w:rFonts w:cs="Calibri"/>
                <w:b/>
                <w:bCs/>
                <w:sz w:val="20"/>
                <w:szCs w:val="20"/>
                <w:lang w:val="fr-FR"/>
              </w:rPr>
              <w:t>WPE5</w:t>
            </w:r>
          </w:p>
        </w:tc>
      </w:tr>
      <w:tr w:rsidR="0020115C" w:rsidRPr="00CF7824" w:rsidTr="00A63EBC">
        <w:tc>
          <w:tcPr>
            <w:tcW w:w="3964" w:type="dxa"/>
            <w:tcBorders>
              <w:top w:val="nil"/>
            </w:tcBorders>
            <w:shd w:val="clear" w:color="auto" w:fill="EEECE1" w:themeFill="background2"/>
          </w:tcPr>
          <w:p w:rsidR="00E15673" w:rsidRPr="00CF7824" w:rsidRDefault="00E15673">
            <w:pPr>
              <w:pBdr>
                <w:top w:val="nil"/>
                <w:left w:val="nil"/>
                <w:bottom w:val="nil"/>
                <w:right w:val="nil"/>
                <w:between w:val="nil"/>
              </w:pBdr>
              <w:spacing w:after="120"/>
              <w:rPr>
                <w:rFonts w:asciiTheme="minorHAnsi" w:eastAsia="Arial" w:hAnsiTheme="minorHAnsi" w:cstheme="minorHAnsi"/>
                <w:color w:val="000000"/>
                <w:sz w:val="20"/>
                <w:szCs w:val="20"/>
              </w:rPr>
            </w:pP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1994</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1997</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2002</w:t>
            </w:r>
          </w:p>
        </w:tc>
        <w:tc>
          <w:tcPr>
            <w:tcW w:w="1049" w:type="dxa"/>
            <w:shd w:val="clear" w:color="auto" w:fill="EEECE1" w:themeFill="background2"/>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2006</w:t>
            </w:r>
          </w:p>
        </w:tc>
        <w:tc>
          <w:tcPr>
            <w:tcW w:w="1049" w:type="dxa"/>
            <w:shd w:val="clear" w:color="auto" w:fill="EEECE1" w:themeFill="background2"/>
          </w:tcPr>
          <w:p w:rsidR="00E15673" w:rsidRPr="00CF7824" w:rsidRDefault="00164734">
            <w:pPr>
              <w:spacing w:after="120"/>
              <w:jc w:val="center"/>
              <w:rPr>
                <w:rFonts w:asciiTheme="minorHAnsi" w:eastAsia="Arial" w:hAnsiTheme="minorHAnsi" w:cstheme="minorHAnsi"/>
                <w:sz w:val="20"/>
                <w:szCs w:val="20"/>
              </w:rPr>
            </w:pPr>
            <w:r w:rsidRPr="00CF7824">
              <w:rPr>
                <w:rFonts w:cs="Calibri"/>
                <w:sz w:val="20"/>
                <w:szCs w:val="20"/>
                <w:lang w:val="fr-FR"/>
              </w:rPr>
              <w:t>2012</w:t>
            </w:r>
          </w:p>
        </w:tc>
      </w:tr>
      <w:tr w:rsidR="0020115C" w:rsidRPr="00CF7824" w:rsidTr="00A63EBC">
        <w:tc>
          <w:tcPr>
            <w:tcW w:w="3964" w:type="dxa"/>
          </w:tcPr>
          <w:p w:rsidR="00E15673" w:rsidRPr="00CF7824" w:rsidRDefault="00164734">
            <w:pPr>
              <w:pBdr>
                <w:top w:val="nil"/>
                <w:left w:val="nil"/>
                <w:bottom w:val="nil"/>
                <w:right w:val="nil"/>
                <w:between w:val="nil"/>
              </w:pBdr>
              <w:spacing w:after="120"/>
              <w:rPr>
                <w:rFonts w:asciiTheme="minorHAnsi" w:eastAsia="Arial" w:hAnsiTheme="minorHAnsi" w:cstheme="minorHAnsi"/>
                <w:color w:val="000000"/>
                <w:sz w:val="20"/>
                <w:szCs w:val="20"/>
              </w:rPr>
            </w:pPr>
            <w:r w:rsidRPr="00CF7824">
              <w:rPr>
                <w:rFonts w:cs="Calibri"/>
                <w:color w:val="000000"/>
                <w:sz w:val="20"/>
                <w:szCs w:val="20"/>
                <w:lang w:val="fr-FR"/>
              </w:rPr>
              <w:t>Nombre d</w:t>
            </w:r>
            <w:r w:rsidR="00016E39" w:rsidRPr="00CF7824">
              <w:rPr>
                <w:rFonts w:cs="Calibri"/>
                <w:color w:val="000000"/>
                <w:sz w:val="20"/>
                <w:szCs w:val="20"/>
                <w:lang w:val="fr-FR"/>
              </w:rPr>
              <w:t>’</w:t>
            </w:r>
            <w:r w:rsidRPr="00CF7824">
              <w:rPr>
                <w:rFonts w:cs="Calibri"/>
                <w:color w:val="000000"/>
                <w:sz w:val="20"/>
                <w:szCs w:val="20"/>
                <w:lang w:val="fr-FR"/>
              </w:rPr>
              <w:t>espèces d</w:t>
            </w:r>
            <w:r w:rsidR="00016E39" w:rsidRPr="00CF7824">
              <w:rPr>
                <w:rFonts w:cs="Calibri"/>
                <w:color w:val="000000"/>
                <w:sz w:val="20"/>
                <w:szCs w:val="20"/>
                <w:lang w:val="fr-FR"/>
              </w:rPr>
              <w:t>’</w:t>
            </w:r>
            <w:r w:rsidRPr="00CF7824">
              <w:rPr>
                <w:rFonts w:cs="Calibri"/>
                <w:color w:val="000000"/>
                <w:sz w:val="20"/>
                <w:szCs w:val="20"/>
                <w:lang w:val="fr-FR"/>
              </w:rPr>
              <w:t>oiseaux d</w:t>
            </w:r>
            <w:r w:rsidR="00016E39" w:rsidRPr="00CF7824">
              <w:rPr>
                <w:rFonts w:cs="Calibri"/>
                <w:color w:val="000000"/>
                <w:sz w:val="20"/>
                <w:szCs w:val="20"/>
                <w:lang w:val="fr-FR"/>
              </w:rPr>
              <w:t>’</w:t>
            </w:r>
            <w:r w:rsidRPr="00CF7824">
              <w:rPr>
                <w:rFonts w:cs="Calibri"/>
                <w:color w:val="000000"/>
                <w:sz w:val="20"/>
                <w:szCs w:val="20"/>
                <w:lang w:val="fr-FR"/>
              </w:rPr>
              <w:t>eau</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833</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840</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868</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878</w:t>
            </w:r>
          </w:p>
        </w:tc>
        <w:tc>
          <w:tcPr>
            <w:tcW w:w="1049" w:type="dxa"/>
          </w:tcPr>
          <w:p w:rsidR="00E15673" w:rsidRPr="00CF7824" w:rsidRDefault="00164734">
            <w:pPr>
              <w:spacing w:after="120"/>
              <w:jc w:val="center"/>
              <w:rPr>
                <w:rFonts w:asciiTheme="minorHAnsi" w:eastAsia="Arial" w:hAnsiTheme="minorHAnsi" w:cstheme="minorHAnsi"/>
                <w:sz w:val="20"/>
                <w:szCs w:val="20"/>
              </w:rPr>
            </w:pPr>
            <w:r w:rsidRPr="00CF7824">
              <w:rPr>
                <w:rFonts w:cs="Calibri"/>
                <w:sz w:val="20"/>
                <w:szCs w:val="20"/>
                <w:lang w:val="fr-FR"/>
              </w:rPr>
              <w:t>871</w:t>
            </w:r>
          </w:p>
        </w:tc>
      </w:tr>
      <w:tr w:rsidR="0020115C" w:rsidRPr="00CF7824" w:rsidTr="00A63EBC">
        <w:tc>
          <w:tcPr>
            <w:tcW w:w="3964" w:type="dxa"/>
          </w:tcPr>
          <w:p w:rsidR="00E15673" w:rsidRPr="00CF7824" w:rsidRDefault="00164734">
            <w:pPr>
              <w:pBdr>
                <w:top w:val="nil"/>
                <w:left w:val="nil"/>
                <w:bottom w:val="nil"/>
                <w:right w:val="nil"/>
                <w:between w:val="nil"/>
              </w:pBdr>
              <w:spacing w:after="120"/>
              <w:rPr>
                <w:rFonts w:asciiTheme="minorHAnsi" w:eastAsia="Arial" w:hAnsiTheme="minorHAnsi" w:cstheme="minorHAnsi"/>
                <w:color w:val="000000"/>
                <w:sz w:val="20"/>
                <w:szCs w:val="20"/>
              </w:rPr>
            </w:pPr>
            <w:r w:rsidRPr="00CF7824">
              <w:rPr>
                <w:rFonts w:cs="Calibri"/>
                <w:color w:val="000000"/>
                <w:sz w:val="20"/>
                <w:szCs w:val="20"/>
                <w:lang w:val="fr-FR"/>
              </w:rPr>
              <w:t>Nombre de populations biogéographiques</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1 824</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924</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2</w:t>
            </w:r>
            <w:r w:rsidR="001B1025" w:rsidRPr="00CF7824">
              <w:rPr>
                <w:rFonts w:cs="Calibri"/>
                <w:color w:val="000000"/>
                <w:sz w:val="20"/>
                <w:szCs w:val="20"/>
                <w:lang w:val="fr-FR"/>
              </w:rPr>
              <w:t> </w:t>
            </w:r>
            <w:r w:rsidRPr="00CF7824">
              <w:rPr>
                <w:rFonts w:cs="Calibri"/>
                <w:color w:val="000000"/>
                <w:sz w:val="20"/>
                <w:szCs w:val="20"/>
                <w:lang w:val="fr-FR"/>
              </w:rPr>
              <w:t>271</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2</w:t>
            </w:r>
            <w:r w:rsidR="001B1025" w:rsidRPr="00CF7824">
              <w:rPr>
                <w:rFonts w:cs="Calibri"/>
                <w:color w:val="000000"/>
                <w:sz w:val="20"/>
                <w:szCs w:val="20"/>
                <w:lang w:val="fr-FR"/>
              </w:rPr>
              <w:t> </w:t>
            </w:r>
            <w:r w:rsidRPr="00CF7824">
              <w:rPr>
                <w:rFonts w:cs="Calibri"/>
                <w:color w:val="000000"/>
                <w:sz w:val="20"/>
                <w:szCs w:val="20"/>
                <w:lang w:val="fr-FR"/>
              </w:rPr>
              <w:t>305</w:t>
            </w:r>
          </w:p>
        </w:tc>
        <w:tc>
          <w:tcPr>
            <w:tcW w:w="1049" w:type="dxa"/>
          </w:tcPr>
          <w:p w:rsidR="00E15673" w:rsidRPr="00CF7824" w:rsidRDefault="00164734">
            <w:pPr>
              <w:spacing w:after="120"/>
              <w:jc w:val="center"/>
              <w:rPr>
                <w:rFonts w:asciiTheme="minorHAnsi" w:eastAsia="Arial" w:hAnsiTheme="minorHAnsi" w:cstheme="minorHAnsi"/>
                <w:sz w:val="20"/>
                <w:szCs w:val="20"/>
              </w:rPr>
            </w:pPr>
            <w:r w:rsidRPr="00CF7824">
              <w:rPr>
                <w:rFonts w:cs="Calibri"/>
                <w:sz w:val="20"/>
                <w:szCs w:val="20"/>
                <w:lang w:val="fr-FR"/>
              </w:rPr>
              <w:t>2</w:t>
            </w:r>
            <w:r w:rsidR="001B1025" w:rsidRPr="00CF7824">
              <w:rPr>
                <w:rFonts w:cs="Calibri"/>
                <w:sz w:val="20"/>
                <w:szCs w:val="20"/>
                <w:lang w:val="fr-FR"/>
              </w:rPr>
              <w:t> </w:t>
            </w:r>
            <w:r w:rsidRPr="00CF7824">
              <w:rPr>
                <w:rFonts w:cs="Calibri"/>
                <w:sz w:val="20"/>
                <w:szCs w:val="20"/>
                <w:lang w:val="fr-FR"/>
              </w:rPr>
              <w:t>304</w:t>
            </w:r>
          </w:p>
        </w:tc>
      </w:tr>
      <w:tr w:rsidR="0020115C" w:rsidRPr="00CF7824" w:rsidTr="00A63EBC">
        <w:tc>
          <w:tcPr>
            <w:tcW w:w="3964" w:type="dxa"/>
          </w:tcPr>
          <w:p w:rsidR="00E15673" w:rsidRPr="00CF7824" w:rsidRDefault="00164734">
            <w:pPr>
              <w:pBdr>
                <w:top w:val="nil"/>
                <w:left w:val="nil"/>
                <w:bottom w:val="nil"/>
                <w:right w:val="nil"/>
                <w:between w:val="nil"/>
              </w:pBdr>
              <w:spacing w:after="120"/>
              <w:rPr>
                <w:rFonts w:asciiTheme="minorHAnsi" w:eastAsia="Arial" w:hAnsiTheme="minorHAnsi" w:cstheme="minorHAnsi"/>
                <w:color w:val="000000"/>
                <w:sz w:val="20"/>
                <w:szCs w:val="20"/>
                <w:lang w:val="fr-FR"/>
              </w:rPr>
            </w:pPr>
            <w:r w:rsidRPr="00CF7824">
              <w:rPr>
                <w:rFonts w:cs="Calibri"/>
                <w:color w:val="000000"/>
                <w:sz w:val="20"/>
                <w:szCs w:val="20"/>
                <w:lang w:val="fr-FR"/>
              </w:rPr>
              <w:t>Nombre d</w:t>
            </w:r>
            <w:r w:rsidR="00016E39" w:rsidRPr="00CF7824">
              <w:rPr>
                <w:rFonts w:cs="Calibri"/>
                <w:color w:val="000000"/>
                <w:sz w:val="20"/>
                <w:szCs w:val="20"/>
                <w:lang w:val="fr-FR"/>
              </w:rPr>
              <w:t>’</w:t>
            </w:r>
            <w:r w:rsidRPr="00CF7824">
              <w:rPr>
                <w:rFonts w:cs="Calibri"/>
                <w:color w:val="000000"/>
                <w:sz w:val="20"/>
                <w:szCs w:val="20"/>
                <w:lang w:val="fr-FR"/>
              </w:rPr>
              <w:t>estimations de la population</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186</w:t>
            </w:r>
          </w:p>
        </w:tc>
        <w:tc>
          <w:tcPr>
            <w:tcW w:w="1049" w:type="dxa"/>
          </w:tcPr>
          <w:p w:rsidR="00E15673" w:rsidRPr="00CF7824" w:rsidRDefault="00164734">
            <w:pPr>
              <w:spacing w:after="120"/>
              <w:jc w:val="center"/>
              <w:rPr>
                <w:rFonts w:asciiTheme="minorHAnsi" w:eastAsia="Arial" w:hAnsiTheme="minorHAnsi" w:cstheme="minorHAnsi"/>
                <w:sz w:val="20"/>
                <w:szCs w:val="20"/>
              </w:rPr>
            </w:pPr>
            <w:r w:rsidRPr="00CF7824">
              <w:rPr>
                <w:rFonts w:cs="Calibri"/>
                <w:sz w:val="20"/>
                <w:szCs w:val="20"/>
                <w:lang w:val="fr-FR"/>
              </w:rPr>
              <w:t>1</w:t>
            </w:r>
            <w:r w:rsidR="001B1025" w:rsidRPr="00CF7824">
              <w:rPr>
                <w:rFonts w:cs="Calibri"/>
                <w:sz w:val="20"/>
                <w:szCs w:val="20"/>
                <w:lang w:val="fr-FR"/>
              </w:rPr>
              <w:t> </w:t>
            </w:r>
            <w:r w:rsidRPr="00CF7824">
              <w:rPr>
                <w:rFonts w:cs="Calibri"/>
                <w:sz w:val="20"/>
                <w:szCs w:val="20"/>
                <w:lang w:val="fr-FR"/>
              </w:rPr>
              <w:t>342</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725</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816</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908</w:t>
            </w:r>
          </w:p>
        </w:tc>
      </w:tr>
      <w:tr w:rsidR="0020115C" w:rsidRPr="00CF7824" w:rsidTr="00A63EBC">
        <w:tc>
          <w:tcPr>
            <w:tcW w:w="3964" w:type="dxa"/>
          </w:tcPr>
          <w:p w:rsidR="00E15673" w:rsidRPr="00CF7824" w:rsidRDefault="00164734">
            <w:pPr>
              <w:spacing w:after="120"/>
              <w:rPr>
                <w:rFonts w:asciiTheme="minorHAnsi" w:eastAsia="Arial" w:hAnsiTheme="minorHAnsi" w:cstheme="minorHAnsi"/>
                <w:sz w:val="20"/>
                <w:szCs w:val="20"/>
              </w:rPr>
            </w:pPr>
            <w:r w:rsidRPr="00CF7824">
              <w:rPr>
                <w:rFonts w:cs="Calibri"/>
                <w:sz w:val="20"/>
                <w:szCs w:val="20"/>
                <w:lang w:val="fr-FR"/>
              </w:rPr>
              <w:t>% des populations bénéficiant d</w:t>
            </w:r>
            <w:r w:rsidR="00016E39" w:rsidRPr="00CF7824">
              <w:rPr>
                <w:rFonts w:cs="Calibri"/>
                <w:sz w:val="20"/>
                <w:szCs w:val="20"/>
                <w:lang w:val="fr-FR"/>
              </w:rPr>
              <w:t>’</w:t>
            </w:r>
            <w:r w:rsidRPr="00CF7824">
              <w:rPr>
                <w:rFonts w:cs="Calibri"/>
                <w:sz w:val="20"/>
                <w:szCs w:val="20"/>
                <w:lang w:val="fr-FR"/>
              </w:rPr>
              <w:t>estimations</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65%</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70%</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76%</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79%</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83%</w:t>
            </w:r>
          </w:p>
        </w:tc>
      </w:tr>
      <w:tr w:rsidR="0020115C" w:rsidRPr="00CF7824" w:rsidTr="00A63EBC">
        <w:tc>
          <w:tcPr>
            <w:tcW w:w="3964" w:type="dxa"/>
          </w:tcPr>
          <w:p w:rsidR="00E15673" w:rsidRPr="00CF7824" w:rsidRDefault="00164734">
            <w:pPr>
              <w:spacing w:after="120"/>
              <w:rPr>
                <w:rFonts w:asciiTheme="minorHAnsi" w:eastAsia="Arial" w:hAnsiTheme="minorHAnsi" w:cstheme="minorHAnsi"/>
                <w:sz w:val="20"/>
                <w:szCs w:val="20"/>
                <w:lang w:val="fr-FR"/>
              </w:rPr>
            </w:pPr>
            <w:r w:rsidRPr="00CF7824">
              <w:rPr>
                <w:rFonts w:cs="Calibri"/>
                <w:sz w:val="20"/>
                <w:szCs w:val="20"/>
                <w:lang w:val="fr-FR"/>
              </w:rPr>
              <w:t>Nombre de tendances des populations</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727</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792</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138</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376BA1" w:rsidRPr="00CF7824">
              <w:rPr>
                <w:rFonts w:cs="Calibri"/>
                <w:color w:val="000000"/>
                <w:sz w:val="20"/>
                <w:szCs w:val="20"/>
                <w:lang w:val="fr-FR"/>
              </w:rPr>
              <w:t> </w:t>
            </w:r>
            <w:r w:rsidRPr="00CF7824">
              <w:rPr>
                <w:rFonts w:cs="Calibri"/>
                <w:color w:val="000000"/>
                <w:sz w:val="20"/>
                <w:szCs w:val="20"/>
                <w:lang w:val="fr-FR"/>
              </w:rPr>
              <w:t>200</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1</w:t>
            </w:r>
            <w:r w:rsidR="001B1025" w:rsidRPr="00CF7824">
              <w:rPr>
                <w:rFonts w:cs="Calibri"/>
                <w:color w:val="000000"/>
                <w:sz w:val="20"/>
                <w:szCs w:val="20"/>
                <w:lang w:val="fr-FR"/>
              </w:rPr>
              <w:t> </w:t>
            </w:r>
            <w:r w:rsidRPr="00CF7824">
              <w:rPr>
                <w:rFonts w:cs="Calibri"/>
                <w:color w:val="000000"/>
                <w:sz w:val="20"/>
                <w:szCs w:val="20"/>
                <w:lang w:val="fr-FR"/>
              </w:rPr>
              <w:t>422</w:t>
            </w:r>
          </w:p>
        </w:tc>
      </w:tr>
      <w:tr w:rsidR="0020115C" w:rsidRPr="00CF7824" w:rsidTr="00A63EBC">
        <w:tc>
          <w:tcPr>
            <w:tcW w:w="3964" w:type="dxa"/>
          </w:tcPr>
          <w:p w:rsidR="00E15673" w:rsidRPr="00CF7824" w:rsidRDefault="00164734">
            <w:pPr>
              <w:pBdr>
                <w:top w:val="nil"/>
                <w:left w:val="nil"/>
                <w:bottom w:val="nil"/>
                <w:right w:val="nil"/>
                <w:between w:val="nil"/>
              </w:pBdr>
              <w:spacing w:after="120"/>
              <w:rPr>
                <w:rFonts w:asciiTheme="minorHAnsi" w:eastAsia="Arial" w:hAnsiTheme="minorHAnsi" w:cstheme="minorHAnsi"/>
                <w:color w:val="000000"/>
                <w:sz w:val="20"/>
                <w:szCs w:val="20"/>
                <w:lang w:val="fr-FR"/>
              </w:rPr>
            </w:pPr>
            <w:r w:rsidRPr="00CF7824">
              <w:rPr>
                <w:rFonts w:cs="Calibri"/>
                <w:color w:val="000000"/>
                <w:sz w:val="20"/>
                <w:szCs w:val="20"/>
                <w:lang w:val="fr-FR"/>
              </w:rPr>
              <w:t>% de populations bénéficiant de tendances</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40%</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41%</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50%</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52%</w:t>
            </w:r>
          </w:p>
        </w:tc>
        <w:tc>
          <w:tcPr>
            <w:tcW w:w="1049" w:type="dxa"/>
          </w:tcPr>
          <w:p w:rsidR="00E15673" w:rsidRPr="00CF7824" w:rsidRDefault="00164734">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CF7824">
              <w:rPr>
                <w:rFonts w:cs="Calibri"/>
                <w:color w:val="000000"/>
                <w:sz w:val="20"/>
                <w:szCs w:val="20"/>
                <w:lang w:val="fr-FR"/>
              </w:rPr>
              <w:t>62%</w:t>
            </w:r>
          </w:p>
        </w:tc>
      </w:tr>
    </w:tbl>
    <w:p w:rsidR="005D1B5A" w:rsidRPr="00CF7824" w:rsidRDefault="005D1B5A" w:rsidP="005D1B5A">
      <w:pPr>
        <w:pBdr>
          <w:top w:val="nil"/>
          <w:left w:val="nil"/>
          <w:bottom w:val="nil"/>
          <w:right w:val="nil"/>
          <w:between w:val="nil"/>
        </w:pBdr>
        <w:rPr>
          <w:rFonts w:asciiTheme="minorHAnsi" w:eastAsia="Arial" w:hAnsiTheme="minorHAnsi" w:cstheme="minorHAnsi"/>
          <w:color w:val="000000"/>
        </w:rPr>
      </w:pPr>
    </w:p>
    <w:p w:rsidR="00A63EBC" w:rsidRPr="00CF7824" w:rsidRDefault="00A63EBC" w:rsidP="005D1B5A">
      <w:pPr>
        <w:pBdr>
          <w:top w:val="nil"/>
          <w:left w:val="nil"/>
          <w:bottom w:val="nil"/>
          <w:right w:val="nil"/>
          <w:between w:val="nil"/>
        </w:pBdr>
        <w:rPr>
          <w:rFonts w:asciiTheme="minorHAnsi" w:eastAsia="Arial" w:hAnsiTheme="minorHAnsi" w:cstheme="minorHAnsi"/>
          <w:color w:val="000000"/>
        </w:rPr>
      </w:pPr>
    </w:p>
    <w:p w:rsidR="005D1B5A" w:rsidRPr="00CF7824" w:rsidRDefault="00164734" w:rsidP="0044518B">
      <w:pPr>
        <w:rPr>
          <w:rFonts w:asciiTheme="minorHAnsi" w:eastAsia="Arial" w:hAnsiTheme="minorHAnsi" w:cstheme="minorHAnsi"/>
          <w:color w:val="000000"/>
          <w:lang w:val="fr-FR"/>
        </w:rPr>
      </w:pPr>
      <w:r w:rsidRPr="00CF7824">
        <w:rPr>
          <w:rFonts w:cs="Calibri"/>
          <w:color w:val="000000"/>
          <w:lang w:val="fr-FR"/>
        </w:rPr>
        <w:t>7.</w:t>
      </w:r>
      <w:r w:rsidRPr="00CF7824">
        <w:rPr>
          <w:rFonts w:cs="Calibri"/>
          <w:color w:val="000000"/>
          <w:lang w:val="fr-FR"/>
        </w:rPr>
        <w:tab/>
        <w:t>L</w:t>
      </w:r>
      <w:r w:rsidR="00016E39" w:rsidRPr="00CF7824">
        <w:rPr>
          <w:rFonts w:cs="Calibri"/>
          <w:color w:val="000000"/>
          <w:lang w:val="fr-FR"/>
        </w:rPr>
        <w:t>’</w:t>
      </w:r>
      <w:r w:rsidRPr="00CF7824">
        <w:rPr>
          <w:rFonts w:cs="Calibri"/>
          <w:color w:val="000000"/>
          <w:lang w:val="fr-FR"/>
        </w:rPr>
        <w:t>accessibilité à des données de plus en plus fiables pour les WPE</w:t>
      </w:r>
      <w:r w:rsidRPr="00CF7824">
        <w:rPr>
          <w:rFonts w:cs="Calibri"/>
          <w:i/>
          <w:iCs/>
          <w:color w:val="000000"/>
          <w:lang w:val="fr-FR"/>
        </w:rPr>
        <w:t xml:space="preserve"> </w:t>
      </w:r>
      <w:r w:rsidRPr="00CF7824">
        <w:rPr>
          <w:rFonts w:cs="Calibri"/>
          <w:color w:val="000000"/>
          <w:lang w:val="fr-FR"/>
        </w:rPr>
        <w:t>a stimulé le débat international sur la fréquence de mise à jour des seuils de 1%. Les conclusions d</w:t>
      </w:r>
      <w:r w:rsidR="00016E39" w:rsidRPr="00CF7824">
        <w:rPr>
          <w:rFonts w:cs="Calibri"/>
          <w:color w:val="000000"/>
          <w:lang w:val="fr-FR"/>
        </w:rPr>
        <w:t>’</w:t>
      </w:r>
      <w:r w:rsidRPr="00CF7824">
        <w:rPr>
          <w:rFonts w:cs="Calibri"/>
          <w:color w:val="000000"/>
          <w:lang w:val="fr-FR"/>
        </w:rPr>
        <w:t>un atelier international en 1994 sur ce sujet, organisé conjointement par le Royaume-Uni et le Danemark (Rose &amp; Stroud 1994</w:t>
      </w:r>
      <w:r w:rsidRPr="00CF7824">
        <w:rPr>
          <w:rFonts w:asciiTheme="minorHAnsi" w:eastAsia="Arial" w:hAnsiTheme="minorHAnsi" w:cstheme="minorHAnsi"/>
          <w:color w:val="000000"/>
          <w:vertAlign w:val="superscript"/>
        </w:rPr>
        <w:footnoteReference w:id="36"/>
      </w:r>
      <w:r w:rsidRPr="00CF7824">
        <w:rPr>
          <w:rFonts w:cs="Calibri"/>
          <w:color w:val="000000"/>
          <w:lang w:val="fr-FR"/>
        </w:rPr>
        <w:t>), ont été présentées à la COP6 de la Convention sur les zones humides (Stroud 1996</w:t>
      </w:r>
      <w:r w:rsidRPr="00CF7824">
        <w:rPr>
          <w:rFonts w:asciiTheme="minorHAnsi" w:eastAsia="Arial" w:hAnsiTheme="minorHAnsi" w:cstheme="minorHAnsi"/>
          <w:color w:val="000000"/>
          <w:vertAlign w:val="superscript"/>
        </w:rPr>
        <w:footnoteReference w:id="37"/>
      </w:r>
      <w:r w:rsidRPr="00CF7824">
        <w:rPr>
          <w:rFonts w:cs="Calibri"/>
          <w:color w:val="000000"/>
          <w:lang w:val="fr-FR"/>
        </w:rPr>
        <w:t>) et adoptées par la Résolution</w:t>
      </w:r>
      <w:r w:rsidR="00376BA1" w:rsidRPr="00CF7824">
        <w:rPr>
          <w:rFonts w:cs="Calibri"/>
          <w:color w:val="000000"/>
          <w:lang w:val="fr-FR"/>
        </w:rPr>
        <w:t> </w:t>
      </w:r>
      <w:r w:rsidRPr="00CF7824">
        <w:rPr>
          <w:rFonts w:cs="Calibri"/>
          <w:color w:val="000000"/>
          <w:lang w:val="fr-FR"/>
        </w:rPr>
        <w:t>VI.4 de la Convention sur les zones humides, qui établit un calendrier de mise à jour des seuils de 1% et « INVITE les Parties contractantes à se servir de ces estimations et de ces seuils, dès leur publication, comme base d</w:t>
      </w:r>
      <w:r w:rsidR="00016E39" w:rsidRPr="00CF7824">
        <w:rPr>
          <w:rFonts w:cs="Calibri"/>
          <w:color w:val="000000"/>
          <w:lang w:val="fr-FR"/>
        </w:rPr>
        <w:t>’</w:t>
      </w:r>
      <w:r w:rsidRPr="00CF7824">
        <w:rPr>
          <w:rFonts w:cs="Calibri"/>
          <w:color w:val="000000"/>
          <w:lang w:val="fr-FR"/>
        </w:rPr>
        <w:t>inscription de sites sur la Liste des zones humides d</w:t>
      </w:r>
      <w:r w:rsidR="00016E39" w:rsidRPr="00CF7824">
        <w:rPr>
          <w:rFonts w:cs="Calibri"/>
          <w:color w:val="000000"/>
          <w:lang w:val="fr-FR"/>
        </w:rPr>
        <w:t>’</w:t>
      </w:r>
      <w:r w:rsidRPr="00CF7824">
        <w:rPr>
          <w:rFonts w:cs="Calibri"/>
          <w:color w:val="000000"/>
          <w:lang w:val="fr-FR"/>
        </w:rPr>
        <w:t>importance internationale, durant les trois prochaines périodes triennales ».</w:t>
      </w:r>
    </w:p>
    <w:p w:rsidR="005D1B5A" w:rsidRPr="00CF7824" w:rsidRDefault="005D1B5A" w:rsidP="005D1B5A">
      <w:pPr>
        <w:pBdr>
          <w:top w:val="nil"/>
          <w:left w:val="nil"/>
          <w:bottom w:val="nil"/>
          <w:right w:val="nil"/>
          <w:between w:val="nil"/>
        </w:pBdr>
        <w:rPr>
          <w:rFonts w:asciiTheme="minorHAnsi" w:eastAsia="Arial" w:hAnsiTheme="minorHAnsi" w:cstheme="minorHAnsi"/>
          <w:color w:val="000000"/>
          <w:lang w:val="fr-FR"/>
        </w:rPr>
      </w:pPr>
    </w:p>
    <w:p w:rsidR="005D1B5A" w:rsidRPr="00CF7824" w:rsidRDefault="00164734" w:rsidP="0044518B">
      <w:pPr>
        <w:rPr>
          <w:rFonts w:asciiTheme="minorHAnsi" w:eastAsia="Arial" w:hAnsiTheme="minorHAnsi" w:cstheme="minorHAnsi"/>
          <w:color w:val="000000"/>
          <w:lang w:val="fr-FR"/>
        </w:rPr>
      </w:pPr>
      <w:r w:rsidRPr="00CF7824">
        <w:rPr>
          <w:rFonts w:cs="Calibri"/>
          <w:color w:val="000000"/>
          <w:lang w:val="fr-FR"/>
        </w:rPr>
        <w:t>8.</w:t>
      </w:r>
      <w:r w:rsidRPr="00CF7824">
        <w:rPr>
          <w:rFonts w:cs="Calibri"/>
          <w:color w:val="000000"/>
          <w:lang w:val="fr-FR"/>
        </w:rPr>
        <w:tab/>
        <w:t>Par la suite, la Résolution</w:t>
      </w:r>
      <w:r w:rsidR="00376BA1" w:rsidRPr="00CF7824">
        <w:rPr>
          <w:rFonts w:cs="Calibri"/>
          <w:color w:val="000000"/>
          <w:lang w:val="fr-FR"/>
        </w:rPr>
        <w:t> </w:t>
      </w:r>
      <w:r w:rsidRPr="00CF7824">
        <w:rPr>
          <w:rFonts w:cs="Calibri"/>
          <w:color w:val="000000"/>
          <w:lang w:val="fr-FR"/>
        </w:rPr>
        <w:t>VIII.38 de la Convention sur les zones humides a reconnu les WPE comme la so</w:t>
      </w:r>
      <w:r w:rsidR="00A12CF2" w:rsidRPr="00CF7824">
        <w:rPr>
          <w:rFonts w:cs="Calibri"/>
          <w:color w:val="000000"/>
          <w:lang w:val="fr-FR"/>
        </w:rPr>
        <w:t>urce officielle des seuils de 1</w:t>
      </w:r>
      <w:r w:rsidRPr="00CF7824">
        <w:rPr>
          <w:rFonts w:cs="Calibri"/>
          <w:color w:val="000000"/>
          <w:lang w:val="fr-FR"/>
        </w:rPr>
        <w:t>% et « PRIE INSTAMMENT toutes les Parties contractantes d</w:t>
      </w:r>
      <w:r w:rsidR="00016E39" w:rsidRPr="00CF7824">
        <w:rPr>
          <w:rFonts w:cs="Calibri"/>
          <w:color w:val="000000"/>
          <w:lang w:val="fr-FR"/>
        </w:rPr>
        <w:t>’</w:t>
      </w:r>
      <w:r w:rsidRPr="00CF7824">
        <w:rPr>
          <w:rFonts w:cs="Calibri"/>
          <w:color w:val="000000"/>
          <w:lang w:val="fr-FR"/>
        </w:rPr>
        <w:t xml:space="preserve">utiliser les seuils pertinents de 1% contenus dans la troisième édition de </w:t>
      </w:r>
      <w:r w:rsidRPr="00CF7824">
        <w:rPr>
          <w:rFonts w:cs="Calibri"/>
          <w:i/>
          <w:iCs/>
          <w:color w:val="000000"/>
          <w:lang w:val="fr-FR"/>
        </w:rPr>
        <w:t>Waterbird Population Estimates</w:t>
      </w:r>
      <w:r w:rsidRPr="00CF7824">
        <w:rPr>
          <w:rFonts w:cs="Calibri"/>
          <w:color w:val="000000"/>
          <w:lang w:val="fr-FR"/>
        </w:rPr>
        <w:t xml:space="preserve"> en tant que base officielle et cohérente d</w:t>
      </w:r>
      <w:r w:rsidR="00016E39" w:rsidRPr="00CF7824">
        <w:rPr>
          <w:rFonts w:cs="Calibri"/>
          <w:color w:val="000000"/>
          <w:lang w:val="fr-FR"/>
        </w:rPr>
        <w:t>’</w:t>
      </w:r>
      <w:r w:rsidRPr="00CF7824">
        <w:rPr>
          <w:rFonts w:cs="Calibri"/>
          <w:color w:val="000000"/>
          <w:lang w:val="fr-FR"/>
        </w:rPr>
        <w:t>application du Critère</w:t>
      </w:r>
      <w:r w:rsidR="001F19B5" w:rsidRPr="00CF7824">
        <w:rPr>
          <w:rFonts w:cs="Calibri"/>
          <w:color w:val="000000"/>
          <w:lang w:val="fr-FR"/>
        </w:rPr>
        <w:t> </w:t>
      </w:r>
      <w:r w:rsidRPr="00CF7824">
        <w:rPr>
          <w:rFonts w:cs="Calibri"/>
          <w:color w:val="000000"/>
          <w:lang w:val="fr-FR"/>
        </w:rPr>
        <w:t xml:space="preserve">6 du </w:t>
      </w:r>
      <w:r w:rsidRPr="00CF7824">
        <w:rPr>
          <w:rFonts w:cs="Calibri"/>
          <w:i/>
          <w:iCs/>
          <w:color w:val="000000"/>
          <w:lang w:val="fr-FR"/>
        </w:rPr>
        <w:t>Cadre stratégique et lignes directrices pour orienter l</w:t>
      </w:r>
      <w:r w:rsidR="00016E39" w:rsidRPr="00CF7824">
        <w:rPr>
          <w:rFonts w:cs="Calibri"/>
          <w:i/>
          <w:iCs/>
          <w:color w:val="000000"/>
          <w:lang w:val="fr-FR"/>
        </w:rPr>
        <w:t>’</w:t>
      </w:r>
      <w:r w:rsidRPr="00CF7824">
        <w:rPr>
          <w:rFonts w:cs="Calibri"/>
          <w:i/>
          <w:iCs/>
          <w:color w:val="000000"/>
          <w:lang w:val="fr-FR"/>
        </w:rPr>
        <w:t>évolution de la Liste des zones humides d</w:t>
      </w:r>
      <w:r w:rsidR="00016E39" w:rsidRPr="00CF7824">
        <w:rPr>
          <w:rFonts w:cs="Calibri"/>
          <w:i/>
          <w:iCs/>
          <w:color w:val="000000"/>
          <w:lang w:val="fr-FR"/>
        </w:rPr>
        <w:t>’</w:t>
      </w:r>
      <w:r w:rsidRPr="00CF7824">
        <w:rPr>
          <w:rFonts w:cs="Calibri"/>
          <w:i/>
          <w:iCs/>
          <w:color w:val="000000"/>
          <w:lang w:val="fr-FR"/>
        </w:rPr>
        <w:t>importance internationale</w:t>
      </w:r>
      <w:r w:rsidRPr="00CF7824">
        <w:rPr>
          <w:rFonts w:cs="Calibri"/>
          <w:color w:val="000000"/>
          <w:lang w:val="fr-FR"/>
        </w:rPr>
        <w:t xml:space="preserve"> en vue d</w:t>
      </w:r>
      <w:r w:rsidR="00016E39" w:rsidRPr="00CF7824">
        <w:rPr>
          <w:rFonts w:cs="Calibri"/>
          <w:color w:val="000000"/>
          <w:lang w:val="fr-FR"/>
        </w:rPr>
        <w:t>’</w:t>
      </w:r>
      <w:r w:rsidRPr="00CF7824">
        <w:rPr>
          <w:rFonts w:cs="Calibri"/>
          <w:color w:val="000000"/>
          <w:lang w:val="fr-FR"/>
        </w:rPr>
        <w:t xml:space="preserve">inscrire des </w:t>
      </w:r>
      <w:r w:rsidR="00F77F5A" w:rsidRPr="00CF7824">
        <w:rPr>
          <w:rFonts w:cs="Calibri"/>
          <w:color w:val="000000"/>
          <w:lang w:val="fr-FR"/>
        </w:rPr>
        <w:t>Sites Ramsar</w:t>
      </w:r>
      <w:r w:rsidRPr="00CF7824">
        <w:rPr>
          <w:rFonts w:cs="Calibri"/>
          <w:color w:val="000000"/>
          <w:lang w:val="fr-FR"/>
        </w:rPr>
        <w:t xml:space="preserve"> dans la période triennale de 2003 à 2005 ». Elle a également encouragé l</w:t>
      </w:r>
      <w:r w:rsidR="00016E39" w:rsidRPr="00CF7824">
        <w:rPr>
          <w:rFonts w:cs="Calibri"/>
          <w:color w:val="000000"/>
          <w:lang w:val="fr-FR"/>
        </w:rPr>
        <w:t>’</w:t>
      </w:r>
      <w:r w:rsidRPr="00CF7824">
        <w:rPr>
          <w:rFonts w:cs="Calibri"/>
          <w:color w:val="000000"/>
          <w:lang w:val="fr-FR"/>
        </w:rPr>
        <w:t>élargissement du champ taxonomique d</w:t>
      </w:r>
      <w:r w:rsidR="000E0EE0" w:rsidRPr="00CF7824">
        <w:rPr>
          <w:rFonts w:cs="Calibri"/>
          <w:color w:val="000000"/>
          <w:lang w:val="fr-FR"/>
        </w:rPr>
        <w:t>es</w:t>
      </w:r>
      <w:r w:rsidRPr="00CF7824">
        <w:rPr>
          <w:rFonts w:cs="Calibri"/>
          <w:color w:val="000000"/>
          <w:lang w:val="fr-FR"/>
        </w:rPr>
        <w:t xml:space="preserve"> WPE aux oiseaux marins. </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sz w:val="20"/>
          <w:szCs w:val="20"/>
          <w:lang w:val="fr-FR"/>
        </w:rPr>
        <w:sectPr w:rsidR="00E15673" w:rsidRPr="00CF7824" w:rsidSect="000722D2">
          <w:footerReference w:type="default" r:id="rId34"/>
          <w:pgSz w:w="11906" w:h="16838"/>
          <w:pgMar w:top="1276" w:right="1440" w:bottom="993" w:left="1440" w:header="708" w:footer="708" w:gutter="0"/>
          <w:cols w:space="720"/>
        </w:sectPr>
      </w:pPr>
    </w:p>
    <w:p w:rsidR="00E15673" w:rsidRPr="00CF7824" w:rsidRDefault="00164734" w:rsidP="00914FA2">
      <w:pPr>
        <w:keepNext/>
        <w:ind w:left="0" w:firstLine="0"/>
        <w:rPr>
          <w:rFonts w:cs="Arial"/>
          <w:i/>
          <w:lang w:val="fr-FR"/>
        </w:rPr>
      </w:pPr>
      <w:r w:rsidRPr="00CF7824">
        <w:rPr>
          <w:rFonts w:cs="Arial"/>
          <w:i/>
          <w:iCs/>
          <w:lang w:val="fr-FR"/>
        </w:rPr>
        <w:lastRenderedPageBreak/>
        <w:t>Tableau</w:t>
      </w:r>
      <w:r w:rsidR="001F19B5" w:rsidRPr="00CF7824">
        <w:rPr>
          <w:rFonts w:cs="Arial"/>
          <w:i/>
          <w:iCs/>
          <w:lang w:val="fr-FR"/>
        </w:rPr>
        <w:t> </w:t>
      </w:r>
      <w:r w:rsidRPr="00CF7824">
        <w:rPr>
          <w:rFonts w:cs="Arial"/>
          <w:i/>
          <w:iCs/>
          <w:lang w:val="fr-FR"/>
        </w:rPr>
        <w:t>3 : Estimations les plus récentes de la taille des populations figurant dans les WPE (informations extraites de la base de données des WPE en février</w:t>
      </w:r>
      <w:r w:rsidR="001F19B5" w:rsidRPr="00CF7824">
        <w:rPr>
          <w:rFonts w:cs="Arial"/>
          <w:i/>
          <w:iCs/>
          <w:lang w:val="fr-FR"/>
        </w:rPr>
        <w:t> </w:t>
      </w:r>
      <w:r w:rsidRPr="00CF7824">
        <w:rPr>
          <w:rFonts w:cs="Arial"/>
          <w:i/>
          <w:iCs/>
          <w:lang w:val="fr-FR"/>
        </w:rPr>
        <w:t>2024)</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56"/>
        <w:gridCol w:w="851"/>
        <w:gridCol w:w="850"/>
        <w:gridCol w:w="851"/>
        <w:gridCol w:w="850"/>
        <w:gridCol w:w="1134"/>
        <w:gridCol w:w="1207"/>
        <w:gridCol w:w="1628"/>
      </w:tblGrid>
      <w:tr w:rsidR="0020115C" w:rsidRPr="00785D5E" w:rsidTr="00463C11">
        <w:trPr>
          <w:trHeight w:val="288"/>
        </w:trPr>
        <w:tc>
          <w:tcPr>
            <w:tcW w:w="3823" w:type="dxa"/>
            <w:vMerge w:val="restart"/>
            <w:shd w:val="clear" w:color="auto" w:fill="EEECE1" w:themeFill="background2"/>
            <w:noWrap/>
            <w:hideMark/>
          </w:tcPr>
          <w:p w:rsidR="00E15673" w:rsidRPr="00CF7824" w:rsidRDefault="00164734">
            <w:pPr>
              <w:spacing w:after="120"/>
              <w:rPr>
                <w:rFonts w:asciiTheme="minorHAnsi" w:eastAsia="Times New Roman" w:hAnsiTheme="minorHAnsi" w:cstheme="minorHAnsi"/>
                <w:b/>
                <w:bCs/>
                <w:sz w:val="20"/>
                <w:szCs w:val="20"/>
              </w:rPr>
            </w:pPr>
            <w:r w:rsidRPr="00CF7824">
              <w:rPr>
                <w:rFonts w:cs="Calibri"/>
                <w:b/>
                <w:bCs/>
                <w:sz w:val="20"/>
                <w:szCs w:val="20"/>
                <w:lang w:val="fr-FR"/>
              </w:rPr>
              <w:t xml:space="preserve">Voie de migration/region </w:t>
            </w:r>
          </w:p>
        </w:tc>
        <w:tc>
          <w:tcPr>
            <w:tcW w:w="3656" w:type="dxa"/>
            <w:vMerge w:val="restart"/>
            <w:shd w:val="clear" w:color="auto" w:fill="EEECE1" w:themeFill="background2"/>
            <w:noWrap/>
            <w:hideMark/>
          </w:tcPr>
          <w:p w:rsidR="00E15673" w:rsidRPr="00CF7824" w:rsidRDefault="00164734">
            <w:pPr>
              <w:spacing w:after="120"/>
              <w:rPr>
                <w:rFonts w:asciiTheme="minorHAnsi" w:eastAsia="Times New Roman" w:hAnsiTheme="minorHAnsi" w:cstheme="minorHAnsi"/>
                <w:b/>
                <w:bCs/>
                <w:sz w:val="20"/>
                <w:szCs w:val="20"/>
              </w:rPr>
            </w:pPr>
            <w:r w:rsidRPr="00CF7824">
              <w:rPr>
                <w:rFonts w:cs="Calibri"/>
                <w:b/>
                <w:bCs/>
                <w:sz w:val="20"/>
                <w:szCs w:val="20"/>
                <w:lang w:val="fr-FR"/>
              </w:rPr>
              <w:t>Groupe</w:t>
            </w:r>
            <w:r w:rsidRPr="00CF7824">
              <w:rPr>
                <w:rFonts w:cs="Calibri"/>
                <w:b/>
                <w:bCs/>
                <w:sz w:val="20"/>
                <w:szCs w:val="20"/>
                <w:vertAlign w:val="superscript"/>
                <w:lang w:val="fr-FR"/>
              </w:rPr>
              <w:t>1</w:t>
            </w:r>
          </w:p>
        </w:tc>
        <w:tc>
          <w:tcPr>
            <w:tcW w:w="4536" w:type="dxa"/>
            <w:gridSpan w:val="5"/>
            <w:shd w:val="clear" w:color="auto" w:fill="EEECE1" w:themeFill="background2"/>
            <w:noWrap/>
            <w:hideMark/>
          </w:tcPr>
          <w:p w:rsidR="0039006D" w:rsidRPr="00CF7824" w:rsidRDefault="00164734" w:rsidP="0039006D">
            <w:pPr>
              <w:ind w:left="0" w:firstLine="0"/>
              <w:rPr>
                <w:rFonts w:cs="Calibri"/>
                <w:b/>
                <w:bCs/>
                <w:color w:val="000000"/>
                <w:sz w:val="20"/>
                <w:szCs w:val="20"/>
                <w:lang w:val="fr-FR"/>
              </w:rPr>
            </w:pPr>
            <w:r w:rsidRPr="00CF7824">
              <w:rPr>
                <w:rFonts w:cs="Calibri"/>
                <w:b/>
                <w:bCs/>
                <w:color w:val="000000"/>
                <w:sz w:val="20"/>
                <w:szCs w:val="20"/>
                <w:lang w:val="fr-FR"/>
              </w:rPr>
              <w:t xml:space="preserve">Estimations de la taille des populations </w:t>
            </w:r>
          </w:p>
          <w:p w:rsidR="00E15673" w:rsidRPr="00CF7824" w:rsidRDefault="00164734" w:rsidP="0039006D">
            <w:pPr>
              <w:ind w:left="0" w:firstLine="0"/>
              <w:contextualSpacing/>
              <w:rPr>
                <w:rFonts w:asciiTheme="minorHAnsi" w:eastAsia="Times New Roman" w:hAnsiTheme="minorHAnsi" w:cstheme="minorHAnsi"/>
                <w:b/>
                <w:bCs/>
                <w:sz w:val="20"/>
                <w:szCs w:val="20"/>
                <w:lang w:val="fr-FR"/>
              </w:rPr>
            </w:pPr>
            <w:r w:rsidRPr="00CF7824">
              <w:rPr>
                <w:rFonts w:cs="Calibri"/>
                <w:b/>
                <w:bCs/>
                <w:color w:val="000000"/>
                <w:sz w:val="20"/>
                <w:szCs w:val="20"/>
                <w:lang w:val="fr-FR"/>
              </w:rPr>
              <w:t>(nombre de populations d</w:t>
            </w:r>
            <w:r w:rsidR="00016E39" w:rsidRPr="00CF7824">
              <w:rPr>
                <w:rFonts w:cs="Calibri"/>
                <w:b/>
                <w:bCs/>
                <w:color w:val="000000"/>
                <w:sz w:val="20"/>
                <w:szCs w:val="20"/>
                <w:lang w:val="fr-FR"/>
              </w:rPr>
              <w:t>’</w:t>
            </w:r>
            <w:r w:rsidRPr="00CF7824">
              <w:rPr>
                <w:rFonts w:cs="Calibri"/>
                <w:b/>
                <w:bCs/>
                <w:color w:val="000000"/>
                <w:sz w:val="20"/>
                <w:szCs w:val="20"/>
                <w:lang w:val="fr-FR"/>
              </w:rPr>
              <w:t>espèces)</w:t>
            </w:r>
          </w:p>
        </w:tc>
        <w:tc>
          <w:tcPr>
            <w:tcW w:w="1134" w:type="dxa"/>
            <w:vMerge w:val="restart"/>
            <w:shd w:val="clear" w:color="auto" w:fill="EEECE1" w:themeFill="background2"/>
            <w:noWrap/>
            <w:hideMark/>
          </w:tcPr>
          <w:p w:rsidR="00E15673" w:rsidRPr="00CF7824" w:rsidRDefault="00164734">
            <w:pPr>
              <w:spacing w:after="120"/>
              <w:ind w:left="0" w:firstLine="0"/>
              <w:rPr>
                <w:rFonts w:asciiTheme="minorHAnsi" w:eastAsia="Times New Roman" w:hAnsiTheme="minorHAnsi" w:cstheme="minorHAnsi"/>
                <w:b/>
                <w:bCs/>
                <w:sz w:val="20"/>
                <w:szCs w:val="20"/>
              </w:rPr>
            </w:pPr>
            <w:r w:rsidRPr="00CF7824">
              <w:rPr>
                <w:rFonts w:cs="Calibri"/>
                <w:b/>
                <w:bCs/>
                <w:sz w:val="20"/>
                <w:szCs w:val="20"/>
                <w:lang w:val="fr-FR"/>
              </w:rPr>
              <w:t>Nb total de populations</w:t>
            </w:r>
          </w:p>
        </w:tc>
        <w:tc>
          <w:tcPr>
            <w:tcW w:w="1701" w:type="dxa"/>
            <w:vMerge w:val="restart"/>
            <w:shd w:val="clear" w:color="auto" w:fill="EEECE1" w:themeFill="background2"/>
          </w:tcPr>
          <w:p w:rsidR="00E15673" w:rsidRPr="00CF7824" w:rsidRDefault="00164734" w:rsidP="0039006D">
            <w:pPr>
              <w:ind w:left="37" w:hanging="37"/>
              <w:rPr>
                <w:rFonts w:asciiTheme="minorHAnsi" w:eastAsia="Times New Roman" w:hAnsiTheme="minorHAnsi" w:cstheme="minorHAnsi"/>
                <w:b/>
                <w:bCs/>
                <w:sz w:val="20"/>
                <w:szCs w:val="20"/>
                <w:lang w:val="fr-FR"/>
              </w:rPr>
            </w:pPr>
            <w:r w:rsidRPr="00CF7824">
              <w:rPr>
                <w:rFonts w:cs="Calibri"/>
                <w:b/>
                <w:bCs/>
                <w:sz w:val="20"/>
                <w:szCs w:val="20"/>
                <w:lang w:val="fr-FR"/>
              </w:rPr>
              <w:t>% avec informations obsolètes/</w:t>
            </w:r>
            <w:r w:rsidR="0039006D" w:rsidRPr="00CF7824">
              <w:rPr>
                <w:rFonts w:cs="Calibri"/>
                <w:b/>
                <w:bCs/>
                <w:sz w:val="20"/>
                <w:szCs w:val="20"/>
                <w:lang w:val="fr-FR"/>
              </w:rPr>
              <w:t xml:space="preserve"> </w:t>
            </w:r>
            <w:r w:rsidRPr="00CF7824">
              <w:rPr>
                <w:rFonts w:cs="Calibri"/>
                <w:b/>
                <w:bCs/>
                <w:sz w:val="20"/>
                <w:szCs w:val="20"/>
                <w:lang w:val="fr-FR"/>
              </w:rPr>
              <w:t>sans informations</w:t>
            </w:r>
            <w:r w:rsidRPr="00CF7824">
              <w:rPr>
                <w:rFonts w:cs="Calibri"/>
                <w:b/>
                <w:bCs/>
                <w:sz w:val="20"/>
                <w:szCs w:val="20"/>
                <w:vertAlign w:val="superscript"/>
                <w:lang w:val="fr-FR"/>
              </w:rPr>
              <w:t>2</w:t>
            </w:r>
          </w:p>
        </w:tc>
      </w:tr>
      <w:tr w:rsidR="0039006D" w:rsidRPr="00CF7824" w:rsidTr="00463C11">
        <w:trPr>
          <w:trHeight w:val="288"/>
        </w:trPr>
        <w:tc>
          <w:tcPr>
            <w:tcW w:w="3823" w:type="dxa"/>
            <w:vMerge/>
            <w:shd w:val="clear" w:color="auto" w:fill="auto"/>
            <w:noWrap/>
            <w:hideMark/>
          </w:tcPr>
          <w:p w:rsidR="00E15673" w:rsidRPr="00CF7824" w:rsidRDefault="00E15673">
            <w:pPr>
              <w:spacing w:after="120"/>
              <w:rPr>
                <w:rFonts w:asciiTheme="minorHAnsi" w:eastAsia="Times New Roman" w:hAnsiTheme="minorHAnsi" w:cstheme="minorHAnsi"/>
                <w:sz w:val="20"/>
                <w:szCs w:val="20"/>
                <w:lang w:val="fr-FR"/>
              </w:rPr>
            </w:pPr>
          </w:p>
        </w:tc>
        <w:tc>
          <w:tcPr>
            <w:tcW w:w="3656" w:type="dxa"/>
            <w:vMerge/>
            <w:shd w:val="clear" w:color="auto" w:fill="auto"/>
            <w:noWrap/>
            <w:hideMark/>
          </w:tcPr>
          <w:p w:rsidR="00E15673" w:rsidRPr="00CF7824" w:rsidRDefault="00E15673">
            <w:pPr>
              <w:spacing w:after="120"/>
              <w:rPr>
                <w:rFonts w:asciiTheme="minorHAnsi" w:eastAsia="Times New Roman" w:hAnsiTheme="minorHAnsi" w:cstheme="minorHAnsi"/>
                <w:sz w:val="20"/>
                <w:szCs w:val="20"/>
                <w:lang w:val="fr-FR"/>
              </w:rPr>
            </w:pPr>
          </w:p>
        </w:tc>
        <w:tc>
          <w:tcPr>
            <w:tcW w:w="851" w:type="dxa"/>
            <w:shd w:val="clear" w:color="auto" w:fill="EEECE1" w:themeFill="background2"/>
            <w:noWrap/>
            <w:hideMark/>
          </w:tcPr>
          <w:p w:rsidR="0039006D" w:rsidRPr="00CF7824" w:rsidRDefault="00164734" w:rsidP="0039006D">
            <w:pPr>
              <w:ind w:left="0" w:firstLine="0"/>
              <w:rPr>
                <w:rFonts w:cs="Calibri"/>
                <w:b/>
                <w:bCs/>
                <w:color w:val="000000"/>
                <w:sz w:val="20"/>
                <w:szCs w:val="20"/>
                <w:lang w:val="fr-FR"/>
              </w:rPr>
            </w:pPr>
            <w:r w:rsidRPr="00CF7824">
              <w:rPr>
                <w:rFonts w:cs="Calibri"/>
                <w:b/>
                <w:bCs/>
                <w:color w:val="000000"/>
                <w:sz w:val="20"/>
                <w:szCs w:val="20"/>
                <w:lang w:val="fr-FR"/>
              </w:rPr>
              <w:t>Années</w:t>
            </w:r>
          </w:p>
          <w:p w:rsidR="00E15673" w:rsidRPr="00CF7824" w:rsidRDefault="00164734" w:rsidP="0039006D">
            <w:pPr>
              <w:ind w:left="0" w:firstLine="0"/>
              <w:rPr>
                <w:rFonts w:asciiTheme="minorHAnsi" w:eastAsia="Times New Roman" w:hAnsiTheme="minorHAnsi" w:cstheme="minorHAnsi"/>
                <w:b/>
                <w:bCs/>
                <w:color w:val="000000"/>
                <w:sz w:val="20"/>
                <w:szCs w:val="20"/>
              </w:rPr>
            </w:pPr>
            <w:r w:rsidRPr="00CF7824">
              <w:rPr>
                <w:rFonts w:cs="Calibri"/>
                <w:b/>
                <w:bCs/>
                <w:color w:val="000000"/>
                <w:sz w:val="20"/>
                <w:szCs w:val="20"/>
                <w:lang w:val="fr-FR"/>
              </w:rPr>
              <w:t>1990</w:t>
            </w:r>
          </w:p>
        </w:tc>
        <w:tc>
          <w:tcPr>
            <w:tcW w:w="850" w:type="dxa"/>
            <w:shd w:val="clear" w:color="auto" w:fill="EEECE1" w:themeFill="background2"/>
            <w:noWrap/>
            <w:hideMark/>
          </w:tcPr>
          <w:p w:rsidR="0039006D" w:rsidRPr="00CF7824" w:rsidRDefault="00164734" w:rsidP="0039006D">
            <w:pPr>
              <w:ind w:left="0" w:firstLine="0"/>
              <w:rPr>
                <w:rFonts w:cs="Calibri"/>
                <w:b/>
                <w:bCs/>
                <w:color w:val="000000"/>
                <w:sz w:val="20"/>
                <w:szCs w:val="20"/>
                <w:lang w:val="fr-FR"/>
              </w:rPr>
            </w:pPr>
            <w:r w:rsidRPr="00CF7824">
              <w:rPr>
                <w:rFonts w:cs="Calibri"/>
                <w:b/>
                <w:bCs/>
                <w:color w:val="000000"/>
                <w:sz w:val="20"/>
                <w:szCs w:val="20"/>
                <w:lang w:val="fr-FR"/>
              </w:rPr>
              <w:t>Années</w:t>
            </w:r>
          </w:p>
          <w:p w:rsidR="00E15673" w:rsidRPr="00CF7824" w:rsidRDefault="00164734" w:rsidP="0039006D">
            <w:pPr>
              <w:ind w:left="0" w:firstLine="0"/>
              <w:rPr>
                <w:rFonts w:asciiTheme="minorHAnsi" w:eastAsia="Times New Roman" w:hAnsiTheme="minorHAnsi" w:cstheme="minorHAnsi"/>
                <w:b/>
                <w:bCs/>
                <w:color w:val="000000"/>
                <w:sz w:val="20"/>
                <w:szCs w:val="20"/>
              </w:rPr>
            </w:pPr>
            <w:r w:rsidRPr="00CF7824">
              <w:rPr>
                <w:rFonts w:cs="Calibri"/>
                <w:b/>
                <w:bCs/>
                <w:color w:val="000000"/>
                <w:sz w:val="20"/>
                <w:szCs w:val="20"/>
                <w:lang w:val="fr-FR"/>
              </w:rPr>
              <w:t>2000</w:t>
            </w:r>
          </w:p>
        </w:tc>
        <w:tc>
          <w:tcPr>
            <w:tcW w:w="851" w:type="dxa"/>
            <w:shd w:val="clear" w:color="auto" w:fill="EEECE1" w:themeFill="background2"/>
            <w:noWrap/>
            <w:hideMark/>
          </w:tcPr>
          <w:p w:rsidR="0039006D" w:rsidRPr="00CF7824" w:rsidRDefault="00164734" w:rsidP="0039006D">
            <w:pPr>
              <w:ind w:left="0" w:firstLine="0"/>
              <w:rPr>
                <w:rFonts w:cs="Calibri"/>
                <w:b/>
                <w:bCs/>
                <w:color w:val="000000"/>
                <w:sz w:val="20"/>
                <w:szCs w:val="20"/>
                <w:lang w:val="fr-FR"/>
              </w:rPr>
            </w:pPr>
            <w:r w:rsidRPr="00CF7824">
              <w:rPr>
                <w:rFonts w:cs="Calibri"/>
                <w:b/>
                <w:bCs/>
                <w:color w:val="000000"/>
                <w:sz w:val="20"/>
                <w:szCs w:val="20"/>
                <w:lang w:val="fr-FR"/>
              </w:rPr>
              <w:t>Années</w:t>
            </w:r>
          </w:p>
          <w:p w:rsidR="00E15673" w:rsidRPr="00CF7824" w:rsidRDefault="00164734" w:rsidP="0039006D">
            <w:pPr>
              <w:ind w:left="0" w:firstLine="0"/>
              <w:rPr>
                <w:rFonts w:asciiTheme="minorHAnsi" w:eastAsia="Times New Roman" w:hAnsiTheme="minorHAnsi" w:cstheme="minorHAnsi"/>
                <w:b/>
                <w:bCs/>
                <w:color w:val="000000"/>
                <w:sz w:val="20"/>
                <w:szCs w:val="20"/>
              </w:rPr>
            </w:pPr>
            <w:r w:rsidRPr="00CF7824">
              <w:rPr>
                <w:rFonts w:cs="Calibri"/>
                <w:b/>
                <w:color w:val="000000"/>
                <w:sz w:val="20"/>
                <w:szCs w:val="20"/>
                <w:lang w:val="fr-FR"/>
              </w:rPr>
              <w:t>2010</w:t>
            </w:r>
          </w:p>
        </w:tc>
        <w:tc>
          <w:tcPr>
            <w:tcW w:w="850" w:type="dxa"/>
            <w:shd w:val="clear" w:color="auto" w:fill="EEECE1" w:themeFill="background2"/>
            <w:noWrap/>
            <w:hideMark/>
          </w:tcPr>
          <w:p w:rsidR="0039006D" w:rsidRPr="00CF7824" w:rsidRDefault="00164734" w:rsidP="0039006D">
            <w:pPr>
              <w:ind w:left="0" w:firstLine="0"/>
              <w:rPr>
                <w:rFonts w:cs="Calibri"/>
                <w:b/>
                <w:bCs/>
                <w:color w:val="000000"/>
                <w:sz w:val="20"/>
                <w:szCs w:val="20"/>
                <w:lang w:val="fr-FR"/>
              </w:rPr>
            </w:pPr>
            <w:r w:rsidRPr="00CF7824">
              <w:rPr>
                <w:rFonts w:cs="Calibri"/>
                <w:b/>
                <w:bCs/>
                <w:color w:val="000000"/>
                <w:sz w:val="20"/>
                <w:szCs w:val="20"/>
                <w:lang w:val="fr-FR"/>
              </w:rPr>
              <w:t>Années</w:t>
            </w:r>
          </w:p>
          <w:p w:rsidR="00E15673" w:rsidRPr="00CF7824" w:rsidRDefault="00164734" w:rsidP="0039006D">
            <w:pPr>
              <w:ind w:left="0" w:firstLine="0"/>
              <w:rPr>
                <w:rFonts w:asciiTheme="minorHAnsi" w:eastAsia="Times New Roman" w:hAnsiTheme="minorHAnsi" w:cstheme="minorHAnsi"/>
                <w:b/>
                <w:bCs/>
                <w:color w:val="000000"/>
                <w:sz w:val="20"/>
                <w:szCs w:val="20"/>
              </w:rPr>
            </w:pPr>
            <w:r w:rsidRPr="00CF7824">
              <w:rPr>
                <w:rFonts w:cs="Calibri"/>
                <w:b/>
                <w:color w:val="000000"/>
                <w:sz w:val="20"/>
                <w:szCs w:val="20"/>
                <w:lang w:val="fr-FR"/>
              </w:rPr>
              <w:t>2020</w:t>
            </w:r>
          </w:p>
        </w:tc>
        <w:tc>
          <w:tcPr>
            <w:tcW w:w="1134" w:type="dxa"/>
            <w:shd w:val="clear" w:color="auto" w:fill="EEECE1" w:themeFill="background2"/>
            <w:noWrap/>
            <w:hideMark/>
          </w:tcPr>
          <w:p w:rsidR="00E15673" w:rsidRPr="00CF7824" w:rsidRDefault="0039006D" w:rsidP="0039006D">
            <w:pPr>
              <w:ind w:left="0" w:firstLine="0"/>
              <w:rPr>
                <w:rFonts w:asciiTheme="minorHAnsi" w:eastAsia="Times New Roman" w:hAnsiTheme="minorHAnsi" w:cstheme="minorHAnsi"/>
                <w:b/>
                <w:bCs/>
                <w:color w:val="000000"/>
                <w:sz w:val="20"/>
                <w:szCs w:val="20"/>
              </w:rPr>
            </w:pPr>
            <w:r w:rsidRPr="00CF7824">
              <w:rPr>
                <w:rFonts w:cs="Calibri"/>
                <w:b/>
                <w:bCs/>
                <w:color w:val="000000"/>
                <w:sz w:val="20"/>
                <w:szCs w:val="20"/>
                <w:lang w:val="fr-FR"/>
              </w:rPr>
              <w:t>Sans</w:t>
            </w:r>
            <w:r w:rsidR="00164734" w:rsidRPr="00CF7824">
              <w:rPr>
                <w:rFonts w:cs="Calibri"/>
                <w:b/>
                <w:bCs/>
                <w:color w:val="000000"/>
                <w:sz w:val="20"/>
                <w:szCs w:val="20"/>
                <w:lang w:val="fr-FR"/>
              </w:rPr>
              <w:t xml:space="preserve"> date</w:t>
            </w:r>
          </w:p>
        </w:tc>
        <w:tc>
          <w:tcPr>
            <w:tcW w:w="1134" w:type="dxa"/>
            <w:vMerge/>
            <w:shd w:val="clear" w:color="auto" w:fill="auto"/>
            <w:noWrap/>
            <w:hideMark/>
          </w:tcPr>
          <w:p w:rsidR="00E15673" w:rsidRPr="00CF7824" w:rsidRDefault="00E15673">
            <w:pPr>
              <w:spacing w:after="120"/>
              <w:rPr>
                <w:rFonts w:asciiTheme="minorHAnsi" w:eastAsia="Times New Roman" w:hAnsiTheme="minorHAnsi" w:cstheme="minorHAnsi"/>
                <w:color w:val="000000"/>
                <w:sz w:val="20"/>
                <w:szCs w:val="20"/>
              </w:rPr>
            </w:pPr>
          </w:p>
        </w:tc>
        <w:tc>
          <w:tcPr>
            <w:tcW w:w="1701" w:type="dxa"/>
            <w:vMerge/>
          </w:tcPr>
          <w:p w:rsidR="00E15673" w:rsidRPr="00CF7824" w:rsidRDefault="00E15673">
            <w:pPr>
              <w:rPr>
                <w:rFonts w:asciiTheme="minorHAnsi" w:eastAsia="Times New Roman" w:hAnsiTheme="minorHAnsi" w:cstheme="minorHAnsi"/>
                <w:color w:val="000000"/>
                <w:sz w:val="20"/>
                <w:szCs w:val="20"/>
              </w:rPr>
            </w:pP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 xml:space="preserve">Voie de migration Afrique-Eurasie </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167</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188</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b/>
                <w:bCs/>
                <w:color w:val="000000"/>
                <w:lang w:val="fr-FR"/>
              </w:rPr>
              <w:t>10</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Eurasie occidentale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22</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162</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21</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226</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b/>
                <w:bCs/>
                <w:color w:val="000000"/>
                <w:lang w:val="fr-FR"/>
              </w:rPr>
              <w:t>26</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Afrique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36</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188</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69</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86</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379</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82</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Amériques</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10</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56</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91</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73</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Néarctique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36</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74</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82</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200</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63</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Néotropiques</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24</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111</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105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188</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428</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75</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Voie de migration Asie centrale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9</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11</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7</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77</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79</w:t>
            </w:r>
          </w:p>
        </w:tc>
      </w:tr>
      <w:tr w:rsidR="0039006D" w:rsidRPr="00CF7824" w:rsidTr="00463C11">
        <w:trPr>
          <w:trHeight w:val="288"/>
        </w:trPr>
        <w:tc>
          <w:tcPr>
            <w:tcW w:w="3823" w:type="dxa"/>
            <w:shd w:val="clear" w:color="auto" w:fill="auto"/>
            <w:noWrap/>
            <w:hideMark/>
          </w:tcPr>
          <w:p w:rsidR="00E15673" w:rsidRPr="00CF7824" w:rsidRDefault="00164734" w:rsidP="00741B89">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Voie de migration Asie de l</w:t>
            </w:r>
            <w:r w:rsidR="00016E39" w:rsidRPr="00CF7824">
              <w:rPr>
                <w:rFonts w:cs="Calibri"/>
                <w:color w:val="000000"/>
                <w:sz w:val="20"/>
                <w:szCs w:val="20"/>
                <w:lang w:val="fr-FR"/>
              </w:rPr>
              <w:t>’</w:t>
            </w:r>
            <w:r w:rsidR="00741B89" w:rsidRPr="00CF7824">
              <w:rPr>
                <w:rFonts w:cs="Calibri"/>
                <w:color w:val="000000"/>
                <w:sz w:val="20"/>
                <w:szCs w:val="20"/>
                <w:lang w:val="fr-FR"/>
              </w:rPr>
              <w:t>Est-</w:t>
            </w:r>
            <w:r w:rsidRPr="00CF7824">
              <w:rPr>
                <w:rFonts w:cs="Calibri"/>
                <w:color w:val="000000"/>
                <w:sz w:val="20"/>
                <w:szCs w:val="20"/>
                <w:lang w:val="fr-FR"/>
              </w:rPr>
              <w:t>Australasie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17</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45</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33</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32</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130</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b/>
                <w:bCs/>
                <w:color w:val="000000"/>
                <w:lang w:val="fr-FR"/>
              </w:rPr>
              <w:t>50</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Asie (Indo-Malaise &amp; Paléarctique oriental)</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63</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43</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47</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87</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255</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76</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Australasie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31</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116</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52</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89</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293</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81</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Océanie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11</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12</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44</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89</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Voie de migration Pacifique central</w:t>
            </w:r>
            <w:r w:rsidRPr="00CF7824">
              <w:rPr>
                <w:rStyle w:val="FootnoteReference"/>
                <w:rFonts w:asciiTheme="minorHAnsi" w:eastAsia="Times New Roman" w:hAnsiTheme="minorHAnsi" w:cstheme="minorHAnsi"/>
                <w:color w:val="000000"/>
              </w:rPr>
              <w:footnoteReference w:id="38"/>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1701" w:type="dxa"/>
          </w:tcPr>
          <w:p w:rsidR="00E15673" w:rsidRPr="00CF7824" w:rsidRDefault="00164734" w:rsidP="00463C11">
            <w:pPr>
              <w:spacing w:after="80"/>
              <w:ind w:right="420"/>
              <w:jc w:val="right"/>
              <w:rPr>
                <w:rFonts w:asciiTheme="minorHAnsi" w:eastAsia="Times New Roman" w:hAnsiTheme="minorHAnsi" w:cstheme="minorHAnsi"/>
                <w:b/>
                <w:bCs/>
                <w:color w:val="000000"/>
                <w:sz w:val="20"/>
                <w:szCs w:val="20"/>
              </w:rPr>
            </w:pPr>
            <w:r w:rsidRPr="00CF7824">
              <w:rPr>
                <w:rFonts w:cs="Calibri"/>
                <w:b/>
                <w:bCs/>
                <w:color w:val="000000"/>
                <w:lang w:val="fr-FR"/>
              </w:rPr>
              <w:t>44</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Océan Indien et Pacifique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701" w:type="dxa"/>
          </w:tcPr>
          <w:p w:rsidR="00E15673" w:rsidRPr="00CF7824" w:rsidRDefault="00164734" w:rsidP="00463C11">
            <w:pPr>
              <w:spacing w:after="80"/>
              <w:ind w:right="420"/>
              <w:jc w:val="right"/>
              <w:rPr>
                <w:rFonts w:asciiTheme="minorHAnsi" w:eastAsia="Times New Roman" w:hAnsiTheme="minorHAnsi" w:cstheme="minorHAnsi"/>
                <w:b/>
                <w:bCs/>
                <w:color w:val="000000"/>
                <w:sz w:val="20"/>
                <w:szCs w:val="20"/>
              </w:rPr>
            </w:pPr>
            <w:r w:rsidRPr="00CF7824">
              <w:rPr>
                <w:rFonts w:cs="Calibri"/>
                <w:b/>
                <w:bCs/>
                <w:color w:val="000000"/>
                <w:lang w:val="fr-FR"/>
              </w:rPr>
              <w:t>50</w:t>
            </w:r>
          </w:p>
        </w:tc>
      </w:tr>
      <w:tr w:rsidR="0039006D" w:rsidRPr="00CF7824" w:rsidTr="00463C11">
        <w:trPr>
          <w:trHeight w:val="288"/>
        </w:trPr>
        <w:tc>
          <w:tcPr>
            <w:tcW w:w="3823"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rPr>
            </w:pPr>
            <w:r w:rsidRPr="00CF7824">
              <w:rPr>
                <w:rFonts w:cs="Calibri"/>
                <w:color w:val="000000"/>
                <w:sz w:val="20"/>
                <w:szCs w:val="20"/>
                <w:lang w:val="fr-FR"/>
              </w:rPr>
              <w:t>Antarctique</w:t>
            </w:r>
          </w:p>
        </w:tc>
        <w:tc>
          <w:tcPr>
            <w:tcW w:w="3656" w:type="dxa"/>
            <w:shd w:val="clear" w:color="auto" w:fill="auto"/>
            <w:noWrap/>
            <w:hideMark/>
          </w:tcPr>
          <w:p w:rsidR="00E15673" w:rsidRPr="00CF7824" w:rsidRDefault="00164734" w:rsidP="00463C11">
            <w:pPr>
              <w:spacing w:after="80"/>
              <w:rPr>
                <w:rFonts w:asciiTheme="minorHAnsi" w:eastAsia="Times New Roman" w:hAnsiTheme="minorHAnsi" w:cstheme="minorHAnsi"/>
                <w:color w:val="000000"/>
                <w:sz w:val="20"/>
                <w:szCs w:val="20"/>
                <w:lang w:val="fr-FR"/>
              </w:rPr>
            </w:pPr>
            <w:r w:rsidRPr="00CF7824">
              <w:rPr>
                <w:rFonts w:cs="Calibri"/>
                <w:color w:val="000000"/>
                <w:sz w:val="20"/>
                <w:szCs w:val="20"/>
                <w:lang w:val="fr-FR"/>
              </w:rPr>
              <w:t xml:space="preserve">Résidents / migrateurs de courte distance </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3</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8</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color w:val="000000"/>
                <w:sz w:val="20"/>
                <w:szCs w:val="20"/>
              </w:rPr>
            </w:pPr>
            <w:r w:rsidRPr="00CF7824">
              <w:rPr>
                <w:rFonts w:cs="Calibri"/>
                <w:color w:val="000000"/>
                <w:sz w:val="20"/>
                <w:szCs w:val="20"/>
                <w:lang w:val="fr-FR"/>
              </w:rPr>
              <w:t>11</w:t>
            </w:r>
          </w:p>
        </w:tc>
        <w:tc>
          <w:tcPr>
            <w:tcW w:w="1701" w:type="dxa"/>
          </w:tcPr>
          <w:p w:rsidR="00E15673" w:rsidRPr="00CF7824" w:rsidRDefault="00164734" w:rsidP="00463C11">
            <w:pPr>
              <w:spacing w:after="80"/>
              <w:ind w:right="420"/>
              <w:jc w:val="right"/>
              <w:rPr>
                <w:rFonts w:asciiTheme="minorHAnsi" w:eastAsia="Times New Roman" w:hAnsiTheme="minorHAnsi" w:cstheme="minorHAnsi"/>
                <w:color w:val="000000"/>
                <w:sz w:val="20"/>
                <w:szCs w:val="20"/>
              </w:rPr>
            </w:pPr>
            <w:r w:rsidRPr="00CF7824">
              <w:rPr>
                <w:rFonts w:cs="Calibri"/>
                <w:color w:val="000000"/>
                <w:lang w:val="fr-FR"/>
              </w:rPr>
              <w:t>100</w:t>
            </w:r>
          </w:p>
        </w:tc>
      </w:tr>
      <w:tr w:rsidR="0039006D" w:rsidRPr="00CF7824" w:rsidTr="00463C11">
        <w:trPr>
          <w:trHeight w:val="288"/>
        </w:trPr>
        <w:tc>
          <w:tcPr>
            <w:tcW w:w="7479" w:type="dxa"/>
            <w:gridSpan w:val="2"/>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sz w:val="20"/>
                <w:szCs w:val="20"/>
              </w:rPr>
            </w:pPr>
            <w:r w:rsidRPr="00CF7824">
              <w:rPr>
                <w:rFonts w:cs="Calibri"/>
                <w:b/>
                <w:bCs/>
                <w:sz w:val="20"/>
                <w:szCs w:val="20"/>
                <w:lang w:val="fr-FR"/>
              </w:rPr>
              <w:t>Nombre total de populations</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256</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618</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727</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98</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641</w:t>
            </w:r>
          </w:p>
        </w:tc>
        <w:tc>
          <w:tcPr>
            <w:tcW w:w="1134" w:type="dxa"/>
            <w:shd w:val="clear" w:color="auto" w:fill="auto"/>
            <w:noWrap/>
            <w:hideMark/>
          </w:tcPr>
          <w:p w:rsidR="00E15673" w:rsidRPr="00CF7824" w:rsidRDefault="0039006D"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2 </w:t>
            </w:r>
            <w:r w:rsidR="00164734" w:rsidRPr="00CF7824">
              <w:rPr>
                <w:rFonts w:cs="Calibri"/>
                <w:b/>
                <w:bCs/>
                <w:color w:val="000000"/>
                <w:sz w:val="20"/>
                <w:szCs w:val="20"/>
                <w:lang w:val="fr-FR"/>
              </w:rPr>
              <w:t>340</w:t>
            </w:r>
          </w:p>
        </w:tc>
        <w:tc>
          <w:tcPr>
            <w:tcW w:w="1701" w:type="dxa"/>
            <w:vAlign w:val="bottom"/>
          </w:tcPr>
          <w:p w:rsidR="00E15673" w:rsidRPr="00CF7824" w:rsidRDefault="00164734" w:rsidP="00463C11">
            <w:pPr>
              <w:spacing w:after="80"/>
              <w:ind w:right="420"/>
              <w:jc w:val="right"/>
              <w:rPr>
                <w:rFonts w:asciiTheme="minorHAnsi" w:hAnsiTheme="minorHAnsi" w:cstheme="minorHAnsi"/>
                <w:b/>
                <w:bCs/>
                <w:color w:val="000000"/>
              </w:rPr>
            </w:pPr>
            <w:r w:rsidRPr="00CF7824">
              <w:rPr>
                <w:rFonts w:cs="Calibri"/>
                <w:b/>
                <w:bCs/>
                <w:color w:val="000000"/>
                <w:lang w:val="fr-FR"/>
              </w:rPr>
              <w:t>898</w:t>
            </w:r>
          </w:p>
        </w:tc>
      </w:tr>
      <w:tr w:rsidR="0039006D" w:rsidRPr="00CF7824" w:rsidTr="00463C11">
        <w:trPr>
          <w:trHeight w:val="288"/>
        </w:trPr>
        <w:tc>
          <w:tcPr>
            <w:tcW w:w="7479" w:type="dxa"/>
            <w:gridSpan w:val="2"/>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sz w:val="20"/>
                <w:szCs w:val="20"/>
              </w:rPr>
            </w:pPr>
            <w:r w:rsidRPr="00CF7824">
              <w:rPr>
                <w:rFonts w:cs="Calibri"/>
                <w:b/>
                <w:bCs/>
                <w:sz w:val="20"/>
                <w:szCs w:val="20"/>
                <w:lang w:val="fr-FR"/>
              </w:rPr>
              <w:t>Pourcentage</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10</w:t>
            </w:r>
            <w:r w:rsidR="00376BA1" w:rsidRPr="00CF7824">
              <w:rPr>
                <w:rFonts w:cs="Calibri"/>
                <w:b/>
                <w:bCs/>
                <w:color w:val="000000"/>
                <w:sz w:val="20"/>
                <w:szCs w:val="20"/>
                <w:lang w:val="fr-FR"/>
              </w:rPr>
              <w:t>,</w:t>
            </w:r>
            <w:r w:rsidRPr="00CF7824">
              <w:rPr>
                <w:rFonts w:cs="Calibri"/>
                <w:b/>
                <w:bCs/>
                <w:color w:val="000000"/>
                <w:sz w:val="20"/>
                <w:szCs w:val="20"/>
                <w:lang w:val="fr-FR"/>
              </w:rPr>
              <w:t>9</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26</w:t>
            </w:r>
            <w:r w:rsidR="00376BA1" w:rsidRPr="00CF7824">
              <w:rPr>
                <w:rFonts w:cs="Calibri"/>
                <w:b/>
                <w:bCs/>
                <w:color w:val="000000"/>
                <w:sz w:val="20"/>
                <w:szCs w:val="20"/>
                <w:lang w:val="fr-FR"/>
              </w:rPr>
              <w:t>,</w:t>
            </w:r>
            <w:r w:rsidRPr="00CF7824">
              <w:rPr>
                <w:rFonts w:cs="Calibri"/>
                <w:b/>
                <w:bCs/>
                <w:color w:val="000000"/>
                <w:sz w:val="20"/>
                <w:szCs w:val="20"/>
                <w:lang w:val="fr-FR"/>
              </w:rPr>
              <w:t xml:space="preserve">4 </w:t>
            </w:r>
          </w:p>
        </w:tc>
        <w:tc>
          <w:tcPr>
            <w:tcW w:w="851"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31</w:t>
            </w:r>
            <w:r w:rsidR="00376BA1" w:rsidRPr="00CF7824">
              <w:rPr>
                <w:rFonts w:cs="Calibri"/>
                <w:b/>
                <w:bCs/>
                <w:color w:val="000000"/>
                <w:sz w:val="20"/>
                <w:szCs w:val="20"/>
                <w:lang w:val="fr-FR"/>
              </w:rPr>
              <w:t>,</w:t>
            </w:r>
            <w:r w:rsidRPr="00CF7824">
              <w:rPr>
                <w:rFonts w:cs="Calibri"/>
                <w:b/>
                <w:bCs/>
                <w:color w:val="000000"/>
                <w:sz w:val="20"/>
                <w:szCs w:val="20"/>
                <w:lang w:val="fr-FR"/>
              </w:rPr>
              <w:t xml:space="preserve">1 </w:t>
            </w:r>
          </w:p>
        </w:tc>
        <w:tc>
          <w:tcPr>
            <w:tcW w:w="850"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4</w:t>
            </w:r>
            <w:r w:rsidR="00376BA1" w:rsidRPr="00CF7824">
              <w:rPr>
                <w:rFonts w:cs="Calibri"/>
                <w:b/>
                <w:bCs/>
                <w:color w:val="000000"/>
                <w:sz w:val="20"/>
                <w:szCs w:val="20"/>
                <w:lang w:val="fr-FR"/>
              </w:rPr>
              <w:t>,</w:t>
            </w:r>
            <w:r w:rsidRPr="00CF7824">
              <w:rPr>
                <w:rFonts w:cs="Calibri"/>
                <w:b/>
                <w:bCs/>
                <w:color w:val="000000"/>
                <w:sz w:val="20"/>
                <w:szCs w:val="20"/>
                <w:lang w:val="fr-FR"/>
              </w:rPr>
              <w:t xml:space="preserve">2 </w:t>
            </w:r>
          </w:p>
        </w:tc>
        <w:tc>
          <w:tcPr>
            <w:tcW w:w="1134" w:type="dxa"/>
            <w:shd w:val="clear" w:color="auto" w:fill="auto"/>
            <w:noWrap/>
            <w:hideMark/>
          </w:tcPr>
          <w:p w:rsidR="00E15673" w:rsidRPr="00CF7824" w:rsidRDefault="00164734" w:rsidP="00463C11">
            <w:pPr>
              <w:spacing w:after="80"/>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27</w:t>
            </w:r>
            <w:r w:rsidR="00376BA1" w:rsidRPr="00CF7824">
              <w:rPr>
                <w:rFonts w:cs="Calibri"/>
                <w:b/>
                <w:bCs/>
                <w:color w:val="000000"/>
                <w:sz w:val="20"/>
                <w:szCs w:val="20"/>
                <w:lang w:val="fr-FR"/>
              </w:rPr>
              <w:t>,</w:t>
            </w:r>
            <w:r w:rsidRPr="00CF7824">
              <w:rPr>
                <w:rFonts w:cs="Calibri"/>
                <w:b/>
                <w:bCs/>
                <w:color w:val="000000"/>
                <w:sz w:val="20"/>
                <w:szCs w:val="20"/>
                <w:lang w:val="fr-FR"/>
              </w:rPr>
              <w:t xml:space="preserve">4 </w:t>
            </w:r>
          </w:p>
        </w:tc>
        <w:tc>
          <w:tcPr>
            <w:tcW w:w="1134" w:type="dxa"/>
            <w:shd w:val="clear" w:color="auto" w:fill="auto"/>
            <w:noWrap/>
            <w:hideMark/>
          </w:tcPr>
          <w:p w:rsidR="00E15673" w:rsidRPr="00CF7824" w:rsidRDefault="00E15673" w:rsidP="00463C11">
            <w:pPr>
              <w:spacing w:after="80"/>
              <w:rPr>
                <w:rFonts w:asciiTheme="minorHAnsi" w:eastAsia="Times New Roman" w:hAnsiTheme="minorHAnsi" w:cstheme="minorHAnsi"/>
                <w:color w:val="000000"/>
                <w:sz w:val="20"/>
                <w:szCs w:val="20"/>
              </w:rPr>
            </w:pPr>
          </w:p>
        </w:tc>
        <w:tc>
          <w:tcPr>
            <w:tcW w:w="1701" w:type="dxa"/>
            <w:vAlign w:val="bottom"/>
          </w:tcPr>
          <w:p w:rsidR="00E15673" w:rsidRPr="00CF7824" w:rsidRDefault="00164734" w:rsidP="00463C11">
            <w:pPr>
              <w:spacing w:after="80"/>
              <w:ind w:right="420"/>
              <w:jc w:val="right"/>
              <w:rPr>
                <w:rFonts w:asciiTheme="minorHAnsi" w:hAnsiTheme="minorHAnsi" w:cstheme="minorHAnsi"/>
                <w:b/>
                <w:bCs/>
                <w:color w:val="000000"/>
              </w:rPr>
            </w:pPr>
            <w:r w:rsidRPr="00CF7824">
              <w:rPr>
                <w:rFonts w:cs="Calibri"/>
                <w:b/>
                <w:bCs/>
                <w:color w:val="000000"/>
                <w:lang w:val="fr-FR"/>
              </w:rPr>
              <w:t>38</w:t>
            </w:r>
            <w:r w:rsidR="00376BA1" w:rsidRPr="00CF7824">
              <w:rPr>
                <w:rFonts w:cs="Calibri"/>
                <w:b/>
                <w:bCs/>
                <w:color w:val="000000"/>
                <w:lang w:val="fr-FR"/>
              </w:rPr>
              <w:t>,</w:t>
            </w:r>
            <w:r w:rsidRPr="00CF7824">
              <w:rPr>
                <w:rFonts w:cs="Calibri"/>
                <w:b/>
                <w:bCs/>
                <w:color w:val="000000"/>
                <w:lang w:val="fr-FR"/>
              </w:rPr>
              <w:t xml:space="preserve">4 </w:t>
            </w:r>
          </w:p>
        </w:tc>
      </w:tr>
    </w:tbl>
    <w:p w:rsidR="00E15673" w:rsidRPr="00CF7824" w:rsidRDefault="00164734" w:rsidP="00E016EA">
      <w:pPr>
        <w:ind w:left="432" w:hanging="432"/>
        <w:rPr>
          <w:rFonts w:asciiTheme="minorHAnsi" w:eastAsia="Arial" w:hAnsiTheme="minorHAnsi" w:cstheme="minorHAnsi"/>
          <w:color w:val="000000"/>
          <w:sz w:val="20"/>
          <w:szCs w:val="20"/>
          <w:lang w:val="fr-FR"/>
        </w:rPr>
      </w:pPr>
      <w:r w:rsidRPr="00CF7824">
        <w:rPr>
          <w:rFonts w:cs="Calibri"/>
          <w:color w:val="000000"/>
          <w:sz w:val="20"/>
          <w:szCs w:val="20"/>
          <w:lang w:val="fr-FR"/>
        </w:rPr>
        <w:t>1.</w:t>
      </w:r>
      <w:r w:rsidRPr="00CF7824">
        <w:rPr>
          <w:rFonts w:cs="Calibri"/>
          <w:color w:val="000000"/>
          <w:sz w:val="20"/>
          <w:szCs w:val="20"/>
          <w:lang w:val="fr-FR"/>
        </w:rPr>
        <w:tab/>
        <w:t>D</w:t>
      </w:r>
      <w:r w:rsidR="00016E39" w:rsidRPr="00CF7824">
        <w:rPr>
          <w:rFonts w:cs="Calibri"/>
          <w:color w:val="000000"/>
          <w:sz w:val="20"/>
          <w:szCs w:val="20"/>
          <w:lang w:val="fr-FR"/>
        </w:rPr>
        <w:t>’</w:t>
      </w:r>
      <w:r w:rsidRPr="00CF7824">
        <w:rPr>
          <w:rFonts w:cs="Calibri"/>
          <w:color w:val="000000"/>
          <w:sz w:val="20"/>
          <w:szCs w:val="20"/>
          <w:lang w:val="fr-FR"/>
        </w:rPr>
        <w:t xml:space="preserve">après le Waterbird populations Portal (voir </w:t>
      </w:r>
      <w:hyperlink r:id="rId35" w:history="1">
        <w:r w:rsidRPr="00CF7824">
          <w:rPr>
            <w:rFonts w:cs="Calibri"/>
            <w:color w:val="0000FF"/>
            <w:sz w:val="20"/>
            <w:szCs w:val="20"/>
            <w:u w:val="single"/>
            <w:lang w:val="fr-FR"/>
          </w:rPr>
          <w:t>http://wpp.wetlands.org/background/WAF</w:t>
        </w:r>
      </w:hyperlink>
      <w:r w:rsidRPr="00CF7824">
        <w:rPr>
          <w:rFonts w:cs="Calibri"/>
          <w:color w:val="000000"/>
          <w:sz w:val="20"/>
          <w:szCs w:val="20"/>
          <w:lang w:val="fr-FR"/>
        </w:rPr>
        <w:t>), une population est classée comme migratrice de longue distance si elle traverse plus d</w:t>
      </w:r>
      <w:r w:rsidR="00016E39" w:rsidRPr="00CF7824">
        <w:rPr>
          <w:rFonts w:cs="Calibri"/>
          <w:color w:val="000000"/>
          <w:sz w:val="20"/>
          <w:szCs w:val="20"/>
          <w:lang w:val="fr-FR"/>
        </w:rPr>
        <w:t>’</w:t>
      </w:r>
      <w:r w:rsidRPr="00CF7824">
        <w:rPr>
          <w:rFonts w:cs="Calibri"/>
          <w:color w:val="000000"/>
          <w:sz w:val="20"/>
          <w:szCs w:val="20"/>
          <w:lang w:val="fr-FR"/>
        </w:rPr>
        <w:t xml:space="preserve">un domaine biogéographique, </w:t>
      </w:r>
      <w:r w:rsidR="0039006D" w:rsidRPr="00CF7824">
        <w:rPr>
          <w:rFonts w:cs="Calibri"/>
          <w:color w:val="000000"/>
          <w:sz w:val="20"/>
          <w:szCs w:val="20"/>
          <w:lang w:val="fr-FR"/>
        </w:rPr>
        <w:t>et</w:t>
      </w:r>
      <w:r w:rsidRPr="00CF7824">
        <w:rPr>
          <w:rFonts w:cs="Calibri"/>
          <w:color w:val="000000"/>
          <w:sz w:val="20"/>
          <w:szCs w:val="20"/>
          <w:lang w:val="fr-FR"/>
        </w:rPr>
        <w:t xml:space="preserve"> comme résidente ou migratrice de courte distance si elle est limitée à un seul domaine biogéographique.</w:t>
      </w:r>
    </w:p>
    <w:p w:rsidR="000F3978" w:rsidRPr="00CF7824" w:rsidRDefault="00164734" w:rsidP="00463C11">
      <w:pPr>
        <w:ind w:left="432" w:hanging="432"/>
        <w:rPr>
          <w:rFonts w:asciiTheme="minorHAnsi" w:eastAsia="Arial" w:hAnsiTheme="minorHAnsi" w:cstheme="minorHAnsi"/>
          <w:b/>
          <w:bCs/>
          <w:color w:val="000000"/>
          <w:sz w:val="20"/>
          <w:szCs w:val="20"/>
          <w:lang w:val="fr-FR"/>
        </w:rPr>
      </w:pPr>
      <w:r w:rsidRPr="00CF7824">
        <w:rPr>
          <w:rFonts w:cs="Calibri"/>
          <w:color w:val="000000"/>
          <w:sz w:val="20"/>
          <w:szCs w:val="20"/>
          <w:lang w:val="fr-FR"/>
        </w:rPr>
        <w:t>2.</w:t>
      </w:r>
      <w:r w:rsidRPr="00CF7824">
        <w:rPr>
          <w:rFonts w:cs="Calibri"/>
          <w:color w:val="000000"/>
          <w:sz w:val="20"/>
          <w:szCs w:val="20"/>
          <w:lang w:val="fr-FR"/>
        </w:rPr>
        <w:tab/>
        <w:t>Les données obsolètes et le manque d</w:t>
      </w:r>
      <w:r w:rsidR="00016E39" w:rsidRPr="00CF7824">
        <w:rPr>
          <w:rFonts w:cs="Calibri"/>
          <w:color w:val="000000"/>
          <w:sz w:val="20"/>
          <w:szCs w:val="20"/>
          <w:lang w:val="fr-FR"/>
        </w:rPr>
        <w:t>’</w:t>
      </w:r>
      <w:r w:rsidRPr="00CF7824">
        <w:rPr>
          <w:rFonts w:cs="Calibri"/>
          <w:color w:val="000000"/>
          <w:sz w:val="20"/>
          <w:szCs w:val="20"/>
          <w:lang w:val="fr-FR"/>
        </w:rPr>
        <w:t>informations font référence aux populations dont les estimations de taille sont antérieures à 2010 ou auxquelles aucune date n</w:t>
      </w:r>
      <w:r w:rsidR="00016E39" w:rsidRPr="00CF7824">
        <w:rPr>
          <w:rFonts w:cs="Calibri"/>
          <w:color w:val="000000"/>
          <w:sz w:val="20"/>
          <w:szCs w:val="20"/>
          <w:lang w:val="fr-FR"/>
        </w:rPr>
        <w:t>’</w:t>
      </w:r>
      <w:r w:rsidRPr="00CF7824">
        <w:rPr>
          <w:rFonts w:cs="Calibri"/>
          <w:color w:val="000000"/>
          <w:sz w:val="20"/>
          <w:szCs w:val="20"/>
          <w:lang w:val="fr-FR"/>
        </w:rPr>
        <w:t>a été attribuée (comme c</w:t>
      </w:r>
      <w:r w:rsidR="00016E39" w:rsidRPr="00CF7824">
        <w:rPr>
          <w:rFonts w:cs="Calibri"/>
          <w:color w:val="000000"/>
          <w:sz w:val="20"/>
          <w:szCs w:val="20"/>
          <w:lang w:val="fr-FR"/>
        </w:rPr>
        <w:t>’</w:t>
      </w:r>
      <w:r w:rsidRPr="00CF7824">
        <w:rPr>
          <w:rFonts w:cs="Calibri"/>
          <w:color w:val="000000"/>
          <w:sz w:val="20"/>
          <w:szCs w:val="20"/>
          <w:lang w:val="fr-FR"/>
        </w:rPr>
        <w:t>est le cas pour les estimations des populations antérieures au WPE3).</w:t>
      </w:r>
      <w:r w:rsidRPr="00CF7824">
        <w:rPr>
          <w:rFonts w:asciiTheme="minorHAnsi" w:eastAsia="Arial" w:hAnsiTheme="minorHAnsi" w:cstheme="minorHAnsi"/>
          <w:b/>
          <w:bCs/>
          <w:color w:val="000000"/>
          <w:sz w:val="20"/>
          <w:szCs w:val="20"/>
          <w:lang w:val="fr-FR"/>
        </w:rPr>
        <w:br w:type="page"/>
      </w:r>
    </w:p>
    <w:p w:rsidR="00E15673" w:rsidRPr="00CF7824" w:rsidRDefault="00164734" w:rsidP="00914FA2">
      <w:pPr>
        <w:keepNext/>
        <w:ind w:left="0" w:firstLine="0"/>
        <w:rPr>
          <w:rFonts w:cs="Arial"/>
          <w:i/>
          <w:lang w:val="fr-FR"/>
        </w:rPr>
      </w:pPr>
      <w:r w:rsidRPr="00CF7824">
        <w:rPr>
          <w:rFonts w:cs="Arial"/>
          <w:i/>
          <w:iCs/>
          <w:lang w:val="fr-FR"/>
        </w:rPr>
        <w:lastRenderedPageBreak/>
        <w:t>Tableau</w:t>
      </w:r>
      <w:r w:rsidR="001F19B5" w:rsidRPr="00CF7824">
        <w:rPr>
          <w:rFonts w:cs="Arial"/>
          <w:i/>
          <w:iCs/>
          <w:lang w:val="fr-FR"/>
        </w:rPr>
        <w:t> </w:t>
      </w:r>
      <w:r w:rsidRPr="00CF7824">
        <w:rPr>
          <w:rFonts w:cs="Arial"/>
          <w:i/>
          <w:iCs/>
          <w:lang w:val="fr-FR"/>
        </w:rPr>
        <w:t>4</w:t>
      </w:r>
      <w:r w:rsidR="00376BA1" w:rsidRPr="00CF7824">
        <w:rPr>
          <w:rFonts w:cs="Arial"/>
          <w:i/>
          <w:iCs/>
          <w:lang w:val="fr-FR"/>
        </w:rPr>
        <w:t> </w:t>
      </w:r>
      <w:r w:rsidRPr="00CF7824">
        <w:rPr>
          <w:rFonts w:cs="Arial"/>
          <w:i/>
          <w:iCs/>
          <w:lang w:val="fr-FR"/>
        </w:rPr>
        <w:t>: Estimations les plus récentes de la taille des populations figurant dans les WPE (informations extraites de la base de données des WPE en février</w:t>
      </w:r>
      <w:r w:rsidR="001F19B5" w:rsidRPr="00CF7824">
        <w:rPr>
          <w:rFonts w:cs="Arial"/>
          <w:i/>
          <w:iCs/>
          <w:lang w:val="fr-FR"/>
        </w:rPr>
        <w:t> </w:t>
      </w:r>
      <w:r w:rsidRPr="00CF7824">
        <w:rPr>
          <w:rFonts w:cs="Arial"/>
          <w:i/>
          <w:iCs/>
          <w:lang w:val="fr-FR"/>
        </w:rPr>
        <w:t>2024)</w:t>
      </w: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836"/>
        <w:gridCol w:w="1137"/>
        <w:gridCol w:w="1559"/>
        <w:gridCol w:w="1276"/>
        <w:gridCol w:w="1276"/>
        <w:gridCol w:w="1559"/>
        <w:gridCol w:w="1207"/>
        <w:gridCol w:w="1563"/>
      </w:tblGrid>
      <w:tr w:rsidR="009F409F" w:rsidRPr="00CF7824" w:rsidTr="009F409F">
        <w:trPr>
          <w:trHeight w:val="211"/>
        </w:trPr>
        <w:tc>
          <w:tcPr>
            <w:tcW w:w="2514" w:type="dxa"/>
            <w:vMerge w:val="restart"/>
            <w:shd w:val="clear" w:color="auto" w:fill="EEECE1" w:themeFill="background2"/>
            <w:noWrap/>
            <w:hideMark/>
          </w:tcPr>
          <w:p w:rsidR="00F761D3" w:rsidRPr="00CF7824" w:rsidRDefault="00164734" w:rsidP="00A34B1C">
            <w:pPr>
              <w:ind w:firstLine="0"/>
              <w:rPr>
                <w:rFonts w:asciiTheme="minorHAnsi" w:eastAsia="Times New Roman" w:hAnsiTheme="minorHAnsi" w:cstheme="minorHAnsi"/>
                <w:b/>
                <w:bCs/>
                <w:sz w:val="20"/>
                <w:szCs w:val="20"/>
              </w:rPr>
            </w:pPr>
            <w:r w:rsidRPr="00CF7824">
              <w:rPr>
                <w:rFonts w:cs="Calibri"/>
                <w:b/>
                <w:bCs/>
                <w:sz w:val="20"/>
                <w:szCs w:val="20"/>
                <w:lang w:val="fr-FR"/>
              </w:rPr>
              <w:t>Voie de migration/</w:t>
            </w:r>
            <w:r w:rsidR="00A34B1C" w:rsidRPr="00CF7824">
              <w:rPr>
                <w:rFonts w:cs="Calibri"/>
                <w:b/>
                <w:bCs/>
                <w:sz w:val="20"/>
                <w:szCs w:val="20"/>
                <w:lang w:val="fr-FR"/>
              </w:rPr>
              <w:t xml:space="preserve"> </w:t>
            </w:r>
            <w:r w:rsidRPr="00CF7824">
              <w:rPr>
                <w:rFonts w:cs="Calibri"/>
                <w:b/>
                <w:bCs/>
                <w:sz w:val="20"/>
                <w:szCs w:val="20"/>
                <w:lang w:val="fr-FR"/>
              </w:rPr>
              <w:t>r</w:t>
            </w:r>
            <w:r w:rsidR="00A34B1C" w:rsidRPr="00CF7824">
              <w:rPr>
                <w:rFonts w:cs="Calibri"/>
                <w:b/>
                <w:bCs/>
                <w:sz w:val="20"/>
                <w:szCs w:val="20"/>
                <w:lang w:val="fr-FR"/>
              </w:rPr>
              <w:t>é</w:t>
            </w:r>
            <w:r w:rsidRPr="00CF7824">
              <w:rPr>
                <w:rFonts w:cs="Calibri"/>
                <w:b/>
                <w:bCs/>
                <w:sz w:val="20"/>
                <w:szCs w:val="20"/>
                <w:lang w:val="fr-FR"/>
              </w:rPr>
              <w:t xml:space="preserve">gion </w:t>
            </w:r>
          </w:p>
        </w:tc>
        <w:tc>
          <w:tcPr>
            <w:tcW w:w="2836" w:type="dxa"/>
            <w:vMerge w:val="restart"/>
            <w:shd w:val="clear" w:color="auto" w:fill="EEECE1" w:themeFill="background2"/>
            <w:noWrap/>
            <w:hideMark/>
          </w:tcPr>
          <w:p w:rsidR="00F761D3" w:rsidRPr="00CF7824" w:rsidRDefault="00164734" w:rsidP="00463C11">
            <w:pPr>
              <w:ind w:firstLine="0"/>
              <w:rPr>
                <w:rFonts w:asciiTheme="minorHAnsi" w:eastAsia="Times New Roman" w:hAnsiTheme="minorHAnsi" w:cstheme="minorHAnsi"/>
                <w:b/>
                <w:bCs/>
                <w:sz w:val="20"/>
                <w:szCs w:val="20"/>
              </w:rPr>
            </w:pPr>
            <w:r w:rsidRPr="00CF7824">
              <w:rPr>
                <w:rFonts w:cs="Calibri"/>
                <w:b/>
                <w:bCs/>
                <w:sz w:val="20"/>
                <w:szCs w:val="20"/>
                <w:lang w:val="fr-FR"/>
              </w:rPr>
              <w:t>Groupe</w:t>
            </w:r>
            <w:r w:rsidRPr="00CF7824">
              <w:rPr>
                <w:rFonts w:cs="Calibri"/>
                <w:b/>
                <w:bCs/>
                <w:sz w:val="20"/>
                <w:szCs w:val="20"/>
                <w:vertAlign w:val="superscript"/>
                <w:lang w:val="fr-FR"/>
              </w:rPr>
              <w:t>1</w:t>
            </w:r>
          </w:p>
        </w:tc>
        <w:tc>
          <w:tcPr>
            <w:tcW w:w="6807" w:type="dxa"/>
            <w:gridSpan w:val="5"/>
            <w:shd w:val="clear" w:color="auto" w:fill="EEECE1" w:themeFill="background2"/>
            <w:noWrap/>
          </w:tcPr>
          <w:p w:rsidR="00F761D3" w:rsidRPr="00CF7824" w:rsidRDefault="00164734" w:rsidP="00463C11">
            <w:pPr>
              <w:ind w:firstLine="0"/>
              <w:rPr>
                <w:rFonts w:asciiTheme="minorHAnsi" w:eastAsia="Times New Roman" w:hAnsiTheme="minorHAnsi" w:cstheme="minorHAnsi"/>
                <w:b/>
                <w:bCs/>
                <w:sz w:val="20"/>
                <w:szCs w:val="20"/>
                <w:lang w:val="fr-FR"/>
              </w:rPr>
            </w:pPr>
            <w:r w:rsidRPr="00CF7824">
              <w:rPr>
                <w:rFonts w:cs="Calibri"/>
                <w:b/>
                <w:bCs/>
                <w:sz w:val="20"/>
                <w:szCs w:val="20"/>
                <w:lang w:val="fr-FR"/>
              </w:rPr>
              <w:t>Qualité des estimations de la taille des populations</w:t>
            </w:r>
          </w:p>
        </w:tc>
        <w:tc>
          <w:tcPr>
            <w:tcW w:w="1134" w:type="dxa"/>
            <w:shd w:val="clear" w:color="auto" w:fill="EEECE1" w:themeFill="background2"/>
            <w:noWrap/>
            <w:hideMark/>
          </w:tcPr>
          <w:p w:rsidR="00F761D3" w:rsidRPr="00CF7824" w:rsidRDefault="00164734" w:rsidP="00463C11">
            <w:pPr>
              <w:ind w:left="0" w:firstLine="0"/>
              <w:rPr>
                <w:rFonts w:asciiTheme="minorHAnsi" w:eastAsia="Times New Roman" w:hAnsiTheme="minorHAnsi" w:cstheme="minorHAnsi"/>
                <w:b/>
                <w:bCs/>
                <w:sz w:val="20"/>
                <w:szCs w:val="20"/>
              </w:rPr>
            </w:pPr>
            <w:r w:rsidRPr="00CF7824">
              <w:rPr>
                <w:rFonts w:cs="Calibri"/>
                <w:b/>
                <w:bCs/>
                <w:sz w:val="20"/>
                <w:szCs w:val="20"/>
                <w:lang w:val="fr-FR"/>
              </w:rPr>
              <w:t>Nb total de populations</w:t>
            </w:r>
          </w:p>
        </w:tc>
        <w:tc>
          <w:tcPr>
            <w:tcW w:w="1636" w:type="dxa"/>
            <w:shd w:val="clear" w:color="auto" w:fill="EEECE1" w:themeFill="background2"/>
            <w:vAlign w:val="bottom"/>
          </w:tcPr>
          <w:p w:rsidR="00F761D3" w:rsidRPr="00CF7824" w:rsidRDefault="00164734" w:rsidP="009F409F">
            <w:pPr>
              <w:ind w:left="37" w:firstLine="0"/>
              <w:rPr>
                <w:rFonts w:asciiTheme="minorHAnsi" w:eastAsia="Times New Roman" w:hAnsiTheme="minorHAnsi" w:cstheme="minorHAnsi"/>
                <w:b/>
                <w:bCs/>
                <w:sz w:val="20"/>
                <w:szCs w:val="20"/>
              </w:rPr>
            </w:pPr>
            <w:r w:rsidRPr="00CF7824">
              <w:rPr>
                <w:rFonts w:cs="Calibri"/>
                <w:b/>
                <w:bCs/>
                <w:color w:val="000000"/>
                <w:sz w:val="20"/>
                <w:szCs w:val="20"/>
                <w:lang w:val="fr-FR"/>
              </w:rPr>
              <w:t>% estimations de mauvaise qualité</w:t>
            </w:r>
          </w:p>
        </w:tc>
      </w:tr>
      <w:tr w:rsidR="00810307" w:rsidRPr="00785D5E" w:rsidTr="009F409F">
        <w:trPr>
          <w:trHeight w:val="211"/>
        </w:trPr>
        <w:tc>
          <w:tcPr>
            <w:tcW w:w="2514" w:type="dxa"/>
            <w:vMerge/>
            <w:shd w:val="clear" w:color="auto" w:fill="auto"/>
            <w:noWrap/>
            <w:hideMark/>
          </w:tcPr>
          <w:p w:rsidR="00F761D3" w:rsidRPr="00CF7824" w:rsidRDefault="00F761D3" w:rsidP="00463C11">
            <w:pPr>
              <w:ind w:firstLine="0"/>
              <w:rPr>
                <w:rFonts w:asciiTheme="minorHAnsi" w:eastAsia="Times New Roman" w:hAnsiTheme="minorHAnsi" w:cstheme="minorHAnsi"/>
                <w:sz w:val="20"/>
                <w:szCs w:val="20"/>
              </w:rPr>
            </w:pPr>
          </w:p>
        </w:tc>
        <w:tc>
          <w:tcPr>
            <w:tcW w:w="2836" w:type="dxa"/>
            <w:vMerge/>
            <w:shd w:val="clear" w:color="auto" w:fill="auto"/>
            <w:noWrap/>
            <w:hideMark/>
          </w:tcPr>
          <w:p w:rsidR="00F761D3" w:rsidRPr="00CF7824" w:rsidRDefault="00F761D3" w:rsidP="00463C11">
            <w:pPr>
              <w:ind w:firstLine="0"/>
              <w:rPr>
                <w:rFonts w:asciiTheme="minorHAnsi" w:eastAsia="Times New Roman" w:hAnsiTheme="minorHAnsi" w:cstheme="minorHAnsi"/>
                <w:sz w:val="20"/>
                <w:szCs w:val="20"/>
              </w:rPr>
            </w:pPr>
          </w:p>
        </w:tc>
        <w:tc>
          <w:tcPr>
            <w:tcW w:w="1137" w:type="dxa"/>
            <w:shd w:val="clear" w:color="auto" w:fill="auto"/>
            <w:noWrap/>
            <w:vAlign w:val="bottom"/>
          </w:tcPr>
          <w:p w:rsidR="00F761D3" w:rsidRPr="00CF7824" w:rsidRDefault="00164734" w:rsidP="00463C11">
            <w:pPr>
              <w:ind w:left="-51" w:firstLine="0"/>
              <w:rPr>
                <w:rFonts w:asciiTheme="minorHAnsi" w:hAnsiTheme="minorHAnsi" w:cstheme="minorHAnsi"/>
                <w:b/>
                <w:bCs/>
                <w:color w:val="000000"/>
                <w:sz w:val="20"/>
                <w:szCs w:val="20"/>
              </w:rPr>
            </w:pPr>
            <w:r w:rsidRPr="00CF7824">
              <w:rPr>
                <w:rFonts w:cs="Calibri"/>
                <w:b/>
                <w:bCs/>
                <w:color w:val="000000"/>
                <w:sz w:val="20"/>
                <w:szCs w:val="20"/>
                <w:lang w:val="fr-FR"/>
              </w:rPr>
              <w:t>Meilleure supposition</w:t>
            </w:r>
          </w:p>
        </w:tc>
        <w:tc>
          <w:tcPr>
            <w:tcW w:w="1559" w:type="dxa"/>
            <w:shd w:val="clear" w:color="auto" w:fill="auto"/>
            <w:noWrap/>
            <w:vAlign w:val="bottom"/>
          </w:tcPr>
          <w:p w:rsidR="00F761D3" w:rsidRPr="00CF7824" w:rsidRDefault="00164734" w:rsidP="00463C11">
            <w:pPr>
              <w:ind w:left="-51" w:firstLine="0"/>
              <w:rPr>
                <w:rFonts w:asciiTheme="minorHAnsi" w:hAnsiTheme="minorHAnsi" w:cstheme="minorHAnsi"/>
                <w:b/>
                <w:bCs/>
                <w:color w:val="000000"/>
                <w:sz w:val="20"/>
                <w:szCs w:val="20"/>
              </w:rPr>
            </w:pPr>
            <w:r w:rsidRPr="00CF7824">
              <w:rPr>
                <w:rFonts w:cs="Calibri"/>
                <w:b/>
                <w:bCs/>
                <w:color w:val="000000"/>
                <w:sz w:val="20"/>
                <w:szCs w:val="20"/>
                <w:lang w:val="fr-FR"/>
              </w:rPr>
              <w:t>Basé</w:t>
            </w:r>
            <w:r w:rsidR="00810307" w:rsidRPr="00CF7824">
              <w:rPr>
                <w:rFonts w:cs="Calibri"/>
                <w:b/>
                <w:bCs/>
                <w:color w:val="000000"/>
                <w:sz w:val="20"/>
                <w:szCs w:val="20"/>
                <w:lang w:val="fr-FR"/>
              </w:rPr>
              <w:t>e</w:t>
            </w:r>
            <w:r w:rsidRPr="00CF7824">
              <w:rPr>
                <w:rFonts w:cs="Calibri"/>
                <w:b/>
                <w:bCs/>
                <w:color w:val="000000"/>
                <w:sz w:val="20"/>
                <w:szCs w:val="20"/>
                <w:lang w:val="fr-FR"/>
              </w:rPr>
              <w:t xml:space="preserve"> sur les dénombrements</w:t>
            </w:r>
          </w:p>
        </w:tc>
        <w:tc>
          <w:tcPr>
            <w:tcW w:w="1276" w:type="dxa"/>
            <w:shd w:val="clear" w:color="auto" w:fill="auto"/>
            <w:noWrap/>
            <w:vAlign w:val="bottom"/>
          </w:tcPr>
          <w:p w:rsidR="00F761D3" w:rsidRPr="00CF7824" w:rsidRDefault="00164734" w:rsidP="00463C11">
            <w:pPr>
              <w:ind w:left="-51" w:firstLine="0"/>
              <w:rPr>
                <w:rFonts w:asciiTheme="minorHAnsi" w:hAnsiTheme="minorHAnsi" w:cstheme="minorHAnsi"/>
                <w:b/>
                <w:bCs/>
                <w:color w:val="000000"/>
                <w:sz w:val="20"/>
                <w:szCs w:val="20"/>
              </w:rPr>
            </w:pPr>
            <w:r w:rsidRPr="00CF7824">
              <w:rPr>
                <w:rFonts w:cs="Calibri"/>
                <w:b/>
                <w:bCs/>
                <w:color w:val="000000"/>
                <w:sz w:val="20"/>
                <w:szCs w:val="20"/>
                <w:lang w:val="fr-FR"/>
              </w:rPr>
              <w:t>Avis d</w:t>
            </w:r>
            <w:r w:rsidR="00016E39" w:rsidRPr="00CF7824">
              <w:rPr>
                <w:rFonts w:cs="Calibri"/>
                <w:b/>
                <w:bCs/>
                <w:color w:val="000000"/>
                <w:sz w:val="20"/>
                <w:szCs w:val="20"/>
                <w:lang w:val="fr-FR"/>
              </w:rPr>
              <w:t>’</w:t>
            </w:r>
            <w:r w:rsidRPr="00CF7824">
              <w:rPr>
                <w:rFonts w:cs="Calibri"/>
                <w:b/>
                <w:bCs/>
                <w:color w:val="000000"/>
                <w:sz w:val="20"/>
                <w:szCs w:val="20"/>
                <w:lang w:val="fr-FR"/>
              </w:rPr>
              <w:t>expert</w:t>
            </w:r>
          </w:p>
        </w:tc>
        <w:tc>
          <w:tcPr>
            <w:tcW w:w="1276" w:type="dxa"/>
            <w:shd w:val="clear" w:color="auto" w:fill="auto"/>
            <w:noWrap/>
            <w:vAlign w:val="bottom"/>
          </w:tcPr>
          <w:p w:rsidR="00F761D3" w:rsidRPr="00CF7824" w:rsidRDefault="00810307" w:rsidP="00810307">
            <w:pPr>
              <w:ind w:left="-51" w:firstLine="0"/>
              <w:rPr>
                <w:rFonts w:asciiTheme="minorHAnsi" w:hAnsiTheme="minorHAnsi" w:cstheme="minorHAnsi"/>
                <w:b/>
                <w:bCs/>
                <w:color w:val="000000"/>
                <w:sz w:val="20"/>
                <w:szCs w:val="20"/>
              </w:rPr>
            </w:pPr>
            <w:r w:rsidRPr="00CF7824">
              <w:rPr>
                <w:rFonts w:cs="Calibri"/>
                <w:b/>
                <w:bCs/>
                <w:color w:val="000000"/>
                <w:sz w:val="20"/>
                <w:szCs w:val="20"/>
                <w:lang w:val="fr-FR"/>
              </w:rPr>
              <w:t xml:space="preserve">Aucune </w:t>
            </w:r>
            <w:r w:rsidR="00164734" w:rsidRPr="00CF7824">
              <w:rPr>
                <w:rFonts w:cs="Calibri"/>
                <w:b/>
                <w:bCs/>
                <w:color w:val="000000"/>
                <w:sz w:val="20"/>
                <w:szCs w:val="20"/>
                <w:lang w:val="fr-FR"/>
              </w:rPr>
              <w:t>estimation</w:t>
            </w:r>
          </w:p>
        </w:tc>
        <w:tc>
          <w:tcPr>
            <w:tcW w:w="1559" w:type="dxa"/>
            <w:shd w:val="clear" w:color="auto" w:fill="auto"/>
            <w:noWrap/>
            <w:vAlign w:val="bottom"/>
          </w:tcPr>
          <w:p w:rsidR="00F761D3" w:rsidRPr="00CF7824" w:rsidRDefault="00164734" w:rsidP="00463C11">
            <w:pPr>
              <w:ind w:left="-51" w:firstLine="0"/>
              <w:rPr>
                <w:rFonts w:asciiTheme="minorHAnsi" w:eastAsia="Times New Roman" w:hAnsiTheme="minorHAnsi" w:cstheme="minorHAnsi"/>
                <w:b/>
                <w:bCs/>
                <w:color w:val="000000"/>
                <w:sz w:val="20"/>
                <w:szCs w:val="20"/>
                <w:lang w:val="fr-FR"/>
              </w:rPr>
            </w:pPr>
            <w:r w:rsidRPr="00CF7824">
              <w:rPr>
                <w:rFonts w:cs="Calibri"/>
                <w:b/>
                <w:bCs/>
                <w:color w:val="000000"/>
                <w:sz w:val="20"/>
                <w:szCs w:val="20"/>
                <w:lang w:val="fr-FR"/>
              </w:rPr>
              <w:t>Pas d</w:t>
            </w:r>
            <w:r w:rsidR="00016E39" w:rsidRPr="00CF7824">
              <w:rPr>
                <w:rFonts w:cs="Calibri"/>
                <w:b/>
                <w:bCs/>
                <w:color w:val="000000"/>
                <w:sz w:val="20"/>
                <w:szCs w:val="20"/>
                <w:lang w:val="fr-FR"/>
              </w:rPr>
              <w:t>’</w:t>
            </w:r>
            <w:r w:rsidRPr="00CF7824">
              <w:rPr>
                <w:rFonts w:cs="Calibri"/>
                <w:b/>
                <w:bCs/>
                <w:color w:val="000000"/>
                <w:sz w:val="20"/>
                <w:szCs w:val="20"/>
                <w:lang w:val="fr-FR"/>
              </w:rPr>
              <w:t>évaluation de la qualité</w:t>
            </w:r>
          </w:p>
        </w:tc>
        <w:tc>
          <w:tcPr>
            <w:tcW w:w="1134" w:type="dxa"/>
            <w:shd w:val="clear" w:color="auto" w:fill="auto"/>
            <w:noWrap/>
            <w:hideMark/>
          </w:tcPr>
          <w:p w:rsidR="00F761D3" w:rsidRPr="00CF7824" w:rsidRDefault="00F761D3" w:rsidP="00463C11">
            <w:pPr>
              <w:ind w:firstLine="0"/>
              <w:rPr>
                <w:rFonts w:asciiTheme="minorHAnsi" w:eastAsia="Times New Roman" w:hAnsiTheme="minorHAnsi" w:cstheme="minorHAnsi"/>
                <w:color w:val="000000"/>
                <w:sz w:val="20"/>
                <w:szCs w:val="20"/>
                <w:lang w:val="fr-FR"/>
              </w:rPr>
            </w:pPr>
          </w:p>
        </w:tc>
        <w:tc>
          <w:tcPr>
            <w:tcW w:w="1636" w:type="dxa"/>
          </w:tcPr>
          <w:p w:rsidR="00F761D3" w:rsidRPr="00CF7824" w:rsidRDefault="00F761D3" w:rsidP="00463C11">
            <w:pPr>
              <w:ind w:firstLine="0"/>
              <w:rPr>
                <w:rFonts w:asciiTheme="minorHAnsi" w:eastAsia="Times New Roman" w:hAnsiTheme="minorHAnsi" w:cstheme="minorHAnsi"/>
                <w:color w:val="000000"/>
                <w:sz w:val="20"/>
                <w:szCs w:val="20"/>
                <w:lang w:val="fr-FR"/>
              </w:rPr>
            </w:pP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 xml:space="preserve">Afrique-Eurasie </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44</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29</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25</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188</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25</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Eurasie occidentale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39</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53</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21</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39</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226</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21</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Afrique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168</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68</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126</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379</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68</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Amériques</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26</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39</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91</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Néarctique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17</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21</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17</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91</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200</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17</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Néotropiques</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180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13</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85</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211</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428</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85</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Asie centrale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73</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33</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77</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73</w:t>
            </w:r>
          </w:p>
        </w:tc>
      </w:tr>
      <w:tr w:rsidR="00810307" w:rsidRPr="00CF7824" w:rsidTr="009F409F">
        <w:trPr>
          <w:trHeight w:val="211"/>
        </w:trPr>
        <w:tc>
          <w:tcPr>
            <w:tcW w:w="2514" w:type="dxa"/>
            <w:shd w:val="clear" w:color="auto" w:fill="auto"/>
            <w:noWrap/>
            <w:hideMark/>
          </w:tcPr>
          <w:p w:rsidR="00F761D3" w:rsidRPr="00CF7824" w:rsidRDefault="00164734" w:rsidP="00741B89">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Asie de l</w:t>
            </w:r>
            <w:r w:rsidR="00016E39" w:rsidRPr="00CF7824">
              <w:rPr>
                <w:rFonts w:cs="Calibri"/>
                <w:color w:val="000000"/>
                <w:sz w:val="20"/>
                <w:szCs w:val="20"/>
                <w:lang w:val="fr-FR"/>
              </w:rPr>
              <w:t>’</w:t>
            </w:r>
            <w:r w:rsidR="00741B89" w:rsidRPr="00CF7824">
              <w:rPr>
                <w:rFonts w:cs="Calibri"/>
                <w:color w:val="000000"/>
                <w:sz w:val="20"/>
                <w:szCs w:val="20"/>
                <w:lang w:val="fr-FR"/>
              </w:rPr>
              <w:t>Est-</w:t>
            </w:r>
            <w:r w:rsidRPr="00CF7824">
              <w:rPr>
                <w:rFonts w:cs="Calibri"/>
                <w:color w:val="000000"/>
                <w:sz w:val="20"/>
                <w:szCs w:val="20"/>
                <w:lang w:val="fr-FR"/>
              </w:rPr>
              <w:t>Australasie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13</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14</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130</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Asie (Indo-Malaise &amp; Paléarctique oriental)</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78</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28</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64</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13</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112</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255</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64</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Australasie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98</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22</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69</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15</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129</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293</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69</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Océanie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Résidents / migrateurs de courte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8</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8</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24</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44</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Pacifique central</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4</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63</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16</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b/>
                <w:bCs/>
                <w:color w:val="000000"/>
                <w:sz w:val="20"/>
                <w:szCs w:val="20"/>
              </w:rPr>
            </w:pPr>
            <w:r w:rsidRPr="00CF7824">
              <w:rPr>
                <w:rFonts w:cs="Calibri"/>
                <w:color w:val="000000"/>
                <w:sz w:val="20"/>
                <w:szCs w:val="20"/>
                <w:lang w:val="fr-FR"/>
              </w:rPr>
              <w:t>63</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Océan Indien et Pacifique</w:t>
            </w:r>
          </w:p>
        </w:tc>
        <w:tc>
          <w:tcPr>
            <w:tcW w:w="2836" w:type="dxa"/>
            <w:shd w:val="clear" w:color="auto" w:fill="auto"/>
            <w:noWrap/>
            <w:hideMark/>
          </w:tcPr>
          <w:p w:rsidR="00F761D3" w:rsidRPr="00CF7824" w:rsidRDefault="00164734" w:rsidP="00810307">
            <w:pPr>
              <w:ind w:left="38" w:firstLine="0"/>
              <w:rPr>
                <w:rFonts w:asciiTheme="minorHAnsi" w:eastAsia="Times New Roman" w:hAnsiTheme="minorHAnsi" w:cstheme="minorHAnsi"/>
                <w:color w:val="000000"/>
                <w:sz w:val="20"/>
                <w:szCs w:val="20"/>
              </w:rPr>
            </w:pPr>
            <w:r w:rsidRPr="00CF7824">
              <w:rPr>
                <w:rFonts w:cs="Calibri"/>
                <w:color w:val="000000"/>
                <w:sz w:val="20"/>
                <w:szCs w:val="20"/>
                <w:lang w:val="fr-FR"/>
              </w:rPr>
              <w:t>Migrateurs de longue distance</w:t>
            </w:r>
          </w:p>
        </w:tc>
        <w:tc>
          <w:tcPr>
            <w:tcW w:w="1137"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276"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559" w:type="dxa"/>
            <w:shd w:val="clear" w:color="auto" w:fill="auto"/>
            <w:noWrap/>
            <w:vAlign w:val="center"/>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134" w:type="dxa"/>
            <w:shd w:val="clear" w:color="auto" w:fill="auto"/>
            <w:noWrap/>
            <w:vAlign w:val="center"/>
            <w:hideMark/>
          </w:tcPr>
          <w:p w:rsidR="00F761D3" w:rsidRPr="00CF7824" w:rsidRDefault="00164734" w:rsidP="00810307">
            <w:pPr>
              <w:ind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2</w:t>
            </w:r>
          </w:p>
        </w:tc>
        <w:tc>
          <w:tcPr>
            <w:tcW w:w="1636" w:type="dxa"/>
            <w:vAlign w:val="center"/>
          </w:tcPr>
          <w:p w:rsidR="00F761D3" w:rsidRPr="00CF7824" w:rsidRDefault="00164734" w:rsidP="00810307">
            <w:pPr>
              <w:ind w:right="420" w:firstLine="0"/>
              <w:jc w:val="right"/>
              <w:rPr>
                <w:rFonts w:asciiTheme="minorHAnsi" w:eastAsia="Times New Roman" w:hAnsiTheme="minorHAnsi" w:cstheme="minorHAnsi"/>
                <w:b/>
                <w:bCs/>
                <w:color w:val="000000"/>
                <w:sz w:val="20"/>
                <w:szCs w:val="20"/>
              </w:rPr>
            </w:pPr>
            <w:r w:rsidRPr="00CF7824">
              <w:rPr>
                <w:rFonts w:cs="Calibri"/>
                <w:color w:val="000000"/>
                <w:sz w:val="20"/>
                <w:szCs w:val="20"/>
                <w:lang w:val="fr-FR"/>
              </w:rPr>
              <w:t>50</w:t>
            </w:r>
          </w:p>
        </w:tc>
      </w:tr>
      <w:tr w:rsidR="00810307" w:rsidRPr="00CF7824" w:rsidTr="009F409F">
        <w:trPr>
          <w:trHeight w:val="211"/>
        </w:trPr>
        <w:tc>
          <w:tcPr>
            <w:tcW w:w="2514"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rPr>
            </w:pPr>
            <w:r w:rsidRPr="00CF7824">
              <w:rPr>
                <w:rFonts w:cs="Calibri"/>
                <w:color w:val="000000"/>
                <w:sz w:val="20"/>
                <w:szCs w:val="20"/>
                <w:lang w:val="fr-FR"/>
              </w:rPr>
              <w:t>Antarctique</w:t>
            </w:r>
          </w:p>
        </w:tc>
        <w:tc>
          <w:tcPr>
            <w:tcW w:w="2836" w:type="dxa"/>
            <w:shd w:val="clear" w:color="auto" w:fill="auto"/>
            <w:noWrap/>
            <w:hideMark/>
          </w:tcPr>
          <w:p w:rsidR="00F761D3" w:rsidRPr="00CF7824" w:rsidRDefault="00164734" w:rsidP="00810307">
            <w:pPr>
              <w:ind w:left="0" w:firstLine="0"/>
              <w:rPr>
                <w:rFonts w:asciiTheme="minorHAnsi" w:eastAsia="Times New Roman" w:hAnsiTheme="minorHAnsi" w:cstheme="minorHAnsi"/>
                <w:color w:val="000000"/>
                <w:sz w:val="20"/>
                <w:szCs w:val="20"/>
                <w:lang w:val="fr-FR"/>
              </w:rPr>
            </w:pPr>
            <w:r w:rsidRPr="00CF7824">
              <w:rPr>
                <w:rFonts w:cs="Calibri"/>
                <w:color w:val="000000"/>
                <w:sz w:val="20"/>
                <w:szCs w:val="20"/>
                <w:lang w:val="fr-FR"/>
              </w:rPr>
              <w:t xml:space="preserve">Résidents / migrateurs de courte distance </w:t>
            </w:r>
          </w:p>
        </w:tc>
        <w:tc>
          <w:tcPr>
            <w:tcW w:w="1137"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559"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w:t>
            </w:r>
          </w:p>
        </w:tc>
        <w:tc>
          <w:tcPr>
            <w:tcW w:w="1276"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c>
          <w:tcPr>
            <w:tcW w:w="1276"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0</w:t>
            </w:r>
          </w:p>
        </w:tc>
        <w:tc>
          <w:tcPr>
            <w:tcW w:w="1559" w:type="dxa"/>
            <w:shd w:val="clear" w:color="auto" w:fill="auto"/>
            <w:noWrap/>
            <w:vAlign w:val="center"/>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9</w:t>
            </w:r>
          </w:p>
        </w:tc>
        <w:tc>
          <w:tcPr>
            <w:tcW w:w="1134" w:type="dxa"/>
            <w:shd w:val="clear" w:color="auto" w:fill="auto"/>
            <w:noWrap/>
            <w:vAlign w:val="center"/>
            <w:hideMark/>
          </w:tcPr>
          <w:p w:rsidR="00F761D3" w:rsidRPr="00CF7824" w:rsidRDefault="00164734" w:rsidP="00810307">
            <w:pPr>
              <w:ind w:left="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11</w:t>
            </w:r>
          </w:p>
        </w:tc>
        <w:tc>
          <w:tcPr>
            <w:tcW w:w="1636" w:type="dxa"/>
            <w:vAlign w:val="center"/>
          </w:tcPr>
          <w:p w:rsidR="00F761D3" w:rsidRPr="00CF7824" w:rsidRDefault="00164734" w:rsidP="00810307">
            <w:pPr>
              <w:ind w:left="0" w:right="420" w:firstLine="0"/>
              <w:jc w:val="right"/>
              <w:rPr>
                <w:rFonts w:asciiTheme="minorHAnsi" w:eastAsia="Times New Roman" w:hAnsiTheme="minorHAnsi" w:cstheme="minorHAnsi"/>
                <w:color w:val="000000"/>
                <w:sz w:val="20"/>
                <w:szCs w:val="20"/>
              </w:rPr>
            </w:pPr>
            <w:r w:rsidRPr="00CF7824">
              <w:rPr>
                <w:rFonts w:cs="Calibri"/>
                <w:color w:val="000000"/>
                <w:sz w:val="20"/>
                <w:szCs w:val="20"/>
                <w:lang w:val="fr-FR"/>
              </w:rPr>
              <w:t>50</w:t>
            </w:r>
          </w:p>
        </w:tc>
      </w:tr>
      <w:tr w:rsidR="00810307" w:rsidRPr="00CF7824" w:rsidTr="009F409F">
        <w:trPr>
          <w:trHeight w:val="211"/>
        </w:trPr>
        <w:tc>
          <w:tcPr>
            <w:tcW w:w="5350" w:type="dxa"/>
            <w:gridSpan w:val="2"/>
            <w:shd w:val="clear" w:color="auto" w:fill="auto"/>
            <w:noWrap/>
            <w:hideMark/>
          </w:tcPr>
          <w:p w:rsidR="00F761D3" w:rsidRPr="00CF7824" w:rsidRDefault="00164734">
            <w:pPr>
              <w:jc w:val="right"/>
              <w:rPr>
                <w:rFonts w:asciiTheme="minorHAnsi" w:eastAsia="Times New Roman" w:hAnsiTheme="minorHAnsi" w:cstheme="minorHAnsi"/>
                <w:b/>
                <w:bCs/>
                <w:sz w:val="20"/>
                <w:szCs w:val="20"/>
              </w:rPr>
            </w:pPr>
            <w:r w:rsidRPr="00CF7824">
              <w:rPr>
                <w:rFonts w:cs="Calibri"/>
                <w:b/>
                <w:bCs/>
                <w:sz w:val="20"/>
                <w:szCs w:val="20"/>
                <w:lang w:val="fr-FR"/>
              </w:rPr>
              <w:t>Nombre total de populations</w:t>
            </w:r>
          </w:p>
        </w:tc>
        <w:tc>
          <w:tcPr>
            <w:tcW w:w="1137"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750</w:t>
            </w:r>
          </w:p>
        </w:tc>
        <w:tc>
          <w:tcPr>
            <w:tcW w:w="1559"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230</w:t>
            </w:r>
          </w:p>
        </w:tc>
        <w:tc>
          <w:tcPr>
            <w:tcW w:w="1276"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484</w:t>
            </w:r>
          </w:p>
        </w:tc>
        <w:tc>
          <w:tcPr>
            <w:tcW w:w="1276"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735</w:t>
            </w:r>
          </w:p>
        </w:tc>
        <w:tc>
          <w:tcPr>
            <w:tcW w:w="1559"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819</w:t>
            </w:r>
          </w:p>
        </w:tc>
        <w:tc>
          <w:tcPr>
            <w:tcW w:w="1134" w:type="dxa"/>
            <w:shd w:val="clear" w:color="auto" w:fill="auto"/>
            <w:noWrap/>
            <w:vAlign w:val="center"/>
          </w:tcPr>
          <w:p w:rsidR="00F761D3" w:rsidRPr="00CF7824" w:rsidRDefault="009F409F"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2 </w:t>
            </w:r>
            <w:r w:rsidR="00164734" w:rsidRPr="00CF7824">
              <w:rPr>
                <w:rFonts w:cs="Calibri"/>
                <w:b/>
                <w:bCs/>
                <w:color w:val="000000"/>
                <w:sz w:val="20"/>
                <w:szCs w:val="20"/>
                <w:lang w:val="fr-FR"/>
              </w:rPr>
              <w:t>340</w:t>
            </w:r>
          </w:p>
        </w:tc>
        <w:tc>
          <w:tcPr>
            <w:tcW w:w="1636" w:type="dxa"/>
            <w:vAlign w:val="center"/>
          </w:tcPr>
          <w:p w:rsidR="00F761D3" w:rsidRPr="00CF7824" w:rsidRDefault="00164734" w:rsidP="009F409F">
            <w:pPr>
              <w:ind w:right="420"/>
              <w:jc w:val="right"/>
              <w:rPr>
                <w:rFonts w:asciiTheme="minorHAnsi" w:hAnsiTheme="minorHAnsi" w:cstheme="minorHAnsi"/>
                <w:b/>
                <w:bCs/>
                <w:color w:val="000000"/>
                <w:sz w:val="20"/>
                <w:szCs w:val="20"/>
              </w:rPr>
            </w:pPr>
            <w:r w:rsidRPr="00CF7824">
              <w:rPr>
                <w:rFonts w:cs="Calibri"/>
                <w:b/>
                <w:bCs/>
                <w:color w:val="000000"/>
                <w:sz w:val="20"/>
                <w:szCs w:val="20"/>
                <w:lang w:val="fr-FR"/>
              </w:rPr>
              <w:t>735</w:t>
            </w:r>
          </w:p>
        </w:tc>
      </w:tr>
      <w:tr w:rsidR="00810307" w:rsidRPr="00CF7824" w:rsidTr="009F409F">
        <w:trPr>
          <w:trHeight w:val="211"/>
        </w:trPr>
        <w:tc>
          <w:tcPr>
            <w:tcW w:w="5350" w:type="dxa"/>
            <w:gridSpan w:val="2"/>
            <w:shd w:val="clear" w:color="auto" w:fill="auto"/>
            <w:noWrap/>
            <w:hideMark/>
          </w:tcPr>
          <w:p w:rsidR="00F761D3" w:rsidRPr="00CF7824" w:rsidRDefault="00164734">
            <w:pPr>
              <w:jc w:val="right"/>
              <w:rPr>
                <w:rFonts w:asciiTheme="minorHAnsi" w:eastAsia="Times New Roman" w:hAnsiTheme="minorHAnsi" w:cstheme="minorHAnsi"/>
                <w:b/>
                <w:bCs/>
                <w:sz w:val="20"/>
                <w:szCs w:val="20"/>
              </w:rPr>
            </w:pPr>
            <w:r w:rsidRPr="00CF7824">
              <w:rPr>
                <w:rFonts w:cs="Calibri"/>
                <w:b/>
                <w:bCs/>
                <w:sz w:val="20"/>
                <w:szCs w:val="20"/>
                <w:lang w:val="fr-FR"/>
              </w:rPr>
              <w:t>Pourcentage</w:t>
            </w:r>
          </w:p>
        </w:tc>
        <w:tc>
          <w:tcPr>
            <w:tcW w:w="1137" w:type="dxa"/>
            <w:shd w:val="clear" w:color="auto" w:fill="auto"/>
            <w:noWrap/>
            <w:vAlign w:val="center"/>
          </w:tcPr>
          <w:p w:rsidR="00F761D3" w:rsidRPr="00CF7824" w:rsidRDefault="00164734" w:rsidP="009F409F">
            <w:pPr>
              <w:ind w:right="9"/>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32</w:t>
            </w:r>
            <w:r w:rsidR="00376BA1" w:rsidRPr="00CF7824">
              <w:rPr>
                <w:rFonts w:cs="Calibri"/>
                <w:b/>
                <w:bCs/>
                <w:color w:val="000000"/>
                <w:sz w:val="20"/>
                <w:szCs w:val="20"/>
                <w:lang w:val="fr-FR"/>
              </w:rPr>
              <w:t>,</w:t>
            </w:r>
            <w:r w:rsidRPr="00CF7824">
              <w:rPr>
                <w:rFonts w:cs="Calibri"/>
                <w:b/>
                <w:bCs/>
                <w:color w:val="000000"/>
                <w:sz w:val="20"/>
                <w:szCs w:val="20"/>
                <w:lang w:val="fr-FR"/>
              </w:rPr>
              <w:t>1</w:t>
            </w:r>
          </w:p>
        </w:tc>
        <w:tc>
          <w:tcPr>
            <w:tcW w:w="1559"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9</w:t>
            </w:r>
            <w:r w:rsidR="00376BA1" w:rsidRPr="00CF7824">
              <w:rPr>
                <w:rFonts w:cs="Calibri"/>
                <w:b/>
                <w:bCs/>
                <w:color w:val="000000"/>
                <w:sz w:val="20"/>
                <w:szCs w:val="20"/>
                <w:lang w:val="fr-FR"/>
              </w:rPr>
              <w:t>,</w:t>
            </w:r>
            <w:r w:rsidRPr="00CF7824">
              <w:rPr>
                <w:rFonts w:cs="Calibri"/>
                <w:b/>
                <w:bCs/>
                <w:color w:val="000000"/>
                <w:sz w:val="20"/>
                <w:szCs w:val="20"/>
                <w:lang w:val="fr-FR"/>
              </w:rPr>
              <w:t xml:space="preserve">8 </w:t>
            </w:r>
          </w:p>
        </w:tc>
        <w:tc>
          <w:tcPr>
            <w:tcW w:w="1276"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20</w:t>
            </w:r>
            <w:r w:rsidR="00376BA1" w:rsidRPr="00CF7824">
              <w:rPr>
                <w:rFonts w:cs="Calibri"/>
                <w:b/>
                <w:bCs/>
                <w:color w:val="000000"/>
                <w:sz w:val="20"/>
                <w:szCs w:val="20"/>
                <w:lang w:val="fr-FR"/>
              </w:rPr>
              <w:t>,</w:t>
            </w:r>
            <w:r w:rsidRPr="00CF7824">
              <w:rPr>
                <w:rFonts w:cs="Calibri"/>
                <w:b/>
                <w:bCs/>
                <w:color w:val="000000"/>
                <w:sz w:val="20"/>
                <w:szCs w:val="20"/>
                <w:lang w:val="fr-FR"/>
              </w:rPr>
              <w:t xml:space="preserve">7 </w:t>
            </w:r>
          </w:p>
        </w:tc>
        <w:tc>
          <w:tcPr>
            <w:tcW w:w="1276"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31</w:t>
            </w:r>
            <w:r w:rsidR="00376BA1" w:rsidRPr="00CF7824">
              <w:rPr>
                <w:rFonts w:cs="Calibri"/>
                <w:b/>
                <w:bCs/>
                <w:color w:val="000000"/>
                <w:sz w:val="20"/>
                <w:szCs w:val="20"/>
                <w:lang w:val="fr-FR"/>
              </w:rPr>
              <w:t>,</w:t>
            </w:r>
            <w:r w:rsidRPr="00CF7824">
              <w:rPr>
                <w:rFonts w:cs="Calibri"/>
                <w:b/>
                <w:bCs/>
                <w:color w:val="000000"/>
                <w:sz w:val="20"/>
                <w:szCs w:val="20"/>
                <w:lang w:val="fr-FR"/>
              </w:rPr>
              <w:t xml:space="preserve">4 </w:t>
            </w:r>
          </w:p>
        </w:tc>
        <w:tc>
          <w:tcPr>
            <w:tcW w:w="1559" w:type="dxa"/>
            <w:shd w:val="clear" w:color="auto" w:fill="auto"/>
            <w:noWrap/>
            <w:vAlign w:val="center"/>
          </w:tcPr>
          <w:p w:rsidR="00F761D3" w:rsidRPr="00CF7824" w:rsidRDefault="00164734" w:rsidP="009F409F">
            <w:pPr>
              <w:jc w:val="right"/>
              <w:rPr>
                <w:rFonts w:asciiTheme="minorHAnsi" w:eastAsia="Times New Roman" w:hAnsiTheme="minorHAnsi" w:cstheme="minorHAnsi"/>
                <w:b/>
                <w:bCs/>
                <w:color w:val="000000"/>
                <w:sz w:val="20"/>
                <w:szCs w:val="20"/>
              </w:rPr>
            </w:pPr>
            <w:r w:rsidRPr="00CF7824">
              <w:rPr>
                <w:rFonts w:cs="Calibri"/>
                <w:b/>
                <w:bCs/>
                <w:color w:val="000000"/>
                <w:sz w:val="20"/>
                <w:szCs w:val="20"/>
                <w:lang w:val="fr-FR"/>
              </w:rPr>
              <w:t>35</w:t>
            </w:r>
            <w:r w:rsidR="00376BA1" w:rsidRPr="00CF7824">
              <w:rPr>
                <w:rFonts w:cs="Calibri"/>
                <w:b/>
                <w:bCs/>
                <w:color w:val="000000"/>
                <w:sz w:val="20"/>
                <w:szCs w:val="20"/>
                <w:lang w:val="fr-FR"/>
              </w:rPr>
              <w:t>,</w:t>
            </w:r>
            <w:r w:rsidRPr="00CF7824">
              <w:rPr>
                <w:rFonts w:cs="Calibri"/>
                <w:b/>
                <w:bCs/>
                <w:color w:val="000000"/>
                <w:sz w:val="20"/>
                <w:szCs w:val="20"/>
                <w:lang w:val="fr-FR"/>
              </w:rPr>
              <w:t xml:space="preserve">0 </w:t>
            </w:r>
          </w:p>
        </w:tc>
        <w:tc>
          <w:tcPr>
            <w:tcW w:w="1134" w:type="dxa"/>
            <w:shd w:val="clear" w:color="auto" w:fill="auto"/>
            <w:noWrap/>
            <w:vAlign w:val="center"/>
          </w:tcPr>
          <w:p w:rsidR="00F761D3" w:rsidRPr="00CF7824" w:rsidRDefault="00F761D3" w:rsidP="009F409F">
            <w:pPr>
              <w:jc w:val="right"/>
              <w:rPr>
                <w:rFonts w:asciiTheme="minorHAnsi" w:eastAsia="Times New Roman" w:hAnsiTheme="minorHAnsi" w:cstheme="minorHAnsi"/>
                <w:b/>
                <w:bCs/>
                <w:color w:val="000000"/>
                <w:sz w:val="20"/>
                <w:szCs w:val="20"/>
              </w:rPr>
            </w:pPr>
          </w:p>
        </w:tc>
        <w:tc>
          <w:tcPr>
            <w:tcW w:w="1636" w:type="dxa"/>
            <w:vAlign w:val="center"/>
          </w:tcPr>
          <w:p w:rsidR="00F761D3" w:rsidRPr="00CF7824" w:rsidRDefault="00164734" w:rsidP="009F409F">
            <w:pPr>
              <w:ind w:right="420"/>
              <w:jc w:val="right"/>
              <w:rPr>
                <w:rFonts w:asciiTheme="minorHAnsi" w:hAnsiTheme="minorHAnsi" w:cstheme="minorHAnsi"/>
                <w:b/>
                <w:bCs/>
                <w:color w:val="000000"/>
                <w:sz w:val="20"/>
                <w:szCs w:val="20"/>
              </w:rPr>
            </w:pPr>
            <w:r w:rsidRPr="00CF7824">
              <w:rPr>
                <w:rFonts w:cs="Calibri"/>
                <w:b/>
                <w:bCs/>
                <w:color w:val="000000"/>
                <w:sz w:val="20"/>
                <w:szCs w:val="20"/>
                <w:lang w:val="fr-FR"/>
              </w:rPr>
              <w:t>31</w:t>
            </w:r>
            <w:r w:rsidR="00376BA1" w:rsidRPr="00CF7824">
              <w:rPr>
                <w:rFonts w:cs="Calibri"/>
                <w:b/>
                <w:bCs/>
                <w:color w:val="000000"/>
                <w:sz w:val="20"/>
                <w:szCs w:val="20"/>
                <w:lang w:val="fr-FR"/>
              </w:rPr>
              <w:t>,</w:t>
            </w:r>
            <w:r w:rsidRPr="00CF7824">
              <w:rPr>
                <w:rFonts w:cs="Calibri"/>
                <w:b/>
                <w:bCs/>
                <w:color w:val="000000"/>
                <w:sz w:val="20"/>
                <w:szCs w:val="20"/>
                <w:lang w:val="fr-FR"/>
              </w:rPr>
              <w:t xml:space="preserve">4 </w:t>
            </w:r>
          </w:p>
        </w:tc>
      </w:tr>
    </w:tbl>
    <w:p w:rsidR="00E15673" w:rsidRPr="00CF7824" w:rsidRDefault="00164734" w:rsidP="00E016EA">
      <w:pPr>
        <w:ind w:left="432" w:hanging="432"/>
        <w:rPr>
          <w:rFonts w:asciiTheme="minorHAnsi" w:eastAsia="Arial" w:hAnsiTheme="minorHAnsi" w:cstheme="minorHAnsi"/>
          <w:color w:val="000000"/>
          <w:sz w:val="20"/>
          <w:szCs w:val="20"/>
          <w:lang w:val="fr-FR"/>
        </w:rPr>
      </w:pPr>
      <w:r w:rsidRPr="00CF7824">
        <w:rPr>
          <w:rFonts w:cs="Calibri"/>
          <w:bCs/>
          <w:color w:val="000000"/>
          <w:sz w:val="20"/>
          <w:szCs w:val="20"/>
          <w:lang w:val="fr-FR"/>
        </w:rPr>
        <w:t>1.</w:t>
      </w:r>
      <w:r w:rsidRPr="00CF7824">
        <w:rPr>
          <w:rFonts w:cs="Calibri"/>
          <w:bCs/>
          <w:color w:val="000000"/>
          <w:sz w:val="20"/>
          <w:szCs w:val="20"/>
          <w:lang w:val="fr-FR"/>
        </w:rPr>
        <w:tab/>
        <w:t>D</w:t>
      </w:r>
      <w:r w:rsidR="00016E39" w:rsidRPr="00CF7824">
        <w:rPr>
          <w:rFonts w:cs="Calibri"/>
          <w:bCs/>
          <w:color w:val="000000"/>
          <w:sz w:val="20"/>
          <w:szCs w:val="20"/>
          <w:lang w:val="fr-FR"/>
        </w:rPr>
        <w:t>’</w:t>
      </w:r>
      <w:r w:rsidRPr="00CF7824">
        <w:rPr>
          <w:rFonts w:cs="Calibri"/>
          <w:bCs/>
          <w:color w:val="000000"/>
          <w:sz w:val="20"/>
          <w:szCs w:val="20"/>
          <w:lang w:val="fr-FR"/>
        </w:rPr>
        <w:t xml:space="preserve">après le Waterbird populations Portal (voir </w:t>
      </w:r>
      <w:hyperlink r:id="rId36" w:history="1">
        <w:r w:rsidRPr="00CF7824">
          <w:rPr>
            <w:rFonts w:cs="Calibri"/>
            <w:bCs/>
            <w:color w:val="0000FF"/>
            <w:sz w:val="20"/>
            <w:szCs w:val="20"/>
            <w:u w:val="single"/>
            <w:lang w:val="fr-FR"/>
          </w:rPr>
          <w:t>http://wpp.wetlands.org/background/WAF</w:t>
        </w:r>
      </w:hyperlink>
      <w:r w:rsidRPr="00CF7824">
        <w:rPr>
          <w:rFonts w:cs="Calibri"/>
          <w:bCs/>
          <w:color w:val="000000"/>
          <w:sz w:val="20"/>
          <w:szCs w:val="20"/>
          <w:lang w:val="fr-FR"/>
        </w:rPr>
        <w:t>), une population est classée comme migratrice de longue distance si elle traverse plus d</w:t>
      </w:r>
      <w:r w:rsidR="00016E39" w:rsidRPr="00CF7824">
        <w:rPr>
          <w:rFonts w:cs="Calibri"/>
          <w:bCs/>
          <w:color w:val="000000"/>
          <w:sz w:val="20"/>
          <w:szCs w:val="20"/>
          <w:lang w:val="fr-FR"/>
        </w:rPr>
        <w:t>’</w:t>
      </w:r>
      <w:r w:rsidRPr="00CF7824">
        <w:rPr>
          <w:rFonts w:cs="Calibri"/>
          <w:bCs/>
          <w:color w:val="000000"/>
          <w:sz w:val="20"/>
          <w:szCs w:val="20"/>
          <w:lang w:val="fr-FR"/>
        </w:rPr>
        <w:t>un domaine biogéographique, ou comme résidente ou migratrice de courte distance si elle est limitée à un seul domaine biogéographique.</w:t>
      </w:r>
    </w:p>
    <w:p w:rsidR="00E15673" w:rsidRPr="00CF7824" w:rsidRDefault="00164734" w:rsidP="00E016EA">
      <w:pPr>
        <w:ind w:left="432" w:hanging="432"/>
        <w:rPr>
          <w:rFonts w:asciiTheme="minorHAnsi" w:eastAsia="Arial" w:hAnsiTheme="minorHAnsi" w:cstheme="minorHAnsi"/>
          <w:color w:val="000000"/>
          <w:sz w:val="20"/>
          <w:szCs w:val="20"/>
          <w:lang w:val="fr-FR"/>
        </w:rPr>
      </w:pPr>
      <w:r w:rsidRPr="00CF7824">
        <w:rPr>
          <w:rFonts w:cs="Calibri"/>
          <w:bCs/>
          <w:color w:val="000000"/>
          <w:sz w:val="20"/>
          <w:szCs w:val="20"/>
          <w:lang w:val="fr-FR"/>
        </w:rPr>
        <w:t>2.</w:t>
      </w:r>
      <w:r w:rsidRPr="00CF7824">
        <w:rPr>
          <w:rFonts w:cs="Calibri"/>
          <w:bCs/>
          <w:color w:val="000000"/>
          <w:sz w:val="20"/>
          <w:szCs w:val="20"/>
          <w:lang w:val="fr-FR"/>
        </w:rPr>
        <w:tab/>
        <w:t xml:space="preserve">Les données </w:t>
      </w:r>
      <w:r w:rsidR="00810307" w:rsidRPr="00CF7824">
        <w:rPr>
          <w:rFonts w:cs="Calibri"/>
          <w:bCs/>
          <w:color w:val="000000"/>
          <w:sz w:val="20"/>
          <w:szCs w:val="20"/>
          <w:lang w:val="fr-FR"/>
        </w:rPr>
        <w:t>obsolètes</w:t>
      </w:r>
      <w:r w:rsidRPr="00CF7824">
        <w:rPr>
          <w:rFonts w:cs="Calibri"/>
          <w:bCs/>
          <w:color w:val="000000"/>
          <w:sz w:val="20"/>
          <w:szCs w:val="20"/>
          <w:lang w:val="fr-FR"/>
        </w:rPr>
        <w:t xml:space="preserve"> et le manque d</w:t>
      </w:r>
      <w:r w:rsidR="00016E39" w:rsidRPr="00CF7824">
        <w:rPr>
          <w:rFonts w:cs="Calibri"/>
          <w:bCs/>
          <w:color w:val="000000"/>
          <w:sz w:val="20"/>
          <w:szCs w:val="20"/>
          <w:lang w:val="fr-FR"/>
        </w:rPr>
        <w:t>’</w:t>
      </w:r>
      <w:r w:rsidRPr="00CF7824">
        <w:rPr>
          <w:rFonts w:cs="Calibri"/>
          <w:bCs/>
          <w:color w:val="000000"/>
          <w:sz w:val="20"/>
          <w:szCs w:val="20"/>
          <w:lang w:val="fr-FR"/>
        </w:rPr>
        <w:t xml:space="preserve">informations </w:t>
      </w:r>
      <w:r w:rsidR="00810307" w:rsidRPr="00CF7824">
        <w:rPr>
          <w:rFonts w:cs="Calibri"/>
          <w:bCs/>
          <w:color w:val="000000"/>
          <w:sz w:val="20"/>
          <w:szCs w:val="20"/>
          <w:lang w:val="fr-FR"/>
        </w:rPr>
        <w:t>correspondent</w:t>
      </w:r>
      <w:r w:rsidRPr="00CF7824">
        <w:rPr>
          <w:rFonts w:cs="Calibri"/>
          <w:bCs/>
          <w:color w:val="000000"/>
          <w:sz w:val="20"/>
          <w:szCs w:val="20"/>
          <w:lang w:val="fr-FR"/>
        </w:rPr>
        <w:t xml:space="preserve"> au pourcentage de populations classées dans l</w:t>
      </w:r>
      <w:r w:rsidR="00810307" w:rsidRPr="00CF7824">
        <w:rPr>
          <w:rFonts w:cs="Calibri"/>
          <w:bCs/>
          <w:color w:val="000000"/>
          <w:sz w:val="20"/>
          <w:szCs w:val="20"/>
          <w:lang w:val="fr-FR"/>
        </w:rPr>
        <w:t>es</w:t>
      </w:r>
      <w:r w:rsidRPr="00CF7824">
        <w:rPr>
          <w:rFonts w:cs="Calibri"/>
          <w:bCs/>
          <w:color w:val="000000"/>
          <w:sz w:val="20"/>
          <w:szCs w:val="20"/>
          <w:lang w:val="fr-FR"/>
        </w:rPr>
        <w:t xml:space="preserve"> catégorie</w:t>
      </w:r>
      <w:r w:rsidR="00810307" w:rsidRPr="00CF7824">
        <w:rPr>
          <w:rFonts w:cs="Calibri"/>
          <w:bCs/>
          <w:color w:val="000000"/>
          <w:sz w:val="20"/>
          <w:szCs w:val="20"/>
          <w:lang w:val="fr-FR"/>
        </w:rPr>
        <w:t>s</w:t>
      </w:r>
      <w:r w:rsidRPr="00CF7824">
        <w:rPr>
          <w:rFonts w:cs="Calibri"/>
          <w:bCs/>
          <w:color w:val="000000"/>
          <w:sz w:val="20"/>
          <w:szCs w:val="20"/>
          <w:lang w:val="fr-FR"/>
        </w:rPr>
        <w:t xml:space="preserve"> </w:t>
      </w:r>
      <w:r w:rsidR="00376BA1" w:rsidRPr="00CF7824">
        <w:rPr>
          <w:rFonts w:cs="Calibri"/>
          <w:bCs/>
          <w:color w:val="000000"/>
          <w:sz w:val="20"/>
          <w:szCs w:val="20"/>
          <w:lang w:val="fr-FR"/>
        </w:rPr>
        <w:t>« </w:t>
      </w:r>
      <w:r w:rsidRPr="00CF7824">
        <w:rPr>
          <w:rFonts w:cs="Calibri"/>
          <w:bCs/>
          <w:color w:val="000000"/>
          <w:sz w:val="20"/>
          <w:szCs w:val="20"/>
          <w:lang w:val="fr-FR"/>
        </w:rPr>
        <w:t>Meilleure supposition</w:t>
      </w:r>
      <w:r w:rsidR="00376BA1" w:rsidRPr="00CF7824">
        <w:rPr>
          <w:rFonts w:cs="Calibri"/>
          <w:bCs/>
          <w:color w:val="000000"/>
          <w:sz w:val="20"/>
          <w:szCs w:val="20"/>
          <w:lang w:val="fr-FR"/>
        </w:rPr>
        <w:t> »</w:t>
      </w:r>
      <w:r w:rsidRPr="00CF7824">
        <w:rPr>
          <w:rFonts w:cs="Calibri"/>
          <w:bCs/>
          <w:color w:val="000000"/>
          <w:sz w:val="20"/>
          <w:szCs w:val="20"/>
          <w:lang w:val="fr-FR"/>
        </w:rPr>
        <w:t xml:space="preserve"> et </w:t>
      </w:r>
      <w:r w:rsidR="00376BA1" w:rsidRPr="00CF7824">
        <w:rPr>
          <w:rFonts w:cs="Calibri"/>
          <w:bCs/>
          <w:color w:val="000000"/>
          <w:sz w:val="20"/>
          <w:szCs w:val="20"/>
          <w:lang w:val="fr-FR"/>
        </w:rPr>
        <w:t>« </w:t>
      </w:r>
      <w:r w:rsidRPr="00CF7824">
        <w:rPr>
          <w:rFonts w:cs="Calibri"/>
          <w:bCs/>
          <w:color w:val="000000"/>
          <w:sz w:val="20"/>
          <w:szCs w:val="20"/>
          <w:lang w:val="fr-FR"/>
        </w:rPr>
        <w:t>Aucune estimation</w:t>
      </w:r>
      <w:r w:rsidR="00810307" w:rsidRPr="00CF7824">
        <w:rPr>
          <w:rFonts w:cs="Calibri"/>
          <w:bCs/>
          <w:color w:val="000000"/>
          <w:sz w:val="20"/>
          <w:szCs w:val="20"/>
          <w:lang w:val="fr-FR"/>
        </w:rPr>
        <w:t> »</w:t>
      </w:r>
      <w:r w:rsidRPr="00CF7824">
        <w:rPr>
          <w:rFonts w:cs="Calibri"/>
          <w:bCs/>
          <w:color w:val="000000"/>
          <w:sz w:val="20"/>
          <w:szCs w:val="20"/>
          <w:lang w:val="fr-FR"/>
        </w:rPr>
        <w:t xml:space="preserve"> de </w:t>
      </w:r>
      <w:r w:rsidR="00810307" w:rsidRPr="00CF7824">
        <w:rPr>
          <w:rFonts w:cs="Calibri"/>
          <w:bCs/>
          <w:color w:val="000000"/>
          <w:sz w:val="20"/>
          <w:szCs w:val="20"/>
          <w:lang w:val="fr-FR"/>
        </w:rPr>
        <w:t xml:space="preserve">la </w:t>
      </w:r>
      <w:r w:rsidRPr="00CF7824">
        <w:rPr>
          <w:rFonts w:cs="Calibri"/>
          <w:bCs/>
          <w:color w:val="000000"/>
          <w:sz w:val="20"/>
          <w:szCs w:val="20"/>
          <w:lang w:val="fr-FR"/>
        </w:rPr>
        <w:t>taille disponible (les deux catégories d</w:t>
      </w:r>
      <w:r w:rsidR="00016E39" w:rsidRPr="00CF7824">
        <w:rPr>
          <w:rFonts w:cs="Calibri"/>
          <w:bCs/>
          <w:color w:val="000000"/>
          <w:sz w:val="20"/>
          <w:szCs w:val="20"/>
          <w:lang w:val="fr-FR"/>
        </w:rPr>
        <w:t>’</w:t>
      </w:r>
      <w:r w:rsidRPr="00CF7824">
        <w:rPr>
          <w:rFonts w:cs="Calibri"/>
          <w:bCs/>
          <w:color w:val="000000"/>
          <w:sz w:val="20"/>
          <w:szCs w:val="20"/>
          <w:lang w:val="fr-FR"/>
        </w:rPr>
        <w:t xml:space="preserve">estimations de meilleure qualité sont </w:t>
      </w:r>
      <w:r w:rsidR="00810307" w:rsidRPr="00CF7824">
        <w:rPr>
          <w:rFonts w:cs="Calibri"/>
          <w:bCs/>
          <w:color w:val="000000"/>
          <w:sz w:val="20"/>
          <w:szCs w:val="20"/>
          <w:lang w:val="fr-FR"/>
        </w:rPr>
        <w:t xml:space="preserve">« Basée </w:t>
      </w:r>
      <w:r w:rsidRPr="00CF7824">
        <w:rPr>
          <w:rFonts w:cs="Calibri"/>
          <w:bCs/>
          <w:color w:val="000000"/>
          <w:sz w:val="20"/>
          <w:szCs w:val="20"/>
          <w:lang w:val="fr-FR"/>
        </w:rPr>
        <w:t>sur les dénombrements</w:t>
      </w:r>
      <w:r w:rsidR="00810307" w:rsidRPr="00CF7824">
        <w:rPr>
          <w:rFonts w:cs="Calibri"/>
          <w:bCs/>
          <w:color w:val="000000"/>
          <w:sz w:val="20"/>
          <w:szCs w:val="20"/>
          <w:lang w:val="fr-FR"/>
        </w:rPr>
        <w:t> »</w:t>
      </w:r>
      <w:r w:rsidRPr="00CF7824">
        <w:rPr>
          <w:rFonts w:cs="Calibri"/>
          <w:bCs/>
          <w:color w:val="000000"/>
          <w:sz w:val="20"/>
          <w:szCs w:val="20"/>
          <w:lang w:val="fr-FR"/>
        </w:rPr>
        <w:t xml:space="preserve"> et </w:t>
      </w:r>
      <w:r w:rsidR="00810307" w:rsidRPr="00CF7824">
        <w:rPr>
          <w:rFonts w:cs="Calibri"/>
          <w:bCs/>
          <w:color w:val="000000"/>
          <w:sz w:val="20"/>
          <w:szCs w:val="20"/>
          <w:lang w:val="fr-FR"/>
        </w:rPr>
        <w:t>« A</w:t>
      </w:r>
      <w:r w:rsidRPr="00CF7824">
        <w:rPr>
          <w:rFonts w:cs="Calibri"/>
          <w:bCs/>
          <w:color w:val="000000"/>
          <w:sz w:val="20"/>
          <w:szCs w:val="20"/>
          <w:lang w:val="fr-FR"/>
        </w:rPr>
        <w:t>vis d</w:t>
      </w:r>
      <w:r w:rsidR="00016E39" w:rsidRPr="00CF7824">
        <w:rPr>
          <w:rFonts w:cs="Calibri"/>
          <w:bCs/>
          <w:color w:val="000000"/>
          <w:sz w:val="20"/>
          <w:szCs w:val="20"/>
          <w:lang w:val="fr-FR"/>
        </w:rPr>
        <w:t>’</w:t>
      </w:r>
      <w:r w:rsidRPr="00CF7824">
        <w:rPr>
          <w:rFonts w:cs="Calibri"/>
          <w:bCs/>
          <w:color w:val="000000"/>
          <w:sz w:val="20"/>
          <w:szCs w:val="20"/>
          <w:lang w:val="fr-FR"/>
        </w:rPr>
        <w:t>experts</w:t>
      </w:r>
      <w:r w:rsidR="00810307" w:rsidRPr="00CF7824">
        <w:rPr>
          <w:rFonts w:cs="Calibri"/>
          <w:bCs/>
          <w:color w:val="000000"/>
          <w:sz w:val="20"/>
          <w:szCs w:val="20"/>
          <w:lang w:val="fr-FR"/>
        </w:rPr>
        <w:t> »</w:t>
      </w:r>
      <w:r w:rsidRPr="00CF7824">
        <w:rPr>
          <w:rFonts w:cs="Calibri"/>
          <w:bCs/>
          <w:color w:val="000000"/>
          <w:sz w:val="20"/>
          <w:szCs w:val="20"/>
          <w:lang w:val="fr-FR"/>
        </w:rPr>
        <w:t xml:space="preserve">). </w:t>
      </w:r>
      <w:r w:rsidR="00810307" w:rsidRPr="00CF7824">
        <w:rPr>
          <w:rFonts w:cs="Calibri"/>
          <w:bCs/>
          <w:color w:val="000000"/>
          <w:sz w:val="20"/>
          <w:szCs w:val="20"/>
          <w:lang w:val="fr-FR"/>
        </w:rPr>
        <w:t>« Pas</w:t>
      </w:r>
      <w:r w:rsidRPr="00CF7824">
        <w:rPr>
          <w:rFonts w:cs="Calibri"/>
          <w:bCs/>
          <w:color w:val="000000"/>
          <w:sz w:val="20"/>
          <w:szCs w:val="20"/>
          <w:lang w:val="fr-FR"/>
        </w:rPr>
        <w:t xml:space="preserve"> d</w:t>
      </w:r>
      <w:r w:rsidR="00016E39" w:rsidRPr="00CF7824">
        <w:rPr>
          <w:rFonts w:cs="Calibri"/>
          <w:bCs/>
          <w:color w:val="000000"/>
          <w:sz w:val="20"/>
          <w:szCs w:val="20"/>
          <w:lang w:val="fr-FR"/>
        </w:rPr>
        <w:t>’</w:t>
      </w:r>
      <w:r w:rsidRPr="00CF7824">
        <w:rPr>
          <w:rFonts w:cs="Calibri"/>
          <w:bCs/>
          <w:color w:val="000000"/>
          <w:sz w:val="20"/>
          <w:szCs w:val="20"/>
          <w:lang w:val="fr-FR"/>
        </w:rPr>
        <w:t>estimation de la qualité</w:t>
      </w:r>
      <w:r w:rsidR="00810307" w:rsidRPr="00CF7824">
        <w:rPr>
          <w:rFonts w:cs="Calibri"/>
          <w:bCs/>
          <w:color w:val="000000"/>
          <w:sz w:val="20"/>
          <w:szCs w:val="20"/>
          <w:lang w:val="fr-FR"/>
        </w:rPr>
        <w:t> »</w:t>
      </w:r>
      <w:r w:rsidRPr="00CF7824">
        <w:rPr>
          <w:rFonts w:cs="Calibri"/>
          <w:bCs/>
          <w:color w:val="000000"/>
          <w:sz w:val="20"/>
          <w:szCs w:val="20"/>
          <w:lang w:val="fr-FR"/>
        </w:rPr>
        <w:t xml:space="preserve"> indique que personne n</w:t>
      </w:r>
      <w:r w:rsidR="00016E39" w:rsidRPr="00CF7824">
        <w:rPr>
          <w:rFonts w:cs="Calibri"/>
          <w:bCs/>
          <w:color w:val="000000"/>
          <w:sz w:val="20"/>
          <w:szCs w:val="20"/>
          <w:lang w:val="fr-FR"/>
        </w:rPr>
        <w:t>’</w:t>
      </w:r>
      <w:r w:rsidRPr="00CF7824">
        <w:rPr>
          <w:rFonts w:cs="Calibri"/>
          <w:bCs/>
          <w:color w:val="000000"/>
          <w:sz w:val="20"/>
          <w:szCs w:val="20"/>
          <w:lang w:val="fr-FR"/>
        </w:rPr>
        <w:t>a évalué la qualité, ce qui signifie qu</w:t>
      </w:r>
      <w:r w:rsidR="00016E39" w:rsidRPr="00CF7824">
        <w:rPr>
          <w:rFonts w:cs="Calibri"/>
          <w:bCs/>
          <w:color w:val="000000"/>
          <w:sz w:val="20"/>
          <w:szCs w:val="20"/>
          <w:lang w:val="fr-FR"/>
        </w:rPr>
        <w:t>’</w:t>
      </w:r>
      <w:r w:rsidRPr="00CF7824">
        <w:rPr>
          <w:rFonts w:cs="Calibri"/>
          <w:bCs/>
          <w:color w:val="000000"/>
          <w:sz w:val="20"/>
          <w:szCs w:val="20"/>
          <w:lang w:val="fr-FR"/>
        </w:rPr>
        <w:t xml:space="preserve">il </w:t>
      </w:r>
      <w:r w:rsidR="00810307" w:rsidRPr="00CF7824">
        <w:rPr>
          <w:rFonts w:cs="Calibri"/>
          <w:bCs/>
          <w:color w:val="000000"/>
          <w:sz w:val="20"/>
          <w:szCs w:val="20"/>
          <w:lang w:val="fr-FR"/>
        </w:rPr>
        <w:t>peut</w:t>
      </w:r>
      <w:r w:rsidRPr="00CF7824">
        <w:rPr>
          <w:rFonts w:cs="Calibri"/>
          <w:bCs/>
          <w:color w:val="000000"/>
          <w:sz w:val="20"/>
          <w:szCs w:val="20"/>
          <w:lang w:val="fr-FR"/>
        </w:rPr>
        <w:t xml:space="preserve"> s</w:t>
      </w:r>
      <w:r w:rsidR="00016E39" w:rsidRPr="00CF7824">
        <w:rPr>
          <w:rFonts w:cs="Calibri"/>
          <w:bCs/>
          <w:color w:val="000000"/>
          <w:sz w:val="20"/>
          <w:szCs w:val="20"/>
          <w:lang w:val="fr-FR"/>
        </w:rPr>
        <w:t>’</w:t>
      </w:r>
      <w:r w:rsidRPr="00CF7824">
        <w:rPr>
          <w:rFonts w:cs="Calibri"/>
          <w:bCs/>
          <w:color w:val="000000"/>
          <w:sz w:val="20"/>
          <w:szCs w:val="20"/>
          <w:lang w:val="fr-FR"/>
        </w:rPr>
        <w:t>agir de l</w:t>
      </w:r>
      <w:r w:rsidR="00016E39" w:rsidRPr="00CF7824">
        <w:rPr>
          <w:rFonts w:cs="Calibri"/>
          <w:bCs/>
          <w:color w:val="000000"/>
          <w:sz w:val="20"/>
          <w:szCs w:val="20"/>
          <w:lang w:val="fr-FR"/>
        </w:rPr>
        <w:t>’</w:t>
      </w:r>
      <w:r w:rsidRPr="00CF7824">
        <w:rPr>
          <w:rFonts w:cs="Calibri"/>
          <w:bCs/>
          <w:color w:val="000000"/>
          <w:sz w:val="20"/>
          <w:szCs w:val="20"/>
          <w:lang w:val="fr-FR"/>
        </w:rPr>
        <w:t xml:space="preserve">une des quatre autres catégories. </w:t>
      </w:r>
      <w:r w:rsidR="000467AE" w:rsidRPr="00CF7824">
        <w:rPr>
          <w:rFonts w:cs="Calibri"/>
          <w:bCs/>
          <w:color w:val="000000"/>
          <w:sz w:val="20"/>
          <w:szCs w:val="20"/>
          <w:lang w:val="fr-FR"/>
        </w:rPr>
        <w:t>Les informations proviennent</w:t>
      </w:r>
      <w:r w:rsidRPr="00CF7824">
        <w:rPr>
          <w:rFonts w:cs="Calibri"/>
          <w:bCs/>
          <w:color w:val="000000"/>
          <w:sz w:val="20"/>
          <w:szCs w:val="20"/>
          <w:lang w:val="fr-FR"/>
        </w:rPr>
        <w:t xml:space="preserve"> </w:t>
      </w:r>
      <w:r w:rsidR="000467AE" w:rsidRPr="00CF7824">
        <w:rPr>
          <w:rFonts w:cs="Calibri"/>
          <w:bCs/>
          <w:color w:val="000000"/>
          <w:sz w:val="20"/>
          <w:szCs w:val="20"/>
          <w:lang w:val="fr-FR"/>
        </w:rPr>
        <w:t xml:space="preserve">alors </w:t>
      </w:r>
      <w:r w:rsidRPr="00CF7824">
        <w:rPr>
          <w:rFonts w:cs="Calibri"/>
          <w:bCs/>
          <w:color w:val="000000"/>
          <w:sz w:val="20"/>
          <w:szCs w:val="20"/>
          <w:lang w:val="fr-FR"/>
        </w:rPr>
        <w:t>généralement d</w:t>
      </w:r>
      <w:r w:rsidR="00016E39" w:rsidRPr="00CF7824">
        <w:rPr>
          <w:rFonts w:cs="Calibri"/>
          <w:bCs/>
          <w:color w:val="000000"/>
          <w:sz w:val="20"/>
          <w:szCs w:val="20"/>
          <w:lang w:val="fr-FR"/>
        </w:rPr>
        <w:t>’</w:t>
      </w:r>
      <w:r w:rsidRPr="00CF7824">
        <w:rPr>
          <w:rFonts w:cs="Calibri"/>
          <w:bCs/>
          <w:color w:val="000000"/>
          <w:sz w:val="20"/>
          <w:szCs w:val="20"/>
          <w:lang w:val="fr-FR"/>
        </w:rPr>
        <w:t>anciennes éditions des WPE, avant que nous n</w:t>
      </w:r>
      <w:r w:rsidR="00016E39" w:rsidRPr="00CF7824">
        <w:rPr>
          <w:rFonts w:cs="Calibri"/>
          <w:bCs/>
          <w:color w:val="000000"/>
          <w:sz w:val="20"/>
          <w:szCs w:val="20"/>
          <w:lang w:val="fr-FR"/>
        </w:rPr>
        <w:t>’</w:t>
      </w:r>
      <w:r w:rsidRPr="00CF7824">
        <w:rPr>
          <w:rFonts w:cs="Calibri"/>
          <w:bCs/>
          <w:color w:val="000000"/>
          <w:sz w:val="20"/>
          <w:szCs w:val="20"/>
          <w:lang w:val="fr-FR"/>
        </w:rPr>
        <w:t xml:space="preserve">ayons commencé à évaluer la qualité </w:t>
      </w:r>
      <w:r w:rsidR="000467AE" w:rsidRPr="00CF7824">
        <w:rPr>
          <w:rFonts w:cs="Calibri"/>
          <w:bCs/>
          <w:color w:val="000000"/>
          <w:sz w:val="20"/>
          <w:szCs w:val="20"/>
          <w:lang w:val="fr-FR"/>
        </w:rPr>
        <w:t xml:space="preserve">des estimations </w:t>
      </w:r>
      <w:r w:rsidRPr="00CF7824">
        <w:rPr>
          <w:rFonts w:cs="Calibri"/>
          <w:bCs/>
          <w:color w:val="000000"/>
          <w:sz w:val="20"/>
          <w:szCs w:val="20"/>
          <w:lang w:val="fr-FR"/>
        </w:rPr>
        <w:t>de la taille et des tendances des populations.</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sz w:val="20"/>
          <w:szCs w:val="20"/>
          <w:lang w:val="fr-FR"/>
        </w:rPr>
        <w:sectPr w:rsidR="00E15673" w:rsidRPr="00CF7824" w:rsidSect="000722D2">
          <w:footerReference w:type="default" r:id="rId37"/>
          <w:pgSz w:w="16838" w:h="11906" w:orient="landscape"/>
          <w:pgMar w:top="1440" w:right="1134" w:bottom="1440" w:left="993" w:header="708" w:footer="708" w:gutter="0"/>
          <w:cols w:space="720"/>
          <w:docGrid w:linePitch="299"/>
        </w:sectPr>
      </w:pP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914FA2">
      <w:pPr>
        <w:rPr>
          <w:rFonts w:asciiTheme="minorHAnsi" w:eastAsia="Arial" w:hAnsiTheme="minorHAnsi" w:cstheme="minorHAnsi"/>
          <w:color w:val="000000"/>
          <w:lang w:val="fr-FR"/>
        </w:rPr>
      </w:pPr>
      <w:r w:rsidRPr="00CF7824">
        <w:rPr>
          <w:rFonts w:cs="Calibri"/>
          <w:color w:val="000000"/>
          <w:lang w:val="fr-FR"/>
        </w:rPr>
        <w:t>9.</w:t>
      </w:r>
      <w:r w:rsidRPr="00CF7824">
        <w:rPr>
          <w:rFonts w:cs="Calibri"/>
          <w:color w:val="000000"/>
          <w:lang w:val="fr-FR"/>
        </w:rPr>
        <w:tab/>
        <w:t>Dès le début du processus WPE établi dans le cadre de la Convention sur les zones humides, il a été reconnu qu</w:t>
      </w:r>
      <w:r w:rsidR="00016E39" w:rsidRPr="00CF7824">
        <w:rPr>
          <w:rFonts w:cs="Calibri"/>
          <w:color w:val="000000"/>
          <w:lang w:val="fr-FR"/>
        </w:rPr>
        <w:t>’</w:t>
      </w:r>
      <w:r w:rsidRPr="00CF7824">
        <w:rPr>
          <w:rFonts w:cs="Calibri"/>
          <w:color w:val="000000"/>
          <w:lang w:val="fr-FR"/>
        </w:rPr>
        <w:t>il était souhaitable de ne publier les seuils officiels de 1% que périodiquement</w:t>
      </w:r>
      <w:r w:rsidRPr="00CF7824">
        <w:rPr>
          <w:rFonts w:asciiTheme="minorHAnsi" w:eastAsia="Arial" w:hAnsiTheme="minorHAnsi" w:cstheme="minorHAnsi"/>
          <w:color w:val="000000"/>
          <w:vertAlign w:val="superscript"/>
        </w:rPr>
        <w:footnoteReference w:id="39"/>
      </w:r>
      <w:r w:rsidRPr="00CF7824">
        <w:rPr>
          <w:rFonts w:cs="Calibri"/>
          <w:color w:val="000000"/>
          <w:lang w:val="fr-FR"/>
        </w:rPr>
        <w:t xml:space="preserve">. Cela permettait aux gouvernements et aux autres décideurs de savoir clairement quelles données utiliser à un moment donné. Cela a également facilité le processus administratif relatif à la production de nouvelles éditions des WPE. Le cycle de mise à jour </w:t>
      </w:r>
      <w:r w:rsidR="00E25225" w:rsidRPr="00CF7824">
        <w:rPr>
          <w:rFonts w:cs="Calibri"/>
          <w:color w:val="000000"/>
          <w:lang w:val="fr-FR"/>
        </w:rPr>
        <w:t>tous les</w:t>
      </w:r>
      <w:r w:rsidRPr="00CF7824">
        <w:rPr>
          <w:rFonts w:cs="Calibri"/>
          <w:color w:val="000000"/>
          <w:lang w:val="fr-FR"/>
        </w:rPr>
        <w:t xml:space="preserve"> neuf ans recommandé par Rose &amp; Stroud (1994) pour les seuils internationaux de 1% (autres que pour les populations en évolution rapide) a été ultérieurement approuvé par la Résolution</w:t>
      </w:r>
      <w:r w:rsidR="00376BA1" w:rsidRPr="00CF7824">
        <w:rPr>
          <w:rFonts w:cs="Calibri"/>
          <w:color w:val="000000"/>
          <w:lang w:val="fr-FR"/>
        </w:rPr>
        <w:t> </w:t>
      </w:r>
      <w:r w:rsidRPr="00CF7824">
        <w:rPr>
          <w:rFonts w:cs="Calibri"/>
          <w:color w:val="000000"/>
          <w:lang w:val="fr-FR"/>
        </w:rPr>
        <w:t xml:space="preserve">VI.4 de la Convention sur les zones humides. </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B76043">
      <w:pPr>
        <w:rPr>
          <w:rFonts w:asciiTheme="minorHAnsi" w:eastAsia="Arial" w:hAnsiTheme="minorHAnsi" w:cstheme="minorHAnsi"/>
          <w:color w:val="000000"/>
          <w:lang w:val="fr-FR"/>
        </w:rPr>
      </w:pPr>
      <w:r w:rsidRPr="00CF7824">
        <w:rPr>
          <w:rFonts w:cs="Calibri"/>
          <w:color w:val="000000"/>
          <w:lang w:val="fr-FR"/>
        </w:rPr>
        <w:t>10.</w:t>
      </w:r>
      <w:r w:rsidRPr="00CF7824">
        <w:rPr>
          <w:rFonts w:cs="Calibri"/>
          <w:color w:val="000000"/>
          <w:lang w:val="fr-FR"/>
        </w:rPr>
        <w:tab/>
        <w:t>En réalité, avant la publication sur Internet, il aurait été difficile de publier des estimations et des seuils mis à jour autrement qu</w:t>
      </w:r>
      <w:r w:rsidR="00016E39" w:rsidRPr="00CF7824">
        <w:rPr>
          <w:rFonts w:cs="Calibri"/>
          <w:color w:val="000000"/>
          <w:lang w:val="fr-FR"/>
        </w:rPr>
        <w:t>’</w:t>
      </w:r>
      <w:r w:rsidRPr="00CF7824">
        <w:rPr>
          <w:rFonts w:cs="Calibri"/>
          <w:color w:val="000000"/>
          <w:lang w:val="fr-FR"/>
        </w:rPr>
        <w:t xml:space="preserve">à intervalles périodiques, mais avec la publication sur Internet, il est plus concevable que de nouvelles estimations puissent être ajoutées à une base de données en ligne </w:t>
      </w:r>
      <w:r w:rsidR="00E25225" w:rsidRPr="00CF7824">
        <w:rPr>
          <w:rFonts w:cs="Calibri"/>
          <w:color w:val="000000"/>
          <w:lang w:val="fr-FR"/>
        </w:rPr>
        <w:t xml:space="preserve">au fur et à mesure de leur disponibilité </w:t>
      </w:r>
      <w:r w:rsidRPr="00CF7824">
        <w:rPr>
          <w:rFonts w:cs="Calibri"/>
          <w:color w:val="000000"/>
          <w:lang w:val="fr-FR"/>
        </w:rPr>
        <w:t>dans le cadre d</w:t>
      </w:r>
      <w:r w:rsidR="00016E39" w:rsidRPr="00CF7824">
        <w:rPr>
          <w:rFonts w:cs="Calibri"/>
          <w:color w:val="000000"/>
          <w:lang w:val="fr-FR"/>
        </w:rPr>
        <w:t>’</w:t>
      </w:r>
      <w:r w:rsidRPr="00CF7824">
        <w:rPr>
          <w:rFonts w:cs="Calibri"/>
          <w:color w:val="000000"/>
          <w:lang w:val="fr-FR"/>
        </w:rPr>
        <w:t xml:space="preserve">un processus de mise à jour continue. </w:t>
      </w:r>
    </w:p>
    <w:p w:rsidR="00E15673" w:rsidRPr="00CF7824" w:rsidRDefault="00E15673" w:rsidP="00E15673">
      <w:pPr>
        <w:pBdr>
          <w:top w:val="nil"/>
          <w:left w:val="nil"/>
          <w:bottom w:val="nil"/>
          <w:right w:val="nil"/>
          <w:between w:val="nil"/>
        </w:pBdr>
        <w:rPr>
          <w:rFonts w:asciiTheme="minorHAnsi" w:eastAsia="Arial" w:hAnsiTheme="minorHAnsi" w:cstheme="minorHAnsi"/>
          <w:color w:val="000000"/>
          <w:lang w:val="fr-FR"/>
        </w:rPr>
      </w:pPr>
    </w:p>
    <w:p w:rsidR="00E15673" w:rsidRPr="00CF7824" w:rsidRDefault="00164734" w:rsidP="00B76043">
      <w:pPr>
        <w:rPr>
          <w:rFonts w:asciiTheme="minorHAnsi" w:eastAsia="Arial" w:hAnsiTheme="minorHAnsi" w:cstheme="minorHAnsi"/>
          <w:color w:val="000000"/>
          <w:lang w:val="fr-FR"/>
        </w:rPr>
      </w:pPr>
      <w:r w:rsidRPr="00CF7824">
        <w:rPr>
          <w:rFonts w:cs="Calibri"/>
          <w:color w:val="000000"/>
          <w:lang w:val="fr-FR"/>
        </w:rPr>
        <w:t>11.</w:t>
      </w:r>
      <w:r w:rsidRPr="00CF7824">
        <w:rPr>
          <w:rFonts w:cs="Calibri"/>
          <w:color w:val="000000"/>
          <w:lang w:val="fr-FR"/>
        </w:rPr>
        <w:tab/>
        <w:t>Depuis lors, les mêmes recommandations tirées des résolutions précédentes ont été intégrées dans les orientations de la Convention sur les zones humides relatives à la sélection et à l</w:t>
      </w:r>
      <w:r w:rsidR="00016E39" w:rsidRPr="00CF7824">
        <w:rPr>
          <w:rFonts w:cs="Calibri"/>
          <w:color w:val="000000"/>
          <w:lang w:val="fr-FR"/>
        </w:rPr>
        <w:t>’</w:t>
      </w:r>
      <w:r w:rsidRPr="00CF7824">
        <w:rPr>
          <w:rFonts w:cs="Calibri"/>
          <w:color w:val="000000"/>
          <w:lang w:val="fr-FR"/>
        </w:rPr>
        <w:t>inscription des zones humides d</w:t>
      </w:r>
      <w:r w:rsidR="00016E39" w:rsidRPr="00CF7824">
        <w:rPr>
          <w:rFonts w:cs="Calibri"/>
          <w:color w:val="000000"/>
          <w:lang w:val="fr-FR"/>
        </w:rPr>
        <w:t>’</w:t>
      </w:r>
      <w:r w:rsidRPr="00CF7824">
        <w:rPr>
          <w:rFonts w:cs="Calibri"/>
          <w:color w:val="000000"/>
          <w:lang w:val="fr-FR"/>
        </w:rPr>
        <w:t xml:space="preserve">importance internationale – le </w:t>
      </w:r>
      <w:r w:rsidRPr="00CF7824">
        <w:rPr>
          <w:rFonts w:cs="Calibri"/>
          <w:i/>
          <w:iCs/>
          <w:color w:val="000000"/>
          <w:lang w:val="fr-FR"/>
        </w:rPr>
        <w:t>Cadre stratégique et lignes directrices pour orienter l</w:t>
      </w:r>
      <w:r w:rsidR="00016E39" w:rsidRPr="00CF7824">
        <w:rPr>
          <w:rFonts w:cs="Calibri"/>
          <w:i/>
          <w:iCs/>
          <w:color w:val="000000"/>
          <w:lang w:val="fr-FR"/>
        </w:rPr>
        <w:t>’</w:t>
      </w:r>
      <w:r w:rsidRPr="00CF7824">
        <w:rPr>
          <w:rFonts w:cs="Calibri"/>
          <w:i/>
          <w:iCs/>
          <w:color w:val="000000"/>
          <w:lang w:val="fr-FR"/>
        </w:rPr>
        <w:t>évolution de la Liste des zones humides d</w:t>
      </w:r>
      <w:r w:rsidR="00016E39" w:rsidRPr="00CF7824">
        <w:rPr>
          <w:rFonts w:cs="Calibri"/>
          <w:i/>
          <w:iCs/>
          <w:color w:val="000000"/>
          <w:lang w:val="fr-FR"/>
        </w:rPr>
        <w:t>’</w:t>
      </w:r>
      <w:r w:rsidRPr="00CF7824">
        <w:rPr>
          <w:rFonts w:cs="Calibri"/>
          <w:i/>
          <w:iCs/>
          <w:color w:val="000000"/>
          <w:lang w:val="fr-FR"/>
        </w:rPr>
        <w:t>importance internationale de la Convention sur les zones humides</w:t>
      </w:r>
      <w:r w:rsidRPr="00CF7824">
        <w:rPr>
          <w:rFonts w:cs="Calibri"/>
          <w:color w:val="000000"/>
          <w:lang w:val="fr-FR"/>
        </w:rPr>
        <w:t>, adopté pour la première fois à la COP7 (Résolution</w:t>
      </w:r>
      <w:r w:rsidR="00376BA1" w:rsidRPr="00CF7824">
        <w:rPr>
          <w:rFonts w:cs="Calibri"/>
          <w:color w:val="000000"/>
          <w:lang w:val="fr-FR"/>
        </w:rPr>
        <w:t> </w:t>
      </w:r>
      <w:r w:rsidRPr="00CF7824">
        <w:rPr>
          <w:rFonts w:cs="Calibri"/>
          <w:color w:val="000000"/>
          <w:lang w:val="fr-FR"/>
        </w:rPr>
        <w:t>VII.11) en 1999, puis révisé et mis à jour par la COP11 en 2012 (Résolution</w:t>
      </w:r>
      <w:r w:rsidR="00376BA1" w:rsidRPr="00CF7824">
        <w:rPr>
          <w:rFonts w:cs="Calibri"/>
          <w:color w:val="000000"/>
          <w:lang w:val="fr-FR"/>
        </w:rPr>
        <w:t> </w:t>
      </w:r>
      <w:r w:rsidRPr="00CF7824">
        <w:rPr>
          <w:rFonts w:cs="Calibri"/>
          <w:color w:val="000000"/>
          <w:lang w:val="fr-FR"/>
        </w:rPr>
        <w:t>XI.8, annexe</w:t>
      </w:r>
      <w:r w:rsidR="001F19B5" w:rsidRPr="00CF7824">
        <w:rPr>
          <w:rFonts w:cs="Calibri"/>
          <w:color w:val="000000"/>
          <w:lang w:val="fr-FR"/>
        </w:rPr>
        <w:t> </w:t>
      </w:r>
      <w:r w:rsidRPr="00CF7824">
        <w:rPr>
          <w:rFonts w:cs="Calibri"/>
          <w:color w:val="000000"/>
          <w:lang w:val="fr-FR"/>
        </w:rPr>
        <w:t>2) et plus récemment par la COP14 (Résolution</w:t>
      </w:r>
      <w:r w:rsidR="00376BA1" w:rsidRPr="00CF7824">
        <w:rPr>
          <w:rFonts w:cs="Calibri"/>
          <w:color w:val="000000"/>
          <w:lang w:val="fr-FR"/>
        </w:rPr>
        <w:t> </w:t>
      </w:r>
      <w:r w:rsidRPr="00CF7824">
        <w:rPr>
          <w:rFonts w:cs="Calibri"/>
          <w:color w:val="000000"/>
          <w:lang w:val="fr-FR"/>
        </w:rPr>
        <w:t>XI.8, annexe 2, Rev.COP14) en 2022.</w:t>
      </w:r>
    </w:p>
    <w:p w:rsidR="00E15673" w:rsidRPr="00CF7824" w:rsidRDefault="00E15673" w:rsidP="00E15673">
      <w:pPr>
        <w:rPr>
          <w:rFonts w:asciiTheme="minorHAnsi" w:eastAsia="Arial" w:hAnsiTheme="minorHAnsi" w:cstheme="minorHAnsi"/>
          <w:b/>
          <w:color w:val="000000"/>
          <w:sz w:val="20"/>
          <w:szCs w:val="20"/>
          <w:lang w:val="fr-FR"/>
        </w:rPr>
      </w:pPr>
    </w:p>
    <w:p w:rsidR="00A74E14" w:rsidRPr="00CF7824" w:rsidRDefault="00164734">
      <w:pPr>
        <w:rPr>
          <w:rFonts w:asciiTheme="minorHAnsi" w:hAnsiTheme="minorHAnsi" w:cstheme="minorHAnsi"/>
          <w:lang w:val="fr-FR"/>
        </w:rPr>
      </w:pPr>
      <w:r w:rsidRPr="00CF7824">
        <w:rPr>
          <w:rFonts w:asciiTheme="minorHAnsi" w:hAnsiTheme="minorHAnsi" w:cstheme="minorHAnsi"/>
          <w:lang w:val="fr-FR"/>
        </w:rPr>
        <w:br w:type="page"/>
      </w:r>
    </w:p>
    <w:p w:rsidR="009E036F" w:rsidRPr="00CF7824" w:rsidRDefault="00164734" w:rsidP="00E227D4">
      <w:pPr>
        <w:rPr>
          <w:rFonts w:cs="Arial"/>
          <w:b/>
          <w:sz w:val="24"/>
          <w:szCs w:val="24"/>
          <w:lang w:val="fr-FR"/>
        </w:rPr>
      </w:pPr>
      <w:bookmarkStart w:id="20" w:name="_Toc159848063"/>
      <w:r w:rsidRPr="00CF7824">
        <w:rPr>
          <w:rFonts w:cs="Arial"/>
          <w:b/>
          <w:bCs/>
          <w:sz w:val="24"/>
          <w:szCs w:val="24"/>
          <w:lang w:val="fr-FR"/>
        </w:rPr>
        <w:lastRenderedPageBreak/>
        <w:t>Annexe</w:t>
      </w:r>
      <w:r w:rsidR="001F19B5" w:rsidRPr="00CF7824">
        <w:rPr>
          <w:rFonts w:cs="Arial"/>
          <w:b/>
          <w:bCs/>
          <w:sz w:val="24"/>
          <w:szCs w:val="24"/>
          <w:lang w:val="fr-FR"/>
        </w:rPr>
        <w:t> </w:t>
      </w:r>
      <w:r w:rsidRPr="00CF7824">
        <w:rPr>
          <w:rFonts w:cs="Arial"/>
          <w:b/>
          <w:bCs/>
          <w:sz w:val="24"/>
          <w:szCs w:val="24"/>
          <w:lang w:val="fr-FR"/>
        </w:rPr>
        <w:t>2</w:t>
      </w:r>
    </w:p>
    <w:p w:rsidR="00DA43F9" w:rsidRPr="00CF7824" w:rsidRDefault="00164734" w:rsidP="00030234">
      <w:pPr>
        <w:ind w:left="0" w:firstLine="0"/>
        <w:rPr>
          <w:rFonts w:cs="Arial"/>
          <w:b/>
          <w:sz w:val="24"/>
          <w:szCs w:val="24"/>
          <w:lang w:val="fr-FR"/>
        </w:rPr>
      </w:pPr>
      <w:r w:rsidRPr="00CF7824">
        <w:rPr>
          <w:rFonts w:cs="Arial"/>
          <w:b/>
          <w:bCs/>
          <w:sz w:val="24"/>
          <w:szCs w:val="24"/>
          <w:lang w:val="fr-FR"/>
        </w:rPr>
        <w:t>Reconnaissance des estimations des populations d</w:t>
      </w:r>
      <w:r w:rsidR="00016E39" w:rsidRPr="00CF7824">
        <w:rPr>
          <w:rFonts w:cs="Arial"/>
          <w:b/>
          <w:bCs/>
          <w:sz w:val="24"/>
          <w:szCs w:val="24"/>
          <w:lang w:val="fr-FR"/>
        </w:rPr>
        <w:t>’</w:t>
      </w:r>
      <w:r w:rsidRPr="00CF7824">
        <w:rPr>
          <w:rFonts w:cs="Arial"/>
          <w:b/>
          <w:bCs/>
          <w:sz w:val="24"/>
          <w:szCs w:val="24"/>
          <w:lang w:val="fr-FR"/>
        </w:rPr>
        <w:t>oiseaux d</w:t>
      </w:r>
      <w:r w:rsidR="00016E39" w:rsidRPr="00CF7824">
        <w:rPr>
          <w:rFonts w:cs="Arial"/>
          <w:b/>
          <w:bCs/>
          <w:sz w:val="24"/>
          <w:szCs w:val="24"/>
          <w:lang w:val="fr-FR"/>
        </w:rPr>
        <w:t>’</w:t>
      </w:r>
      <w:r w:rsidRPr="00CF7824">
        <w:rPr>
          <w:rFonts w:cs="Arial"/>
          <w:b/>
          <w:bCs/>
          <w:sz w:val="24"/>
          <w:szCs w:val="24"/>
          <w:lang w:val="fr-FR"/>
        </w:rPr>
        <w:t>eau par la Convention sur les zones humides et d</w:t>
      </w:r>
      <w:r w:rsidR="00016E39" w:rsidRPr="00CF7824">
        <w:rPr>
          <w:rFonts w:cs="Arial"/>
          <w:b/>
          <w:bCs/>
          <w:sz w:val="24"/>
          <w:szCs w:val="24"/>
          <w:lang w:val="fr-FR"/>
        </w:rPr>
        <w:t>’</w:t>
      </w:r>
      <w:r w:rsidRPr="00CF7824">
        <w:rPr>
          <w:rFonts w:cs="Arial"/>
          <w:b/>
          <w:bCs/>
          <w:sz w:val="24"/>
          <w:szCs w:val="24"/>
          <w:lang w:val="fr-FR"/>
        </w:rPr>
        <w:t>autres cadres internationaux</w:t>
      </w:r>
      <w:bookmarkEnd w:id="20"/>
    </w:p>
    <w:p w:rsidR="006C7AD7" w:rsidRPr="00CF7824" w:rsidRDefault="006C7AD7" w:rsidP="006C7AD7">
      <w:pPr>
        <w:rPr>
          <w:rFonts w:asciiTheme="minorHAnsi" w:hAnsiTheme="minorHAnsi" w:cstheme="minorHAnsi"/>
          <w:lang w:val="fr-FR"/>
        </w:rPr>
      </w:pPr>
    </w:p>
    <w:p w:rsidR="007C5D6C" w:rsidRPr="00CF7824" w:rsidRDefault="007C5D6C" w:rsidP="006C7AD7">
      <w:pPr>
        <w:rPr>
          <w:rFonts w:asciiTheme="minorHAnsi" w:hAnsiTheme="minorHAnsi" w:cstheme="minorHAnsi"/>
          <w:lang w:val="fr-FR"/>
        </w:rPr>
      </w:pPr>
    </w:p>
    <w:p w:rsidR="006C7AD7" w:rsidRPr="00CF7824" w:rsidRDefault="00164734"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lang w:val="fr-FR"/>
        </w:rPr>
      </w:pPr>
      <w:r w:rsidRPr="00CF7824">
        <w:rPr>
          <w:rFonts w:cs="Calibri"/>
          <w:b/>
          <w:bCs/>
          <w:color w:val="000000"/>
          <w:lang w:val="fr-FR"/>
        </w:rPr>
        <w:t>Convention sur les zones humides</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5.9</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L’application des critères Ramsar d</w:t>
      </w:r>
      <w:r w:rsidR="00CC2126" w:rsidRPr="00CF7824">
        <w:rPr>
          <w:rFonts w:asciiTheme="minorHAnsi" w:eastAsia="Arial" w:hAnsiTheme="minorHAnsi" w:cstheme="minorHAnsi"/>
          <w:b/>
          <w:color w:val="000000"/>
          <w:lang w:val="fr-FR"/>
        </w:rPr>
        <w:t>’</w:t>
      </w:r>
      <w:r w:rsidRPr="00CF7824">
        <w:rPr>
          <w:rFonts w:asciiTheme="minorHAnsi" w:eastAsia="Arial" w:hAnsiTheme="minorHAnsi" w:cstheme="minorHAnsi"/>
          <w:b/>
          <w:color w:val="000000"/>
          <w:lang w:val="fr-FR"/>
        </w:rPr>
        <w:t>identification des zones humides d</w:t>
      </w:r>
      <w:r w:rsidR="00CC2126" w:rsidRPr="00CF7824">
        <w:rPr>
          <w:rFonts w:asciiTheme="minorHAnsi" w:eastAsia="Arial" w:hAnsiTheme="minorHAnsi" w:cstheme="minorHAnsi"/>
          <w:b/>
          <w:color w:val="000000"/>
          <w:lang w:val="fr-FR"/>
        </w:rPr>
        <w:t>’</w:t>
      </w:r>
      <w:r w:rsidRPr="00CF7824">
        <w:rPr>
          <w:rFonts w:asciiTheme="minorHAnsi" w:eastAsia="Arial" w:hAnsiTheme="minorHAnsi" w:cstheme="minorHAnsi"/>
          <w:b/>
          <w:color w:val="000000"/>
          <w:lang w:val="fr-FR"/>
        </w:rPr>
        <w:t>importance internationale (1993)</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RAPPELANT que la Recommandation REC. C.4.2 de la Quatrième Session de la Conférence des Parties contractantes, tenue à Montreux (Suisse) en 1990, a adopté les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Critères d’identification des zones humides d’importance internationale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RAPPELANT EN OUTRE que la section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2 de ces Critères est intitulée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Critères généraux tenant compte de la flore ou de la faune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alors que la section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3 est intitulée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Critères spécifiques tenant compte des oiseaux d’eau</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 et comprend l’alinéa</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3(c), qui indique qu’une zone humide devrait être considérée d’importance internationale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si, dans le cas où l’on dispose de données sur les populations, elle abrite habituellement 1% des individus d’une population d’une espèce ou d’une sous-espèce d’oiseaux d’eau</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PRENANT ACTE de l’exposé sur les populations d’espèces de zones humides autres que les oiseaux d’eau, présenté à l’Atelier D de la présente Session par le Programme de sauvegarde des espèces de l’UICN-Union mondiale pour la nature;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PRENANT ACTE EN OUTRE de l’exposé sur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Les priorités mondiales de la conservation des oiseaux d’eau</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 présenté à l’Atelier D de la présente Session par le Bureau international de recherche sur les zones humides et les oiseaux d’eau (BIROE);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RAPPELANT que, si les Critères Ramsar identifient une zone humide en vue de son inscription sur la Liste Ramsar, toute décision à cet égard demeure la prérogative de la Partie contractante sur le territoire de laquelle se trouve cette zone humide;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jc w:val="cente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LA CONFÉRENCE DES PARTIES CONTRACTANTES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REMERCIE l’UICN et le BIROE de leurs exposés;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PRIE les Parties contractantes d’utiliser le concept et les exemples fournis dans l’exposé de l’UICN comme base pour l’application de la section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2 des Critères Ramsar;</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PRIE EN OUTRE les Parties contractantes d’utiliser les chiffres présentés à la présente réunion par le BIROE comme base pour l’application de la Section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3 et, en particulier, de l’alinéa</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3(c), des Critères Ramsar et les encourage à fournir régulièrement au BIROE des commentaires et mises à jour des chiffres; et</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DEMANDE à l’UICN et au BIROE de mettre à jour leurs chiffres et données à la lumière des résultats des recherches et études à venir, et de les soumettre aux prochaines sessions de la Conférence des Parties contractantes.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keepNext/>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asciiTheme="minorHAnsi" w:eastAsia="Arial" w:hAnsiTheme="minorHAnsi" w:cstheme="minorHAnsi"/>
          <w:b/>
          <w:color w:val="000000"/>
          <w:lang w:val="fr-FR"/>
        </w:rPr>
        <w:lastRenderedPageBreak/>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VI.4</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xml:space="preserve">: Adoption d’estimations des populations pour l’application des critères spécifiques tenant compte des oiseaux d’eau (1996) </w:t>
      </w:r>
    </w:p>
    <w:p w:rsidR="005B1E26" w:rsidRPr="00CF7824" w:rsidRDefault="005B1E26" w:rsidP="005B1E26">
      <w:pPr>
        <w:keepNext/>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1.</w:t>
      </w:r>
      <w:r w:rsidRPr="00CF7824">
        <w:rPr>
          <w:rFonts w:asciiTheme="minorHAnsi" w:eastAsia="Arial" w:hAnsiTheme="minorHAnsi" w:cstheme="minorHAnsi"/>
          <w:color w:val="000000"/>
          <w:lang w:val="fr-FR"/>
        </w:rPr>
        <w:tab/>
        <w:t xml:space="preserve">RÉAFFIRMANT la valeur écologique particulière des oiseaux d’eau pour l’identification des zones humides d’importance internationale, telle qu’exprimée dans le texte de la Convention et de plusieurs résolutions et recommandations ultérieures de la Conférence des Parties;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RECONNAISSANT que de nombreux </w:t>
      </w:r>
      <w:r w:rsidR="00F77F5A" w:rsidRPr="00CF7824">
        <w:rPr>
          <w:rFonts w:asciiTheme="minorHAnsi" w:eastAsia="Arial" w:hAnsiTheme="minorHAnsi" w:cstheme="minorHAnsi"/>
          <w:color w:val="000000"/>
          <w:lang w:val="fr-FR"/>
        </w:rPr>
        <w:t>Sites Ramsar</w:t>
      </w:r>
      <w:r w:rsidRPr="00CF7824">
        <w:rPr>
          <w:rFonts w:asciiTheme="minorHAnsi" w:eastAsia="Arial" w:hAnsiTheme="minorHAnsi" w:cstheme="minorHAnsi"/>
          <w:color w:val="000000"/>
          <w:lang w:val="fr-FR"/>
        </w:rPr>
        <w:t xml:space="preserve"> sont importants pour les oiseaux d’eau, et qu’il importe de disposer, de manière permanente, d’informations fiables pour soutenir l’application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3(c);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RAPPELANT la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5.9 qui demandait, entre autres, aux Parties contractantes de mettre régulièrement à jour les estimations internationales des populations d’oiseaux d’eau comme base de l’application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3(c), et au BIROE (aujourd’hui Wetlands International) de soumettre, à chaque session suivante de la Conférence des Parties, des chiffres mis à jour;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AYANT CONNAISSANCE des ateliers techniques, coordonnés par le Joint Nature Conservation Committee, au Royaume-Uni, l’Institut national de recherche sur l’environnement, au Danemark et Wetlands International, dans le but de fixer un calendrier pour la révision des estimations des populations d’oiseaux d’eau du Paléarctique occidental et de la voie de migration de l’Atlantique Est, dont les conclusions ont été présentées à la Séance technique E de la présente session et, en particulier, ayant conscience de la nécessité d’éviter toute modification à court terme des seuils types de 1%, étant donné leur valeur de référence pour l’évaluation de l’importance internationale d’un site;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CONSCIENTE de la nécessité d’établir une coordination technique étroite entre la Convention de Ramsar et l’Accord sur la conservation des oiseaux d’eau migrateurs d’Afrique-Eurasie de la Convention de Bonn, ainsi qu’avec d’autres traités et accords internationaux pour assurer une utilisation cohérente des estimations internationales des populations d’oiseaux d’eau et des seuils de 1%; </w:t>
      </w:r>
      <w:bookmarkStart w:id="21" w:name="_GoBack"/>
      <w:bookmarkEnd w:id="21"/>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PRENANT ACTE du projet de rapport de Wetlands International sur les estimations résumées de populations et des seuils de 1%, préparé pour la présente session de la Conférence des Parties, en application de la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5.9;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jc w:val="cente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LA CONFÉRENCE DES PARTIES CONTRACTANTES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7.</w:t>
      </w:r>
      <w:r w:rsidRPr="00CF7824">
        <w:rPr>
          <w:rFonts w:asciiTheme="minorHAnsi" w:eastAsia="Arial" w:hAnsiTheme="minorHAnsi" w:cstheme="minorHAnsi"/>
          <w:color w:val="000000"/>
          <w:lang w:val="fr-FR"/>
        </w:rPr>
        <w:tab/>
        <w:t>ENGAGE Wetlands International à poursuivre l’élaboration du Comptage international des oiseaux d’eau et à élargir sa couverture mondiale comme base importante de l’application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3(c) de Ramsar;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8"/>
        </w:numPr>
        <w:pBdr>
          <w:top w:val="nil"/>
          <w:left w:val="nil"/>
          <w:bottom w:val="nil"/>
          <w:right w:val="nil"/>
          <w:between w:val="nil"/>
        </w:pBdr>
        <w:ind w:left="425" w:hanging="425"/>
        <w:contextualSpacing w:val="0"/>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ENCOURAGE Wetlands International, par l’intermédiaire de son réseau de groupes de spécialistes sur les oiseaux d’eau, à collaborer avec le Bureau Ramsar et les Parties contractantes à la Convention de Ramsar, ainsi qu’avec d’autres traités internationaux, afin de 2 réviser et de garder à jour les estimations des populations d’oiseaux d’eau et les seuils de 1%, notamment en accordant la priorité à l’évaluation des effectifs des populations sur lesquelles il n’existe actuellement ni estimation fiable, ni seuil de 1%, et à soumettre ses conclusions à la 7</w:t>
      </w:r>
      <w:r w:rsidRPr="00CF7824">
        <w:rPr>
          <w:rFonts w:asciiTheme="minorHAnsi" w:eastAsia="Arial" w:hAnsiTheme="minorHAnsi" w:cstheme="minorHAnsi"/>
          <w:color w:val="000000"/>
          <w:vertAlign w:val="superscript"/>
          <w:lang w:val="fr-FR"/>
        </w:rPr>
        <w:t>e</w:t>
      </w:r>
      <w:r w:rsidR="00CB530D"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Session de la Conférence des Parties contractantes;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8"/>
        </w:numPr>
        <w:pBdr>
          <w:top w:val="nil"/>
          <w:left w:val="nil"/>
          <w:bottom w:val="nil"/>
          <w:right w:val="nil"/>
          <w:between w:val="nil"/>
        </w:pBdr>
        <w:ind w:left="425" w:hanging="425"/>
        <w:contextualSpacing w:val="0"/>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lastRenderedPageBreak/>
        <w:t xml:space="preserve">CONVIENT que, sauf dans le cas de populations d’oiseaux d’eau mal connues ou notoirement sujettes à des changements rapides, il suffit que le seuil de 1% soit révisé pour chaque troisième session ordinaire de la Conférence des Parties contractantes; et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10.</w:t>
      </w:r>
      <w:r w:rsidRPr="00CF7824">
        <w:rPr>
          <w:rFonts w:asciiTheme="minorHAnsi" w:eastAsia="Arial" w:hAnsiTheme="minorHAnsi" w:cstheme="minorHAnsi"/>
          <w:color w:val="000000"/>
          <w:lang w:val="fr-FR"/>
        </w:rPr>
        <w:tab/>
        <w:t>INVITE les Parties contractantes à se servir de ces estimations et de ces seuils, dès leur publication, comme base d’inscription de sites sur la Liste des zones humides d’importance internationale, durant les trois prochaines périodes triennales.</w:t>
      </w:r>
      <w:r w:rsidRPr="00CF7824">
        <w:rPr>
          <w:rFonts w:asciiTheme="minorHAnsi" w:eastAsia="Arial" w:hAnsiTheme="minorHAnsi" w:cstheme="minorHAnsi"/>
          <w:color w:val="000000"/>
          <w:lang w:val="fr-FR"/>
        </w:rPr>
        <w:tab/>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VIII.38</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xml:space="preserve">: Estimations des populations d’oiseaux d’eau et identification et inscription de zones humides d’importance internationale (2002)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1.</w:t>
      </w:r>
      <w:r w:rsidRPr="00CF7824">
        <w:rPr>
          <w:lang w:val="fr-FR"/>
        </w:rPr>
        <w:t xml:space="preserve"> </w:t>
      </w:r>
      <w:r w:rsidRPr="00CF7824">
        <w:rPr>
          <w:lang w:val="fr-FR"/>
        </w:rPr>
        <w:tab/>
      </w:r>
      <w:r w:rsidRPr="00CF7824">
        <w:rPr>
          <w:rFonts w:asciiTheme="minorHAnsi" w:eastAsia="Arial" w:hAnsiTheme="minorHAnsi" w:cstheme="minorHAnsi"/>
          <w:color w:val="000000"/>
          <w:lang w:val="fr-FR"/>
        </w:rPr>
        <w:t xml:space="preserve">RECONNAISSANT que l’étude et la mise à jour régulières des estimations des populations d’oiseaux d’eau sont nécessaires pour vérifier l’efficacité des mesures prises en matière de conservation et d’utilisation rationnelle des populations d’oiseaux d’eau, y compris la mise en place de réseaux nationaux et internationaux de sites protégés sur les voies de migration des oiseaux d’eau migrateurs, comme demandé dans le </w:t>
      </w:r>
      <w:r w:rsidRPr="00CF7824">
        <w:rPr>
          <w:rFonts w:asciiTheme="minorHAnsi" w:eastAsia="Arial" w:hAnsiTheme="minorHAnsi" w:cstheme="minorHAnsi"/>
          <w:i/>
          <w:color w:val="000000"/>
          <w:lang w:val="fr-FR"/>
        </w:rPr>
        <w:t>Cadre stratégique et lignes directrices pour orienter l’évolution de la Liste des zones humides d’importance internationale</w:t>
      </w:r>
      <w:r w:rsidRPr="00CF7824">
        <w:rPr>
          <w:rFonts w:asciiTheme="minorHAnsi" w:eastAsia="Arial" w:hAnsiTheme="minorHAnsi" w:cstheme="minorHAnsi"/>
          <w:color w:val="000000"/>
          <w:lang w:val="fr-FR"/>
        </w:rPr>
        <w:t xml:space="preserve">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VII.11);</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2. </w:t>
      </w:r>
      <w:r w:rsidRPr="00CF7824">
        <w:rPr>
          <w:rFonts w:asciiTheme="minorHAnsi" w:eastAsia="Arial" w:hAnsiTheme="minorHAnsi" w:cstheme="minorHAnsi"/>
          <w:color w:val="000000"/>
          <w:lang w:val="fr-FR"/>
        </w:rPr>
        <w:tab/>
        <w:t>RAPPELANT la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5.9 dans laquelle les Parties contractantes demandaient au BIROE (aujourd’hui Wetlands International) de fournir des informations sur les effectifs des populations d’oiseaux d’eau comme base de l’application du Critère 3</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c) (aujourd’hui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6) de sélection des </w:t>
      </w:r>
      <w:r w:rsidR="00F77F5A" w:rsidRPr="00CF7824">
        <w:rPr>
          <w:rFonts w:asciiTheme="minorHAnsi" w:eastAsia="Arial" w:hAnsiTheme="minorHAnsi" w:cstheme="minorHAnsi"/>
          <w:color w:val="000000"/>
          <w:lang w:val="fr-FR"/>
        </w:rPr>
        <w:t>Sites Ramsar</w:t>
      </w:r>
      <w:r w:rsidRPr="00CF7824">
        <w:rPr>
          <w:rFonts w:asciiTheme="minorHAnsi" w:eastAsia="Arial" w:hAnsiTheme="minorHAnsi" w:cstheme="minorHAnsi"/>
          <w:color w:val="000000"/>
          <w:lang w:val="fr-FR"/>
        </w:rPr>
        <w:t xml:space="preserve"> et RAPPELANT AUSSI la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VI.4 dans laquelle elles précisaient le calendrier souhaitable pour les mises à jour et demandaient à Wetlands International de présenter des informations à jour à chaque nouvelle session de la Conférence des Parties;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3.</w:t>
      </w:r>
      <w:r w:rsidRPr="00CF7824">
        <w:rPr>
          <w:rFonts w:asciiTheme="minorHAnsi" w:eastAsia="Arial" w:hAnsiTheme="minorHAnsi" w:cstheme="minorHAnsi"/>
          <w:color w:val="000000"/>
          <w:lang w:val="fr-FR"/>
        </w:rPr>
        <w:tab/>
        <w:t>RÉAFFIRMANT l’importance des données rassemblées par Wetlands International, dans le cadre de son Comptage international des oiseaux d’eau, pour l’évaluation des zones humides en fonction des Critères</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2, 4, 5 et 6 du Cadre stratégique et lignes directrices pour orienter l’évolution de la Liste des zones humides d’importance internationale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VII.11);</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4.</w:t>
      </w:r>
      <w:r w:rsidRPr="00CF7824">
        <w:rPr>
          <w:rFonts w:asciiTheme="minorHAnsi" w:eastAsia="Arial" w:hAnsiTheme="minorHAnsi" w:cstheme="minorHAnsi"/>
          <w:color w:val="000000"/>
          <w:lang w:val="fr-FR"/>
        </w:rPr>
        <w:tab/>
        <w:t>NOTANT à nouveau qu’il importe de procéder, dans les zones humides, à des recensements réguliers d’oiseaux d’eau, comme moyen efficace d’assurer le suivi des caractéristiques écologiques de sites particuliers, dans le but notamment de planifier la gestion, de réaliser des études d’impact sur l’environnement et d’évaluer les politiques nationales ou régionales pour les zones humides;</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5.</w:t>
      </w:r>
      <w:r w:rsidRPr="00CF7824">
        <w:rPr>
          <w:rFonts w:asciiTheme="minorHAnsi" w:eastAsia="Arial" w:hAnsiTheme="minorHAnsi" w:cstheme="minorHAnsi"/>
          <w:color w:val="000000"/>
          <w:lang w:val="fr-FR"/>
        </w:rPr>
        <w:tab/>
        <w:t xml:space="preserve">AYANT CONNAISSANCE de la vaste consultation internationale entreprise par Wetlands International pour rassembler les données et l’information nécessaires à la troisième édition de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une publication préparée pour la présente session de la Conférence des Parties contractantes qui contient les informations les plus récentes sur les effectifs des populations d’oiseaux d’eau, comme envisagé dans la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VI.4, et qui détermine des seuils de population de 1% pour 1</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138 (50%) populations biogéographiques d’oiseaux d’eau mais CONSCIENTE que malgré cela, il reste 1</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133</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populations d’oiseaux d’eau pour lesquelles il n’existe pas d’estimation de population fiable permettant d’établir un seuil de 1% en vue de l’application du Critère Ramsar</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6;</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6.</w:t>
      </w:r>
      <w:r w:rsidRPr="00CF7824">
        <w:rPr>
          <w:rFonts w:asciiTheme="minorHAnsi" w:eastAsia="Arial" w:hAnsiTheme="minorHAnsi" w:cstheme="minorHAnsi"/>
          <w:color w:val="000000"/>
          <w:lang w:val="fr-FR"/>
        </w:rPr>
        <w:tab/>
        <w:t xml:space="preserve">SE FÉLICITANT de la publication par BirdLife International, des </w:t>
      </w:r>
      <w:r w:rsidRPr="00CF7824">
        <w:rPr>
          <w:rFonts w:asciiTheme="minorHAnsi" w:eastAsia="Arial" w:hAnsiTheme="minorHAnsi" w:cstheme="minorHAnsi"/>
          <w:i/>
          <w:color w:val="000000"/>
          <w:lang w:val="fr-FR"/>
        </w:rPr>
        <w:t>ouvrages Important Bird Areas and potential Ramsar Sites in Europe</w:t>
      </w:r>
      <w:r w:rsidRPr="00CF7824">
        <w:rPr>
          <w:rFonts w:asciiTheme="minorHAnsi" w:eastAsia="Arial" w:hAnsiTheme="minorHAnsi" w:cstheme="minorHAnsi"/>
          <w:color w:val="000000"/>
          <w:lang w:val="fr-FR"/>
        </w:rPr>
        <w:t xml:space="preserve"> et </w:t>
      </w:r>
      <w:r w:rsidRPr="00CF7824">
        <w:rPr>
          <w:rFonts w:asciiTheme="minorHAnsi" w:eastAsia="Arial" w:hAnsiTheme="minorHAnsi" w:cstheme="minorHAnsi"/>
          <w:i/>
          <w:color w:val="000000"/>
          <w:lang w:val="fr-FR"/>
        </w:rPr>
        <w:t xml:space="preserve">Important Bird Areas and potential Ramsar Sites in </w:t>
      </w:r>
      <w:r w:rsidRPr="00CF7824">
        <w:rPr>
          <w:rFonts w:asciiTheme="minorHAnsi" w:eastAsia="Arial" w:hAnsiTheme="minorHAnsi" w:cstheme="minorHAnsi"/>
          <w:i/>
          <w:color w:val="000000"/>
          <w:lang w:val="fr-FR"/>
        </w:rPr>
        <w:lastRenderedPageBreak/>
        <w:t>Africa</w:t>
      </w:r>
      <w:r w:rsidRPr="00CF7824">
        <w:rPr>
          <w:rFonts w:asciiTheme="minorHAnsi" w:eastAsia="Arial" w:hAnsiTheme="minorHAnsi" w:cstheme="minorHAnsi"/>
          <w:color w:val="000000"/>
          <w:lang w:val="fr-FR"/>
        </w:rPr>
        <w:t xml:space="preserve"> et RECONNAISSANT l’utilité du programme de BirdLife International sur les Zones ornithologiques importantes (ZOI) pour aider les Parties contractantes à identifier des zones humides qui pourraient être d’importance internationale;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NOTANT que BirdLife International a publié, en 2000, l’évaluation la plus récente sur l’état des oiseaux du monde dans l’ouvrage </w:t>
      </w:r>
      <w:r w:rsidRPr="00CF7824">
        <w:rPr>
          <w:rFonts w:asciiTheme="minorHAnsi" w:eastAsia="Arial" w:hAnsiTheme="minorHAnsi" w:cstheme="minorHAnsi"/>
          <w:i/>
          <w:color w:val="000000"/>
          <w:lang w:val="fr-FR"/>
        </w:rPr>
        <w:t>Threatened Birds of the World</w:t>
      </w:r>
      <w:r w:rsidRPr="00CF7824">
        <w:rPr>
          <w:rFonts w:asciiTheme="minorHAnsi" w:eastAsia="Arial" w:hAnsiTheme="minorHAnsi" w:cstheme="minorHAnsi"/>
          <w:color w:val="000000"/>
          <w:lang w:val="fr-FR"/>
        </w:rPr>
        <w:t xml:space="preserve">, où il était indiqué que 158 espèces d’oiseaux d’eau sont menacées à l’échelle mondiale et que les données pour six autres espèces d’oiseaux d’eau étaient tellement insuffisantes qu’il était impossible de leur assigner un statut de conservation et RECONNAISSANT que cette publication contient des informations qui contribuent à l’identification et à l’inscription de </w:t>
      </w:r>
      <w:r w:rsidR="00F77F5A" w:rsidRPr="00CF7824">
        <w:rPr>
          <w:rFonts w:asciiTheme="minorHAnsi" w:eastAsia="Arial" w:hAnsiTheme="minorHAnsi" w:cstheme="minorHAnsi"/>
          <w:color w:val="000000"/>
          <w:lang w:val="fr-FR"/>
        </w:rPr>
        <w:t>Sites Ramsar</w:t>
      </w:r>
      <w:r w:rsidRPr="00CF7824">
        <w:rPr>
          <w:rFonts w:asciiTheme="minorHAnsi" w:eastAsia="Arial" w:hAnsiTheme="minorHAnsi" w:cstheme="minorHAnsi"/>
          <w:color w:val="000000"/>
          <w:lang w:val="fr-FR"/>
        </w:rPr>
        <w:t xml:space="preserve"> en fonction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2;</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RECONNAISSANT le rôle que jouent les groupes de spécialistes internationaux de la Commission de la sauvegarde des espèces de l’UICN – Union mondiale pour la nature et de Wetlands International, qui rassemblent, analysent et interprètent les données relatives aux populations d’oiseaux d’eau;</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SACHANT que pour que les mesures de gestion s’appuient sur les meilleures informations, il importe d’exercer le suivi des données sur les populations et formes hybrides d’oiseaux d’eau exotiques, allogènes et envahissantes ainsi que sur les oiseaux d’eau dont les populations augmentent rapidement en dehors de leur aire de répartition d’origine;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AYANT CONNAISSANCE de l’élaboration par Wetlands International du projet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Voies de migration des oiseaux d’eau d’Afrique et d’Eurasie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 pour renforcer la couverture et la qualité des données qui serviront à préparer les versions futures de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et permettre d’identifier des </w:t>
      </w:r>
      <w:r w:rsidR="00F77F5A" w:rsidRPr="00CF7824">
        <w:rPr>
          <w:rFonts w:asciiTheme="minorHAnsi" w:eastAsia="Arial" w:hAnsiTheme="minorHAnsi" w:cstheme="minorHAnsi"/>
          <w:color w:val="000000"/>
          <w:lang w:val="fr-FR"/>
        </w:rPr>
        <w:t>Sites Ramsar</w:t>
      </w:r>
      <w:r w:rsidRPr="00CF7824">
        <w:rPr>
          <w:rFonts w:asciiTheme="minorHAnsi" w:eastAsia="Arial" w:hAnsiTheme="minorHAnsi" w:cstheme="minorHAnsi"/>
          <w:color w:val="000000"/>
          <w:lang w:val="fr-FR"/>
        </w:rPr>
        <w:t xml:space="preserve"> potentiels en repérant des zones humides d’importance critique le long des voies de migration des oiseaux d’eau mais aussi d’améliorer la capacité d’étude et de suivi de ces zones humides; </w:t>
      </w:r>
    </w:p>
    <w:p w:rsidR="005B1E26" w:rsidRPr="00CF7824" w:rsidRDefault="005B1E26" w:rsidP="005B1E26">
      <w:pPr>
        <w:pStyle w:val="ListParagraph"/>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DÉSIREUSE de promouvoir l’utilisation d’une source d’information mondiale cohérente concernant le seuil de 1% pour l’application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6 d’inscription de zones humides d’importance internationale;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jc w:val="center"/>
        <w:rPr>
          <w:lang w:val="fr-FR"/>
        </w:rPr>
      </w:pPr>
      <w:r w:rsidRPr="00CF7824">
        <w:rPr>
          <w:lang w:val="fr-FR"/>
        </w:rPr>
        <w:t>LA CONFÉRENCE DES PARTIES CONTRACTANTES</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ACCUEILLE AVEC SATI</w:t>
      </w:r>
      <w:r w:rsidR="004278F7" w:rsidRPr="00CF7824">
        <w:rPr>
          <w:lang w:val="fr-FR"/>
        </w:rPr>
        <w:t>S</w:t>
      </w:r>
      <w:r w:rsidRPr="00CF7824">
        <w:rPr>
          <w:lang w:val="fr-FR"/>
        </w:rPr>
        <w:t xml:space="preserve">FACTION la publication de la troisième édition de </w:t>
      </w:r>
      <w:r w:rsidRPr="00CF7824">
        <w:rPr>
          <w:i/>
          <w:lang w:val="fr-FR"/>
        </w:rPr>
        <w:t>Waterbird Population Estimates</w:t>
      </w:r>
      <w:r w:rsidRPr="00CF7824">
        <w:rPr>
          <w:lang w:val="fr-FR"/>
        </w:rPr>
        <w:t xml:space="preserve">, préparée pour la présente session de la Conférence des Parties et FÉLICITE Wetlands International pour le travail accompli afin d’améliorer cette source mondiale et cohérente de données et d’informations importantes pour la conservation et l’utilisation rationnelle des zones humides et des oiseaux d’eau et pour avoir augmenté le nombre de populations biogéographiques pour lesquelles des estimations de population et des seuils de 1% sont désormais disponibles.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PRIE INSTAMMENT toutes les Parties contractantes d’utiliser les seuils pertinents de 1% contenus dans la troisième édition de </w:t>
      </w:r>
      <w:r w:rsidRPr="00CF7824">
        <w:rPr>
          <w:i/>
          <w:lang w:val="fr-FR"/>
        </w:rPr>
        <w:t>Waterbird Population Estimates</w:t>
      </w:r>
      <w:r w:rsidRPr="00CF7824">
        <w:rPr>
          <w:lang w:val="fr-FR"/>
        </w:rPr>
        <w:t xml:space="preserve"> en tant que base officielle et cohérente d’application du Critère</w:t>
      </w:r>
      <w:r w:rsidR="00CC2126" w:rsidRPr="00CF7824">
        <w:rPr>
          <w:lang w:val="fr-FR"/>
        </w:rPr>
        <w:t> </w:t>
      </w:r>
      <w:r w:rsidRPr="00CF7824">
        <w:rPr>
          <w:lang w:val="fr-FR"/>
        </w:rPr>
        <w:t xml:space="preserve">6 du </w:t>
      </w:r>
      <w:r w:rsidRPr="00CF7824">
        <w:rPr>
          <w:i/>
          <w:lang w:val="fr-FR"/>
        </w:rPr>
        <w:t>Cadre stratégique et lignes directrices pour orienter l’évolution de la Liste des zones humides d’importance internationale</w:t>
      </w:r>
      <w:r w:rsidRPr="00CF7824">
        <w:rPr>
          <w:lang w:val="fr-FR"/>
        </w:rPr>
        <w:t xml:space="preserve"> en vue d’inscrire des </w:t>
      </w:r>
      <w:r w:rsidR="00F77F5A" w:rsidRPr="00CF7824">
        <w:rPr>
          <w:lang w:val="fr-FR"/>
        </w:rPr>
        <w:t>Sites Ramsar</w:t>
      </w:r>
      <w:r w:rsidRPr="00CF7824">
        <w:rPr>
          <w:lang w:val="fr-FR"/>
        </w:rPr>
        <w:t xml:space="preserve"> dans la période triennale de 2003 à 2005.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PRIE AUSSI INSTAMMENT les Parties contractantes de collaborer à l’identification et à la constitution de réseaux cohérents de </w:t>
      </w:r>
      <w:r w:rsidR="00F77F5A" w:rsidRPr="00CF7824">
        <w:rPr>
          <w:lang w:val="fr-FR"/>
        </w:rPr>
        <w:t>Sites Ramsar</w:t>
      </w:r>
      <w:r w:rsidRPr="00CF7824">
        <w:rPr>
          <w:lang w:val="fr-FR"/>
        </w:rPr>
        <w:t xml:space="preserve"> à l’échelle des voies de migration pour les </w:t>
      </w:r>
      <w:r w:rsidRPr="00CF7824">
        <w:rPr>
          <w:lang w:val="fr-FR"/>
        </w:rPr>
        <w:lastRenderedPageBreak/>
        <w:t>oiseaux d’eau migrateurs, conformément à l’Action</w:t>
      </w:r>
      <w:r w:rsidR="00CC2126" w:rsidRPr="00CF7824">
        <w:rPr>
          <w:lang w:val="fr-FR"/>
        </w:rPr>
        <w:t> </w:t>
      </w:r>
      <w:r w:rsidRPr="00CF7824">
        <w:rPr>
          <w:lang w:val="fr-FR"/>
        </w:rPr>
        <w:t>12.2.2 du Plan stratégique de la Convention</w:t>
      </w:r>
      <w:r w:rsidR="00CC2126" w:rsidRPr="00CF7824">
        <w:rPr>
          <w:lang w:val="fr-FR"/>
        </w:rPr>
        <w:t> </w:t>
      </w:r>
      <w:r w:rsidRPr="00CF7824">
        <w:rPr>
          <w:lang w:val="fr-FR"/>
        </w:rPr>
        <w:t xml:space="preserve">2003-2008, et de travailler en coopération avec la Convention sur les espèces migratrices (CMS) et l’Accord sur les oiseaux d’eau migrateurs d’Afrique-Eurasie (AEWA) dans le cadre du Plan de travail conjoint entre la Convention de Ramsar, la CMS et l’AEWA.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PRIE ENFIN INSTAMMENT les Parties contractantes de choisir des </w:t>
      </w:r>
      <w:r w:rsidR="00F77F5A" w:rsidRPr="00CF7824">
        <w:rPr>
          <w:lang w:val="fr-FR"/>
        </w:rPr>
        <w:t>Sites Ramsar</w:t>
      </w:r>
      <w:r w:rsidRPr="00CF7824">
        <w:rPr>
          <w:lang w:val="fr-FR"/>
        </w:rPr>
        <w:t xml:space="preserve"> pour des oiseaux d’eau menacés au plan mondial, en application de l’Action</w:t>
      </w:r>
      <w:r w:rsidR="00CC2126" w:rsidRPr="00CF7824">
        <w:rPr>
          <w:lang w:val="fr-FR"/>
        </w:rPr>
        <w:t> </w:t>
      </w:r>
      <w:r w:rsidRPr="00CF7824">
        <w:rPr>
          <w:lang w:val="fr-FR"/>
        </w:rPr>
        <w:t>12.2.1 du Plan stratégique de la Convention</w:t>
      </w:r>
      <w:r w:rsidR="00CC2126" w:rsidRPr="00CF7824">
        <w:rPr>
          <w:lang w:val="fr-FR"/>
        </w:rPr>
        <w:t> </w:t>
      </w:r>
      <w:r w:rsidRPr="00CF7824">
        <w:rPr>
          <w:lang w:val="fr-FR"/>
        </w:rPr>
        <w:t xml:space="preserve">2003-2008, sans perdre de vue l’intérêt de choisir des </w:t>
      </w:r>
      <w:r w:rsidR="00F77F5A" w:rsidRPr="00CF7824">
        <w:rPr>
          <w:lang w:val="fr-FR"/>
        </w:rPr>
        <w:t>Sites Ramsar</w:t>
      </w:r>
      <w:r w:rsidRPr="00CF7824">
        <w:rPr>
          <w:lang w:val="fr-FR"/>
        </w:rPr>
        <w:t xml:space="preserve"> dans le but de soutenir des stratégies de conservation d’oiseaux d’eau menacés au plan national ou régional.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CHARGE Wetlands International, avec l’aide du Bureau Ramsar, de communiquer, y compris sous format électronique, la troisième édition de </w:t>
      </w:r>
      <w:r w:rsidRPr="00CF7824">
        <w:rPr>
          <w:i/>
          <w:lang w:val="fr-FR"/>
        </w:rPr>
        <w:t>Waterbird Population Estimates</w:t>
      </w:r>
      <w:r w:rsidRPr="00CF7824">
        <w:rPr>
          <w:lang w:val="fr-FR"/>
        </w:rPr>
        <w:t xml:space="preserve"> à toutes les Parties contractantes, pays non Parties et autres organisations qui participent à l’identification et à la sélection de </w:t>
      </w:r>
      <w:r w:rsidR="00F77F5A" w:rsidRPr="00CF7824">
        <w:rPr>
          <w:lang w:val="fr-FR"/>
        </w:rPr>
        <w:t>Sites Ramsar</w:t>
      </w:r>
      <w:r w:rsidRPr="00CF7824">
        <w:rPr>
          <w:lang w:val="fr-FR"/>
        </w:rPr>
        <w:t xml:space="preserve">.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DEMANDE à Wetlands International de continuer à préparer une édition à jour de </w:t>
      </w:r>
      <w:r w:rsidRPr="00CF7824">
        <w:rPr>
          <w:i/>
          <w:lang w:val="fr-FR"/>
        </w:rPr>
        <w:t>Waterbird Population Estimates</w:t>
      </w:r>
      <w:r w:rsidRPr="00CF7824">
        <w:rPr>
          <w:lang w:val="fr-FR"/>
        </w:rPr>
        <w:t xml:space="preserve"> pour chaque nouvelle session de la Conférence des Parties après avoir entrepris une consultation internationale scientifique sur son contenu de manière que les estimations de population et les seuils de 1% puissent être utilisés comme base d’application du Critère</w:t>
      </w:r>
      <w:r w:rsidR="00CC2126" w:rsidRPr="00CF7824">
        <w:rPr>
          <w:lang w:val="fr-FR"/>
        </w:rPr>
        <w:t> </w:t>
      </w:r>
      <w:r w:rsidRPr="00CF7824">
        <w:rPr>
          <w:lang w:val="fr-FR"/>
        </w:rPr>
        <w:t xml:space="preserve">6 dans la période triennale suivante.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SE FÉLICITE de l’intention de Wetlands International de renforcer le champ et la couverture des futures éditions de </w:t>
      </w:r>
      <w:r w:rsidRPr="00CF7824">
        <w:rPr>
          <w:i/>
          <w:lang w:val="fr-FR"/>
        </w:rPr>
        <w:t>Waterbird Population Estimates</w:t>
      </w:r>
      <w:r w:rsidRPr="00CF7824">
        <w:rPr>
          <w:lang w:val="fr-FR"/>
        </w:rPr>
        <w:t xml:space="preserve"> afin d’inclure tous les taxons d’oiseaux d’eau inscrits dans le glossaire annexé au </w:t>
      </w:r>
      <w:r w:rsidRPr="00CF7824">
        <w:rPr>
          <w:i/>
          <w:lang w:val="fr-FR"/>
        </w:rPr>
        <w:t>Cadre stratégique et lignes directrices pour orienter l’évolution de la Liste des zones humides d’importance internationale</w:t>
      </w:r>
      <w:r w:rsidRPr="00CF7824">
        <w:rPr>
          <w:lang w:val="fr-FR"/>
        </w:rPr>
        <w:t xml:space="preserve">.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SE FÉLICITE ÉGALEMENT du projet d’établissement, par Wetlands International, d’un comité directeur mondial pour le suivi des oiseaux d’eau comme moyen de recentrer l’évolution future du Comptage international des oiseaux d’eau et en particulier sa contribution à l’évolution stratégique de la Liste de Ramsar et DEMANDE à ce comité, lorsqu’il aura été établi, de déterminer des moyens de mieux communiquer les données et les informations du Comptage international des oiseaux d’eau aux Parties contractantes, entre autres, pour les aider à identifier et inscrire des </w:t>
      </w:r>
      <w:r w:rsidR="00F77F5A" w:rsidRPr="00CF7824">
        <w:rPr>
          <w:lang w:val="fr-FR"/>
        </w:rPr>
        <w:t>Sites Ramsar</w:t>
      </w:r>
      <w:r w:rsidRPr="00CF7824">
        <w:rPr>
          <w:lang w:val="fr-FR"/>
        </w:rPr>
        <w:t xml:space="preserve">.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ENCOURAGE les Parties contractantes, entre autres, avec les données et l’information pertinentes, à aider Wetlands International et BirdLife International dans leur collecte permanente et leur fourniture de données démographiques sur les oiseaux d’eau, y compris les espèces menacées au plan mondial et les espèces pour lesquelles BirdLife International, a déterminé, dans </w:t>
      </w:r>
      <w:r w:rsidRPr="00CF7824">
        <w:rPr>
          <w:i/>
          <w:lang w:val="fr-FR"/>
        </w:rPr>
        <w:t>Threatened Birds of the World</w:t>
      </w:r>
      <w:r w:rsidRPr="00CF7824">
        <w:rPr>
          <w:lang w:val="fr-FR"/>
        </w:rPr>
        <w:t xml:space="preserve">, qu’il n’y avait pas assez d’information.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INVITE la Commission de la sauvegarde des espèces de l’UICN et Wetlands International à encourager la création de nouveaux groupes de spécialistes de taxons d’oiseaux d’eau pour lesquels n’existent pas de tels réseaux d’experts, en vue de contribuer à la collecte et à Ramsar COP8 Résolution</w:t>
      </w:r>
      <w:r w:rsidR="00CC2126" w:rsidRPr="00CF7824">
        <w:rPr>
          <w:lang w:val="fr-FR"/>
        </w:rPr>
        <w:t> </w:t>
      </w:r>
      <w:r w:rsidRPr="00CF7824">
        <w:rPr>
          <w:lang w:val="fr-FR"/>
        </w:rPr>
        <w:t>VIII.38, page</w:t>
      </w:r>
      <w:r w:rsidR="00CC2126" w:rsidRPr="00CF7824">
        <w:rPr>
          <w:lang w:val="fr-FR"/>
        </w:rPr>
        <w:t> </w:t>
      </w:r>
      <w:r w:rsidRPr="00CF7824">
        <w:rPr>
          <w:lang w:val="fr-FR"/>
        </w:rPr>
        <w:t>4 l’interprétation critique des données relatives aux populations d’oiseaux d’eau importantes pour l’application du Critère</w:t>
      </w:r>
      <w:r w:rsidR="00CC2126" w:rsidRPr="00CF7824">
        <w:rPr>
          <w:lang w:val="fr-FR"/>
        </w:rPr>
        <w:t> </w:t>
      </w:r>
      <w:r w:rsidRPr="00CF7824">
        <w:rPr>
          <w:lang w:val="fr-FR"/>
        </w:rPr>
        <w:t xml:space="preserve">6.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t xml:space="preserve">ENCOURAGE BirdLife International à communiquer aux Parties contractantes, entre autres, l’information issue de son programme sur les Zones ornithologiques importantes (ZOI), y compris ses analyses des ZOI et des </w:t>
      </w:r>
      <w:r w:rsidR="00F77F5A" w:rsidRPr="00CF7824">
        <w:rPr>
          <w:lang w:val="fr-FR"/>
        </w:rPr>
        <w:t>Sites Ramsar</w:t>
      </w:r>
      <w:r w:rsidRPr="00CF7824">
        <w:rPr>
          <w:lang w:val="fr-FR"/>
        </w:rPr>
        <w:t xml:space="preserve"> potentiels, en Europe et en Afrique, et d’envisager de préparer des analyses semblables pour d’autres régions.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lang w:val="fr-FR"/>
        </w:rPr>
      </w:pPr>
      <w:r w:rsidRPr="00CF7824">
        <w:rPr>
          <w:lang w:val="fr-FR"/>
        </w:rPr>
        <w:lastRenderedPageBreak/>
        <w:t>APPELLE le Fonds pour l’environnement mondial à aider les pays éligibles à appliquer le projet «</w:t>
      </w:r>
      <w:r w:rsidR="00CC2126" w:rsidRPr="00CF7824">
        <w:rPr>
          <w:lang w:val="fr-FR"/>
        </w:rPr>
        <w:t> </w:t>
      </w:r>
      <w:r w:rsidRPr="00CF7824">
        <w:rPr>
          <w:lang w:val="fr-FR"/>
        </w:rPr>
        <w:t>Voies de migration des oiseaux d’eau d’Afrique et d’Eurasie</w:t>
      </w:r>
      <w:r w:rsidR="00CC2126" w:rsidRPr="00CF7824">
        <w:rPr>
          <w:lang w:val="fr-FR"/>
        </w:rPr>
        <w:t> </w:t>
      </w:r>
      <w:r w:rsidRPr="00CF7824">
        <w:rPr>
          <w:lang w:val="fr-FR"/>
        </w:rPr>
        <w:t xml:space="preserve">». </w:t>
      </w:r>
    </w:p>
    <w:p w:rsidR="005B1E26" w:rsidRPr="00CF7824" w:rsidRDefault="005B1E26" w:rsidP="005B1E26">
      <w:pPr>
        <w:pBdr>
          <w:top w:val="nil"/>
          <w:left w:val="nil"/>
          <w:bottom w:val="nil"/>
          <w:right w:val="nil"/>
          <w:between w:val="nil"/>
        </w:pBdr>
        <w:rPr>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lang w:val="fr-FR"/>
        </w:rPr>
        <w:t>PRIE INSTAMMENT les Parties contractantes d’appliquer, s’il y a lieu, les données de suivi des oiseaux d’eau et les analyses qui en sont issues, comme moyen d’apporter une information objective à la planification de la gestion des sites et à l’évaluation des politiques nationales ou régionales pour les zones humides.</w:t>
      </w:r>
    </w:p>
    <w:p w:rsidR="005B1E26" w:rsidRPr="00CF7824" w:rsidRDefault="005B1E26" w:rsidP="005B1E26">
      <w:pPr>
        <w:pStyle w:val="ListParagraph"/>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X.22</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Promouvoir la coopération internationale pour la conservation des voies de migration des oiseaux d’eau (2008)</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Style w:val="ListParagraph"/>
        <w:numPr>
          <w:ilvl w:val="0"/>
          <w:numId w:val="10"/>
        </w:num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DEMANDE à Wetlands International de s’appuyer sur l’information contenue dans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pour faire régulièrement rapport sur l’état des oiseaux d’eau dans le monde aux Parties contractantes à la Convention de Ramsar, à la CMS, à l’AEWA et à la CDB et PRIE INSTAMMENT les Parties contractantes, entre autres, à la fois pour apporter l’appui financier nécessaire permettant de publier de telles évaluations internationales et pour soutenir le Comptage international des oiseaux d’eau coordonné qui Ramsar COP10 Résolution</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X.22, page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5 contribue à ces estimations et évaluations de populations et à la fourniture de beaucoup d’autres connaissances en rapport</w:t>
      </w: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XIV.18</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Estimations des populations d’oiseaux d’eau pour soutenir les inscriptions de Sites Ramsar nouveaux et existants en vertu du Critère 6</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Ramsar</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xml:space="preserve"> utilisation de nouvelles estimations (2022)</w:t>
      </w:r>
    </w:p>
    <w:p w:rsidR="005B1E26" w:rsidRPr="00CF7824" w:rsidRDefault="005B1E26" w:rsidP="005B1E26">
      <w:pPr>
        <w:pBdr>
          <w:top w:val="nil"/>
          <w:left w:val="nil"/>
          <w:bottom w:val="nil"/>
          <w:right w:val="nil"/>
          <w:between w:val="nil"/>
        </w:pBdr>
        <w:rPr>
          <w:rFonts w:asciiTheme="minorHAnsi" w:eastAsia="Arial" w:hAnsiTheme="minorHAnsi" w:cstheme="minorHAnsi"/>
          <w:b/>
          <w:color w:val="000000"/>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w:t>
      </w:r>
      <w:r w:rsidRPr="00CF7824">
        <w:rPr>
          <w:rFonts w:eastAsia="Times New Roman" w:cs="Calibri"/>
          <w:lang w:val="fr-FR"/>
        </w:rPr>
        <w:tab/>
        <w:t>RAPPELANT</w:t>
      </w:r>
      <w:r w:rsidR="00CC2126" w:rsidRPr="00CF7824">
        <w:rPr>
          <w:rFonts w:eastAsia="Times New Roman" w:cs="Calibri"/>
          <w:lang w:val="fr-FR"/>
        </w:rPr>
        <w:t> </w:t>
      </w:r>
      <w:r w:rsidRPr="00CF7824">
        <w:rPr>
          <w:rFonts w:eastAsia="Times New Roman" w:cs="Calibri"/>
          <w:lang w:val="fr-FR"/>
        </w:rPr>
        <w:t>:</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w:t>
      </w:r>
      <w:r w:rsidRPr="00CF7824">
        <w:rPr>
          <w:rFonts w:cs="Calibri"/>
          <w:lang w:val="fr-FR" w:eastAsia="en-AU"/>
        </w:rPr>
        <w:tab/>
        <w:t>La Résolution</w:t>
      </w:r>
      <w:r w:rsidR="00CC2126" w:rsidRPr="00CF7824">
        <w:rPr>
          <w:rFonts w:cs="Calibri"/>
          <w:lang w:val="fr-FR" w:eastAsia="en-AU"/>
        </w:rPr>
        <w:t> </w:t>
      </w:r>
      <w:r w:rsidRPr="00CF7824">
        <w:rPr>
          <w:rFonts w:cs="Calibri"/>
          <w:lang w:val="fr-FR" w:eastAsia="en-AU"/>
        </w:rPr>
        <w:t>5.9</w:t>
      </w:r>
      <w:r w:rsidR="00CC2126" w:rsidRPr="00CF7824">
        <w:rPr>
          <w:rFonts w:cs="Calibri"/>
          <w:lang w:val="fr-FR" w:eastAsia="en-AU"/>
        </w:rPr>
        <w:t> </w:t>
      </w:r>
      <w:r w:rsidRPr="00CF7824">
        <w:rPr>
          <w:rFonts w:cs="Calibri"/>
          <w:lang w:val="fr-FR" w:eastAsia="en-AU"/>
        </w:rPr>
        <w:t xml:space="preserve">: </w:t>
      </w:r>
      <w:r w:rsidRPr="00CF7824">
        <w:rPr>
          <w:rFonts w:cs="Calibri"/>
          <w:i/>
          <w:iCs/>
          <w:lang w:val="fr-FR" w:eastAsia="en-AU"/>
        </w:rPr>
        <w:t>Application des critères Ramsar d’identification des zones humides d’importance internationale</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ii)</w:t>
      </w:r>
      <w:r w:rsidRPr="00CF7824">
        <w:rPr>
          <w:rFonts w:cs="Calibri"/>
          <w:lang w:val="fr-FR" w:eastAsia="en-AU"/>
        </w:rPr>
        <w:tab/>
        <w:t>La Résolution</w:t>
      </w:r>
      <w:r w:rsidR="00CC2126" w:rsidRPr="00CF7824">
        <w:rPr>
          <w:rFonts w:cs="Calibri"/>
          <w:lang w:val="fr-FR" w:eastAsia="en-AU"/>
        </w:rPr>
        <w:t> </w:t>
      </w:r>
      <w:r w:rsidRPr="00CF7824">
        <w:rPr>
          <w:rFonts w:cs="Calibri"/>
          <w:lang w:val="fr-FR" w:eastAsia="en-AU"/>
        </w:rPr>
        <w:t>VI.4</w:t>
      </w:r>
      <w:r w:rsidR="00CC2126" w:rsidRPr="00CF7824">
        <w:rPr>
          <w:rFonts w:cs="Calibri"/>
          <w:lang w:val="fr-FR" w:eastAsia="en-AU"/>
        </w:rPr>
        <w:t> </w:t>
      </w:r>
      <w:r w:rsidRPr="00CF7824">
        <w:rPr>
          <w:rFonts w:cs="Calibri"/>
          <w:lang w:val="fr-FR" w:eastAsia="en-AU"/>
        </w:rPr>
        <w:t xml:space="preserve">: </w:t>
      </w:r>
      <w:r w:rsidRPr="00CF7824">
        <w:rPr>
          <w:rFonts w:cs="Calibri"/>
          <w:i/>
          <w:iCs/>
          <w:lang w:val="fr-FR" w:eastAsia="en-AU"/>
        </w:rPr>
        <w:t>Adoption d’estimations des populations pour l’application des critères spécifiques tenant compte des oiseaux d’eau</w:t>
      </w:r>
      <w:r w:rsidRPr="00CF7824">
        <w:rPr>
          <w:rFonts w:cs="Calibri"/>
          <w:lang w:val="fr-FR" w:eastAsia="en-AU"/>
        </w:rPr>
        <w:t xml:space="preserve"> </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iii)</w:t>
      </w:r>
      <w:r w:rsidRPr="00CF7824">
        <w:rPr>
          <w:rFonts w:cs="Calibri"/>
          <w:lang w:val="fr-FR" w:eastAsia="en-AU"/>
        </w:rPr>
        <w:tab/>
        <w:t>La Résolution</w:t>
      </w:r>
      <w:r w:rsidR="00CC2126" w:rsidRPr="00CF7824">
        <w:rPr>
          <w:rFonts w:cs="Calibri"/>
          <w:lang w:val="fr-FR" w:eastAsia="en-AU"/>
        </w:rPr>
        <w:t> </w:t>
      </w:r>
      <w:r w:rsidRPr="00CF7824">
        <w:rPr>
          <w:rFonts w:cs="Calibri"/>
          <w:lang w:val="fr-FR" w:eastAsia="en-AU"/>
        </w:rPr>
        <w:t>VIII.38</w:t>
      </w:r>
      <w:r w:rsidR="00CC2126" w:rsidRPr="00CF7824">
        <w:rPr>
          <w:rFonts w:cs="Calibri"/>
          <w:lang w:val="fr-FR" w:eastAsia="en-AU"/>
        </w:rPr>
        <w:t> </w:t>
      </w:r>
      <w:r w:rsidRPr="00CF7824">
        <w:rPr>
          <w:rFonts w:cs="Calibri"/>
          <w:lang w:val="fr-FR" w:eastAsia="en-AU"/>
        </w:rPr>
        <w:t xml:space="preserve">: </w:t>
      </w:r>
      <w:r w:rsidRPr="00CF7824">
        <w:rPr>
          <w:rFonts w:cs="Calibri"/>
          <w:i/>
          <w:iCs/>
          <w:lang w:val="fr-FR" w:eastAsia="en-AU"/>
        </w:rPr>
        <w:t>Estimations des populations d’oiseaux d’eau et identification et inscription de zones humides d’importance internationale</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iv)</w:t>
      </w:r>
      <w:r w:rsidRPr="00CF7824">
        <w:rPr>
          <w:rFonts w:cs="Calibri"/>
          <w:lang w:val="fr-FR" w:eastAsia="en-AU"/>
        </w:rPr>
        <w:tab/>
        <w:t>La Résolution</w:t>
      </w:r>
      <w:r w:rsidR="00CC2126" w:rsidRPr="00CF7824">
        <w:rPr>
          <w:rFonts w:cs="Calibri"/>
          <w:lang w:val="fr-FR" w:eastAsia="en-AU"/>
        </w:rPr>
        <w:t> </w:t>
      </w:r>
      <w:r w:rsidRPr="00CF7824">
        <w:rPr>
          <w:rFonts w:cs="Calibri"/>
          <w:lang w:val="fr-FR" w:eastAsia="en-AU"/>
        </w:rPr>
        <w:t>X.22</w:t>
      </w:r>
      <w:r w:rsidR="00CC2126" w:rsidRPr="00CF7824">
        <w:rPr>
          <w:rFonts w:cs="Calibri"/>
          <w:lang w:val="fr-FR" w:eastAsia="en-AU"/>
        </w:rPr>
        <w:t> </w:t>
      </w:r>
      <w:r w:rsidRPr="00CF7824">
        <w:rPr>
          <w:rFonts w:cs="Calibri"/>
          <w:lang w:val="fr-FR" w:eastAsia="en-AU"/>
        </w:rPr>
        <w:t xml:space="preserve">: </w:t>
      </w:r>
      <w:r w:rsidRPr="00CF7824">
        <w:rPr>
          <w:rFonts w:cs="Calibri"/>
          <w:i/>
          <w:iCs/>
          <w:lang w:val="fr-FR" w:eastAsia="en-AU"/>
        </w:rPr>
        <w:t>Promouvoir la coopération internationale pour la conservation des voies de migration des oiseaux d’eau</w:t>
      </w:r>
      <w:r w:rsidR="00A12CF2" w:rsidRPr="00CF7824">
        <w:rPr>
          <w:rFonts w:cs="Calibri"/>
          <w:lang w:val="fr-FR" w:eastAsia="en-AU"/>
        </w:rPr>
        <w:t>;</w:t>
      </w:r>
    </w:p>
    <w:p w:rsidR="005B1E26" w:rsidRPr="00CF7824" w:rsidRDefault="005B1E26" w:rsidP="005B1E26">
      <w:pPr>
        <w:autoSpaceDE w:val="0"/>
        <w:autoSpaceDN w:val="0"/>
        <w:adjustRightInd w:val="0"/>
        <w:ind w:left="851"/>
        <w:rPr>
          <w:rFonts w:cs="Calibri"/>
          <w:i/>
          <w:iCs/>
          <w:u w:val="single"/>
          <w:lang w:val="fr-FR" w:eastAsia="en-AU"/>
        </w:rPr>
      </w:pPr>
      <w:r w:rsidRPr="00CF7824">
        <w:rPr>
          <w:rFonts w:cs="Calibri"/>
          <w:lang w:val="fr-FR" w:eastAsia="en-AU"/>
        </w:rPr>
        <w:t>v)</w:t>
      </w:r>
      <w:r w:rsidRPr="00CF7824">
        <w:rPr>
          <w:rFonts w:cs="Calibri"/>
          <w:lang w:val="fr-FR" w:eastAsia="en-AU"/>
        </w:rPr>
        <w:tab/>
        <w:t>La Résolution</w:t>
      </w:r>
      <w:r w:rsidR="00CC2126" w:rsidRPr="00CF7824">
        <w:rPr>
          <w:rFonts w:cs="Calibri"/>
          <w:lang w:val="fr-FR" w:eastAsia="en-AU"/>
        </w:rPr>
        <w:t> </w:t>
      </w:r>
      <w:r w:rsidRPr="00CF7824">
        <w:rPr>
          <w:rFonts w:cs="Calibri"/>
          <w:lang w:val="fr-FR" w:eastAsia="en-AU"/>
        </w:rPr>
        <w:t>XIII.20</w:t>
      </w:r>
      <w:r w:rsidR="00CC2126" w:rsidRPr="00CF7824">
        <w:rPr>
          <w:rFonts w:cs="Calibri"/>
          <w:lang w:val="fr-FR" w:eastAsia="en-AU"/>
        </w:rPr>
        <w:t> </w:t>
      </w:r>
      <w:r w:rsidRPr="00CF7824">
        <w:rPr>
          <w:rFonts w:cs="Calibri"/>
          <w:lang w:val="fr-FR" w:eastAsia="en-AU"/>
        </w:rPr>
        <w:t xml:space="preserve">: </w:t>
      </w:r>
      <w:r w:rsidRPr="00CF7824">
        <w:rPr>
          <w:rFonts w:cs="Calibri"/>
          <w:i/>
          <w:iCs/>
          <w:lang w:val="fr-FR" w:eastAsia="en-AU"/>
        </w:rPr>
        <w:t>Promouvoir la conservation et l’utilisation rationnelle des zones humides intertidales et des habitats associés sur le plan écologique</w:t>
      </w:r>
      <w:r w:rsidR="00A12CF2" w:rsidRPr="00CF7824">
        <w:rPr>
          <w:rFonts w:cs="Calibri"/>
          <w:i/>
          <w:iCs/>
          <w:lang w:val="fr-FR" w:eastAsia="en-AU"/>
        </w:rPr>
        <w:t>;</w:t>
      </w:r>
    </w:p>
    <w:p w:rsidR="005B1E26" w:rsidRPr="00CF7824" w:rsidRDefault="005B1E26" w:rsidP="005B1E26">
      <w:pPr>
        <w:autoSpaceDE w:val="0"/>
        <w:autoSpaceDN w:val="0"/>
        <w:adjustRightInd w:val="0"/>
        <w:ind w:left="720"/>
        <w:contextualSpacing/>
        <w:rPr>
          <w:rFonts w:cs="Calibri"/>
          <w:lang w:val="fr-FR" w:eastAsia="en-AU"/>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2.</w:t>
      </w:r>
      <w:r w:rsidRPr="00CF7824">
        <w:rPr>
          <w:rFonts w:eastAsia="Times New Roman" w:cs="Calibri"/>
          <w:lang w:val="fr-FR"/>
        </w:rPr>
        <w:tab/>
        <w:t>RECONNAISSANT l’importance critique des oiseaux d’eau pour la biodiversité et les caractéristiques écologiques des zones humides et le fait que le Critère 6</w:t>
      </w:r>
      <w:r w:rsidR="00CC2126" w:rsidRPr="00CF7824">
        <w:rPr>
          <w:rFonts w:eastAsia="Times New Roman" w:cs="Calibri"/>
          <w:lang w:val="fr-FR"/>
        </w:rPr>
        <w:t> </w:t>
      </w:r>
      <w:r w:rsidRPr="00CF7824">
        <w:rPr>
          <w:rFonts w:eastAsia="Times New Roman" w:cs="Calibri"/>
          <w:lang w:val="fr-FR"/>
        </w:rPr>
        <w:t>Ramsar facilite l’inscription de zones humides d’importance internationales (Sites Ramsar) qui sont importantes au plan international pour la conservation des oiseaux d’eau</w:t>
      </w:r>
      <w:r w:rsidR="00A12CF2" w:rsidRPr="00CF7824">
        <w:rPr>
          <w:rFonts w:eastAsia="Times New Roman" w:cs="Calibri"/>
          <w:lang w:val="fr-FR"/>
        </w:rPr>
        <w:t>;</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3.</w:t>
      </w:r>
      <w:r w:rsidRPr="00CF7824">
        <w:rPr>
          <w:rFonts w:eastAsia="Times New Roman" w:cs="Calibri"/>
          <w:lang w:val="fr-FR"/>
        </w:rPr>
        <w:tab/>
        <w:t>NOTANT que :</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w:t>
      </w:r>
      <w:r w:rsidRPr="00CF7824">
        <w:rPr>
          <w:rFonts w:cs="Calibri"/>
          <w:lang w:val="fr-FR" w:eastAsia="en-AU"/>
        </w:rPr>
        <w:tab/>
        <w:t>l’efficacité du Critère</w:t>
      </w:r>
      <w:r w:rsidR="00CC2126" w:rsidRPr="00CF7824">
        <w:rPr>
          <w:rFonts w:cs="Calibri"/>
          <w:lang w:val="fr-FR" w:eastAsia="en-AU"/>
        </w:rPr>
        <w:t> </w:t>
      </w:r>
      <w:r w:rsidRPr="00CF7824">
        <w:rPr>
          <w:rFonts w:cs="Calibri"/>
          <w:lang w:val="fr-FR" w:eastAsia="en-AU"/>
        </w:rPr>
        <w:t xml:space="preserve">6 pour soutenir la conservation des oiseaux d’eau dépend de la disponibilité d’estimations scientifiquement rigoureuses de la taille des populations biogéographiques d’oiseaux d’eau, et </w:t>
      </w:r>
    </w:p>
    <w:p w:rsidR="005B1E26" w:rsidRPr="00CF7824" w:rsidRDefault="005B1E26" w:rsidP="005B1E26">
      <w:pPr>
        <w:autoSpaceDE w:val="0"/>
        <w:autoSpaceDN w:val="0"/>
        <w:adjustRightInd w:val="0"/>
        <w:ind w:left="851"/>
        <w:rPr>
          <w:rFonts w:cs="Calibri"/>
          <w:lang w:val="fr-FR" w:eastAsia="en-AU"/>
        </w:rPr>
      </w:pPr>
      <w:r w:rsidRPr="00CF7824">
        <w:rPr>
          <w:rFonts w:cs="Calibri"/>
          <w:lang w:val="fr-FR" w:eastAsia="en-AU"/>
        </w:rPr>
        <w:t>ii)</w:t>
      </w:r>
      <w:r w:rsidRPr="00CF7824">
        <w:rPr>
          <w:rFonts w:cs="Calibri"/>
          <w:lang w:val="fr-FR" w:eastAsia="en-AU"/>
        </w:rPr>
        <w:tab/>
        <w:t>le recours à des estimations de populations inexactes ou obsolètes, en particulier pour les espèces en déclin rapide, peut compromettre l’intention du seuil de 1% figurant dans le Critère</w:t>
      </w:r>
      <w:r w:rsidR="00CC2126" w:rsidRPr="00CF7824">
        <w:rPr>
          <w:rFonts w:cs="Calibri"/>
          <w:lang w:val="fr-FR" w:eastAsia="en-AU"/>
        </w:rPr>
        <w:t> </w:t>
      </w:r>
      <w:r w:rsidRPr="00CF7824">
        <w:rPr>
          <w:rFonts w:cs="Calibri"/>
          <w:lang w:val="fr-FR" w:eastAsia="en-AU"/>
        </w:rPr>
        <w:t>6</w:t>
      </w:r>
      <w:r w:rsidR="00A12CF2" w:rsidRPr="00CF7824">
        <w:rPr>
          <w:rFonts w:cs="Calibri"/>
          <w:lang w:val="fr-FR" w:eastAsia="en-AU"/>
        </w:rPr>
        <w:t>;</w:t>
      </w:r>
      <w:r w:rsidRPr="00CF7824">
        <w:rPr>
          <w:rFonts w:cs="Calibri"/>
          <w:lang w:val="fr-FR" w:eastAsia="en-AU"/>
        </w:rPr>
        <w:t xml:space="preserve"> </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lastRenderedPageBreak/>
        <w:t>4.</w:t>
      </w:r>
      <w:r w:rsidRPr="00CF7824">
        <w:rPr>
          <w:rFonts w:eastAsia="Times New Roman" w:cs="Calibri"/>
          <w:lang w:val="fr-FR"/>
        </w:rPr>
        <w:tab/>
        <w:t>RECONNAISSANT que l’actuel «</w:t>
      </w:r>
      <w:r w:rsidR="00CC2126" w:rsidRPr="00CF7824">
        <w:rPr>
          <w:rFonts w:eastAsia="Times New Roman" w:cs="Calibri"/>
          <w:lang w:val="fr-FR"/>
        </w:rPr>
        <w:t> </w:t>
      </w:r>
      <w:r w:rsidRPr="00CF7824">
        <w:rPr>
          <w:rFonts w:eastAsia="Times New Roman" w:cs="Calibri"/>
          <w:lang w:val="fr-FR"/>
        </w:rPr>
        <w:t>Cadre stratégique et lignes directrices pour orienter l’évolution de la Liste des zones humides d’importance internationale de la Convention sur les zones humides » (Ramsar, Iran, 1971) – Révision de 2012, (adopt</w:t>
      </w:r>
      <w:r w:rsidR="003C4D84" w:rsidRPr="00CF7824">
        <w:rPr>
          <w:rFonts w:eastAsia="Times New Roman" w:cs="Calibri"/>
          <w:lang w:val="fr-FR"/>
        </w:rPr>
        <w:t>é en tant que Résolution</w:t>
      </w:r>
      <w:r w:rsidR="00CC2126" w:rsidRPr="00CF7824">
        <w:rPr>
          <w:rFonts w:eastAsia="Times New Roman" w:cs="Calibri"/>
          <w:lang w:val="fr-FR"/>
        </w:rPr>
        <w:t> </w:t>
      </w:r>
      <w:r w:rsidR="003C4D84" w:rsidRPr="00CF7824">
        <w:rPr>
          <w:rFonts w:eastAsia="Times New Roman" w:cs="Calibri"/>
          <w:lang w:val="fr-FR"/>
        </w:rPr>
        <w:t>XI.8, a</w:t>
      </w:r>
      <w:r w:rsidRPr="00CF7824">
        <w:rPr>
          <w:rFonts w:eastAsia="Times New Roman" w:cs="Calibri"/>
          <w:lang w:val="fr-FR"/>
        </w:rPr>
        <w:t>nnexe</w:t>
      </w:r>
      <w:r w:rsidR="00CC2126" w:rsidRPr="00CF7824">
        <w:rPr>
          <w:rFonts w:eastAsia="Times New Roman" w:cs="Calibri"/>
          <w:lang w:val="fr-FR"/>
        </w:rPr>
        <w:t> </w:t>
      </w:r>
      <w:r w:rsidRPr="00CF7824">
        <w:rPr>
          <w:rFonts w:eastAsia="Times New Roman" w:cs="Calibri"/>
          <w:lang w:val="fr-FR"/>
        </w:rPr>
        <w:t>2, Rev. COP13) fournit des orientations sur l’application du Critère</w:t>
      </w:r>
      <w:r w:rsidR="00CC2126" w:rsidRPr="00CF7824">
        <w:rPr>
          <w:rFonts w:eastAsia="Times New Roman" w:cs="Calibri"/>
          <w:lang w:val="fr-FR"/>
        </w:rPr>
        <w:t> </w:t>
      </w:r>
      <w:r w:rsidRPr="00CF7824">
        <w:rPr>
          <w:rFonts w:eastAsia="Times New Roman" w:cs="Calibri"/>
          <w:lang w:val="fr-FR"/>
        </w:rPr>
        <w:t>6</w:t>
      </w:r>
      <w:r w:rsidR="00A12CF2" w:rsidRPr="00CF7824">
        <w:rPr>
          <w:rFonts w:eastAsia="Times New Roman" w:cs="Calibri"/>
          <w:lang w:val="fr-FR"/>
        </w:rPr>
        <w:t>;</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5.</w:t>
      </w:r>
      <w:r w:rsidRPr="00CF7824">
        <w:rPr>
          <w:rFonts w:eastAsia="Times New Roman" w:cs="Calibri"/>
          <w:lang w:val="fr-FR"/>
        </w:rPr>
        <w:tab/>
        <w:t>RECONNAISSANT que les mesures visant à améliorer l’efficacité de la conservation des oiseaux d’eau contribuent à la réalisation des objectifs du Cadre mondial de la biodiversité pour l’après-2020, en vertu de la Convention sur la diversité biologique et d’autres accords internationaux relatifs à la conservation de la biodiversité</w:t>
      </w:r>
      <w:r w:rsidR="00A12CF2" w:rsidRPr="00CF7824">
        <w:rPr>
          <w:rFonts w:eastAsia="Times New Roman" w:cs="Calibri"/>
          <w:lang w:val="fr-FR"/>
        </w:rPr>
        <w:t>;</w:t>
      </w:r>
      <w:r w:rsidRPr="00CF7824">
        <w:rPr>
          <w:rFonts w:eastAsia="Times New Roman" w:cs="Calibri"/>
          <w:lang w:val="fr-FR"/>
        </w:rPr>
        <w:t xml:space="preserve"> </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6.</w:t>
      </w:r>
      <w:r w:rsidRPr="00CF7824">
        <w:rPr>
          <w:rFonts w:eastAsia="Times New Roman" w:cs="Calibri"/>
          <w:lang w:val="fr-FR"/>
        </w:rPr>
        <w:tab/>
        <w:t>RECONNAISSANT l’importance du rôle de Wetlands International dans la collecte et la publication, à la demande de la Conférence des Parties contractantes, des précédentes estimations périodiques des populations d’oiseaux d’eau et SE FÉLICITANT du lancement en 2021 du nouveau Waterbird Populations Portal (Portail des populations d’oiseaux d’eau)</w:t>
      </w:r>
      <w:r w:rsidR="00A12CF2" w:rsidRPr="00CF7824">
        <w:rPr>
          <w:rFonts w:eastAsia="Times New Roman" w:cs="Calibri"/>
          <w:lang w:val="fr-FR"/>
        </w:rPr>
        <w:t>;</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7.</w:t>
      </w:r>
      <w:r w:rsidRPr="00CF7824">
        <w:rPr>
          <w:rFonts w:eastAsia="Times New Roman" w:cs="Calibri"/>
          <w:lang w:val="fr-FR"/>
        </w:rPr>
        <w:tab/>
        <w:t xml:space="preserve">RECONNAISSANT ÉGALEMENT les travaux essentiels entrepris dans le cadre d’accords de coopération sur les voies de migration des oiseaux du monde entier, notamment les Rapports sur l’état de conservation entrepris sur les voies de migration Afrique-Eurasie et Asie de l’Est-Australasie, ainsi que les bases de données sur l’évaluation de l’état de conservation et les estimations de populations aviaires </w:t>
      </w:r>
      <w:r w:rsidRPr="00CF7824">
        <w:rPr>
          <w:rFonts w:cs="Calibri"/>
          <w:lang w:val="fr-FR" w:eastAsia="en-AU"/>
        </w:rPr>
        <w:t xml:space="preserve">(ACAD) développées par le programme Partners in Flight et Bird Conservation, </w:t>
      </w:r>
      <w:r w:rsidRPr="00CF7824">
        <w:rPr>
          <w:rFonts w:eastAsia="Times New Roman" w:cs="Calibri"/>
          <w:lang w:val="fr-FR"/>
        </w:rPr>
        <w:t>et CONSCIENTE que ces travaux contribuent à la mise à jour continue des Estimations des populations d’oiseaux d’eau</w:t>
      </w:r>
      <w:r w:rsidR="00A12CF2" w:rsidRPr="00CF7824">
        <w:rPr>
          <w:rFonts w:eastAsia="Times New Roman" w:cs="Calibri"/>
          <w:lang w:val="fr-FR"/>
        </w:rPr>
        <w:t>;</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8.</w:t>
      </w:r>
      <w:r w:rsidRPr="00CF7824">
        <w:rPr>
          <w:rFonts w:eastAsia="Times New Roman" w:cs="Calibri"/>
          <w:lang w:val="fr-FR"/>
        </w:rPr>
        <w:tab/>
        <w:t>PROFONDÉMENT PRÉOCCUPÉE par le déclin au niveau mondial des populations d’oiseaux d’eau constaté actuellement, notamment des espèces d’oiseaux d’eau migrateurs, et par la perte et la dégradation des zones humides intertidales ainsi que d’autres habitats dont dépendent les oiseaux d’eau et qui sont essentiels à leur survie tout au long de leur cycle de vie</w:t>
      </w:r>
      <w:r w:rsidR="00A12CF2" w:rsidRPr="00CF7824">
        <w:rPr>
          <w:rFonts w:eastAsia="Times New Roman" w:cs="Calibri"/>
          <w:lang w:val="fr-FR"/>
        </w:rPr>
        <w:t>;</w:t>
      </w:r>
      <w:r w:rsidRPr="00CF7824">
        <w:rPr>
          <w:rFonts w:eastAsia="Times New Roman" w:cs="Calibri"/>
          <w:lang w:val="fr-FR"/>
        </w:rPr>
        <w:t xml:space="preserve"> </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9.</w:t>
      </w:r>
      <w:r w:rsidRPr="00CF7824">
        <w:rPr>
          <w:rFonts w:eastAsia="Times New Roman" w:cs="Calibri"/>
          <w:lang w:val="fr-FR"/>
        </w:rPr>
        <w:tab/>
        <w:t>ÉGALEMENT PRÉOCCUPÉE par le fait que les Estimations des populations d’oiseaux d’eau n’ont pas été mises à jour depuis 2012 en raison de financements insuffisants et qu’il n’existe actuellement aucun mécanisme permettant de s’assurer que ces mises à jour essentielles pourront être effectuées régulièrement</w:t>
      </w:r>
      <w:r w:rsidR="00A12CF2" w:rsidRPr="00CF7824">
        <w:rPr>
          <w:rFonts w:eastAsia="Times New Roman" w:cs="Calibri"/>
          <w:lang w:val="fr-FR"/>
        </w:rPr>
        <w:t>;</w:t>
      </w:r>
      <w:r w:rsidRPr="00CF7824">
        <w:rPr>
          <w:rFonts w:eastAsia="Times New Roman" w:cs="Calibri"/>
          <w:lang w:val="fr-FR"/>
        </w:rPr>
        <w:t xml:space="preserve"> </w:t>
      </w:r>
    </w:p>
    <w:p w:rsidR="005B1E26" w:rsidRPr="00CF7824" w:rsidRDefault="005B1E26" w:rsidP="005B1E26">
      <w:pPr>
        <w:widowControl w:val="0"/>
        <w:ind w:left="0" w:firstLine="0"/>
        <w:rPr>
          <w:rFonts w:eastAsia="Times New Roman" w:cs="Calibri"/>
          <w:color w:val="000000"/>
          <w:lang w:val="fr-FR" w:eastAsia="en-GB"/>
        </w:rPr>
      </w:pPr>
    </w:p>
    <w:p w:rsidR="005B1E26" w:rsidRPr="00CF7824" w:rsidRDefault="005B1E26" w:rsidP="005B1E26">
      <w:pPr>
        <w:keepNext/>
        <w:widowControl w:val="0"/>
        <w:ind w:left="0" w:firstLine="0"/>
        <w:jc w:val="center"/>
        <w:rPr>
          <w:rFonts w:eastAsia="Times New Roman" w:cs="Calibri"/>
          <w:color w:val="000000"/>
          <w:lang w:val="fr-FR" w:eastAsia="en-GB"/>
        </w:rPr>
      </w:pPr>
      <w:r w:rsidRPr="00CF7824">
        <w:rPr>
          <w:rFonts w:eastAsia="Times New Roman" w:cs="Calibri"/>
          <w:color w:val="000000"/>
          <w:lang w:val="fr-FR" w:eastAsia="en-GB"/>
        </w:rPr>
        <w:t>LA CONFÉRENCE DES PARTIES CONTRACTANTES</w:t>
      </w:r>
    </w:p>
    <w:p w:rsidR="005B1E26" w:rsidRPr="00CF7824" w:rsidRDefault="005B1E26" w:rsidP="005B1E26">
      <w:pPr>
        <w:keepNext/>
        <w:rPr>
          <w:rFonts w:cs="Calibri"/>
          <w:lang w:val="fr-FR" w:eastAsia="en-AU"/>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10.</w:t>
      </w:r>
      <w:r w:rsidRPr="00CF7824">
        <w:rPr>
          <w:rFonts w:eastAsia="Times New Roman" w:cs="Calibri"/>
          <w:lang w:val="fr-FR"/>
        </w:rPr>
        <w:tab/>
        <w:t>RÉAFFIRME le recours aux Estimations des populations d’oiseaux d’eau pour étayer l’application du Critère 6</w:t>
      </w:r>
      <w:r w:rsidR="00CC2126" w:rsidRPr="00CF7824">
        <w:rPr>
          <w:rFonts w:eastAsia="Times New Roman" w:cs="Calibri"/>
          <w:lang w:val="fr-FR"/>
        </w:rPr>
        <w:t> </w:t>
      </w:r>
      <w:r w:rsidRPr="00CF7824">
        <w:rPr>
          <w:rFonts w:eastAsia="Times New Roman" w:cs="Calibri"/>
          <w:lang w:val="fr-FR"/>
        </w:rPr>
        <w:t>Ramsar, comme convenu et affirmé dans les Résolutions</w:t>
      </w:r>
      <w:r w:rsidR="00CC2126" w:rsidRPr="00CF7824">
        <w:rPr>
          <w:rFonts w:eastAsia="Times New Roman" w:cs="Calibri"/>
          <w:lang w:val="fr-FR"/>
        </w:rPr>
        <w:t> </w:t>
      </w:r>
      <w:r w:rsidRPr="00CF7824">
        <w:rPr>
          <w:rFonts w:eastAsia="Times New Roman" w:cs="Calibri"/>
          <w:lang w:val="fr-FR"/>
        </w:rPr>
        <w:t>VI.4 et VIII.38 et comme indiqué dans le Cadre stratégique – Révision de 2012, (adopté en tant que Résolution</w:t>
      </w:r>
      <w:r w:rsidR="00CC2126" w:rsidRPr="00CF7824">
        <w:rPr>
          <w:rFonts w:eastAsia="Times New Roman" w:cs="Calibri"/>
          <w:lang w:val="fr-FR"/>
        </w:rPr>
        <w:t> </w:t>
      </w:r>
      <w:r w:rsidRPr="00CF7824">
        <w:rPr>
          <w:rFonts w:eastAsia="Times New Roman" w:cs="Calibri"/>
          <w:lang w:val="fr-FR"/>
        </w:rPr>
        <w:t>XI.8, annexe</w:t>
      </w:r>
      <w:r w:rsidR="00CC2126" w:rsidRPr="00CF7824">
        <w:rPr>
          <w:rFonts w:eastAsia="Times New Roman" w:cs="Calibri"/>
          <w:lang w:val="fr-FR"/>
        </w:rPr>
        <w:t> </w:t>
      </w:r>
      <w:r w:rsidRPr="00CF7824">
        <w:rPr>
          <w:rFonts w:eastAsia="Times New Roman" w:cs="Calibri"/>
          <w:lang w:val="fr-FR"/>
        </w:rPr>
        <w:t>2 (Rev.</w:t>
      </w:r>
      <w:r w:rsidR="00CC2126" w:rsidRPr="00CF7824">
        <w:rPr>
          <w:rFonts w:eastAsia="Times New Roman" w:cs="Calibri"/>
          <w:lang w:val="fr-FR"/>
        </w:rPr>
        <w:t> </w:t>
      </w:r>
      <w:r w:rsidRPr="00CF7824">
        <w:rPr>
          <w:rFonts w:eastAsia="Times New Roman" w:cs="Calibri"/>
          <w:lang w:val="fr-FR"/>
        </w:rPr>
        <w:t xml:space="preserve">COP13)). </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11.</w:t>
      </w:r>
      <w:r w:rsidRPr="00CF7824">
        <w:rPr>
          <w:rFonts w:eastAsia="Times New Roman" w:cs="Calibri"/>
          <w:lang w:val="fr-FR"/>
        </w:rPr>
        <w:tab/>
        <w:t>CONVIENT que tant que les Estimations des populations d’oiseaux d’eau ne sont pas mises à jour, les Parties contractantes peuvent se référer à d’autres sources de données pour déterminer le seuil de 1% dans le contexte de l’application du Critère</w:t>
      </w:r>
      <w:r w:rsidR="00CC2126" w:rsidRPr="00CF7824">
        <w:rPr>
          <w:rFonts w:eastAsia="Times New Roman" w:cs="Calibri"/>
          <w:lang w:val="fr-FR"/>
        </w:rPr>
        <w:t> </w:t>
      </w:r>
      <w:r w:rsidRPr="00CF7824">
        <w:rPr>
          <w:rFonts w:eastAsia="Times New Roman" w:cs="Calibri"/>
          <w:lang w:val="fr-FR"/>
        </w:rPr>
        <w:t>6 Ramsar, à condition</w:t>
      </w:r>
      <w:r w:rsidR="00CC2126" w:rsidRPr="00CF7824">
        <w:rPr>
          <w:rFonts w:eastAsia="Times New Roman" w:cs="Calibri"/>
          <w:lang w:val="fr-FR"/>
        </w:rPr>
        <w:t> </w:t>
      </w:r>
      <w:r w:rsidRPr="00CF7824">
        <w:rPr>
          <w:rFonts w:eastAsia="Times New Roman" w:cs="Calibri"/>
          <w:lang w:val="fr-FR"/>
        </w:rPr>
        <w:t xml:space="preserve">: </w:t>
      </w:r>
    </w:p>
    <w:p w:rsidR="005B1E26" w:rsidRPr="00CF7824" w:rsidRDefault="005B1E26" w:rsidP="005B1E26">
      <w:pPr>
        <w:ind w:left="851"/>
        <w:rPr>
          <w:rFonts w:eastAsia="DengXian" w:cs="Calibri"/>
          <w:lang w:val="fr-FR" w:eastAsia="en-AU"/>
        </w:rPr>
      </w:pPr>
      <w:r w:rsidRPr="00CF7824">
        <w:rPr>
          <w:rFonts w:eastAsia="DengXian" w:cs="Calibri"/>
          <w:lang w:val="fr-FR" w:eastAsia="en-AU"/>
        </w:rPr>
        <w:t>i)</w:t>
      </w:r>
      <w:r w:rsidRPr="00CF7824">
        <w:rPr>
          <w:rFonts w:eastAsia="DengXian" w:cs="Calibri"/>
          <w:lang w:val="fr-FR" w:eastAsia="en-AU"/>
        </w:rPr>
        <w:tab/>
        <w:t xml:space="preserve">que la population biogéographique de l’espèce concernée soit clairement indiquée pour l’espèce telle qu’elle figure dans les </w:t>
      </w:r>
      <w:r w:rsidRPr="00CF7824">
        <w:rPr>
          <w:rFonts w:cs="Calibri"/>
          <w:lang w:val="fr-FR" w:eastAsia="en-AU"/>
        </w:rPr>
        <w:t>Estimations des populations d’oiseaux</w:t>
      </w:r>
      <w:r w:rsidRPr="00CF7824">
        <w:rPr>
          <w:rFonts w:eastAsia="DengXian" w:cs="Calibri"/>
          <w:lang w:val="fr-FR" w:eastAsia="en-AU"/>
        </w:rPr>
        <w:t xml:space="preserve"> disponibles sur le Waterbird Populations Portal (Portail des populations d’oiseaux d’eau)</w:t>
      </w:r>
      <w:r w:rsidR="00A12CF2" w:rsidRPr="00CF7824">
        <w:rPr>
          <w:rFonts w:eastAsia="DengXian" w:cs="Calibri"/>
          <w:lang w:val="fr-FR" w:eastAsia="en-AU"/>
        </w:rPr>
        <w:t>;</w:t>
      </w:r>
    </w:p>
    <w:p w:rsidR="005B1E26" w:rsidRPr="00CF7824" w:rsidRDefault="005B1E26" w:rsidP="005B1E26">
      <w:pPr>
        <w:ind w:left="851"/>
        <w:rPr>
          <w:rFonts w:eastAsia="DengXian" w:cs="Calibri"/>
          <w:lang w:val="fr-FR" w:eastAsia="en-AU"/>
        </w:rPr>
      </w:pPr>
      <w:r w:rsidRPr="00CF7824">
        <w:rPr>
          <w:rFonts w:eastAsia="DengXian" w:cs="Calibri"/>
          <w:lang w:val="fr-FR" w:eastAsia="en-AU"/>
        </w:rPr>
        <w:t>ii)</w:t>
      </w:r>
      <w:r w:rsidRPr="00CF7824">
        <w:rPr>
          <w:rFonts w:eastAsia="DengXian" w:cs="Calibri"/>
          <w:lang w:val="fr-FR" w:eastAsia="en-AU"/>
        </w:rPr>
        <w:tab/>
        <w:t xml:space="preserve">que ces seuils proviennent d’estimations publiées sur le Waterbird Populations Portal, pour les espèces migratrices, en se fondant sur des Rapports sur l’état de conservation (REC) produits sous les auspices d’instruments relatifs aux voies de migration ou d’autres évaluations revues par des pairs pour d’autres populations migratrices pour lesquelles il </w:t>
      </w:r>
      <w:r w:rsidRPr="00CF7824">
        <w:rPr>
          <w:rFonts w:eastAsia="DengXian" w:cs="Calibri"/>
          <w:lang w:val="fr-FR" w:eastAsia="en-AU"/>
        </w:rPr>
        <w:lastRenderedPageBreak/>
        <w:t>n’existe pas d’évaluations semblables aux REC, ainsi que pour les populations non migratrices et endémiques</w:t>
      </w:r>
      <w:r w:rsidR="00A12CF2" w:rsidRPr="00CF7824">
        <w:rPr>
          <w:rFonts w:eastAsia="DengXian" w:cs="Calibri"/>
          <w:lang w:val="fr-FR" w:eastAsia="en-AU"/>
        </w:rPr>
        <w:t>;</w:t>
      </w:r>
      <w:r w:rsidRPr="00CF7824">
        <w:rPr>
          <w:rFonts w:eastAsia="DengXian" w:cs="Calibri"/>
          <w:lang w:val="fr-FR" w:eastAsia="en-AU"/>
        </w:rPr>
        <w:t xml:space="preserve"> </w:t>
      </w:r>
    </w:p>
    <w:p w:rsidR="005B1E26" w:rsidRPr="00CF7824" w:rsidRDefault="005B1E26" w:rsidP="005B1E26">
      <w:pPr>
        <w:ind w:left="851"/>
        <w:rPr>
          <w:rFonts w:eastAsia="DengXian" w:cs="Calibri"/>
          <w:lang w:val="fr-FR" w:eastAsia="en-AU"/>
        </w:rPr>
      </w:pPr>
      <w:r w:rsidRPr="00CF7824">
        <w:rPr>
          <w:rFonts w:eastAsia="DengXian" w:cs="Calibri"/>
          <w:lang w:val="fr-FR" w:eastAsia="en-AU"/>
        </w:rPr>
        <w:t>iii)</w:t>
      </w:r>
      <w:r w:rsidRPr="00CF7824">
        <w:rPr>
          <w:rFonts w:eastAsia="DengXian" w:cs="Calibri"/>
          <w:lang w:val="fr-FR" w:eastAsia="en-AU"/>
        </w:rPr>
        <w:tab/>
        <w:t>que les raisons pour lesquelles une nouvelle estimation est considérée comme plus appropriée soient documentées avec des sources originales clairement identifiables pour permettre à des tiers de vérifier tout détournement de l’estimation</w:t>
      </w:r>
      <w:r w:rsidR="00A12CF2" w:rsidRPr="00CF7824">
        <w:rPr>
          <w:rFonts w:eastAsia="DengXian" w:cs="Calibri"/>
          <w:lang w:val="fr-FR" w:eastAsia="en-AU"/>
        </w:rPr>
        <w:t>;</w:t>
      </w:r>
      <w:r w:rsidRPr="00CF7824">
        <w:rPr>
          <w:rFonts w:eastAsia="DengXian" w:cs="Calibri"/>
          <w:lang w:val="fr-FR" w:eastAsia="en-AU"/>
        </w:rPr>
        <w:t xml:space="preserve"> </w:t>
      </w:r>
    </w:p>
    <w:p w:rsidR="005B1E26" w:rsidRPr="00CF7824" w:rsidRDefault="005B1E26" w:rsidP="005B1E26">
      <w:pPr>
        <w:ind w:left="851"/>
        <w:rPr>
          <w:rFonts w:eastAsia="Times New Roman" w:cs="Calibri"/>
          <w:lang w:val="fr-FR" w:eastAsia="en-AU"/>
        </w:rPr>
      </w:pPr>
      <w:r w:rsidRPr="00CF7824">
        <w:rPr>
          <w:rFonts w:eastAsia="Times New Roman" w:cs="Calibri"/>
          <w:lang w:val="fr-FR" w:eastAsia="en-AU"/>
        </w:rPr>
        <w:t>iv)</w:t>
      </w:r>
      <w:r w:rsidRPr="00CF7824">
        <w:rPr>
          <w:rFonts w:eastAsia="Times New Roman" w:cs="Calibri"/>
          <w:lang w:val="fr-FR" w:eastAsia="en-AU"/>
        </w:rPr>
        <w:tab/>
        <w:t xml:space="preserve">que la méthodologie normalisée utilisée pour le </w:t>
      </w:r>
      <w:r w:rsidRPr="00CF7824">
        <w:rPr>
          <w:rFonts w:eastAsia="DengXian" w:cs="Calibri"/>
          <w:lang w:val="fr-FR" w:eastAsia="en-AU"/>
        </w:rPr>
        <w:t xml:space="preserve">Waterbird Populations Portal </w:t>
      </w:r>
      <w:r w:rsidRPr="00CF7824">
        <w:rPr>
          <w:rFonts w:eastAsia="Times New Roman" w:cs="Calibri"/>
          <w:lang w:val="fr-FR" w:eastAsia="en-AU"/>
        </w:rPr>
        <w:t>afin de convertir la taille d’une estimation biogéographique de population en un seuil de population de 1% soit utilisée</w:t>
      </w:r>
      <w:r w:rsidR="00A12CF2" w:rsidRPr="00CF7824">
        <w:rPr>
          <w:rFonts w:eastAsia="Times New Roman" w:cs="Calibri"/>
          <w:lang w:val="fr-FR" w:eastAsia="en-AU"/>
        </w:rPr>
        <w:t>;</w:t>
      </w:r>
      <w:r w:rsidRPr="00CF7824">
        <w:rPr>
          <w:rFonts w:eastAsia="Times New Roman" w:cs="Calibri"/>
          <w:lang w:val="fr-FR" w:eastAsia="en-AU"/>
        </w:rPr>
        <w:t xml:space="preserve"> et </w:t>
      </w:r>
    </w:p>
    <w:p w:rsidR="005B1E26" w:rsidRPr="00CF7824" w:rsidRDefault="005B1E26" w:rsidP="005B1E26">
      <w:pPr>
        <w:ind w:left="851"/>
        <w:rPr>
          <w:rFonts w:eastAsia="Times New Roman" w:cs="Calibri"/>
          <w:lang w:val="fr-FR" w:eastAsia="en-AU"/>
        </w:rPr>
      </w:pPr>
      <w:r w:rsidRPr="00CF7824">
        <w:rPr>
          <w:rFonts w:eastAsia="Times New Roman" w:cs="Calibri"/>
          <w:lang w:val="fr-FR" w:eastAsia="en-AU"/>
        </w:rPr>
        <w:t>v)</w:t>
      </w:r>
      <w:r w:rsidRPr="00CF7824">
        <w:rPr>
          <w:rFonts w:eastAsia="Times New Roman" w:cs="Calibri"/>
          <w:lang w:val="fr-FR" w:eastAsia="en-AU"/>
        </w:rPr>
        <w:tab/>
        <w:t>que tout autre seuil utilisé par les Parties contractantes aux fins du Critère</w:t>
      </w:r>
      <w:r w:rsidR="00CC2126" w:rsidRPr="00CF7824">
        <w:rPr>
          <w:rFonts w:eastAsia="Times New Roman" w:cs="Calibri"/>
          <w:lang w:val="fr-FR" w:eastAsia="en-AU"/>
        </w:rPr>
        <w:t> </w:t>
      </w:r>
      <w:r w:rsidRPr="00CF7824">
        <w:rPr>
          <w:rFonts w:eastAsia="Times New Roman" w:cs="Calibri"/>
          <w:lang w:val="fr-FR" w:eastAsia="en-AU"/>
        </w:rPr>
        <w:t>6, ainsi que sa justification, soient communiqués au Secrétariat (afin de tenir un registre de ces cas) et à Wetlands International.</w:t>
      </w:r>
    </w:p>
    <w:p w:rsidR="005B1E26" w:rsidRPr="00CF7824" w:rsidRDefault="005B1E26" w:rsidP="005B1E26">
      <w:pPr>
        <w:widowControl w:val="0"/>
        <w:ind w:left="0" w:firstLine="0"/>
        <w:rPr>
          <w:rFonts w:eastAsia="Times New Roman" w:cs="Calibri"/>
          <w:color w:val="000000"/>
          <w:lang w:val="fr-FR" w:eastAsia="en-GB"/>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12.</w:t>
      </w:r>
      <w:r w:rsidRPr="00CF7824">
        <w:rPr>
          <w:rFonts w:eastAsia="Times New Roman" w:cs="Calibri"/>
          <w:lang w:val="fr-FR"/>
        </w:rPr>
        <w:tab/>
        <w:t>DONNE INSTRUCTION au Secrétariat d’amender le Cadre stratégique</w:t>
      </w:r>
      <w:r w:rsidR="00CC2126" w:rsidRPr="00CF7824">
        <w:rPr>
          <w:rFonts w:eastAsia="Times New Roman" w:cs="Calibri"/>
          <w:lang w:val="fr-FR"/>
        </w:rPr>
        <w:t> –</w:t>
      </w:r>
      <w:r w:rsidRPr="00CF7824">
        <w:rPr>
          <w:rFonts w:eastAsia="Times New Roman" w:cs="Calibri"/>
          <w:lang w:val="fr-FR"/>
        </w:rPr>
        <w:t xml:space="preserve"> Révision de 2012, (adopté en tant que Résolution</w:t>
      </w:r>
      <w:r w:rsidR="00CC2126" w:rsidRPr="00CF7824">
        <w:rPr>
          <w:rFonts w:eastAsia="Times New Roman" w:cs="Calibri"/>
          <w:lang w:val="fr-FR"/>
        </w:rPr>
        <w:t> </w:t>
      </w:r>
      <w:r w:rsidRPr="00CF7824">
        <w:rPr>
          <w:rFonts w:eastAsia="Times New Roman" w:cs="Calibri"/>
          <w:lang w:val="fr-FR"/>
        </w:rPr>
        <w:t>XI.8, annexe</w:t>
      </w:r>
      <w:r w:rsidR="00CC2126" w:rsidRPr="00CF7824">
        <w:rPr>
          <w:rFonts w:eastAsia="Times New Roman" w:cs="Calibri"/>
          <w:lang w:val="fr-FR"/>
        </w:rPr>
        <w:t> </w:t>
      </w:r>
      <w:r w:rsidRPr="00CF7824">
        <w:rPr>
          <w:rFonts w:eastAsia="Times New Roman" w:cs="Calibri"/>
          <w:lang w:val="fr-FR"/>
        </w:rPr>
        <w:t>2, Rev. COP13) pour donner effet au paragraphe</w:t>
      </w:r>
      <w:r w:rsidR="00CC2126" w:rsidRPr="00CF7824">
        <w:rPr>
          <w:rFonts w:eastAsia="Times New Roman" w:cs="Calibri"/>
          <w:lang w:val="fr-FR"/>
        </w:rPr>
        <w:t> </w:t>
      </w:r>
      <w:r w:rsidRPr="00CF7824">
        <w:rPr>
          <w:rFonts w:eastAsia="Times New Roman" w:cs="Calibri"/>
          <w:lang w:val="fr-FR"/>
        </w:rPr>
        <w:t>11 de la présente Résolution, comme indiqué à l’annexe</w:t>
      </w:r>
      <w:r w:rsidR="00CC2126" w:rsidRPr="00CF7824">
        <w:rPr>
          <w:rFonts w:eastAsia="Times New Roman" w:cs="Calibri"/>
          <w:lang w:val="fr-FR"/>
        </w:rPr>
        <w:t> </w:t>
      </w:r>
      <w:r w:rsidRPr="00CF7824">
        <w:rPr>
          <w:rFonts w:eastAsia="Times New Roman" w:cs="Calibri"/>
          <w:lang w:val="fr-FR"/>
        </w:rPr>
        <w:t>1.</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13.</w:t>
      </w:r>
      <w:r w:rsidRPr="00CF7824">
        <w:rPr>
          <w:rFonts w:eastAsia="Times New Roman" w:cs="Calibri"/>
          <w:lang w:val="fr-FR"/>
        </w:rPr>
        <w:tab/>
        <w:t xml:space="preserve">ENCOURAGE les Parties </w:t>
      </w:r>
      <w:r w:rsidRPr="00CF7824">
        <w:rPr>
          <w:rFonts w:eastAsia="Times New Roman" w:cs="Calibri"/>
          <w:lang w:val="fr-FR" w:eastAsia="en-AU"/>
        </w:rPr>
        <w:t xml:space="preserve">contractantes </w:t>
      </w:r>
      <w:r w:rsidRPr="00CF7824">
        <w:rPr>
          <w:rFonts w:eastAsia="Times New Roman" w:cs="Calibri"/>
          <w:lang w:val="fr-FR"/>
        </w:rPr>
        <w:t>à coopérer avec les accords et les partenariats relatifs aux voies de migration afin de faciliter les mises à jour régulières des Estimations des populations d’oiseaux d’eau.</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14.</w:t>
      </w:r>
      <w:r w:rsidRPr="00CF7824">
        <w:rPr>
          <w:rFonts w:eastAsia="Times New Roman" w:cs="Calibri"/>
          <w:lang w:val="fr-FR"/>
        </w:rPr>
        <w:tab/>
        <w:t xml:space="preserve">ENCOURAGE ÉGALEMENT les Parties </w:t>
      </w:r>
      <w:r w:rsidRPr="00CF7824">
        <w:rPr>
          <w:rFonts w:eastAsia="Times New Roman" w:cs="Calibri"/>
          <w:lang w:val="fr-FR" w:eastAsia="en-AU"/>
        </w:rPr>
        <w:t xml:space="preserve">contractantes </w:t>
      </w:r>
      <w:r w:rsidRPr="00CF7824">
        <w:rPr>
          <w:rFonts w:eastAsia="Times New Roman" w:cs="Calibri"/>
          <w:lang w:val="fr-FR"/>
        </w:rPr>
        <w:t>à utiliser les données disponibles les plus solides sur le plan scientifique, dans le cadre du processus défini aux paragraphes</w:t>
      </w:r>
      <w:r w:rsidR="00CC2126" w:rsidRPr="00CF7824">
        <w:rPr>
          <w:rFonts w:eastAsia="Times New Roman" w:cs="Calibri"/>
          <w:lang w:val="fr-FR"/>
        </w:rPr>
        <w:t> </w:t>
      </w:r>
      <w:r w:rsidRPr="00CF7824">
        <w:rPr>
          <w:rFonts w:eastAsia="Times New Roman" w:cs="Calibri"/>
          <w:lang w:val="fr-FR"/>
        </w:rPr>
        <w:t>10 et 11, pour déterminer le seuil de 1% pour les inscriptions de sites sur la base du Critère</w:t>
      </w:r>
      <w:r w:rsidR="00CC2126" w:rsidRPr="00CF7824">
        <w:rPr>
          <w:rFonts w:eastAsia="Times New Roman" w:cs="Calibri"/>
          <w:lang w:val="fr-FR"/>
        </w:rPr>
        <w:t> </w:t>
      </w:r>
      <w:r w:rsidRPr="00CF7824">
        <w:rPr>
          <w:rFonts w:eastAsia="Times New Roman" w:cs="Calibri"/>
          <w:lang w:val="fr-FR"/>
        </w:rPr>
        <w:t>6 et pour les futures mises à jour des Fiches descriptives Ramsar.</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15.</w:t>
      </w:r>
      <w:r w:rsidRPr="00CF7824">
        <w:rPr>
          <w:rFonts w:eastAsia="Times New Roman" w:cs="Calibri"/>
          <w:lang w:val="fr-FR"/>
        </w:rPr>
        <w:tab/>
        <w:t>PRIE le Groupe d’évaluation scientifique et technique (GEST) d’inclure dans son plan de travail pour la prochaine période triennale la préparation de lignes directrices destinées à faciliter une application appropriée de la présente Résolution par les Parties contractantes en liaison avec les organes subsidiaires techniques et scientifiques d’autres traités pertinents, par exemple l’Accord sur la conservation des oiseaux d</w:t>
      </w:r>
      <w:r w:rsidR="00CC2126" w:rsidRPr="00CF7824">
        <w:rPr>
          <w:rFonts w:eastAsia="Times New Roman" w:cs="Calibri"/>
          <w:lang w:val="fr-FR"/>
        </w:rPr>
        <w:t>’</w:t>
      </w:r>
      <w:r w:rsidRPr="00CF7824">
        <w:rPr>
          <w:rFonts w:eastAsia="Times New Roman" w:cs="Calibri"/>
          <w:lang w:val="fr-FR"/>
        </w:rPr>
        <w:t>eau migrateurs d</w:t>
      </w:r>
      <w:r w:rsidR="00CC2126" w:rsidRPr="00CF7824">
        <w:rPr>
          <w:rFonts w:eastAsia="Times New Roman" w:cs="Calibri"/>
          <w:lang w:val="fr-FR"/>
        </w:rPr>
        <w:t>’</w:t>
      </w:r>
      <w:r w:rsidRPr="00CF7824">
        <w:rPr>
          <w:rFonts w:eastAsia="Times New Roman" w:cs="Calibri"/>
          <w:lang w:val="fr-FR"/>
        </w:rPr>
        <w:t>Afrique-Eurasie (AEWA), ou la Convention sur la conservation des espèces migratrices (CMS), ainsi qu’avec le Partenariat de la voie de migration Asie de l’Est-Australasie (EAAFP) et d’autres initiatives sur les voies de migration.</w:t>
      </w: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ab/>
      </w: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16.</w:t>
      </w:r>
      <w:r w:rsidRPr="00CF7824">
        <w:rPr>
          <w:rFonts w:eastAsia="Times New Roman" w:cs="Calibri"/>
          <w:lang w:val="fr-FR"/>
        </w:rPr>
        <w:tab/>
        <w:t>PRIE ÉGALEMENT le GEST d’élaborer une proposition technique pour permettre le financement et la mise en œuvre des mises à jour futures et exhaustives des Estimations des populations d’oiseaux d’eau, en consultation avec les Parties contractantes, les accords et partenariats pertinents relatifs aux voies de migration, Wetlands International et les entités intéressées, en faisant en sorte que cette proposition technique, comprenant, avec l’avis du Secrétariat, un aperçu des incidences financières, soit présentée à la 63</w:t>
      </w:r>
      <w:r w:rsidRPr="00CF7824">
        <w:rPr>
          <w:rFonts w:eastAsia="Times New Roman" w:cs="Calibri"/>
          <w:vertAlign w:val="superscript"/>
          <w:lang w:val="fr-FR"/>
        </w:rPr>
        <w:t>e</w:t>
      </w:r>
      <w:r w:rsidRPr="00CF7824">
        <w:rPr>
          <w:rFonts w:eastAsia="Times New Roman" w:cs="Calibri"/>
          <w:lang w:val="fr-FR"/>
        </w:rPr>
        <w:t> Réunion du Comité permanent, en amont d’un projet de résolution destiné à la session suivante de la Conférence des Parties contractantes, sur les dispositions prévoyant des mises à jour futures et régulières du Waterbird Populations Portal.</w:t>
      </w:r>
    </w:p>
    <w:p w:rsidR="005B1E26" w:rsidRPr="00CF7824" w:rsidRDefault="005B1E26" w:rsidP="005B1E26">
      <w:pPr>
        <w:autoSpaceDE w:val="0"/>
        <w:autoSpaceDN w:val="0"/>
        <w:adjustRightInd w:val="0"/>
        <w:ind w:left="426" w:hanging="426"/>
        <w:rPr>
          <w:rFonts w:eastAsia="Times New Roman" w:cs="Calibri"/>
          <w:lang w:val="fr-FR"/>
        </w:rPr>
      </w:pPr>
    </w:p>
    <w:p w:rsidR="005B1E26" w:rsidRPr="00CF7824" w:rsidRDefault="005B1E26" w:rsidP="005B1E26">
      <w:pPr>
        <w:autoSpaceDE w:val="0"/>
        <w:autoSpaceDN w:val="0"/>
        <w:adjustRightInd w:val="0"/>
        <w:ind w:left="426" w:hanging="426"/>
        <w:rPr>
          <w:rFonts w:eastAsia="Times New Roman" w:cs="Calibri"/>
          <w:lang w:val="fr-FR"/>
        </w:rPr>
      </w:pPr>
      <w:r w:rsidRPr="00CF7824">
        <w:rPr>
          <w:rFonts w:eastAsia="Times New Roman" w:cs="Calibri"/>
          <w:lang w:val="fr-FR"/>
        </w:rPr>
        <w:t>17.</w:t>
      </w:r>
      <w:r w:rsidRPr="00CF7824">
        <w:rPr>
          <w:rFonts w:eastAsia="Times New Roman" w:cs="Calibri"/>
          <w:lang w:val="fr-FR"/>
        </w:rPr>
        <w:tab/>
        <w:t xml:space="preserve">PRIE ENFIN le GEST d’élaborer des orientations apportant un appui technique aux Parties contractantes dans le but de combler les lacunes identifiées dans les données sur les populations d’oiseaux d’eau et décrivant des possibilités de renforcement des capacités, de coopération et d’échanges techniques et scientifiques pour aider les Parties contractantes, et plus particulièrement les Parties contractantes qui sont des pays en développement, à évaluer leurs populations d’oiseaux d’eau.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t>Cadre stratégique et lignes directrices pour orienter l’évolution de la Liste des zones humides d’importance internationale de la Convention sur les zones humides</w:t>
      </w:r>
      <w:r w:rsidRPr="00CF7824">
        <w:rPr>
          <w:rFonts w:asciiTheme="minorHAnsi" w:eastAsia="Arial" w:hAnsiTheme="minorHAnsi" w:cstheme="minorHAnsi"/>
          <w:b/>
          <w:color w:val="000000"/>
          <w:vertAlign w:val="superscript"/>
        </w:rPr>
        <w:footnoteReference w:id="40"/>
      </w:r>
      <w:r w:rsidRPr="00CF7824">
        <w:rPr>
          <w:rFonts w:asciiTheme="minorHAnsi" w:eastAsia="Arial" w:hAnsiTheme="minorHAnsi" w:cstheme="minorHAnsi"/>
          <w:b/>
          <w:color w:val="000000"/>
          <w:lang w:val="fr-FR"/>
        </w:rPr>
        <w:t xml:space="preserve"> (Ramsar COP11 Résolution XI.8,</w:t>
      </w:r>
      <w:r w:rsidR="003C4D84" w:rsidRPr="00CF7824">
        <w:rPr>
          <w:rFonts w:asciiTheme="minorHAnsi" w:eastAsia="Arial" w:hAnsiTheme="minorHAnsi" w:cstheme="minorHAnsi"/>
          <w:b/>
          <w:color w:val="000000"/>
          <w:lang w:val="fr-FR"/>
        </w:rPr>
        <w:t xml:space="preserve"> a</w:t>
      </w:r>
      <w:r w:rsidRPr="00CF7824">
        <w:rPr>
          <w:rFonts w:asciiTheme="minorHAnsi" w:eastAsia="Arial" w:hAnsiTheme="minorHAnsi" w:cstheme="minorHAnsi"/>
          <w:b/>
          <w:color w:val="000000"/>
          <w:lang w:val="fr-FR"/>
        </w:rPr>
        <w:t>nnexe 2, Rev.COP14 (2022))</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90. </w:t>
      </w:r>
      <w:r w:rsidRPr="00CF7824">
        <w:rPr>
          <w:rFonts w:asciiTheme="minorHAnsi" w:eastAsia="Arial" w:hAnsiTheme="minorHAnsi" w:cstheme="minorHAnsi"/>
          <w:color w:val="000000"/>
          <w:lang w:val="fr-FR"/>
        </w:rPr>
        <w:tab/>
        <w:t xml:space="preserve">Pour les oiseaux d’eau, veuillez utiliser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de Wetland International comme source d’information sur les populations et la taxonomie des espèces (voir aussi </w:t>
      </w:r>
      <w:r w:rsidR="00AA52E6" w:rsidRPr="00CF7824">
        <w:rPr>
          <w:rFonts w:asciiTheme="minorHAnsi" w:eastAsia="Arial" w:hAnsiTheme="minorHAnsi" w:cstheme="minorHAnsi"/>
          <w:color w:val="000000"/>
          <w:lang w:val="fr-FR"/>
        </w:rPr>
        <w:t xml:space="preserve">les </w:t>
      </w:r>
      <w:r w:rsidRPr="00CF7824">
        <w:rPr>
          <w:rFonts w:asciiTheme="minorHAnsi" w:eastAsia="Arial" w:hAnsiTheme="minorHAnsi" w:cstheme="minorHAnsi"/>
          <w:color w:val="000000"/>
          <w:lang w:val="fr-FR"/>
        </w:rPr>
        <w:t>sections</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6.1.5 et 6.1.6 ci-dessous). (À noter qu’il n’y a que peu de différences entre les nomenclatures adoptées par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et la CITES). La référence la plus récente est Waterbird Population Estimates, 5e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édition, consultable sur le Waterbird Populations Portal (Portail des populations d’oiseaux d’eau)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197</w:t>
      </w:r>
      <w:r w:rsidR="009B6D38" w:rsidRPr="00CF7824">
        <w:rPr>
          <w:rFonts w:asciiTheme="minorHAnsi" w:eastAsia="Arial" w:hAnsiTheme="minorHAnsi" w:cstheme="minorHAnsi"/>
          <w:color w:val="000000"/>
          <w:lang w:val="fr-FR"/>
        </w:rPr>
        <w:t xml:space="preserve">. </w:t>
      </w:r>
      <w:r w:rsidRPr="00CF7824">
        <w:rPr>
          <w:rFonts w:asciiTheme="minorHAnsi" w:eastAsia="Arial" w:hAnsiTheme="minorHAnsi" w:cstheme="minorHAnsi"/>
          <w:color w:val="000000"/>
          <w:lang w:val="fr-FR"/>
        </w:rPr>
        <w:t xml:space="preserve">Les estimations actuelles de la taille de toutes les populations d’espèces d’oiseaux d’eau et les seuils de 1% pour les populations pour lesquelles on dispose d’estimations de la taille de population fiables sont aussi disponibles dans la publication périodique de Wetland International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sur le Portail des populations d’oiseaux d’eau. Si ce Critère est appliqué à une espèce ou population d’oiseaux d’eau qui, soit n’est pas couverte par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soit pour laquelle cette publication ne fournit pas de seuil de 1%, ou si le seuil fourni est considéré comme obsolète, une autre source d’estimation de la taille de la population peut être utilisée et les détails de cette source doivent être fournis au Secrétariat et à Wetlands International (afin de tenir un registre de ces cas). La méthode précise suivie pour réaliser ces estimations, solidement étayée, devra être fournie.</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ind w:left="426" w:hanging="426"/>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206. Définition de «</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taille de la population d’oiseaux d’eau</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 xml:space="preserve">: pour pouvoir, dans la mesure du possible, établir des comparaisons au niveau international, les Parties contractantes devraient utiliser les estimations internationales de populations et les seuils de 1% publiés et mis à jour tous les trois ans par Wetlands International comme base d’évaluation des sites de la Liste de Ramsar au titre de ce critère. Les seuils de 1% les plus récents sont donnés dans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4</w:t>
      </w:r>
      <w:r w:rsidRPr="00CF7824">
        <w:rPr>
          <w:rFonts w:asciiTheme="minorHAnsi" w:eastAsia="Arial" w:hAnsiTheme="minorHAnsi" w:cstheme="minorHAnsi"/>
          <w:color w:val="000000"/>
          <w:vertAlign w:val="superscript"/>
          <w:lang w:val="fr-FR"/>
        </w:rPr>
        <w:t>e</w:t>
      </w:r>
      <w:r w:rsidRPr="00CF7824">
        <w:rPr>
          <w:rFonts w:asciiTheme="minorHAnsi" w:eastAsia="Arial" w:hAnsiTheme="minorHAnsi" w:cstheme="minorHAnsi"/>
          <w:color w:val="000000"/>
          <w:lang w:val="fr-FR"/>
        </w:rPr>
        <w:t xml:space="preserve"> édition (2006), qui fournit aussi une description de l’aire de répartition biogéographique de chaque population. Les éditions précédentes de </w:t>
      </w:r>
      <w:r w:rsidRPr="00CF7824">
        <w:rPr>
          <w:rFonts w:asciiTheme="minorHAnsi" w:eastAsia="Arial" w:hAnsiTheme="minorHAnsi" w:cstheme="minorHAnsi"/>
          <w:i/>
          <w:color w:val="000000"/>
          <w:lang w:val="fr-FR"/>
        </w:rPr>
        <w:t>Waterbird Population Estimates</w:t>
      </w:r>
      <w:r w:rsidRPr="00CF7824">
        <w:rPr>
          <w:rFonts w:asciiTheme="minorHAnsi" w:eastAsia="Arial" w:hAnsiTheme="minorHAnsi" w:cstheme="minorHAnsi"/>
          <w:color w:val="000000"/>
          <w:lang w:val="fr-FR"/>
        </w:rPr>
        <w:t xml:space="preserve"> sont désormais remplacées et ne doivent pas être utilisées pour l’application du Critère</w:t>
      </w:r>
      <w:r w:rsidR="00CC2126" w:rsidRPr="00CF7824">
        <w:rPr>
          <w:rFonts w:asciiTheme="minorHAnsi" w:eastAsia="Arial" w:hAnsiTheme="minorHAnsi" w:cstheme="minorHAnsi"/>
          <w:color w:val="000000"/>
          <w:lang w:val="fr-FR"/>
        </w:rPr>
        <w:t> </w:t>
      </w:r>
      <w:r w:rsidRPr="00CF7824">
        <w:rPr>
          <w:rFonts w:asciiTheme="minorHAnsi" w:eastAsia="Arial" w:hAnsiTheme="minorHAnsi" w:cstheme="minorHAnsi"/>
          <w:color w:val="000000"/>
          <w:lang w:val="fr-FR"/>
        </w:rPr>
        <w:t>6.</w:t>
      </w:r>
    </w:p>
    <w:p w:rsidR="005B1E26" w:rsidRPr="00CF7824" w:rsidRDefault="005B1E26" w:rsidP="005B1E26">
      <w:pPr>
        <w:pBdr>
          <w:top w:val="nil"/>
          <w:left w:val="nil"/>
          <w:bottom w:val="nil"/>
          <w:right w:val="nil"/>
          <w:between w:val="nil"/>
        </w:pBdr>
        <w:ind w:left="426" w:hanging="426"/>
        <w:rPr>
          <w:rFonts w:asciiTheme="minorHAnsi" w:eastAsia="Arial" w:hAnsiTheme="minorHAnsi" w:cstheme="minorHAnsi"/>
          <w:color w:val="000000"/>
          <w:lang w:val="fr-FR"/>
        </w:rPr>
      </w:pPr>
    </w:p>
    <w:p w:rsidR="005B1E26" w:rsidRPr="00CF7824" w:rsidRDefault="009B6D38" w:rsidP="005B1E26">
      <w:pPr>
        <w:pBdr>
          <w:top w:val="nil"/>
          <w:left w:val="nil"/>
          <w:bottom w:val="nil"/>
          <w:right w:val="nil"/>
          <w:between w:val="nil"/>
        </w:pBdr>
        <w:ind w:left="426" w:hanging="426"/>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207. </w:t>
      </w:r>
      <w:r w:rsidR="005B1E26" w:rsidRPr="00CF7824">
        <w:rPr>
          <w:rFonts w:asciiTheme="minorHAnsi" w:eastAsia="Arial" w:hAnsiTheme="minorHAnsi" w:cstheme="minorHAnsi"/>
          <w:color w:val="000000"/>
          <w:lang w:val="fr-FR"/>
        </w:rPr>
        <w:t xml:space="preserve">À noter que ce Critère ne devrait s’appliquer qu’aux populations d’oiseaux d’eau pour lesquelles on dispose d’un seuil de 1%. Toutefois, pour les populations d’espèces d’oiseaux d’eau appartenant à des taxons qui ne sont pas actuellement couverts par </w:t>
      </w:r>
      <w:r w:rsidR="005B1E26" w:rsidRPr="00CF7824">
        <w:rPr>
          <w:rFonts w:asciiTheme="minorHAnsi" w:eastAsia="Arial" w:hAnsiTheme="minorHAnsi" w:cstheme="minorHAnsi"/>
          <w:i/>
          <w:color w:val="000000"/>
          <w:lang w:val="fr-FR"/>
        </w:rPr>
        <w:t>Waterbird Population Estimates</w:t>
      </w:r>
      <w:r w:rsidR="005B1E26" w:rsidRPr="00CF7824">
        <w:rPr>
          <w:rFonts w:asciiTheme="minorHAnsi" w:eastAsia="Arial" w:hAnsiTheme="minorHAnsi" w:cstheme="minorHAnsi"/>
          <w:color w:val="000000"/>
          <w:lang w:val="fr-FR"/>
        </w:rPr>
        <w:t>, ce Critère peut être appliqué si une estimation de population et un seuil de 1% fiables sont disponibles d’une autre source et si cette source d’information est clairement précisée. Il ne suffit pas de répéter simplement le Critère, à savoir que le site abrite &gt;1%</w:t>
      </w:r>
      <w:r w:rsidR="005B1E26" w:rsidRPr="00CF7824">
        <w:rPr>
          <w:lang w:val="fr-FR"/>
        </w:rPr>
        <w:t xml:space="preserve"> </w:t>
      </w:r>
      <w:r w:rsidR="005B1E26" w:rsidRPr="00CF7824">
        <w:rPr>
          <w:rFonts w:asciiTheme="minorHAnsi" w:eastAsia="Arial" w:hAnsiTheme="minorHAnsi" w:cstheme="minorHAnsi"/>
          <w:color w:val="000000"/>
          <w:lang w:val="fr-FR"/>
        </w:rPr>
        <w:t xml:space="preserve">d’une population, et inscrire des populations dont les effectifs dans le site s’élèvent à &gt;1% de leur population </w:t>
      </w:r>
      <w:r w:rsidR="005B1E26" w:rsidRPr="00CF7824">
        <w:rPr>
          <w:rFonts w:asciiTheme="minorHAnsi" w:eastAsia="Arial" w:hAnsiTheme="minorHAnsi" w:cstheme="minorHAnsi"/>
          <w:i/>
          <w:color w:val="000000"/>
          <w:lang w:val="fr-FR"/>
        </w:rPr>
        <w:t>nationale</w:t>
      </w:r>
      <w:r w:rsidR="005B1E26" w:rsidRPr="00CF7824">
        <w:rPr>
          <w:rFonts w:asciiTheme="minorHAnsi" w:eastAsia="Arial" w:hAnsiTheme="minorHAnsi" w:cstheme="minorHAnsi"/>
          <w:color w:val="000000"/>
          <w:lang w:val="fr-FR"/>
        </w:rPr>
        <w:t xml:space="preserve"> n’est pas une bonne justification, sauf lorsque la population est endémique de ce pays.</w:t>
      </w:r>
    </w:p>
    <w:p w:rsidR="005B1E26" w:rsidRPr="00CF7824" w:rsidRDefault="005B1E26" w:rsidP="005B1E26">
      <w:pPr>
        <w:pBdr>
          <w:top w:val="nil"/>
          <w:left w:val="nil"/>
          <w:bottom w:val="nil"/>
          <w:right w:val="nil"/>
          <w:between w:val="nil"/>
        </w:pBdr>
        <w:ind w:left="426" w:hanging="426"/>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426" w:hanging="426"/>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207(a).</w:t>
      </w:r>
      <w:r w:rsidRPr="00CF7824">
        <w:rPr>
          <w:rFonts w:asciiTheme="minorHAnsi" w:eastAsia="Arial" w:hAnsiTheme="minorHAnsi" w:cstheme="minorHAnsi"/>
          <w:color w:val="000000"/>
          <w:lang w:val="fr-FR"/>
        </w:rPr>
        <w:tab/>
      </w:r>
      <w:r w:rsidRPr="00CF7824">
        <w:rPr>
          <w:lang w:val="fr-FR"/>
        </w:rPr>
        <w:t xml:space="preserve">Une autre source peut également être utilisée lorsque les estimations de population publiées dans les </w:t>
      </w:r>
      <w:r w:rsidRPr="00CF7824">
        <w:rPr>
          <w:i/>
          <w:lang w:val="fr-FR"/>
        </w:rPr>
        <w:t>Waterbird Population Estimates</w:t>
      </w:r>
      <w:r w:rsidRPr="00CF7824">
        <w:rPr>
          <w:lang w:val="fr-FR"/>
        </w:rPr>
        <w:t xml:space="preserve"> les plus récentes sont jugées obsolètes.</w:t>
      </w:r>
      <w:r w:rsidRPr="00CF7824">
        <w:rPr>
          <w:rFonts w:asciiTheme="minorHAnsi" w:eastAsia="Arial" w:hAnsiTheme="minorHAnsi" w:cstheme="minorHAnsi"/>
          <w:color w:val="000000"/>
          <w:lang w:val="fr-FR"/>
        </w:rPr>
        <w:t xml:space="preserve"> </w:t>
      </w:r>
    </w:p>
    <w:p w:rsidR="005B1E26" w:rsidRPr="00CF7824" w:rsidRDefault="005B1E26" w:rsidP="005B1E26">
      <w:pPr>
        <w:pBdr>
          <w:top w:val="nil"/>
          <w:left w:val="nil"/>
          <w:bottom w:val="nil"/>
          <w:right w:val="nil"/>
          <w:between w:val="nil"/>
        </w:pBdr>
        <w:ind w:left="426" w:hanging="426"/>
        <w:rPr>
          <w:rFonts w:asciiTheme="minorHAnsi" w:eastAsia="Arial" w:hAnsiTheme="minorHAnsi" w:cstheme="minorHAnsi"/>
          <w:color w:val="000000"/>
          <w:lang w:val="fr-FR"/>
        </w:rPr>
      </w:pPr>
    </w:p>
    <w:p w:rsidR="005B1E26" w:rsidRPr="00CF7824" w:rsidRDefault="009B6D38" w:rsidP="005B1E26">
      <w:pPr>
        <w:pBdr>
          <w:top w:val="nil"/>
          <w:left w:val="nil"/>
          <w:bottom w:val="nil"/>
          <w:right w:val="nil"/>
          <w:between w:val="nil"/>
        </w:pBdr>
        <w:ind w:left="426" w:hanging="426"/>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208. </w:t>
      </w:r>
      <w:r w:rsidR="005B1E26" w:rsidRPr="00CF7824">
        <w:rPr>
          <w:rFonts w:asciiTheme="minorHAnsi" w:eastAsia="Arial" w:hAnsiTheme="minorHAnsi" w:cstheme="minorHAnsi"/>
          <w:color w:val="000000"/>
          <w:lang w:val="fr-FR"/>
        </w:rPr>
        <w:t>Comme y invitent la Résolution</w:t>
      </w:r>
      <w:r w:rsidR="00CC2126" w:rsidRPr="00CF7824">
        <w:rPr>
          <w:rFonts w:asciiTheme="minorHAnsi" w:eastAsia="Arial" w:hAnsiTheme="minorHAnsi" w:cstheme="minorHAnsi"/>
          <w:color w:val="000000"/>
          <w:lang w:val="fr-FR"/>
        </w:rPr>
        <w:t> </w:t>
      </w:r>
      <w:r w:rsidR="005B1E26" w:rsidRPr="00CF7824">
        <w:rPr>
          <w:rFonts w:asciiTheme="minorHAnsi" w:eastAsia="Arial" w:hAnsiTheme="minorHAnsi" w:cstheme="minorHAnsi"/>
          <w:color w:val="000000"/>
          <w:lang w:val="fr-FR"/>
        </w:rPr>
        <w:t>VI.4 (1996) et la Résolution</w:t>
      </w:r>
      <w:r w:rsidR="00CC2126" w:rsidRPr="00CF7824">
        <w:rPr>
          <w:rFonts w:asciiTheme="minorHAnsi" w:eastAsia="Arial" w:hAnsiTheme="minorHAnsi" w:cstheme="minorHAnsi"/>
          <w:color w:val="000000"/>
          <w:lang w:val="fr-FR"/>
        </w:rPr>
        <w:t> </w:t>
      </w:r>
      <w:r w:rsidR="005B1E26" w:rsidRPr="00CF7824">
        <w:rPr>
          <w:rFonts w:asciiTheme="minorHAnsi" w:eastAsia="Arial" w:hAnsiTheme="minorHAnsi" w:cstheme="minorHAnsi"/>
          <w:color w:val="000000"/>
          <w:lang w:val="fr-FR"/>
        </w:rPr>
        <w:t xml:space="preserve">VIII.38 (2002), pour mieux appliquer ce Critère, les Parties contractantes devraient non seulement fournir des données pour la mise à jour et la révision futures des estimations internationales de populations d’oiseaux d’eau, mais aussi soutenir la réalisation, au niveau national, du Comptage international des oiseaux </w:t>
      </w:r>
      <w:r w:rsidR="005B1E26" w:rsidRPr="00CF7824">
        <w:rPr>
          <w:rFonts w:asciiTheme="minorHAnsi" w:eastAsia="Arial" w:hAnsiTheme="minorHAnsi" w:cstheme="minorHAnsi"/>
          <w:color w:val="000000"/>
          <w:lang w:val="fr-FR"/>
        </w:rPr>
        <w:lastRenderedPageBreak/>
        <w:t>d’eau, organisé par Wetlands International, qui est à la source d’une bonne partie de ces données.</w:t>
      </w: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t>Convention sur les espèces migratrices</w:t>
      </w:r>
    </w:p>
    <w:p w:rsidR="005B1E26" w:rsidRPr="00CF7824" w:rsidRDefault="005B1E26" w:rsidP="005B1E26">
      <w:pPr>
        <w:pBdr>
          <w:top w:val="nil"/>
          <w:left w:val="nil"/>
          <w:bottom w:val="nil"/>
          <w:right w:val="nil"/>
          <w:between w:val="nil"/>
        </w:pBdr>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12.11(Rev.COP13)</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 Voies de migration (2020)</w:t>
      </w:r>
    </w:p>
    <w:p w:rsidR="005B1E26" w:rsidRPr="00CF7824" w:rsidRDefault="005B1E26" w:rsidP="005B1E26">
      <w:pP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20. </w:t>
      </w:r>
      <w:r w:rsidRPr="00CF7824">
        <w:rPr>
          <w:rFonts w:asciiTheme="minorHAnsi" w:eastAsia="Arial" w:hAnsiTheme="minorHAnsi" w:cstheme="minorHAnsi"/>
          <w:color w:val="000000"/>
          <w:lang w:val="fr-FR"/>
        </w:rPr>
        <w:tab/>
        <w:t>Recommande que les Parties améliorent et renforcent la surveillance régulière des populations d’oiseaux migrateurs et des sites clés dont ils dépendent (y compris en réalisant des enquêtes sur les nouveaux sites pour combler le manque d’information) et renforcent les capacités pour une telle surveillance sur le long terme (en l’institutionnalisant comme une activité permanente au sein du gouvernement le cas échéant, en partenariat avec d’autres organisations, notamment par la mise en place d’initiatives de soutien telles que le Global Waterbird Fund (créé en réponse à l’invitation de l’AEWA et de la Convention de Ramsar et géré par Wetlands International), de façon à présenter aux acteurs clés des informations à jour sur la distribution, le statut et le devenir des oiseaux migrateurs, ainsi que sur les sites et habitats dont ils ont besoin</w:t>
      </w:r>
      <w:r w:rsidR="00A12CF2" w:rsidRPr="00CF7824">
        <w:rPr>
          <w:rFonts w:asciiTheme="minorHAnsi" w:eastAsia="Arial" w:hAnsiTheme="minorHAnsi" w:cstheme="minorHAnsi"/>
          <w:color w:val="000000"/>
          <w:lang w:val="fr-FR"/>
        </w:rPr>
        <w:t>;</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t>Accord sur la conservation des oiseaux d</w:t>
      </w:r>
      <w:r w:rsidR="00CC2126" w:rsidRPr="00CF7824">
        <w:rPr>
          <w:rFonts w:asciiTheme="minorHAnsi" w:eastAsia="Arial" w:hAnsiTheme="minorHAnsi" w:cstheme="minorHAnsi"/>
          <w:b/>
          <w:color w:val="000000"/>
          <w:lang w:val="fr-FR"/>
        </w:rPr>
        <w:t>’</w:t>
      </w:r>
      <w:r w:rsidRPr="00CF7824">
        <w:rPr>
          <w:rFonts w:asciiTheme="minorHAnsi" w:eastAsia="Arial" w:hAnsiTheme="minorHAnsi" w:cstheme="minorHAnsi"/>
          <w:b/>
          <w:color w:val="000000"/>
          <w:lang w:val="fr-FR"/>
        </w:rPr>
        <w:t>eau migrateurs d</w:t>
      </w:r>
      <w:r w:rsidR="00CC2126" w:rsidRPr="00CF7824">
        <w:rPr>
          <w:rFonts w:asciiTheme="minorHAnsi" w:eastAsia="Arial" w:hAnsiTheme="minorHAnsi" w:cstheme="minorHAnsi"/>
          <w:b/>
          <w:color w:val="000000"/>
          <w:lang w:val="fr-FR"/>
        </w:rPr>
        <w:t>’</w:t>
      </w:r>
      <w:r w:rsidRPr="00CF7824">
        <w:rPr>
          <w:rFonts w:asciiTheme="minorHAnsi" w:eastAsia="Arial" w:hAnsiTheme="minorHAnsi" w:cstheme="minorHAnsi"/>
          <w:b/>
          <w:color w:val="000000"/>
          <w:lang w:val="fr-FR"/>
        </w:rPr>
        <w:t>Afrique-Eurasie</w:t>
      </w:r>
    </w:p>
    <w:p w:rsidR="005B1E26" w:rsidRPr="00CF7824" w:rsidRDefault="005B1E26" w:rsidP="005B1E26">
      <w:pPr>
        <w:pBdr>
          <w:top w:val="nil"/>
          <w:left w:val="nil"/>
          <w:bottom w:val="nil"/>
          <w:right w:val="nil"/>
          <w:between w:val="nil"/>
        </w:pBdr>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asciiTheme="minorHAnsi" w:eastAsia="Arial" w:hAnsiTheme="minorHAnsi" w:cstheme="minorHAnsi"/>
          <w:b/>
          <w:color w:val="000000"/>
          <w:lang w:val="fr-FR"/>
        </w:rPr>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3.6 : Développement d’un partenariat international pour aider à l’estimation des populations d’oiseaux d’eau (2005)</w:t>
      </w:r>
    </w:p>
    <w:p w:rsidR="005B1E26" w:rsidRPr="00CF7824" w:rsidRDefault="005B1E26" w:rsidP="005B1E26">
      <w:pPr>
        <w:pBdr>
          <w:top w:val="nil"/>
          <w:left w:val="nil"/>
          <w:bottom w:val="nil"/>
          <w:right w:val="nil"/>
          <w:between w:val="nil"/>
        </w:pBdr>
        <w:jc w:val="cente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La Réunion des Parties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1. </w:t>
      </w:r>
      <w:r w:rsidRPr="00CF7824">
        <w:rPr>
          <w:rFonts w:asciiTheme="minorHAnsi" w:eastAsia="Arial" w:hAnsiTheme="minorHAnsi" w:cstheme="minorHAnsi"/>
          <w:color w:val="000000"/>
          <w:lang w:val="fr-FR"/>
        </w:rPr>
        <w:tab/>
      </w:r>
      <w:r w:rsidRPr="00CF7824">
        <w:rPr>
          <w:rFonts w:asciiTheme="minorHAnsi" w:eastAsia="Times New Roman" w:hAnsiTheme="minorHAnsi" w:cstheme="minorHAnsi"/>
          <w:i/>
          <w:lang w:val="fr-FR"/>
        </w:rPr>
        <w:t>Recommande</w:t>
      </w:r>
      <w:r w:rsidRPr="00CF7824">
        <w:rPr>
          <w:rFonts w:asciiTheme="minorHAnsi" w:eastAsia="Times New Roman" w:hAnsiTheme="minorHAnsi" w:cstheme="minorHAnsi"/>
          <w:lang w:val="fr-FR"/>
        </w:rPr>
        <w:t xml:space="preserve"> le développement d’urgence d’un partenariat international en vue de fournir un régime de financement essentiel à long terme pour le Recensement international des oiseaux d’eau et les </w:t>
      </w:r>
      <w:r w:rsidRPr="00CF7824">
        <w:rPr>
          <w:rFonts w:asciiTheme="minorHAnsi" w:eastAsia="Times New Roman" w:hAnsiTheme="minorHAnsi" w:cstheme="minorHAnsi"/>
          <w:i/>
          <w:lang w:val="fr-FR"/>
        </w:rPr>
        <w:t>Waterbird Population Estimates</w:t>
      </w:r>
      <w:r w:rsidRPr="00CF7824">
        <w:rPr>
          <w:rFonts w:asciiTheme="minorHAnsi" w:eastAsia="Times New Roman" w:hAnsiTheme="minorHAnsi" w:cstheme="minorHAnsi"/>
          <w:lang w:val="fr-FR"/>
        </w:rPr>
        <w:t>, auquel participeront les principaux utilisateurs des données obtenues, entre autres, les conventions et traités internationaux, les organisations d’intégration économique régionales, les agences internationales, les gouvernements nationaux, ainsi que les organisations non gouvernementales nationales et internationales s’il y a lieu;</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2. </w:t>
      </w:r>
      <w:r w:rsidRPr="00CF7824">
        <w:rPr>
          <w:rFonts w:asciiTheme="minorHAnsi" w:eastAsia="Arial" w:hAnsiTheme="minorHAnsi" w:cstheme="minorHAnsi"/>
          <w:color w:val="000000"/>
          <w:lang w:val="fr-FR"/>
        </w:rPr>
        <w:tab/>
      </w:r>
      <w:r w:rsidRPr="00CF7824">
        <w:rPr>
          <w:rFonts w:asciiTheme="minorHAnsi" w:eastAsia="Times New Roman" w:hAnsiTheme="minorHAnsi" w:cstheme="minorHAnsi"/>
          <w:i/>
          <w:lang w:val="fr-FR"/>
        </w:rPr>
        <w:t>Demande</w:t>
      </w:r>
      <w:r w:rsidRPr="00CF7824">
        <w:rPr>
          <w:rFonts w:asciiTheme="minorHAnsi" w:eastAsia="Times New Roman" w:hAnsiTheme="minorHAnsi" w:cstheme="minorHAnsi"/>
          <w:b/>
          <w:lang w:val="fr-FR"/>
        </w:rPr>
        <w:t xml:space="preserve"> </w:t>
      </w:r>
      <w:r w:rsidRPr="00CF7824">
        <w:rPr>
          <w:rFonts w:asciiTheme="minorHAnsi" w:eastAsia="Times New Roman" w:hAnsiTheme="minorHAnsi" w:cstheme="minorHAnsi"/>
          <w:lang w:val="fr-FR"/>
        </w:rPr>
        <w:t>au Secrétariat de l’Accord de travailler avec Wetlands International pour développer des propositions (avec évaluation des coûts) à ces fins et coordonner avec les parties intéressées l’établissement de ce type de partenariats en priorité, facilitant la date de remise des rapports sur l’état et les tendances des populations d’oiseaux d’eau aux futures MOP</w:t>
      </w:r>
      <w:r w:rsidRPr="00CF7824">
        <w:rPr>
          <w:rFonts w:asciiTheme="minorHAnsi" w:eastAsia="Arial" w:hAnsiTheme="minorHAnsi" w:cstheme="minorHAnsi"/>
          <w:color w:val="000000"/>
          <w:lang w:val="fr-FR"/>
        </w:rPr>
        <w:t xml:space="preserve">;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3. </w:t>
      </w:r>
      <w:r w:rsidRPr="00CF7824">
        <w:rPr>
          <w:rFonts w:asciiTheme="minorHAnsi" w:eastAsia="Arial" w:hAnsiTheme="minorHAnsi" w:cstheme="minorHAnsi"/>
          <w:color w:val="000000"/>
          <w:lang w:val="fr-FR"/>
        </w:rPr>
        <w:tab/>
      </w:r>
      <w:r w:rsidRPr="00CF7824">
        <w:rPr>
          <w:rFonts w:asciiTheme="minorHAnsi" w:eastAsia="Times New Roman" w:hAnsiTheme="minorHAnsi" w:cstheme="minorHAnsi"/>
          <w:i/>
          <w:lang w:val="fr-FR"/>
        </w:rPr>
        <w:t xml:space="preserve">Demande également </w:t>
      </w:r>
      <w:r w:rsidRPr="00CF7824">
        <w:rPr>
          <w:rFonts w:asciiTheme="minorHAnsi" w:eastAsia="Times New Roman" w:hAnsiTheme="minorHAnsi" w:cstheme="minorHAnsi"/>
          <w:lang w:val="fr-FR"/>
        </w:rPr>
        <w:t xml:space="preserve">le support de la Convention de Ramsar, de la Convention sur les espèces migratrices, de la Convention sur la biodiversité biologique, d’organisations d’intégration économique régionale, des gouvernements nationaux, de la Communauté européenne, des organisations non gouvernementales nationales et internationales, ainsi que des organismes donateurs en vue de mettre en place des dispositions pour établir ce type d’arrangements, afin d’apporter une aide financière au Recensement international des oiseaux d’eau et aux </w:t>
      </w:r>
      <w:r w:rsidRPr="00CF7824">
        <w:rPr>
          <w:rFonts w:asciiTheme="minorHAnsi" w:eastAsia="Times New Roman" w:hAnsiTheme="minorHAnsi" w:cstheme="minorHAnsi"/>
          <w:i/>
          <w:lang w:val="fr-FR"/>
        </w:rPr>
        <w:t>Waterbird Population Estimates</w:t>
      </w:r>
      <w:r w:rsidRPr="00CF7824">
        <w:rPr>
          <w:rFonts w:asciiTheme="minorHAnsi" w:eastAsia="Times New Roman" w:hAnsiTheme="minorHAnsi" w:cstheme="minorHAnsi"/>
          <w:lang w:val="fr-FR"/>
        </w:rPr>
        <w:t>, et leurs résultats dérivés, en tant que moyen d’information pour un vaste éventail de politiques et d’indicateurs nationaux et internationaux de conservation</w:t>
      </w:r>
      <w:r w:rsidRPr="00CF7824">
        <w:rPr>
          <w:rFonts w:asciiTheme="minorHAnsi" w:eastAsia="Arial" w:hAnsiTheme="minorHAnsi" w:cstheme="minorHAnsi"/>
          <w:color w:val="000000"/>
          <w:lang w:val="fr-FR"/>
        </w:rPr>
        <w:t xml:space="preserve">. </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rPr>
          <w:rFonts w:asciiTheme="minorHAnsi" w:eastAsia="Arial" w:hAnsiTheme="minorHAnsi" w:cstheme="minorHAnsi"/>
          <w:b/>
          <w:color w:val="000000"/>
          <w:lang w:val="fr-FR"/>
        </w:rPr>
      </w:pPr>
    </w:p>
    <w:p w:rsidR="005B1E26" w:rsidRPr="00CF7824" w:rsidRDefault="005B1E26" w:rsidP="005B1E26">
      <w:pPr>
        <w:pBdr>
          <w:top w:val="nil"/>
          <w:left w:val="nil"/>
          <w:bottom w:val="nil"/>
          <w:right w:val="nil"/>
          <w:between w:val="nil"/>
        </w:pBdr>
        <w:ind w:left="0" w:firstLine="0"/>
        <w:rPr>
          <w:rFonts w:asciiTheme="minorHAnsi" w:eastAsia="Arial" w:hAnsiTheme="minorHAnsi" w:cstheme="minorHAnsi"/>
          <w:b/>
          <w:color w:val="000000"/>
          <w:lang w:val="fr-FR"/>
        </w:rPr>
      </w:pPr>
      <w:r w:rsidRPr="00CF7824">
        <w:rPr>
          <w:rFonts w:asciiTheme="minorHAnsi" w:eastAsia="Arial" w:hAnsiTheme="minorHAnsi" w:cstheme="minorHAnsi"/>
          <w:b/>
          <w:color w:val="000000"/>
          <w:lang w:val="fr-FR"/>
        </w:rPr>
        <w:lastRenderedPageBreak/>
        <w:t>Résolution</w:t>
      </w:r>
      <w:r w:rsidR="00CC2126" w:rsidRPr="00CF7824">
        <w:rPr>
          <w:rFonts w:asciiTheme="minorHAnsi" w:eastAsia="Arial" w:hAnsiTheme="minorHAnsi" w:cstheme="minorHAnsi"/>
          <w:b/>
          <w:color w:val="000000"/>
          <w:lang w:val="fr-FR"/>
        </w:rPr>
        <w:t> </w:t>
      </w:r>
      <w:r w:rsidRPr="00CF7824">
        <w:rPr>
          <w:rFonts w:asciiTheme="minorHAnsi" w:eastAsia="Arial" w:hAnsiTheme="minorHAnsi" w:cstheme="minorHAnsi"/>
          <w:b/>
          <w:color w:val="000000"/>
          <w:lang w:val="fr-FR"/>
        </w:rPr>
        <w:t>5.2 : Prise en main des lacunes dans les connaissances des populations d’oiseaux d’eau et des sites importants pour ces derniers, et actions de conservation à cet effet (2012)</w:t>
      </w:r>
    </w:p>
    <w:p w:rsidR="005B1E26" w:rsidRPr="00CF7824" w:rsidRDefault="005B1E26" w:rsidP="005B1E26">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5B1E26">
      <w:pPr>
        <w:pBdr>
          <w:top w:val="nil"/>
          <w:left w:val="nil"/>
          <w:bottom w:val="nil"/>
          <w:right w:val="nil"/>
          <w:between w:val="nil"/>
        </w:pBdr>
        <w:jc w:val="center"/>
        <w:rPr>
          <w:rFonts w:asciiTheme="minorHAnsi" w:eastAsia="Arial" w:hAnsiTheme="minorHAnsi" w:cstheme="minorHAnsi"/>
          <w:color w:val="000000"/>
        </w:rPr>
      </w:pPr>
      <w:r w:rsidRPr="00CF7824">
        <w:rPr>
          <w:rFonts w:asciiTheme="minorHAnsi" w:eastAsia="Arial" w:hAnsiTheme="minorHAnsi" w:cstheme="minorHAnsi"/>
          <w:color w:val="000000"/>
        </w:rPr>
        <w:t>La Réunion des Parties :</w:t>
      </w:r>
    </w:p>
    <w:p w:rsidR="005B1E26" w:rsidRPr="00CF7824" w:rsidRDefault="005B1E26" w:rsidP="005B1E26">
      <w:pPr>
        <w:pBdr>
          <w:top w:val="nil"/>
          <w:left w:val="nil"/>
          <w:bottom w:val="nil"/>
          <w:right w:val="nil"/>
          <w:between w:val="nil"/>
        </w:pBdr>
        <w:jc w:val="center"/>
        <w:rPr>
          <w:rFonts w:asciiTheme="minorHAnsi" w:eastAsia="Arial" w:hAnsiTheme="minorHAnsi" w:cstheme="minorHAnsi"/>
          <w:color w:val="000000"/>
        </w:rPr>
      </w:pPr>
    </w:p>
    <w:p w:rsidR="005B1E26" w:rsidRPr="00CF7824" w:rsidRDefault="005B1E26" w:rsidP="005B1E26">
      <w:pPr>
        <w:pStyle w:val="ListParagraph"/>
        <w:numPr>
          <w:ilvl w:val="0"/>
          <w:numId w:val="27"/>
        </w:numPr>
        <w:ind w:left="425" w:hanging="425"/>
        <w:contextualSpacing w:val="0"/>
        <w:rPr>
          <w:rFonts w:asciiTheme="minorHAnsi" w:eastAsia="Times New Roman" w:hAnsiTheme="minorHAnsi" w:cstheme="minorHAnsi"/>
          <w:lang w:val="fr-FR"/>
        </w:rPr>
      </w:pPr>
      <w:r w:rsidRPr="00CF7824">
        <w:rPr>
          <w:rFonts w:asciiTheme="minorHAnsi" w:eastAsia="Times New Roman" w:hAnsiTheme="minorHAnsi" w:cstheme="minorHAnsi"/>
          <w:i/>
          <w:lang w:val="fr-FR" w:eastAsia="nl-NL"/>
        </w:rPr>
        <w:t xml:space="preserve">Invite </w:t>
      </w:r>
      <w:r w:rsidRPr="00CF7824">
        <w:rPr>
          <w:rFonts w:asciiTheme="minorHAnsi" w:eastAsia="Times New Roman" w:hAnsiTheme="minorHAnsi" w:cstheme="minorHAnsi"/>
          <w:lang w:val="fr-FR" w:eastAsia="nl-NL"/>
        </w:rPr>
        <w:t>les Parties à assurer que toutes les populations de l’AEWA sont couvertes par des programmes de surveillance internationaux qui sont appropriés au niveau de leur étendue et de leurs méthodes pour produire des estimations de tailles et de tendances de populations internationales fiables</w:t>
      </w:r>
      <w:r w:rsidR="00A12CF2" w:rsidRPr="00CF7824">
        <w:rPr>
          <w:rFonts w:asciiTheme="minorHAnsi" w:eastAsia="Times New Roman" w:hAnsiTheme="minorHAnsi" w:cstheme="minorHAnsi"/>
          <w:lang w:val="fr-FR" w:eastAsia="nl-NL"/>
        </w:rPr>
        <w:t>;</w:t>
      </w:r>
      <w:r w:rsidRPr="00CF7824">
        <w:rPr>
          <w:rFonts w:asciiTheme="minorHAnsi" w:eastAsia="Times New Roman" w:hAnsiTheme="minorHAnsi" w:cstheme="minorHAnsi"/>
          <w:lang w:val="fr-FR" w:eastAsia="nl-NL"/>
        </w:rPr>
        <w:t xml:space="preserve"> </w:t>
      </w:r>
    </w:p>
    <w:p w:rsidR="005B1E26" w:rsidRPr="00CF7824" w:rsidRDefault="005B1E26" w:rsidP="005B1E26">
      <w:pPr>
        <w:rPr>
          <w:rFonts w:asciiTheme="minorHAnsi" w:eastAsia="Times New Roman" w:hAnsiTheme="minorHAnsi" w:cstheme="minorHAnsi"/>
          <w:i/>
          <w:lang w:val="fr-FR" w:eastAsia="nl-NL"/>
        </w:rPr>
      </w:pPr>
    </w:p>
    <w:p w:rsidR="005B1E26" w:rsidRPr="00CF7824" w:rsidRDefault="005B1E26" w:rsidP="005B1E26">
      <w:pPr>
        <w:numPr>
          <w:ilvl w:val="0"/>
          <w:numId w:val="27"/>
        </w:numPr>
        <w:ind w:left="425" w:hanging="425"/>
        <w:rPr>
          <w:rFonts w:asciiTheme="minorHAnsi" w:eastAsia="Times New Roman" w:hAnsiTheme="minorHAnsi" w:cstheme="minorHAnsi"/>
          <w:lang w:val="fr-FR" w:eastAsia="nl-NL"/>
        </w:rPr>
      </w:pPr>
      <w:r w:rsidRPr="00CF7824">
        <w:rPr>
          <w:rFonts w:asciiTheme="minorHAnsi" w:eastAsia="Times New Roman" w:hAnsiTheme="minorHAnsi" w:cstheme="minorHAnsi"/>
          <w:i/>
          <w:lang w:val="fr-FR" w:eastAsia="nl-NL"/>
        </w:rPr>
        <w:t>Demande</w:t>
      </w:r>
      <w:r w:rsidRPr="00CF7824">
        <w:rPr>
          <w:rFonts w:asciiTheme="minorHAnsi" w:eastAsia="Times New Roman" w:hAnsiTheme="minorHAnsi" w:cstheme="minorHAnsi"/>
          <w:lang w:val="fr-FR" w:eastAsia="nl-NL"/>
        </w:rPr>
        <w:t xml:space="preserve"> au Secrétariat et au Comité technique, en collaboration avec les organisations internationales concernées, de fournir à cet égard, d’ici la MOP6, comprenant la surveillance des oiseaux de mer et les oiseaux d’eau nichant en colonies</w:t>
      </w:r>
      <w:r w:rsidR="00A12CF2" w:rsidRPr="00CF7824">
        <w:rPr>
          <w:rFonts w:asciiTheme="minorHAnsi" w:eastAsia="Times New Roman" w:hAnsiTheme="minorHAnsi" w:cstheme="minorHAnsi"/>
          <w:lang w:val="fr-FR" w:eastAsia="nl-NL"/>
        </w:rPr>
        <w:t>;</w:t>
      </w:r>
    </w:p>
    <w:p w:rsidR="005B1E26" w:rsidRPr="00CF7824" w:rsidRDefault="005B1E26" w:rsidP="005B1E26">
      <w:pPr>
        <w:rPr>
          <w:rFonts w:asciiTheme="minorHAnsi" w:eastAsia="Times New Roman" w:hAnsiTheme="minorHAnsi" w:cstheme="minorHAnsi"/>
          <w:i/>
          <w:lang w:val="fr-FR" w:eastAsia="nl-NL"/>
        </w:rPr>
      </w:pPr>
    </w:p>
    <w:p w:rsidR="005B1E26" w:rsidRPr="00CF7824" w:rsidRDefault="005B1E26" w:rsidP="005B1E26">
      <w:pPr>
        <w:numPr>
          <w:ilvl w:val="0"/>
          <w:numId w:val="27"/>
        </w:numPr>
        <w:ind w:left="425" w:hanging="425"/>
        <w:rPr>
          <w:rFonts w:asciiTheme="minorHAnsi" w:eastAsia="Times New Roman" w:hAnsiTheme="minorHAnsi" w:cstheme="minorHAnsi"/>
          <w:lang w:val="fr-FR" w:eastAsia="nl-NL"/>
        </w:rPr>
      </w:pPr>
      <w:r w:rsidRPr="00CF7824">
        <w:rPr>
          <w:rFonts w:asciiTheme="minorHAnsi" w:eastAsia="Times New Roman" w:hAnsiTheme="minorHAnsi" w:cstheme="minorHAnsi"/>
          <w:i/>
          <w:lang w:val="fr-FR" w:eastAsia="nl-NL"/>
        </w:rPr>
        <w:t xml:space="preserve">Exhorte </w:t>
      </w:r>
      <w:r w:rsidRPr="00CF7824">
        <w:rPr>
          <w:rFonts w:asciiTheme="minorHAnsi" w:eastAsia="Times New Roman" w:hAnsiTheme="minorHAnsi" w:cstheme="minorHAnsi"/>
          <w:lang w:val="fr-FR" w:eastAsia="nl-NL"/>
        </w:rPr>
        <w:t>les</w:t>
      </w:r>
      <w:r w:rsidRPr="00CF7824">
        <w:rPr>
          <w:rFonts w:asciiTheme="minorHAnsi" w:eastAsia="Times New Roman" w:hAnsiTheme="minorHAnsi" w:cstheme="minorHAnsi"/>
          <w:i/>
          <w:lang w:val="fr-FR" w:eastAsia="nl-NL"/>
        </w:rPr>
        <w:t xml:space="preserve"> </w:t>
      </w:r>
      <w:r w:rsidRPr="00CF7824">
        <w:rPr>
          <w:rFonts w:asciiTheme="minorHAnsi" w:eastAsia="Times New Roman" w:hAnsiTheme="minorHAnsi" w:cstheme="minorHAnsi"/>
          <w:lang w:val="fr-FR" w:eastAsia="nl-NL"/>
        </w:rPr>
        <w:t>Parties à élaborer des programmes individuels de surveillance appropriés en termes de portée et de méthodologie pour obtenir des estimations fiables de tailles et de tendances des populations d’oiseaux d’eau se reproduisant ou hivernant sur leurs territoires tout en s’efforçant de parvenir à une méthodologie harmonisée conforme aux nouvelles lignes directrices de conservation de l’AEWA qui seront mises au point par le Comité technique</w:t>
      </w:r>
      <w:r w:rsidR="00A12CF2" w:rsidRPr="00CF7824">
        <w:rPr>
          <w:rFonts w:asciiTheme="minorHAnsi" w:eastAsia="Times New Roman" w:hAnsiTheme="minorHAnsi" w:cstheme="minorHAnsi"/>
          <w:lang w:val="fr-FR" w:eastAsia="nl-NL"/>
        </w:rPr>
        <w:t>;</w:t>
      </w:r>
      <w:r w:rsidRPr="00CF7824">
        <w:rPr>
          <w:rFonts w:asciiTheme="minorHAnsi" w:eastAsia="Times New Roman" w:hAnsiTheme="minorHAnsi" w:cstheme="minorHAnsi"/>
          <w:lang w:val="fr-FR" w:eastAsia="nl-NL"/>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5B1E26" w:rsidRPr="00CF7824" w:rsidRDefault="005B1E26"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lang w:val="fr-FR"/>
        </w:rPr>
      </w:pPr>
      <w:r w:rsidRPr="00CF7824">
        <w:rPr>
          <w:rFonts w:cs="Calibri"/>
          <w:b/>
          <w:bCs/>
          <w:color w:val="000000"/>
          <w:lang w:val="fr-FR"/>
        </w:rPr>
        <w:t>Partenariat pour la voie de migration Asie de l</w:t>
      </w:r>
      <w:r w:rsidR="00016E39" w:rsidRPr="00CF7824">
        <w:rPr>
          <w:rFonts w:cs="Calibri"/>
          <w:b/>
          <w:bCs/>
          <w:color w:val="000000"/>
          <w:lang w:val="fr-FR"/>
        </w:rPr>
        <w:t>’</w:t>
      </w:r>
      <w:r w:rsidRPr="00CF7824">
        <w:rPr>
          <w:rFonts w:cs="Calibri"/>
          <w:b/>
          <w:bCs/>
          <w:color w:val="000000"/>
          <w:lang w:val="fr-FR"/>
        </w:rPr>
        <w:t>Est-Australasie (EAAFP)</w:t>
      </w:r>
      <w:r w:rsidR="004212F8" w:rsidRPr="00CF7824">
        <w:rPr>
          <w:rStyle w:val="FootnoteReference"/>
          <w:rFonts w:cs="Calibri"/>
          <w:b/>
          <w:bCs/>
          <w:color w:val="000000"/>
          <w:lang w:val="fr-FR"/>
        </w:rPr>
        <w:footnoteReference w:id="41"/>
      </w:r>
    </w:p>
    <w:p w:rsidR="006C7AD7" w:rsidRPr="00CF7824" w:rsidRDefault="006C7AD7" w:rsidP="006C7AD7">
      <w:pPr>
        <w:pBdr>
          <w:top w:val="nil"/>
          <w:left w:val="nil"/>
          <w:bottom w:val="nil"/>
          <w:right w:val="nil"/>
          <w:between w:val="nil"/>
        </w:pBdr>
        <w:rPr>
          <w:rFonts w:asciiTheme="minorHAnsi" w:eastAsia="Arial" w:hAnsiTheme="minorHAnsi" w:cstheme="minorHAnsi"/>
          <w:b/>
          <w:color w:val="000000"/>
          <w:lang w:val="fr-FR"/>
        </w:rPr>
      </w:pPr>
    </w:p>
    <w:p w:rsidR="006C7AD7" w:rsidRPr="00CF7824" w:rsidRDefault="00164734" w:rsidP="006C7AD7">
      <w:pPr>
        <w:pBdr>
          <w:top w:val="nil"/>
          <w:left w:val="nil"/>
          <w:bottom w:val="nil"/>
          <w:right w:val="nil"/>
          <w:between w:val="nil"/>
        </w:pBdr>
        <w:ind w:left="0" w:firstLine="0"/>
        <w:rPr>
          <w:rFonts w:asciiTheme="minorHAnsi" w:eastAsia="Arial" w:hAnsiTheme="minorHAnsi" w:cstheme="minorHAnsi"/>
          <w:color w:val="000000"/>
          <w:lang w:val="fr-FR"/>
        </w:rPr>
      </w:pPr>
      <w:r w:rsidRPr="00CF7824">
        <w:rPr>
          <w:rFonts w:cs="Calibri"/>
          <w:b/>
          <w:bCs/>
          <w:color w:val="000000"/>
          <w:lang w:val="fr-FR"/>
        </w:rPr>
        <w:t>Décision</w:t>
      </w:r>
      <w:r w:rsidR="001F19B5" w:rsidRPr="00CF7824">
        <w:rPr>
          <w:rFonts w:cs="Calibri"/>
          <w:b/>
          <w:bCs/>
          <w:color w:val="000000"/>
          <w:lang w:val="fr-FR"/>
        </w:rPr>
        <w:t> </w:t>
      </w:r>
      <w:r w:rsidRPr="00CF7824">
        <w:rPr>
          <w:rFonts w:cs="Calibri"/>
          <w:b/>
          <w:bCs/>
          <w:color w:val="000000"/>
          <w:lang w:val="fr-FR"/>
        </w:rPr>
        <w:t>10.12</w:t>
      </w:r>
      <w:r w:rsidR="00376BA1" w:rsidRPr="00CF7824">
        <w:rPr>
          <w:rFonts w:cs="Calibri"/>
          <w:b/>
          <w:bCs/>
          <w:color w:val="000000"/>
          <w:lang w:val="fr-FR"/>
        </w:rPr>
        <w:t> </w:t>
      </w:r>
      <w:r w:rsidRPr="00CF7824">
        <w:rPr>
          <w:rFonts w:cs="Calibri"/>
          <w:b/>
          <w:bCs/>
          <w:color w:val="000000"/>
          <w:lang w:val="fr-FR"/>
        </w:rPr>
        <w:t>: Réalisation d</w:t>
      </w:r>
      <w:r w:rsidR="00016E39" w:rsidRPr="00CF7824">
        <w:rPr>
          <w:rFonts w:cs="Calibri"/>
          <w:b/>
          <w:bCs/>
          <w:color w:val="000000"/>
          <w:lang w:val="fr-FR"/>
        </w:rPr>
        <w:t>’</w:t>
      </w:r>
      <w:r w:rsidRPr="00CF7824">
        <w:rPr>
          <w:rFonts w:cs="Calibri"/>
          <w:b/>
          <w:bCs/>
          <w:color w:val="000000"/>
          <w:lang w:val="fr-FR"/>
        </w:rPr>
        <w:t>un examen de l</w:t>
      </w:r>
      <w:r w:rsidR="00016E39" w:rsidRPr="00CF7824">
        <w:rPr>
          <w:rFonts w:cs="Calibri"/>
          <w:b/>
          <w:bCs/>
          <w:color w:val="000000"/>
          <w:lang w:val="fr-FR"/>
        </w:rPr>
        <w:t>’</w:t>
      </w:r>
      <w:r w:rsidRPr="00CF7824">
        <w:rPr>
          <w:rFonts w:cs="Calibri"/>
          <w:b/>
          <w:bCs/>
          <w:color w:val="000000"/>
          <w:lang w:val="fr-FR"/>
        </w:rPr>
        <w:t>état de conservation des populations d</w:t>
      </w:r>
      <w:r w:rsidR="00016E39" w:rsidRPr="00CF7824">
        <w:rPr>
          <w:rFonts w:cs="Calibri"/>
          <w:b/>
          <w:bCs/>
          <w:color w:val="000000"/>
          <w:lang w:val="fr-FR"/>
        </w:rPr>
        <w:t>’</w:t>
      </w:r>
      <w:r w:rsidRPr="00CF7824">
        <w:rPr>
          <w:rFonts w:cs="Calibri"/>
          <w:b/>
          <w:bCs/>
          <w:color w:val="000000"/>
          <w:lang w:val="fr-FR"/>
        </w:rPr>
        <w:t>oiseaux d</w:t>
      </w:r>
      <w:r w:rsidR="00016E39" w:rsidRPr="00CF7824">
        <w:rPr>
          <w:rFonts w:cs="Calibri"/>
          <w:b/>
          <w:bCs/>
          <w:color w:val="000000"/>
          <w:lang w:val="fr-FR"/>
        </w:rPr>
        <w:t>’</w:t>
      </w:r>
      <w:r w:rsidRPr="00CF7824">
        <w:rPr>
          <w:rFonts w:cs="Calibri"/>
          <w:b/>
          <w:bCs/>
          <w:color w:val="000000"/>
          <w:lang w:val="fr-FR"/>
        </w:rPr>
        <w:t>eau migrateurs pour l</w:t>
      </w:r>
      <w:r w:rsidR="00016E39" w:rsidRPr="00CF7824">
        <w:rPr>
          <w:rFonts w:cs="Calibri"/>
          <w:b/>
          <w:bCs/>
          <w:color w:val="000000"/>
          <w:lang w:val="fr-FR"/>
        </w:rPr>
        <w:t>’</w:t>
      </w:r>
      <w:r w:rsidRPr="00CF7824">
        <w:rPr>
          <w:rFonts w:cs="Calibri"/>
          <w:b/>
          <w:bCs/>
          <w:color w:val="000000"/>
          <w:lang w:val="fr-FR"/>
        </w:rPr>
        <w:t>EAAFP (2018)</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1"/>
          <w:numId w:val="15"/>
        </w:numPr>
        <w:pBdr>
          <w:top w:val="nil"/>
          <w:left w:val="nil"/>
          <w:bottom w:val="nil"/>
          <w:right w:val="nil"/>
          <w:between w:val="nil"/>
        </w:pBdr>
        <w:ind w:left="360"/>
        <w:rPr>
          <w:rFonts w:asciiTheme="minorHAnsi" w:eastAsia="Arial" w:hAnsiTheme="minorHAnsi" w:cstheme="minorHAnsi"/>
          <w:color w:val="000000"/>
          <w:lang w:val="fr-FR"/>
        </w:rPr>
      </w:pPr>
      <w:r w:rsidRPr="00CF7824">
        <w:rPr>
          <w:rFonts w:cs="Calibri"/>
          <w:i/>
          <w:iCs/>
          <w:color w:val="000000"/>
          <w:lang w:val="fr-FR"/>
        </w:rPr>
        <w:t xml:space="preserve">Adopte </w:t>
      </w:r>
      <w:r w:rsidRPr="00CF7824">
        <w:rPr>
          <w:rFonts w:cs="Calibri"/>
          <w:color w:val="000000"/>
          <w:lang w:val="fr-FR"/>
        </w:rPr>
        <w:t>un processus systématique pour tenir à jour les informations sur les estimations, les tendances et les seuils de 1%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par la réalisation d</w:t>
      </w:r>
      <w:r w:rsidR="00016E39" w:rsidRPr="00CF7824">
        <w:rPr>
          <w:rFonts w:cs="Calibri"/>
          <w:color w:val="000000"/>
          <w:lang w:val="fr-FR"/>
        </w:rPr>
        <w:t>’</w:t>
      </w:r>
      <w:r w:rsidRPr="00CF7824">
        <w:rPr>
          <w:rFonts w:cs="Calibri"/>
          <w:color w:val="000000"/>
          <w:lang w:val="fr-FR"/>
        </w:rPr>
        <w:t xml:space="preserve">un </w:t>
      </w:r>
      <w:r w:rsidR="003B5833" w:rsidRPr="00CF7824">
        <w:rPr>
          <w:rFonts w:cs="Calibri"/>
          <w:color w:val="000000"/>
          <w:lang w:val="fr-FR"/>
        </w:rPr>
        <w:t xml:space="preserve">Examen </w:t>
      </w:r>
      <w:r w:rsidRPr="00CF7824">
        <w:rPr>
          <w:rFonts w:cs="Calibri"/>
          <w:color w:val="000000"/>
          <w:lang w:val="fr-FR"/>
        </w:rPr>
        <w:t>périodique de l</w:t>
      </w:r>
      <w:r w:rsidR="00016E39" w:rsidRPr="00CF7824">
        <w:rPr>
          <w:rFonts w:cs="Calibri"/>
          <w:color w:val="000000"/>
          <w:lang w:val="fr-FR"/>
        </w:rPr>
        <w:t>’</w:t>
      </w:r>
      <w:r w:rsidRPr="00CF7824">
        <w:rPr>
          <w:rFonts w:cs="Calibri"/>
          <w:color w:val="000000"/>
          <w:lang w:val="fr-FR"/>
        </w:rPr>
        <w:t xml:space="preserve">état de conservation </w:t>
      </w:r>
      <w:r w:rsidR="00D97D69" w:rsidRPr="00CF7824">
        <w:rPr>
          <w:rFonts w:cs="Calibri"/>
          <w:color w:val="000000"/>
          <w:lang w:val="fr-FR"/>
        </w:rPr>
        <w:t>des populations d’oiseaux d’eau de</w:t>
      </w:r>
      <w:r w:rsidRPr="00CF7824">
        <w:rPr>
          <w:rFonts w:cs="Calibri"/>
          <w:color w:val="000000"/>
          <w:lang w:val="fr-FR"/>
        </w:rPr>
        <w:t xml:space="preserve"> l</w:t>
      </w:r>
      <w:r w:rsidR="00016E39" w:rsidRPr="00CF7824">
        <w:rPr>
          <w:rFonts w:cs="Calibri"/>
          <w:color w:val="000000"/>
          <w:lang w:val="fr-FR"/>
        </w:rPr>
        <w:t>’</w:t>
      </w:r>
      <w:r w:rsidRPr="00CF7824">
        <w:rPr>
          <w:rFonts w:cs="Calibri"/>
          <w:color w:val="000000"/>
          <w:lang w:val="fr-FR"/>
        </w:rPr>
        <w:t>EAAF</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1"/>
          <w:numId w:val="15"/>
        </w:numPr>
        <w:pBdr>
          <w:top w:val="nil"/>
          <w:left w:val="nil"/>
          <w:bottom w:val="nil"/>
          <w:right w:val="nil"/>
          <w:between w:val="nil"/>
        </w:pBdr>
        <w:ind w:left="360"/>
        <w:rPr>
          <w:rFonts w:asciiTheme="minorHAnsi" w:eastAsia="Arial" w:hAnsiTheme="minorHAnsi" w:cstheme="minorHAnsi"/>
          <w:color w:val="000000"/>
          <w:lang w:val="fr-FR"/>
        </w:rPr>
      </w:pPr>
      <w:r w:rsidRPr="00CF7824">
        <w:rPr>
          <w:rFonts w:cs="Calibri"/>
          <w:i/>
          <w:iCs/>
          <w:color w:val="000000"/>
          <w:lang w:val="fr-FR"/>
        </w:rPr>
        <w:t xml:space="preserve">Appelle </w:t>
      </w:r>
      <w:r w:rsidRPr="00CF7824">
        <w:rPr>
          <w:rFonts w:cs="Calibri"/>
          <w:color w:val="000000"/>
          <w:lang w:val="fr-FR"/>
        </w:rPr>
        <w:t>les partenaires et le Secrétariat à soutenir la production périodique de l</w:t>
      </w:r>
      <w:r w:rsidR="00016E39" w:rsidRPr="00CF7824">
        <w:rPr>
          <w:rFonts w:cs="Calibri"/>
          <w:color w:val="000000"/>
          <w:lang w:val="fr-FR"/>
        </w:rPr>
        <w:t>’</w:t>
      </w:r>
      <w:r w:rsidR="003B5833" w:rsidRPr="00CF7824">
        <w:rPr>
          <w:rFonts w:cs="Calibri"/>
          <w:color w:val="000000"/>
          <w:lang w:val="fr-FR"/>
        </w:rPr>
        <w:t>E</w:t>
      </w:r>
      <w:r w:rsidRPr="00CF7824">
        <w:rPr>
          <w:rFonts w:cs="Calibri"/>
          <w:color w:val="000000"/>
          <w:lang w:val="fr-FR"/>
        </w:rPr>
        <w:t>xamen de l</w:t>
      </w:r>
      <w:r w:rsidR="00016E39" w:rsidRPr="00CF7824">
        <w:rPr>
          <w:rFonts w:cs="Calibri"/>
          <w:color w:val="000000"/>
          <w:lang w:val="fr-FR"/>
        </w:rPr>
        <w:t>’</w:t>
      </w:r>
      <w:r w:rsidRPr="00CF7824">
        <w:rPr>
          <w:rFonts w:cs="Calibri"/>
          <w:color w:val="000000"/>
          <w:lang w:val="fr-FR"/>
        </w:rPr>
        <w:t xml:space="preserve">état de conservation </w:t>
      </w:r>
      <w:r w:rsidR="00D97D69" w:rsidRPr="00CF7824">
        <w:rPr>
          <w:rFonts w:cs="Calibri"/>
          <w:color w:val="000000"/>
          <w:lang w:val="fr-FR"/>
        </w:rPr>
        <w:t xml:space="preserve">de </w:t>
      </w:r>
      <w:r w:rsidRPr="00CF7824">
        <w:rPr>
          <w:rFonts w:cs="Calibri"/>
          <w:color w:val="000000"/>
          <w:lang w:val="fr-FR"/>
        </w:rPr>
        <w:t>l</w:t>
      </w:r>
      <w:r w:rsidR="00016E39" w:rsidRPr="00CF7824">
        <w:rPr>
          <w:rFonts w:cs="Calibri"/>
          <w:color w:val="000000"/>
          <w:lang w:val="fr-FR"/>
        </w:rPr>
        <w:t>’</w:t>
      </w:r>
      <w:r w:rsidRPr="00CF7824">
        <w:rPr>
          <w:rFonts w:cs="Calibri"/>
          <w:color w:val="000000"/>
          <w:lang w:val="fr-FR"/>
        </w:rPr>
        <w:t xml:space="preserve">EAAF (au moins une MOP sur deux ou au plus tous les quatre ans) selon les circonstances nationales.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1"/>
          <w:numId w:val="15"/>
        </w:numPr>
        <w:pBdr>
          <w:top w:val="nil"/>
          <w:left w:val="nil"/>
          <w:bottom w:val="nil"/>
          <w:right w:val="nil"/>
          <w:between w:val="nil"/>
        </w:pBdr>
        <w:ind w:left="360"/>
        <w:rPr>
          <w:rFonts w:asciiTheme="minorHAnsi" w:eastAsia="Arial" w:hAnsiTheme="minorHAnsi" w:cstheme="minorHAnsi"/>
          <w:color w:val="000000"/>
          <w:lang w:val="fr-FR"/>
        </w:rPr>
      </w:pPr>
      <w:r w:rsidRPr="00CF7824">
        <w:rPr>
          <w:rFonts w:cs="Calibri"/>
          <w:i/>
          <w:iCs/>
          <w:color w:val="000000"/>
          <w:lang w:val="fr-FR"/>
        </w:rPr>
        <w:t xml:space="preserve">Charge </w:t>
      </w:r>
      <w:r w:rsidRPr="00CF7824">
        <w:rPr>
          <w:rFonts w:cs="Calibri"/>
          <w:color w:val="000000"/>
          <w:lang w:val="fr-FR"/>
        </w:rPr>
        <w:t>Wetlands International de coordonner la préparation de l</w:t>
      </w:r>
      <w:r w:rsidR="00016E39" w:rsidRPr="00CF7824">
        <w:rPr>
          <w:rFonts w:cs="Calibri"/>
          <w:color w:val="000000"/>
          <w:lang w:val="fr-FR"/>
        </w:rPr>
        <w:t>’</w:t>
      </w:r>
      <w:r w:rsidR="003B5833" w:rsidRPr="00CF7824">
        <w:rPr>
          <w:rFonts w:cs="Calibri"/>
          <w:color w:val="000000"/>
          <w:lang w:val="fr-FR"/>
        </w:rPr>
        <w:t>E</w:t>
      </w:r>
      <w:r w:rsidRPr="00CF7824">
        <w:rPr>
          <w:rFonts w:cs="Calibri"/>
          <w:color w:val="000000"/>
          <w:lang w:val="fr-FR"/>
        </w:rPr>
        <w:t>xamen de l</w:t>
      </w:r>
      <w:r w:rsidR="00016E39" w:rsidRPr="00CF7824">
        <w:rPr>
          <w:rFonts w:cs="Calibri"/>
          <w:color w:val="000000"/>
          <w:lang w:val="fr-FR"/>
        </w:rPr>
        <w:t>’</w:t>
      </w:r>
      <w:r w:rsidRPr="00CF7824">
        <w:rPr>
          <w:rFonts w:cs="Calibri"/>
          <w:color w:val="000000"/>
          <w:lang w:val="fr-FR"/>
        </w:rPr>
        <w:t xml:space="preserve">état de conservation </w:t>
      </w:r>
      <w:r w:rsidR="003B5833" w:rsidRPr="00CF7824">
        <w:rPr>
          <w:rFonts w:cs="Calibri"/>
          <w:color w:val="000000"/>
          <w:lang w:val="fr-FR"/>
        </w:rPr>
        <w:t>de</w:t>
      </w:r>
      <w:r w:rsidRPr="00CF7824">
        <w:rPr>
          <w:rFonts w:cs="Calibri"/>
          <w:color w:val="000000"/>
          <w:lang w:val="fr-FR"/>
        </w:rPr>
        <w:t xml:space="preserve"> l</w:t>
      </w:r>
      <w:r w:rsidR="00016E39" w:rsidRPr="00CF7824">
        <w:rPr>
          <w:rFonts w:cs="Calibri"/>
          <w:color w:val="000000"/>
          <w:lang w:val="fr-FR"/>
        </w:rPr>
        <w:t>’</w:t>
      </w:r>
      <w:r w:rsidRPr="00CF7824">
        <w:rPr>
          <w:rFonts w:cs="Calibri"/>
          <w:color w:val="000000"/>
          <w:lang w:val="fr-FR"/>
        </w:rPr>
        <w:t>EAAF en consultation avec le Sous-</w:t>
      </w:r>
      <w:r w:rsidR="00CC2126" w:rsidRPr="00CF7824">
        <w:rPr>
          <w:rFonts w:cs="Calibri"/>
          <w:color w:val="000000"/>
          <w:lang w:val="fr-FR"/>
        </w:rPr>
        <w:t>C</w:t>
      </w:r>
      <w:r w:rsidRPr="00CF7824">
        <w:rPr>
          <w:rFonts w:cs="Calibri"/>
          <w:color w:val="000000"/>
          <w:lang w:val="fr-FR"/>
        </w:rPr>
        <w:t>omité technique, l</w:t>
      </w:r>
      <w:r w:rsidR="00016E39" w:rsidRPr="00CF7824">
        <w:rPr>
          <w:rFonts w:cs="Calibri"/>
          <w:color w:val="000000"/>
          <w:lang w:val="fr-FR"/>
        </w:rPr>
        <w:t>’</w:t>
      </w:r>
      <w:r w:rsidRPr="00CF7824">
        <w:rPr>
          <w:rFonts w:cs="Calibri"/>
          <w:color w:val="000000"/>
          <w:lang w:val="fr-FR"/>
        </w:rPr>
        <w:t>Unité scientifique du Secrétariat, les partenaires, les groupes de travail, les équipes spéciales et d</w:t>
      </w:r>
      <w:r w:rsidR="00016E39" w:rsidRPr="00CF7824">
        <w:rPr>
          <w:rFonts w:cs="Calibri"/>
          <w:color w:val="000000"/>
          <w:lang w:val="fr-FR"/>
        </w:rPr>
        <w:t>’</w:t>
      </w:r>
      <w:r w:rsidRPr="00CF7824">
        <w:rPr>
          <w:rFonts w:cs="Calibri"/>
          <w:color w:val="000000"/>
          <w:lang w:val="fr-FR"/>
        </w:rPr>
        <w:t>autres spécialistes, l</w:t>
      </w:r>
      <w:r w:rsidR="00016E39" w:rsidRPr="00CF7824">
        <w:rPr>
          <w:rFonts w:cs="Calibri"/>
          <w:color w:val="000000"/>
          <w:lang w:val="fr-FR"/>
        </w:rPr>
        <w:t>’</w:t>
      </w:r>
      <w:r w:rsidRPr="00CF7824">
        <w:rPr>
          <w:rFonts w:cs="Calibri"/>
          <w:color w:val="000000"/>
          <w:lang w:val="fr-FR"/>
        </w:rPr>
        <w:t xml:space="preserve">objectif étant de produire une première édition </w:t>
      </w:r>
      <w:r w:rsidR="00D97D69" w:rsidRPr="00CF7824">
        <w:rPr>
          <w:rFonts w:cs="Calibri"/>
          <w:color w:val="000000"/>
          <w:lang w:val="fr-FR"/>
        </w:rPr>
        <w:t>pour</w:t>
      </w:r>
      <w:r w:rsidRPr="00CF7824">
        <w:rPr>
          <w:rFonts w:cs="Calibri"/>
          <w:color w:val="000000"/>
          <w:lang w:val="fr-FR"/>
        </w:rPr>
        <w:t xml:space="preserve"> la fin</w:t>
      </w:r>
      <w:r w:rsidR="001F19B5" w:rsidRPr="00CF7824">
        <w:rPr>
          <w:rFonts w:cs="Calibri"/>
          <w:color w:val="000000"/>
          <w:lang w:val="fr-FR"/>
        </w:rPr>
        <w:t> </w:t>
      </w:r>
      <w:r w:rsidRPr="00CF7824">
        <w:rPr>
          <w:rFonts w:cs="Calibri"/>
          <w:color w:val="000000"/>
          <w:lang w:val="fr-FR"/>
        </w:rPr>
        <w:t>2019 (avec un projet de structure fourni en annexe</w:t>
      </w:r>
      <w:r w:rsidR="001F19B5" w:rsidRPr="00CF7824">
        <w:rPr>
          <w:rFonts w:cs="Calibri"/>
          <w:color w:val="000000"/>
          <w:lang w:val="fr-FR"/>
        </w:rPr>
        <w:t> </w:t>
      </w:r>
      <w:r w:rsidRPr="00CF7824">
        <w:rPr>
          <w:rFonts w:cs="Calibri"/>
          <w:color w:val="000000"/>
          <w:lang w:val="fr-FR"/>
        </w:rPr>
        <w:t>III)</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1"/>
          <w:numId w:val="15"/>
        </w:numPr>
        <w:pBdr>
          <w:top w:val="nil"/>
          <w:left w:val="nil"/>
          <w:bottom w:val="nil"/>
          <w:right w:val="nil"/>
          <w:between w:val="nil"/>
        </w:pBdr>
        <w:ind w:left="360"/>
        <w:rPr>
          <w:rFonts w:asciiTheme="minorHAnsi" w:eastAsia="Arial" w:hAnsiTheme="minorHAnsi" w:cstheme="minorHAnsi"/>
          <w:color w:val="000000"/>
          <w:lang w:val="fr-FR"/>
        </w:rPr>
      </w:pPr>
      <w:r w:rsidRPr="00CF7824">
        <w:rPr>
          <w:rFonts w:cs="Calibri"/>
          <w:i/>
          <w:iCs/>
          <w:color w:val="000000"/>
          <w:lang w:val="fr-FR"/>
        </w:rPr>
        <w:t xml:space="preserve">Demande au </w:t>
      </w:r>
      <w:r w:rsidRPr="00CF7824">
        <w:rPr>
          <w:rFonts w:cs="Calibri"/>
          <w:color w:val="000000"/>
          <w:lang w:val="fr-FR"/>
        </w:rPr>
        <w:t>Secrétariat en liaison avec Wetlands International de s</w:t>
      </w:r>
      <w:r w:rsidR="00016E39" w:rsidRPr="00CF7824">
        <w:rPr>
          <w:rFonts w:cs="Calibri"/>
          <w:color w:val="000000"/>
          <w:lang w:val="fr-FR"/>
        </w:rPr>
        <w:t>’</w:t>
      </w:r>
      <w:r w:rsidRPr="00CF7824">
        <w:rPr>
          <w:rFonts w:cs="Calibri"/>
          <w:color w:val="000000"/>
          <w:lang w:val="fr-FR"/>
        </w:rPr>
        <w:t xml:space="preserve">assurer que les résultats des </w:t>
      </w:r>
      <w:r w:rsidR="003B5833" w:rsidRPr="00CF7824">
        <w:rPr>
          <w:rFonts w:cs="Calibri"/>
          <w:color w:val="000000"/>
          <w:lang w:val="fr-FR"/>
        </w:rPr>
        <w:t>E</w:t>
      </w:r>
      <w:r w:rsidRPr="00CF7824">
        <w:rPr>
          <w:rFonts w:cs="Calibri"/>
          <w:color w:val="000000"/>
          <w:lang w:val="fr-FR"/>
        </w:rPr>
        <w:t>xamens périodiques de l</w:t>
      </w:r>
      <w:r w:rsidR="00016E39" w:rsidRPr="00CF7824">
        <w:rPr>
          <w:rFonts w:cs="Calibri"/>
          <w:color w:val="000000"/>
          <w:lang w:val="fr-FR"/>
        </w:rPr>
        <w:t>’</w:t>
      </w:r>
      <w:r w:rsidRPr="00CF7824">
        <w:rPr>
          <w:rFonts w:cs="Calibri"/>
          <w:color w:val="000000"/>
          <w:lang w:val="fr-FR"/>
        </w:rPr>
        <w:t>état de conservation de l</w:t>
      </w:r>
      <w:r w:rsidR="00016E39" w:rsidRPr="00CF7824">
        <w:rPr>
          <w:rFonts w:cs="Calibri"/>
          <w:color w:val="000000"/>
          <w:lang w:val="fr-FR"/>
        </w:rPr>
        <w:t>’</w:t>
      </w:r>
      <w:r w:rsidRPr="00CF7824">
        <w:rPr>
          <w:rFonts w:cs="Calibri"/>
          <w:color w:val="000000"/>
          <w:lang w:val="fr-FR"/>
        </w:rPr>
        <w:t xml:space="preserve">EAAF alimentent les mises à jour mondiales des WPE. </w:t>
      </w:r>
    </w:p>
    <w:p w:rsidR="006C7AD7" w:rsidRPr="00CF7824" w:rsidRDefault="006C7AD7" w:rsidP="006C7AD7">
      <w:pPr>
        <w:pBdr>
          <w:top w:val="nil"/>
          <w:left w:val="nil"/>
          <w:bottom w:val="nil"/>
          <w:right w:val="nil"/>
          <w:between w:val="nil"/>
        </w:pBdr>
        <w:ind w:left="360"/>
        <w:rPr>
          <w:rFonts w:asciiTheme="minorHAnsi" w:eastAsia="Arial" w:hAnsiTheme="minorHAnsi" w:cstheme="minorHAnsi"/>
          <w:color w:val="000000"/>
          <w:lang w:val="fr-FR"/>
        </w:rPr>
      </w:pPr>
    </w:p>
    <w:p w:rsidR="006C7AD7" w:rsidRPr="00CF7824" w:rsidRDefault="00164734" w:rsidP="006C7AD7">
      <w:pPr>
        <w:numPr>
          <w:ilvl w:val="1"/>
          <w:numId w:val="15"/>
        </w:numPr>
        <w:pBdr>
          <w:top w:val="nil"/>
          <w:left w:val="nil"/>
          <w:bottom w:val="nil"/>
          <w:right w:val="nil"/>
          <w:between w:val="nil"/>
        </w:pBdr>
        <w:ind w:left="360"/>
        <w:rPr>
          <w:rFonts w:asciiTheme="minorHAnsi" w:eastAsia="Arial" w:hAnsiTheme="minorHAnsi" w:cstheme="minorHAnsi"/>
          <w:color w:val="000000"/>
          <w:lang w:val="fr-FR"/>
        </w:rPr>
      </w:pPr>
      <w:r w:rsidRPr="00CF7824">
        <w:rPr>
          <w:rFonts w:cs="Calibri"/>
          <w:i/>
          <w:iCs/>
          <w:color w:val="000000"/>
          <w:lang w:val="fr-FR"/>
        </w:rPr>
        <w:t xml:space="preserve">Invite </w:t>
      </w:r>
      <w:r w:rsidRPr="00CF7824">
        <w:rPr>
          <w:rFonts w:cs="Calibri"/>
          <w:color w:val="000000"/>
          <w:lang w:val="fr-FR"/>
        </w:rPr>
        <w:t>le groupe de travail sur le suivi à élaborer des orientations normalisées nécessaires au développement et à la mise en œuvre de programmes nationaux complets de suivi des oiseaux d</w:t>
      </w:r>
      <w:r w:rsidR="00016E39" w:rsidRPr="00CF7824">
        <w:rPr>
          <w:rFonts w:cs="Calibri"/>
          <w:color w:val="000000"/>
          <w:lang w:val="fr-FR"/>
        </w:rPr>
        <w:t>’</w:t>
      </w:r>
      <w:r w:rsidRPr="00CF7824">
        <w:rPr>
          <w:rFonts w:cs="Calibri"/>
          <w:color w:val="000000"/>
          <w:lang w:val="fr-FR"/>
        </w:rPr>
        <w:t>eau.</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DF4D61" w:rsidRPr="00CF7824" w:rsidRDefault="00DF4D61"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pBdr>
          <w:top w:val="nil"/>
          <w:left w:val="nil"/>
          <w:bottom w:val="nil"/>
          <w:right w:val="nil"/>
          <w:between w:val="nil"/>
        </w:pBdr>
        <w:ind w:left="0" w:firstLine="0"/>
        <w:rPr>
          <w:rFonts w:asciiTheme="minorHAnsi" w:eastAsia="Arial" w:hAnsiTheme="minorHAnsi" w:cstheme="minorHAnsi"/>
          <w:b/>
          <w:color w:val="000000"/>
          <w:lang w:val="fr-FR"/>
        </w:rPr>
      </w:pPr>
      <w:r w:rsidRPr="00CF7824">
        <w:rPr>
          <w:rFonts w:cs="Calibri"/>
          <w:b/>
          <w:bCs/>
          <w:color w:val="000000"/>
          <w:lang w:val="fr-FR"/>
        </w:rPr>
        <w:lastRenderedPageBreak/>
        <w:t>Décision</w:t>
      </w:r>
      <w:r w:rsidR="001F19B5" w:rsidRPr="00CF7824">
        <w:rPr>
          <w:rFonts w:cs="Calibri"/>
          <w:b/>
          <w:bCs/>
          <w:color w:val="000000"/>
          <w:lang w:val="fr-FR"/>
        </w:rPr>
        <w:t> </w:t>
      </w:r>
      <w:r w:rsidRPr="00CF7824">
        <w:rPr>
          <w:rFonts w:cs="Calibri"/>
          <w:b/>
          <w:bCs/>
          <w:color w:val="000000"/>
          <w:lang w:val="fr-FR"/>
        </w:rPr>
        <w:t>11.8</w:t>
      </w:r>
      <w:r w:rsidR="00376BA1" w:rsidRPr="00CF7824">
        <w:rPr>
          <w:rFonts w:cs="Calibri"/>
          <w:b/>
          <w:bCs/>
          <w:color w:val="000000"/>
          <w:lang w:val="fr-FR"/>
        </w:rPr>
        <w:t> </w:t>
      </w:r>
      <w:r w:rsidRPr="00CF7824">
        <w:rPr>
          <w:rFonts w:cs="Calibri"/>
          <w:b/>
          <w:bCs/>
          <w:color w:val="000000"/>
          <w:lang w:val="fr-FR"/>
        </w:rPr>
        <w:t>: Maintenir à jour les estimations et les tendances des populations d</w:t>
      </w:r>
      <w:r w:rsidR="00016E39" w:rsidRPr="00CF7824">
        <w:rPr>
          <w:rFonts w:cs="Calibri"/>
          <w:b/>
          <w:bCs/>
          <w:color w:val="000000"/>
          <w:lang w:val="fr-FR"/>
        </w:rPr>
        <w:t>’</w:t>
      </w:r>
      <w:r w:rsidRPr="00CF7824">
        <w:rPr>
          <w:rFonts w:cs="Calibri"/>
          <w:b/>
          <w:bCs/>
          <w:color w:val="000000"/>
          <w:lang w:val="fr-FR"/>
        </w:rPr>
        <w:t>oiseaux d</w:t>
      </w:r>
      <w:r w:rsidR="00016E39" w:rsidRPr="00CF7824">
        <w:rPr>
          <w:rFonts w:cs="Calibri"/>
          <w:b/>
          <w:bCs/>
          <w:color w:val="000000"/>
          <w:lang w:val="fr-FR"/>
        </w:rPr>
        <w:t>’</w:t>
      </w:r>
      <w:r w:rsidRPr="00CF7824">
        <w:rPr>
          <w:rFonts w:cs="Calibri"/>
          <w:b/>
          <w:bCs/>
          <w:color w:val="000000"/>
          <w:lang w:val="fr-FR"/>
        </w:rPr>
        <w:t>eau migrateurs pour l</w:t>
      </w:r>
      <w:r w:rsidR="00016E39" w:rsidRPr="00CF7824">
        <w:rPr>
          <w:rFonts w:cs="Calibri"/>
          <w:b/>
          <w:bCs/>
          <w:color w:val="000000"/>
          <w:lang w:val="fr-FR"/>
        </w:rPr>
        <w:t>’</w:t>
      </w:r>
      <w:r w:rsidRPr="00CF7824">
        <w:rPr>
          <w:rFonts w:cs="Calibri"/>
          <w:b/>
          <w:bCs/>
          <w:color w:val="000000"/>
          <w:lang w:val="fr-FR"/>
        </w:rPr>
        <w:t>EAAFP (2023)</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pBdr>
          <w:top w:val="nil"/>
          <w:left w:val="nil"/>
          <w:bottom w:val="nil"/>
          <w:right w:val="nil"/>
          <w:between w:val="nil"/>
        </w:pBdr>
        <w:rPr>
          <w:rFonts w:asciiTheme="minorHAnsi" w:eastAsia="Arial" w:hAnsiTheme="minorHAnsi" w:cstheme="minorHAnsi"/>
          <w:i/>
          <w:color w:val="000000"/>
          <w:lang w:val="fr-FR"/>
        </w:rPr>
      </w:pPr>
      <w:r w:rsidRPr="00CF7824">
        <w:rPr>
          <w:rFonts w:cs="Calibri"/>
          <w:i/>
          <w:iCs/>
          <w:color w:val="000000"/>
          <w:lang w:val="fr-FR"/>
        </w:rPr>
        <w:t>En ce qui concerne l</w:t>
      </w:r>
      <w:r w:rsidR="00016E39" w:rsidRPr="00CF7824">
        <w:rPr>
          <w:rFonts w:cs="Calibri"/>
          <w:i/>
          <w:iCs/>
          <w:color w:val="000000"/>
          <w:lang w:val="fr-FR"/>
        </w:rPr>
        <w:t>’</w:t>
      </w:r>
      <w:r w:rsidR="003B5833" w:rsidRPr="00CF7824">
        <w:rPr>
          <w:rFonts w:cs="Calibri"/>
          <w:i/>
          <w:iCs/>
          <w:color w:val="000000"/>
          <w:lang w:val="fr-FR"/>
        </w:rPr>
        <w:t>E</w:t>
      </w:r>
      <w:r w:rsidRPr="00CF7824">
        <w:rPr>
          <w:rFonts w:cs="Calibri"/>
          <w:i/>
          <w:iCs/>
          <w:color w:val="000000"/>
          <w:lang w:val="fr-FR"/>
        </w:rPr>
        <w:t>xamen de l</w:t>
      </w:r>
      <w:r w:rsidR="00016E39" w:rsidRPr="00CF7824">
        <w:rPr>
          <w:rFonts w:cs="Calibri"/>
          <w:i/>
          <w:iCs/>
          <w:color w:val="000000"/>
          <w:lang w:val="fr-FR"/>
        </w:rPr>
        <w:t>’</w:t>
      </w:r>
      <w:r w:rsidRPr="00CF7824">
        <w:rPr>
          <w:rFonts w:cs="Calibri"/>
          <w:i/>
          <w:iCs/>
          <w:color w:val="000000"/>
          <w:lang w:val="fr-FR"/>
        </w:rPr>
        <w:t>état de conservation (CSR)</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Accepte </w:t>
      </w:r>
      <w:r w:rsidRPr="00CF7824">
        <w:rPr>
          <w:rFonts w:cs="Calibri"/>
          <w:color w:val="000000"/>
          <w:lang w:val="fr-FR"/>
        </w:rPr>
        <w:t xml:space="preserve">que les valeurs les plus récentes des estimations de la taille des populations, des tendances et des seuils de 1% </w:t>
      </w:r>
      <w:r w:rsidR="003B5833" w:rsidRPr="00CF7824">
        <w:rPr>
          <w:rFonts w:cs="Calibri"/>
          <w:color w:val="000000"/>
          <w:lang w:val="fr-FR"/>
        </w:rPr>
        <w:t xml:space="preserve">– </w:t>
      </w:r>
      <w:r w:rsidRPr="00CF7824">
        <w:rPr>
          <w:rFonts w:cs="Calibri"/>
          <w:color w:val="000000"/>
          <w:lang w:val="fr-FR"/>
        </w:rPr>
        <w:t>issues du processus CSR et disponibles dans le cadre du Waterbird populations Portal</w:t>
      </w:r>
      <w:r w:rsidR="003B5833" w:rsidRPr="00CF7824">
        <w:rPr>
          <w:rFonts w:cs="Calibri"/>
          <w:color w:val="000000"/>
          <w:lang w:val="fr-FR"/>
        </w:rPr>
        <w:t xml:space="preserve"> –</w:t>
      </w:r>
      <w:r w:rsidRPr="00CF7824">
        <w:rPr>
          <w:rFonts w:cs="Calibri"/>
          <w:color w:val="000000"/>
          <w:lang w:val="fr-FR"/>
        </w:rPr>
        <w:t xml:space="preserve"> soient utilisées par le Partenariat, y compris pour les futures inscriptions de sites du réseau de l</w:t>
      </w:r>
      <w:r w:rsidR="00016E39" w:rsidRPr="00CF7824">
        <w:rPr>
          <w:rFonts w:cs="Calibri"/>
          <w:color w:val="000000"/>
          <w:lang w:val="fr-FR"/>
        </w:rPr>
        <w:t>’</w:t>
      </w:r>
      <w:r w:rsidRPr="00CF7824">
        <w:rPr>
          <w:rFonts w:cs="Calibri"/>
          <w:color w:val="000000"/>
          <w:lang w:val="fr-FR"/>
        </w:rPr>
        <w:t>EAAF</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Demande à </w:t>
      </w:r>
      <w:r w:rsidRPr="00CF7824">
        <w:rPr>
          <w:rFonts w:cs="Calibri"/>
          <w:color w:val="000000"/>
          <w:lang w:val="fr-FR"/>
        </w:rPr>
        <w:t>Wetlands International (conformément à la Décision</w:t>
      </w:r>
      <w:r w:rsidR="001F19B5" w:rsidRPr="00CF7824">
        <w:rPr>
          <w:rFonts w:cs="Calibri"/>
          <w:color w:val="000000"/>
          <w:lang w:val="fr-FR"/>
        </w:rPr>
        <w:t> </w:t>
      </w:r>
      <w:r w:rsidRPr="00CF7824">
        <w:rPr>
          <w:rFonts w:cs="Calibri"/>
          <w:color w:val="000000"/>
          <w:lang w:val="fr-FR"/>
        </w:rPr>
        <w:t>10.12) de coordonner la préparation d</w:t>
      </w:r>
      <w:r w:rsidR="00016E39" w:rsidRPr="00CF7824">
        <w:rPr>
          <w:rFonts w:cs="Calibri"/>
          <w:color w:val="000000"/>
          <w:lang w:val="fr-FR"/>
        </w:rPr>
        <w:t>’</w:t>
      </w:r>
      <w:r w:rsidRPr="00CF7824">
        <w:rPr>
          <w:rFonts w:cs="Calibri"/>
          <w:color w:val="000000"/>
          <w:lang w:val="fr-FR"/>
        </w:rPr>
        <w:t>une proposition et d</w:t>
      </w:r>
      <w:r w:rsidR="00016E39" w:rsidRPr="00CF7824">
        <w:rPr>
          <w:rFonts w:cs="Calibri"/>
          <w:color w:val="000000"/>
          <w:lang w:val="fr-FR"/>
        </w:rPr>
        <w:t>’</w:t>
      </w:r>
      <w:r w:rsidRPr="00CF7824">
        <w:rPr>
          <w:rFonts w:cs="Calibri"/>
          <w:color w:val="000000"/>
          <w:lang w:val="fr-FR"/>
        </w:rPr>
        <w:t>un budget pour le CSR2 à élaborer en consultation avec le Sous-</w:t>
      </w:r>
      <w:r w:rsidR="00CC2126" w:rsidRPr="00CF7824">
        <w:rPr>
          <w:rFonts w:cs="Calibri"/>
          <w:color w:val="000000"/>
          <w:lang w:val="fr-FR"/>
        </w:rPr>
        <w:t>C</w:t>
      </w:r>
      <w:r w:rsidRPr="00CF7824">
        <w:rPr>
          <w:rFonts w:cs="Calibri"/>
          <w:color w:val="000000"/>
          <w:lang w:val="fr-FR"/>
        </w:rPr>
        <w:t>omité technique, l</w:t>
      </w:r>
      <w:r w:rsidR="00016E39" w:rsidRPr="00CF7824">
        <w:rPr>
          <w:rFonts w:cs="Calibri"/>
          <w:color w:val="000000"/>
          <w:lang w:val="fr-FR"/>
        </w:rPr>
        <w:t>’</w:t>
      </w:r>
      <w:r w:rsidRPr="00CF7824">
        <w:rPr>
          <w:rFonts w:cs="Calibri"/>
          <w:color w:val="000000"/>
          <w:lang w:val="fr-FR"/>
        </w:rPr>
        <w:t>Unité scientifique du Secrétariat, les groupes de travail sur les anatidés, les limicoles, les grues, les oiseaux marins et la petite spatule, les équipes spéciales sur le harle de Chine, le bécasseau spatule, le courlis de Sibérie et le suivi des oiseaux d</w:t>
      </w:r>
      <w:r w:rsidR="00016E39" w:rsidRPr="00CF7824">
        <w:rPr>
          <w:rFonts w:cs="Calibri"/>
          <w:color w:val="000000"/>
          <w:lang w:val="fr-FR"/>
        </w:rPr>
        <w:t>’</w:t>
      </w:r>
      <w:r w:rsidRPr="00CF7824">
        <w:rPr>
          <w:rFonts w:cs="Calibri"/>
          <w:color w:val="000000"/>
          <w:lang w:val="fr-FR"/>
        </w:rPr>
        <w:t>eau, ainsi que d</w:t>
      </w:r>
      <w:r w:rsidR="00016E39" w:rsidRPr="00CF7824">
        <w:rPr>
          <w:rFonts w:cs="Calibri"/>
          <w:color w:val="000000"/>
          <w:lang w:val="fr-FR"/>
        </w:rPr>
        <w:t>’</w:t>
      </w:r>
      <w:r w:rsidRPr="00CF7824">
        <w:rPr>
          <w:rFonts w:cs="Calibri"/>
          <w:color w:val="000000"/>
          <w:lang w:val="fr-FR"/>
        </w:rPr>
        <w:t>autres réseaux de spécialistes et de partenaires</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Demande en outre </w:t>
      </w:r>
      <w:r w:rsidRPr="00CF7824">
        <w:rPr>
          <w:rFonts w:cs="Calibri"/>
          <w:color w:val="000000"/>
          <w:lang w:val="fr-FR"/>
        </w:rPr>
        <w:t xml:space="preserve">au </w:t>
      </w:r>
      <w:r w:rsidR="003B5833" w:rsidRPr="00CF7824">
        <w:rPr>
          <w:rFonts w:cs="Calibri"/>
          <w:color w:val="000000"/>
          <w:lang w:val="fr-FR"/>
        </w:rPr>
        <w:t xml:space="preserve">Groupe </w:t>
      </w:r>
      <w:r w:rsidRPr="00CF7824">
        <w:rPr>
          <w:rFonts w:cs="Calibri"/>
          <w:color w:val="000000"/>
          <w:lang w:val="fr-FR"/>
        </w:rPr>
        <w:t>de travail sur les oiseaux marins de proposer en priorité des estimations de la délimitation, la taille et les tendances des populations biogéographiques de 8</w:t>
      </w:r>
      <w:r w:rsidR="00376BA1" w:rsidRPr="00CF7824">
        <w:rPr>
          <w:rFonts w:cs="Calibri"/>
          <w:color w:val="000000"/>
          <w:lang w:val="fr-FR"/>
        </w:rPr>
        <w:t> </w:t>
      </w:r>
      <w:r w:rsidRPr="00CF7824">
        <w:rPr>
          <w:rFonts w:cs="Calibri"/>
          <w:color w:val="000000"/>
          <w:lang w:val="fr-FR"/>
        </w:rPr>
        <w:t>familles d</w:t>
      </w:r>
      <w:r w:rsidR="00016E39" w:rsidRPr="00CF7824">
        <w:rPr>
          <w:rFonts w:cs="Calibri"/>
          <w:color w:val="000000"/>
          <w:lang w:val="fr-FR"/>
        </w:rPr>
        <w:t>’</w:t>
      </w:r>
      <w:r w:rsidRPr="00CF7824">
        <w:rPr>
          <w:rFonts w:cs="Calibri"/>
          <w:color w:val="000000"/>
          <w:lang w:val="fr-FR"/>
        </w:rPr>
        <w:t>oiseaux marins – Alcid</w:t>
      </w:r>
      <w:r w:rsidR="00EC4E8C" w:rsidRPr="00CF7824">
        <w:rPr>
          <w:rFonts w:cs="Calibri"/>
          <w:color w:val="000000"/>
          <w:lang w:val="fr-FR"/>
        </w:rPr>
        <w:t>ae</w:t>
      </w:r>
      <w:r w:rsidRPr="00CF7824">
        <w:rPr>
          <w:rFonts w:cs="Calibri"/>
          <w:color w:val="000000"/>
          <w:lang w:val="fr-FR"/>
        </w:rPr>
        <w:t xml:space="preserve"> (pingouins, guillemots et macareux), Oceanitid</w:t>
      </w:r>
      <w:r w:rsidR="00EC4E8C" w:rsidRPr="00CF7824">
        <w:rPr>
          <w:rFonts w:cs="Calibri"/>
          <w:color w:val="000000"/>
          <w:lang w:val="fr-FR"/>
        </w:rPr>
        <w:t>ae</w:t>
      </w:r>
      <w:r w:rsidRPr="00CF7824">
        <w:rPr>
          <w:rFonts w:cs="Calibri"/>
          <w:color w:val="000000"/>
          <w:lang w:val="fr-FR"/>
        </w:rPr>
        <w:t xml:space="preserve"> (océanites), Procellariid</w:t>
      </w:r>
      <w:r w:rsidR="00EC4E8C" w:rsidRPr="00CF7824">
        <w:rPr>
          <w:rFonts w:cs="Calibri"/>
          <w:color w:val="000000"/>
          <w:lang w:val="fr-FR"/>
        </w:rPr>
        <w:t>ae</w:t>
      </w:r>
      <w:r w:rsidRPr="00CF7824">
        <w:rPr>
          <w:rFonts w:cs="Calibri"/>
          <w:color w:val="000000"/>
          <w:lang w:val="fr-FR"/>
        </w:rPr>
        <w:t xml:space="preserve"> (puffins &amp; pétrels), Stercorariid</w:t>
      </w:r>
      <w:r w:rsidR="00EC4E8C" w:rsidRPr="00CF7824">
        <w:rPr>
          <w:rFonts w:cs="Calibri"/>
          <w:color w:val="000000"/>
          <w:lang w:val="fr-FR"/>
        </w:rPr>
        <w:t>ae</w:t>
      </w:r>
      <w:r w:rsidRPr="00CF7824">
        <w:rPr>
          <w:rFonts w:cs="Calibri"/>
          <w:color w:val="000000"/>
          <w:lang w:val="fr-FR"/>
        </w:rPr>
        <w:t xml:space="preserve"> (skuas et labbes), Phaethontid</w:t>
      </w:r>
      <w:r w:rsidR="00EC4E8C" w:rsidRPr="00CF7824">
        <w:rPr>
          <w:rFonts w:cs="Calibri"/>
          <w:color w:val="000000"/>
          <w:lang w:val="fr-FR"/>
        </w:rPr>
        <w:t>ae</w:t>
      </w:r>
      <w:r w:rsidRPr="00CF7824">
        <w:rPr>
          <w:rFonts w:cs="Calibri"/>
          <w:color w:val="000000"/>
          <w:lang w:val="fr-FR"/>
        </w:rPr>
        <w:t xml:space="preserve"> (phaétons), Hydrobatid</w:t>
      </w:r>
      <w:r w:rsidR="00EC4E8C" w:rsidRPr="00CF7824">
        <w:rPr>
          <w:rFonts w:cs="Calibri"/>
          <w:color w:val="000000"/>
          <w:lang w:val="fr-FR"/>
        </w:rPr>
        <w:t>ae</w:t>
      </w:r>
      <w:r w:rsidRPr="00CF7824">
        <w:rPr>
          <w:rFonts w:cs="Calibri"/>
          <w:color w:val="000000"/>
          <w:lang w:val="fr-FR"/>
        </w:rPr>
        <w:t xml:space="preserve"> (pétrels</w:t>
      </w:r>
      <w:r w:rsidR="003427B7">
        <w:rPr>
          <w:rFonts w:cs="Calibri"/>
          <w:color w:val="000000"/>
          <w:lang w:val="fr-FR"/>
        </w:rPr>
        <w:t>-</w:t>
      </w:r>
      <w:r w:rsidRPr="00CF7824">
        <w:rPr>
          <w:rFonts w:cs="Calibri"/>
          <w:color w:val="000000"/>
          <w:lang w:val="fr-FR"/>
        </w:rPr>
        <w:t>tempête ), Sulid</w:t>
      </w:r>
      <w:r w:rsidR="00EC4E8C" w:rsidRPr="00CF7824">
        <w:rPr>
          <w:rFonts w:cs="Calibri"/>
          <w:color w:val="000000"/>
          <w:lang w:val="fr-FR"/>
        </w:rPr>
        <w:t>ae</w:t>
      </w:r>
      <w:r w:rsidRPr="00CF7824">
        <w:rPr>
          <w:rFonts w:cs="Calibri"/>
          <w:color w:val="000000"/>
          <w:lang w:val="fr-FR"/>
        </w:rPr>
        <w:t xml:space="preserve"> (fous), Fregatid</w:t>
      </w:r>
      <w:r w:rsidR="00EC4E8C" w:rsidRPr="00CF7824">
        <w:rPr>
          <w:rFonts w:cs="Calibri"/>
          <w:color w:val="000000"/>
          <w:lang w:val="fr-FR"/>
        </w:rPr>
        <w:t>ae</w:t>
      </w:r>
      <w:r w:rsidRPr="00CF7824">
        <w:rPr>
          <w:rFonts w:cs="Calibri"/>
          <w:color w:val="000000"/>
          <w:lang w:val="fr-FR"/>
        </w:rPr>
        <w:t xml:space="preserve"> (frégates) – à temps pour qu</w:t>
      </w:r>
      <w:r w:rsidR="00016E39" w:rsidRPr="00CF7824">
        <w:rPr>
          <w:rFonts w:cs="Calibri"/>
          <w:color w:val="000000"/>
          <w:lang w:val="fr-FR"/>
        </w:rPr>
        <w:t>’</w:t>
      </w:r>
      <w:r w:rsidRPr="00CF7824">
        <w:rPr>
          <w:rFonts w:cs="Calibri"/>
          <w:color w:val="000000"/>
          <w:lang w:val="fr-FR"/>
        </w:rPr>
        <w:t>elles soient incluses dans le CSR2</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ind w:left="360"/>
        <w:rPr>
          <w:rFonts w:asciiTheme="minorHAnsi" w:eastAsia="Arial" w:hAnsiTheme="minorHAnsi" w:cstheme="minorHAns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Encourage </w:t>
      </w:r>
      <w:r w:rsidRPr="00CF7824">
        <w:rPr>
          <w:rFonts w:cs="Calibri"/>
          <w:color w:val="000000"/>
          <w:lang w:val="fr-FR"/>
        </w:rPr>
        <w:t xml:space="preserve">le Secrétariat à donner la priorité, à faciliter et à financer la préparation périodique des CSR par un budget du Secrétariat, en commençant par la préparation du CSR2 qui doit être achevée </w:t>
      </w:r>
      <w:r w:rsidR="003B5833" w:rsidRPr="00CF7824">
        <w:rPr>
          <w:rFonts w:cs="Calibri"/>
          <w:color w:val="000000"/>
          <w:lang w:val="fr-FR"/>
        </w:rPr>
        <w:t>en</w:t>
      </w:r>
      <w:r w:rsidRPr="00CF7824">
        <w:rPr>
          <w:rFonts w:cs="Calibri"/>
          <w:color w:val="000000"/>
          <w:lang w:val="fr-FR"/>
        </w:rPr>
        <w:t xml:space="preserve"> 2026</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Appelle </w:t>
      </w:r>
      <w:r w:rsidRPr="00CF7824">
        <w:rPr>
          <w:rFonts w:cs="Calibri"/>
          <w:color w:val="000000"/>
          <w:lang w:val="fr-FR"/>
        </w:rPr>
        <w:t>les Partenaires et le Secrétariat à fournir des ressources pour soutenir la gestion et les mises à jour du Waterbird Populations Portal afin d</w:t>
      </w:r>
      <w:r w:rsidR="00016E39" w:rsidRPr="00CF7824">
        <w:rPr>
          <w:rFonts w:cs="Calibri"/>
          <w:color w:val="000000"/>
          <w:lang w:val="fr-FR"/>
        </w:rPr>
        <w:t>’</w:t>
      </w:r>
      <w:r w:rsidRPr="00CF7824">
        <w:rPr>
          <w:rFonts w:cs="Calibri"/>
          <w:color w:val="000000"/>
          <w:lang w:val="fr-FR"/>
        </w:rPr>
        <w:t>améliorer la fourniture d</w:t>
      </w:r>
      <w:r w:rsidR="00016E39" w:rsidRPr="00CF7824">
        <w:rPr>
          <w:rFonts w:cs="Calibri"/>
          <w:color w:val="000000"/>
          <w:lang w:val="fr-FR"/>
        </w:rPr>
        <w:t>’</w:t>
      </w:r>
      <w:r w:rsidRPr="00CF7824">
        <w:rPr>
          <w:rFonts w:cs="Calibri"/>
          <w:color w:val="000000"/>
          <w:lang w:val="fr-FR"/>
        </w:rPr>
        <w:t>informations et de soutenir le travail du Partenariat</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pBdr>
          <w:top w:val="nil"/>
          <w:left w:val="nil"/>
          <w:bottom w:val="nil"/>
          <w:right w:val="nil"/>
          <w:between w:val="nil"/>
        </w:pBdr>
        <w:ind w:left="0" w:firstLine="0"/>
        <w:rPr>
          <w:rFonts w:asciiTheme="minorHAnsi" w:eastAsia="Arial" w:hAnsiTheme="minorHAnsi" w:cstheme="minorHAnsi"/>
          <w:i/>
          <w:color w:val="000000"/>
          <w:lang w:val="fr-FR"/>
        </w:rPr>
      </w:pPr>
      <w:r w:rsidRPr="00CF7824">
        <w:rPr>
          <w:rFonts w:cs="Calibri"/>
          <w:i/>
          <w:iCs/>
          <w:color w:val="000000"/>
          <w:lang w:val="fr-FR"/>
        </w:rPr>
        <w:t>En ce qui concerne l</w:t>
      </w:r>
      <w:r w:rsidR="00016E39" w:rsidRPr="00CF7824">
        <w:rPr>
          <w:rFonts w:cs="Calibri"/>
          <w:i/>
          <w:iCs/>
          <w:color w:val="000000"/>
          <w:lang w:val="fr-FR"/>
        </w:rPr>
        <w:t>’</w:t>
      </w:r>
      <w:r w:rsidRPr="00CF7824">
        <w:rPr>
          <w:rFonts w:cs="Calibri"/>
          <w:i/>
          <w:iCs/>
          <w:color w:val="000000"/>
          <w:lang w:val="fr-FR"/>
        </w:rPr>
        <w:t>amélioration des informations sur la taille et les tendances des populations d</w:t>
      </w:r>
      <w:r w:rsidR="00016E39" w:rsidRPr="00CF7824">
        <w:rPr>
          <w:rFonts w:cs="Calibri"/>
          <w:i/>
          <w:iCs/>
          <w:color w:val="000000"/>
          <w:lang w:val="fr-FR"/>
        </w:rPr>
        <w:t>’</w:t>
      </w:r>
      <w:r w:rsidRPr="00CF7824">
        <w:rPr>
          <w:rFonts w:cs="Calibri"/>
          <w:i/>
          <w:iCs/>
          <w:color w:val="000000"/>
          <w:lang w:val="fr-FR"/>
        </w:rPr>
        <w:t>oiseaux d</w:t>
      </w:r>
      <w:r w:rsidR="00016E39" w:rsidRPr="00CF7824">
        <w:rPr>
          <w:rFonts w:cs="Calibri"/>
          <w:i/>
          <w:iCs/>
          <w:color w:val="000000"/>
          <w:lang w:val="fr-FR"/>
        </w:rPr>
        <w:t>’</w:t>
      </w:r>
      <w:r w:rsidRPr="00CF7824">
        <w:rPr>
          <w:rFonts w:cs="Calibri"/>
          <w:i/>
          <w:iCs/>
          <w:color w:val="000000"/>
          <w:lang w:val="fr-FR"/>
        </w:rPr>
        <w:t>eau par le développement/renforcement de programmes nationaux complets de suivi des oiseaux d</w:t>
      </w:r>
      <w:r w:rsidR="00016E39" w:rsidRPr="00CF7824">
        <w:rPr>
          <w:rFonts w:cs="Calibri"/>
          <w:i/>
          <w:iCs/>
          <w:color w:val="000000"/>
          <w:lang w:val="fr-FR"/>
        </w:rPr>
        <w:t>’</w:t>
      </w:r>
      <w:r w:rsidRPr="00CF7824">
        <w:rPr>
          <w:rFonts w:cs="Calibri"/>
          <w:i/>
          <w:iCs/>
          <w:color w:val="000000"/>
          <w:lang w:val="fr-FR"/>
        </w:rPr>
        <w:t>eau</w:t>
      </w:r>
    </w:p>
    <w:p w:rsidR="006C7AD7" w:rsidRPr="00CF7824" w:rsidRDefault="006C7AD7" w:rsidP="006C7AD7">
      <w:pPr>
        <w:pBdr>
          <w:top w:val="nil"/>
          <w:left w:val="nil"/>
          <w:bottom w:val="nil"/>
          <w:right w:val="nil"/>
          <w:between w:val="nil"/>
        </w:pBdr>
        <w:rPr>
          <w:rFonts w:asciiTheme="minorHAnsi" w:eastAsia="Arial" w:hAnsiTheme="minorHAnsi" w:cstheme="minorHAns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Demande </w:t>
      </w:r>
      <w:r w:rsidRPr="00CF7824">
        <w:rPr>
          <w:rFonts w:cs="Calibri"/>
          <w:color w:val="000000"/>
          <w:lang w:val="fr-FR"/>
        </w:rPr>
        <w:t>d</w:t>
      </w:r>
      <w:r w:rsidR="00016E39" w:rsidRPr="00CF7824">
        <w:rPr>
          <w:rFonts w:cs="Calibri"/>
          <w:color w:val="000000"/>
          <w:lang w:val="fr-FR"/>
        </w:rPr>
        <w:t>’</w:t>
      </w:r>
      <w:r w:rsidRPr="00CF7824">
        <w:rPr>
          <w:rFonts w:cs="Calibri"/>
          <w:color w:val="000000"/>
          <w:lang w:val="fr-FR"/>
        </w:rPr>
        <w:t>inclure dans le plan de travail du Sous-</w:t>
      </w:r>
      <w:r w:rsidR="00CC2126" w:rsidRPr="00CF7824">
        <w:rPr>
          <w:rFonts w:cs="Calibri"/>
          <w:color w:val="000000"/>
          <w:lang w:val="fr-FR"/>
        </w:rPr>
        <w:t>C</w:t>
      </w:r>
      <w:r w:rsidRPr="00CF7824">
        <w:rPr>
          <w:rFonts w:cs="Calibri"/>
          <w:color w:val="000000"/>
          <w:lang w:val="fr-FR"/>
        </w:rPr>
        <w:t>omité technique la supervision du développement, si les ressources le permettent, d</w:t>
      </w:r>
      <w:r w:rsidR="00016E39" w:rsidRPr="00CF7824">
        <w:rPr>
          <w:rFonts w:cs="Calibri"/>
          <w:color w:val="000000"/>
          <w:lang w:val="fr-FR"/>
        </w:rPr>
        <w:t>’</w:t>
      </w:r>
      <w:r w:rsidRPr="00CF7824">
        <w:rPr>
          <w:rFonts w:cs="Calibri"/>
          <w:color w:val="000000"/>
          <w:lang w:val="fr-FR"/>
        </w:rPr>
        <w:t>un cadre EAAF de suivi et d</w:t>
      </w:r>
      <w:r w:rsidR="00016E39" w:rsidRPr="00CF7824">
        <w:rPr>
          <w:rFonts w:cs="Calibri"/>
          <w:color w:val="000000"/>
          <w:lang w:val="fr-FR"/>
        </w:rPr>
        <w:t>’</w:t>
      </w:r>
      <w:r w:rsidRPr="00CF7824">
        <w:rPr>
          <w:rFonts w:cs="Calibri"/>
          <w:color w:val="000000"/>
          <w:lang w:val="fr-FR"/>
        </w:rPr>
        <w:t>analyse qui soit fiable, collaboratif et dirigé par l</w:t>
      </w:r>
      <w:r w:rsidR="00016E39" w:rsidRPr="00CF7824">
        <w:rPr>
          <w:rFonts w:cs="Calibri"/>
          <w:color w:val="000000"/>
          <w:lang w:val="fr-FR"/>
        </w:rPr>
        <w:t>’</w:t>
      </w:r>
      <w:r w:rsidRPr="00CF7824">
        <w:rPr>
          <w:rFonts w:cs="Calibri"/>
          <w:color w:val="000000"/>
          <w:lang w:val="fr-FR"/>
        </w:rPr>
        <w:t>Équipe spéciale sur le suivi des oiseaux d</w:t>
      </w:r>
      <w:r w:rsidR="00016E39" w:rsidRPr="00CF7824">
        <w:rPr>
          <w:rFonts w:cs="Calibri"/>
          <w:color w:val="000000"/>
          <w:lang w:val="fr-FR"/>
        </w:rPr>
        <w:t>’</w:t>
      </w:r>
      <w:r w:rsidRPr="00CF7824">
        <w:rPr>
          <w:rFonts w:cs="Calibri"/>
          <w:color w:val="000000"/>
          <w:lang w:val="fr-FR"/>
        </w:rPr>
        <w:t xml:space="preserve">eau, conjointement avec les groupes de travail sur les </w:t>
      </w:r>
      <w:r w:rsidR="00EC4E8C" w:rsidRPr="00CF7824">
        <w:rPr>
          <w:rFonts w:cs="Calibri"/>
          <w:color w:val="000000"/>
          <w:lang w:val="fr-FR"/>
        </w:rPr>
        <w:t>a</w:t>
      </w:r>
      <w:r w:rsidRPr="00CF7824">
        <w:rPr>
          <w:rFonts w:cs="Calibri"/>
          <w:color w:val="000000"/>
          <w:lang w:val="fr-FR"/>
        </w:rPr>
        <w:t>natidés, les limicoles, les grues, les oiseaux marins et la petite spatule, les équipes spéciales sur le harle de Chine, le bécasseau spatule et le courlis de Sibérie, l</w:t>
      </w:r>
      <w:r w:rsidR="00016E39" w:rsidRPr="00CF7824">
        <w:rPr>
          <w:rFonts w:cs="Calibri"/>
          <w:color w:val="000000"/>
          <w:lang w:val="fr-FR"/>
        </w:rPr>
        <w:t>’</w:t>
      </w:r>
      <w:r w:rsidRPr="00CF7824">
        <w:rPr>
          <w:rFonts w:cs="Calibri"/>
          <w:color w:val="000000"/>
          <w:lang w:val="fr-FR"/>
        </w:rPr>
        <w:t>Unité scientifique et un certain nombre d</w:t>
      </w:r>
      <w:r w:rsidR="00016E39" w:rsidRPr="00CF7824">
        <w:rPr>
          <w:rFonts w:cs="Calibri"/>
          <w:color w:val="000000"/>
          <w:lang w:val="fr-FR"/>
        </w:rPr>
        <w:t>’</w:t>
      </w:r>
      <w:r w:rsidRPr="00CF7824">
        <w:rPr>
          <w:rFonts w:cs="Calibri"/>
          <w:color w:val="000000"/>
          <w:lang w:val="fr-FR"/>
        </w:rPr>
        <w:t>ONG, d</w:t>
      </w:r>
      <w:r w:rsidR="00016E39" w:rsidRPr="00CF7824">
        <w:rPr>
          <w:rFonts w:cs="Calibri"/>
          <w:color w:val="000000"/>
          <w:lang w:val="fr-FR"/>
        </w:rPr>
        <w:t>’</w:t>
      </w:r>
      <w:r w:rsidRPr="00CF7824">
        <w:rPr>
          <w:rFonts w:cs="Calibri"/>
          <w:color w:val="000000"/>
          <w:lang w:val="fr-FR"/>
        </w:rPr>
        <w:t>organisations communautaires qui entreprennent des activités de suivi</w:t>
      </w:r>
      <w:r w:rsidR="003B5833" w:rsidRPr="00CF7824">
        <w:rPr>
          <w:rFonts w:cs="Calibri"/>
          <w:color w:val="000000"/>
          <w:lang w:val="fr-FR"/>
        </w:rPr>
        <w:t>,</w:t>
      </w:r>
      <w:r w:rsidRPr="00CF7824">
        <w:rPr>
          <w:rFonts w:cs="Calibri"/>
          <w:color w:val="000000"/>
          <w:lang w:val="fr-FR"/>
        </w:rPr>
        <w:t xml:space="preserve"> ainsi que des réseaux de spécialistes. Ceci devra inclure l</w:t>
      </w:r>
      <w:r w:rsidR="00016E39" w:rsidRPr="00CF7824">
        <w:rPr>
          <w:rFonts w:cs="Calibri"/>
          <w:color w:val="000000"/>
          <w:lang w:val="fr-FR"/>
        </w:rPr>
        <w:t>’</w:t>
      </w:r>
      <w:r w:rsidRPr="00CF7824">
        <w:rPr>
          <w:rFonts w:cs="Calibri"/>
          <w:color w:val="000000"/>
          <w:lang w:val="fr-FR"/>
        </w:rPr>
        <w:t>élaboration de lignes directrices nationales, afin de garantir un suivi normalisé permettant d</w:t>
      </w:r>
      <w:r w:rsidR="00016E39" w:rsidRPr="00CF7824">
        <w:rPr>
          <w:rFonts w:cs="Calibri"/>
          <w:color w:val="000000"/>
          <w:lang w:val="fr-FR"/>
        </w:rPr>
        <w:t>’</w:t>
      </w:r>
      <w:r w:rsidRPr="00CF7824">
        <w:rPr>
          <w:rFonts w:cs="Calibri"/>
          <w:color w:val="000000"/>
          <w:lang w:val="fr-FR"/>
        </w:rPr>
        <w:t>améliorer</w:t>
      </w:r>
      <w:r w:rsidR="003B5833" w:rsidRPr="00CF7824">
        <w:rPr>
          <w:rFonts w:cs="Calibri"/>
          <w:color w:val="000000"/>
          <w:lang w:val="fr-FR"/>
        </w:rPr>
        <w:t> :</w:t>
      </w:r>
      <w:r w:rsidRPr="00CF7824">
        <w:rPr>
          <w:rFonts w:cs="Calibri"/>
          <w:color w:val="000000"/>
          <w:lang w:val="fr-FR"/>
        </w:rPr>
        <w:t xml:space="preserve"> a) les estimations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et des tendances</w:t>
      </w:r>
      <w:r w:rsidR="00A12CF2" w:rsidRPr="00CF7824">
        <w:rPr>
          <w:rFonts w:cs="Calibri"/>
          <w:color w:val="000000"/>
          <w:lang w:val="fr-FR"/>
        </w:rPr>
        <w:t>;</w:t>
      </w:r>
      <w:r w:rsidRPr="00CF7824">
        <w:rPr>
          <w:rFonts w:cs="Calibri"/>
          <w:color w:val="000000"/>
          <w:lang w:val="fr-FR"/>
        </w:rPr>
        <w:t xml:space="preserve"> et b) le suivi de l</w:t>
      </w:r>
      <w:r w:rsidR="00016E39" w:rsidRPr="00CF7824">
        <w:rPr>
          <w:rFonts w:cs="Calibri"/>
          <w:color w:val="000000"/>
          <w:lang w:val="fr-FR"/>
        </w:rPr>
        <w:t>’</w:t>
      </w:r>
      <w:r w:rsidRPr="00CF7824">
        <w:rPr>
          <w:rFonts w:cs="Calibri"/>
          <w:color w:val="000000"/>
          <w:lang w:val="fr-FR"/>
        </w:rPr>
        <w:t>état des zones humides des sites du réseau EAAF et des sites potentiels du réseau, en s</w:t>
      </w:r>
      <w:r w:rsidR="00016E39" w:rsidRPr="00CF7824">
        <w:rPr>
          <w:rFonts w:cs="Calibri"/>
          <w:color w:val="000000"/>
          <w:lang w:val="fr-FR"/>
        </w:rPr>
        <w:t>’</w:t>
      </w:r>
      <w:r w:rsidRPr="00CF7824">
        <w:rPr>
          <w:rFonts w:cs="Calibri"/>
          <w:color w:val="000000"/>
          <w:lang w:val="fr-FR"/>
        </w:rPr>
        <w:t>appuyant sur les dénombrements des oiseaux d</w:t>
      </w:r>
      <w:r w:rsidR="00016E39" w:rsidRPr="00CF7824">
        <w:rPr>
          <w:rFonts w:cs="Calibri"/>
          <w:color w:val="000000"/>
          <w:lang w:val="fr-FR"/>
        </w:rPr>
        <w:t>’</w:t>
      </w:r>
      <w:r w:rsidRPr="00CF7824">
        <w:rPr>
          <w:rFonts w:cs="Calibri"/>
          <w:color w:val="000000"/>
          <w:lang w:val="fr-FR"/>
        </w:rPr>
        <w:t>eau en Asie</w:t>
      </w:r>
      <w:r w:rsidR="00980A52" w:rsidRPr="00CF7824">
        <w:rPr>
          <w:rFonts w:cs="Calibri"/>
          <w:color w:val="000000"/>
          <w:lang w:val="fr-FR"/>
        </w:rPr>
        <w:t xml:space="preserve"> (</w:t>
      </w:r>
      <w:hyperlink r:id="rId38" w:history="1">
        <w:r w:rsidR="00980A52" w:rsidRPr="00CF7824">
          <w:rPr>
            <w:rStyle w:val="Hyperlink"/>
            <w:rFonts w:cs="Calibri"/>
            <w:lang w:val="fr-FR"/>
          </w:rPr>
          <w:t>http://www.wetlands.org/awc</w:t>
        </w:r>
      </w:hyperlink>
      <w:r w:rsidR="00980A52" w:rsidRPr="00CF7824">
        <w:rPr>
          <w:rFonts w:cs="Calibri"/>
          <w:lang w:val="fr-FR"/>
        </w:rPr>
        <w:t>)</w:t>
      </w:r>
      <w:r w:rsidR="00980A52" w:rsidRPr="00CF7824">
        <w:rPr>
          <w:rFonts w:cs="Calibri"/>
          <w:color w:val="0462C1"/>
          <w:lang w:val="fr-FR"/>
        </w:rPr>
        <w:t xml:space="preserve"> </w:t>
      </w:r>
      <w:r w:rsidRPr="00CF7824">
        <w:rPr>
          <w:rFonts w:cs="Calibri"/>
          <w:color w:val="000000"/>
          <w:lang w:val="fr-FR"/>
        </w:rPr>
        <w:t>et sur d</w:t>
      </w:r>
      <w:r w:rsidR="00016E39" w:rsidRPr="00CF7824">
        <w:rPr>
          <w:rFonts w:cs="Calibri"/>
          <w:color w:val="000000"/>
          <w:lang w:val="fr-FR"/>
        </w:rPr>
        <w:t>’</w:t>
      </w:r>
      <w:r w:rsidRPr="00CF7824">
        <w:rPr>
          <w:rFonts w:cs="Calibri"/>
          <w:color w:val="000000"/>
          <w:lang w:val="fr-FR"/>
        </w:rPr>
        <w:t>autres programmes de suivi</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Prie instamment </w:t>
      </w:r>
      <w:r w:rsidRPr="00CF7824">
        <w:rPr>
          <w:rFonts w:cs="Calibri"/>
          <w:iCs/>
          <w:color w:val="000000"/>
          <w:lang w:val="fr-FR"/>
        </w:rPr>
        <w:t>l</w:t>
      </w:r>
      <w:r w:rsidRPr="00CF7824">
        <w:rPr>
          <w:rFonts w:cs="Calibri"/>
          <w:color w:val="000000"/>
          <w:lang w:val="fr-FR"/>
        </w:rPr>
        <w:t xml:space="preserve">es partenaires de fournir des ressources techniques et financières </w:t>
      </w:r>
      <w:r w:rsidR="00980A52" w:rsidRPr="00CF7824">
        <w:rPr>
          <w:rFonts w:cs="Calibri"/>
          <w:color w:val="000000"/>
          <w:lang w:val="fr-FR"/>
        </w:rPr>
        <w:t>pour</w:t>
      </w:r>
      <w:r w:rsidRPr="00CF7824">
        <w:rPr>
          <w:rFonts w:cs="Calibri"/>
          <w:color w:val="000000"/>
          <w:lang w:val="fr-FR"/>
        </w:rPr>
        <w:t xml:space="preserve"> faire progresser le développement et la mise en œuvre du cadre collaboratif de l</w:t>
      </w:r>
      <w:r w:rsidR="00016E39" w:rsidRPr="00CF7824">
        <w:rPr>
          <w:rFonts w:cs="Calibri"/>
          <w:color w:val="000000"/>
          <w:lang w:val="fr-FR"/>
        </w:rPr>
        <w:t>’</w:t>
      </w:r>
      <w:r w:rsidRPr="00CF7824">
        <w:rPr>
          <w:rFonts w:cs="Calibri"/>
          <w:color w:val="000000"/>
          <w:lang w:val="fr-FR"/>
        </w:rPr>
        <w:t xml:space="preserve">EAAF pour le suivi et </w:t>
      </w:r>
      <w:r w:rsidRPr="00CF7824">
        <w:rPr>
          <w:rFonts w:cs="Calibri"/>
          <w:color w:val="000000"/>
          <w:lang w:val="fr-FR"/>
        </w:rPr>
        <w:lastRenderedPageBreak/>
        <w:t>l</w:t>
      </w:r>
      <w:r w:rsidR="00016E39" w:rsidRPr="00CF7824">
        <w:rPr>
          <w:rFonts w:cs="Calibri"/>
          <w:color w:val="000000"/>
          <w:lang w:val="fr-FR"/>
        </w:rPr>
        <w:t>’</w:t>
      </w:r>
      <w:r w:rsidRPr="00CF7824">
        <w:rPr>
          <w:rFonts w:cs="Calibri"/>
          <w:color w:val="000000"/>
          <w:lang w:val="fr-FR"/>
        </w:rPr>
        <w:t>analyse, y compris pour l</w:t>
      </w:r>
      <w:r w:rsidR="00016E39" w:rsidRPr="00CF7824">
        <w:rPr>
          <w:rFonts w:cs="Calibri"/>
          <w:color w:val="000000"/>
          <w:lang w:val="fr-FR"/>
        </w:rPr>
        <w:t>’</w:t>
      </w:r>
      <w:r w:rsidRPr="00CF7824">
        <w:rPr>
          <w:rFonts w:cs="Calibri"/>
          <w:color w:val="000000"/>
          <w:lang w:val="fr-FR"/>
        </w:rPr>
        <w:t>organisation d</w:t>
      </w:r>
      <w:r w:rsidR="00016E39" w:rsidRPr="00CF7824">
        <w:rPr>
          <w:rFonts w:cs="Calibri"/>
          <w:color w:val="000000"/>
          <w:lang w:val="fr-FR"/>
        </w:rPr>
        <w:t>’</w:t>
      </w:r>
      <w:r w:rsidRPr="00CF7824">
        <w:rPr>
          <w:rFonts w:cs="Calibri"/>
          <w:color w:val="000000"/>
          <w:lang w:val="fr-FR"/>
        </w:rPr>
        <w:t>ateliers régionaux, de formations de formateurs et de mentorat</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Encourage </w:t>
      </w:r>
      <w:r w:rsidR="001F19B5" w:rsidRPr="00CF7824">
        <w:rPr>
          <w:rFonts w:cs="Calibri"/>
          <w:color w:val="000000"/>
          <w:lang w:val="fr-FR"/>
        </w:rPr>
        <w:t>l</w:t>
      </w:r>
      <w:r w:rsidRPr="00CF7824">
        <w:rPr>
          <w:rFonts w:cs="Calibri"/>
          <w:color w:val="000000"/>
          <w:lang w:val="fr-FR"/>
        </w:rPr>
        <w:t>es partenaires et autres entités qui soutiennent déjà les initiatives internationales de suivi à poursuivre et à renforcer leur soutien</w:t>
      </w:r>
      <w:r w:rsidR="00980A52" w:rsidRPr="00CF7824">
        <w:rPr>
          <w:rFonts w:cs="Calibri"/>
          <w:color w:val="000000"/>
          <w:lang w:val="fr-FR"/>
        </w:rPr>
        <w:t>,</w:t>
      </w:r>
      <w:r w:rsidRPr="00CF7824">
        <w:rPr>
          <w:rFonts w:cs="Calibri"/>
          <w:color w:val="000000"/>
          <w:lang w:val="fr-FR"/>
        </w:rPr>
        <w:t xml:space="preserve"> et </w:t>
      </w:r>
      <w:r w:rsidRPr="00CF7824">
        <w:rPr>
          <w:rFonts w:cs="Calibri"/>
          <w:i/>
          <w:color w:val="000000"/>
          <w:lang w:val="fr-FR"/>
        </w:rPr>
        <w:t>invite</w:t>
      </w:r>
      <w:r w:rsidRPr="00CF7824">
        <w:rPr>
          <w:rFonts w:cs="Calibri"/>
          <w:color w:val="000000"/>
          <w:lang w:val="fr-FR"/>
        </w:rPr>
        <w:t xml:space="preserve"> les autres partenaires à contribuer au développement et au maintien du suivi des oiseaux d</w:t>
      </w:r>
      <w:r w:rsidR="00016E39" w:rsidRPr="00CF7824">
        <w:rPr>
          <w:rFonts w:cs="Calibri"/>
          <w:color w:val="000000"/>
          <w:lang w:val="fr-FR"/>
        </w:rPr>
        <w:t>’</w:t>
      </w:r>
      <w:r w:rsidRPr="00CF7824">
        <w:rPr>
          <w:rFonts w:cs="Calibri"/>
          <w:color w:val="000000"/>
          <w:lang w:val="fr-FR"/>
        </w:rPr>
        <w:t>eau et des zones humides et en particulier à établir et à soutenir des initiatives pour les espèces/populations dont les estimations sont médiocres ou obsolètes et dans les régions où le suivi fait défaut ou est insuffisant</w:t>
      </w:r>
      <w:r w:rsidR="00A12CF2" w:rsidRPr="00CF7824">
        <w:rPr>
          <w:rFonts w:cs="Calibri"/>
          <w:color w:val="000000"/>
          <w:lang w:val="fr-FR"/>
        </w:rPr>
        <w:t>;</w:t>
      </w:r>
      <w:r w:rsidRPr="00CF7824">
        <w:rPr>
          <w:rFonts w:cs="Calibri"/>
          <w:color w:val="000000"/>
          <w:lang w:val="fr-FR"/>
        </w:rPr>
        <w:t xml:space="preserve">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Prie instamment</w:t>
      </w:r>
      <w:r w:rsidRPr="00CF7824">
        <w:rPr>
          <w:rFonts w:cs="Calibri"/>
          <w:color w:val="000000"/>
          <w:lang w:val="fr-FR"/>
        </w:rPr>
        <w:t xml:space="preserve"> les partenaires et autres donateurs de fournir des contributions financières pour le déploiement à l</w:t>
      </w:r>
      <w:r w:rsidR="00016E39" w:rsidRPr="00CF7824">
        <w:rPr>
          <w:rFonts w:cs="Calibri"/>
          <w:color w:val="000000"/>
          <w:lang w:val="fr-FR"/>
        </w:rPr>
        <w:t>’</w:t>
      </w:r>
      <w:r w:rsidRPr="00CF7824">
        <w:rPr>
          <w:rFonts w:cs="Calibri"/>
          <w:color w:val="000000"/>
          <w:lang w:val="fr-FR"/>
        </w:rPr>
        <w:t>échelle nationale de suivis et de recherches</w:t>
      </w:r>
      <w:r w:rsidR="00016E39" w:rsidRPr="00CF7824">
        <w:rPr>
          <w:rFonts w:cs="Calibri"/>
          <w:color w:val="000000"/>
          <w:lang w:val="fr-FR"/>
        </w:rPr>
        <w:t xml:space="preserve"> </w:t>
      </w:r>
      <w:r w:rsidRPr="00CF7824">
        <w:rPr>
          <w:rFonts w:cs="Calibri"/>
          <w:color w:val="000000"/>
          <w:lang w:val="fr-FR"/>
        </w:rPr>
        <w:t>sur les oiseaux d</w:t>
      </w:r>
      <w:r w:rsidR="00016E39" w:rsidRPr="00CF7824">
        <w:rPr>
          <w:rFonts w:cs="Calibri"/>
          <w:color w:val="000000"/>
          <w:lang w:val="fr-FR"/>
        </w:rPr>
        <w:t>’</w:t>
      </w:r>
      <w:r w:rsidRPr="00CF7824">
        <w:rPr>
          <w:rFonts w:cs="Calibri"/>
          <w:color w:val="000000"/>
          <w:lang w:val="fr-FR"/>
        </w:rPr>
        <w:t>eau et les zones humides par l</w:t>
      </w:r>
      <w:r w:rsidR="00016E39" w:rsidRPr="00CF7824">
        <w:rPr>
          <w:rFonts w:cs="Calibri"/>
          <w:color w:val="000000"/>
          <w:lang w:val="fr-FR"/>
        </w:rPr>
        <w:t>’</w:t>
      </w:r>
      <w:r w:rsidRPr="00CF7824">
        <w:rPr>
          <w:rFonts w:cs="Calibri"/>
          <w:color w:val="000000"/>
          <w:lang w:val="fr-FR"/>
        </w:rPr>
        <w:t xml:space="preserve">intermédiaire du </w:t>
      </w:r>
      <w:r w:rsidR="00980A52" w:rsidRPr="00CF7824">
        <w:rPr>
          <w:rFonts w:asciiTheme="minorHAnsi" w:eastAsia="Arial" w:hAnsiTheme="minorHAnsi" w:cstheme="minorHAnsi"/>
          <w:color w:val="000000"/>
          <w:lang w:val="fr-FR"/>
        </w:rPr>
        <w:t xml:space="preserve">Waterbird Fund </w:t>
      </w:r>
      <w:r w:rsidRPr="00CF7824">
        <w:rPr>
          <w:rFonts w:cs="Calibri"/>
          <w:color w:val="000000"/>
          <w:lang w:val="fr-FR"/>
        </w:rPr>
        <w:t>ou d</w:t>
      </w:r>
      <w:r w:rsidR="00016E39" w:rsidRPr="00CF7824">
        <w:rPr>
          <w:rFonts w:cs="Calibri"/>
          <w:color w:val="000000"/>
          <w:lang w:val="fr-FR"/>
        </w:rPr>
        <w:t>’</w:t>
      </w:r>
      <w:r w:rsidRPr="00CF7824">
        <w:rPr>
          <w:rFonts w:cs="Calibri"/>
          <w:color w:val="000000"/>
          <w:lang w:val="fr-FR"/>
        </w:rPr>
        <w:t>autres mécanismes de financement internationaux et nationaux</w:t>
      </w:r>
      <w:r w:rsidR="00A12CF2" w:rsidRPr="00CF7824">
        <w:rPr>
          <w:rFonts w:cs="Calibri"/>
          <w:color w:val="000000"/>
          <w:lang w:val="fr-FR"/>
        </w:rPr>
        <w:t>;</w:t>
      </w:r>
      <w:r w:rsidRPr="00CF7824">
        <w:rPr>
          <w:rFonts w:cs="Calibri"/>
          <w:color w:val="000000"/>
          <w:lang w:val="fr-FR"/>
        </w:rPr>
        <w:t xml:space="preserve"> et </w:t>
      </w:r>
    </w:p>
    <w:p w:rsidR="006C7AD7" w:rsidRPr="00CF7824" w:rsidRDefault="006C7AD7" w:rsidP="006C7AD7">
      <w:pPr>
        <w:pBdr>
          <w:top w:val="nil"/>
          <w:left w:val="nil"/>
          <w:bottom w:val="nil"/>
          <w:right w:val="nil"/>
          <w:between w:val="nil"/>
        </w:pBdr>
        <w:rPr>
          <w:rFonts w:asciiTheme="minorHAnsi" w:eastAsia="Arial" w:hAnsiTheme="minorHAnsi" w:cstheme="minorHAnsi"/>
          <w:i/>
          <w:color w:val="000000"/>
          <w:lang w:val="fr-FR"/>
        </w:rPr>
      </w:pPr>
    </w:p>
    <w:p w:rsidR="006C7AD7" w:rsidRPr="00CF7824" w:rsidRDefault="00164734" w:rsidP="006C7AD7">
      <w:pPr>
        <w:numPr>
          <w:ilvl w:val="0"/>
          <w:numId w:val="16"/>
        </w:numPr>
        <w:pBdr>
          <w:top w:val="nil"/>
          <w:left w:val="nil"/>
          <w:bottom w:val="nil"/>
          <w:right w:val="nil"/>
          <w:between w:val="nil"/>
        </w:pBdr>
        <w:rPr>
          <w:rFonts w:asciiTheme="minorHAnsi" w:eastAsia="Arial" w:hAnsiTheme="minorHAnsi" w:cstheme="minorHAnsi"/>
          <w:color w:val="000000"/>
          <w:lang w:val="fr-FR"/>
        </w:rPr>
      </w:pPr>
      <w:r w:rsidRPr="00CF7824">
        <w:rPr>
          <w:rFonts w:cs="Calibri"/>
          <w:i/>
          <w:iCs/>
          <w:color w:val="000000"/>
          <w:lang w:val="fr-FR"/>
        </w:rPr>
        <w:t xml:space="preserve">Encourage </w:t>
      </w:r>
      <w:r w:rsidRPr="00CF7824">
        <w:rPr>
          <w:rFonts w:cs="Calibri"/>
          <w:color w:val="000000"/>
          <w:lang w:val="fr-FR"/>
        </w:rPr>
        <w:t>l</w:t>
      </w:r>
      <w:r w:rsidR="00016E39" w:rsidRPr="00CF7824">
        <w:rPr>
          <w:rFonts w:cs="Calibri"/>
          <w:color w:val="000000"/>
          <w:lang w:val="fr-FR"/>
        </w:rPr>
        <w:t>’</w:t>
      </w:r>
      <w:r w:rsidRPr="00CF7824">
        <w:rPr>
          <w:rFonts w:cs="Calibri"/>
          <w:color w:val="000000"/>
          <w:lang w:val="fr-FR"/>
        </w:rPr>
        <w:t>Équipe spéciale sur le suivi des oiseaux d</w:t>
      </w:r>
      <w:r w:rsidR="00016E39" w:rsidRPr="00CF7824">
        <w:rPr>
          <w:rFonts w:cs="Calibri"/>
          <w:color w:val="000000"/>
          <w:lang w:val="fr-FR"/>
        </w:rPr>
        <w:t>’</w:t>
      </w:r>
      <w:r w:rsidRPr="00CF7824">
        <w:rPr>
          <w:rFonts w:cs="Calibri"/>
          <w:color w:val="000000"/>
          <w:lang w:val="fr-FR"/>
        </w:rPr>
        <w:t xml:space="preserve">eau, en collaboration avec le </w:t>
      </w:r>
      <w:r w:rsidR="00980A52" w:rsidRPr="00CF7824">
        <w:rPr>
          <w:rFonts w:cs="Calibri"/>
          <w:color w:val="000000"/>
          <w:lang w:val="fr-FR"/>
        </w:rPr>
        <w:t>Sous-Comité technique</w:t>
      </w:r>
      <w:r w:rsidRPr="00CF7824">
        <w:rPr>
          <w:rFonts w:cs="Calibri"/>
          <w:color w:val="000000"/>
          <w:lang w:val="fr-FR"/>
        </w:rPr>
        <w:t>, à faire rapport à chaque MOP sur le développement et la mise en œuvre du cadre</w:t>
      </w:r>
      <w:r w:rsidR="00016E39" w:rsidRPr="00CF7824">
        <w:rPr>
          <w:rFonts w:cs="Calibri"/>
          <w:color w:val="000000"/>
          <w:lang w:val="fr-FR"/>
        </w:rPr>
        <w:t xml:space="preserve"> </w:t>
      </w:r>
      <w:r w:rsidRPr="00CF7824">
        <w:rPr>
          <w:rFonts w:cs="Calibri"/>
          <w:color w:val="000000"/>
          <w:lang w:val="fr-FR"/>
        </w:rPr>
        <w:t>pour le suivi et l</w:t>
      </w:r>
      <w:r w:rsidR="00016E39" w:rsidRPr="00CF7824">
        <w:rPr>
          <w:rFonts w:cs="Calibri"/>
          <w:color w:val="000000"/>
          <w:lang w:val="fr-FR"/>
        </w:rPr>
        <w:t>’</w:t>
      </w:r>
      <w:r w:rsidRPr="00CF7824">
        <w:rPr>
          <w:rFonts w:cs="Calibri"/>
          <w:color w:val="000000"/>
          <w:lang w:val="fr-FR"/>
        </w:rPr>
        <w:t>analyse.</w:t>
      </w:r>
    </w:p>
    <w:p w:rsidR="0034119F" w:rsidRPr="00CF7824" w:rsidRDefault="00164734">
      <w:pPr>
        <w:rPr>
          <w:rFonts w:asciiTheme="minorHAnsi" w:hAnsiTheme="minorHAnsi" w:cstheme="minorHAnsi"/>
          <w:lang w:val="fr-FR"/>
        </w:rPr>
      </w:pPr>
      <w:r w:rsidRPr="00CF7824">
        <w:rPr>
          <w:rFonts w:asciiTheme="minorHAnsi" w:hAnsiTheme="minorHAnsi" w:cstheme="minorHAnsi"/>
          <w:lang w:val="fr-FR"/>
        </w:rPr>
        <w:br w:type="page"/>
      </w:r>
    </w:p>
    <w:p w:rsidR="002A32E5" w:rsidRPr="00CF7824" w:rsidRDefault="00164734" w:rsidP="00ED26AC">
      <w:pPr>
        <w:rPr>
          <w:rFonts w:cs="Arial"/>
          <w:b/>
          <w:sz w:val="24"/>
          <w:szCs w:val="24"/>
          <w:lang w:val="fr-FR"/>
        </w:rPr>
      </w:pPr>
      <w:bookmarkStart w:id="22" w:name="_Toc159848064"/>
      <w:r w:rsidRPr="00CF7824">
        <w:rPr>
          <w:rFonts w:cs="Arial"/>
          <w:b/>
          <w:bCs/>
          <w:sz w:val="24"/>
          <w:szCs w:val="24"/>
          <w:lang w:val="fr-FR"/>
        </w:rPr>
        <w:lastRenderedPageBreak/>
        <w:t>Annexe</w:t>
      </w:r>
      <w:r w:rsidR="001F19B5" w:rsidRPr="00CF7824">
        <w:rPr>
          <w:rFonts w:cs="Arial"/>
          <w:b/>
          <w:bCs/>
          <w:sz w:val="24"/>
          <w:szCs w:val="24"/>
          <w:lang w:val="fr-FR"/>
        </w:rPr>
        <w:t> </w:t>
      </w:r>
      <w:r w:rsidRPr="00CF7824">
        <w:rPr>
          <w:rFonts w:cs="Arial"/>
          <w:b/>
          <w:bCs/>
          <w:sz w:val="24"/>
          <w:szCs w:val="24"/>
          <w:lang w:val="fr-FR"/>
        </w:rPr>
        <w:t>3</w:t>
      </w:r>
    </w:p>
    <w:p w:rsidR="00456064" w:rsidRPr="00CF7824" w:rsidRDefault="00164734" w:rsidP="00ED26AC">
      <w:pPr>
        <w:ind w:left="0" w:firstLine="0"/>
        <w:rPr>
          <w:rFonts w:cs="Arial"/>
          <w:b/>
          <w:sz w:val="24"/>
          <w:szCs w:val="24"/>
          <w:lang w:val="fr-FR"/>
        </w:rPr>
      </w:pPr>
      <w:r w:rsidRPr="00CF7824">
        <w:rPr>
          <w:rFonts w:cs="Arial"/>
          <w:b/>
          <w:bCs/>
          <w:sz w:val="24"/>
          <w:szCs w:val="24"/>
          <w:lang w:val="fr-FR"/>
        </w:rPr>
        <w:t>Pertinence des WPE et du Partenariat pour l</w:t>
      </w:r>
      <w:r w:rsidR="00016E39" w:rsidRPr="00CF7824">
        <w:rPr>
          <w:rFonts w:cs="Arial"/>
          <w:b/>
          <w:bCs/>
          <w:sz w:val="24"/>
          <w:szCs w:val="24"/>
          <w:lang w:val="fr-FR"/>
        </w:rPr>
        <w:t>’</w:t>
      </w:r>
      <w:r w:rsidRPr="00CF7824">
        <w:rPr>
          <w:rFonts w:cs="Arial"/>
          <w:b/>
          <w:bCs/>
          <w:sz w:val="24"/>
          <w:szCs w:val="24"/>
          <w:lang w:val="fr-FR"/>
        </w:rPr>
        <w:t>estimation des oiseaux d</w:t>
      </w:r>
      <w:r w:rsidR="00016E39" w:rsidRPr="00CF7824">
        <w:rPr>
          <w:rFonts w:cs="Arial"/>
          <w:b/>
          <w:bCs/>
          <w:sz w:val="24"/>
          <w:szCs w:val="24"/>
          <w:lang w:val="fr-FR"/>
        </w:rPr>
        <w:t>’</w:t>
      </w:r>
      <w:r w:rsidRPr="00CF7824">
        <w:rPr>
          <w:rFonts w:cs="Arial"/>
          <w:b/>
          <w:bCs/>
          <w:sz w:val="24"/>
          <w:szCs w:val="24"/>
          <w:lang w:val="fr-FR"/>
        </w:rPr>
        <w:t>eau proposé pour les processus internationaux de conservation de la biodiversité</w:t>
      </w:r>
      <w:bookmarkEnd w:id="22"/>
    </w:p>
    <w:p w:rsidR="00456064" w:rsidRPr="00CF7824" w:rsidRDefault="00456064" w:rsidP="00456064">
      <w:pPr>
        <w:pBdr>
          <w:top w:val="nil"/>
          <w:left w:val="nil"/>
          <w:bottom w:val="nil"/>
          <w:right w:val="nil"/>
          <w:between w:val="nil"/>
        </w:pBdr>
        <w:rPr>
          <w:rFonts w:asciiTheme="minorHAnsi" w:eastAsia="Arial" w:hAnsiTheme="minorHAnsi" w:cstheme="minorHAnsi"/>
          <w:color w:val="000000"/>
          <w:sz w:val="20"/>
          <w:szCs w:val="20"/>
          <w:lang w:val="fr-FR"/>
        </w:rPr>
      </w:pPr>
    </w:p>
    <w:p w:rsidR="00DF4D61" w:rsidRPr="00CF7824" w:rsidRDefault="00DF4D61" w:rsidP="00456064">
      <w:pPr>
        <w:pBdr>
          <w:top w:val="nil"/>
          <w:left w:val="nil"/>
          <w:bottom w:val="nil"/>
          <w:right w:val="nil"/>
          <w:between w:val="nil"/>
        </w:pBdr>
        <w:rPr>
          <w:rFonts w:asciiTheme="minorHAnsi" w:eastAsia="Arial" w:hAnsiTheme="minorHAnsi" w:cstheme="minorHAnsi"/>
          <w:color w:val="000000"/>
          <w:sz w:val="20"/>
          <w:szCs w:val="20"/>
          <w:lang w:val="fr-FR"/>
        </w:rPr>
      </w:pPr>
    </w:p>
    <w:p w:rsidR="00456064" w:rsidRPr="00CF7824" w:rsidRDefault="00164734" w:rsidP="00456064">
      <w:pPr>
        <w:pBdr>
          <w:top w:val="nil"/>
          <w:left w:val="nil"/>
          <w:bottom w:val="nil"/>
          <w:right w:val="nil"/>
          <w:between w:val="nil"/>
        </w:pBdr>
        <w:spacing w:after="120"/>
        <w:rPr>
          <w:rFonts w:asciiTheme="minorHAnsi" w:eastAsia="Arial" w:hAnsiTheme="minorHAnsi" w:cstheme="minorHAnsi"/>
          <w:color w:val="000000"/>
          <w:lang w:val="fr-FR"/>
        </w:rPr>
      </w:pPr>
      <w:r w:rsidRPr="00CF7824">
        <w:rPr>
          <w:rFonts w:cs="Calibri"/>
          <w:b/>
          <w:bCs/>
          <w:color w:val="000000"/>
          <w:lang w:val="fr-FR"/>
        </w:rPr>
        <w:t>Soutenir le développement de</w:t>
      </w:r>
      <w:r w:rsidR="00304BDC" w:rsidRPr="00CF7824">
        <w:rPr>
          <w:rFonts w:cs="Calibri"/>
          <w:b/>
          <w:bCs/>
          <w:color w:val="000000"/>
          <w:lang w:val="fr-FR"/>
        </w:rPr>
        <w:t>s</w:t>
      </w:r>
      <w:r w:rsidRPr="00CF7824">
        <w:rPr>
          <w:rFonts w:cs="Calibri"/>
          <w:b/>
          <w:bCs/>
          <w:color w:val="000000"/>
          <w:lang w:val="fr-FR"/>
        </w:rPr>
        <w:t xml:space="preserve"> conventions mondiales </w:t>
      </w:r>
      <w:r w:rsidR="00304BDC" w:rsidRPr="00CF7824">
        <w:rPr>
          <w:rFonts w:cs="Calibri"/>
          <w:b/>
          <w:bCs/>
          <w:color w:val="000000"/>
          <w:lang w:val="fr-FR"/>
        </w:rPr>
        <w:t>relatives à</w:t>
      </w:r>
      <w:r w:rsidRPr="00CF7824">
        <w:rPr>
          <w:rFonts w:cs="Calibri"/>
          <w:b/>
          <w:bCs/>
          <w:color w:val="000000"/>
          <w:lang w:val="fr-FR"/>
        </w:rPr>
        <w:t xml:space="preserve"> la conservation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Convention sur les zones humides (en particulier l</w:t>
      </w:r>
      <w:r w:rsidR="00016E39" w:rsidRPr="00CF7824">
        <w:rPr>
          <w:rFonts w:cs="Calibri"/>
          <w:color w:val="000000"/>
          <w:lang w:val="fr-FR"/>
        </w:rPr>
        <w:t>’</w:t>
      </w:r>
      <w:r w:rsidRPr="00CF7824">
        <w:rPr>
          <w:rFonts w:cs="Calibri"/>
          <w:color w:val="000000"/>
          <w:lang w:val="fr-FR"/>
        </w:rPr>
        <w:t>inscription de</w:t>
      </w:r>
      <w:r w:rsidR="00304BDC" w:rsidRPr="00CF7824">
        <w:rPr>
          <w:rFonts w:cs="Calibri"/>
          <w:color w:val="000000"/>
          <w:lang w:val="fr-FR"/>
        </w:rPr>
        <w:t>s</w:t>
      </w:r>
      <w:r w:rsidRPr="00CF7824">
        <w:rPr>
          <w:rFonts w:cs="Calibri"/>
          <w:color w:val="000000"/>
          <w:lang w:val="fr-FR"/>
        </w:rPr>
        <w:t xml:space="preserve"> Sites </w:t>
      </w:r>
      <w:r w:rsidR="00304BDC" w:rsidRPr="00CF7824">
        <w:rPr>
          <w:rFonts w:cs="Calibri"/>
          <w:color w:val="000000"/>
          <w:lang w:val="fr-FR"/>
        </w:rPr>
        <w:t>d’importance internationale</w:t>
      </w:r>
      <w:r w:rsidRPr="00CF7824">
        <w:rPr>
          <w:rFonts w:cs="Calibri"/>
          <w:color w:val="000000"/>
          <w:lang w:val="fr-FR"/>
        </w:rPr>
        <w:t xml:space="preserve"> et les rapports nationaux sur la conservation des zones humides et des espèces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 xml:space="preserve">Convention sur les espèces migratrices et Plan stratégique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Convention sur la diversité biologique et Cadre mondial de la biodiversité (Cibles</w:t>
      </w:r>
      <w:r w:rsidR="001F19B5" w:rsidRPr="00CF7824">
        <w:rPr>
          <w:rFonts w:cs="Calibri"/>
          <w:color w:val="000000"/>
          <w:lang w:val="fr-FR"/>
        </w:rPr>
        <w:t> </w:t>
      </w:r>
      <w:r w:rsidRPr="00CF7824">
        <w:rPr>
          <w:rFonts w:cs="Calibri"/>
          <w:color w:val="000000"/>
          <w:lang w:val="fr-FR"/>
        </w:rPr>
        <w:t>3, 4 et 9)</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Convention sur le commerce international des espèces de faune et de flore sauvages menacées d</w:t>
      </w:r>
      <w:r w:rsidR="00016E39" w:rsidRPr="00CF7824">
        <w:rPr>
          <w:rFonts w:cs="Calibri"/>
          <w:color w:val="000000"/>
          <w:lang w:val="fr-FR"/>
        </w:rPr>
        <w:t>’</w:t>
      </w:r>
      <w:r w:rsidRPr="00CF7824">
        <w:rPr>
          <w:rFonts w:cs="Calibri"/>
          <w:color w:val="000000"/>
          <w:lang w:val="fr-FR"/>
        </w:rPr>
        <w:t xml:space="preserve">extinction (CITES) </w:t>
      </w:r>
    </w:p>
    <w:p w:rsidR="00456064" w:rsidRPr="00CF7824" w:rsidRDefault="00456064" w:rsidP="00456064">
      <w:pPr>
        <w:pBdr>
          <w:top w:val="nil"/>
          <w:left w:val="nil"/>
          <w:bottom w:val="nil"/>
          <w:right w:val="nil"/>
          <w:between w:val="nil"/>
        </w:pBdr>
        <w:spacing w:after="120"/>
        <w:rPr>
          <w:rFonts w:asciiTheme="minorHAnsi" w:eastAsia="Arial" w:hAnsiTheme="minorHAnsi" w:cstheme="minorHAnsi"/>
          <w:color w:val="000000"/>
          <w:lang w:val="fr-FR"/>
        </w:rPr>
      </w:pPr>
    </w:p>
    <w:p w:rsidR="00456064" w:rsidRPr="00CF7824" w:rsidRDefault="00164734" w:rsidP="00456064">
      <w:pPr>
        <w:pBdr>
          <w:top w:val="nil"/>
          <w:left w:val="nil"/>
          <w:bottom w:val="nil"/>
          <w:right w:val="nil"/>
          <w:between w:val="nil"/>
        </w:pBdr>
        <w:spacing w:after="120"/>
        <w:rPr>
          <w:rFonts w:asciiTheme="minorHAnsi" w:eastAsia="Arial" w:hAnsiTheme="minorHAnsi" w:cstheme="minorHAnsi"/>
          <w:color w:val="000000"/>
          <w:lang w:val="fr-FR"/>
        </w:rPr>
      </w:pPr>
      <w:r w:rsidRPr="00CF7824">
        <w:rPr>
          <w:rFonts w:cs="Calibri"/>
          <w:b/>
          <w:bCs/>
          <w:color w:val="000000"/>
          <w:lang w:val="fr-FR"/>
        </w:rPr>
        <w:t>Soutenir le développement d</w:t>
      </w:r>
      <w:r w:rsidR="00016E39" w:rsidRPr="00CF7824">
        <w:rPr>
          <w:rFonts w:cs="Calibri"/>
          <w:b/>
          <w:bCs/>
          <w:color w:val="000000"/>
          <w:lang w:val="fr-FR"/>
        </w:rPr>
        <w:t>’</w:t>
      </w:r>
      <w:r w:rsidRPr="00CF7824">
        <w:rPr>
          <w:rFonts w:cs="Calibri"/>
          <w:b/>
          <w:bCs/>
          <w:color w:val="000000"/>
          <w:lang w:val="fr-FR"/>
        </w:rPr>
        <w:t xml:space="preserve">accords et de traités sur les voies de migration/régions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Accord sur la conservation des oiseaux d</w:t>
      </w:r>
      <w:r w:rsidR="00016E39" w:rsidRPr="00CF7824">
        <w:rPr>
          <w:rFonts w:cs="Calibri"/>
          <w:color w:val="000000"/>
          <w:lang w:val="fr-FR"/>
        </w:rPr>
        <w:t>’</w:t>
      </w:r>
      <w:r w:rsidRPr="00CF7824">
        <w:rPr>
          <w:rFonts w:cs="Calibri"/>
          <w:color w:val="000000"/>
          <w:lang w:val="fr-FR"/>
        </w:rPr>
        <w:t>eau migrateurs d</w:t>
      </w:r>
      <w:r w:rsidR="00016E39" w:rsidRPr="00CF7824">
        <w:rPr>
          <w:rFonts w:cs="Calibri"/>
          <w:color w:val="000000"/>
          <w:lang w:val="fr-FR"/>
        </w:rPr>
        <w:t>’</w:t>
      </w:r>
      <w:r w:rsidRPr="00CF7824">
        <w:rPr>
          <w:rFonts w:cs="Calibri"/>
          <w:color w:val="000000"/>
          <w:lang w:val="fr-FR"/>
        </w:rPr>
        <w:t xml:space="preserve">Afrique-Eurasie (AEWA)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Convention relative à la conservation de la vie sauvage et du milieu naturel de l</w:t>
      </w:r>
      <w:r w:rsidR="00016E39" w:rsidRPr="00CF7824">
        <w:rPr>
          <w:rFonts w:cs="Calibri"/>
          <w:color w:val="000000"/>
          <w:lang w:val="fr-FR"/>
        </w:rPr>
        <w:t>’</w:t>
      </w:r>
      <w:r w:rsidRPr="00CF7824">
        <w:rPr>
          <w:rFonts w:cs="Calibri"/>
          <w:color w:val="000000"/>
          <w:lang w:val="fr-FR"/>
        </w:rPr>
        <w:t xml:space="preserve">Europe (Convention de Berne)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Partenariat pour la voie de migration Asie de l</w:t>
      </w:r>
      <w:r w:rsidR="00016E39" w:rsidRPr="00CF7824">
        <w:rPr>
          <w:rFonts w:cs="Calibri"/>
          <w:color w:val="000000"/>
          <w:lang w:val="fr-FR"/>
        </w:rPr>
        <w:t>’</w:t>
      </w:r>
      <w:r w:rsidRPr="00CF7824">
        <w:rPr>
          <w:rFonts w:cs="Calibri"/>
          <w:color w:val="000000"/>
          <w:lang w:val="fr-FR"/>
        </w:rPr>
        <w:t>Est-Australasie (EAAFP)</w:t>
      </w:r>
      <w:r w:rsidR="00016E39" w:rsidRPr="00CF7824">
        <w:rPr>
          <w:rFonts w:cs="Calibri"/>
          <w:color w:val="000000"/>
          <w:lang w:val="fr-FR"/>
        </w:rPr>
        <w:t xml:space="preserve">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 xml:space="preserve">Directive </w:t>
      </w:r>
      <w:r w:rsidR="00376BA1" w:rsidRPr="00CF7824">
        <w:rPr>
          <w:rFonts w:cs="Calibri"/>
          <w:color w:val="000000"/>
          <w:lang w:val="fr-FR"/>
        </w:rPr>
        <w:t>« </w:t>
      </w:r>
      <w:r w:rsidRPr="00CF7824">
        <w:rPr>
          <w:rFonts w:cs="Calibri"/>
          <w:color w:val="000000"/>
          <w:lang w:val="fr-FR"/>
        </w:rPr>
        <w:t>Oiseaux</w:t>
      </w:r>
      <w:r w:rsidR="00376BA1" w:rsidRPr="00CF7824">
        <w:rPr>
          <w:rFonts w:cs="Calibri"/>
          <w:color w:val="000000"/>
          <w:lang w:val="fr-FR"/>
        </w:rPr>
        <w:t> »</w:t>
      </w:r>
      <w:r w:rsidRPr="00CF7824">
        <w:rPr>
          <w:rFonts w:cs="Calibri"/>
          <w:color w:val="000000"/>
          <w:lang w:val="fr-FR"/>
        </w:rPr>
        <w:t xml:space="preserve"> de l</w:t>
      </w:r>
      <w:r w:rsidR="00016E39" w:rsidRPr="00CF7824">
        <w:rPr>
          <w:rFonts w:cs="Calibri"/>
          <w:color w:val="000000"/>
          <w:lang w:val="fr-FR"/>
        </w:rPr>
        <w:t>’</w:t>
      </w:r>
      <w:r w:rsidRPr="00CF7824">
        <w:rPr>
          <w:rFonts w:cs="Calibri"/>
          <w:color w:val="000000"/>
          <w:lang w:val="fr-FR"/>
        </w:rPr>
        <w:t xml:space="preserve">Union européenne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Réseau CMS de sites d</w:t>
      </w:r>
      <w:r w:rsidR="00016E39" w:rsidRPr="00CF7824">
        <w:rPr>
          <w:rFonts w:cs="Calibri"/>
          <w:color w:val="000000"/>
          <w:lang w:val="fr-FR"/>
        </w:rPr>
        <w:t>’</w:t>
      </w:r>
      <w:r w:rsidRPr="00CF7824">
        <w:rPr>
          <w:rFonts w:cs="Calibri"/>
          <w:color w:val="000000"/>
          <w:lang w:val="fr-FR"/>
        </w:rPr>
        <w:t>Asie de l</w:t>
      </w:r>
      <w:r w:rsidR="00016E39" w:rsidRPr="00CF7824">
        <w:rPr>
          <w:rFonts w:cs="Calibri"/>
          <w:color w:val="000000"/>
          <w:lang w:val="fr-FR"/>
        </w:rPr>
        <w:t>’</w:t>
      </w:r>
      <w:r w:rsidRPr="00CF7824">
        <w:rPr>
          <w:rFonts w:cs="Calibri"/>
          <w:color w:val="000000"/>
          <w:lang w:val="fr-FR"/>
        </w:rPr>
        <w:t>Ouest/Asie centrale pour les grues de Sibérie et les autres oiseaux d</w:t>
      </w:r>
      <w:r w:rsidR="00016E39" w:rsidRPr="00CF7824">
        <w:rPr>
          <w:rFonts w:cs="Calibri"/>
          <w:color w:val="000000"/>
          <w:lang w:val="fr-FR"/>
        </w:rPr>
        <w:t>’</w:t>
      </w:r>
      <w:r w:rsidRPr="00CF7824">
        <w:rPr>
          <w:rFonts w:cs="Calibri"/>
          <w:color w:val="000000"/>
          <w:lang w:val="fr-FR"/>
        </w:rPr>
        <w:t xml:space="preserve">eau (WCASN)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Réseau de réserves pour les oiseaux de rivage de l</w:t>
      </w:r>
      <w:r w:rsidR="00016E39" w:rsidRPr="00CF7824">
        <w:rPr>
          <w:rFonts w:cs="Calibri"/>
          <w:color w:val="000000"/>
          <w:lang w:val="fr-FR"/>
        </w:rPr>
        <w:t>’</w:t>
      </w:r>
      <w:r w:rsidRPr="00CF7824">
        <w:rPr>
          <w:rFonts w:cs="Calibri"/>
          <w:color w:val="000000"/>
          <w:lang w:val="fr-FR"/>
        </w:rPr>
        <w:t>hémisphère occidental</w:t>
      </w:r>
      <w:r w:rsidR="00304BDC" w:rsidRPr="00CF7824">
        <w:rPr>
          <w:rFonts w:cs="Calibri"/>
          <w:color w:val="000000"/>
          <w:lang w:val="fr-FR"/>
        </w:rPr>
        <w:t xml:space="preserve"> (WHSRN)</w:t>
      </w:r>
      <w:r w:rsidRPr="00CF7824">
        <w:rPr>
          <w:rFonts w:cs="Calibri"/>
          <w:color w:val="000000"/>
          <w:lang w:val="fr-FR"/>
        </w:rPr>
        <w:t xml:space="preserve"> </w:t>
      </w:r>
    </w:p>
    <w:p w:rsidR="00456064" w:rsidRPr="00CF7824" w:rsidRDefault="00456064" w:rsidP="00456064">
      <w:pPr>
        <w:pBdr>
          <w:top w:val="nil"/>
          <w:left w:val="nil"/>
          <w:bottom w:val="nil"/>
          <w:right w:val="nil"/>
          <w:between w:val="nil"/>
        </w:pBdr>
        <w:spacing w:after="120"/>
        <w:rPr>
          <w:rFonts w:asciiTheme="minorHAnsi" w:eastAsia="Arial" w:hAnsiTheme="minorHAnsi" w:cstheme="minorHAnsi"/>
          <w:color w:val="000000"/>
          <w:lang w:val="fr-FR"/>
        </w:rPr>
      </w:pPr>
    </w:p>
    <w:p w:rsidR="00456064" w:rsidRPr="00CF7824" w:rsidRDefault="00164734" w:rsidP="00456064">
      <w:pPr>
        <w:pBdr>
          <w:top w:val="nil"/>
          <w:left w:val="nil"/>
          <w:bottom w:val="nil"/>
          <w:right w:val="nil"/>
          <w:between w:val="nil"/>
        </w:pBdr>
        <w:spacing w:after="120"/>
        <w:rPr>
          <w:rFonts w:asciiTheme="minorHAnsi" w:eastAsia="Arial" w:hAnsiTheme="minorHAnsi" w:cstheme="minorHAnsi"/>
          <w:color w:val="000000"/>
        </w:rPr>
      </w:pPr>
      <w:r w:rsidRPr="00CF7824">
        <w:rPr>
          <w:rFonts w:cs="Calibri"/>
          <w:b/>
          <w:bCs/>
          <w:color w:val="000000"/>
          <w:lang w:val="fr-FR"/>
        </w:rPr>
        <w:t xml:space="preserve">Autres processus mondiaux/internationaux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 xml:space="preserve">Rapports nationaux sur les </w:t>
      </w:r>
      <w:r w:rsidR="00304BDC" w:rsidRPr="00CF7824">
        <w:rPr>
          <w:rFonts w:cs="Calibri"/>
          <w:color w:val="000000"/>
          <w:lang w:val="fr-FR"/>
        </w:rPr>
        <w:t>O</w:t>
      </w:r>
      <w:r w:rsidRPr="00CF7824">
        <w:rPr>
          <w:rFonts w:cs="Calibri"/>
          <w:color w:val="000000"/>
          <w:lang w:val="fr-FR"/>
        </w:rPr>
        <w:t xml:space="preserve">bjectifs du Cadre mondial de la biodiversité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Perspectives mondiales de la diversité biologique de la CDB, Rapport sur l</w:t>
      </w:r>
      <w:r w:rsidR="00016E39" w:rsidRPr="00CF7824">
        <w:rPr>
          <w:rFonts w:cs="Calibri"/>
          <w:color w:val="000000"/>
          <w:lang w:val="fr-FR"/>
        </w:rPr>
        <w:t>’</w:t>
      </w:r>
      <w:r w:rsidRPr="00CF7824">
        <w:rPr>
          <w:rFonts w:cs="Calibri"/>
          <w:color w:val="000000"/>
          <w:lang w:val="fr-FR"/>
        </w:rPr>
        <w:t>avenir de l</w:t>
      </w:r>
      <w:r w:rsidR="00016E39" w:rsidRPr="00CF7824">
        <w:rPr>
          <w:rFonts w:cs="Calibri"/>
          <w:color w:val="000000"/>
          <w:lang w:val="fr-FR"/>
        </w:rPr>
        <w:t>’</w:t>
      </w:r>
      <w:r w:rsidRPr="00CF7824">
        <w:rPr>
          <w:rFonts w:cs="Calibri"/>
          <w:color w:val="000000"/>
          <w:lang w:val="fr-FR"/>
        </w:rPr>
        <w:t>environnement mondial du PNUE (Rapport GEO), Perspectives mondiales des zones humides de la Convention de Ramsar.</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Liste rouge des espèces menacées de l</w:t>
      </w:r>
      <w:r w:rsidR="00016E39" w:rsidRPr="00CF7824">
        <w:rPr>
          <w:rFonts w:cs="Calibri"/>
          <w:color w:val="000000"/>
          <w:lang w:val="fr-FR"/>
        </w:rPr>
        <w:t>’</w:t>
      </w:r>
      <w:r w:rsidRPr="00CF7824">
        <w:rPr>
          <w:rFonts w:cs="Calibri"/>
          <w:color w:val="000000"/>
          <w:lang w:val="fr-FR"/>
        </w:rPr>
        <w:t>UICN</w:t>
      </w:r>
      <w:r w:rsidR="009D20C3" w:rsidRPr="00CF7824">
        <w:rPr>
          <w:rFonts w:cs="Calibri"/>
          <w:color w:val="000000"/>
          <w:lang w:val="fr-FR"/>
        </w:rPr>
        <w:t xml:space="preserve"> </w:t>
      </w:r>
      <w:r w:rsidRPr="00CF7824">
        <w:rPr>
          <w:rFonts w:cs="Calibri"/>
          <w:color w:val="000000"/>
          <w:lang w:val="fr-FR"/>
        </w:rPr>
        <w:t>(coordonnée par BirdLife International</w:t>
      </w:r>
      <w:r w:rsidR="009D20C3" w:rsidRPr="00CF7824">
        <w:rPr>
          <w:rFonts w:cs="Calibri"/>
          <w:color w:val="000000"/>
          <w:lang w:val="fr-FR"/>
        </w:rPr>
        <w:t xml:space="preserve"> pour les oiseaux</w:t>
      </w:r>
      <w:r w:rsidRPr="00CF7824">
        <w:rPr>
          <w:rFonts w:cs="Calibri"/>
          <w:color w:val="000000"/>
          <w:lang w:val="fr-FR"/>
        </w:rPr>
        <w:t>)</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Fiches d</w:t>
      </w:r>
      <w:r w:rsidR="00016E39" w:rsidRPr="00CF7824">
        <w:rPr>
          <w:rFonts w:cs="Calibri"/>
          <w:color w:val="000000"/>
          <w:lang w:val="fr-FR"/>
        </w:rPr>
        <w:t>’</w:t>
      </w:r>
      <w:r w:rsidRPr="00CF7824">
        <w:rPr>
          <w:rFonts w:cs="Calibri"/>
          <w:color w:val="000000"/>
          <w:lang w:val="fr-FR"/>
        </w:rPr>
        <w:t xml:space="preserve">information et évaluations des espèces de BirdLife International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Identification et suivi des Zones importantes pour la conservation des oiseaux (ZICO), des Zones clés pour la biodiversité (ZCB) et des sites Zéro extinction.</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Plans d</w:t>
      </w:r>
      <w:r w:rsidR="00016E39" w:rsidRPr="00CF7824">
        <w:rPr>
          <w:rFonts w:cs="Calibri"/>
          <w:color w:val="000000"/>
          <w:lang w:val="fr-FR"/>
        </w:rPr>
        <w:t>’</w:t>
      </w:r>
      <w:r w:rsidRPr="00CF7824">
        <w:rPr>
          <w:rFonts w:cs="Calibri"/>
          <w:color w:val="000000"/>
          <w:lang w:val="fr-FR"/>
        </w:rPr>
        <w:t>action pour la gestion des espèces, dont certains ont été élaborés dans des cadres mondiaux/régionaux,</w:t>
      </w:r>
      <w:r w:rsidR="00376BA1" w:rsidRPr="00CF7824">
        <w:rPr>
          <w:rFonts w:cs="Calibri"/>
          <w:color w:val="000000"/>
          <w:lang w:val="fr-FR"/>
        </w:rPr>
        <w:t xml:space="preserve"> </w:t>
      </w:r>
      <w:r w:rsidRPr="00CF7824">
        <w:rPr>
          <w:rFonts w:cs="Calibri"/>
          <w:color w:val="000000"/>
          <w:lang w:val="fr-FR"/>
        </w:rPr>
        <w:t>p. ex. la Convention sur les espèces migratrices, la Convention de Berne, l</w:t>
      </w:r>
      <w:r w:rsidR="00016E39" w:rsidRPr="00CF7824">
        <w:rPr>
          <w:rFonts w:cs="Calibri"/>
          <w:color w:val="000000"/>
          <w:lang w:val="fr-FR"/>
        </w:rPr>
        <w:t>’</w:t>
      </w:r>
      <w:r w:rsidRPr="00CF7824">
        <w:rPr>
          <w:rFonts w:cs="Calibri"/>
          <w:color w:val="000000"/>
          <w:lang w:val="fr-FR"/>
        </w:rPr>
        <w:t>AEWA, l</w:t>
      </w:r>
      <w:r w:rsidR="00016E39" w:rsidRPr="00CF7824">
        <w:rPr>
          <w:rFonts w:cs="Calibri"/>
          <w:color w:val="000000"/>
          <w:lang w:val="fr-FR"/>
        </w:rPr>
        <w:t>’</w:t>
      </w:r>
      <w:r w:rsidRPr="00CF7824">
        <w:rPr>
          <w:rFonts w:cs="Calibri"/>
          <w:color w:val="000000"/>
          <w:lang w:val="fr-FR"/>
        </w:rPr>
        <w:t>EAAFP et d</w:t>
      </w:r>
      <w:r w:rsidR="00016E39" w:rsidRPr="00CF7824">
        <w:rPr>
          <w:rFonts w:cs="Calibri"/>
          <w:color w:val="000000"/>
          <w:lang w:val="fr-FR"/>
        </w:rPr>
        <w:t>’</w:t>
      </w:r>
      <w:r w:rsidRPr="00CF7824">
        <w:rPr>
          <w:rFonts w:cs="Calibri"/>
          <w:color w:val="000000"/>
          <w:lang w:val="fr-FR"/>
        </w:rPr>
        <w:t>autres dans le cadre de l</w:t>
      </w:r>
      <w:r w:rsidR="00016E39" w:rsidRPr="00CF7824">
        <w:rPr>
          <w:rFonts w:cs="Calibri"/>
          <w:color w:val="000000"/>
          <w:lang w:val="fr-FR"/>
        </w:rPr>
        <w:t>’</w:t>
      </w:r>
      <w:r w:rsidRPr="00CF7824">
        <w:rPr>
          <w:rFonts w:cs="Calibri"/>
          <w:color w:val="000000"/>
          <w:lang w:val="fr-FR"/>
        </w:rPr>
        <w:t>UICN.</w:t>
      </w:r>
    </w:p>
    <w:p w:rsidR="00456064" w:rsidRPr="00CF7824" w:rsidRDefault="00456064" w:rsidP="00456064">
      <w:pPr>
        <w:pBdr>
          <w:top w:val="nil"/>
          <w:left w:val="nil"/>
          <w:bottom w:val="nil"/>
          <w:right w:val="nil"/>
          <w:between w:val="nil"/>
        </w:pBdr>
        <w:spacing w:after="120"/>
        <w:ind w:left="709"/>
        <w:rPr>
          <w:rFonts w:asciiTheme="minorHAnsi" w:eastAsia="Arial" w:hAnsiTheme="minorHAnsi" w:cstheme="minorHAnsi"/>
          <w:color w:val="000000"/>
          <w:lang w:val="fr-FR"/>
        </w:rPr>
      </w:pPr>
    </w:p>
    <w:p w:rsidR="00456064" w:rsidRPr="00CF7824" w:rsidRDefault="00164734" w:rsidP="00456064">
      <w:pPr>
        <w:pBdr>
          <w:top w:val="nil"/>
          <w:left w:val="nil"/>
          <w:bottom w:val="nil"/>
          <w:right w:val="nil"/>
          <w:between w:val="nil"/>
        </w:pBdr>
        <w:spacing w:after="120"/>
        <w:rPr>
          <w:rFonts w:asciiTheme="minorHAnsi" w:eastAsia="Arial" w:hAnsiTheme="minorHAnsi" w:cstheme="minorHAnsi"/>
          <w:color w:val="000000"/>
          <w:lang w:val="fr-FR"/>
        </w:rPr>
      </w:pPr>
      <w:r w:rsidRPr="00CF7824">
        <w:rPr>
          <w:rFonts w:cs="Calibri"/>
          <w:b/>
          <w:bCs/>
          <w:color w:val="000000"/>
          <w:lang w:val="fr-FR"/>
        </w:rPr>
        <w:t xml:space="preserve">Investisseurs privés dans des activités liées à la conservation de la biodiversité et/ou à la résilience climatique </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Sociétés privées de financement écologique et autres investisseurs</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CF7824">
        <w:rPr>
          <w:rFonts w:cs="Calibri"/>
          <w:color w:val="000000"/>
          <w:lang w:val="fr-FR"/>
        </w:rPr>
        <w:lastRenderedPageBreak/>
        <w:t>Prestataires de services financiers</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lang w:val="fr-FR"/>
        </w:rPr>
      </w:pPr>
      <w:r w:rsidRPr="00CF7824">
        <w:rPr>
          <w:rFonts w:cs="Calibri"/>
          <w:color w:val="000000"/>
          <w:lang w:val="fr-FR"/>
        </w:rPr>
        <w:t>Banques d</w:t>
      </w:r>
      <w:r w:rsidR="00016E39" w:rsidRPr="00CF7824">
        <w:rPr>
          <w:rFonts w:cs="Calibri"/>
          <w:color w:val="000000"/>
          <w:lang w:val="fr-FR"/>
        </w:rPr>
        <w:t>’</w:t>
      </w:r>
      <w:r w:rsidRPr="00CF7824">
        <w:rPr>
          <w:rFonts w:cs="Calibri"/>
          <w:color w:val="000000"/>
          <w:lang w:val="fr-FR"/>
        </w:rPr>
        <w:t>investissement dans les économies vertes</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CF7824">
        <w:rPr>
          <w:rFonts w:cs="Calibri"/>
          <w:color w:val="000000"/>
          <w:lang w:val="fr-FR"/>
        </w:rPr>
        <w:t>Bureaux d</w:t>
      </w:r>
      <w:r w:rsidR="00016E39" w:rsidRPr="00CF7824">
        <w:rPr>
          <w:rFonts w:cs="Calibri"/>
          <w:color w:val="000000"/>
          <w:lang w:val="fr-FR"/>
        </w:rPr>
        <w:t>’</w:t>
      </w:r>
      <w:r w:rsidRPr="00CF7824">
        <w:rPr>
          <w:rFonts w:cs="Calibri"/>
          <w:color w:val="000000"/>
          <w:lang w:val="fr-FR"/>
        </w:rPr>
        <w:t>études environnementales</w:t>
      </w:r>
    </w:p>
    <w:p w:rsidR="00456064" w:rsidRPr="00CF7824" w:rsidRDefault="0016473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CF7824">
        <w:rPr>
          <w:rFonts w:cs="Calibri"/>
          <w:color w:val="000000"/>
          <w:lang w:val="fr-FR"/>
        </w:rPr>
        <w:t>Entreprises et industrie</w:t>
      </w:r>
    </w:p>
    <w:p w:rsidR="00477F19" w:rsidRPr="00CF7824" w:rsidRDefault="00164734" w:rsidP="009D53AF">
      <w:pPr>
        <w:numPr>
          <w:ilvl w:val="0"/>
          <w:numId w:val="18"/>
        </w:numPr>
        <w:pBdr>
          <w:top w:val="nil"/>
          <w:left w:val="nil"/>
          <w:bottom w:val="nil"/>
          <w:right w:val="nil"/>
          <w:between w:val="nil"/>
        </w:pBdr>
        <w:spacing w:after="120"/>
        <w:ind w:left="426" w:hanging="426"/>
        <w:rPr>
          <w:rFonts w:asciiTheme="minorHAnsi" w:hAnsiTheme="minorHAnsi" w:cstheme="minorHAnsi"/>
          <w:b/>
          <w:sz w:val="24"/>
        </w:rPr>
      </w:pPr>
      <w:r w:rsidRPr="00CF7824">
        <w:rPr>
          <w:rFonts w:cs="Calibri"/>
          <w:color w:val="000000"/>
          <w:lang w:val="fr-FR"/>
        </w:rPr>
        <w:t>Développeurs</w:t>
      </w:r>
      <w:r w:rsidRPr="00CF7824">
        <w:rPr>
          <w:rFonts w:cs="Calibri"/>
          <w:color w:val="000000"/>
          <w:lang w:val="fr-FR"/>
        </w:rPr>
        <w:br w:type="page"/>
      </w:r>
    </w:p>
    <w:p w:rsidR="00272E40" w:rsidRPr="00CF7824" w:rsidRDefault="00164734" w:rsidP="00365301">
      <w:pPr>
        <w:rPr>
          <w:rFonts w:cs="Arial"/>
          <w:b/>
          <w:sz w:val="24"/>
          <w:szCs w:val="24"/>
          <w:lang w:val="fr-FR"/>
        </w:rPr>
      </w:pPr>
      <w:bookmarkStart w:id="23" w:name="_Toc159848065"/>
      <w:r w:rsidRPr="00CF7824">
        <w:rPr>
          <w:rFonts w:cs="Arial"/>
          <w:b/>
          <w:bCs/>
          <w:sz w:val="24"/>
          <w:szCs w:val="24"/>
          <w:lang w:val="fr-FR"/>
        </w:rPr>
        <w:lastRenderedPageBreak/>
        <w:t>Annexe</w:t>
      </w:r>
      <w:r w:rsidR="001F19B5" w:rsidRPr="00CF7824">
        <w:rPr>
          <w:rFonts w:cs="Arial"/>
          <w:b/>
          <w:bCs/>
          <w:sz w:val="24"/>
          <w:szCs w:val="24"/>
          <w:lang w:val="fr-FR"/>
        </w:rPr>
        <w:t> </w:t>
      </w:r>
      <w:r w:rsidRPr="00CF7824">
        <w:rPr>
          <w:rFonts w:cs="Arial"/>
          <w:b/>
          <w:bCs/>
          <w:sz w:val="24"/>
          <w:szCs w:val="24"/>
          <w:lang w:val="fr-FR"/>
        </w:rPr>
        <w:t>4</w:t>
      </w:r>
    </w:p>
    <w:p w:rsidR="00AA3E96" w:rsidRPr="00CF7824" w:rsidRDefault="00164734" w:rsidP="00506417">
      <w:pPr>
        <w:rPr>
          <w:rFonts w:cs="Arial"/>
          <w:b/>
          <w:sz w:val="24"/>
          <w:szCs w:val="24"/>
          <w:lang w:val="fr-FR"/>
        </w:rPr>
      </w:pPr>
      <w:r w:rsidRPr="00CF7824">
        <w:rPr>
          <w:rFonts w:cs="Arial"/>
          <w:b/>
          <w:bCs/>
          <w:sz w:val="24"/>
          <w:szCs w:val="24"/>
          <w:lang w:val="fr-FR"/>
        </w:rPr>
        <w:t>Proposition de mode opératoire</w:t>
      </w:r>
      <w:r w:rsidR="00016E39" w:rsidRPr="00CF7824">
        <w:rPr>
          <w:rFonts w:cs="Arial"/>
          <w:b/>
          <w:bCs/>
          <w:sz w:val="24"/>
          <w:szCs w:val="24"/>
          <w:lang w:val="fr-FR"/>
        </w:rPr>
        <w:t xml:space="preserve"> </w:t>
      </w:r>
      <w:r w:rsidRPr="00CF7824">
        <w:rPr>
          <w:rFonts w:cs="Arial"/>
          <w:b/>
          <w:bCs/>
          <w:sz w:val="24"/>
          <w:szCs w:val="24"/>
          <w:lang w:val="fr-FR"/>
        </w:rPr>
        <w:t xml:space="preserve">du </w:t>
      </w:r>
      <w:r w:rsidR="00376BA1" w:rsidRPr="00CF7824">
        <w:rPr>
          <w:rFonts w:cs="Arial"/>
          <w:b/>
          <w:bCs/>
          <w:sz w:val="24"/>
          <w:szCs w:val="24"/>
          <w:lang w:val="fr-FR"/>
        </w:rPr>
        <w:t>« </w:t>
      </w:r>
      <w:r w:rsidRPr="00CF7824">
        <w:rPr>
          <w:rFonts w:cs="Arial"/>
          <w:b/>
          <w:bCs/>
          <w:sz w:val="24"/>
          <w:szCs w:val="24"/>
          <w:lang w:val="fr-FR"/>
        </w:rPr>
        <w:t>Partenariat pour l</w:t>
      </w:r>
      <w:r w:rsidR="00016E39" w:rsidRPr="00CF7824">
        <w:rPr>
          <w:rFonts w:cs="Arial"/>
          <w:b/>
          <w:bCs/>
          <w:sz w:val="24"/>
          <w:szCs w:val="24"/>
          <w:lang w:val="fr-FR"/>
        </w:rPr>
        <w:t>’</w:t>
      </w:r>
      <w:r w:rsidRPr="00CF7824">
        <w:rPr>
          <w:rFonts w:cs="Arial"/>
          <w:b/>
          <w:bCs/>
          <w:sz w:val="24"/>
          <w:szCs w:val="24"/>
          <w:lang w:val="fr-FR"/>
        </w:rPr>
        <w:t>estimation des oiseaux d</w:t>
      </w:r>
      <w:r w:rsidR="00016E39" w:rsidRPr="00CF7824">
        <w:rPr>
          <w:rFonts w:cs="Arial"/>
          <w:b/>
          <w:bCs/>
          <w:sz w:val="24"/>
          <w:szCs w:val="24"/>
          <w:lang w:val="fr-FR"/>
        </w:rPr>
        <w:t>’</w:t>
      </w:r>
      <w:r w:rsidRPr="00CF7824">
        <w:rPr>
          <w:rFonts w:cs="Arial"/>
          <w:b/>
          <w:bCs/>
          <w:sz w:val="24"/>
          <w:szCs w:val="24"/>
          <w:lang w:val="fr-FR"/>
        </w:rPr>
        <w:t>eau</w:t>
      </w:r>
      <w:bookmarkEnd w:id="23"/>
      <w:r w:rsidR="00376BA1" w:rsidRPr="00CF7824">
        <w:rPr>
          <w:rFonts w:cs="Arial"/>
          <w:b/>
          <w:bCs/>
          <w:sz w:val="24"/>
          <w:szCs w:val="24"/>
          <w:lang w:val="fr-FR"/>
        </w:rPr>
        <w:t> »</w:t>
      </w:r>
    </w:p>
    <w:p w:rsidR="00AA3E96" w:rsidRPr="00CF7824" w:rsidRDefault="00AA3E96" w:rsidP="00AA3E96">
      <w:pPr>
        <w:rPr>
          <w:rFonts w:asciiTheme="minorHAnsi" w:hAnsiTheme="minorHAnsi" w:cstheme="minorHAnsi"/>
          <w:lang w:val="fr-FR"/>
        </w:rPr>
      </w:pPr>
    </w:p>
    <w:p w:rsidR="00F7073F" w:rsidRPr="00CF7824" w:rsidRDefault="003C4D84" w:rsidP="00647584">
      <w:pPr>
        <w:ind w:left="0" w:firstLine="1"/>
        <w:rPr>
          <w:rFonts w:asciiTheme="minorHAnsi" w:eastAsia="Arial" w:hAnsiTheme="minorHAnsi" w:cstheme="minorHAnsi"/>
          <w:lang w:val="fr-FR"/>
        </w:rPr>
      </w:pPr>
      <w:r w:rsidRPr="00CF7824">
        <w:rPr>
          <w:rFonts w:cs="Calibri"/>
          <w:lang w:val="fr-FR"/>
        </w:rPr>
        <w:t>La présente</w:t>
      </w:r>
      <w:r w:rsidR="00164734" w:rsidRPr="00CF7824">
        <w:rPr>
          <w:rFonts w:cs="Calibri"/>
          <w:lang w:val="fr-FR"/>
        </w:rPr>
        <w:t xml:space="preserve"> annexe décrit </w:t>
      </w:r>
      <w:r w:rsidR="00BE7604" w:rsidRPr="00CF7824">
        <w:rPr>
          <w:rFonts w:cs="Calibri"/>
          <w:lang w:val="fr-FR"/>
        </w:rPr>
        <w:t xml:space="preserve">à titre indicatif </w:t>
      </w:r>
      <w:r w:rsidR="00164734" w:rsidRPr="00CF7824">
        <w:rPr>
          <w:rFonts w:cs="Calibri"/>
          <w:lang w:val="fr-FR"/>
        </w:rPr>
        <w:t>les termes d</w:t>
      </w:r>
      <w:r w:rsidR="00016E39" w:rsidRPr="00CF7824">
        <w:rPr>
          <w:rFonts w:cs="Calibri"/>
          <w:lang w:val="fr-FR"/>
        </w:rPr>
        <w:t>’</w:t>
      </w:r>
      <w:r w:rsidR="00164734" w:rsidRPr="00CF7824">
        <w:rPr>
          <w:rFonts w:cs="Calibri"/>
          <w:lang w:val="fr-FR"/>
        </w:rPr>
        <w:t>un accord pour un partenariat mondial qui soutiendra</w:t>
      </w:r>
      <w:r w:rsidR="00BE7604" w:rsidRPr="00CF7824">
        <w:rPr>
          <w:rFonts w:cs="Calibri"/>
          <w:lang w:val="fr-FR"/>
        </w:rPr>
        <w:t>it</w:t>
      </w:r>
      <w:r w:rsidR="00164734" w:rsidRPr="00CF7824">
        <w:rPr>
          <w:rFonts w:cs="Calibri"/>
          <w:lang w:val="fr-FR"/>
        </w:rPr>
        <w:t xml:space="preserve"> la fourniture d</w:t>
      </w:r>
      <w:r w:rsidR="00016E39" w:rsidRPr="00CF7824">
        <w:rPr>
          <w:rFonts w:cs="Calibri"/>
          <w:lang w:val="fr-FR"/>
        </w:rPr>
        <w:t>’</w:t>
      </w:r>
      <w:r w:rsidR="00164734" w:rsidRPr="00CF7824">
        <w:rPr>
          <w:rFonts w:cs="Calibri"/>
          <w:lang w:val="fr-FR"/>
        </w:rPr>
        <w:t>informations actualisées sur les oiseaux d</w:t>
      </w:r>
      <w:r w:rsidR="00016E39" w:rsidRPr="00CF7824">
        <w:rPr>
          <w:rFonts w:cs="Calibri"/>
          <w:lang w:val="fr-FR"/>
        </w:rPr>
        <w:t>’</w:t>
      </w:r>
      <w:r w:rsidR="00164734" w:rsidRPr="00CF7824">
        <w:rPr>
          <w:rFonts w:cs="Calibri"/>
          <w:lang w:val="fr-FR"/>
        </w:rPr>
        <w:t>eau pour les critères quantitatifs relatifs aux zones humides d</w:t>
      </w:r>
      <w:r w:rsidR="00016E39" w:rsidRPr="00CF7824">
        <w:rPr>
          <w:rFonts w:cs="Calibri"/>
          <w:lang w:val="fr-FR"/>
        </w:rPr>
        <w:t>’</w:t>
      </w:r>
      <w:r w:rsidR="00164734" w:rsidRPr="00CF7824">
        <w:rPr>
          <w:rFonts w:cs="Calibri"/>
          <w:lang w:val="fr-FR"/>
        </w:rPr>
        <w:t>importance internationale. L</w:t>
      </w:r>
      <w:r w:rsidR="00016E39" w:rsidRPr="00CF7824">
        <w:rPr>
          <w:rFonts w:cs="Calibri"/>
          <w:lang w:val="fr-FR"/>
        </w:rPr>
        <w:t>’</w:t>
      </w:r>
      <w:r w:rsidR="00164734" w:rsidRPr="00CF7824">
        <w:rPr>
          <w:rFonts w:cs="Calibri"/>
          <w:lang w:val="fr-FR"/>
        </w:rPr>
        <w:t xml:space="preserve">objectif de </w:t>
      </w:r>
      <w:r w:rsidR="00BE7604" w:rsidRPr="00CF7824">
        <w:rPr>
          <w:rFonts w:cs="Calibri"/>
          <w:lang w:val="fr-FR"/>
        </w:rPr>
        <w:t xml:space="preserve">cette </w:t>
      </w:r>
      <w:r w:rsidR="00164734" w:rsidRPr="00CF7824">
        <w:rPr>
          <w:rFonts w:cs="Calibri"/>
          <w:lang w:val="fr-FR"/>
        </w:rPr>
        <w:t>annexe</w:t>
      </w:r>
      <w:r w:rsidR="00BE7604" w:rsidRPr="00CF7824">
        <w:rPr>
          <w:rFonts w:cs="Calibri"/>
          <w:lang w:val="fr-FR"/>
        </w:rPr>
        <w:t xml:space="preserve"> </w:t>
      </w:r>
      <w:r w:rsidR="00164734" w:rsidRPr="00CF7824">
        <w:rPr>
          <w:rFonts w:cs="Calibri"/>
          <w:lang w:val="fr-FR"/>
        </w:rPr>
        <w:t>est d</w:t>
      </w:r>
      <w:r w:rsidR="00016E39" w:rsidRPr="00CF7824">
        <w:rPr>
          <w:rFonts w:cs="Calibri"/>
          <w:lang w:val="fr-FR"/>
        </w:rPr>
        <w:t>’</w:t>
      </w:r>
      <w:r w:rsidR="00164734" w:rsidRPr="00CF7824">
        <w:rPr>
          <w:rFonts w:cs="Calibri"/>
          <w:lang w:val="fr-FR"/>
        </w:rPr>
        <w:t xml:space="preserve">illustrer les dispositions du </w:t>
      </w:r>
      <w:r w:rsidR="000E2DFE" w:rsidRPr="00CF7824">
        <w:rPr>
          <w:rFonts w:cs="Calibri"/>
          <w:lang w:val="fr-FR"/>
        </w:rPr>
        <w:t xml:space="preserve">Partenariat </w:t>
      </w:r>
      <w:r w:rsidR="00164734" w:rsidRPr="00CF7824">
        <w:rPr>
          <w:rFonts w:cs="Calibri"/>
          <w:lang w:val="fr-FR"/>
        </w:rPr>
        <w:t>qui pourraient s</w:t>
      </w:r>
      <w:r w:rsidR="00016E39" w:rsidRPr="00CF7824">
        <w:rPr>
          <w:rFonts w:cs="Calibri"/>
          <w:lang w:val="fr-FR"/>
        </w:rPr>
        <w:t>’</w:t>
      </w:r>
      <w:r w:rsidR="00164734" w:rsidRPr="00CF7824">
        <w:rPr>
          <w:rFonts w:cs="Calibri"/>
          <w:lang w:val="fr-FR"/>
        </w:rPr>
        <w:t>avérer nécessaires pour mettre en œuvre les recommandations techniques relatives à la mise à jour des WPE dans plusieurs voies de migr</w:t>
      </w:r>
      <w:r w:rsidR="00BA4B2D">
        <w:rPr>
          <w:rFonts w:cs="Calibri"/>
          <w:lang w:val="fr-FR"/>
        </w:rPr>
        <w:t>ation et régions géographiques.</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rPr>
          <w:rFonts w:asciiTheme="minorHAnsi" w:eastAsia="Arial" w:hAnsiTheme="minorHAnsi" w:cstheme="minorHAnsi"/>
          <w:b/>
        </w:rPr>
      </w:pPr>
      <w:r w:rsidRPr="00CF7824">
        <w:rPr>
          <w:rFonts w:cs="Calibri"/>
          <w:b/>
          <w:bCs/>
          <w:lang w:val="fr-FR"/>
        </w:rPr>
        <w:t>Contexte</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La Convention sur les zones humides a adopté neuf critères pour identifier les zones humides d</w:t>
      </w:r>
      <w:r w:rsidR="00016E39" w:rsidRPr="00CF7824">
        <w:rPr>
          <w:rFonts w:cs="Calibri"/>
          <w:color w:val="000000"/>
          <w:lang w:val="fr-FR"/>
        </w:rPr>
        <w:t>’</w:t>
      </w:r>
      <w:r w:rsidRPr="00CF7824">
        <w:rPr>
          <w:rFonts w:cs="Calibri"/>
          <w:color w:val="000000"/>
          <w:lang w:val="fr-FR"/>
        </w:rPr>
        <w:t>importance internationale en vue d</w:t>
      </w:r>
      <w:r w:rsidR="00016E39" w:rsidRPr="00CF7824">
        <w:rPr>
          <w:rFonts w:cs="Calibri"/>
          <w:color w:val="000000"/>
          <w:lang w:val="fr-FR"/>
        </w:rPr>
        <w:t>’</w:t>
      </w:r>
      <w:r w:rsidRPr="00CF7824">
        <w:rPr>
          <w:rFonts w:cs="Calibri"/>
          <w:color w:val="000000"/>
          <w:lang w:val="fr-FR"/>
        </w:rPr>
        <w:t>une éventuelle inscription en tant que site Ramsar. Le Critère</w:t>
      </w:r>
      <w:r w:rsidR="001F19B5" w:rsidRPr="00CF7824">
        <w:rPr>
          <w:rFonts w:cs="Calibri"/>
          <w:color w:val="000000"/>
          <w:lang w:val="fr-FR"/>
        </w:rPr>
        <w:t> </w:t>
      </w:r>
      <w:r w:rsidRPr="00CF7824">
        <w:rPr>
          <w:rFonts w:cs="Calibri"/>
          <w:color w:val="000000"/>
          <w:lang w:val="fr-FR"/>
        </w:rPr>
        <w:t>6 permet d</w:t>
      </w:r>
      <w:r w:rsidR="00016E39" w:rsidRPr="00CF7824">
        <w:rPr>
          <w:rFonts w:cs="Calibri"/>
          <w:color w:val="000000"/>
          <w:lang w:val="fr-FR"/>
        </w:rPr>
        <w:t>’</w:t>
      </w:r>
      <w:r w:rsidRPr="00CF7824">
        <w:rPr>
          <w:rFonts w:cs="Calibri"/>
          <w:color w:val="000000"/>
          <w:lang w:val="fr-FR"/>
        </w:rPr>
        <w:t>identifier les zones humides d</w:t>
      </w:r>
      <w:r w:rsidR="00016E39" w:rsidRPr="00CF7824">
        <w:rPr>
          <w:rFonts w:cs="Calibri"/>
          <w:color w:val="000000"/>
          <w:lang w:val="fr-FR"/>
        </w:rPr>
        <w:t>’</w:t>
      </w:r>
      <w:r w:rsidRPr="00CF7824">
        <w:rPr>
          <w:rFonts w:cs="Calibri"/>
          <w:color w:val="000000"/>
          <w:lang w:val="fr-FR"/>
        </w:rPr>
        <w:t>importance internationale sur la base d</w:t>
      </w:r>
      <w:r w:rsidR="00016E39" w:rsidRPr="00CF7824">
        <w:rPr>
          <w:rFonts w:cs="Calibri"/>
          <w:color w:val="000000"/>
          <w:lang w:val="fr-FR"/>
        </w:rPr>
        <w:t>’</w:t>
      </w:r>
      <w:r w:rsidRPr="00CF7824">
        <w:rPr>
          <w:rFonts w:cs="Calibri"/>
          <w:color w:val="000000"/>
          <w:lang w:val="fr-FR"/>
        </w:rPr>
        <w:t>approches quantitatives, essentiellement en fonction de la proportion d</w:t>
      </w:r>
      <w:r w:rsidR="00016E39" w:rsidRPr="00CF7824">
        <w:rPr>
          <w:rFonts w:cs="Calibri"/>
          <w:color w:val="000000"/>
          <w:lang w:val="fr-FR"/>
        </w:rPr>
        <w:t>’</w:t>
      </w:r>
      <w:r w:rsidRPr="00CF7824">
        <w:rPr>
          <w:rFonts w:cs="Calibri"/>
          <w:color w:val="000000"/>
          <w:lang w:val="fr-FR"/>
        </w:rPr>
        <w:t>une population biogéographique abrit</w:t>
      </w:r>
      <w:r w:rsidR="001A471F" w:rsidRPr="00CF7824">
        <w:rPr>
          <w:rFonts w:cs="Calibri"/>
          <w:color w:val="000000"/>
          <w:lang w:val="fr-FR"/>
        </w:rPr>
        <w:t>ée par</w:t>
      </w:r>
      <w:r w:rsidRPr="00CF7824">
        <w:rPr>
          <w:rFonts w:cs="Calibri"/>
          <w:color w:val="000000"/>
          <w:lang w:val="fr-FR"/>
        </w:rPr>
        <w:t xml:space="preserve"> la zone humide. </w:t>
      </w:r>
      <w:r w:rsidR="001A471F" w:rsidRPr="00CF7824">
        <w:rPr>
          <w:rFonts w:cs="Calibri"/>
          <w:color w:val="000000"/>
          <w:lang w:val="fr-FR"/>
        </w:rPr>
        <w:t>Il s’agit des s</w:t>
      </w:r>
      <w:r w:rsidRPr="00CF7824">
        <w:rPr>
          <w:rFonts w:cs="Calibri"/>
          <w:color w:val="000000"/>
          <w:lang w:val="fr-FR"/>
        </w:rPr>
        <w:t>ites abritant régulièrement plus de 1% d</w:t>
      </w:r>
      <w:r w:rsidR="00016E39" w:rsidRPr="00CF7824">
        <w:rPr>
          <w:rFonts w:cs="Calibri"/>
          <w:color w:val="000000"/>
          <w:lang w:val="fr-FR"/>
        </w:rPr>
        <w:t>’</w:t>
      </w:r>
      <w:r w:rsidRPr="00CF7824">
        <w:rPr>
          <w:rFonts w:cs="Calibri"/>
          <w:color w:val="000000"/>
          <w:lang w:val="fr-FR"/>
        </w:rPr>
        <w:t>une population biogéographique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(Critère</w:t>
      </w:r>
      <w:r w:rsidR="001F19B5" w:rsidRPr="00CF7824">
        <w:rPr>
          <w:rFonts w:cs="Calibri"/>
          <w:color w:val="000000"/>
          <w:lang w:val="fr-FR"/>
        </w:rPr>
        <w:t> </w:t>
      </w:r>
      <w:r w:rsidRPr="00CF7824">
        <w:rPr>
          <w:rFonts w:cs="Calibri"/>
          <w:color w:val="000000"/>
          <w:lang w:val="fr-FR"/>
        </w:rPr>
        <w:t xml:space="preserve">6). </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L</w:t>
      </w:r>
      <w:r w:rsidR="00016E39" w:rsidRPr="00CF7824">
        <w:rPr>
          <w:rFonts w:cs="Calibri"/>
          <w:color w:val="000000"/>
          <w:lang w:val="fr-FR"/>
        </w:rPr>
        <w:t>’</w:t>
      </w:r>
      <w:r w:rsidRPr="00CF7824">
        <w:rPr>
          <w:rFonts w:cs="Calibri"/>
          <w:color w:val="000000"/>
          <w:lang w:val="fr-FR"/>
        </w:rPr>
        <w:t>application du Critère</w:t>
      </w:r>
      <w:r w:rsidR="001F19B5" w:rsidRPr="00CF7824">
        <w:rPr>
          <w:rFonts w:cs="Calibri"/>
          <w:color w:val="000000"/>
          <w:lang w:val="fr-FR"/>
        </w:rPr>
        <w:t> </w:t>
      </w:r>
      <w:r w:rsidRPr="00CF7824">
        <w:rPr>
          <w:rFonts w:cs="Calibri"/>
          <w:color w:val="000000"/>
          <w:lang w:val="fr-FR"/>
        </w:rPr>
        <w:t>6 dépend de la disponibilité de données quantitatives concernant la zone humide en question et d</w:t>
      </w:r>
      <w:r w:rsidR="00016E39" w:rsidRPr="00CF7824">
        <w:rPr>
          <w:rFonts w:cs="Calibri"/>
          <w:color w:val="000000"/>
          <w:lang w:val="fr-FR"/>
        </w:rPr>
        <w:t>’</w:t>
      </w:r>
      <w:r w:rsidRPr="00CF7824">
        <w:rPr>
          <w:rFonts w:cs="Calibri"/>
          <w:color w:val="000000"/>
          <w:lang w:val="fr-FR"/>
        </w:rPr>
        <w:t xml:space="preserve">informations récentes sur la taille de la population internationale concernée. </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Pour les oiseaux d</w:t>
      </w:r>
      <w:r w:rsidR="00016E39" w:rsidRPr="00CF7824">
        <w:rPr>
          <w:rFonts w:cs="Calibri"/>
          <w:color w:val="000000"/>
          <w:lang w:val="fr-FR"/>
        </w:rPr>
        <w:t>’</w:t>
      </w:r>
      <w:r w:rsidRPr="00CF7824">
        <w:rPr>
          <w:rFonts w:cs="Calibri"/>
          <w:color w:val="000000"/>
          <w:lang w:val="fr-FR"/>
        </w:rPr>
        <w:t xml:space="preserve">eau, les informations sur les populations biogéographiques internationales sont fournies par la publication </w:t>
      </w:r>
      <w:r w:rsidRPr="00CF7824">
        <w:rPr>
          <w:rFonts w:cs="Calibri"/>
          <w:i/>
          <w:iCs/>
          <w:color w:val="000000"/>
          <w:lang w:val="fr-FR"/>
        </w:rPr>
        <w:t xml:space="preserve">Waterbird Population Estimates </w:t>
      </w:r>
      <w:r w:rsidR="001A471F" w:rsidRPr="00CF7824">
        <w:rPr>
          <w:rFonts w:cs="Calibri"/>
          <w:i/>
          <w:iCs/>
          <w:color w:val="000000"/>
          <w:lang w:val="fr-FR"/>
        </w:rPr>
        <w:t xml:space="preserve"> </w:t>
      </w:r>
      <w:r w:rsidR="001A471F" w:rsidRPr="00CF7824">
        <w:rPr>
          <w:rFonts w:cs="Calibri"/>
          <w:iCs/>
          <w:color w:val="000000"/>
          <w:lang w:val="fr-FR"/>
        </w:rPr>
        <w:t>qui est</w:t>
      </w:r>
      <w:r w:rsidR="001A471F" w:rsidRPr="00CF7824">
        <w:rPr>
          <w:rFonts w:cs="Calibri"/>
          <w:i/>
          <w:iCs/>
          <w:color w:val="000000"/>
          <w:lang w:val="fr-FR"/>
        </w:rPr>
        <w:t xml:space="preserve"> </w:t>
      </w:r>
      <w:r w:rsidRPr="00CF7824">
        <w:rPr>
          <w:rFonts w:cs="Calibri"/>
          <w:color w:val="000000"/>
          <w:lang w:val="fr-FR"/>
        </w:rPr>
        <w:t>disponible sur le Waterbird Populations Portal géré par Wetlands International.</w:t>
      </w:r>
    </w:p>
    <w:p w:rsidR="00F7073F" w:rsidRPr="00CF7824" w:rsidRDefault="001A471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Dans p</w:t>
      </w:r>
      <w:r w:rsidR="00164734" w:rsidRPr="00CF7824">
        <w:rPr>
          <w:rFonts w:cs="Calibri"/>
          <w:color w:val="000000"/>
          <w:lang w:val="fr-FR"/>
        </w:rPr>
        <w:t>lusieurs résolutions adoptées</w:t>
      </w:r>
      <w:r w:rsidRPr="00CF7824">
        <w:rPr>
          <w:rFonts w:cs="Calibri"/>
          <w:color w:val="000000"/>
          <w:lang w:val="fr-FR"/>
        </w:rPr>
        <w:t>, il est</w:t>
      </w:r>
      <w:r w:rsidR="00164734" w:rsidRPr="00CF7824">
        <w:rPr>
          <w:rFonts w:cs="Calibri"/>
          <w:color w:val="000000"/>
          <w:lang w:val="fr-FR"/>
        </w:rPr>
        <w:t xml:space="preserve"> demand</w:t>
      </w:r>
      <w:r w:rsidRPr="00CF7824">
        <w:rPr>
          <w:rFonts w:cs="Calibri"/>
          <w:color w:val="000000"/>
          <w:lang w:val="fr-FR"/>
        </w:rPr>
        <w:t>é</w:t>
      </w:r>
      <w:r w:rsidR="00164734" w:rsidRPr="00CF7824">
        <w:rPr>
          <w:rFonts w:cs="Calibri"/>
          <w:color w:val="000000"/>
          <w:lang w:val="fr-FR"/>
        </w:rPr>
        <w:t xml:space="preserve"> aux Parties à la Convention sur les zones humides d</w:t>
      </w:r>
      <w:r w:rsidR="00016E39" w:rsidRPr="00CF7824">
        <w:rPr>
          <w:rFonts w:cs="Calibri"/>
          <w:color w:val="000000"/>
          <w:lang w:val="fr-FR"/>
        </w:rPr>
        <w:t>’</w:t>
      </w:r>
      <w:r w:rsidR="00164734" w:rsidRPr="00CF7824">
        <w:rPr>
          <w:rFonts w:cs="Calibri"/>
          <w:color w:val="000000"/>
          <w:lang w:val="fr-FR"/>
        </w:rPr>
        <w:t>organiser un suivi régulier et de fournir des ressources pour la production de mises à jour régulières afin de garantir que les informations les plus récentes sont disponibles pour l</w:t>
      </w:r>
      <w:r w:rsidR="00016E39" w:rsidRPr="00CF7824">
        <w:rPr>
          <w:rFonts w:cs="Calibri"/>
          <w:color w:val="000000"/>
          <w:lang w:val="fr-FR"/>
        </w:rPr>
        <w:t>’</w:t>
      </w:r>
      <w:r w:rsidR="00164734" w:rsidRPr="00CF7824">
        <w:rPr>
          <w:rFonts w:cs="Calibri"/>
          <w:color w:val="000000"/>
          <w:lang w:val="fr-FR"/>
        </w:rPr>
        <w:t>inscription des sites, la gestion et les mesures de conservation des espèces (voir l</w:t>
      </w:r>
      <w:r w:rsidR="00016E39" w:rsidRPr="00CF7824">
        <w:rPr>
          <w:rFonts w:cs="Calibri"/>
          <w:color w:val="000000"/>
          <w:lang w:val="fr-FR"/>
        </w:rPr>
        <w:t>’</w:t>
      </w:r>
      <w:r w:rsidR="00164734" w:rsidRPr="00CF7824">
        <w:rPr>
          <w:rFonts w:cs="Calibri"/>
          <w:color w:val="000000"/>
          <w:lang w:val="fr-FR"/>
        </w:rPr>
        <w:t>annexe</w:t>
      </w:r>
      <w:r w:rsidR="001F19B5" w:rsidRPr="00CF7824">
        <w:rPr>
          <w:rFonts w:cs="Calibri"/>
          <w:color w:val="000000"/>
          <w:lang w:val="fr-FR"/>
        </w:rPr>
        <w:t> </w:t>
      </w:r>
      <w:r w:rsidR="00164734" w:rsidRPr="00CF7824">
        <w:rPr>
          <w:rFonts w:cs="Calibri"/>
          <w:color w:val="000000"/>
          <w:lang w:val="fr-FR"/>
        </w:rPr>
        <w:t>3). En outre, de nombreuses résolutions et décisions de la CMS, de l</w:t>
      </w:r>
      <w:r w:rsidR="00016E39" w:rsidRPr="00CF7824">
        <w:rPr>
          <w:rFonts w:cs="Calibri"/>
          <w:color w:val="000000"/>
          <w:lang w:val="fr-FR"/>
        </w:rPr>
        <w:t>’</w:t>
      </w:r>
      <w:r w:rsidR="00164734" w:rsidRPr="00CF7824">
        <w:rPr>
          <w:rFonts w:cs="Calibri"/>
          <w:color w:val="000000"/>
          <w:lang w:val="fr-FR"/>
        </w:rPr>
        <w:t>AEWA et de l</w:t>
      </w:r>
      <w:r w:rsidR="00016E39" w:rsidRPr="00CF7824">
        <w:rPr>
          <w:rFonts w:cs="Calibri"/>
          <w:color w:val="000000"/>
          <w:lang w:val="fr-FR"/>
        </w:rPr>
        <w:t>’</w:t>
      </w:r>
      <w:r w:rsidR="00164734" w:rsidRPr="00CF7824">
        <w:rPr>
          <w:rFonts w:cs="Calibri"/>
          <w:color w:val="000000"/>
          <w:lang w:val="fr-FR"/>
        </w:rPr>
        <w:t>EAAFP appellent à maintenir des mises à jour des estimations des populations pour informer des processus similaires (voir l</w:t>
      </w:r>
      <w:r w:rsidR="00016E39" w:rsidRPr="00CF7824">
        <w:rPr>
          <w:rFonts w:cs="Calibri"/>
          <w:color w:val="000000"/>
          <w:lang w:val="fr-FR"/>
        </w:rPr>
        <w:t>’</w:t>
      </w:r>
      <w:r w:rsidR="00164734" w:rsidRPr="00CF7824">
        <w:rPr>
          <w:rFonts w:cs="Calibri"/>
          <w:color w:val="000000"/>
          <w:lang w:val="fr-FR"/>
        </w:rPr>
        <w:t>annexe</w:t>
      </w:r>
      <w:r w:rsidR="001F19B5" w:rsidRPr="00CF7824">
        <w:rPr>
          <w:rFonts w:cs="Calibri"/>
          <w:color w:val="000000"/>
          <w:lang w:val="fr-FR"/>
        </w:rPr>
        <w:t> </w:t>
      </w:r>
      <w:r w:rsidR="00164734" w:rsidRPr="00CF7824">
        <w:rPr>
          <w:rFonts w:cs="Calibri"/>
          <w:color w:val="000000"/>
          <w:lang w:val="fr-FR"/>
        </w:rPr>
        <w:t xml:space="preserve">3). De plus, </w:t>
      </w:r>
      <w:r w:rsidRPr="00CF7824">
        <w:rPr>
          <w:rFonts w:cs="Calibri"/>
          <w:color w:val="000000"/>
          <w:lang w:val="fr-FR"/>
        </w:rPr>
        <w:t>c</w:t>
      </w:r>
      <w:r w:rsidR="00164734" w:rsidRPr="00CF7824">
        <w:rPr>
          <w:rFonts w:cs="Calibri"/>
          <w:color w:val="000000"/>
          <w:lang w:val="fr-FR"/>
        </w:rPr>
        <w:t>es données permettent de définir des objectifs régionaux et mondiaux, par exemple au titre du Cadre mondial de la biodiversité.</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keepNext/>
        <w:rPr>
          <w:rFonts w:asciiTheme="minorHAnsi" w:eastAsia="Arial" w:hAnsiTheme="minorHAnsi" w:cstheme="minorHAnsi"/>
          <w:b/>
        </w:rPr>
      </w:pPr>
      <w:r w:rsidRPr="00CF7824">
        <w:rPr>
          <w:rFonts w:cs="Calibri"/>
          <w:b/>
          <w:bCs/>
          <w:lang w:val="fr-FR"/>
        </w:rPr>
        <w:t>Parties à l</w:t>
      </w:r>
      <w:r w:rsidR="00016E39" w:rsidRPr="00CF7824">
        <w:rPr>
          <w:rFonts w:cs="Calibri"/>
          <w:b/>
          <w:bCs/>
          <w:lang w:val="fr-FR"/>
        </w:rPr>
        <w:t>’</w:t>
      </w:r>
      <w:r w:rsidRPr="00CF7824">
        <w:rPr>
          <w:rFonts w:cs="Calibri"/>
          <w:b/>
          <w:bCs/>
          <w:lang w:val="fr-FR"/>
        </w:rPr>
        <w:t>Accord</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Chacun des partenaires potentiels suivants joue un rôle clé en veillant à ce que des informations actualisées soient disponibles pour soutenir l</w:t>
      </w:r>
      <w:r w:rsidR="00016E39" w:rsidRPr="00CF7824">
        <w:rPr>
          <w:rFonts w:cs="Calibri"/>
          <w:color w:val="000000"/>
          <w:lang w:val="fr-FR"/>
        </w:rPr>
        <w:t>’</w:t>
      </w:r>
      <w:r w:rsidRPr="00CF7824">
        <w:rPr>
          <w:rFonts w:cs="Calibri"/>
          <w:color w:val="000000"/>
          <w:lang w:val="fr-FR"/>
        </w:rPr>
        <w:t>application du Critère</w:t>
      </w:r>
      <w:r w:rsidR="001F19B5" w:rsidRPr="00CF7824">
        <w:rPr>
          <w:rFonts w:cs="Calibri"/>
          <w:color w:val="000000"/>
          <w:lang w:val="fr-FR"/>
        </w:rPr>
        <w:t> </w:t>
      </w:r>
      <w:r w:rsidRPr="00CF7824">
        <w:rPr>
          <w:rFonts w:cs="Calibri"/>
          <w:color w:val="000000"/>
          <w:lang w:val="fr-FR"/>
        </w:rPr>
        <w:t>6 de la Convention sur les zones humides.</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[Secrétariat de la Convention sur les zones humides]</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[Convention sur les espèces migratrices]</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[Secrétariat de la CDB]</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[Secrétariat CITES]</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[CAFF/Arctic Council]</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[Accord sur la conservation des oiseaux d</w:t>
      </w:r>
      <w:r w:rsidR="00016E39" w:rsidRPr="00CF7824">
        <w:rPr>
          <w:rFonts w:cs="Calibri"/>
          <w:lang w:val="fr-FR"/>
        </w:rPr>
        <w:t>’</w:t>
      </w:r>
      <w:r w:rsidRPr="00CF7824">
        <w:rPr>
          <w:rFonts w:cs="Calibri"/>
          <w:lang w:val="fr-FR"/>
        </w:rPr>
        <w:t>eau migrateurs d</w:t>
      </w:r>
      <w:r w:rsidR="00016E39" w:rsidRPr="00CF7824">
        <w:rPr>
          <w:rFonts w:cs="Calibri"/>
          <w:lang w:val="fr-FR"/>
        </w:rPr>
        <w:t>’</w:t>
      </w:r>
      <w:r w:rsidRPr="00CF7824">
        <w:rPr>
          <w:rFonts w:cs="Calibri"/>
          <w:lang w:val="fr-FR"/>
        </w:rPr>
        <w:t>Afrique-Eurasie]</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[Partenariat pour la voie de migration Asie de l</w:t>
      </w:r>
      <w:r w:rsidR="00016E39" w:rsidRPr="00CF7824">
        <w:rPr>
          <w:rFonts w:cs="Calibri"/>
          <w:lang w:val="fr-FR"/>
        </w:rPr>
        <w:t>’</w:t>
      </w:r>
      <w:r w:rsidRPr="00CF7824">
        <w:rPr>
          <w:rFonts w:cs="Calibri"/>
          <w:lang w:val="fr-FR"/>
        </w:rPr>
        <w:t>Est-Australasie]</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[Réseau de réserves pour les oiseaux de rivage de l</w:t>
      </w:r>
      <w:r w:rsidR="00016E39" w:rsidRPr="00CF7824">
        <w:rPr>
          <w:rFonts w:cs="Calibri"/>
          <w:lang w:val="fr-FR"/>
        </w:rPr>
        <w:t>’</w:t>
      </w:r>
      <w:r w:rsidR="001A471F" w:rsidRPr="00CF7824">
        <w:rPr>
          <w:rFonts w:cs="Calibri"/>
          <w:lang w:val="fr-FR"/>
        </w:rPr>
        <w:t>hémisphère occidental]</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i/>
          <w:lang w:val="fr-FR"/>
        </w:rPr>
      </w:pPr>
      <w:r w:rsidRPr="00CF7824">
        <w:rPr>
          <w:rFonts w:cs="Calibri"/>
          <w:i/>
          <w:iCs/>
          <w:lang w:val="fr-FR"/>
        </w:rPr>
        <w:t>[Autres mécanismes pour les Amériques]</w:t>
      </w:r>
      <w:r w:rsidR="00376BA1" w:rsidRPr="00CF7824">
        <w:rPr>
          <w:rFonts w:cs="Calibri"/>
          <w:i/>
          <w:iCs/>
          <w:lang w:val="fr-FR"/>
        </w:rPr>
        <w:t> </w:t>
      </w:r>
      <w:r w:rsidRPr="00CF7824">
        <w:rPr>
          <w:rFonts w:cs="Calibri"/>
          <w:i/>
          <w:iCs/>
          <w:lang w:val="fr-FR"/>
        </w:rPr>
        <w:t xml:space="preserve">? </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lastRenderedPageBreak/>
        <w:t>[Wetlands International]</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[BirdLife International]</w:t>
      </w:r>
    </w:p>
    <w:p w:rsidR="00F7073F" w:rsidRPr="00CF7824" w:rsidRDefault="00164734"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lang w:val="fr-FR"/>
        </w:rPr>
      </w:pPr>
      <w:r w:rsidRPr="00CF7824">
        <w:rPr>
          <w:rFonts w:cs="Calibri"/>
          <w:lang w:val="fr-FR"/>
        </w:rPr>
        <w:t>Autres à ajouter</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keepNext/>
        <w:rPr>
          <w:rFonts w:asciiTheme="minorHAnsi" w:eastAsia="Arial" w:hAnsiTheme="minorHAnsi" w:cstheme="minorHAnsi"/>
          <w:b/>
        </w:rPr>
      </w:pPr>
      <w:r w:rsidRPr="00CF7824">
        <w:rPr>
          <w:rFonts w:cs="Calibri"/>
          <w:b/>
          <w:bCs/>
          <w:lang w:val="fr-FR"/>
        </w:rPr>
        <w:t>But</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 xml:space="preserve">Le but de ce </w:t>
      </w:r>
      <w:r w:rsidR="000E2DFE" w:rsidRPr="00CF7824">
        <w:rPr>
          <w:rFonts w:cs="Calibri"/>
          <w:color w:val="000000"/>
          <w:lang w:val="fr-FR"/>
        </w:rPr>
        <w:t xml:space="preserve">Partenariat </w:t>
      </w:r>
      <w:r w:rsidRPr="00CF7824">
        <w:rPr>
          <w:rFonts w:cs="Calibri"/>
          <w:color w:val="000000"/>
          <w:lang w:val="fr-FR"/>
        </w:rPr>
        <w:t xml:space="preserve">est de garantir que des informations </w:t>
      </w:r>
      <w:r w:rsidR="007B2300" w:rsidRPr="00CF7824">
        <w:rPr>
          <w:rFonts w:cs="Calibri"/>
          <w:color w:val="000000"/>
          <w:lang w:val="fr-FR"/>
        </w:rPr>
        <w:t xml:space="preserve">actualisées </w:t>
      </w:r>
      <w:r w:rsidRPr="00CF7824">
        <w:rPr>
          <w:rFonts w:cs="Calibri"/>
          <w:color w:val="000000"/>
          <w:lang w:val="fr-FR"/>
        </w:rPr>
        <w:t xml:space="preserve">de qualité </w:t>
      </w:r>
      <w:r w:rsidR="007B2300" w:rsidRPr="00CF7824">
        <w:rPr>
          <w:rFonts w:cs="Calibri"/>
          <w:color w:val="000000"/>
          <w:lang w:val="fr-FR"/>
        </w:rPr>
        <w:t>portant</w:t>
      </w:r>
      <w:r w:rsidRPr="00CF7824">
        <w:rPr>
          <w:rFonts w:cs="Calibri"/>
          <w:color w:val="000000"/>
          <w:lang w:val="fr-FR"/>
        </w:rPr>
        <w:t xml:space="preserve"> sur la taille et les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 xml:space="preserve">eau sont </w:t>
      </w:r>
      <w:r w:rsidR="007B2300" w:rsidRPr="00CF7824">
        <w:rPr>
          <w:rFonts w:cs="Calibri"/>
          <w:color w:val="000000"/>
          <w:lang w:val="fr-FR"/>
        </w:rPr>
        <w:t>à la disposition des</w:t>
      </w:r>
      <w:r w:rsidRPr="00CF7824">
        <w:rPr>
          <w:rFonts w:cs="Calibri"/>
          <w:color w:val="000000"/>
          <w:lang w:val="fr-FR"/>
        </w:rPr>
        <w:t xml:space="preserve"> gouvernements, </w:t>
      </w:r>
      <w:r w:rsidR="007B2300" w:rsidRPr="00CF7824">
        <w:rPr>
          <w:rFonts w:cs="Calibri"/>
          <w:color w:val="000000"/>
          <w:lang w:val="fr-FR"/>
        </w:rPr>
        <w:t>d</w:t>
      </w:r>
      <w:r w:rsidRPr="00CF7824">
        <w:rPr>
          <w:rFonts w:cs="Calibri"/>
          <w:color w:val="000000"/>
          <w:lang w:val="fr-FR"/>
        </w:rPr>
        <w:t>es organisations internationales et d</w:t>
      </w:r>
      <w:r w:rsidR="00016E39" w:rsidRPr="00CF7824">
        <w:rPr>
          <w:rFonts w:cs="Calibri"/>
          <w:color w:val="000000"/>
          <w:lang w:val="fr-FR"/>
        </w:rPr>
        <w:t>’</w:t>
      </w:r>
      <w:r w:rsidRPr="00CF7824">
        <w:rPr>
          <w:rFonts w:cs="Calibri"/>
          <w:color w:val="000000"/>
          <w:lang w:val="fr-FR"/>
        </w:rPr>
        <w:t xml:space="preserve">autres utilisateurs, </w:t>
      </w:r>
      <w:r w:rsidR="007B2300" w:rsidRPr="00CF7824">
        <w:rPr>
          <w:rFonts w:cs="Calibri"/>
          <w:color w:val="000000"/>
          <w:lang w:val="fr-FR"/>
        </w:rPr>
        <w:t xml:space="preserve">pour la définition de </w:t>
      </w:r>
      <w:r w:rsidRPr="00CF7824">
        <w:rPr>
          <w:rFonts w:cs="Calibri"/>
          <w:color w:val="000000"/>
          <w:lang w:val="fr-FR"/>
        </w:rPr>
        <w:t xml:space="preserve">politiques et </w:t>
      </w:r>
      <w:r w:rsidR="000E2DFE" w:rsidRPr="00CF7824">
        <w:rPr>
          <w:rFonts w:cs="Calibri"/>
          <w:color w:val="000000"/>
          <w:lang w:val="fr-FR"/>
        </w:rPr>
        <w:t xml:space="preserve">à </w:t>
      </w:r>
      <w:r w:rsidR="007B2300" w:rsidRPr="00CF7824">
        <w:rPr>
          <w:rFonts w:cs="Calibri"/>
          <w:color w:val="000000"/>
          <w:lang w:val="fr-FR"/>
        </w:rPr>
        <w:t>d’</w:t>
      </w:r>
      <w:r w:rsidRPr="00CF7824">
        <w:rPr>
          <w:rFonts w:cs="Calibri"/>
          <w:color w:val="000000"/>
          <w:lang w:val="fr-FR"/>
        </w:rPr>
        <w:t>autres</w:t>
      </w:r>
      <w:r w:rsidR="007B2300" w:rsidRPr="00CF7824">
        <w:rPr>
          <w:rFonts w:cs="Calibri"/>
          <w:color w:val="000000"/>
          <w:lang w:val="fr-FR"/>
        </w:rPr>
        <w:t xml:space="preserve"> fins</w:t>
      </w:r>
      <w:r w:rsidRPr="00CF7824">
        <w:rPr>
          <w:rFonts w:cs="Calibri"/>
          <w:color w:val="000000"/>
          <w:lang w:val="fr-FR"/>
        </w:rPr>
        <w:t xml:space="preserve">, </w:t>
      </w:r>
      <w:r w:rsidR="007B2300" w:rsidRPr="00CF7824">
        <w:rPr>
          <w:rFonts w:cs="Calibri"/>
          <w:color w:val="000000"/>
          <w:lang w:val="fr-FR"/>
        </w:rPr>
        <w:t>en vue de soutenir</w:t>
      </w:r>
      <w:r w:rsidR="000E2DFE" w:rsidRPr="00CF7824">
        <w:rPr>
          <w:rFonts w:cs="Calibri"/>
          <w:color w:val="000000"/>
          <w:lang w:val="fr-FR"/>
        </w:rPr>
        <w:t xml:space="preserve"> </w:t>
      </w:r>
      <w:r w:rsidRPr="00CF7824">
        <w:rPr>
          <w:rFonts w:cs="Calibri"/>
          <w:color w:val="000000"/>
          <w:lang w:val="fr-FR"/>
        </w:rPr>
        <w:t>la mission collective de conservation et d</w:t>
      </w:r>
      <w:r w:rsidR="00016E39" w:rsidRPr="00CF7824">
        <w:rPr>
          <w:rFonts w:cs="Calibri"/>
          <w:color w:val="000000"/>
          <w:lang w:val="fr-FR"/>
        </w:rPr>
        <w:t>’</w:t>
      </w:r>
      <w:r w:rsidRPr="00CF7824">
        <w:rPr>
          <w:rFonts w:cs="Calibri"/>
          <w:color w:val="000000"/>
          <w:lang w:val="fr-FR"/>
        </w:rPr>
        <w:t>utilisation rationnelle des zones humides.</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rPr>
          <w:rFonts w:asciiTheme="minorHAnsi" w:eastAsia="Arial" w:hAnsiTheme="minorHAnsi" w:cstheme="minorHAnsi"/>
          <w:b/>
        </w:rPr>
      </w:pPr>
      <w:r w:rsidRPr="00CF7824">
        <w:rPr>
          <w:rFonts w:cs="Calibri"/>
          <w:b/>
          <w:bCs/>
          <w:lang w:val="fr-FR"/>
        </w:rPr>
        <w:t>Objectifs</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Le Partenariat a quatre objectifs</w:t>
      </w:r>
      <w:r w:rsidR="00376BA1" w:rsidRPr="00CF7824">
        <w:rPr>
          <w:rFonts w:cs="Calibri"/>
          <w:color w:val="000000"/>
          <w:lang w:val="fr-FR"/>
        </w:rPr>
        <w:t> </w:t>
      </w:r>
      <w:r w:rsidRPr="00CF7824">
        <w:rPr>
          <w:rFonts w:cs="Calibri"/>
          <w:color w:val="000000"/>
          <w:lang w:val="fr-FR"/>
        </w:rPr>
        <w:t>:</w:t>
      </w:r>
    </w:p>
    <w:p w:rsidR="00F7073F" w:rsidRPr="00CF7824" w:rsidRDefault="00164734"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lang w:val="fr-FR"/>
        </w:rPr>
      </w:pPr>
      <w:r w:rsidRPr="00CF7824">
        <w:rPr>
          <w:rFonts w:cs="Calibri"/>
          <w:i/>
          <w:iCs/>
          <w:color w:val="000000"/>
          <w:lang w:val="fr-FR"/>
        </w:rPr>
        <w:t>Coopération</w:t>
      </w:r>
      <w:r w:rsidR="00376BA1" w:rsidRPr="00CF7824">
        <w:rPr>
          <w:rFonts w:cs="Calibri"/>
          <w:i/>
          <w:iCs/>
          <w:color w:val="000000"/>
          <w:lang w:val="fr-FR"/>
        </w:rPr>
        <w:t> </w:t>
      </w:r>
      <w:r w:rsidRPr="00CF7824">
        <w:rPr>
          <w:rFonts w:cs="Calibri"/>
          <w:i/>
          <w:iCs/>
          <w:color w:val="000000"/>
          <w:lang w:val="fr-FR"/>
        </w:rPr>
        <w:t>:</w:t>
      </w:r>
      <w:r w:rsidRPr="00CF7824">
        <w:rPr>
          <w:rFonts w:cs="Calibri"/>
          <w:color w:val="000000"/>
          <w:lang w:val="fr-FR"/>
        </w:rPr>
        <w:t xml:space="preserve"> promouvoir une coopération plus étroite entre les différents organismes responsables de la collecte et de la communication d</w:t>
      </w:r>
      <w:r w:rsidR="00016E39" w:rsidRPr="00CF7824">
        <w:rPr>
          <w:rFonts w:cs="Calibri"/>
          <w:color w:val="000000"/>
          <w:lang w:val="fr-FR"/>
        </w:rPr>
        <w:t>’</w:t>
      </w:r>
      <w:r w:rsidRPr="00CF7824">
        <w:rPr>
          <w:rFonts w:cs="Calibri"/>
          <w:color w:val="000000"/>
          <w:lang w:val="fr-FR"/>
        </w:rPr>
        <w:t>informations sur la taille et les tendances des populations des taxons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concernés.</w:t>
      </w:r>
    </w:p>
    <w:p w:rsidR="00F7073F" w:rsidRPr="00CF7824" w:rsidRDefault="00164734"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lang w:val="fr-FR"/>
        </w:rPr>
      </w:pPr>
      <w:r w:rsidRPr="00CF7824">
        <w:rPr>
          <w:rFonts w:cs="Calibri"/>
          <w:i/>
          <w:iCs/>
          <w:color w:val="000000"/>
          <w:lang w:val="fr-FR"/>
        </w:rPr>
        <w:t>Coordination</w:t>
      </w:r>
      <w:r w:rsidR="00376BA1" w:rsidRPr="00CF7824">
        <w:rPr>
          <w:rFonts w:cs="Calibri"/>
          <w:i/>
          <w:iCs/>
          <w:color w:val="000000"/>
          <w:lang w:val="fr-FR"/>
        </w:rPr>
        <w:t> </w:t>
      </w:r>
      <w:r w:rsidRPr="00CF7824">
        <w:rPr>
          <w:rFonts w:cs="Calibri"/>
          <w:color w:val="000000"/>
          <w:lang w:val="fr-FR"/>
        </w:rPr>
        <w:t xml:space="preserve">: coordonner </w:t>
      </w:r>
      <w:r w:rsidR="007B2300" w:rsidRPr="00CF7824">
        <w:rPr>
          <w:rFonts w:cs="Calibri"/>
          <w:color w:val="000000"/>
          <w:lang w:val="fr-FR"/>
        </w:rPr>
        <w:t xml:space="preserve">les actions menées </w:t>
      </w:r>
      <w:r w:rsidRPr="00CF7824">
        <w:rPr>
          <w:rFonts w:cs="Calibri"/>
          <w:color w:val="000000"/>
          <w:lang w:val="fr-FR"/>
        </w:rPr>
        <w:t>et, dans la mesure du possible, harmoniser le</w:t>
      </w:r>
      <w:r w:rsidR="007B2300" w:rsidRPr="00CF7824">
        <w:rPr>
          <w:rFonts w:cs="Calibri"/>
          <w:color w:val="000000"/>
          <w:lang w:val="fr-FR"/>
        </w:rPr>
        <w:t>ur</w:t>
      </w:r>
      <w:r w:rsidRPr="00CF7824">
        <w:rPr>
          <w:rFonts w:cs="Calibri"/>
          <w:color w:val="000000"/>
          <w:lang w:val="fr-FR"/>
        </w:rPr>
        <w:t>s calendriers afin de mettre en place des processus qui se renforcent mutuellement à l</w:t>
      </w:r>
      <w:r w:rsidR="00016E39" w:rsidRPr="00CF7824">
        <w:rPr>
          <w:rFonts w:cs="Calibri"/>
          <w:color w:val="000000"/>
          <w:lang w:val="fr-FR"/>
        </w:rPr>
        <w:t>’</w:t>
      </w:r>
      <w:r w:rsidRPr="00CF7824">
        <w:rPr>
          <w:rFonts w:cs="Calibri"/>
          <w:color w:val="000000"/>
          <w:lang w:val="fr-FR"/>
        </w:rPr>
        <w:t>échelle régionale et à l</w:t>
      </w:r>
      <w:r w:rsidR="00016E39" w:rsidRPr="00CF7824">
        <w:rPr>
          <w:rFonts w:cs="Calibri"/>
          <w:color w:val="000000"/>
          <w:lang w:val="fr-FR"/>
        </w:rPr>
        <w:t>’</w:t>
      </w:r>
      <w:r w:rsidRPr="00CF7824">
        <w:rPr>
          <w:rFonts w:cs="Calibri"/>
          <w:color w:val="000000"/>
          <w:lang w:val="fr-FR"/>
        </w:rPr>
        <w:t>échelle mondiale.</w:t>
      </w:r>
    </w:p>
    <w:p w:rsidR="00F7073F" w:rsidRPr="00CF7824" w:rsidRDefault="00164734"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lang w:val="fr-FR"/>
        </w:rPr>
      </w:pPr>
      <w:r w:rsidRPr="00CF7824">
        <w:rPr>
          <w:rFonts w:cs="Calibri"/>
          <w:i/>
          <w:iCs/>
          <w:color w:val="000000"/>
          <w:lang w:val="fr-FR"/>
        </w:rPr>
        <w:t>Normes en matière de données et d</w:t>
      </w:r>
      <w:r w:rsidR="00016E39" w:rsidRPr="00CF7824">
        <w:rPr>
          <w:rFonts w:cs="Calibri"/>
          <w:i/>
          <w:iCs/>
          <w:color w:val="000000"/>
          <w:lang w:val="fr-FR"/>
        </w:rPr>
        <w:t>’</w:t>
      </w:r>
      <w:r w:rsidRPr="00CF7824">
        <w:rPr>
          <w:rFonts w:cs="Calibri"/>
          <w:i/>
          <w:iCs/>
          <w:color w:val="000000"/>
          <w:lang w:val="fr-FR"/>
        </w:rPr>
        <w:t>informations</w:t>
      </w:r>
      <w:r w:rsidR="00376BA1" w:rsidRPr="00CF7824">
        <w:rPr>
          <w:rFonts w:cs="Calibri"/>
          <w:i/>
          <w:iCs/>
          <w:color w:val="000000"/>
          <w:lang w:val="fr-FR"/>
        </w:rPr>
        <w:t> </w:t>
      </w:r>
      <w:r w:rsidRPr="00CF7824">
        <w:rPr>
          <w:rFonts w:cs="Calibri"/>
          <w:i/>
          <w:iCs/>
          <w:color w:val="000000"/>
          <w:lang w:val="fr-FR"/>
        </w:rPr>
        <w:t>:</w:t>
      </w:r>
      <w:r w:rsidRPr="00CF7824">
        <w:rPr>
          <w:rFonts w:cs="Calibri"/>
          <w:color w:val="000000"/>
          <w:lang w:val="fr-FR"/>
        </w:rPr>
        <w:t xml:space="preserve"> maintenir des normes élevées et uniformes pour la collecte, la compilation, l</w:t>
      </w:r>
      <w:r w:rsidR="00016E39" w:rsidRPr="00CF7824">
        <w:rPr>
          <w:rFonts w:cs="Calibri"/>
          <w:color w:val="000000"/>
          <w:lang w:val="fr-FR"/>
        </w:rPr>
        <w:t>’</w:t>
      </w:r>
      <w:r w:rsidRPr="00CF7824">
        <w:rPr>
          <w:rFonts w:cs="Calibri"/>
          <w:color w:val="000000"/>
          <w:lang w:val="fr-FR"/>
        </w:rPr>
        <w:t>audit, l</w:t>
      </w:r>
      <w:r w:rsidR="00016E39" w:rsidRPr="00CF7824">
        <w:rPr>
          <w:rFonts w:cs="Calibri"/>
          <w:color w:val="000000"/>
          <w:lang w:val="fr-FR"/>
        </w:rPr>
        <w:t>’</w:t>
      </w:r>
      <w:r w:rsidRPr="00CF7824">
        <w:rPr>
          <w:rFonts w:cs="Calibri"/>
          <w:color w:val="000000"/>
          <w:lang w:val="fr-FR"/>
        </w:rPr>
        <w:t>analyse et la publication d</w:t>
      </w:r>
      <w:r w:rsidR="00016E39" w:rsidRPr="00CF7824">
        <w:rPr>
          <w:rFonts w:cs="Calibri"/>
          <w:color w:val="000000"/>
          <w:lang w:val="fr-FR"/>
        </w:rPr>
        <w:t>’</w:t>
      </w:r>
      <w:r w:rsidRPr="00CF7824">
        <w:rPr>
          <w:rFonts w:cs="Calibri"/>
          <w:color w:val="000000"/>
          <w:lang w:val="fr-FR"/>
        </w:rPr>
        <w:t>évaluations pertinentes de la taille et des tendances des populations.</w:t>
      </w:r>
    </w:p>
    <w:p w:rsidR="00F7073F" w:rsidRPr="00CF7824" w:rsidRDefault="00164734"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lang w:val="fr-FR"/>
        </w:rPr>
      </w:pPr>
      <w:r w:rsidRPr="00CF7824">
        <w:rPr>
          <w:rFonts w:cs="Calibri"/>
          <w:i/>
          <w:iCs/>
          <w:color w:val="000000"/>
          <w:lang w:val="fr-FR"/>
        </w:rPr>
        <w:t>Financement</w:t>
      </w:r>
      <w:r w:rsidR="00376BA1" w:rsidRPr="00CF7824">
        <w:rPr>
          <w:rFonts w:cs="Calibri"/>
          <w:i/>
          <w:iCs/>
          <w:color w:val="000000"/>
          <w:lang w:val="fr-FR"/>
        </w:rPr>
        <w:t> </w:t>
      </w:r>
      <w:r w:rsidRPr="00CF7824">
        <w:rPr>
          <w:rFonts w:cs="Calibri"/>
          <w:i/>
          <w:iCs/>
          <w:color w:val="000000"/>
          <w:lang w:val="fr-FR"/>
        </w:rPr>
        <w:t>:</w:t>
      </w:r>
      <w:r w:rsidRPr="00CF7824">
        <w:rPr>
          <w:rFonts w:cs="Calibri"/>
          <w:color w:val="000000"/>
          <w:lang w:val="fr-FR"/>
        </w:rPr>
        <w:t xml:space="preserve"> garantir le financement adéquat des différents programmes mondiaux et régionaux comme convenu.</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rPr>
          <w:rFonts w:asciiTheme="minorHAnsi" w:eastAsia="Arial" w:hAnsiTheme="minorHAnsi" w:cstheme="minorHAnsi"/>
          <w:b/>
        </w:rPr>
      </w:pPr>
      <w:r w:rsidRPr="00CF7824">
        <w:rPr>
          <w:rFonts w:cs="Calibri"/>
          <w:b/>
          <w:bCs/>
          <w:lang w:val="fr-FR"/>
        </w:rPr>
        <w:t>Principes d</w:t>
      </w:r>
      <w:r w:rsidR="00016E39" w:rsidRPr="00CF7824">
        <w:rPr>
          <w:rFonts w:cs="Calibri"/>
          <w:b/>
          <w:bCs/>
          <w:lang w:val="fr-FR"/>
        </w:rPr>
        <w:t>’</w:t>
      </w:r>
      <w:r w:rsidRPr="00CF7824">
        <w:rPr>
          <w:rFonts w:cs="Calibri"/>
          <w:b/>
          <w:bCs/>
          <w:lang w:val="fr-FR"/>
        </w:rPr>
        <w:t>actions</w:t>
      </w:r>
    </w:p>
    <w:p w:rsidR="00F7073F" w:rsidRPr="00CF7824" w:rsidRDefault="00164734" w:rsidP="002079B7">
      <w:pPr>
        <w:numPr>
          <w:ilvl w:val="0"/>
          <w:numId w:val="19"/>
        </w:numPr>
        <w:pBdr>
          <w:top w:val="nil"/>
          <w:left w:val="nil"/>
          <w:bottom w:val="nil"/>
          <w:right w:val="nil"/>
          <w:between w:val="nil"/>
        </w:pBdr>
        <w:spacing w:line="259" w:lineRule="auto"/>
        <w:ind w:left="714" w:hanging="357"/>
        <w:rPr>
          <w:rFonts w:asciiTheme="minorHAnsi" w:eastAsia="Arial" w:hAnsiTheme="minorHAnsi" w:cstheme="minorHAnsi"/>
          <w:color w:val="000000"/>
          <w:lang w:val="fr-FR"/>
        </w:rPr>
      </w:pPr>
      <w:r w:rsidRPr="00CF7824">
        <w:rPr>
          <w:rFonts w:cs="Calibri"/>
          <w:color w:val="000000"/>
          <w:lang w:val="fr-FR"/>
        </w:rPr>
        <w:t>L</w:t>
      </w:r>
      <w:r w:rsidR="00016E39" w:rsidRPr="00CF7824">
        <w:rPr>
          <w:rFonts w:cs="Calibri"/>
          <w:color w:val="000000"/>
          <w:lang w:val="fr-FR"/>
        </w:rPr>
        <w:t>’</w:t>
      </w:r>
      <w:r w:rsidRPr="00CF7824">
        <w:rPr>
          <w:rFonts w:cs="Calibri"/>
          <w:color w:val="000000"/>
          <w:lang w:val="fr-FR"/>
        </w:rPr>
        <w:t>objectif principal du Partenariat est d</w:t>
      </w:r>
      <w:r w:rsidR="00016E39" w:rsidRPr="00CF7824">
        <w:rPr>
          <w:rFonts w:cs="Calibri"/>
          <w:color w:val="000000"/>
          <w:lang w:val="fr-FR"/>
        </w:rPr>
        <w:t>’</w:t>
      </w:r>
      <w:r w:rsidRPr="00CF7824">
        <w:rPr>
          <w:rFonts w:cs="Calibri"/>
          <w:color w:val="000000"/>
          <w:lang w:val="fr-FR"/>
        </w:rPr>
        <w:t>établir des processus régionaux pour compiler les estimations de</w:t>
      </w:r>
      <w:r w:rsidR="007B2300" w:rsidRPr="00CF7824">
        <w:rPr>
          <w:rFonts w:cs="Calibri"/>
          <w:color w:val="000000"/>
          <w:lang w:val="fr-FR"/>
        </w:rPr>
        <w:t>s</w:t>
      </w:r>
      <w:r w:rsidRPr="00CF7824">
        <w:rPr>
          <w:rFonts w:cs="Calibri"/>
          <w:color w:val="000000"/>
          <w:lang w:val="fr-FR"/>
        </w:rPr>
        <w:t xml:space="preserve"> population</w:t>
      </w:r>
      <w:r w:rsidR="007B2300" w:rsidRPr="00CF7824">
        <w:rPr>
          <w:rFonts w:cs="Calibri"/>
          <w:color w:val="000000"/>
          <w:lang w:val="fr-FR"/>
        </w:rPr>
        <w:t>s</w:t>
      </w:r>
      <w:r w:rsidRPr="00CF7824">
        <w:rPr>
          <w:rFonts w:cs="Calibri"/>
          <w:color w:val="000000"/>
          <w:lang w:val="fr-FR"/>
        </w:rPr>
        <w:t xml:space="preserve"> </w:t>
      </w:r>
      <w:r w:rsidR="003D70D2" w:rsidRPr="00CF7824">
        <w:rPr>
          <w:rFonts w:cs="Calibri"/>
          <w:color w:val="000000"/>
          <w:lang w:val="fr-FR"/>
        </w:rPr>
        <w:t xml:space="preserve">d’oiseaux d’eau </w:t>
      </w:r>
      <w:r w:rsidRPr="00CF7824">
        <w:rPr>
          <w:rFonts w:cs="Calibri"/>
          <w:color w:val="000000"/>
          <w:lang w:val="fr-FR"/>
        </w:rPr>
        <w:t xml:space="preserve">et </w:t>
      </w:r>
      <w:r w:rsidR="003D70D2" w:rsidRPr="00CF7824">
        <w:rPr>
          <w:rFonts w:cs="Calibri"/>
          <w:color w:val="000000"/>
          <w:lang w:val="fr-FR"/>
        </w:rPr>
        <w:t>d</w:t>
      </w:r>
      <w:r w:rsidRPr="00CF7824">
        <w:rPr>
          <w:rFonts w:cs="Calibri"/>
          <w:color w:val="000000"/>
          <w:lang w:val="fr-FR"/>
        </w:rPr>
        <w:t>es informations sur le</w:t>
      </w:r>
      <w:r w:rsidR="003D70D2" w:rsidRPr="00CF7824">
        <w:rPr>
          <w:rFonts w:cs="Calibri"/>
          <w:color w:val="000000"/>
          <w:lang w:val="fr-FR"/>
        </w:rPr>
        <w:t xml:space="preserve">urs </w:t>
      </w:r>
      <w:r w:rsidRPr="00CF7824">
        <w:rPr>
          <w:rFonts w:cs="Calibri"/>
          <w:color w:val="000000"/>
          <w:lang w:val="fr-FR"/>
        </w:rPr>
        <w:t xml:space="preserve">tendances </w:t>
      </w:r>
      <w:r w:rsidR="003D70D2" w:rsidRPr="00CF7824">
        <w:rPr>
          <w:rFonts w:cs="Calibri"/>
          <w:color w:val="000000"/>
          <w:lang w:val="fr-FR"/>
        </w:rPr>
        <w:t>dans</w:t>
      </w:r>
      <w:r w:rsidRPr="00CF7824">
        <w:rPr>
          <w:rFonts w:cs="Calibri"/>
          <w:color w:val="000000"/>
          <w:lang w:val="fr-FR"/>
        </w:rPr>
        <w:t xml:space="preserve"> chacun des principaux systèmes de voies de migration (là où ils font défaut) ou de les renforcer (là où ils existent). Ces estimations et tendances régionales seront compilées et rapportées à l</w:t>
      </w:r>
      <w:r w:rsidR="00016E39" w:rsidRPr="00CF7824">
        <w:rPr>
          <w:rFonts w:cs="Calibri"/>
          <w:color w:val="000000"/>
          <w:lang w:val="fr-FR"/>
        </w:rPr>
        <w:t>’</w:t>
      </w:r>
      <w:r w:rsidRPr="00CF7824">
        <w:rPr>
          <w:rFonts w:cs="Calibri"/>
          <w:color w:val="000000"/>
          <w:lang w:val="fr-FR"/>
        </w:rPr>
        <w:t>échelle mondiale, complétées par d</w:t>
      </w:r>
      <w:r w:rsidR="00016E39" w:rsidRPr="00CF7824">
        <w:rPr>
          <w:rFonts w:cs="Calibri"/>
          <w:color w:val="000000"/>
          <w:lang w:val="fr-FR"/>
        </w:rPr>
        <w:t>’</w:t>
      </w:r>
      <w:r w:rsidRPr="00CF7824">
        <w:rPr>
          <w:rFonts w:cs="Calibri"/>
          <w:color w:val="000000"/>
          <w:lang w:val="fr-FR"/>
        </w:rPr>
        <w:t>autres informations le cas échéant, et rendues accessibles sur le Waterbird Populations Portal. Des critères de 1</w:t>
      </w:r>
      <w:r w:rsidR="00A12CF2" w:rsidRPr="00CF7824">
        <w:rPr>
          <w:rFonts w:cs="Calibri"/>
          <w:color w:val="000000"/>
          <w:lang w:val="fr-FR"/>
        </w:rPr>
        <w:t>%</w:t>
      </w:r>
      <w:r w:rsidRPr="00CF7824">
        <w:rPr>
          <w:rFonts w:cs="Calibri"/>
          <w:color w:val="000000"/>
          <w:lang w:val="fr-FR"/>
        </w:rPr>
        <w:t xml:space="preserve"> actualisés seront publiés </w:t>
      </w:r>
      <w:r w:rsidR="003D70D2" w:rsidRPr="00CF7824">
        <w:rPr>
          <w:rFonts w:cs="Calibri"/>
          <w:color w:val="000000"/>
          <w:lang w:val="fr-FR"/>
        </w:rPr>
        <w:t xml:space="preserve">périodiquement à des intervalles convenus – </w:t>
      </w:r>
      <w:r w:rsidRPr="00CF7824">
        <w:rPr>
          <w:rFonts w:cs="Calibri"/>
          <w:color w:val="000000"/>
          <w:lang w:val="fr-FR"/>
        </w:rPr>
        <w:t xml:space="preserve">sur le Waterbird populations Portal et dans une publication particulière (?). </w:t>
      </w:r>
    </w:p>
    <w:p w:rsidR="00F7073F" w:rsidRPr="00CF7824" w:rsidRDefault="00F7073F" w:rsidP="00F7073F">
      <w:pPr>
        <w:pBdr>
          <w:top w:val="nil"/>
          <w:left w:val="nil"/>
          <w:bottom w:val="nil"/>
          <w:right w:val="nil"/>
          <w:between w:val="nil"/>
        </w:pBdr>
        <w:ind w:left="714"/>
        <w:rPr>
          <w:rFonts w:asciiTheme="minorHAnsi" w:eastAsia="Arial" w:hAnsiTheme="minorHAnsi" w:cstheme="minorHAnsi"/>
          <w:color w:val="000000"/>
          <w:lang w:val="fr-FR"/>
        </w:rPr>
      </w:pPr>
    </w:p>
    <w:p w:rsidR="00F7073F" w:rsidRPr="00CF7824" w:rsidRDefault="00164734" w:rsidP="002079B7">
      <w:pPr>
        <w:numPr>
          <w:ilvl w:val="0"/>
          <w:numId w:val="19"/>
        </w:numPr>
        <w:pBdr>
          <w:top w:val="nil"/>
          <w:left w:val="nil"/>
          <w:bottom w:val="nil"/>
          <w:right w:val="nil"/>
          <w:between w:val="nil"/>
        </w:pBdr>
        <w:spacing w:after="120" w:line="259" w:lineRule="auto"/>
        <w:ind w:left="714" w:hanging="357"/>
        <w:rPr>
          <w:rFonts w:asciiTheme="minorHAnsi" w:hAnsiTheme="minorHAnsi" w:cstheme="minorHAnsi"/>
          <w:color w:val="000000"/>
          <w:lang w:val="fr-FR"/>
        </w:rPr>
      </w:pPr>
      <w:r w:rsidRPr="00CF7824">
        <w:rPr>
          <w:rFonts w:cs="Calibri"/>
          <w:color w:val="000000"/>
          <w:lang w:val="fr-FR"/>
        </w:rPr>
        <w:t>Un [</w:t>
      </w:r>
      <w:r w:rsidR="007D0678" w:rsidRPr="00CF7824">
        <w:rPr>
          <w:rFonts w:cs="Calibri"/>
          <w:color w:val="000000"/>
          <w:lang w:val="fr-FR"/>
        </w:rPr>
        <w:t xml:space="preserve">Comité </w:t>
      </w:r>
      <w:r w:rsidRPr="00CF7824">
        <w:rPr>
          <w:rFonts w:cs="Calibri"/>
          <w:color w:val="000000"/>
          <w:lang w:val="fr-FR"/>
        </w:rPr>
        <w:t>de coordination mondiale] sera créé pour donner effet au Partenariat. Le [Comité]</w:t>
      </w:r>
      <w:r w:rsidR="00376BA1" w:rsidRPr="00CF7824">
        <w:rPr>
          <w:rFonts w:cs="Calibri"/>
          <w:color w:val="000000"/>
          <w:lang w:val="fr-FR"/>
        </w:rPr>
        <w:t> </w:t>
      </w:r>
      <w:r w:rsidRPr="00CF7824">
        <w:rPr>
          <w:rFonts w:cs="Calibri"/>
          <w:color w:val="000000"/>
          <w:lang w:val="fr-FR"/>
        </w:rPr>
        <w:t>:</w:t>
      </w:r>
    </w:p>
    <w:p w:rsidR="00F7073F" w:rsidRPr="00CF7824" w:rsidRDefault="00164734"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lang w:val="fr-FR"/>
        </w:rPr>
      </w:pPr>
      <w:r w:rsidRPr="00CF7824">
        <w:rPr>
          <w:rFonts w:cs="Calibri"/>
          <w:color w:val="000000"/>
          <w:lang w:val="fr-FR"/>
        </w:rPr>
        <w:t>se réunira, sous quelque forme que ce soit, au moins une fois par an</w:t>
      </w:r>
      <w:r w:rsidR="00A12CF2" w:rsidRPr="00CF7824">
        <w:rPr>
          <w:rFonts w:cs="Calibri"/>
          <w:color w:val="000000"/>
          <w:lang w:val="fr-FR"/>
        </w:rPr>
        <w:t>;</w:t>
      </w:r>
    </w:p>
    <w:p w:rsidR="00F7073F" w:rsidRPr="00CF7824" w:rsidRDefault="00164734"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lang w:val="fr-FR"/>
        </w:rPr>
      </w:pPr>
      <w:r w:rsidRPr="00CF7824">
        <w:rPr>
          <w:rFonts w:cs="Calibri"/>
          <w:color w:val="000000"/>
          <w:lang w:val="fr-FR"/>
        </w:rPr>
        <w:t>élaborera son propre mandat et un programme de travail pour atteindre les quatre objectifs susmentionnés</w:t>
      </w:r>
      <w:r w:rsidR="00A12CF2" w:rsidRPr="00CF7824">
        <w:rPr>
          <w:rFonts w:cs="Calibri"/>
          <w:color w:val="000000"/>
          <w:lang w:val="fr-FR"/>
        </w:rPr>
        <w:t>;</w:t>
      </w:r>
      <w:r w:rsidRPr="00CF7824">
        <w:rPr>
          <w:rFonts w:cs="Calibri"/>
          <w:color w:val="000000"/>
          <w:lang w:val="fr-FR"/>
        </w:rPr>
        <w:t xml:space="preserve"> </w:t>
      </w:r>
    </w:p>
    <w:p w:rsidR="00F7073F" w:rsidRPr="00CF7824" w:rsidRDefault="00164734"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lang w:val="fr-FR"/>
        </w:rPr>
      </w:pPr>
      <w:r w:rsidRPr="00CF7824">
        <w:rPr>
          <w:rFonts w:cs="Calibri"/>
          <w:color w:val="000000"/>
          <w:lang w:val="fr-FR"/>
        </w:rPr>
        <w:t>publiera un rapport annuel en ligne sur ses activités, afin de rendre compte de ses activités aux organes directeurs concernés</w:t>
      </w:r>
      <w:r w:rsidR="00A12CF2" w:rsidRPr="00CF7824">
        <w:rPr>
          <w:rFonts w:cs="Calibri"/>
          <w:color w:val="000000"/>
          <w:lang w:val="fr-FR"/>
        </w:rPr>
        <w:t>;</w:t>
      </w:r>
      <w:r w:rsidRPr="00CF7824">
        <w:rPr>
          <w:rFonts w:cs="Calibri"/>
          <w:color w:val="000000"/>
          <w:lang w:val="fr-FR"/>
        </w:rPr>
        <w:t xml:space="preserve"> et</w:t>
      </w:r>
    </w:p>
    <w:p w:rsidR="00F7073F" w:rsidRPr="00CF7824" w:rsidRDefault="00164734"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lang w:val="fr-FR"/>
        </w:rPr>
      </w:pPr>
      <w:r w:rsidRPr="00CF7824">
        <w:rPr>
          <w:rFonts w:cs="Calibri"/>
          <w:color w:val="000000"/>
          <w:lang w:val="fr-FR"/>
        </w:rPr>
        <w:lastRenderedPageBreak/>
        <w:t>développera et entretiendra un réseau plus large d</w:t>
      </w:r>
      <w:r w:rsidR="00016E39" w:rsidRPr="00CF7824">
        <w:rPr>
          <w:rFonts w:cs="Calibri"/>
          <w:color w:val="000000"/>
          <w:lang w:val="fr-FR"/>
        </w:rPr>
        <w:t>’</w:t>
      </w:r>
      <w:r w:rsidRPr="00CF7824">
        <w:rPr>
          <w:rFonts w:cs="Calibri"/>
          <w:color w:val="000000"/>
          <w:lang w:val="fr-FR"/>
        </w:rPr>
        <w:t>organisations et de personnes intéressées, reflétant à la fois les fournisseurs et les utilisateurs potentiels de données.</w:t>
      </w:r>
    </w:p>
    <w:p w:rsidR="00F7073F" w:rsidRPr="00CF7824" w:rsidRDefault="007D0678" w:rsidP="002079B7">
      <w:pPr>
        <w:numPr>
          <w:ilvl w:val="0"/>
          <w:numId w:val="19"/>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 xml:space="preserve">Un </w:t>
      </w:r>
      <w:r w:rsidR="00164734" w:rsidRPr="00CF7824">
        <w:rPr>
          <w:rFonts w:cs="Calibri"/>
          <w:color w:val="000000"/>
          <w:lang w:val="fr-FR"/>
        </w:rPr>
        <w:t>[</w:t>
      </w:r>
      <w:r w:rsidRPr="00CF7824">
        <w:rPr>
          <w:rFonts w:cs="Calibri"/>
          <w:color w:val="000000"/>
          <w:lang w:val="fr-FR"/>
        </w:rPr>
        <w:t>Secrétariat</w:t>
      </w:r>
      <w:r w:rsidR="00164734" w:rsidRPr="00CF7824">
        <w:rPr>
          <w:rFonts w:cs="Calibri"/>
          <w:color w:val="000000"/>
          <w:lang w:val="fr-FR"/>
        </w:rPr>
        <w:t>] sera mis en place pour soutenir le fonctionnement du Partenariat, convoquer des réunions, préparer des rapports, etc.</w:t>
      </w:r>
    </w:p>
    <w:p w:rsidR="00F7073F" w:rsidRPr="00CF7824" w:rsidRDefault="00F7073F" w:rsidP="00F7073F">
      <w:pPr>
        <w:pBdr>
          <w:top w:val="nil"/>
          <w:left w:val="nil"/>
          <w:bottom w:val="nil"/>
          <w:right w:val="nil"/>
          <w:between w:val="nil"/>
        </w:pBdr>
        <w:ind w:left="720"/>
        <w:rPr>
          <w:rFonts w:asciiTheme="minorHAnsi" w:eastAsia="Arial" w:hAnsiTheme="minorHAnsi" w:cstheme="minorHAnsi"/>
          <w:color w:val="000000"/>
          <w:lang w:val="fr-FR"/>
        </w:rPr>
      </w:pPr>
    </w:p>
    <w:p w:rsidR="00F7073F" w:rsidRPr="00CF7824" w:rsidRDefault="00164734" w:rsidP="00F7073F">
      <w:pPr>
        <w:keepNext/>
        <w:rPr>
          <w:rFonts w:asciiTheme="minorHAnsi" w:eastAsia="Arial" w:hAnsiTheme="minorHAnsi" w:cstheme="minorHAnsi"/>
          <w:b/>
        </w:rPr>
      </w:pPr>
      <w:r w:rsidRPr="00CF7824">
        <w:rPr>
          <w:rFonts w:cs="Calibri"/>
          <w:b/>
          <w:bCs/>
          <w:lang w:val="fr-FR"/>
        </w:rPr>
        <w:t>Financement</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 xml:space="preserve">Les implications en matière de ressources </w:t>
      </w:r>
      <w:r w:rsidR="001322F7" w:rsidRPr="00CF7824">
        <w:rPr>
          <w:rFonts w:cs="Calibri"/>
          <w:color w:val="000000"/>
          <w:lang w:val="fr-FR"/>
        </w:rPr>
        <w:t xml:space="preserve">prévues pour le Partenariat </w:t>
      </w:r>
      <w:r w:rsidRPr="00CF7824">
        <w:rPr>
          <w:rFonts w:cs="Calibri"/>
          <w:color w:val="000000"/>
          <w:lang w:val="fr-FR"/>
        </w:rPr>
        <w:t>sont résumées dans le tableau</w:t>
      </w:r>
      <w:r w:rsidR="001F19B5" w:rsidRPr="00CF7824">
        <w:rPr>
          <w:rFonts w:cs="Calibri"/>
          <w:color w:val="000000"/>
          <w:lang w:val="fr-FR"/>
        </w:rPr>
        <w:t> </w:t>
      </w:r>
      <w:r w:rsidRPr="00CF7824">
        <w:rPr>
          <w:rFonts w:cs="Calibri"/>
          <w:color w:val="000000"/>
          <w:lang w:val="fr-FR"/>
        </w:rPr>
        <w:t>5.</w:t>
      </w:r>
    </w:p>
    <w:p w:rsidR="00F7073F" w:rsidRPr="00CF7824" w:rsidRDefault="00F7073F" w:rsidP="00F7073F">
      <w:pPr>
        <w:rPr>
          <w:rFonts w:asciiTheme="minorHAnsi" w:eastAsia="Arial" w:hAnsiTheme="minorHAnsi" w:cstheme="minorHAnsi"/>
          <w:lang w:val="fr-FR"/>
        </w:rPr>
      </w:pPr>
    </w:p>
    <w:p w:rsidR="00F7073F" w:rsidRPr="00CF7824" w:rsidRDefault="00164734" w:rsidP="00F7073F">
      <w:pPr>
        <w:rPr>
          <w:rFonts w:asciiTheme="minorHAnsi" w:eastAsia="Arial" w:hAnsiTheme="minorHAnsi" w:cstheme="minorHAnsi"/>
          <w:b/>
        </w:rPr>
      </w:pPr>
      <w:r w:rsidRPr="00CF7824">
        <w:rPr>
          <w:rFonts w:cs="Calibri"/>
          <w:b/>
          <w:bCs/>
          <w:lang w:val="fr-FR"/>
        </w:rPr>
        <w:t>Durée</w:t>
      </w:r>
    </w:p>
    <w:p w:rsidR="00F7073F" w:rsidRPr="00CF7824" w:rsidRDefault="00164734"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lang w:val="fr-FR"/>
        </w:rPr>
      </w:pPr>
      <w:r w:rsidRPr="00CF7824">
        <w:rPr>
          <w:rFonts w:cs="Calibri"/>
          <w:color w:val="000000"/>
          <w:lang w:val="fr-FR"/>
        </w:rPr>
        <w:t>Tout partenaire souhaitant se retirer du Partenariat en informe</w:t>
      </w:r>
      <w:r w:rsidR="001322F7" w:rsidRPr="00CF7824">
        <w:rPr>
          <w:rFonts w:cs="Calibri"/>
          <w:color w:val="000000"/>
          <w:lang w:val="fr-FR"/>
        </w:rPr>
        <w:t>ra</w:t>
      </w:r>
      <w:r w:rsidRPr="00CF7824">
        <w:rPr>
          <w:rFonts w:cs="Calibri"/>
          <w:color w:val="000000"/>
          <w:lang w:val="fr-FR"/>
        </w:rPr>
        <w:t xml:space="preserve"> les autres partenaires avec un préavis de trois mois.</w:t>
      </w:r>
    </w:p>
    <w:p w:rsidR="00F7073F" w:rsidRPr="00CF7824" w:rsidRDefault="00F7073F" w:rsidP="00F7073F">
      <w:pPr>
        <w:rPr>
          <w:rFonts w:asciiTheme="minorHAnsi" w:eastAsia="Arial" w:hAnsiTheme="minorHAnsi" w:cstheme="minorHAnsi"/>
          <w:b/>
          <w:lang w:val="fr-FR"/>
        </w:rPr>
      </w:pPr>
    </w:p>
    <w:p w:rsidR="00F7073F" w:rsidRPr="00CF7824" w:rsidRDefault="00164734" w:rsidP="00F7073F">
      <w:pPr>
        <w:rPr>
          <w:rFonts w:asciiTheme="minorHAnsi" w:eastAsia="Arial" w:hAnsiTheme="minorHAnsi" w:cstheme="minorHAnsi"/>
          <w:b/>
          <w:lang w:val="fr-FR"/>
        </w:rPr>
      </w:pPr>
      <w:r w:rsidRPr="00CF7824">
        <w:rPr>
          <w:rFonts w:cs="Calibri"/>
          <w:b/>
          <w:bCs/>
          <w:lang w:val="fr-FR"/>
        </w:rPr>
        <w:t>Responsabilités de chaque partenaire du Partenariat pour l</w:t>
      </w:r>
      <w:r w:rsidR="00016E39" w:rsidRPr="00CF7824">
        <w:rPr>
          <w:rFonts w:cs="Calibri"/>
          <w:b/>
          <w:bCs/>
          <w:lang w:val="fr-FR"/>
        </w:rPr>
        <w:t>’</w:t>
      </w:r>
      <w:r w:rsidRPr="00CF7824">
        <w:rPr>
          <w:rFonts w:cs="Calibri"/>
          <w:b/>
          <w:bCs/>
          <w:lang w:val="fr-FR"/>
        </w:rPr>
        <w:t>estimation des oiseaux d</w:t>
      </w:r>
      <w:r w:rsidR="00016E39" w:rsidRPr="00CF7824">
        <w:rPr>
          <w:rFonts w:cs="Calibri"/>
          <w:b/>
          <w:bCs/>
          <w:lang w:val="fr-FR"/>
        </w:rPr>
        <w:t>’</w:t>
      </w:r>
      <w:r w:rsidRPr="00CF7824">
        <w:rPr>
          <w:rFonts w:cs="Calibri"/>
          <w:b/>
          <w:bCs/>
          <w:lang w:val="fr-FR"/>
        </w:rPr>
        <w:t xml:space="preserve">eau </w:t>
      </w: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Note</w:t>
      </w:r>
      <w:r w:rsidR="00376BA1" w:rsidRPr="00CF7824">
        <w:rPr>
          <w:rFonts w:cs="Calibri"/>
          <w:color w:val="000000"/>
          <w:lang w:val="fr-FR"/>
        </w:rPr>
        <w:t> </w:t>
      </w:r>
      <w:r w:rsidRPr="00CF7824">
        <w:rPr>
          <w:rFonts w:cs="Calibri"/>
          <w:color w:val="000000"/>
          <w:lang w:val="fr-FR"/>
        </w:rPr>
        <w:t>: Ces responsabilités devront être complétées, discutées et convenues avec les partenaires.</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Secrétariat de la Convention sur les zones humides, conformément à son Plan stratégique, mobilisera des ressources pour faciliter la réalisation d</w:t>
      </w:r>
      <w:r w:rsidR="00016E39" w:rsidRPr="00CF7824">
        <w:rPr>
          <w:rFonts w:cs="Calibri"/>
          <w:color w:val="000000"/>
          <w:lang w:val="fr-FR"/>
        </w:rPr>
        <w:t>’</w:t>
      </w:r>
      <w:r w:rsidRPr="00CF7824">
        <w:rPr>
          <w:rFonts w:cs="Calibri"/>
          <w:color w:val="000000"/>
          <w:lang w:val="fr-FR"/>
        </w:rPr>
        <w:t>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résidents et migrateurs à l</w:t>
      </w:r>
      <w:r w:rsidR="00016E39" w:rsidRPr="00CF7824">
        <w:rPr>
          <w:rFonts w:cs="Calibri"/>
          <w:color w:val="000000"/>
          <w:lang w:val="fr-FR"/>
        </w:rPr>
        <w:t>’</w:t>
      </w:r>
      <w:r w:rsidRPr="00CF7824">
        <w:rPr>
          <w:rFonts w:cs="Calibri"/>
          <w:color w:val="000000"/>
          <w:lang w:val="fr-FR"/>
        </w:rPr>
        <w:t xml:space="preserve">échelle mondiale et en synergie avec les accords/cadres régionaux sur les voies de migration.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Secrétariat de la Convention sur les espèces migratrices, conformément à son Plan stratégique, mobilisera des ressources pour faciliter la réalisation d</w:t>
      </w:r>
      <w:r w:rsidR="00016E39" w:rsidRPr="00CF7824">
        <w:rPr>
          <w:rFonts w:cs="Calibri"/>
          <w:color w:val="000000"/>
          <w:lang w:val="fr-FR"/>
        </w:rPr>
        <w:t>’</w:t>
      </w:r>
      <w:r w:rsidRPr="00CF7824">
        <w:rPr>
          <w:rFonts w:cs="Calibri"/>
          <w:color w:val="000000"/>
          <w:lang w:val="fr-FR"/>
        </w:rPr>
        <w:t>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migrateurs à l</w:t>
      </w:r>
      <w:r w:rsidR="00016E39" w:rsidRPr="00CF7824">
        <w:rPr>
          <w:rFonts w:cs="Calibri"/>
          <w:color w:val="000000"/>
          <w:lang w:val="fr-FR"/>
        </w:rPr>
        <w:t>’</w:t>
      </w:r>
      <w:r w:rsidRPr="00CF7824">
        <w:rPr>
          <w:rFonts w:cs="Calibri"/>
          <w:color w:val="000000"/>
          <w:lang w:val="fr-FR"/>
        </w:rPr>
        <w:t>échelle mondiale et en synergie avec les accords/cadres régionaux sur les voies de migration (y compris l</w:t>
      </w:r>
      <w:r w:rsidR="00016E39" w:rsidRPr="00CF7824">
        <w:rPr>
          <w:rFonts w:cs="Calibri"/>
          <w:color w:val="000000"/>
          <w:lang w:val="fr-FR"/>
        </w:rPr>
        <w:t>’</w:t>
      </w:r>
      <w:r w:rsidRPr="00CF7824">
        <w:rPr>
          <w:rFonts w:cs="Calibri"/>
          <w:color w:val="000000"/>
          <w:lang w:val="fr-FR"/>
        </w:rPr>
        <w:t>AEWA, l</w:t>
      </w:r>
      <w:r w:rsidR="00016E39" w:rsidRPr="00CF7824">
        <w:rPr>
          <w:rFonts w:cs="Calibri"/>
          <w:color w:val="000000"/>
          <w:lang w:val="fr-FR"/>
        </w:rPr>
        <w:t>’</w:t>
      </w:r>
      <w:r w:rsidRPr="00CF7824">
        <w:rPr>
          <w:rFonts w:cs="Calibri"/>
          <w:color w:val="000000"/>
          <w:lang w:val="fr-FR"/>
        </w:rPr>
        <w:t xml:space="preserve">Initiative CAF proposée </w:t>
      </w:r>
      <w:r w:rsidR="001322F7" w:rsidRPr="00CF7824">
        <w:rPr>
          <w:rFonts w:cs="Calibri"/>
          <w:color w:val="000000"/>
          <w:lang w:val="fr-FR"/>
        </w:rPr>
        <w:t xml:space="preserve">– </w:t>
      </w:r>
      <w:r w:rsidRPr="00CF7824">
        <w:rPr>
          <w:rFonts w:cs="Calibri"/>
          <w:color w:val="000000"/>
          <w:lang w:val="fr-FR"/>
        </w:rPr>
        <w:t>incluant le Plan d</w:t>
      </w:r>
      <w:r w:rsidR="00016E39" w:rsidRPr="00CF7824">
        <w:rPr>
          <w:rFonts w:cs="Calibri"/>
          <w:color w:val="000000"/>
          <w:lang w:val="fr-FR"/>
        </w:rPr>
        <w:t>’</w:t>
      </w:r>
      <w:r w:rsidRPr="00CF7824">
        <w:rPr>
          <w:rFonts w:cs="Calibri"/>
          <w:color w:val="000000"/>
          <w:lang w:val="fr-FR"/>
        </w:rPr>
        <w:t>action sur les oiseaux d</w:t>
      </w:r>
      <w:r w:rsidR="00016E39" w:rsidRPr="00CF7824">
        <w:rPr>
          <w:rFonts w:cs="Calibri"/>
          <w:color w:val="000000"/>
          <w:lang w:val="fr-FR"/>
        </w:rPr>
        <w:t>’</w:t>
      </w:r>
      <w:r w:rsidR="001322F7" w:rsidRPr="00CF7824">
        <w:rPr>
          <w:rFonts w:cs="Calibri"/>
          <w:color w:val="000000"/>
          <w:lang w:val="fr-FR"/>
        </w:rPr>
        <w:t>eau de la CAF –</w:t>
      </w:r>
      <w:r w:rsidRPr="00CF7824">
        <w:rPr>
          <w:rFonts w:cs="Calibri"/>
          <w:color w:val="000000"/>
          <w:lang w:val="fr-FR"/>
        </w:rPr>
        <w:t xml:space="preserve"> </w:t>
      </w:r>
      <w:r w:rsidR="001322F7" w:rsidRPr="00CF7824">
        <w:rPr>
          <w:rFonts w:cs="Calibri"/>
          <w:color w:val="000000"/>
          <w:lang w:val="fr-FR"/>
        </w:rPr>
        <w:t>l’</w:t>
      </w:r>
      <w:r w:rsidRPr="00CF7824">
        <w:rPr>
          <w:rFonts w:cs="Calibri"/>
          <w:color w:val="000000"/>
          <w:lang w:val="fr-FR"/>
        </w:rPr>
        <w:t>EAAFP, le Cadre pour les voies de migration des Amérique</w:t>
      </w:r>
      <w:r w:rsidR="001F19B5" w:rsidRPr="00CF7824">
        <w:rPr>
          <w:rFonts w:cs="Calibri"/>
          <w:color w:val="000000"/>
          <w:lang w:val="fr-FR"/>
        </w:rPr>
        <w:t>s</w:t>
      </w:r>
      <w:r w:rsidRPr="00CF7824">
        <w:rPr>
          <w:rFonts w:cs="Calibri"/>
          <w:color w:val="000000"/>
          <w:lang w:val="fr-FR"/>
        </w:rPr>
        <w:t xml:space="preserve"> et son Plan d</w:t>
      </w:r>
      <w:r w:rsidR="00016E39" w:rsidRPr="00CF7824">
        <w:rPr>
          <w:rFonts w:cs="Calibri"/>
          <w:color w:val="000000"/>
          <w:lang w:val="fr-FR"/>
        </w:rPr>
        <w:t>’</w:t>
      </w:r>
      <w:r w:rsidRPr="00CF7824">
        <w:rPr>
          <w:rFonts w:cs="Calibri"/>
          <w:color w:val="000000"/>
          <w:lang w:val="fr-FR"/>
        </w:rPr>
        <w:t xml:space="preserve">action).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w:t>
      </w:r>
      <w:r w:rsidR="00657D39" w:rsidRPr="00CF7824">
        <w:rPr>
          <w:rFonts w:cs="Calibri"/>
          <w:color w:val="000000"/>
          <w:lang w:val="fr-FR"/>
        </w:rPr>
        <w:t xml:space="preserve">Le </w:t>
      </w:r>
      <w:r w:rsidRPr="00CF7824">
        <w:rPr>
          <w:rFonts w:cs="Calibri"/>
          <w:color w:val="000000"/>
          <w:lang w:val="fr-FR"/>
        </w:rPr>
        <w:t>CAFF/Arctic Council, conformément à son Plan stratégique, mobilisera des ressources pour faciliter la réalisation d</w:t>
      </w:r>
      <w:r w:rsidR="00016E39" w:rsidRPr="00CF7824">
        <w:rPr>
          <w:rFonts w:cs="Calibri"/>
          <w:color w:val="000000"/>
          <w:lang w:val="fr-FR"/>
        </w:rPr>
        <w:t>’</w:t>
      </w:r>
      <w:r w:rsidRPr="00CF7824">
        <w:rPr>
          <w:rFonts w:cs="Calibri"/>
          <w:color w:val="000000"/>
          <w:lang w:val="fr-FR"/>
        </w:rPr>
        <w:t>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migrateurs à l</w:t>
      </w:r>
      <w:r w:rsidR="00016E39" w:rsidRPr="00CF7824">
        <w:rPr>
          <w:rFonts w:cs="Calibri"/>
          <w:color w:val="000000"/>
          <w:lang w:val="fr-FR"/>
        </w:rPr>
        <w:t>’</w:t>
      </w:r>
      <w:r w:rsidRPr="00CF7824">
        <w:rPr>
          <w:rFonts w:cs="Calibri"/>
          <w:color w:val="000000"/>
          <w:lang w:val="fr-FR"/>
        </w:rPr>
        <w:t>échelle mondiale et en synergie avec les accords/cadres régionaux sur les voies de migration (y compris l</w:t>
      </w:r>
      <w:r w:rsidR="00016E39" w:rsidRPr="00CF7824">
        <w:rPr>
          <w:rFonts w:cs="Calibri"/>
          <w:color w:val="000000"/>
          <w:lang w:val="fr-FR"/>
        </w:rPr>
        <w:t>’</w:t>
      </w:r>
      <w:r w:rsidRPr="00CF7824">
        <w:rPr>
          <w:rFonts w:cs="Calibri"/>
          <w:color w:val="000000"/>
          <w:lang w:val="fr-FR"/>
        </w:rPr>
        <w:t>AEWA, le Plan d</w:t>
      </w:r>
      <w:r w:rsidR="00016E39" w:rsidRPr="00CF7824">
        <w:rPr>
          <w:rFonts w:cs="Calibri"/>
          <w:color w:val="000000"/>
          <w:lang w:val="fr-FR"/>
        </w:rPr>
        <w:t>’</w:t>
      </w:r>
      <w:r w:rsidRPr="00CF7824">
        <w:rPr>
          <w:rFonts w:cs="Calibri"/>
          <w:color w:val="000000"/>
          <w:lang w:val="fr-FR"/>
        </w:rPr>
        <w:t>action sur les oiseaux d</w:t>
      </w:r>
      <w:r w:rsidR="00016E39" w:rsidRPr="00CF7824">
        <w:rPr>
          <w:rFonts w:cs="Calibri"/>
          <w:color w:val="000000"/>
          <w:lang w:val="fr-FR"/>
        </w:rPr>
        <w:t>’</w:t>
      </w:r>
      <w:r w:rsidRPr="00CF7824">
        <w:rPr>
          <w:rFonts w:cs="Calibri"/>
          <w:color w:val="000000"/>
          <w:lang w:val="fr-FR"/>
        </w:rPr>
        <w:t xml:space="preserve">eau de la CAF, </w:t>
      </w:r>
      <w:r w:rsidR="001322F7" w:rsidRPr="00CF7824">
        <w:rPr>
          <w:rFonts w:cs="Calibri"/>
          <w:color w:val="000000"/>
          <w:lang w:val="fr-FR"/>
        </w:rPr>
        <w:t>l’</w:t>
      </w:r>
      <w:r w:rsidRPr="00CF7824">
        <w:rPr>
          <w:rFonts w:cs="Calibri"/>
          <w:color w:val="000000"/>
          <w:lang w:val="fr-FR"/>
        </w:rPr>
        <w:t>EAAFP, le Cadre et le Plan d</w:t>
      </w:r>
      <w:r w:rsidR="00016E39" w:rsidRPr="00CF7824">
        <w:rPr>
          <w:rFonts w:cs="Calibri"/>
          <w:color w:val="000000"/>
          <w:lang w:val="fr-FR"/>
        </w:rPr>
        <w:t>’</w:t>
      </w:r>
      <w:r w:rsidRPr="00CF7824">
        <w:rPr>
          <w:rFonts w:cs="Calibri"/>
          <w:color w:val="000000"/>
          <w:lang w:val="fr-FR"/>
        </w:rPr>
        <w:t xml:space="preserve">action de la CMS pour les voies de migration des Amériques).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Secrétariat de la CDB, conformément à son Plan stratégique, mobilisera des ressources pour faciliter la réalisation d</w:t>
      </w:r>
      <w:r w:rsidR="00016E39" w:rsidRPr="00CF7824">
        <w:rPr>
          <w:rFonts w:cs="Calibri"/>
          <w:color w:val="000000"/>
          <w:lang w:val="fr-FR"/>
        </w:rPr>
        <w:t>’</w:t>
      </w:r>
      <w:r w:rsidRPr="00CF7824">
        <w:rPr>
          <w:rFonts w:cs="Calibri"/>
          <w:color w:val="000000"/>
          <w:lang w:val="fr-FR"/>
        </w:rPr>
        <w:t>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résidents et migrateurs à l</w:t>
      </w:r>
      <w:r w:rsidR="00016E39" w:rsidRPr="00CF7824">
        <w:rPr>
          <w:rFonts w:cs="Calibri"/>
          <w:color w:val="000000"/>
          <w:lang w:val="fr-FR"/>
        </w:rPr>
        <w:t>’</w:t>
      </w:r>
      <w:r w:rsidRPr="00CF7824">
        <w:rPr>
          <w:rFonts w:cs="Calibri"/>
          <w:color w:val="000000"/>
          <w:lang w:val="fr-FR"/>
        </w:rPr>
        <w:t xml:space="preserve">échelle mondiale et en synergie avec les accords/cadres régionaux sur les voies de migration.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Secrétariat CITES, conformément à son Plan stratégique, mobilisera des ressources pour faciliter la réalisation d</w:t>
      </w:r>
      <w:r w:rsidR="00016E39" w:rsidRPr="00CF7824">
        <w:rPr>
          <w:rFonts w:cs="Calibri"/>
          <w:color w:val="000000"/>
          <w:lang w:val="fr-FR"/>
        </w:rPr>
        <w:t>’</w:t>
      </w:r>
      <w:r w:rsidRPr="00CF7824">
        <w:rPr>
          <w:rFonts w:cs="Calibri"/>
          <w:color w:val="000000"/>
          <w:lang w:val="fr-FR"/>
        </w:rPr>
        <w:t>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résidents et migrateurs à l</w:t>
      </w:r>
      <w:r w:rsidR="00016E39" w:rsidRPr="00CF7824">
        <w:rPr>
          <w:rFonts w:cs="Calibri"/>
          <w:color w:val="000000"/>
          <w:lang w:val="fr-FR"/>
        </w:rPr>
        <w:t>’</w:t>
      </w:r>
      <w:r w:rsidRPr="00CF7824">
        <w:rPr>
          <w:rFonts w:cs="Calibri"/>
          <w:color w:val="000000"/>
          <w:lang w:val="fr-FR"/>
        </w:rPr>
        <w:t xml:space="preserve">échelle mondiale et en synergie avec les accords/cadres </w:t>
      </w:r>
      <w:r w:rsidRPr="00CF7824">
        <w:rPr>
          <w:rFonts w:cs="Calibri"/>
          <w:color w:val="000000"/>
          <w:lang w:val="fr-FR"/>
        </w:rPr>
        <w:lastRenderedPageBreak/>
        <w:t xml:space="preserve">régionaux sur les voies de migration.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b/>
          <w:color w:val="000000"/>
          <w:lang w:val="fr-FR"/>
        </w:rPr>
      </w:pPr>
      <w:r w:rsidRPr="00CF7824">
        <w:rPr>
          <w:rFonts w:cs="Calibri"/>
          <w:color w:val="000000"/>
          <w:lang w:val="fr-FR"/>
        </w:rPr>
        <w:t>[L</w:t>
      </w:r>
      <w:r w:rsidR="00016E39" w:rsidRPr="00CF7824">
        <w:rPr>
          <w:rFonts w:cs="Calibri"/>
          <w:color w:val="000000"/>
          <w:lang w:val="fr-FR"/>
        </w:rPr>
        <w:t>’</w:t>
      </w:r>
      <w:r w:rsidRPr="00CF7824">
        <w:rPr>
          <w:rFonts w:cs="Calibri"/>
          <w:color w:val="000000"/>
          <w:lang w:val="fr-FR"/>
        </w:rPr>
        <w:t>Accord sur la conservation des oiseaux d</w:t>
      </w:r>
      <w:r w:rsidR="00016E39" w:rsidRPr="00CF7824">
        <w:rPr>
          <w:rFonts w:cs="Calibri"/>
          <w:color w:val="000000"/>
          <w:lang w:val="fr-FR"/>
        </w:rPr>
        <w:t>’</w:t>
      </w:r>
      <w:r w:rsidRPr="00CF7824">
        <w:rPr>
          <w:rFonts w:cs="Calibri"/>
          <w:color w:val="000000"/>
          <w:lang w:val="fr-FR"/>
        </w:rPr>
        <w:t>eau d</w:t>
      </w:r>
      <w:r w:rsidR="00016E39" w:rsidRPr="00CF7824">
        <w:rPr>
          <w:rFonts w:cs="Calibri"/>
          <w:color w:val="000000"/>
          <w:lang w:val="fr-FR"/>
        </w:rPr>
        <w:t>’</w:t>
      </w:r>
      <w:r w:rsidRPr="00CF7824">
        <w:rPr>
          <w:rFonts w:cs="Calibri"/>
          <w:color w:val="000000"/>
          <w:lang w:val="fr-FR"/>
        </w:rPr>
        <w:t>Afrique-Eurasie] mobilisera des ressources pour coordonner l</w:t>
      </w:r>
      <w:r w:rsidR="00016E39" w:rsidRPr="00CF7824">
        <w:rPr>
          <w:rFonts w:cs="Calibri"/>
          <w:color w:val="000000"/>
          <w:lang w:val="fr-FR"/>
        </w:rPr>
        <w:t>’</w:t>
      </w:r>
      <w:r w:rsidRPr="00CF7824">
        <w:rPr>
          <w:rFonts w:cs="Calibri"/>
          <w:color w:val="000000"/>
          <w:lang w:val="fr-FR"/>
        </w:rPr>
        <w:t>évaluation régulière des tailles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eau migrateurs inscrites au titre de l</w:t>
      </w:r>
      <w:r w:rsidR="00016E39" w:rsidRPr="00CF7824">
        <w:rPr>
          <w:rFonts w:cs="Calibri"/>
          <w:color w:val="000000"/>
          <w:lang w:val="fr-FR"/>
        </w:rPr>
        <w:t>’</w:t>
      </w:r>
      <w:r w:rsidRPr="00CF7824">
        <w:rPr>
          <w:rFonts w:cs="Calibri"/>
          <w:color w:val="000000"/>
          <w:lang w:val="fr-FR"/>
        </w:rPr>
        <w:t>Accord dans sa zone d</w:t>
      </w:r>
      <w:r w:rsidR="00016E39" w:rsidRPr="00CF7824">
        <w:rPr>
          <w:rFonts w:cs="Calibri"/>
          <w:color w:val="000000"/>
          <w:lang w:val="fr-FR"/>
        </w:rPr>
        <w:t>’</w:t>
      </w:r>
      <w:r w:rsidRPr="00CF7824">
        <w:rPr>
          <w:rFonts w:cs="Calibri"/>
          <w:color w:val="000000"/>
          <w:lang w:val="fr-FR"/>
        </w:rPr>
        <w:t xml:space="preserve">application et les communiquera au processus mondial du Waterbird populations Portal.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Partenariat pour la voie de migration Asie de l</w:t>
      </w:r>
      <w:r w:rsidR="00016E39" w:rsidRPr="00CF7824">
        <w:rPr>
          <w:rFonts w:cs="Calibri"/>
          <w:color w:val="000000"/>
          <w:lang w:val="fr-FR"/>
        </w:rPr>
        <w:t>’</w:t>
      </w:r>
      <w:r w:rsidR="00741B89" w:rsidRPr="00CF7824">
        <w:rPr>
          <w:rFonts w:cs="Calibri"/>
          <w:color w:val="000000"/>
          <w:lang w:val="fr-FR"/>
        </w:rPr>
        <w:t>Est-</w:t>
      </w:r>
      <w:r w:rsidRPr="00CF7824">
        <w:rPr>
          <w:rFonts w:cs="Calibri"/>
          <w:color w:val="000000"/>
          <w:lang w:val="fr-FR"/>
        </w:rPr>
        <w:t>Australasie</w:t>
      </w:r>
      <w:r w:rsidR="001322F7" w:rsidRPr="00CF7824">
        <w:rPr>
          <w:rFonts w:cs="Calibri"/>
          <w:color w:val="000000"/>
          <w:lang w:val="fr-FR"/>
        </w:rPr>
        <w:t xml:space="preserve"> (EAAFP)</w:t>
      </w:r>
      <w:r w:rsidRPr="00CF7824">
        <w:rPr>
          <w:rFonts w:cs="Calibri"/>
          <w:color w:val="000000"/>
          <w:lang w:val="fr-FR"/>
        </w:rPr>
        <w:t>, conformément à son Plan stratégique, mobilisera des ressources et s</w:t>
      </w:r>
      <w:r w:rsidR="00016E39" w:rsidRPr="00CF7824">
        <w:rPr>
          <w:rFonts w:cs="Calibri"/>
          <w:color w:val="000000"/>
          <w:lang w:val="fr-FR"/>
        </w:rPr>
        <w:t>’</w:t>
      </w:r>
      <w:r w:rsidRPr="00CF7824">
        <w:rPr>
          <w:rFonts w:cs="Calibri"/>
          <w:color w:val="000000"/>
          <w:lang w:val="fr-FR"/>
        </w:rPr>
        <w:t>associera à Wetlands International pour fournir des évaluations régulières de la taille et des tendances des populations d</w:t>
      </w:r>
      <w:r w:rsidR="00016E39" w:rsidRPr="00CF7824">
        <w:rPr>
          <w:rFonts w:cs="Calibri"/>
          <w:color w:val="000000"/>
          <w:lang w:val="fr-FR"/>
        </w:rPr>
        <w:t>’</w:t>
      </w:r>
      <w:r w:rsidRPr="00CF7824">
        <w:rPr>
          <w:rFonts w:cs="Calibri"/>
          <w:color w:val="000000"/>
          <w:lang w:val="fr-FR"/>
        </w:rPr>
        <w:t>oiseaux d</w:t>
      </w:r>
      <w:r w:rsidR="00016E39" w:rsidRPr="00CF7824">
        <w:rPr>
          <w:rFonts w:cs="Calibri"/>
          <w:color w:val="000000"/>
          <w:lang w:val="fr-FR"/>
        </w:rPr>
        <w:t>’</w:t>
      </w:r>
      <w:r w:rsidRPr="00CF7824">
        <w:rPr>
          <w:rFonts w:cs="Calibri"/>
          <w:color w:val="000000"/>
          <w:lang w:val="fr-FR"/>
        </w:rPr>
        <w:t xml:space="preserve">eau migrateurs de </w:t>
      </w:r>
      <w:r w:rsidR="001322F7" w:rsidRPr="00CF7824">
        <w:rPr>
          <w:rFonts w:cs="Calibri"/>
          <w:color w:val="000000"/>
          <w:lang w:val="fr-FR"/>
        </w:rPr>
        <w:t>la voie de migration</w:t>
      </w:r>
      <w:r w:rsidRPr="00CF7824">
        <w:rPr>
          <w:rFonts w:cs="Calibri"/>
          <w:color w:val="000000"/>
          <w:lang w:val="fr-FR"/>
        </w:rPr>
        <w:t>, telles qu</w:t>
      </w:r>
      <w:r w:rsidR="00016E39" w:rsidRPr="00CF7824">
        <w:rPr>
          <w:rFonts w:cs="Calibri"/>
          <w:color w:val="000000"/>
          <w:lang w:val="fr-FR"/>
        </w:rPr>
        <w:t>’</w:t>
      </w:r>
      <w:r w:rsidRPr="00CF7824">
        <w:rPr>
          <w:rFonts w:cs="Calibri"/>
          <w:color w:val="000000"/>
          <w:lang w:val="fr-FR"/>
        </w:rPr>
        <w:t xml:space="preserve">elles sont répertoriées par le Partenariat, et les communiquera au processus mondial du Waterbird populations Portal. </w:t>
      </w:r>
      <w:r w:rsidR="001322F7" w:rsidRPr="00CF7824">
        <w:rPr>
          <w:rFonts w:cs="Calibri"/>
          <w:color w:val="000000"/>
          <w:lang w:val="fr-FR"/>
        </w:rPr>
        <w:t>Il</w:t>
      </w:r>
      <w:r w:rsidRPr="00CF7824">
        <w:rPr>
          <w:rFonts w:cs="Calibri"/>
          <w:color w:val="000000"/>
          <w:lang w:val="fr-FR"/>
        </w:rPr>
        <w:t xml:space="preserve"> contribuera par des ressources à l</w:t>
      </w:r>
      <w:r w:rsidR="00016E39" w:rsidRPr="00CF7824">
        <w:rPr>
          <w:rFonts w:cs="Calibri"/>
          <w:color w:val="000000"/>
          <w:lang w:val="fr-FR"/>
        </w:rPr>
        <w:t>’</w:t>
      </w:r>
      <w:r w:rsidRPr="00CF7824">
        <w:rPr>
          <w:rFonts w:cs="Calibri"/>
          <w:color w:val="000000"/>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[Le Réseau de réserves pour les oiseaux de rivage de l</w:t>
      </w:r>
      <w:r w:rsidR="00016E39" w:rsidRPr="00CF7824">
        <w:rPr>
          <w:rFonts w:cs="Calibri"/>
          <w:color w:val="000000"/>
          <w:lang w:val="fr-FR"/>
        </w:rPr>
        <w:t>’</w:t>
      </w:r>
      <w:r w:rsidRPr="00CF7824">
        <w:rPr>
          <w:rFonts w:cs="Calibri"/>
          <w:color w:val="000000"/>
          <w:lang w:val="fr-FR"/>
        </w:rPr>
        <w:t xml:space="preserve">hémisphère occidental </w:t>
      </w:r>
      <w:r w:rsidRPr="00CF7824">
        <w:rPr>
          <w:rFonts w:cs="Calibri"/>
          <w:lang w:val="fr-FR"/>
        </w:rPr>
        <w:t>conformément à son Plan stratégique, mobilisera des ressources et travaillera avec des partenaires pour fournir des évaluations régulières de la taille et des tendances des populations d</w:t>
      </w:r>
      <w:r w:rsidR="00016E39" w:rsidRPr="00CF7824">
        <w:rPr>
          <w:rFonts w:cs="Calibri"/>
          <w:lang w:val="fr-FR"/>
        </w:rPr>
        <w:t>’</w:t>
      </w:r>
      <w:r w:rsidRPr="00CF7824">
        <w:rPr>
          <w:rFonts w:cs="Calibri"/>
          <w:lang w:val="fr-FR"/>
        </w:rPr>
        <w:t>oiseaux de rivage (limicoles), qu</w:t>
      </w:r>
      <w:r w:rsidR="00016E39" w:rsidRPr="00CF7824">
        <w:rPr>
          <w:rFonts w:cs="Calibri"/>
          <w:lang w:val="fr-FR"/>
        </w:rPr>
        <w:t>’</w:t>
      </w:r>
      <w:r w:rsidRPr="00CF7824">
        <w:rPr>
          <w:rFonts w:cs="Calibri"/>
          <w:lang w:val="fr-FR"/>
        </w:rPr>
        <w:t>il s</w:t>
      </w:r>
      <w:r w:rsidR="00016E39" w:rsidRPr="00CF7824">
        <w:rPr>
          <w:rFonts w:cs="Calibri"/>
          <w:lang w:val="fr-FR"/>
        </w:rPr>
        <w:t>’</w:t>
      </w:r>
      <w:r w:rsidRPr="00CF7824">
        <w:rPr>
          <w:rFonts w:cs="Calibri"/>
          <w:lang w:val="fr-FR"/>
        </w:rPr>
        <w:t>agisse d</w:t>
      </w:r>
      <w:r w:rsidR="00016E39" w:rsidRPr="00CF7824">
        <w:rPr>
          <w:rFonts w:cs="Calibri"/>
          <w:lang w:val="fr-FR"/>
        </w:rPr>
        <w:t>’</w:t>
      </w:r>
      <w:r w:rsidRPr="00CF7824">
        <w:rPr>
          <w:rFonts w:cs="Calibri"/>
          <w:lang w:val="fr-FR"/>
        </w:rPr>
        <w:t xml:space="preserve">espèces migratrices ou résidentes, au sein des Amériques, et les communiquera au processus mondial du Waterbird populations Portal. </w:t>
      </w:r>
      <w:r w:rsidR="001322F7" w:rsidRPr="00CF7824">
        <w:rPr>
          <w:rFonts w:cs="Calibri"/>
          <w:lang w:val="fr-FR"/>
        </w:rPr>
        <w:t>Il</w:t>
      </w:r>
      <w:r w:rsidRPr="00CF7824">
        <w:rPr>
          <w:rFonts w:cs="Calibri"/>
          <w:lang w:val="fr-FR"/>
        </w:rPr>
        <w:t xml:space="preserve"> contribuera par de ressources à l</w:t>
      </w:r>
      <w:r w:rsidR="00016E39" w:rsidRPr="00CF7824">
        <w:rPr>
          <w:rFonts w:cs="Calibri"/>
          <w:lang w:val="fr-FR"/>
        </w:rPr>
        <w:t>’</w:t>
      </w:r>
      <w:r w:rsidRPr="00CF7824">
        <w:rPr>
          <w:rFonts w:cs="Calibri"/>
          <w:lang w:val="fr-FR"/>
        </w:rPr>
        <w:t>organisation de la mise en œuvre du Partenariat].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[Wetlands International coordonnera les bases de données relatives aux oiseaux d</w:t>
      </w:r>
      <w:r w:rsidR="00016E39" w:rsidRPr="00CF7824">
        <w:rPr>
          <w:rFonts w:cs="Calibri"/>
          <w:color w:val="000000"/>
          <w:lang w:val="fr-FR"/>
        </w:rPr>
        <w:t>’</w:t>
      </w:r>
      <w:r w:rsidRPr="00CF7824">
        <w:rPr>
          <w:rFonts w:cs="Calibri"/>
          <w:color w:val="000000"/>
          <w:lang w:val="fr-FR"/>
        </w:rPr>
        <w:t>eau, la gestion et la mise à jour des données, conformément au Critère</w:t>
      </w:r>
      <w:r w:rsidR="001F19B5" w:rsidRPr="00CF7824">
        <w:rPr>
          <w:rFonts w:cs="Calibri"/>
          <w:color w:val="000000"/>
          <w:lang w:val="fr-FR"/>
        </w:rPr>
        <w:t> </w:t>
      </w:r>
      <w:r w:rsidRPr="00CF7824">
        <w:rPr>
          <w:rFonts w:cs="Calibri"/>
          <w:color w:val="000000"/>
          <w:lang w:val="fr-FR"/>
        </w:rPr>
        <w:t>6 de la Convention sur les zones humides, à travers les actions suivantes</w:t>
      </w:r>
      <w:r w:rsidR="00376BA1" w:rsidRPr="00CF7824">
        <w:rPr>
          <w:rFonts w:cs="Calibri"/>
          <w:color w:val="000000"/>
          <w:lang w:val="fr-FR"/>
        </w:rPr>
        <w:t> </w:t>
      </w:r>
      <w:r w:rsidRPr="00CF7824">
        <w:rPr>
          <w:rFonts w:cs="Calibri"/>
          <w:color w:val="000000"/>
          <w:lang w:val="fr-FR"/>
        </w:rPr>
        <w: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m</w:t>
      </w:r>
      <w:r w:rsidR="00164734" w:rsidRPr="00CF7824">
        <w:rPr>
          <w:rFonts w:cs="Calibri"/>
          <w:color w:val="000000"/>
          <w:lang w:val="fr-FR"/>
        </w:rPr>
        <w:t xml:space="preserve">aintenir la fonctionnalité </w:t>
      </w:r>
      <w:r w:rsidRPr="00CF7824">
        <w:rPr>
          <w:rFonts w:cs="Calibri"/>
          <w:color w:val="000000"/>
          <w:lang w:val="fr-FR"/>
        </w:rPr>
        <w:t xml:space="preserve">du </w:t>
      </w:r>
      <w:r w:rsidR="004278F7" w:rsidRPr="00CF7824">
        <w:rPr>
          <w:rFonts w:asciiTheme="minorHAnsi" w:eastAsia="Arial" w:hAnsiTheme="minorHAnsi" w:cstheme="minorHAnsi"/>
          <w:color w:val="000000"/>
          <w:lang w:val="fr-FR"/>
        </w:rPr>
        <w:t>Waterbird</w:t>
      </w:r>
      <w:r w:rsidRPr="00CF7824">
        <w:rPr>
          <w:rFonts w:asciiTheme="minorHAnsi" w:eastAsia="Arial" w:hAnsiTheme="minorHAnsi" w:cstheme="minorHAnsi"/>
          <w:color w:val="000000"/>
          <w:lang w:val="fr-FR"/>
        </w:rPr>
        <w:t xml:space="preserve"> Populations Portal mondial</w:t>
      </w:r>
      <w:r w:rsidR="00164734" w:rsidRPr="00CF7824">
        <w:rPr>
          <w:rFonts w:cs="Calibri"/>
          <w:color w:val="000000"/>
          <w:lang w:val="fr-FR"/>
        </w:rPr>
        <w:t>, compiler les données et fixer les seuils de 1%</w:t>
      </w:r>
      <w:r w:rsidR="00A12CF2" w:rsidRPr="00CF7824">
        <w:rPr>
          <w:rFonts w:cs="Calibri"/>
          <w:color w:val="000000"/>
          <w:lang w:val="fr-FR"/>
        </w:rPr>
        <w: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g</w:t>
      </w:r>
      <w:r w:rsidR="00164734" w:rsidRPr="00CF7824">
        <w:rPr>
          <w:rFonts w:cs="Calibri"/>
          <w:color w:val="000000"/>
          <w:lang w:val="fr-FR"/>
        </w:rPr>
        <w:t>érer les Dénombrements internationaux des oiseaux d</w:t>
      </w:r>
      <w:r w:rsidR="00016E39" w:rsidRPr="00CF7824">
        <w:rPr>
          <w:rFonts w:cs="Calibri"/>
          <w:color w:val="000000"/>
          <w:lang w:val="fr-FR"/>
        </w:rPr>
        <w:t>’</w:t>
      </w:r>
      <w:r w:rsidR="00164734" w:rsidRPr="00CF7824">
        <w:rPr>
          <w:rFonts w:cs="Calibri"/>
          <w:color w:val="000000"/>
          <w:lang w:val="fr-FR"/>
        </w:rPr>
        <w:t>eau (DIOE) par des partenariats sur les voies de migration en tant que source majeure d</w:t>
      </w:r>
      <w:r w:rsidR="00016E39" w:rsidRPr="00CF7824">
        <w:rPr>
          <w:rFonts w:cs="Calibri"/>
          <w:color w:val="000000"/>
          <w:lang w:val="fr-FR"/>
        </w:rPr>
        <w:t>’</w:t>
      </w:r>
      <w:r w:rsidR="00164734" w:rsidRPr="00CF7824">
        <w:rPr>
          <w:rFonts w:cs="Calibri"/>
          <w:color w:val="000000"/>
          <w:lang w:val="fr-FR"/>
        </w:rPr>
        <w:t>informations sur les populations d</w:t>
      </w:r>
      <w:r w:rsidR="00016E39" w:rsidRPr="00CF7824">
        <w:rPr>
          <w:rFonts w:cs="Calibri"/>
          <w:color w:val="000000"/>
          <w:lang w:val="fr-FR"/>
        </w:rPr>
        <w:t>’</w:t>
      </w:r>
      <w:r w:rsidR="00164734" w:rsidRPr="00CF7824">
        <w:rPr>
          <w:rFonts w:cs="Calibri"/>
          <w:color w:val="000000"/>
          <w:lang w:val="fr-FR"/>
        </w:rPr>
        <w:t>oiseaux d</w:t>
      </w:r>
      <w:r w:rsidR="00016E39" w:rsidRPr="00CF7824">
        <w:rPr>
          <w:rFonts w:cs="Calibri"/>
          <w:color w:val="000000"/>
          <w:lang w:val="fr-FR"/>
        </w:rPr>
        <w:t>’</w:t>
      </w:r>
      <w:r w:rsidR="00164734" w:rsidRPr="00CF7824">
        <w:rPr>
          <w:rFonts w:cs="Calibri"/>
          <w:color w:val="000000"/>
          <w:lang w:val="fr-FR"/>
        </w:rPr>
        <w:t>eau, et intégrer les résultats dans les processus d</w:t>
      </w:r>
      <w:r w:rsidR="00016E39" w:rsidRPr="00CF7824">
        <w:rPr>
          <w:rFonts w:cs="Calibri"/>
          <w:color w:val="000000"/>
          <w:lang w:val="fr-FR"/>
        </w:rPr>
        <w:t>’</w:t>
      </w:r>
      <w:r w:rsidR="00164734" w:rsidRPr="00CF7824">
        <w:rPr>
          <w:rFonts w:cs="Calibri"/>
          <w:color w:val="000000"/>
          <w:lang w:val="fr-FR"/>
        </w:rPr>
        <w:t>évaluation</w:t>
      </w:r>
      <w:r w:rsidR="00A12CF2" w:rsidRPr="00CF7824">
        <w:rPr>
          <w:rFonts w:cs="Calibri"/>
          <w:color w:val="000000"/>
          <w:lang w:val="fr-FR"/>
        </w:rPr>
        <w: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c</w:t>
      </w:r>
      <w:r w:rsidR="00164734" w:rsidRPr="00CF7824">
        <w:rPr>
          <w:rFonts w:cs="Calibri"/>
          <w:color w:val="000000"/>
          <w:lang w:val="fr-FR"/>
        </w:rPr>
        <w:t>oordonner/réaliser l</w:t>
      </w:r>
      <w:r w:rsidR="00016E39" w:rsidRPr="00CF7824">
        <w:rPr>
          <w:rFonts w:cs="Calibri"/>
          <w:color w:val="000000"/>
          <w:lang w:val="fr-FR"/>
        </w:rPr>
        <w:t>’</w:t>
      </w:r>
      <w:r w:rsidR="00164734" w:rsidRPr="00CF7824">
        <w:rPr>
          <w:rFonts w:cs="Calibri"/>
          <w:color w:val="000000"/>
          <w:lang w:val="fr-FR"/>
        </w:rPr>
        <w:t>évaluation régulière de la taille et des tendances des populations (CSR) à l</w:t>
      </w:r>
      <w:r w:rsidR="00016E39" w:rsidRPr="00CF7824">
        <w:rPr>
          <w:rFonts w:cs="Calibri"/>
          <w:color w:val="000000"/>
          <w:lang w:val="fr-FR"/>
        </w:rPr>
        <w:t>’</w:t>
      </w:r>
      <w:r w:rsidR="00164734" w:rsidRPr="00CF7824">
        <w:rPr>
          <w:rFonts w:cs="Calibri"/>
          <w:color w:val="000000"/>
          <w:lang w:val="fr-FR"/>
        </w:rPr>
        <w:t>échelle de</w:t>
      </w:r>
      <w:r w:rsidRPr="00CF7824">
        <w:rPr>
          <w:rFonts w:cs="Calibri"/>
          <w:color w:val="000000"/>
          <w:lang w:val="fr-FR"/>
        </w:rPr>
        <w:t>s</w:t>
      </w:r>
      <w:r w:rsidR="00164734" w:rsidRPr="00CF7824">
        <w:rPr>
          <w:rFonts w:cs="Calibri"/>
          <w:color w:val="000000"/>
          <w:lang w:val="fr-FR"/>
        </w:rPr>
        <w:t xml:space="preserve"> voie</w:t>
      </w:r>
      <w:r w:rsidRPr="00CF7824">
        <w:rPr>
          <w:rFonts w:cs="Calibri"/>
          <w:color w:val="000000"/>
          <w:lang w:val="fr-FR"/>
        </w:rPr>
        <w:t>s</w:t>
      </w:r>
      <w:r w:rsidR="00164734" w:rsidRPr="00CF7824">
        <w:rPr>
          <w:rFonts w:cs="Calibri"/>
          <w:color w:val="000000"/>
          <w:lang w:val="fr-FR"/>
        </w:rPr>
        <w:t xml:space="preserve"> de migration pour les taxons d</w:t>
      </w:r>
      <w:r w:rsidR="00016E39" w:rsidRPr="00CF7824">
        <w:rPr>
          <w:rFonts w:cs="Calibri"/>
          <w:color w:val="000000"/>
          <w:lang w:val="fr-FR"/>
        </w:rPr>
        <w:t>’</w:t>
      </w:r>
      <w:r w:rsidR="00164734" w:rsidRPr="00CF7824">
        <w:rPr>
          <w:rFonts w:cs="Calibri"/>
          <w:color w:val="000000"/>
          <w:lang w:val="fr-FR"/>
        </w:rPr>
        <w:t>oiseaux d</w:t>
      </w:r>
      <w:r w:rsidR="00016E39" w:rsidRPr="00CF7824">
        <w:rPr>
          <w:rFonts w:cs="Calibri"/>
          <w:color w:val="000000"/>
          <w:lang w:val="fr-FR"/>
        </w:rPr>
        <w:t>’</w:t>
      </w:r>
      <w:r w:rsidR="00164734" w:rsidRPr="00CF7824">
        <w:rPr>
          <w:rFonts w:cs="Calibri"/>
          <w:color w:val="000000"/>
          <w:lang w:val="fr-FR"/>
        </w:rPr>
        <w:t>eau migrateurs, le cas échéant, avec des partenariats régionaux</w:t>
      </w:r>
      <w:r w:rsidR="00A12CF2" w:rsidRPr="00CF7824">
        <w:rPr>
          <w:rFonts w:cs="Calibri"/>
          <w:color w:val="000000"/>
          <w:lang w:val="fr-FR"/>
        </w:rPr>
        <w: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c</w:t>
      </w:r>
      <w:r w:rsidR="00164734" w:rsidRPr="00CF7824">
        <w:rPr>
          <w:rFonts w:cs="Calibri"/>
          <w:color w:val="000000"/>
          <w:lang w:val="fr-FR"/>
        </w:rPr>
        <w:t>oordonner/réaliser des études pour les taxons d</w:t>
      </w:r>
      <w:r w:rsidR="00016E39" w:rsidRPr="00CF7824">
        <w:rPr>
          <w:rFonts w:cs="Calibri"/>
          <w:color w:val="000000"/>
          <w:lang w:val="fr-FR"/>
        </w:rPr>
        <w:t>’</w:t>
      </w:r>
      <w:r w:rsidR="00164734" w:rsidRPr="00CF7824">
        <w:rPr>
          <w:rFonts w:cs="Calibri"/>
          <w:color w:val="000000"/>
          <w:lang w:val="fr-FR"/>
        </w:rPr>
        <w:t>oiseaux d</w:t>
      </w:r>
      <w:r w:rsidR="00016E39" w:rsidRPr="00CF7824">
        <w:rPr>
          <w:rFonts w:cs="Calibri"/>
          <w:color w:val="000000"/>
          <w:lang w:val="fr-FR"/>
        </w:rPr>
        <w:t>’</w:t>
      </w:r>
      <w:r w:rsidR="00164734" w:rsidRPr="00CF7824">
        <w:rPr>
          <w:rFonts w:cs="Calibri"/>
          <w:color w:val="000000"/>
          <w:lang w:val="fr-FR"/>
        </w:rPr>
        <w:t>eau non migra</w:t>
      </w:r>
      <w:r w:rsidRPr="00CF7824">
        <w:rPr>
          <w:rFonts w:cs="Calibri"/>
          <w:color w:val="000000"/>
          <w:lang w:val="fr-FR"/>
        </w:rPr>
        <w:t>teurs</w:t>
      </w:r>
      <w:r w:rsidR="00A12CF2" w:rsidRPr="00CF7824">
        <w:rPr>
          <w:rFonts w:cs="Calibri"/>
          <w:color w:val="000000"/>
          <w:lang w:val="fr-FR"/>
        </w:rPr>
        <w: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p</w:t>
      </w:r>
      <w:r w:rsidR="00164734" w:rsidRPr="00CF7824">
        <w:rPr>
          <w:rFonts w:cs="Calibri"/>
          <w:color w:val="000000"/>
          <w:lang w:val="fr-FR"/>
        </w:rPr>
        <w:t xml:space="preserve">roposer périodiquement au </w:t>
      </w:r>
      <w:r w:rsidRPr="00CF7824">
        <w:rPr>
          <w:rFonts w:cs="Calibri"/>
          <w:color w:val="000000"/>
          <w:lang w:val="fr-FR"/>
        </w:rPr>
        <w:t xml:space="preserve">Partenariat </w:t>
      </w:r>
      <w:r w:rsidR="00164734" w:rsidRPr="00CF7824">
        <w:rPr>
          <w:rFonts w:cs="Calibri"/>
          <w:color w:val="000000"/>
          <w:lang w:val="fr-FR"/>
        </w:rPr>
        <w:t>de nouveaux seuils de 1% pour un accord sur leur mise à jour</w:t>
      </w:r>
      <w:r w:rsidR="00A12CF2" w:rsidRPr="00CF7824">
        <w:rPr>
          <w:rFonts w:cs="Calibri"/>
          <w:color w:val="000000"/>
          <w:lang w:val="fr-FR"/>
        </w:rPr>
        <w:t>;</w:t>
      </w:r>
    </w:p>
    <w:p w:rsidR="00B8673A" w:rsidRPr="00CF7824" w:rsidRDefault="000E2DFE" w:rsidP="00B8673A">
      <w:pPr>
        <w:numPr>
          <w:ilvl w:val="0"/>
          <w:numId w:val="5"/>
        </w:numPr>
        <w:pBdr>
          <w:top w:val="nil"/>
          <w:left w:val="nil"/>
          <w:bottom w:val="nil"/>
          <w:right w:val="nil"/>
          <w:between w:val="nil"/>
        </w:pBdr>
        <w:rPr>
          <w:rFonts w:asciiTheme="minorHAnsi" w:eastAsia="Arial" w:hAnsiTheme="minorHAnsi" w:cstheme="minorHAnsi"/>
          <w:lang w:val="fr-FR"/>
        </w:rPr>
      </w:pPr>
      <w:r w:rsidRPr="00CF7824">
        <w:rPr>
          <w:rFonts w:cs="Calibri"/>
          <w:color w:val="000000"/>
          <w:lang w:val="fr-FR"/>
        </w:rPr>
        <w:t>c</w:t>
      </w:r>
      <w:r w:rsidR="00164734" w:rsidRPr="00CF7824">
        <w:rPr>
          <w:rFonts w:cs="Calibri"/>
          <w:color w:val="000000"/>
          <w:lang w:val="fr-FR"/>
        </w:rPr>
        <w:t>ollaborer à l</w:t>
      </w:r>
      <w:r w:rsidR="00016E39" w:rsidRPr="00CF7824">
        <w:rPr>
          <w:rFonts w:cs="Calibri"/>
          <w:color w:val="000000"/>
          <w:lang w:val="fr-FR"/>
        </w:rPr>
        <w:t>’</w:t>
      </w:r>
      <w:r w:rsidR="00164734" w:rsidRPr="00CF7824">
        <w:rPr>
          <w:rFonts w:cs="Calibri"/>
          <w:color w:val="000000"/>
          <w:lang w:val="fr-FR"/>
        </w:rPr>
        <w:t>élaboration de proposi</w:t>
      </w:r>
      <w:r w:rsidRPr="00CF7824">
        <w:rPr>
          <w:rFonts w:cs="Calibri"/>
          <w:color w:val="000000"/>
          <w:lang w:val="fr-FR"/>
        </w:rPr>
        <w:t>tions de financement conjointes</w:t>
      </w:r>
      <w:r w:rsidR="00A12CF2" w:rsidRPr="00CF7824">
        <w:rPr>
          <w:rFonts w:cs="Calibri"/>
          <w:color w:val="000000"/>
          <w:lang w:val="fr-FR"/>
        </w:rPr>
        <w:t>;</w:t>
      </w:r>
      <w:r w:rsidRPr="00CF7824">
        <w:rPr>
          <w:rFonts w:cs="Calibri"/>
          <w:color w:val="000000"/>
          <w:lang w:val="fr-FR"/>
        </w:rPr>
        <w:t xml:space="preserve"> et</w:t>
      </w:r>
    </w:p>
    <w:p w:rsidR="00F7073F" w:rsidRPr="00CF7824" w:rsidRDefault="000E2DFE"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c</w:t>
      </w:r>
      <w:r w:rsidR="00164734" w:rsidRPr="00CF7824">
        <w:rPr>
          <w:rFonts w:cs="Calibri"/>
          <w:color w:val="000000"/>
          <w:lang w:val="fr-FR"/>
        </w:rPr>
        <w:t xml:space="preserve">oordonner et soutenir les travaux du </w:t>
      </w:r>
      <w:r w:rsidRPr="00CF7824">
        <w:rPr>
          <w:rFonts w:cs="Calibri"/>
          <w:color w:val="000000"/>
          <w:lang w:val="fr-FR"/>
        </w:rPr>
        <w:t xml:space="preserve">Secrétariat </w:t>
      </w:r>
      <w:r w:rsidR="00164734" w:rsidRPr="00CF7824">
        <w:rPr>
          <w:rFonts w:cs="Calibri"/>
          <w:color w:val="000000"/>
          <w:lang w:val="fr-FR"/>
        </w:rPr>
        <w:t>du Partenariat</w:t>
      </w:r>
      <w:r w:rsidRPr="00CF7824">
        <w:rPr>
          <w:rFonts w:cs="Calibri"/>
          <w:color w:val="000000"/>
          <w:lang w:val="fr-FR"/>
        </w:rPr>
        <w:t>,</w:t>
      </w:r>
      <w:r w:rsidR="00164734" w:rsidRPr="00CF7824">
        <w:rPr>
          <w:rFonts w:cs="Calibri"/>
          <w:color w:val="000000"/>
          <w:lang w:val="fr-FR"/>
        </w:rPr>
        <w:t xml:space="preserve"> et convoquer les réunions].</w:t>
      </w: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asciiTheme="minorHAnsi" w:eastAsia="Arial" w:hAnsiTheme="minorHAnsi" w:cstheme="minorHAnsi"/>
          <w:color w:val="000000"/>
          <w:lang w:val="fr-FR"/>
        </w:rPr>
        <w:t xml:space="preserve"> </w:t>
      </w:r>
    </w:p>
    <w:p w:rsidR="00F7073F" w:rsidRPr="00CF7824" w:rsidRDefault="00164734" w:rsidP="00F7073F">
      <w:pPr>
        <w:pBdr>
          <w:top w:val="nil"/>
          <w:left w:val="nil"/>
          <w:bottom w:val="nil"/>
          <w:right w:val="nil"/>
          <w:between w:val="nil"/>
        </w:pBdr>
        <w:rPr>
          <w:rFonts w:asciiTheme="minorHAnsi" w:eastAsia="Arial" w:hAnsiTheme="minorHAnsi" w:cstheme="minorHAnsi"/>
          <w:color w:val="000000"/>
        </w:rPr>
      </w:pPr>
      <w:r w:rsidRPr="00CF7824">
        <w:rPr>
          <w:rFonts w:cs="Calibri"/>
          <w:color w:val="000000"/>
          <w:lang w:val="fr-FR"/>
        </w:rPr>
        <w:t>[BirdLife International</w:t>
      </w:r>
    </w:p>
    <w:p w:rsidR="00F7073F" w:rsidRPr="00CF7824" w:rsidRDefault="000E2DFE" w:rsidP="002079B7">
      <w:pPr>
        <w:numPr>
          <w:ilvl w:val="0"/>
          <w:numId w:val="20"/>
        </w:numPr>
        <w:pBdr>
          <w:top w:val="nil"/>
          <w:left w:val="nil"/>
          <w:bottom w:val="nil"/>
          <w:right w:val="nil"/>
          <w:between w:val="nil"/>
        </w:pBdr>
        <w:rPr>
          <w:rFonts w:asciiTheme="minorHAnsi" w:eastAsia="Arial" w:hAnsiTheme="minorHAnsi" w:cstheme="minorHAnsi"/>
          <w:lang w:val="fr-FR"/>
        </w:rPr>
      </w:pPr>
      <w:r w:rsidRPr="00CF7824">
        <w:rPr>
          <w:rFonts w:cs="Calibri"/>
          <w:color w:val="000000"/>
          <w:lang w:val="fr-FR"/>
        </w:rPr>
        <w:t>c</w:t>
      </w:r>
      <w:r w:rsidR="00164734" w:rsidRPr="00CF7824">
        <w:rPr>
          <w:rFonts w:cs="Calibri"/>
          <w:color w:val="000000"/>
          <w:lang w:val="fr-FR"/>
        </w:rPr>
        <w:t>ontinue</w:t>
      </w:r>
      <w:r w:rsidRPr="00CF7824">
        <w:rPr>
          <w:rFonts w:cs="Calibri"/>
          <w:color w:val="000000"/>
          <w:lang w:val="fr-FR"/>
        </w:rPr>
        <w:t>ra</w:t>
      </w:r>
      <w:r w:rsidR="00164734" w:rsidRPr="00CF7824">
        <w:rPr>
          <w:rFonts w:cs="Calibri"/>
          <w:color w:val="000000"/>
          <w:lang w:val="fr-FR"/>
        </w:rPr>
        <w:t xml:space="preserve"> à mettre à jour la Liste rouge de l</w:t>
      </w:r>
      <w:r w:rsidR="00016E39" w:rsidRPr="00CF7824">
        <w:rPr>
          <w:rFonts w:cs="Calibri"/>
          <w:color w:val="000000"/>
          <w:lang w:val="fr-FR"/>
        </w:rPr>
        <w:t>’</w:t>
      </w:r>
      <w:r w:rsidR="00164734" w:rsidRPr="00CF7824">
        <w:rPr>
          <w:rFonts w:cs="Calibri"/>
          <w:color w:val="000000"/>
          <w:lang w:val="fr-FR"/>
        </w:rPr>
        <w:t>UICN et les bases de données des Zones importantes pour la biodiversité et les oiseaux avec des informations pertinentes sur les oiseaux d</w:t>
      </w:r>
      <w:r w:rsidR="00016E39" w:rsidRPr="00CF7824">
        <w:rPr>
          <w:rFonts w:cs="Calibri"/>
          <w:color w:val="000000"/>
          <w:lang w:val="fr-FR"/>
        </w:rPr>
        <w:t>’</w:t>
      </w:r>
      <w:r w:rsidR="00164734" w:rsidRPr="00CF7824">
        <w:rPr>
          <w:rFonts w:cs="Calibri"/>
          <w:color w:val="000000"/>
          <w:lang w:val="fr-FR"/>
        </w:rPr>
        <w:t>eau, et partage</w:t>
      </w:r>
      <w:r w:rsidRPr="00CF7824">
        <w:rPr>
          <w:rFonts w:cs="Calibri"/>
          <w:color w:val="000000"/>
          <w:lang w:val="fr-FR"/>
        </w:rPr>
        <w:t>ra</w:t>
      </w:r>
      <w:r w:rsidR="00164734" w:rsidRPr="00CF7824">
        <w:rPr>
          <w:rFonts w:cs="Calibri"/>
          <w:color w:val="000000"/>
          <w:lang w:val="fr-FR"/>
        </w:rPr>
        <w:t xml:space="preserve"> les données pertinentes pour la mise à jour des WPE</w:t>
      </w:r>
      <w:r w:rsidR="00A12CF2" w:rsidRPr="00CF7824">
        <w:rPr>
          <w:rFonts w:cs="Calibri"/>
          <w:color w:val="000000"/>
          <w:lang w:val="fr-FR"/>
        </w:rPr>
        <w:t>;</w:t>
      </w:r>
    </w:p>
    <w:p w:rsidR="00F7073F" w:rsidRPr="00CF7824" w:rsidRDefault="000E2DFE" w:rsidP="002079B7">
      <w:pPr>
        <w:numPr>
          <w:ilvl w:val="0"/>
          <w:numId w:val="20"/>
        </w:numPr>
        <w:pBdr>
          <w:top w:val="nil"/>
          <w:left w:val="nil"/>
          <w:bottom w:val="nil"/>
          <w:right w:val="nil"/>
          <w:between w:val="nil"/>
        </w:pBdr>
        <w:rPr>
          <w:rFonts w:asciiTheme="minorHAnsi" w:eastAsia="Arial" w:hAnsiTheme="minorHAnsi" w:cstheme="minorHAnsi"/>
          <w:lang w:val="fr-FR"/>
        </w:rPr>
      </w:pPr>
      <w:r w:rsidRPr="00CF7824">
        <w:rPr>
          <w:rFonts w:cs="Calibri"/>
          <w:color w:val="000000"/>
          <w:lang w:val="fr-FR"/>
        </w:rPr>
        <w:t>c</w:t>
      </w:r>
      <w:r w:rsidR="00164734" w:rsidRPr="00CF7824">
        <w:rPr>
          <w:rFonts w:cs="Calibri"/>
          <w:color w:val="000000"/>
          <w:lang w:val="fr-FR"/>
        </w:rPr>
        <w:t>ontinue</w:t>
      </w:r>
      <w:r w:rsidRPr="00CF7824">
        <w:rPr>
          <w:rFonts w:cs="Calibri"/>
          <w:color w:val="000000"/>
          <w:lang w:val="fr-FR"/>
        </w:rPr>
        <w:t>ra</w:t>
      </w:r>
      <w:r w:rsidR="00164734" w:rsidRPr="00CF7824">
        <w:rPr>
          <w:rFonts w:cs="Calibri"/>
          <w:color w:val="000000"/>
          <w:lang w:val="fr-FR"/>
        </w:rPr>
        <w:t xml:space="preserve"> à encourager le Partenariat </w:t>
      </w:r>
      <w:r w:rsidRPr="00CF7824">
        <w:rPr>
          <w:rFonts w:cs="Calibri"/>
          <w:color w:val="000000"/>
          <w:lang w:val="fr-FR"/>
        </w:rPr>
        <w:t xml:space="preserve">BirdLife </w:t>
      </w:r>
      <w:r w:rsidR="00164734" w:rsidRPr="00CF7824">
        <w:rPr>
          <w:rFonts w:cs="Calibri"/>
          <w:color w:val="000000"/>
          <w:lang w:val="fr-FR"/>
        </w:rPr>
        <w:t xml:space="preserve">mondial à </w:t>
      </w:r>
      <w:r w:rsidRPr="00CF7824">
        <w:rPr>
          <w:rFonts w:cs="Calibri"/>
          <w:color w:val="000000"/>
          <w:lang w:val="fr-FR"/>
        </w:rPr>
        <w:t>réaliser le suivi des</w:t>
      </w:r>
      <w:r w:rsidR="00164734" w:rsidRPr="00CF7824">
        <w:rPr>
          <w:rFonts w:cs="Calibri"/>
          <w:color w:val="000000"/>
          <w:lang w:val="fr-FR"/>
        </w:rPr>
        <w:t xml:space="preserve"> oiseaux d</w:t>
      </w:r>
      <w:r w:rsidR="00016E39" w:rsidRPr="00CF7824">
        <w:rPr>
          <w:rFonts w:cs="Calibri"/>
          <w:color w:val="000000"/>
          <w:lang w:val="fr-FR"/>
        </w:rPr>
        <w:t>’</w:t>
      </w:r>
      <w:r w:rsidR="00164734" w:rsidRPr="00CF7824">
        <w:rPr>
          <w:rFonts w:cs="Calibri"/>
          <w:color w:val="000000"/>
          <w:lang w:val="fr-FR"/>
        </w:rPr>
        <w:t>eau et à fournir les données qui en sont issues, en reconnaissant que de nombreux coordinateurs nationaux des DIOE sont des partenaires de B</w:t>
      </w:r>
      <w:r w:rsidRPr="00CF7824">
        <w:rPr>
          <w:rFonts w:cs="Calibri"/>
          <w:color w:val="000000"/>
          <w:lang w:val="fr-FR"/>
        </w:rPr>
        <w:t>irdLife</w:t>
      </w:r>
      <w:r w:rsidR="00A12CF2" w:rsidRPr="00CF7824">
        <w:rPr>
          <w:rFonts w:cs="Calibri"/>
          <w:color w:val="000000"/>
          <w:lang w:val="fr-FR"/>
        </w:rPr>
        <w:t>;</w:t>
      </w:r>
      <w:r w:rsidRPr="00CF7824">
        <w:rPr>
          <w:rFonts w:cs="Calibri"/>
          <w:color w:val="000000"/>
          <w:lang w:val="fr-FR"/>
        </w:rPr>
        <w:t xml:space="preserve"> et</w:t>
      </w:r>
    </w:p>
    <w:p w:rsidR="00F7073F" w:rsidRPr="00CF7824" w:rsidRDefault="000E2DFE" w:rsidP="002079B7">
      <w:pPr>
        <w:numPr>
          <w:ilvl w:val="0"/>
          <w:numId w:val="20"/>
        </w:numPr>
        <w:pBdr>
          <w:top w:val="nil"/>
          <w:left w:val="nil"/>
          <w:bottom w:val="nil"/>
          <w:right w:val="nil"/>
          <w:between w:val="nil"/>
        </w:pBdr>
        <w:rPr>
          <w:rFonts w:asciiTheme="minorHAnsi" w:eastAsia="Arial" w:hAnsiTheme="minorHAnsi" w:cstheme="minorHAnsi"/>
          <w:lang w:val="fr-FR"/>
        </w:rPr>
      </w:pPr>
      <w:r w:rsidRPr="00CF7824">
        <w:rPr>
          <w:rFonts w:cs="Calibri"/>
          <w:color w:val="000000"/>
          <w:lang w:val="fr-FR"/>
        </w:rPr>
        <w:t>c</w:t>
      </w:r>
      <w:r w:rsidR="00164734" w:rsidRPr="00CF7824">
        <w:rPr>
          <w:rFonts w:cs="Calibri"/>
          <w:color w:val="000000"/>
          <w:lang w:val="fr-FR"/>
        </w:rPr>
        <w:t>ollabore</w:t>
      </w:r>
      <w:r w:rsidRPr="00CF7824">
        <w:rPr>
          <w:rFonts w:cs="Calibri"/>
          <w:color w:val="000000"/>
          <w:lang w:val="fr-FR"/>
        </w:rPr>
        <w:t>ra</w:t>
      </w:r>
      <w:r w:rsidR="00164734" w:rsidRPr="00CF7824">
        <w:rPr>
          <w:rFonts w:cs="Calibri"/>
          <w:color w:val="000000"/>
          <w:lang w:val="fr-FR"/>
        </w:rPr>
        <w:t xml:space="preserve"> à des propositions de financement conjointes].</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[La Commission de la sauvegarde des espèces de l</w:t>
      </w:r>
      <w:r w:rsidR="00016E39" w:rsidRPr="00CF7824">
        <w:rPr>
          <w:rFonts w:cs="Calibri"/>
          <w:color w:val="000000"/>
          <w:lang w:val="fr-FR"/>
        </w:rPr>
        <w:t>’</w:t>
      </w:r>
      <w:r w:rsidRPr="00CF7824">
        <w:rPr>
          <w:rFonts w:cs="Calibri"/>
          <w:color w:val="000000"/>
          <w:lang w:val="fr-FR"/>
        </w:rPr>
        <w:t>UICN</w:t>
      </w:r>
      <w:r w:rsidR="00657D39" w:rsidRPr="00CF7824">
        <w:rPr>
          <w:rFonts w:cs="Calibri"/>
          <w:color w:val="000000"/>
          <w:lang w:val="fr-FR"/>
        </w:rPr>
        <w:t>…</w:t>
      </w:r>
      <w:r w:rsidRPr="00CF7824">
        <w:rPr>
          <w:rFonts w:cs="Calibri"/>
          <w:color w:val="000000"/>
          <w:lang w:val="fr-FR"/>
        </w:rPr>
        <w:t>]</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F7073F" w:rsidRPr="00CF7824" w:rsidRDefault="00164734" w:rsidP="00F7073F">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lastRenderedPageBreak/>
        <w:t>[Partners in Flight ?…]</w:t>
      </w:r>
    </w:p>
    <w:p w:rsidR="00F7073F" w:rsidRPr="00CF7824" w:rsidRDefault="00F7073F" w:rsidP="00F7073F">
      <w:pPr>
        <w:pBdr>
          <w:top w:val="nil"/>
          <w:left w:val="nil"/>
          <w:bottom w:val="nil"/>
          <w:right w:val="nil"/>
          <w:between w:val="nil"/>
        </w:pBdr>
        <w:rPr>
          <w:rFonts w:asciiTheme="minorHAnsi" w:eastAsia="Arial" w:hAnsiTheme="minorHAnsi" w:cstheme="minorHAnsi"/>
          <w:color w:val="000000"/>
          <w:lang w:val="fr-FR"/>
        </w:rPr>
      </w:pPr>
    </w:p>
    <w:p w:rsidR="009E0AE8" w:rsidRPr="00164734" w:rsidRDefault="00164734" w:rsidP="00F02023">
      <w:pPr>
        <w:pBdr>
          <w:top w:val="nil"/>
          <w:left w:val="nil"/>
          <w:bottom w:val="nil"/>
          <w:right w:val="nil"/>
          <w:between w:val="nil"/>
        </w:pBdr>
        <w:rPr>
          <w:rFonts w:asciiTheme="minorHAnsi" w:eastAsia="Arial" w:hAnsiTheme="minorHAnsi" w:cstheme="minorHAnsi"/>
          <w:color w:val="000000"/>
          <w:lang w:val="fr-FR"/>
        </w:rPr>
      </w:pPr>
      <w:r w:rsidRPr="00CF7824">
        <w:rPr>
          <w:rFonts w:cs="Calibri"/>
          <w:color w:val="000000"/>
          <w:lang w:val="fr-FR"/>
        </w:rPr>
        <w:t>Autres partenaires et responsabilités à ajouter</w:t>
      </w:r>
    </w:p>
    <w:p w:rsidR="00B25546" w:rsidRPr="00164734" w:rsidRDefault="00B25546">
      <w:pPr>
        <w:pBdr>
          <w:top w:val="nil"/>
          <w:left w:val="nil"/>
          <w:bottom w:val="nil"/>
          <w:right w:val="nil"/>
          <w:between w:val="nil"/>
        </w:pBdr>
        <w:rPr>
          <w:rFonts w:asciiTheme="minorHAnsi" w:eastAsia="Arial" w:hAnsiTheme="minorHAnsi" w:cstheme="minorHAnsi"/>
          <w:color w:val="000000"/>
          <w:sz w:val="20"/>
          <w:szCs w:val="20"/>
          <w:lang w:val="fr-FR"/>
        </w:rPr>
      </w:pPr>
    </w:p>
    <w:sectPr w:rsidR="00B25546" w:rsidRPr="00164734" w:rsidSect="009949C4">
      <w:footerReference w:type="default" r:id="rId3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68E" w:rsidRDefault="00DA168E">
      <w:r>
        <w:separator/>
      </w:r>
    </w:p>
  </w:endnote>
  <w:endnote w:type="continuationSeparator" w:id="0">
    <w:p w:rsidR="00DA168E" w:rsidRDefault="00DA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rsidP="002137E0">
    <w:pPr>
      <w:pStyle w:val="Header"/>
      <w:rPr>
        <w:noProof/>
      </w:rPr>
    </w:pPr>
    <w:r>
      <w:rPr>
        <w:sz w:val="20"/>
        <w:szCs w:val="20"/>
        <w:lang w:val="fr-FR"/>
      </w:rPr>
      <w:t>SC63 Doc.20</w:t>
    </w:r>
    <w:r>
      <w:rPr>
        <w:lang w:val="fr-FR"/>
      </w:rPr>
      <w:tab/>
    </w:r>
    <w:r>
      <w:rPr>
        <w:lang w:val="fr-FR"/>
      </w:rPr>
      <w:tab/>
    </w:r>
    <w:sdt>
      <w:sdtPr>
        <w:id w:val="181413389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2</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rsidP="00310B8A">
    <w:pPr>
      <w:pStyle w:val="Header"/>
      <w:tabs>
        <w:tab w:val="clear" w:pos="9026"/>
        <w:tab w:val="right" w:pos="13892"/>
      </w:tabs>
      <w:rPr>
        <w:noProof/>
      </w:rPr>
    </w:pPr>
    <w:r>
      <w:rPr>
        <w:sz w:val="20"/>
        <w:szCs w:val="20"/>
        <w:lang w:val="fr-FR"/>
      </w:rPr>
      <w:t>SC63 Doc.20</w:t>
    </w:r>
    <w:r>
      <w:rPr>
        <w:lang w:val="fr-FR"/>
      </w:rPr>
      <w:tab/>
    </w:r>
    <w:r>
      <w:rPr>
        <w:lang w:val="fr-FR"/>
      </w:rPr>
      <w:tab/>
    </w:r>
    <w:sdt>
      <w:sdtPr>
        <w:id w:val="-147513688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rsidP="00310B8A">
    <w:pPr>
      <w:pStyle w:val="Header"/>
      <w:tabs>
        <w:tab w:val="clear" w:pos="9026"/>
        <w:tab w:val="right" w:pos="13892"/>
      </w:tabs>
      <w:rPr>
        <w:noProof/>
      </w:rPr>
    </w:pPr>
    <w:r>
      <w:rPr>
        <w:sz w:val="20"/>
        <w:szCs w:val="20"/>
        <w:lang w:val="fr-FR"/>
      </w:rPr>
      <w:t>SC63 Doc.20</w:t>
    </w:r>
    <w:r>
      <w:rPr>
        <w:lang w:val="fr-FR"/>
      </w:rPr>
      <w:tab/>
    </w:r>
    <w:r>
      <w:rPr>
        <w:lang w:val="fr-FR"/>
      </w:rPr>
      <w:tab/>
    </w:r>
    <w:sdt>
      <w:sdtPr>
        <w:id w:val="-117796212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16</w:t>
        </w:r>
        <w:r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rsidP="002137E0">
    <w:pPr>
      <w:pStyle w:val="Header"/>
      <w:rPr>
        <w:noProof/>
      </w:rPr>
    </w:pPr>
    <w:r>
      <w:rPr>
        <w:sz w:val="20"/>
        <w:szCs w:val="20"/>
        <w:lang w:val="fr-FR"/>
      </w:rPr>
      <w:t>SC63 Doc.20</w:t>
    </w:r>
    <w:r>
      <w:rPr>
        <w:lang w:val="fr-FR"/>
      </w:rPr>
      <w:tab/>
    </w:r>
    <w:r>
      <w:rPr>
        <w:lang w:val="fr-FR"/>
      </w:rPr>
      <w:tab/>
    </w:r>
    <w:sdt>
      <w:sdtPr>
        <w:id w:val="68579364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51</w:t>
        </w:r>
        <w:r w:rsidRPr="00F344DE">
          <w:rPr>
            <w:noProof/>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4A" w:rsidRDefault="00A06C4A" w:rsidP="00A06C4A">
    <w:pPr>
      <w:pStyle w:val="Header"/>
      <w:tabs>
        <w:tab w:val="clear" w:pos="9026"/>
        <w:tab w:val="right" w:pos="14317"/>
      </w:tabs>
      <w:rPr>
        <w:noProof/>
      </w:rPr>
    </w:pPr>
    <w:r>
      <w:rPr>
        <w:sz w:val="20"/>
        <w:szCs w:val="20"/>
        <w:lang w:val="fr-FR"/>
      </w:rPr>
      <w:t>SC63 Doc.20</w:t>
    </w:r>
    <w:r>
      <w:rPr>
        <w:lang w:val="fr-FR"/>
      </w:rPr>
      <w:tab/>
    </w:r>
    <w:r>
      <w:rPr>
        <w:lang w:val="fr-FR"/>
      </w:rPr>
      <w:tab/>
    </w:r>
    <w:sdt>
      <w:sdtPr>
        <w:id w:val="-106455392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51</w:t>
        </w:r>
        <w:r w:rsidRPr="00F344DE">
          <w:rPr>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4A" w:rsidRDefault="00A06C4A" w:rsidP="002137E0">
    <w:pPr>
      <w:pStyle w:val="Header"/>
      <w:rPr>
        <w:noProof/>
      </w:rPr>
    </w:pPr>
    <w:r>
      <w:rPr>
        <w:sz w:val="20"/>
        <w:szCs w:val="20"/>
        <w:lang w:val="fr-FR"/>
      </w:rPr>
      <w:t>SC63 Doc.20</w:t>
    </w:r>
    <w:r>
      <w:rPr>
        <w:lang w:val="fr-FR"/>
      </w:rPr>
      <w:tab/>
    </w:r>
    <w:r>
      <w:rPr>
        <w:lang w:val="fr-FR"/>
      </w:rPr>
      <w:tab/>
    </w:r>
    <w:sdt>
      <w:sdtPr>
        <w:id w:val="650023216"/>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51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68E" w:rsidRDefault="00DA168E" w:rsidP="00DF2386">
      <w:r>
        <w:separator/>
      </w:r>
    </w:p>
  </w:footnote>
  <w:footnote w:type="continuationSeparator" w:id="0">
    <w:p w:rsidR="00DA168E" w:rsidRDefault="00DA168E" w:rsidP="00DF2386">
      <w:r>
        <w:continuationSeparator/>
      </w:r>
    </w:p>
  </w:footnote>
  <w:footnote w:type="continuationNotice" w:id="1">
    <w:p w:rsidR="00DA168E" w:rsidRDefault="00DA168E"/>
  </w:footnote>
  <w:footnote w:id="2">
    <w:p w:rsidR="00DA168E" w:rsidRPr="00164734" w:rsidRDefault="00DA168E" w:rsidP="00CF6980">
      <w:pPr>
        <w:pStyle w:val="Footnote"/>
        <w:tabs>
          <w:tab w:val="left" w:pos="426"/>
        </w:tabs>
        <w:ind w:left="0" w:firstLine="0"/>
        <w:rPr>
          <w:rFonts w:asciiTheme="minorHAnsi" w:hAnsiTheme="minorHAnsi" w:cstheme="minorHAnsi"/>
          <w:lang w:val="fr-FR"/>
        </w:rPr>
      </w:pPr>
      <w:r w:rsidRPr="00CF6980">
        <w:rPr>
          <w:rStyle w:val="FootnoteReference"/>
          <w:rFonts w:asciiTheme="minorHAnsi" w:hAnsiTheme="minorHAnsi" w:cstheme="minorHAnsi"/>
        </w:rPr>
        <w:footnoteRef/>
      </w:r>
      <w:r>
        <w:rPr>
          <w:rFonts w:cs="Calibri"/>
          <w:lang w:val="fr-FR"/>
        </w:rPr>
        <w:t xml:space="preserve"> Voir </w:t>
      </w:r>
      <w:hyperlink r:id="rId1" w:history="1">
        <w:r>
          <w:rPr>
            <w:rFonts w:cs="Calibri"/>
            <w:color w:val="0000FF"/>
            <w:u w:val="single"/>
            <w:lang w:val="fr-FR"/>
          </w:rPr>
          <w:t>https://wpp.wetlands.org</w:t>
        </w:r>
      </w:hyperlink>
      <w:r>
        <w:rPr>
          <w:rFonts w:cs="Calibri"/>
          <w:lang w:val="fr-FR"/>
        </w:rPr>
        <w:t>, la plateforme interactive en ligne (gérée par Wetlands International) contenant les données les plus récentes sur l’état et la répartition des populations d’oiseaux d’eau dans le monde.</w:t>
      </w:r>
    </w:p>
  </w:footnote>
  <w:footnote w:id="3">
    <w:p w:rsidR="00DA168E" w:rsidRPr="00164734" w:rsidRDefault="00DA168E" w:rsidP="00CF6980">
      <w:pPr>
        <w:pStyle w:val="Footnote"/>
        <w:tabs>
          <w:tab w:val="left" w:pos="426"/>
        </w:tabs>
        <w:ind w:left="0" w:firstLine="0"/>
        <w:rPr>
          <w:rFonts w:asciiTheme="minorHAnsi" w:hAnsiTheme="minorHAnsi" w:cstheme="minorHAnsi"/>
          <w:sz w:val="18"/>
          <w:szCs w:val="18"/>
          <w:lang w:val="fr-FR"/>
        </w:rPr>
      </w:pPr>
      <w:r w:rsidRPr="00CF6980">
        <w:rPr>
          <w:rStyle w:val="FootnoteReference"/>
          <w:rFonts w:asciiTheme="minorHAnsi" w:hAnsiTheme="minorHAnsi" w:cstheme="minorHAnsi"/>
        </w:rPr>
        <w:footnoteRef/>
      </w:r>
      <w:r>
        <w:rPr>
          <w:rFonts w:cs="Calibri"/>
          <w:lang w:val="fr-FR"/>
        </w:rPr>
        <w:t xml:space="preserve"> Voir </w:t>
      </w:r>
      <w:hyperlink r:id="rId2" w:history="1">
        <w:r>
          <w:rPr>
            <w:rFonts w:cs="Calibri"/>
            <w:color w:val="0000FF"/>
            <w:u w:val="single"/>
            <w:lang w:val="fr-FR"/>
          </w:rPr>
          <w:t>https://medwaterbirds.net/doc/WI-WPE5%20FRANCAIS_web.pdf</w:t>
        </w:r>
      </w:hyperlink>
      <w:r>
        <w:rPr>
          <w:rFonts w:cs="Calibri"/>
          <w:lang w:val="fr-FR"/>
        </w:rPr>
        <w:t>.</w:t>
      </w:r>
    </w:p>
  </w:footnote>
  <w:footnote w:id="4">
    <w:p w:rsidR="00DA168E" w:rsidRPr="00785D5E" w:rsidRDefault="00DA168E" w:rsidP="00CF6980">
      <w:pPr>
        <w:pStyle w:val="Footnote"/>
        <w:tabs>
          <w:tab w:val="left" w:pos="426"/>
        </w:tabs>
        <w:ind w:left="0" w:firstLine="0"/>
        <w:rPr>
          <w:rFonts w:asciiTheme="minorHAnsi" w:hAnsiTheme="minorHAnsi" w:cstheme="minorHAnsi"/>
          <w:lang w:val="fr-FR"/>
        </w:rPr>
      </w:pPr>
      <w:r w:rsidRPr="00CF6980">
        <w:rPr>
          <w:rStyle w:val="FootnoteReference"/>
          <w:rFonts w:asciiTheme="minorHAnsi" w:hAnsiTheme="minorHAnsi" w:cstheme="minorHAnsi"/>
        </w:rPr>
        <w:footnoteRef/>
      </w:r>
      <w:r w:rsidRPr="00164734">
        <w:rPr>
          <w:rFonts w:cs="Calibri"/>
        </w:rPr>
        <w:t xml:space="preserve"> </w:t>
      </w:r>
      <w:r w:rsidRPr="00467CB8">
        <w:rPr>
          <w:rFonts w:cs="Calibri"/>
        </w:rPr>
        <w:t xml:space="preserve">Rose, P.M. &amp; Scott, D.A. (1994). Waterfowl population estimates. IWRB Special Publication 29. </w:t>
      </w:r>
      <w:r w:rsidRPr="00785D5E">
        <w:rPr>
          <w:rFonts w:cs="Calibri"/>
          <w:lang w:val="fr-FR"/>
        </w:rPr>
        <w:t>IWRB, Slimbridge, U.K.</w:t>
      </w:r>
    </w:p>
  </w:footnote>
  <w:footnote w:id="5">
    <w:p w:rsidR="00DA168E" w:rsidRPr="00164734" w:rsidRDefault="00DA168E" w:rsidP="00CF6980">
      <w:pPr>
        <w:pStyle w:val="Footnote"/>
        <w:tabs>
          <w:tab w:val="left" w:pos="426"/>
        </w:tabs>
        <w:ind w:left="0" w:firstLine="0"/>
        <w:rPr>
          <w:rFonts w:asciiTheme="minorHAnsi" w:hAnsiTheme="minorHAnsi" w:cstheme="minorHAnsi"/>
          <w:lang w:val="fr-FR"/>
        </w:rPr>
      </w:pPr>
      <w:r w:rsidRPr="00CF6980">
        <w:rPr>
          <w:rStyle w:val="FootnoteReference"/>
          <w:rFonts w:asciiTheme="minorHAnsi" w:hAnsiTheme="minorHAnsi" w:cstheme="minorHAnsi"/>
        </w:rPr>
        <w:footnoteRef/>
      </w:r>
      <w:r>
        <w:rPr>
          <w:rFonts w:cs="Calibri"/>
          <w:lang w:val="fr-FR"/>
        </w:rPr>
        <w:t xml:space="preserve"> Entre autres de la Belgique, du Canada, du Danemark, de la Finlande, de l’Irlande, des Pays-Bas, de la Suisse, de la Suède et du Royaume-Uni (y compris la CMS et l’AEWA ainsi que le Secrétariat de la Convention sur les zones humides).</w:t>
      </w:r>
    </w:p>
  </w:footnote>
  <w:footnote w:id="6">
    <w:p w:rsidR="00DA168E" w:rsidRPr="00164734" w:rsidRDefault="00DA168E" w:rsidP="00235ECA">
      <w:pPr>
        <w:pStyle w:val="Footnote"/>
        <w:rPr>
          <w:rFonts w:asciiTheme="minorHAnsi" w:hAnsiTheme="minorHAnsi" w:cstheme="minorHAnsi"/>
          <w:lang w:val="fr-FR"/>
        </w:rPr>
      </w:pPr>
      <w:r w:rsidRPr="00CF6980">
        <w:rPr>
          <w:rStyle w:val="FootnoteReference"/>
          <w:rFonts w:asciiTheme="minorHAnsi" w:hAnsiTheme="minorHAnsi" w:cstheme="minorHAnsi"/>
        </w:rPr>
        <w:footnoteRef/>
      </w:r>
      <w:r>
        <w:rPr>
          <w:rFonts w:cs="Calibri"/>
          <w:lang w:val="fr-FR"/>
        </w:rPr>
        <w:t xml:space="preserve"> Voir </w:t>
      </w:r>
      <w:hyperlink r:id="rId3" w:history="1">
        <w:r>
          <w:rPr>
            <w:rFonts w:cs="Calibri"/>
            <w:color w:val="0000FF"/>
            <w:u w:val="single"/>
            <w:lang w:val="fr-FR"/>
          </w:rPr>
          <w:t>https://www.unep-aewa.org/sites/default/files/document/aewa_mop8_19_csr8.pdf</w:t>
        </w:r>
      </w:hyperlink>
      <w:r>
        <w:rPr>
          <w:rFonts w:cs="Calibri"/>
          <w:lang w:val="fr-FR"/>
        </w:rPr>
        <w:t>.</w:t>
      </w:r>
    </w:p>
  </w:footnote>
  <w:footnote w:id="7">
    <w:p w:rsidR="00DA168E" w:rsidRPr="00164734" w:rsidRDefault="00DA168E" w:rsidP="00235ECA">
      <w:pPr>
        <w:pStyle w:val="Footnote"/>
        <w:rPr>
          <w:rFonts w:asciiTheme="minorHAnsi" w:hAnsiTheme="minorHAnsi" w:cstheme="minorHAnsi"/>
          <w:sz w:val="18"/>
          <w:szCs w:val="18"/>
          <w:lang w:val="fr-FR"/>
        </w:rPr>
      </w:pPr>
      <w:r w:rsidRPr="00CF6980">
        <w:rPr>
          <w:rStyle w:val="FootnoteReference"/>
          <w:rFonts w:asciiTheme="minorHAnsi" w:hAnsiTheme="minorHAnsi" w:cstheme="minorHAnsi"/>
        </w:rPr>
        <w:footnoteRef/>
      </w:r>
      <w:r>
        <w:rPr>
          <w:rFonts w:cs="Calibri"/>
          <w:lang w:val="fr-FR"/>
        </w:rPr>
        <w:t xml:space="preserve"> Le WPE5 fournit des informations sur la répartition, l’état et les tendances de 2 304 populations de 871 espèces.</w:t>
      </w:r>
    </w:p>
  </w:footnote>
  <w:footnote w:id="8">
    <w:p w:rsidR="00DA168E" w:rsidRPr="00164734" w:rsidRDefault="00DA168E" w:rsidP="00235ECA">
      <w:pPr>
        <w:pStyle w:val="Footnote"/>
        <w:rPr>
          <w:rFonts w:asciiTheme="minorHAnsi" w:hAnsiTheme="minorHAnsi" w:cstheme="minorHAnsi"/>
          <w:lang w:val="fr-FR"/>
        </w:rPr>
      </w:pPr>
      <w:r w:rsidRPr="008F5AF3">
        <w:rPr>
          <w:rStyle w:val="FootnoteReference"/>
          <w:rFonts w:asciiTheme="minorHAnsi" w:hAnsiTheme="minorHAnsi" w:cstheme="minorHAnsi"/>
        </w:rPr>
        <w:footnoteRef/>
      </w:r>
      <w:r>
        <w:rPr>
          <w:rFonts w:cs="Calibri"/>
          <w:lang w:val="fr-FR"/>
        </w:rPr>
        <w:t xml:space="preserve"> Voir </w:t>
      </w:r>
      <w:hyperlink r:id="rId4" w:history="1">
        <w:r>
          <w:rPr>
            <w:rFonts w:cs="Calibri"/>
            <w:color w:val="0000FF"/>
            <w:u w:val="single"/>
            <w:lang w:val="fr-FR"/>
          </w:rPr>
          <w:t>https://pif.birdconservancy.org/population-estimates-database/</w:t>
        </w:r>
      </w:hyperlink>
      <w:r>
        <w:rPr>
          <w:rFonts w:cs="Calibri"/>
          <w:lang w:val="fr-FR"/>
        </w:rPr>
        <w:t>.</w:t>
      </w:r>
    </w:p>
  </w:footnote>
  <w:footnote w:id="9">
    <w:p w:rsidR="00DA168E" w:rsidRPr="00164734" w:rsidRDefault="00DA168E" w:rsidP="008F5AF3">
      <w:pPr>
        <w:pStyle w:val="Footnote"/>
        <w:ind w:left="0" w:firstLine="0"/>
        <w:rPr>
          <w:rFonts w:asciiTheme="minorHAnsi" w:hAnsiTheme="minorHAnsi" w:cstheme="minorHAnsi"/>
          <w:lang w:val="fr-FR"/>
        </w:rPr>
      </w:pPr>
      <w:r w:rsidRPr="008F5AF3">
        <w:rPr>
          <w:rStyle w:val="FootnoteReference"/>
          <w:rFonts w:asciiTheme="minorHAnsi" w:hAnsiTheme="minorHAnsi" w:cstheme="minorHAnsi"/>
        </w:rPr>
        <w:footnoteRef/>
      </w:r>
      <w:r>
        <w:rPr>
          <w:rFonts w:cs="Calibri"/>
          <w:lang w:val="fr-FR"/>
        </w:rPr>
        <w:t xml:space="preserve"> Voir </w:t>
      </w:r>
      <w:hyperlink r:id="rId5" w:history="1">
        <w:r>
          <w:rPr>
            <w:rFonts w:cs="Calibri"/>
            <w:color w:val="0000FF"/>
            <w:u w:val="single"/>
            <w:lang w:val="fr-FR"/>
          </w:rPr>
          <w:t>https://www.ramsar.org/sites/default/files/documents/library/sc59_25_strp_chair_report_f.pdf</w:t>
        </w:r>
      </w:hyperlink>
      <w:r>
        <w:rPr>
          <w:rFonts w:cs="Calibri"/>
          <w:lang w:val="fr-FR"/>
        </w:rPr>
        <w:t>.</w:t>
      </w:r>
    </w:p>
  </w:footnote>
  <w:footnote w:id="10">
    <w:p w:rsidR="00DA168E" w:rsidRPr="00164734" w:rsidRDefault="00DA168E" w:rsidP="00235ECA">
      <w:pPr>
        <w:pStyle w:val="Footnote"/>
        <w:rPr>
          <w:rFonts w:asciiTheme="minorHAnsi" w:hAnsiTheme="minorHAnsi" w:cstheme="minorHAnsi"/>
          <w:lang w:val="fr-FR"/>
        </w:rPr>
      </w:pPr>
      <w:r w:rsidRPr="001366E8">
        <w:rPr>
          <w:rStyle w:val="FootnoteReference"/>
          <w:rFonts w:asciiTheme="minorHAnsi" w:hAnsiTheme="minorHAnsi" w:cstheme="minorHAnsi"/>
        </w:rPr>
        <w:footnoteRef/>
      </w:r>
      <w:r>
        <w:rPr>
          <w:rFonts w:cs="Calibri"/>
          <w:lang w:val="fr-FR"/>
        </w:rPr>
        <w:t xml:space="preserve"> Voir </w:t>
      </w:r>
      <w:hyperlink r:id="rId6" w:history="1">
        <w:r>
          <w:rPr>
            <w:rFonts w:cs="Calibri"/>
            <w:color w:val="0000FF"/>
            <w:u w:val="single"/>
            <w:lang w:val="fr-FR"/>
          </w:rPr>
          <w:t>https://www.ramsar.org/fr/propos/organes/le-groupe-devaluation-scientifique-et-technique/travaux-du-gest</w:t>
        </w:r>
      </w:hyperlink>
      <w:r>
        <w:rPr>
          <w:rFonts w:cs="Calibri"/>
          <w:lang w:val="fr-FR"/>
        </w:rPr>
        <w:t>.</w:t>
      </w:r>
    </w:p>
  </w:footnote>
  <w:footnote w:id="11">
    <w:p w:rsidR="00DA168E" w:rsidRPr="00164734" w:rsidRDefault="00DA168E" w:rsidP="00310B8A">
      <w:pPr>
        <w:pStyle w:val="Footnote"/>
        <w:ind w:left="0" w:firstLine="0"/>
        <w:rPr>
          <w:rFonts w:asciiTheme="minorHAnsi" w:hAnsiTheme="minorHAnsi" w:cstheme="minorHAnsi"/>
          <w:lang w:val="fr-FR"/>
        </w:rPr>
      </w:pPr>
      <w:r w:rsidRPr="00310B8A">
        <w:rPr>
          <w:rStyle w:val="FootnoteReference"/>
          <w:rFonts w:asciiTheme="minorHAnsi" w:hAnsiTheme="minorHAnsi" w:cstheme="minorHAnsi"/>
        </w:rPr>
        <w:footnoteRef/>
      </w:r>
      <w:r>
        <w:rPr>
          <w:rFonts w:cs="Calibri"/>
          <w:lang w:val="fr-FR"/>
        </w:rPr>
        <w:t xml:space="preserve"> L’édition WPE6 aurait dû être publiée en 2015 et les éditions suivantes en 2018, 2021 et 2024 afin de respecter le cycle triennal de la Résolution VIII.38 de la Convention sur les zones humides qui prévoit la production d’un rapport avec des estimations de la taille et des tendances des populations, avec, dans l’édition 2021, des seuils de 1% actualisés afin de respecter le cycle de neuf ans précisé dans la Résolution VI.4 de la Convention sur les zones humides. Cependant, aucun rapport WPE n’a été produit au cours de cette période (2015, 2018, 2021 et 2024). </w:t>
      </w:r>
    </w:p>
  </w:footnote>
  <w:footnote w:id="12">
    <w:p w:rsidR="00DA168E" w:rsidRPr="00164734" w:rsidRDefault="00DA168E" w:rsidP="00310B8A">
      <w:pPr>
        <w:pStyle w:val="Footnote"/>
        <w:ind w:left="0" w:firstLine="0"/>
        <w:rPr>
          <w:rFonts w:asciiTheme="minorHAnsi" w:hAnsiTheme="minorHAnsi" w:cstheme="minorHAnsi"/>
          <w:color w:val="000000"/>
          <w:lang w:val="fr-FR"/>
        </w:rPr>
      </w:pPr>
      <w:r w:rsidRPr="00310B8A">
        <w:rPr>
          <w:rStyle w:val="FootnoteReference"/>
          <w:rFonts w:asciiTheme="minorHAnsi" w:hAnsiTheme="minorHAnsi" w:cstheme="minorHAnsi"/>
        </w:rPr>
        <w:footnoteRef/>
      </w:r>
      <w:r>
        <w:rPr>
          <w:rFonts w:cs="Calibri"/>
          <w:lang w:val="fr-FR"/>
        </w:rPr>
        <w:t xml:space="preserve"> Il est proposé que les futures éditions des WPE soient identifiées par l’année de leur production (plutôt que par un numéro d’édition comme cela est le cas actuellement).</w:t>
      </w:r>
    </w:p>
  </w:footnote>
  <w:footnote w:id="13">
    <w:p w:rsidR="00DA168E" w:rsidRPr="001B7E0F" w:rsidRDefault="00DA168E" w:rsidP="001B7E0F">
      <w:pPr>
        <w:pStyle w:val="FootnoteText"/>
        <w:ind w:left="0" w:firstLine="0"/>
        <w:rPr>
          <w:lang w:val="fr-FR"/>
        </w:rPr>
      </w:pPr>
      <w:r>
        <w:rPr>
          <w:rStyle w:val="FootnoteReference"/>
        </w:rPr>
        <w:footnoteRef/>
      </w:r>
      <w:r w:rsidRPr="001B7E0F">
        <w:rPr>
          <w:lang w:val="fr-FR"/>
        </w:rPr>
        <w:t xml:space="preserve"> </w:t>
      </w:r>
      <w:r>
        <w:rPr>
          <w:rFonts w:cs="Calibri"/>
          <w:lang w:val="fr-FR"/>
        </w:rPr>
        <w:t xml:space="preserve">La proposition est de préparer des WPE en 2025-2026 (version 2027) – en mettant l’accent sur le comblement des lacunes en matière d’informations géographiques en tant que priorité absolue et en utilisant les dernières mises à jour du CSR8 de l’AEWA et du CSR1 de l’EAAFP ainsi que les examens des </w:t>
      </w:r>
      <w:r w:rsidRPr="001B7E0F">
        <w:rPr>
          <w:rFonts w:cs="Calibri"/>
          <w:lang w:val="fr-FR"/>
        </w:rPr>
        <w:t>rapport</w:t>
      </w:r>
      <w:r>
        <w:rPr>
          <w:rFonts w:cs="Calibri"/>
          <w:lang w:val="fr-FR"/>
        </w:rPr>
        <w:t>s</w:t>
      </w:r>
      <w:r w:rsidRPr="001B7E0F">
        <w:rPr>
          <w:rFonts w:cs="Calibri"/>
          <w:lang w:val="fr-FR"/>
        </w:rPr>
        <w:t xml:space="preserve"> sur l’état de la nature dans l’Union européenne</w:t>
      </w:r>
      <w:r>
        <w:rPr>
          <w:rFonts w:cs="Calibri"/>
          <w:lang w:val="fr-FR"/>
        </w:rPr>
        <w:t xml:space="preserve"> (EUSoN). Voir section 4.2 (tableau 4).</w:t>
      </w:r>
    </w:p>
  </w:footnote>
  <w:footnote w:id="14">
    <w:p w:rsidR="00DA168E" w:rsidRPr="00164734" w:rsidRDefault="00DA168E" w:rsidP="00310B8A">
      <w:pPr>
        <w:pStyle w:val="Footnote"/>
        <w:ind w:left="0" w:firstLine="0"/>
        <w:rPr>
          <w:rFonts w:asciiTheme="minorHAnsi" w:hAnsiTheme="minorHAnsi" w:cstheme="minorHAnsi"/>
          <w:color w:val="000000"/>
          <w:sz w:val="18"/>
          <w:szCs w:val="18"/>
          <w:lang w:val="fr-FR"/>
        </w:rPr>
      </w:pPr>
      <w:r w:rsidRPr="00310B8A">
        <w:rPr>
          <w:rFonts w:asciiTheme="minorHAnsi" w:hAnsiTheme="minorHAnsi" w:cstheme="minorHAnsi"/>
          <w:vertAlign w:val="superscript"/>
        </w:rPr>
        <w:footnoteRef/>
      </w:r>
      <w:r>
        <w:rPr>
          <w:rFonts w:cs="Calibri"/>
          <w:lang w:val="fr-FR"/>
        </w:rPr>
        <w:t xml:space="preserve">AEWA CSR : D&amp;P - </w:t>
      </w:r>
      <w:r>
        <w:rPr>
          <w:rFonts w:cs="Calibri"/>
          <w:i/>
          <w:iCs/>
          <w:lang w:val="fr-FR"/>
        </w:rPr>
        <w:t>Drivers &amp; Pressures</w:t>
      </w:r>
      <w:r>
        <w:rPr>
          <w:rFonts w:cs="Calibri"/>
          <w:lang w:val="fr-FR"/>
        </w:rPr>
        <w:t xml:space="preserve"> [moteurs &amp; pressions], PST – </w:t>
      </w:r>
      <w:r>
        <w:rPr>
          <w:rFonts w:cs="Calibri"/>
          <w:i/>
          <w:iCs/>
          <w:lang w:val="fr-FR"/>
        </w:rPr>
        <w:t>Population size and trends</w:t>
      </w:r>
      <w:r>
        <w:rPr>
          <w:rFonts w:cs="Calibri"/>
          <w:lang w:val="fr-FR"/>
        </w:rPr>
        <w:t xml:space="preserve"> [tailles et tendances des populations]. Détails dans</w:t>
      </w:r>
      <w:r>
        <w:rPr>
          <w:rFonts w:cs="Calibri"/>
          <w:color w:val="000000"/>
          <w:lang w:val="fr-FR"/>
        </w:rPr>
        <w:t xml:space="preserve"> </w:t>
      </w:r>
      <w:hyperlink w:history="1">
        <w:r>
          <w:rPr>
            <w:rFonts w:cs="Calibri"/>
            <w:color w:val="0000FF"/>
            <w:u w:val="single"/>
            <w:lang w:val="fr-FR"/>
          </w:rPr>
          <w:t>https://www.unep- aewa.org/sites/default/files/document/aewa_tc15_22_discussion_paper_on_format_and_content_of_8th_edition_of_conservation_status_report_en_0.pdf</w:t>
        </w:r>
      </w:hyperlink>
      <w:r>
        <w:rPr>
          <w:rFonts w:cs="Calibri"/>
          <w:color w:val="000000"/>
          <w:sz w:val="18"/>
          <w:szCs w:val="18"/>
          <w:lang w:val="fr-FR"/>
        </w:rPr>
        <w:t xml:space="preserve"> </w:t>
      </w:r>
    </w:p>
  </w:footnote>
  <w:footnote w:id="15">
    <w:p w:rsidR="00DA168E" w:rsidRPr="00164734" w:rsidRDefault="00DA168E" w:rsidP="00310B8A">
      <w:pPr>
        <w:pStyle w:val="Footnote"/>
        <w:ind w:left="0" w:firstLine="0"/>
        <w:rPr>
          <w:rFonts w:asciiTheme="minorHAnsi" w:hAnsiTheme="minorHAnsi" w:cstheme="minorHAnsi"/>
          <w:color w:val="000000"/>
          <w:lang w:val="fr-FR"/>
        </w:rPr>
      </w:pPr>
      <w:r w:rsidRPr="00310B8A">
        <w:rPr>
          <w:rStyle w:val="FootnoteReference"/>
          <w:rFonts w:asciiTheme="minorHAnsi" w:hAnsiTheme="minorHAnsi" w:cstheme="minorHAnsi"/>
        </w:rPr>
        <w:footnoteRef/>
      </w:r>
      <w:r>
        <w:rPr>
          <w:rFonts w:cs="Calibri"/>
          <w:color w:val="000000"/>
          <w:lang w:val="fr-FR"/>
        </w:rPr>
        <w:t xml:space="preserve"> </w:t>
      </w:r>
      <w:r>
        <w:rPr>
          <w:rFonts w:cs="Calibri"/>
          <w:lang w:val="fr-FR"/>
        </w:rPr>
        <w:t>Les futures mises à jour de la Liste rouge des oiseaux d’Europe (ERLoB) dépendent des financements. BirdLife International a remporté les deux derniers appels d’offres de la Commission européenne pour évaluer l’état de conservation des oiseaux pour l’EUSoN et pour compiler les données équivalentes des pays non membres de l’UE afin de produire l’ERLoB.</w:t>
      </w:r>
    </w:p>
  </w:footnote>
  <w:footnote w:id="16">
    <w:p w:rsidR="00DA168E" w:rsidRPr="00164734" w:rsidRDefault="00DA168E" w:rsidP="00310B8A">
      <w:pPr>
        <w:pStyle w:val="Footnote"/>
        <w:ind w:left="0" w:firstLine="0"/>
        <w:rPr>
          <w:rFonts w:asciiTheme="minorHAnsi" w:hAnsiTheme="minorHAnsi" w:cstheme="minorHAnsi"/>
          <w:color w:val="000000"/>
          <w:lang w:val="fr-FR"/>
        </w:rPr>
      </w:pPr>
      <w:r w:rsidRPr="00310B8A">
        <w:rPr>
          <w:rStyle w:val="FootnoteReference"/>
          <w:rFonts w:asciiTheme="minorHAnsi" w:hAnsiTheme="minorHAnsi" w:cstheme="minorHAnsi"/>
        </w:rPr>
        <w:footnoteRef/>
      </w:r>
      <w:r>
        <w:rPr>
          <w:rFonts w:cs="Calibri"/>
          <w:color w:val="000000"/>
          <w:lang w:val="fr-FR"/>
        </w:rPr>
        <w:t xml:space="preserve"> Les futurs CSR de l’EAAF sont dépendants des financements.</w:t>
      </w:r>
    </w:p>
  </w:footnote>
  <w:footnote w:id="17">
    <w:p w:rsidR="00DA168E" w:rsidRPr="00164734" w:rsidRDefault="00DA168E" w:rsidP="00310B8A">
      <w:pPr>
        <w:pStyle w:val="Footnote"/>
        <w:ind w:left="0" w:firstLine="0"/>
        <w:rPr>
          <w:rFonts w:asciiTheme="minorHAnsi" w:hAnsiTheme="minorHAnsi" w:cstheme="minorHAnsi"/>
          <w:sz w:val="18"/>
          <w:szCs w:val="18"/>
          <w:lang w:val="fr-FR"/>
        </w:rPr>
      </w:pPr>
      <w:r w:rsidRPr="00310B8A">
        <w:rPr>
          <w:rStyle w:val="FootnoteReference"/>
          <w:rFonts w:asciiTheme="minorHAnsi" w:hAnsiTheme="minorHAnsi" w:cstheme="minorHAnsi"/>
        </w:rPr>
        <w:footnoteRef/>
      </w:r>
      <w:r>
        <w:rPr>
          <w:rFonts w:cs="Calibri"/>
          <w:lang w:val="fr-FR"/>
        </w:rPr>
        <w:t xml:space="preserve"> Les mises à jour des bases de données Partners in Flight, dont Avian Conservation Assessment Database, sont prévues tous les 1 à 5 ans.</w:t>
      </w:r>
    </w:p>
  </w:footnote>
  <w:footnote w:id="18">
    <w:p w:rsidR="00DA168E" w:rsidRPr="00164734" w:rsidRDefault="00DA168E" w:rsidP="00235ECA">
      <w:pPr>
        <w:pStyle w:val="Footnote"/>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Voir </w:t>
      </w:r>
      <w:hyperlink r:id="rId7" w:history="1">
        <w:r>
          <w:rPr>
            <w:rFonts w:cs="Calibri"/>
            <w:color w:val="0000FF"/>
            <w:u w:val="single"/>
            <w:lang w:val="fr-FR"/>
          </w:rPr>
          <w:t>https://pif.birdconservancy.org/population-estimates-database/</w:t>
        </w:r>
      </w:hyperlink>
      <w:r>
        <w:rPr>
          <w:rFonts w:cs="Calibri"/>
          <w:lang w:val="fr-FR"/>
        </w:rPr>
        <w:t>.</w:t>
      </w:r>
    </w:p>
  </w:footnote>
  <w:footnote w:id="19">
    <w:p w:rsidR="00DA168E" w:rsidRPr="00164734" w:rsidRDefault="00DA168E" w:rsidP="00851BCA">
      <w:pPr>
        <w:pStyle w:val="Footnote"/>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Voir </w:t>
      </w:r>
      <w:hyperlink r:id="rId8" w:history="1">
        <w:r>
          <w:rPr>
            <w:rFonts w:cs="Calibri"/>
            <w:color w:val="0000FF"/>
            <w:u w:val="single"/>
            <w:lang w:val="fr-FR"/>
          </w:rPr>
          <w:t>https://www.cms.int/en/document/central-asian-flyway-action-plan-conservation-migratory-waterbirds-and-their-habitats</w:t>
        </w:r>
      </w:hyperlink>
      <w:r>
        <w:rPr>
          <w:rFonts w:cs="Calibri"/>
          <w:lang w:val="fr-FR"/>
        </w:rPr>
        <w:t>.</w:t>
      </w:r>
    </w:p>
  </w:footnote>
  <w:footnote w:id="20">
    <w:p w:rsidR="00DA168E" w:rsidRPr="00164734" w:rsidRDefault="00DA168E" w:rsidP="00851BCA">
      <w:pPr>
        <w:pStyle w:val="Footnote"/>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L’estimation préliminaire des coûts est basée sur les tâches prévues pour chaque région/voie de migration en fonction des informations disponibles et du travail à prévoir. Le coût estimé par population est basé sur les coûts du CSR8 de l’AEWA et du CSR1 de l’EAAFP. Les principales tâches à prévoir pour l’évaluation de la taille des populations sont les suivantes : examiner les définitions actuelles des populations et les réviser sur la base de la taxonomie la plus récente (selon BirdLife International/</w:t>
      </w:r>
      <w:r>
        <w:rPr>
          <w:rFonts w:cs="Calibri"/>
          <w:i/>
          <w:iCs/>
          <w:lang w:val="fr-FR"/>
        </w:rPr>
        <w:t>Handbook of the Birds of the World</w:t>
      </w:r>
      <w:r>
        <w:rPr>
          <w:rFonts w:cs="Calibri"/>
          <w:lang w:val="fr-FR"/>
        </w:rPr>
        <w:t xml:space="preserve">); rassembler et analyser la littérature existante pour les données d’estimation de la taille des populations (pour certaines régions, l’examen de la littérature dans différentes langues nécessite un effort supplémentaire); aligner les informations sur la définition WPE des estimations et des limites des populations; mettre à jour les estimations de la taille des populations et finaliser les estimations en consultation avec des spécialistes; et générer les seuils actualisés de 1% qui en découlent (des modifications du seuil de 1% d’une estimation de population ne seront proposées que lorsque la variation du seuil de 1% est égale ou supérieure à 20%). Les actions proposées pour l’évaluation des tendances des populations comprennent : analyser la littérature pour les nouvelles estimations des tendances des populations; proposer des estimations actualisées des tendances des populations, sur la base de l’examen des nouvelles tendances et de leur analyse; et finaliser les tendances des populations en consultation avec des spécialistes. Pour un nombre limité de populations de la voie de migration d’Asie centrale qui ne sont pas actuellement couvertes par le CSR8 de l’AEWA, des analyses des tendances utilisant les données des Dénombrements internationaux des oiseaux d’eau seront entreprises. </w:t>
      </w:r>
    </w:p>
  </w:footnote>
  <w:footnote w:id="21">
    <w:p w:rsidR="00DA168E" w:rsidRPr="00164734" w:rsidRDefault="00DA168E" w:rsidP="00851BCA">
      <w:pPr>
        <w:pStyle w:val="FootnoteText"/>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Voir </w:t>
      </w:r>
      <w:hyperlink r:id="rId9" w:history="1">
        <w:r>
          <w:rPr>
            <w:rFonts w:cs="Calibri"/>
            <w:color w:val="0000FF"/>
            <w:u w:val="single"/>
            <w:lang w:val="fr-FR"/>
          </w:rPr>
          <w:t>https://www.ramsar.org/fr/document/sc58-doc19-rapport-du-president-du-groupe-devaluation-scientifique-et-technique</w:t>
        </w:r>
      </w:hyperlink>
      <w:r>
        <w:rPr>
          <w:rFonts w:cs="Calibri"/>
          <w:lang w:val="fr-FR"/>
        </w:rPr>
        <w:t>.</w:t>
      </w:r>
    </w:p>
  </w:footnote>
  <w:footnote w:id="22">
    <w:p w:rsidR="00DA168E" w:rsidRPr="00164734" w:rsidRDefault="00DA168E" w:rsidP="00851BCA">
      <w:pPr>
        <w:pStyle w:val="FootnoteText"/>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Voir </w:t>
      </w:r>
      <w:hyperlink r:id="rId10" w:history="1">
        <w:r>
          <w:rPr>
            <w:rFonts w:cs="Calibri"/>
            <w:color w:val="0000FF"/>
            <w:u w:val="single"/>
            <w:lang w:val="fr-FR"/>
          </w:rPr>
          <w:t>https://www.ramsar.org/fr/document/sc592022-doc25-rapport-du-president-du-groupe-devaluation-scientifique-et-technique</w:t>
        </w:r>
      </w:hyperlink>
      <w:r>
        <w:rPr>
          <w:rFonts w:cs="Calibri"/>
          <w:lang w:val="fr-FR"/>
        </w:rPr>
        <w:t>.</w:t>
      </w:r>
    </w:p>
  </w:footnote>
  <w:footnote w:id="23">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Comme l’indique cette proposition, il est nécessaire de passer du cycle actuel de neuf ans, conformément à la Résolution de la Convention sur les zones humides, à un cycle de six ans, option privilégiée pour les examens mondiaux des seuils de 1%.</w:t>
      </w:r>
    </w:p>
  </w:footnote>
  <w:footnote w:id="24">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À partir du CSR9 de l’AEWA en 2025, le champ d’application du CSR alternera à chaque MOP. Le CSR9 se concentrera sur les moteurs et les pressions et, tout en conservant l’analyse des tendances, il n’actualisera pas les estimations de la taille des populations ni les seuils de 1%. Cela sera fait dans le CSR10 en 2028. Des précisions sont disponibles dans le document </w:t>
      </w:r>
      <w:hyperlink r:id="rId11" w:history="1">
        <w:r>
          <w:rPr>
            <w:rFonts w:cs="Calibri"/>
            <w:color w:val="0000FF"/>
            <w:sz w:val="20"/>
            <w:szCs w:val="20"/>
            <w:u w:val="single"/>
            <w:lang w:val="fr-FR"/>
          </w:rPr>
          <w:t>https://www.unep-aewa.org/sites/default/files/document/aewa_tc15_22_discussion_paper_on_format_and_content_of_8th_edition_of_conservation_status_report_en_0.pdf</w:t>
        </w:r>
      </w:hyperlink>
      <w:r>
        <w:rPr>
          <w:rFonts w:cs="Calibri"/>
          <w:color w:val="000000"/>
          <w:sz w:val="20"/>
          <w:szCs w:val="20"/>
          <w:lang w:val="fr-FR"/>
        </w:rPr>
        <w:t>.</w:t>
      </w:r>
    </w:p>
  </w:footnote>
  <w:footnote w:id="25">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La décision 11.8 de l’EAAFP stipule : Produire des mises à jour du CSR dans le cadre d’un cycle de rapport régulier (tous les trois ans, ou, comme le prévoit la décision 10.12 de la MOP, au moins une MOP sur deux ou au plus une fois tous les quatre ans) qui établit une routine, à la fois pour la communication des données communiquées par les programmes de suivi et pour la contribution des spécialistes au processus de consultation.</w:t>
      </w:r>
    </w:p>
  </w:footnote>
  <w:footnote w:id="26">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Le Plan d’action 2005 de la CMS pour la voie de migration des oiseaux d’eau d’Asie centrale indique la nécessité d’améliorer la mesure des tendances et de partager les informations avec les organisations internationales pour en permettre l’examen. Liens vers CMS_COP14_Doc.28.4.2. Initiative CAF de la CMS</w:t>
      </w:r>
    </w:p>
  </w:footnote>
  <w:footnote w:id="27">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Lié à l’étude sur les oiseaux d’eau non migrateurs pour l’Asie-Pacifique ou les Amériques.</w:t>
      </w:r>
    </w:p>
  </w:footnote>
  <w:footnote w:id="28">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La Résolution 12.11 de la CMS, annexe 3, Plan d’action pour la voie de migration des Amériques 2018-2023, fait référence à la nécessité de promouvoir une révision avant 2023 (et la COP14 de la CMS). </w:t>
      </w:r>
      <w:sdt>
        <w:sdtPr>
          <w:rPr>
            <w:rFonts w:asciiTheme="minorHAnsi" w:hAnsiTheme="minorHAnsi" w:cstheme="minorHAnsi"/>
            <w:sz w:val="20"/>
            <w:szCs w:val="20"/>
          </w:rPr>
          <w:tag w:val="goog_rdk_253"/>
          <w:id w:val="1333952696"/>
        </w:sdtPr>
        <w:sdtContent/>
      </w:sdt>
    </w:p>
  </w:footnote>
  <w:footnote w:id="29">
    <w:p w:rsidR="00DA168E" w:rsidRPr="00164734" w:rsidRDefault="00DA168E" w:rsidP="00851BCA">
      <w:pPr>
        <w:pStyle w:val="FootnoteText"/>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1 600 populations, incluant toutes les populations autres que celles couvertes par les CSR de l’AEWA et de l’EAAFP (populations résidentes d’Afrique, d’Asie, d’Europe, du Néarctique, des Néotropiques et de l’Océanie et populations migratrices des voies de migration des Amériques, de l’Asie centrale et du Pacifique central ainsi que des voies de migration océaniques).</w:t>
      </w:r>
    </w:p>
  </w:footnote>
  <w:footnote w:id="30">
    <w:p w:rsidR="00DA168E" w:rsidRPr="00164734" w:rsidRDefault="00DA168E" w:rsidP="00851BCA">
      <w:pPr>
        <w:pStyle w:val="FootnoteText"/>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Améliorations du Waterbird populations Portal, incluant la production et le téléchargement d’une liste de populations avec des estimations de taille et de tendance et des seuils de 1% par pays, la fonctionnalité de téléchargement pour des lieux uniques afin de soutenir l’inscription de Sites Ramsar potentiels, l’inclusion de superpositions des cartes de répartition des espèces de BirdLife International.</w:t>
      </w:r>
    </w:p>
  </w:footnote>
  <w:footnote w:id="31">
    <w:p w:rsidR="00DA168E" w:rsidRPr="00164734" w:rsidRDefault="00DA168E" w:rsidP="00851BCA">
      <w:pPr>
        <w:pStyle w:val="Footnote"/>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Complémentaire et s’ajoutant à la conclusion 1 du GEST ci-dessus.</w:t>
      </w:r>
    </w:p>
  </w:footnote>
  <w:footnote w:id="32">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Les familles d’oiseaux d’eau couvertes par les WPE sont les suivantes : Anatidae, Anhimidae, Anhingidae, Anseranatidae, Aramidae, Ardeidae, Balaenicipitidae, Burhinidae, Charadriidae, Chionidae, Ciconiidae, Dromadidae, Eurypygidae, Gaviidae, Glareolidae, Gruidae, Haematopodidae, Heliornithidae, Ibidorhynchidae, Jacanidae, Laridae, Pedionomidae, Pelecanidae, Phalacrocoracidae, Phoenicopteridae, Podicipedidae, Rallidae, Recurvirostridae, Rostratulidae, Scolopacidae, Scopidae, Thinocoridae et Threskiornithidae.</w:t>
      </w:r>
    </w:p>
  </w:footnote>
  <w:footnote w:id="33">
    <w:p w:rsidR="00DA168E" w:rsidRPr="00785D5E" w:rsidRDefault="00DA168E"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sidRPr="00164734">
        <w:rPr>
          <w:rFonts w:cs="Calibri"/>
          <w:color w:val="000000"/>
          <w:sz w:val="20"/>
          <w:szCs w:val="20"/>
        </w:rPr>
        <w:t xml:space="preserve"> Matthews, G.V.T. (1993). The Ramsar Convention on wetlands: its history and development</w:t>
      </w:r>
      <w:r w:rsidRPr="00164734">
        <w:rPr>
          <w:rFonts w:cs="Calibri"/>
          <w:i/>
          <w:iCs/>
          <w:color w:val="000000"/>
          <w:sz w:val="20"/>
          <w:szCs w:val="20"/>
        </w:rPr>
        <w:t xml:space="preserve">. </w:t>
      </w:r>
      <w:r w:rsidRPr="00785D5E">
        <w:rPr>
          <w:rFonts w:cs="Calibri"/>
          <w:color w:val="000000"/>
          <w:sz w:val="20"/>
          <w:szCs w:val="20"/>
        </w:rPr>
        <w:t xml:space="preserve">Ramsar Convention Bureau, Switzerland. </w:t>
      </w:r>
      <w:hyperlink r:id="rId12" w:history="1">
        <w:r w:rsidRPr="00785D5E">
          <w:rPr>
            <w:rStyle w:val="Hyperlink"/>
            <w:rFonts w:cs="Calibri"/>
            <w:sz w:val="20"/>
            <w:szCs w:val="20"/>
          </w:rPr>
          <w:t>https://www.ramsar.org/sites/default/files/documents/pdf/lib/Matthews-history.pdf</w:t>
        </w:r>
      </w:hyperlink>
      <w:r w:rsidRPr="00785D5E">
        <w:rPr>
          <w:rFonts w:cs="Calibri"/>
          <w:color w:val="000000"/>
          <w:sz w:val="20"/>
          <w:szCs w:val="20"/>
        </w:rPr>
        <w:t>.</w:t>
      </w:r>
    </w:p>
  </w:footnote>
  <w:footnote w:id="34">
    <w:p w:rsidR="00DA168E" w:rsidRPr="00851BCA" w:rsidRDefault="00DA168E"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sidRPr="00164734">
        <w:rPr>
          <w:rFonts w:cs="Calibri"/>
          <w:color w:val="000000"/>
          <w:sz w:val="20"/>
          <w:szCs w:val="20"/>
        </w:rPr>
        <w:t xml:space="preserve"> Atkinson-Willes, G.L., Scott, D.A. &amp; Prater, A.J. (1982). Criteria for selecting wetlands of international importance. In Proceedings of the Conference on the conservation of wetlands of international importance especially as waterfowl habitat. Cagliari, Italy, 24-29 November 1980, pp. 1017-1042. Supplemento alle Ricerche di Biologia della Selvaggina, 81(1).</w:t>
      </w:r>
    </w:p>
  </w:footnote>
  <w:footnote w:id="35">
    <w:p w:rsidR="00DA168E" w:rsidRPr="00EF78E7"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sidRPr="00164734">
        <w:rPr>
          <w:rFonts w:cs="Calibri"/>
          <w:color w:val="000000"/>
          <w:sz w:val="20"/>
          <w:szCs w:val="20"/>
        </w:rPr>
        <w:t xml:space="preserve"> Rose, P.M. &amp; Scott, D.A. (1994). </w:t>
      </w:r>
      <w:r>
        <w:rPr>
          <w:rFonts w:cs="Calibri"/>
          <w:i/>
          <w:iCs/>
          <w:color w:val="000000"/>
          <w:sz w:val="20"/>
          <w:szCs w:val="20"/>
          <w:lang w:val="fr-FR"/>
        </w:rPr>
        <w:t xml:space="preserve">Estimations des populations d’oiseaux d’eau. </w:t>
      </w:r>
      <w:r>
        <w:rPr>
          <w:rFonts w:cs="Calibri"/>
          <w:color w:val="000000"/>
          <w:sz w:val="20"/>
          <w:szCs w:val="20"/>
          <w:lang w:val="fr-FR"/>
        </w:rPr>
        <w:t xml:space="preserve">Publication spéciale du BIROE n°29. </w:t>
      </w:r>
      <w:r w:rsidRPr="00EF78E7">
        <w:rPr>
          <w:rFonts w:cs="Calibri"/>
          <w:color w:val="000000"/>
          <w:sz w:val="20"/>
          <w:szCs w:val="20"/>
          <w:lang w:val="fr-FR"/>
        </w:rPr>
        <w:t>BIROE, Slimbridge, Royaume-Uni.</w:t>
      </w:r>
    </w:p>
  </w:footnote>
  <w:footnote w:id="36">
    <w:p w:rsidR="00DA168E" w:rsidRPr="00851BCA" w:rsidRDefault="00DA168E"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sidRPr="00785D5E">
        <w:rPr>
          <w:rFonts w:cs="Calibri"/>
          <w:color w:val="000000"/>
          <w:sz w:val="20"/>
          <w:szCs w:val="20"/>
          <w:lang w:val="fr-FR"/>
        </w:rPr>
        <w:t xml:space="preserve"> Rose, P. &amp; Stroud, D.A. (1994). </w:t>
      </w:r>
      <w:r w:rsidRPr="00164734">
        <w:rPr>
          <w:rFonts w:cs="Calibri"/>
          <w:color w:val="000000"/>
          <w:sz w:val="20"/>
          <w:szCs w:val="20"/>
        </w:rPr>
        <w:t xml:space="preserve">Estimating international waterfowl populations: current activity and future directions. </w:t>
      </w:r>
      <w:r w:rsidRPr="00164734">
        <w:rPr>
          <w:rFonts w:cs="Calibri"/>
          <w:i/>
          <w:iCs/>
          <w:color w:val="000000"/>
          <w:sz w:val="20"/>
          <w:szCs w:val="20"/>
        </w:rPr>
        <w:t xml:space="preserve">Wader Study Group Bulletin </w:t>
      </w:r>
      <w:r w:rsidRPr="00164734">
        <w:rPr>
          <w:rFonts w:cs="Calibri"/>
          <w:color w:val="000000"/>
          <w:sz w:val="20"/>
          <w:szCs w:val="20"/>
        </w:rPr>
        <w:t xml:space="preserve">73, 19-26. </w:t>
      </w:r>
      <w:hyperlink r:id="rId13" w:history="1">
        <w:r w:rsidRPr="00164734">
          <w:rPr>
            <w:rFonts w:cs="Calibri"/>
            <w:color w:val="0000FF"/>
            <w:sz w:val="20"/>
            <w:szCs w:val="20"/>
            <w:u w:val="single"/>
          </w:rPr>
          <w:t>https://sora.unm.edu/sites/default/files/journals/iwsgb/n073/p00019-p00026.pdf</w:t>
        </w:r>
      </w:hyperlink>
      <w:r w:rsidRPr="00164734">
        <w:rPr>
          <w:rFonts w:cs="Calibri"/>
          <w:color w:val="000000"/>
          <w:sz w:val="20"/>
          <w:szCs w:val="20"/>
        </w:rPr>
        <w:t xml:space="preserve"> </w:t>
      </w:r>
    </w:p>
  </w:footnote>
  <w:footnote w:id="37">
    <w:p w:rsidR="00DA168E" w:rsidRPr="00EF78E7" w:rsidRDefault="00DA168E"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sidRPr="00164734">
        <w:rPr>
          <w:rFonts w:cs="Calibri"/>
          <w:color w:val="000000"/>
          <w:sz w:val="20"/>
          <w:szCs w:val="20"/>
        </w:rPr>
        <w:t xml:space="preserve"> </w:t>
      </w:r>
      <w:r w:rsidRPr="00851BCA">
        <w:rPr>
          <w:rFonts w:asciiTheme="minorHAnsi" w:hAnsiTheme="minorHAnsi" w:cstheme="minorHAnsi"/>
          <w:color w:val="000000"/>
          <w:sz w:val="20"/>
          <w:szCs w:val="20"/>
        </w:rPr>
        <w:t xml:space="preserve">Stroud, D.A. (1996). Estimating international waterbird populations: use of Criterion 3(c). Pp. 37-44. In </w:t>
      </w:r>
      <w:r w:rsidRPr="00851BCA">
        <w:rPr>
          <w:rFonts w:asciiTheme="minorHAnsi" w:hAnsiTheme="minorHAnsi" w:cstheme="minorHAnsi"/>
          <w:i/>
          <w:color w:val="000000"/>
          <w:sz w:val="20"/>
          <w:szCs w:val="20"/>
        </w:rPr>
        <w:t xml:space="preserve">Proceedings of the 6th Meeting of the Conference of the Contracting Parties to the Convention on Wetlands. Brisbane, Australia, 19-27 March 1996. </w:t>
      </w:r>
      <w:r w:rsidRPr="00EF78E7">
        <w:rPr>
          <w:rFonts w:asciiTheme="minorHAnsi" w:hAnsiTheme="minorHAnsi" w:cstheme="minorHAnsi"/>
          <w:i/>
          <w:color w:val="000000"/>
          <w:sz w:val="20"/>
          <w:szCs w:val="20"/>
        </w:rPr>
        <w:t xml:space="preserve">Technical Sessions E and F. </w:t>
      </w:r>
      <w:r w:rsidRPr="00EF78E7">
        <w:rPr>
          <w:rFonts w:asciiTheme="minorHAnsi" w:hAnsiTheme="minorHAnsi" w:cstheme="minorHAnsi"/>
          <w:color w:val="000000"/>
          <w:sz w:val="20"/>
          <w:szCs w:val="20"/>
        </w:rPr>
        <w:t>Ramsar Bureau, Switzerland</w:t>
      </w:r>
      <w:r w:rsidRPr="00EF78E7">
        <w:rPr>
          <w:rFonts w:cs="Calibri"/>
          <w:color w:val="000000"/>
          <w:sz w:val="20"/>
          <w:szCs w:val="20"/>
        </w:rPr>
        <w:t xml:space="preserve">. </w:t>
      </w:r>
    </w:p>
  </w:footnote>
  <w:footnote w:id="38">
    <w:p w:rsidR="00DA168E" w:rsidRPr="00164734" w:rsidRDefault="00DA168E" w:rsidP="00851BCA">
      <w:pPr>
        <w:pStyle w:val="FootnoteText"/>
        <w:ind w:left="0" w:firstLine="0"/>
        <w:rPr>
          <w:rFonts w:asciiTheme="minorHAnsi" w:hAnsiTheme="minorHAnsi" w:cstheme="minorHAnsi"/>
          <w:lang w:val="fr-FR"/>
        </w:rPr>
      </w:pPr>
      <w:r w:rsidRPr="00851BCA">
        <w:rPr>
          <w:rStyle w:val="FootnoteReference"/>
          <w:rFonts w:asciiTheme="minorHAnsi" w:hAnsiTheme="minorHAnsi" w:cstheme="minorHAnsi"/>
        </w:rPr>
        <w:footnoteRef/>
      </w:r>
      <w:r>
        <w:rPr>
          <w:rFonts w:cs="Calibri"/>
          <w:lang w:val="fr-FR"/>
        </w:rPr>
        <w:t xml:space="preserve"> Dans le tableau 3 de la proposition technique, le petit nombre de populations de l’océan Indien, de l’océan Pacifique et de l’Antarctique est présenté avec la voie de migration Pacifique central.</w:t>
      </w:r>
    </w:p>
  </w:footnote>
  <w:footnote w:id="39">
    <w:p w:rsidR="00DA168E" w:rsidRPr="00164734" w:rsidRDefault="00DA168E" w:rsidP="00851BCA">
      <w:pPr>
        <w:pBdr>
          <w:top w:val="nil"/>
          <w:left w:val="nil"/>
          <w:bottom w:val="nil"/>
          <w:right w:val="nil"/>
          <w:between w:val="nil"/>
        </w:pBdr>
        <w:ind w:left="0" w:firstLine="0"/>
        <w:rPr>
          <w:rFonts w:asciiTheme="minorHAnsi" w:hAnsiTheme="minorHAnsi" w:cstheme="minorHAnsi"/>
          <w:color w:val="000000"/>
          <w:sz w:val="20"/>
          <w:szCs w:val="20"/>
          <w:lang w:val="fr-FR"/>
        </w:rPr>
      </w:pPr>
      <w:r w:rsidRPr="00851BCA">
        <w:rPr>
          <w:rStyle w:val="FootnoteReference"/>
          <w:rFonts w:asciiTheme="minorHAnsi" w:hAnsiTheme="minorHAnsi" w:cstheme="minorHAnsi"/>
          <w:sz w:val="20"/>
          <w:szCs w:val="20"/>
        </w:rPr>
        <w:footnoteRef/>
      </w:r>
      <w:r>
        <w:rPr>
          <w:rFonts w:cs="Calibri"/>
          <w:color w:val="000000"/>
          <w:sz w:val="20"/>
          <w:szCs w:val="20"/>
          <w:lang w:val="fr-FR"/>
        </w:rPr>
        <w:t xml:space="preserve"> Ce point a été souligné par Rose &amp; Stroud (1994). </w:t>
      </w:r>
    </w:p>
  </w:footnote>
  <w:footnote w:id="40">
    <w:p w:rsidR="00DA168E" w:rsidRPr="005B1E26" w:rsidRDefault="00DA168E" w:rsidP="005B1E26">
      <w:pPr>
        <w:pBdr>
          <w:top w:val="nil"/>
          <w:left w:val="nil"/>
          <w:bottom w:val="nil"/>
          <w:right w:val="nil"/>
          <w:between w:val="nil"/>
        </w:pBdr>
        <w:ind w:left="0" w:firstLine="0"/>
        <w:rPr>
          <w:rFonts w:asciiTheme="minorHAnsi" w:hAnsiTheme="minorHAnsi" w:cstheme="minorHAnsi"/>
          <w:color w:val="000000"/>
          <w:sz w:val="18"/>
          <w:szCs w:val="18"/>
          <w:lang w:val="fr-FR"/>
        </w:rPr>
      </w:pPr>
      <w:r w:rsidRPr="00851BCA">
        <w:rPr>
          <w:rStyle w:val="FootnoteReference"/>
          <w:rFonts w:asciiTheme="minorHAnsi" w:hAnsiTheme="minorHAnsi" w:cstheme="minorHAnsi"/>
          <w:sz w:val="20"/>
          <w:szCs w:val="20"/>
        </w:rPr>
        <w:footnoteRef/>
      </w:r>
      <w:r w:rsidRPr="005B1E26">
        <w:rPr>
          <w:rFonts w:asciiTheme="minorHAnsi" w:hAnsiTheme="minorHAnsi" w:cstheme="minorHAnsi"/>
          <w:color w:val="000000"/>
          <w:sz w:val="20"/>
          <w:szCs w:val="20"/>
          <w:lang w:val="fr-FR"/>
        </w:rPr>
        <w:t xml:space="preserve"> </w:t>
      </w:r>
      <w:hyperlink r:id="rId14" w:history="1">
        <w:r w:rsidRPr="005B1E26">
          <w:rPr>
            <w:rStyle w:val="Hyperlink"/>
            <w:rFonts w:asciiTheme="minorHAnsi" w:hAnsiTheme="minorHAnsi" w:cstheme="minorHAnsi"/>
            <w:sz w:val="20"/>
            <w:szCs w:val="20"/>
            <w:lang w:val="fr-FR"/>
          </w:rPr>
          <w:t>https://rsis.ramsar.org/RISapp/StatDoc/strategic_framework_fr.pdf</w:t>
        </w:r>
      </w:hyperlink>
      <w:r w:rsidRPr="005B1E26">
        <w:rPr>
          <w:rFonts w:asciiTheme="minorHAnsi" w:hAnsiTheme="minorHAnsi" w:cstheme="minorHAnsi"/>
          <w:color w:val="000000"/>
          <w:sz w:val="18"/>
          <w:szCs w:val="18"/>
          <w:lang w:val="fr-FR"/>
        </w:rPr>
        <w:t xml:space="preserve"> </w:t>
      </w:r>
    </w:p>
  </w:footnote>
  <w:footnote w:id="41">
    <w:p w:rsidR="00DA168E" w:rsidRPr="004212F8" w:rsidRDefault="00DA168E">
      <w:pPr>
        <w:pStyle w:val="FootnoteText"/>
        <w:rPr>
          <w:lang w:val="fr-FR"/>
        </w:rPr>
      </w:pPr>
      <w:r>
        <w:rPr>
          <w:rStyle w:val="FootnoteReference"/>
        </w:rPr>
        <w:footnoteRef/>
      </w:r>
      <w:r w:rsidRPr="004212F8">
        <w:rPr>
          <w:lang w:val="fr-FR"/>
        </w:rPr>
        <w:t xml:space="preserve"> </w:t>
      </w:r>
      <w:r>
        <w:rPr>
          <w:lang w:val="fr-FR"/>
        </w:rPr>
        <w:t>Traduction non officielle des décisions de l’EAAFP, réalisée par le Secrétariat de la Convention sur les zones humides.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68E" w:rsidRDefault="00DA168E">
    <w:pPr>
      <w:pStyle w:val="Header"/>
    </w:pPr>
  </w:p>
  <w:p w:rsidR="00DA168E" w:rsidRDefault="00DA1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6DC"/>
    <w:multiLevelType w:val="multilevel"/>
    <w:tmpl w:val="71F0788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CF6A33"/>
    <w:multiLevelType w:val="multilevel"/>
    <w:tmpl w:val="DE724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846E1E"/>
    <w:multiLevelType w:val="hybridMultilevel"/>
    <w:tmpl w:val="ECCCDBBE"/>
    <w:lvl w:ilvl="0" w:tplc="B66266C4">
      <w:start w:val="1"/>
      <w:numFmt w:val="lowerLetter"/>
      <w:lvlText w:val="%1."/>
      <w:lvlJc w:val="left"/>
      <w:pPr>
        <w:ind w:left="720" w:hanging="360"/>
      </w:pPr>
    </w:lvl>
    <w:lvl w:ilvl="1" w:tplc="CFF8E888" w:tentative="1">
      <w:start w:val="1"/>
      <w:numFmt w:val="lowerLetter"/>
      <w:lvlText w:val="%2."/>
      <w:lvlJc w:val="left"/>
      <w:pPr>
        <w:ind w:left="1440" w:hanging="360"/>
      </w:pPr>
    </w:lvl>
    <w:lvl w:ilvl="2" w:tplc="4D0C4666" w:tentative="1">
      <w:start w:val="1"/>
      <w:numFmt w:val="lowerRoman"/>
      <w:lvlText w:val="%3."/>
      <w:lvlJc w:val="right"/>
      <w:pPr>
        <w:ind w:left="2160" w:hanging="180"/>
      </w:pPr>
    </w:lvl>
    <w:lvl w:ilvl="3" w:tplc="26760590" w:tentative="1">
      <w:start w:val="1"/>
      <w:numFmt w:val="decimal"/>
      <w:lvlText w:val="%4."/>
      <w:lvlJc w:val="left"/>
      <w:pPr>
        <w:ind w:left="2880" w:hanging="360"/>
      </w:pPr>
    </w:lvl>
    <w:lvl w:ilvl="4" w:tplc="D16E0C66" w:tentative="1">
      <w:start w:val="1"/>
      <w:numFmt w:val="lowerLetter"/>
      <w:lvlText w:val="%5."/>
      <w:lvlJc w:val="left"/>
      <w:pPr>
        <w:ind w:left="3600" w:hanging="360"/>
      </w:pPr>
    </w:lvl>
    <w:lvl w:ilvl="5" w:tplc="0142A096" w:tentative="1">
      <w:start w:val="1"/>
      <w:numFmt w:val="lowerRoman"/>
      <w:lvlText w:val="%6."/>
      <w:lvlJc w:val="right"/>
      <w:pPr>
        <w:ind w:left="4320" w:hanging="180"/>
      </w:pPr>
    </w:lvl>
    <w:lvl w:ilvl="6" w:tplc="307A442C" w:tentative="1">
      <w:start w:val="1"/>
      <w:numFmt w:val="decimal"/>
      <w:lvlText w:val="%7."/>
      <w:lvlJc w:val="left"/>
      <w:pPr>
        <w:ind w:left="5040" w:hanging="360"/>
      </w:pPr>
    </w:lvl>
    <w:lvl w:ilvl="7" w:tplc="AF32BFF8" w:tentative="1">
      <w:start w:val="1"/>
      <w:numFmt w:val="lowerLetter"/>
      <w:lvlText w:val="%8."/>
      <w:lvlJc w:val="left"/>
      <w:pPr>
        <w:ind w:left="5760" w:hanging="360"/>
      </w:pPr>
    </w:lvl>
    <w:lvl w:ilvl="8" w:tplc="198C5C6A" w:tentative="1">
      <w:start w:val="1"/>
      <w:numFmt w:val="lowerRoman"/>
      <w:lvlText w:val="%9."/>
      <w:lvlJc w:val="right"/>
      <w:pPr>
        <w:ind w:left="6480" w:hanging="180"/>
      </w:pPr>
    </w:lvl>
  </w:abstractNum>
  <w:abstractNum w:abstractNumId="3" w15:restartNumberingAfterBreak="0">
    <w:nsid w:val="09BD4048"/>
    <w:multiLevelType w:val="multilevel"/>
    <w:tmpl w:val="8CE22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842F3"/>
    <w:multiLevelType w:val="hybridMultilevel"/>
    <w:tmpl w:val="EC1ED57A"/>
    <w:lvl w:ilvl="0" w:tplc="0EBC8F36">
      <w:start w:val="1"/>
      <w:numFmt w:val="bullet"/>
      <w:lvlText w:val=""/>
      <w:lvlJc w:val="left"/>
      <w:pPr>
        <w:ind w:left="720" w:hanging="360"/>
      </w:pPr>
      <w:rPr>
        <w:rFonts w:ascii="Symbol" w:hAnsi="Symbol" w:hint="default"/>
      </w:rPr>
    </w:lvl>
    <w:lvl w:ilvl="1" w:tplc="8668E46C">
      <w:start w:val="1"/>
      <w:numFmt w:val="lowerLetter"/>
      <w:lvlText w:val="%2."/>
      <w:lvlJc w:val="left"/>
      <w:pPr>
        <w:ind w:left="1440" w:hanging="360"/>
      </w:pPr>
    </w:lvl>
    <w:lvl w:ilvl="2" w:tplc="9662B9BC" w:tentative="1">
      <w:start w:val="1"/>
      <w:numFmt w:val="lowerRoman"/>
      <w:lvlText w:val="%3."/>
      <w:lvlJc w:val="right"/>
      <w:pPr>
        <w:ind w:left="2160" w:hanging="180"/>
      </w:pPr>
    </w:lvl>
    <w:lvl w:ilvl="3" w:tplc="19AE9982" w:tentative="1">
      <w:start w:val="1"/>
      <w:numFmt w:val="decimal"/>
      <w:lvlText w:val="%4."/>
      <w:lvlJc w:val="left"/>
      <w:pPr>
        <w:ind w:left="2880" w:hanging="360"/>
      </w:pPr>
    </w:lvl>
    <w:lvl w:ilvl="4" w:tplc="8FD8B506" w:tentative="1">
      <w:start w:val="1"/>
      <w:numFmt w:val="lowerLetter"/>
      <w:lvlText w:val="%5."/>
      <w:lvlJc w:val="left"/>
      <w:pPr>
        <w:ind w:left="3600" w:hanging="360"/>
      </w:pPr>
    </w:lvl>
    <w:lvl w:ilvl="5" w:tplc="319E06CC" w:tentative="1">
      <w:start w:val="1"/>
      <w:numFmt w:val="lowerRoman"/>
      <w:lvlText w:val="%6."/>
      <w:lvlJc w:val="right"/>
      <w:pPr>
        <w:ind w:left="4320" w:hanging="180"/>
      </w:pPr>
    </w:lvl>
    <w:lvl w:ilvl="6" w:tplc="16FAD3B0" w:tentative="1">
      <w:start w:val="1"/>
      <w:numFmt w:val="decimal"/>
      <w:lvlText w:val="%7."/>
      <w:lvlJc w:val="left"/>
      <w:pPr>
        <w:ind w:left="5040" w:hanging="360"/>
      </w:pPr>
    </w:lvl>
    <w:lvl w:ilvl="7" w:tplc="AFD40408" w:tentative="1">
      <w:start w:val="1"/>
      <w:numFmt w:val="lowerLetter"/>
      <w:lvlText w:val="%8."/>
      <w:lvlJc w:val="left"/>
      <w:pPr>
        <w:ind w:left="5760" w:hanging="360"/>
      </w:pPr>
    </w:lvl>
    <w:lvl w:ilvl="8" w:tplc="F2F40AA4" w:tentative="1">
      <w:start w:val="1"/>
      <w:numFmt w:val="lowerRoman"/>
      <w:lvlText w:val="%9."/>
      <w:lvlJc w:val="right"/>
      <w:pPr>
        <w:ind w:left="6480" w:hanging="180"/>
      </w:pPr>
    </w:lvl>
  </w:abstractNum>
  <w:abstractNum w:abstractNumId="5" w15:restartNumberingAfterBreak="0">
    <w:nsid w:val="0E9D6022"/>
    <w:multiLevelType w:val="multilevel"/>
    <w:tmpl w:val="67C430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05953"/>
    <w:multiLevelType w:val="hybridMultilevel"/>
    <w:tmpl w:val="0832D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F026A"/>
    <w:multiLevelType w:val="multilevel"/>
    <w:tmpl w:val="94A622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2D94A71"/>
    <w:multiLevelType w:val="multilevel"/>
    <w:tmpl w:val="5AE0B1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EA5788"/>
    <w:multiLevelType w:val="hybridMultilevel"/>
    <w:tmpl w:val="ECCCDBBE"/>
    <w:lvl w:ilvl="0" w:tplc="1EAC2632">
      <w:start w:val="1"/>
      <w:numFmt w:val="lowerLetter"/>
      <w:lvlText w:val="%1."/>
      <w:lvlJc w:val="left"/>
      <w:pPr>
        <w:ind w:left="720" w:hanging="360"/>
      </w:pPr>
    </w:lvl>
    <w:lvl w:ilvl="1" w:tplc="B30A1334" w:tentative="1">
      <w:start w:val="1"/>
      <w:numFmt w:val="lowerLetter"/>
      <w:lvlText w:val="%2."/>
      <w:lvlJc w:val="left"/>
      <w:pPr>
        <w:ind w:left="1440" w:hanging="360"/>
      </w:pPr>
    </w:lvl>
    <w:lvl w:ilvl="2" w:tplc="23BEB8C8" w:tentative="1">
      <w:start w:val="1"/>
      <w:numFmt w:val="lowerRoman"/>
      <w:lvlText w:val="%3."/>
      <w:lvlJc w:val="right"/>
      <w:pPr>
        <w:ind w:left="2160" w:hanging="180"/>
      </w:pPr>
    </w:lvl>
    <w:lvl w:ilvl="3" w:tplc="80D4B1B0" w:tentative="1">
      <w:start w:val="1"/>
      <w:numFmt w:val="decimal"/>
      <w:lvlText w:val="%4."/>
      <w:lvlJc w:val="left"/>
      <w:pPr>
        <w:ind w:left="2880" w:hanging="360"/>
      </w:pPr>
    </w:lvl>
    <w:lvl w:ilvl="4" w:tplc="196242AA" w:tentative="1">
      <w:start w:val="1"/>
      <w:numFmt w:val="lowerLetter"/>
      <w:lvlText w:val="%5."/>
      <w:lvlJc w:val="left"/>
      <w:pPr>
        <w:ind w:left="3600" w:hanging="360"/>
      </w:pPr>
    </w:lvl>
    <w:lvl w:ilvl="5" w:tplc="E1228650" w:tentative="1">
      <w:start w:val="1"/>
      <w:numFmt w:val="lowerRoman"/>
      <w:lvlText w:val="%6."/>
      <w:lvlJc w:val="right"/>
      <w:pPr>
        <w:ind w:left="4320" w:hanging="180"/>
      </w:pPr>
    </w:lvl>
    <w:lvl w:ilvl="6" w:tplc="28ACDB08" w:tentative="1">
      <w:start w:val="1"/>
      <w:numFmt w:val="decimal"/>
      <w:lvlText w:val="%7."/>
      <w:lvlJc w:val="left"/>
      <w:pPr>
        <w:ind w:left="5040" w:hanging="360"/>
      </w:pPr>
    </w:lvl>
    <w:lvl w:ilvl="7" w:tplc="3BC0AA32" w:tentative="1">
      <w:start w:val="1"/>
      <w:numFmt w:val="lowerLetter"/>
      <w:lvlText w:val="%8."/>
      <w:lvlJc w:val="left"/>
      <w:pPr>
        <w:ind w:left="5760" w:hanging="360"/>
      </w:pPr>
    </w:lvl>
    <w:lvl w:ilvl="8" w:tplc="C95414B0" w:tentative="1">
      <w:start w:val="1"/>
      <w:numFmt w:val="lowerRoman"/>
      <w:lvlText w:val="%9."/>
      <w:lvlJc w:val="right"/>
      <w:pPr>
        <w:ind w:left="6480" w:hanging="180"/>
      </w:pPr>
    </w:lvl>
  </w:abstractNum>
  <w:abstractNum w:abstractNumId="10" w15:restartNumberingAfterBreak="0">
    <w:nsid w:val="18256FF3"/>
    <w:multiLevelType w:val="hybridMultilevel"/>
    <w:tmpl w:val="CEDC61E2"/>
    <w:lvl w:ilvl="0" w:tplc="1D28EFE6">
      <w:start w:val="7"/>
      <w:numFmt w:val="decimal"/>
      <w:lvlText w:val="%1."/>
      <w:lvlJc w:val="left"/>
      <w:pPr>
        <w:ind w:left="720" w:hanging="360"/>
      </w:pPr>
      <w:rPr>
        <w:rFonts w:hint="default"/>
      </w:rPr>
    </w:lvl>
    <w:lvl w:ilvl="1" w:tplc="DF08E3C0">
      <w:start w:val="1"/>
      <w:numFmt w:val="lowerLetter"/>
      <w:lvlText w:val="%2."/>
      <w:lvlJc w:val="left"/>
      <w:pPr>
        <w:ind w:left="1440" w:hanging="360"/>
      </w:pPr>
    </w:lvl>
    <w:lvl w:ilvl="2" w:tplc="CAC44842" w:tentative="1">
      <w:start w:val="1"/>
      <w:numFmt w:val="lowerRoman"/>
      <w:lvlText w:val="%3."/>
      <w:lvlJc w:val="right"/>
      <w:pPr>
        <w:ind w:left="2160" w:hanging="180"/>
      </w:pPr>
    </w:lvl>
    <w:lvl w:ilvl="3" w:tplc="620CDFFA" w:tentative="1">
      <w:start w:val="1"/>
      <w:numFmt w:val="decimal"/>
      <w:lvlText w:val="%4."/>
      <w:lvlJc w:val="left"/>
      <w:pPr>
        <w:ind w:left="2880" w:hanging="360"/>
      </w:pPr>
    </w:lvl>
    <w:lvl w:ilvl="4" w:tplc="320A36C0" w:tentative="1">
      <w:start w:val="1"/>
      <w:numFmt w:val="lowerLetter"/>
      <w:lvlText w:val="%5."/>
      <w:lvlJc w:val="left"/>
      <w:pPr>
        <w:ind w:left="3600" w:hanging="360"/>
      </w:pPr>
    </w:lvl>
    <w:lvl w:ilvl="5" w:tplc="B30A15C0" w:tentative="1">
      <w:start w:val="1"/>
      <w:numFmt w:val="lowerRoman"/>
      <w:lvlText w:val="%6."/>
      <w:lvlJc w:val="right"/>
      <w:pPr>
        <w:ind w:left="4320" w:hanging="180"/>
      </w:pPr>
    </w:lvl>
    <w:lvl w:ilvl="6" w:tplc="E016373A" w:tentative="1">
      <w:start w:val="1"/>
      <w:numFmt w:val="decimal"/>
      <w:lvlText w:val="%7."/>
      <w:lvlJc w:val="left"/>
      <w:pPr>
        <w:ind w:left="5040" w:hanging="360"/>
      </w:pPr>
    </w:lvl>
    <w:lvl w:ilvl="7" w:tplc="016601BA" w:tentative="1">
      <w:start w:val="1"/>
      <w:numFmt w:val="lowerLetter"/>
      <w:lvlText w:val="%8."/>
      <w:lvlJc w:val="left"/>
      <w:pPr>
        <w:ind w:left="5760" w:hanging="360"/>
      </w:pPr>
    </w:lvl>
    <w:lvl w:ilvl="8" w:tplc="831E89DC" w:tentative="1">
      <w:start w:val="1"/>
      <w:numFmt w:val="lowerRoman"/>
      <w:lvlText w:val="%9."/>
      <w:lvlJc w:val="right"/>
      <w:pPr>
        <w:ind w:left="6480" w:hanging="180"/>
      </w:pPr>
    </w:lvl>
  </w:abstractNum>
  <w:abstractNum w:abstractNumId="11" w15:restartNumberingAfterBreak="0">
    <w:nsid w:val="27773065"/>
    <w:multiLevelType w:val="hybridMultilevel"/>
    <w:tmpl w:val="99524BE6"/>
    <w:lvl w:ilvl="0" w:tplc="EB92EBBE">
      <w:start w:val="1"/>
      <w:numFmt w:val="lowerLetter"/>
      <w:lvlText w:val="%1."/>
      <w:lvlJc w:val="left"/>
      <w:pPr>
        <w:ind w:left="1080" w:hanging="360"/>
      </w:pPr>
    </w:lvl>
    <w:lvl w:ilvl="1" w:tplc="9DE04164" w:tentative="1">
      <w:start w:val="1"/>
      <w:numFmt w:val="lowerLetter"/>
      <w:lvlText w:val="%2."/>
      <w:lvlJc w:val="left"/>
      <w:pPr>
        <w:ind w:left="1800" w:hanging="360"/>
      </w:pPr>
    </w:lvl>
    <w:lvl w:ilvl="2" w:tplc="09AC8DB6" w:tentative="1">
      <w:start w:val="1"/>
      <w:numFmt w:val="lowerRoman"/>
      <w:lvlText w:val="%3."/>
      <w:lvlJc w:val="right"/>
      <w:pPr>
        <w:ind w:left="2520" w:hanging="180"/>
      </w:pPr>
    </w:lvl>
    <w:lvl w:ilvl="3" w:tplc="ED3CC04C" w:tentative="1">
      <w:start w:val="1"/>
      <w:numFmt w:val="decimal"/>
      <w:lvlText w:val="%4."/>
      <w:lvlJc w:val="left"/>
      <w:pPr>
        <w:ind w:left="3240" w:hanging="360"/>
      </w:pPr>
    </w:lvl>
    <w:lvl w:ilvl="4" w:tplc="CD3293F0" w:tentative="1">
      <w:start w:val="1"/>
      <w:numFmt w:val="lowerLetter"/>
      <w:lvlText w:val="%5."/>
      <w:lvlJc w:val="left"/>
      <w:pPr>
        <w:ind w:left="3960" w:hanging="360"/>
      </w:pPr>
    </w:lvl>
    <w:lvl w:ilvl="5" w:tplc="EBC479C0" w:tentative="1">
      <w:start w:val="1"/>
      <w:numFmt w:val="lowerRoman"/>
      <w:lvlText w:val="%6."/>
      <w:lvlJc w:val="right"/>
      <w:pPr>
        <w:ind w:left="4680" w:hanging="180"/>
      </w:pPr>
    </w:lvl>
    <w:lvl w:ilvl="6" w:tplc="353C860C" w:tentative="1">
      <w:start w:val="1"/>
      <w:numFmt w:val="decimal"/>
      <w:lvlText w:val="%7."/>
      <w:lvlJc w:val="left"/>
      <w:pPr>
        <w:ind w:left="5400" w:hanging="360"/>
      </w:pPr>
    </w:lvl>
    <w:lvl w:ilvl="7" w:tplc="DDB8914A" w:tentative="1">
      <w:start w:val="1"/>
      <w:numFmt w:val="lowerLetter"/>
      <w:lvlText w:val="%8."/>
      <w:lvlJc w:val="left"/>
      <w:pPr>
        <w:ind w:left="6120" w:hanging="360"/>
      </w:pPr>
    </w:lvl>
    <w:lvl w:ilvl="8" w:tplc="37EA84EE" w:tentative="1">
      <w:start w:val="1"/>
      <w:numFmt w:val="lowerRoman"/>
      <w:lvlText w:val="%9."/>
      <w:lvlJc w:val="right"/>
      <w:pPr>
        <w:ind w:left="6840" w:hanging="180"/>
      </w:pPr>
    </w:lvl>
  </w:abstractNum>
  <w:abstractNum w:abstractNumId="12" w15:restartNumberingAfterBreak="0">
    <w:nsid w:val="287B2775"/>
    <w:multiLevelType w:val="hybridMultilevel"/>
    <w:tmpl w:val="F7727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FC575A"/>
    <w:multiLevelType w:val="multilevel"/>
    <w:tmpl w:val="E0280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3E008F"/>
    <w:multiLevelType w:val="hybridMultilevel"/>
    <w:tmpl w:val="17208E36"/>
    <w:lvl w:ilvl="0" w:tplc="2FBA3DD6">
      <w:start w:val="1"/>
      <w:numFmt w:val="decimal"/>
      <w:lvlText w:val="%1."/>
      <w:lvlJc w:val="left"/>
      <w:pPr>
        <w:ind w:left="720" w:hanging="360"/>
      </w:pPr>
      <w:rPr>
        <w:rFonts w:hint="default"/>
      </w:rPr>
    </w:lvl>
    <w:lvl w:ilvl="1" w:tplc="BE74F620">
      <w:start w:val="1"/>
      <w:numFmt w:val="lowerLetter"/>
      <w:lvlText w:val="%2."/>
      <w:lvlJc w:val="left"/>
      <w:pPr>
        <w:ind w:left="1440" w:hanging="360"/>
      </w:pPr>
    </w:lvl>
    <w:lvl w:ilvl="2" w:tplc="BD92358C">
      <w:start w:val="1"/>
      <w:numFmt w:val="lowerRoman"/>
      <w:lvlText w:val="%3."/>
      <w:lvlJc w:val="right"/>
      <w:pPr>
        <w:ind w:left="2160" w:hanging="180"/>
      </w:pPr>
    </w:lvl>
    <w:lvl w:ilvl="3" w:tplc="A6F8E108" w:tentative="1">
      <w:start w:val="1"/>
      <w:numFmt w:val="decimal"/>
      <w:lvlText w:val="%4."/>
      <w:lvlJc w:val="left"/>
      <w:pPr>
        <w:ind w:left="2880" w:hanging="360"/>
      </w:pPr>
    </w:lvl>
    <w:lvl w:ilvl="4" w:tplc="A9A6BC9C" w:tentative="1">
      <w:start w:val="1"/>
      <w:numFmt w:val="lowerLetter"/>
      <w:lvlText w:val="%5."/>
      <w:lvlJc w:val="left"/>
      <w:pPr>
        <w:ind w:left="3600" w:hanging="360"/>
      </w:pPr>
    </w:lvl>
    <w:lvl w:ilvl="5" w:tplc="2F7C162C" w:tentative="1">
      <w:start w:val="1"/>
      <w:numFmt w:val="lowerRoman"/>
      <w:lvlText w:val="%6."/>
      <w:lvlJc w:val="right"/>
      <w:pPr>
        <w:ind w:left="4320" w:hanging="180"/>
      </w:pPr>
    </w:lvl>
    <w:lvl w:ilvl="6" w:tplc="ED08F5C8" w:tentative="1">
      <w:start w:val="1"/>
      <w:numFmt w:val="decimal"/>
      <w:lvlText w:val="%7."/>
      <w:lvlJc w:val="left"/>
      <w:pPr>
        <w:ind w:left="5040" w:hanging="360"/>
      </w:pPr>
    </w:lvl>
    <w:lvl w:ilvl="7" w:tplc="BE880720" w:tentative="1">
      <w:start w:val="1"/>
      <w:numFmt w:val="lowerLetter"/>
      <w:lvlText w:val="%8."/>
      <w:lvlJc w:val="left"/>
      <w:pPr>
        <w:ind w:left="5760" w:hanging="360"/>
      </w:pPr>
    </w:lvl>
    <w:lvl w:ilvl="8" w:tplc="C0563706" w:tentative="1">
      <w:start w:val="1"/>
      <w:numFmt w:val="lowerRoman"/>
      <w:lvlText w:val="%9."/>
      <w:lvlJc w:val="right"/>
      <w:pPr>
        <w:ind w:left="6480" w:hanging="180"/>
      </w:pPr>
    </w:lvl>
  </w:abstractNum>
  <w:abstractNum w:abstractNumId="15" w15:restartNumberingAfterBreak="0">
    <w:nsid w:val="34DF08CA"/>
    <w:multiLevelType w:val="hybridMultilevel"/>
    <w:tmpl w:val="217AA186"/>
    <w:lvl w:ilvl="0" w:tplc="5E762ECC">
      <w:start w:val="1"/>
      <w:numFmt w:val="lowerLetter"/>
      <w:lvlText w:val="%1."/>
      <w:lvlJc w:val="left"/>
      <w:pPr>
        <w:ind w:left="780" w:hanging="360"/>
      </w:pPr>
      <w:rPr>
        <w:rFonts w:hint="default"/>
      </w:rPr>
    </w:lvl>
    <w:lvl w:ilvl="1" w:tplc="B70CFD8C" w:tentative="1">
      <w:start w:val="1"/>
      <w:numFmt w:val="lowerLetter"/>
      <w:lvlText w:val="%2."/>
      <w:lvlJc w:val="left"/>
      <w:pPr>
        <w:ind w:left="1500" w:hanging="360"/>
      </w:pPr>
    </w:lvl>
    <w:lvl w:ilvl="2" w:tplc="8C4E0372" w:tentative="1">
      <w:start w:val="1"/>
      <w:numFmt w:val="lowerRoman"/>
      <w:lvlText w:val="%3."/>
      <w:lvlJc w:val="right"/>
      <w:pPr>
        <w:ind w:left="2220" w:hanging="180"/>
      </w:pPr>
    </w:lvl>
    <w:lvl w:ilvl="3" w:tplc="91281F82" w:tentative="1">
      <w:start w:val="1"/>
      <w:numFmt w:val="decimal"/>
      <w:lvlText w:val="%4."/>
      <w:lvlJc w:val="left"/>
      <w:pPr>
        <w:ind w:left="2940" w:hanging="360"/>
      </w:pPr>
    </w:lvl>
    <w:lvl w:ilvl="4" w:tplc="39ACC584" w:tentative="1">
      <w:start w:val="1"/>
      <w:numFmt w:val="lowerLetter"/>
      <w:lvlText w:val="%5."/>
      <w:lvlJc w:val="left"/>
      <w:pPr>
        <w:ind w:left="3660" w:hanging="360"/>
      </w:pPr>
    </w:lvl>
    <w:lvl w:ilvl="5" w:tplc="009843DE" w:tentative="1">
      <w:start w:val="1"/>
      <w:numFmt w:val="lowerRoman"/>
      <w:lvlText w:val="%6."/>
      <w:lvlJc w:val="right"/>
      <w:pPr>
        <w:ind w:left="4380" w:hanging="180"/>
      </w:pPr>
    </w:lvl>
    <w:lvl w:ilvl="6" w:tplc="28E41258" w:tentative="1">
      <w:start w:val="1"/>
      <w:numFmt w:val="decimal"/>
      <w:lvlText w:val="%7."/>
      <w:lvlJc w:val="left"/>
      <w:pPr>
        <w:ind w:left="5100" w:hanging="360"/>
      </w:pPr>
    </w:lvl>
    <w:lvl w:ilvl="7" w:tplc="288249FA" w:tentative="1">
      <w:start w:val="1"/>
      <w:numFmt w:val="lowerLetter"/>
      <w:lvlText w:val="%8."/>
      <w:lvlJc w:val="left"/>
      <w:pPr>
        <w:ind w:left="5820" w:hanging="360"/>
      </w:pPr>
    </w:lvl>
    <w:lvl w:ilvl="8" w:tplc="8A008AC4" w:tentative="1">
      <w:start w:val="1"/>
      <w:numFmt w:val="lowerRoman"/>
      <w:lvlText w:val="%9."/>
      <w:lvlJc w:val="right"/>
      <w:pPr>
        <w:ind w:left="6540" w:hanging="180"/>
      </w:pPr>
    </w:lvl>
  </w:abstractNum>
  <w:abstractNum w:abstractNumId="16" w15:restartNumberingAfterBreak="0">
    <w:nsid w:val="34F26DB3"/>
    <w:multiLevelType w:val="hybridMultilevel"/>
    <w:tmpl w:val="ECCCDBBE"/>
    <w:lvl w:ilvl="0" w:tplc="F5D8F8E4">
      <w:start w:val="1"/>
      <w:numFmt w:val="lowerLetter"/>
      <w:lvlText w:val="%1."/>
      <w:lvlJc w:val="left"/>
      <w:pPr>
        <w:ind w:left="720" w:hanging="360"/>
      </w:pPr>
    </w:lvl>
    <w:lvl w:ilvl="1" w:tplc="FFD40794" w:tentative="1">
      <w:start w:val="1"/>
      <w:numFmt w:val="lowerLetter"/>
      <w:lvlText w:val="%2."/>
      <w:lvlJc w:val="left"/>
      <w:pPr>
        <w:ind w:left="1440" w:hanging="360"/>
      </w:pPr>
    </w:lvl>
    <w:lvl w:ilvl="2" w:tplc="3A04182A" w:tentative="1">
      <w:start w:val="1"/>
      <w:numFmt w:val="lowerRoman"/>
      <w:lvlText w:val="%3."/>
      <w:lvlJc w:val="right"/>
      <w:pPr>
        <w:ind w:left="2160" w:hanging="180"/>
      </w:pPr>
    </w:lvl>
    <w:lvl w:ilvl="3" w:tplc="626EA0F4" w:tentative="1">
      <w:start w:val="1"/>
      <w:numFmt w:val="decimal"/>
      <w:lvlText w:val="%4."/>
      <w:lvlJc w:val="left"/>
      <w:pPr>
        <w:ind w:left="2880" w:hanging="360"/>
      </w:pPr>
    </w:lvl>
    <w:lvl w:ilvl="4" w:tplc="51D23B26" w:tentative="1">
      <w:start w:val="1"/>
      <w:numFmt w:val="lowerLetter"/>
      <w:lvlText w:val="%5."/>
      <w:lvlJc w:val="left"/>
      <w:pPr>
        <w:ind w:left="3600" w:hanging="360"/>
      </w:pPr>
    </w:lvl>
    <w:lvl w:ilvl="5" w:tplc="7618158E" w:tentative="1">
      <w:start w:val="1"/>
      <w:numFmt w:val="lowerRoman"/>
      <w:lvlText w:val="%6."/>
      <w:lvlJc w:val="right"/>
      <w:pPr>
        <w:ind w:left="4320" w:hanging="180"/>
      </w:pPr>
    </w:lvl>
    <w:lvl w:ilvl="6" w:tplc="5EA097EA" w:tentative="1">
      <w:start w:val="1"/>
      <w:numFmt w:val="decimal"/>
      <w:lvlText w:val="%7."/>
      <w:lvlJc w:val="left"/>
      <w:pPr>
        <w:ind w:left="5040" w:hanging="360"/>
      </w:pPr>
    </w:lvl>
    <w:lvl w:ilvl="7" w:tplc="75B04BE6" w:tentative="1">
      <w:start w:val="1"/>
      <w:numFmt w:val="lowerLetter"/>
      <w:lvlText w:val="%8."/>
      <w:lvlJc w:val="left"/>
      <w:pPr>
        <w:ind w:left="5760" w:hanging="360"/>
      </w:pPr>
    </w:lvl>
    <w:lvl w:ilvl="8" w:tplc="37843040" w:tentative="1">
      <w:start w:val="1"/>
      <w:numFmt w:val="lowerRoman"/>
      <w:lvlText w:val="%9."/>
      <w:lvlJc w:val="right"/>
      <w:pPr>
        <w:ind w:left="6480" w:hanging="180"/>
      </w:pPr>
    </w:lvl>
  </w:abstractNum>
  <w:abstractNum w:abstractNumId="17" w15:restartNumberingAfterBreak="0">
    <w:nsid w:val="3DAB15FF"/>
    <w:multiLevelType w:val="hybridMultilevel"/>
    <w:tmpl w:val="30CAFC70"/>
    <w:lvl w:ilvl="0" w:tplc="FA0AD9A6">
      <w:start w:val="1"/>
      <w:numFmt w:val="lowerLetter"/>
      <w:lvlText w:val="%1."/>
      <w:lvlJc w:val="left"/>
      <w:pPr>
        <w:ind w:left="1440" w:hanging="360"/>
      </w:pPr>
    </w:lvl>
    <w:lvl w:ilvl="1" w:tplc="5D922BA2" w:tentative="1">
      <w:start w:val="1"/>
      <w:numFmt w:val="lowerLetter"/>
      <w:lvlText w:val="%2."/>
      <w:lvlJc w:val="left"/>
      <w:pPr>
        <w:ind w:left="1440" w:hanging="360"/>
      </w:pPr>
    </w:lvl>
    <w:lvl w:ilvl="2" w:tplc="3E1E6550" w:tentative="1">
      <w:start w:val="1"/>
      <w:numFmt w:val="lowerRoman"/>
      <w:lvlText w:val="%3."/>
      <w:lvlJc w:val="right"/>
      <w:pPr>
        <w:ind w:left="2160" w:hanging="180"/>
      </w:pPr>
    </w:lvl>
    <w:lvl w:ilvl="3" w:tplc="0B2CF308" w:tentative="1">
      <w:start w:val="1"/>
      <w:numFmt w:val="decimal"/>
      <w:lvlText w:val="%4."/>
      <w:lvlJc w:val="left"/>
      <w:pPr>
        <w:ind w:left="2880" w:hanging="360"/>
      </w:pPr>
    </w:lvl>
    <w:lvl w:ilvl="4" w:tplc="0F1ACD04" w:tentative="1">
      <w:start w:val="1"/>
      <w:numFmt w:val="lowerLetter"/>
      <w:lvlText w:val="%5."/>
      <w:lvlJc w:val="left"/>
      <w:pPr>
        <w:ind w:left="3600" w:hanging="360"/>
      </w:pPr>
    </w:lvl>
    <w:lvl w:ilvl="5" w:tplc="BCF80724" w:tentative="1">
      <w:start w:val="1"/>
      <w:numFmt w:val="lowerRoman"/>
      <w:lvlText w:val="%6."/>
      <w:lvlJc w:val="right"/>
      <w:pPr>
        <w:ind w:left="4320" w:hanging="180"/>
      </w:pPr>
    </w:lvl>
    <w:lvl w:ilvl="6" w:tplc="43C669CA" w:tentative="1">
      <w:start w:val="1"/>
      <w:numFmt w:val="decimal"/>
      <w:lvlText w:val="%7."/>
      <w:lvlJc w:val="left"/>
      <w:pPr>
        <w:ind w:left="5040" w:hanging="360"/>
      </w:pPr>
    </w:lvl>
    <w:lvl w:ilvl="7" w:tplc="F29E4696" w:tentative="1">
      <w:start w:val="1"/>
      <w:numFmt w:val="lowerLetter"/>
      <w:lvlText w:val="%8."/>
      <w:lvlJc w:val="left"/>
      <w:pPr>
        <w:ind w:left="5760" w:hanging="360"/>
      </w:pPr>
    </w:lvl>
    <w:lvl w:ilvl="8" w:tplc="61BCBE2E" w:tentative="1">
      <w:start w:val="1"/>
      <w:numFmt w:val="lowerRoman"/>
      <w:lvlText w:val="%9."/>
      <w:lvlJc w:val="right"/>
      <w:pPr>
        <w:ind w:left="6480" w:hanging="180"/>
      </w:pPr>
    </w:lvl>
  </w:abstractNum>
  <w:abstractNum w:abstractNumId="18" w15:restartNumberingAfterBreak="0">
    <w:nsid w:val="48563FA0"/>
    <w:multiLevelType w:val="hybridMultilevel"/>
    <w:tmpl w:val="1A14F1BC"/>
    <w:lvl w:ilvl="0" w:tplc="A19077FE">
      <w:start w:val="1"/>
      <w:numFmt w:val="decimal"/>
      <w:lvlText w:val="%1."/>
      <w:lvlJc w:val="left"/>
      <w:pPr>
        <w:ind w:left="720" w:hanging="360"/>
      </w:pPr>
    </w:lvl>
    <w:lvl w:ilvl="1" w:tplc="CD4802AE" w:tentative="1">
      <w:start w:val="1"/>
      <w:numFmt w:val="lowerLetter"/>
      <w:lvlText w:val="%2."/>
      <w:lvlJc w:val="left"/>
      <w:pPr>
        <w:ind w:left="1440" w:hanging="360"/>
      </w:pPr>
    </w:lvl>
    <w:lvl w:ilvl="2" w:tplc="501A521E" w:tentative="1">
      <w:start w:val="1"/>
      <w:numFmt w:val="lowerRoman"/>
      <w:lvlText w:val="%3."/>
      <w:lvlJc w:val="right"/>
      <w:pPr>
        <w:ind w:left="2160" w:hanging="180"/>
      </w:pPr>
    </w:lvl>
    <w:lvl w:ilvl="3" w:tplc="C6E4BC5E" w:tentative="1">
      <w:start w:val="1"/>
      <w:numFmt w:val="decimal"/>
      <w:lvlText w:val="%4."/>
      <w:lvlJc w:val="left"/>
      <w:pPr>
        <w:ind w:left="2880" w:hanging="360"/>
      </w:pPr>
    </w:lvl>
    <w:lvl w:ilvl="4" w:tplc="1358766C" w:tentative="1">
      <w:start w:val="1"/>
      <w:numFmt w:val="lowerLetter"/>
      <w:lvlText w:val="%5."/>
      <w:lvlJc w:val="left"/>
      <w:pPr>
        <w:ind w:left="3600" w:hanging="360"/>
      </w:pPr>
    </w:lvl>
    <w:lvl w:ilvl="5" w:tplc="753AC21A" w:tentative="1">
      <w:start w:val="1"/>
      <w:numFmt w:val="lowerRoman"/>
      <w:lvlText w:val="%6."/>
      <w:lvlJc w:val="right"/>
      <w:pPr>
        <w:ind w:left="4320" w:hanging="180"/>
      </w:pPr>
    </w:lvl>
    <w:lvl w:ilvl="6" w:tplc="D9565098" w:tentative="1">
      <w:start w:val="1"/>
      <w:numFmt w:val="decimal"/>
      <w:lvlText w:val="%7."/>
      <w:lvlJc w:val="left"/>
      <w:pPr>
        <w:ind w:left="5040" w:hanging="360"/>
      </w:pPr>
    </w:lvl>
    <w:lvl w:ilvl="7" w:tplc="68B45C60" w:tentative="1">
      <w:start w:val="1"/>
      <w:numFmt w:val="lowerLetter"/>
      <w:lvlText w:val="%8."/>
      <w:lvlJc w:val="left"/>
      <w:pPr>
        <w:ind w:left="5760" w:hanging="360"/>
      </w:pPr>
    </w:lvl>
    <w:lvl w:ilvl="8" w:tplc="21D68310" w:tentative="1">
      <w:start w:val="1"/>
      <w:numFmt w:val="lowerRoman"/>
      <w:lvlText w:val="%9."/>
      <w:lvlJc w:val="right"/>
      <w:pPr>
        <w:ind w:left="6480" w:hanging="180"/>
      </w:pPr>
    </w:lvl>
  </w:abstractNum>
  <w:abstractNum w:abstractNumId="19" w15:restartNumberingAfterBreak="0">
    <w:nsid w:val="4BFB2E4E"/>
    <w:multiLevelType w:val="hybridMultilevel"/>
    <w:tmpl w:val="26A84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354FFF"/>
    <w:multiLevelType w:val="hybridMultilevel"/>
    <w:tmpl w:val="826CEFFC"/>
    <w:lvl w:ilvl="0" w:tplc="9620DB72">
      <w:start w:val="1"/>
      <w:numFmt w:val="lowerLetter"/>
      <w:lvlText w:val="%1."/>
      <w:lvlJc w:val="left"/>
      <w:pPr>
        <w:ind w:left="1440" w:hanging="360"/>
      </w:pPr>
    </w:lvl>
    <w:lvl w:ilvl="1" w:tplc="346C5ED8" w:tentative="1">
      <w:start w:val="1"/>
      <w:numFmt w:val="lowerLetter"/>
      <w:lvlText w:val="%2."/>
      <w:lvlJc w:val="left"/>
      <w:pPr>
        <w:ind w:left="1440" w:hanging="360"/>
      </w:pPr>
    </w:lvl>
    <w:lvl w:ilvl="2" w:tplc="D7580B30" w:tentative="1">
      <w:start w:val="1"/>
      <w:numFmt w:val="lowerRoman"/>
      <w:lvlText w:val="%3."/>
      <w:lvlJc w:val="right"/>
      <w:pPr>
        <w:ind w:left="2160" w:hanging="180"/>
      </w:pPr>
    </w:lvl>
    <w:lvl w:ilvl="3" w:tplc="A3244F1E" w:tentative="1">
      <w:start w:val="1"/>
      <w:numFmt w:val="decimal"/>
      <w:lvlText w:val="%4."/>
      <w:lvlJc w:val="left"/>
      <w:pPr>
        <w:ind w:left="2880" w:hanging="360"/>
      </w:pPr>
    </w:lvl>
    <w:lvl w:ilvl="4" w:tplc="B538B268" w:tentative="1">
      <w:start w:val="1"/>
      <w:numFmt w:val="lowerLetter"/>
      <w:lvlText w:val="%5."/>
      <w:lvlJc w:val="left"/>
      <w:pPr>
        <w:ind w:left="3600" w:hanging="360"/>
      </w:pPr>
    </w:lvl>
    <w:lvl w:ilvl="5" w:tplc="E2BA8E72" w:tentative="1">
      <w:start w:val="1"/>
      <w:numFmt w:val="lowerRoman"/>
      <w:lvlText w:val="%6."/>
      <w:lvlJc w:val="right"/>
      <w:pPr>
        <w:ind w:left="4320" w:hanging="180"/>
      </w:pPr>
    </w:lvl>
    <w:lvl w:ilvl="6" w:tplc="3AD2E15A" w:tentative="1">
      <w:start w:val="1"/>
      <w:numFmt w:val="decimal"/>
      <w:lvlText w:val="%7."/>
      <w:lvlJc w:val="left"/>
      <w:pPr>
        <w:ind w:left="5040" w:hanging="360"/>
      </w:pPr>
    </w:lvl>
    <w:lvl w:ilvl="7" w:tplc="BDF4E33A" w:tentative="1">
      <w:start w:val="1"/>
      <w:numFmt w:val="lowerLetter"/>
      <w:lvlText w:val="%8."/>
      <w:lvlJc w:val="left"/>
      <w:pPr>
        <w:ind w:left="5760" w:hanging="360"/>
      </w:pPr>
    </w:lvl>
    <w:lvl w:ilvl="8" w:tplc="A3D4AF66" w:tentative="1">
      <w:start w:val="1"/>
      <w:numFmt w:val="lowerRoman"/>
      <w:lvlText w:val="%9."/>
      <w:lvlJc w:val="right"/>
      <w:pPr>
        <w:ind w:left="6480" w:hanging="180"/>
      </w:pPr>
    </w:lvl>
  </w:abstractNum>
  <w:abstractNum w:abstractNumId="21" w15:restartNumberingAfterBreak="0">
    <w:nsid w:val="5A134E08"/>
    <w:multiLevelType w:val="hybridMultilevel"/>
    <w:tmpl w:val="AD7AD366"/>
    <w:lvl w:ilvl="0" w:tplc="550C0234">
      <w:start w:val="1"/>
      <w:numFmt w:val="bullet"/>
      <w:lvlText w:val=""/>
      <w:lvlJc w:val="left"/>
      <w:pPr>
        <w:ind w:left="1195" w:hanging="360"/>
      </w:pPr>
      <w:rPr>
        <w:rFonts w:ascii="Symbol" w:hAnsi="Symbol" w:hint="default"/>
      </w:rPr>
    </w:lvl>
    <w:lvl w:ilvl="1" w:tplc="CFEC0814" w:tentative="1">
      <w:start w:val="1"/>
      <w:numFmt w:val="bullet"/>
      <w:lvlText w:val="o"/>
      <w:lvlJc w:val="left"/>
      <w:pPr>
        <w:ind w:left="1915" w:hanging="360"/>
      </w:pPr>
      <w:rPr>
        <w:rFonts w:ascii="Courier New" w:hAnsi="Courier New" w:cs="Courier New" w:hint="default"/>
      </w:rPr>
    </w:lvl>
    <w:lvl w:ilvl="2" w:tplc="3696790C" w:tentative="1">
      <w:start w:val="1"/>
      <w:numFmt w:val="bullet"/>
      <w:lvlText w:val=""/>
      <w:lvlJc w:val="left"/>
      <w:pPr>
        <w:ind w:left="2635" w:hanging="360"/>
      </w:pPr>
      <w:rPr>
        <w:rFonts w:ascii="Wingdings" w:hAnsi="Wingdings" w:hint="default"/>
      </w:rPr>
    </w:lvl>
    <w:lvl w:ilvl="3" w:tplc="3C1E9E84" w:tentative="1">
      <w:start w:val="1"/>
      <w:numFmt w:val="bullet"/>
      <w:lvlText w:val=""/>
      <w:lvlJc w:val="left"/>
      <w:pPr>
        <w:ind w:left="3355" w:hanging="360"/>
      </w:pPr>
      <w:rPr>
        <w:rFonts w:ascii="Symbol" w:hAnsi="Symbol" w:hint="default"/>
      </w:rPr>
    </w:lvl>
    <w:lvl w:ilvl="4" w:tplc="CF9AF0BE" w:tentative="1">
      <w:start w:val="1"/>
      <w:numFmt w:val="bullet"/>
      <w:lvlText w:val="o"/>
      <w:lvlJc w:val="left"/>
      <w:pPr>
        <w:ind w:left="4075" w:hanging="360"/>
      </w:pPr>
      <w:rPr>
        <w:rFonts w:ascii="Courier New" w:hAnsi="Courier New" w:cs="Courier New" w:hint="default"/>
      </w:rPr>
    </w:lvl>
    <w:lvl w:ilvl="5" w:tplc="3BD85AD4" w:tentative="1">
      <w:start w:val="1"/>
      <w:numFmt w:val="bullet"/>
      <w:lvlText w:val=""/>
      <w:lvlJc w:val="left"/>
      <w:pPr>
        <w:ind w:left="4795" w:hanging="360"/>
      </w:pPr>
      <w:rPr>
        <w:rFonts w:ascii="Wingdings" w:hAnsi="Wingdings" w:hint="default"/>
      </w:rPr>
    </w:lvl>
    <w:lvl w:ilvl="6" w:tplc="D65E80A2" w:tentative="1">
      <w:start w:val="1"/>
      <w:numFmt w:val="bullet"/>
      <w:lvlText w:val=""/>
      <w:lvlJc w:val="left"/>
      <w:pPr>
        <w:ind w:left="5515" w:hanging="360"/>
      </w:pPr>
      <w:rPr>
        <w:rFonts w:ascii="Symbol" w:hAnsi="Symbol" w:hint="default"/>
      </w:rPr>
    </w:lvl>
    <w:lvl w:ilvl="7" w:tplc="3BD23F4A" w:tentative="1">
      <w:start w:val="1"/>
      <w:numFmt w:val="bullet"/>
      <w:lvlText w:val="o"/>
      <w:lvlJc w:val="left"/>
      <w:pPr>
        <w:ind w:left="6235" w:hanging="360"/>
      </w:pPr>
      <w:rPr>
        <w:rFonts w:ascii="Courier New" w:hAnsi="Courier New" w:cs="Courier New" w:hint="default"/>
      </w:rPr>
    </w:lvl>
    <w:lvl w:ilvl="8" w:tplc="5790B26A" w:tentative="1">
      <w:start w:val="1"/>
      <w:numFmt w:val="bullet"/>
      <w:lvlText w:val=""/>
      <w:lvlJc w:val="left"/>
      <w:pPr>
        <w:ind w:left="6955" w:hanging="360"/>
      </w:pPr>
      <w:rPr>
        <w:rFonts w:ascii="Wingdings" w:hAnsi="Wingdings" w:hint="default"/>
      </w:rPr>
    </w:lvl>
  </w:abstractNum>
  <w:abstractNum w:abstractNumId="22" w15:restartNumberingAfterBreak="0">
    <w:nsid w:val="5A470D52"/>
    <w:multiLevelType w:val="multilevel"/>
    <w:tmpl w:val="763EA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0A0308"/>
    <w:multiLevelType w:val="hybridMultilevel"/>
    <w:tmpl w:val="DDE8B708"/>
    <w:lvl w:ilvl="0" w:tplc="C0645F26">
      <w:start w:val="1"/>
      <w:numFmt w:val="lowerLetter"/>
      <w:lvlText w:val="%1."/>
      <w:lvlJc w:val="left"/>
      <w:pPr>
        <w:ind w:left="720" w:hanging="360"/>
      </w:pPr>
    </w:lvl>
    <w:lvl w:ilvl="1" w:tplc="A5C4BCFE" w:tentative="1">
      <w:start w:val="1"/>
      <w:numFmt w:val="lowerLetter"/>
      <w:lvlText w:val="%2."/>
      <w:lvlJc w:val="left"/>
      <w:pPr>
        <w:ind w:left="1440" w:hanging="360"/>
      </w:pPr>
    </w:lvl>
    <w:lvl w:ilvl="2" w:tplc="F1062734" w:tentative="1">
      <w:start w:val="1"/>
      <w:numFmt w:val="lowerRoman"/>
      <w:lvlText w:val="%3."/>
      <w:lvlJc w:val="right"/>
      <w:pPr>
        <w:ind w:left="2160" w:hanging="180"/>
      </w:pPr>
    </w:lvl>
    <w:lvl w:ilvl="3" w:tplc="59C8C622" w:tentative="1">
      <w:start w:val="1"/>
      <w:numFmt w:val="decimal"/>
      <w:lvlText w:val="%4."/>
      <w:lvlJc w:val="left"/>
      <w:pPr>
        <w:ind w:left="2880" w:hanging="360"/>
      </w:pPr>
    </w:lvl>
    <w:lvl w:ilvl="4" w:tplc="8DDA81E6" w:tentative="1">
      <w:start w:val="1"/>
      <w:numFmt w:val="lowerLetter"/>
      <w:lvlText w:val="%5."/>
      <w:lvlJc w:val="left"/>
      <w:pPr>
        <w:ind w:left="3600" w:hanging="360"/>
      </w:pPr>
    </w:lvl>
    <w:lvl w:ilvl="5" w:tplc="CEB454C0" w:tentative="1">
      <w:start w:val="1"/>
      <w:numFmt w:val="lowerRoman"/>
      <w:lvlText w:val="%6."/>
      <w:lvlJc w:val="right"/>
      <w:pPr>
        <w:ind w:left="4320" w:hanging="180"/>
      </w:pPr>
    </w:lvl>
    <w:lvl w:ilvl="6" w:tplc="C5B655A0" w:tentative="1">
      <w:start w:val="1"/>
      <w:numFmt w:val="decimal"/>
      <w:lvlText w:val="%7."/>
      <w:lvlJc w:val="left"/>
      <w:pPr>
        <w:ind w:left="5040" w:hanging="360"/>
      </w:pPr>
    </w:lvl>
    <w:lvl w:ilvl="7" w:tplc="2EAE1662" w:tentative="1">
      <w:start w:val="1"/>
      <w:numFmt w:val="lowerLetter"/>
      <w:lvlText w:val="%8."/>
      <w:lvlJc w:val="left"/>
      <w:pPr>
        <w:ind w:left="5760" w:hanging="360"/>
      </w:pPr>
    </w:lvl>
    <w:lvl w:ilvl="8" w:tplc="EAB82838" w:tentative="1">
      <w:start w:val="1"/>
      <w:numFmt w:val="lowerRoman"/>
      <w:lvlText w:val="%9."/>
      <w:lvlJc w:val="right"/>
      <w:pPr>
        <w:ind w:left="6480" w:hanging="180"/>
      </w:pPr>
    </w:lvl>
  </w:abstractNum>
  <w:abstractNum w:abstractNumId="24" w15:restartNumberingAfterBreak="0">
    <w:nsid w:val="60172CC0"/>
    <w:multiLevelType w:val="multilevel"/>
    <w:tmpl w:val="82BE4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4473368"/>
    <w:multiLevelType w:val="multilevel"/>
    <w:tmpl w:val="A08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7852240"/>
    <w:multiLevelType w:val="hybridMultilevel"/>
    <w:tmpl w:val="C7580092"/>
    <w:lvl w:ilvl="0" w:tplc="F62A5BB0">
      <w:start w:val="1"/>
      <w:numFmt w:val="bullet"/>
      <w:lvlText w:val=""/>
      <w:lvlJc w:val="left"/>
      <w:pPr>
        <w:ind w:left="720" w:hanging="360"/>
      </w:pPr>
      <w:rPr>
        <w:rFonts w:ascii="Symbol" w:hAnsi="Symbol" w:hint="default"/>
      </w:rPr>
    </w:lvl>
    <w:lvl w:ilvl="1" w:tplc="FCDAD88E" w:tentative="1">
      <w:start w:val="1"/>
      <w:numFmt w:val="bullet"/>
      <w:lvlText w:val="o"/>
      <w:lvlJc w:val="left"/>
      <w:pPr>
        <w:ind w:left="1440" w:hanging="360"/>
      </w:pPr>
      <w:rPr>
        <w:rFonts w:ascii="Courier New" w:hAnsi="Courier New" w:cs="Courier New" w:hint="default"/>
      </w:rPr>
    </w:lvl>
    <w:lvl w:ilvl="2" w:tplc="7CE84068" w:tentative="1">
      <w:start w:val="1"/>
      <w:numFmt w:val="bullet"/>
      <w:lvlText w:val=""/>
      <w:lvlJc w:val="left"/>
      <w:pPr>
        <w:ind w:left="2160" w:hanging="360"/>
      </w:pPr>
      <w:rPr>
        <w:rFonts w:ascii="Wingdings" w:hAnsi="Wingdings" w:hint="default"/>
      </w:rPr>
    </w:lvl>
    <w:lvl w:ilvl="3" w:tplc="2170081E" w:tentative="1">
      <w:start w:val="1"/>
      <w:numFmt w:val="bullet"/>
      <w:lvlText w:val=""/>
      <w:lvlJc w:val="left"/>
      <w:pPr>
        <w:ind w:left="2880" w:hanging="360"/>
      </w:pPr>
      <w:rPr>
        <w:rFonts w:ascii="Symbol" w:hAnsi="Symbol" w:hint="default"/>
      </w:rPr>
    </w:lvl>
    <w:lvl w:ilvl="4" w:tplc="E51022EC" w:tentative="1">
      <w:start w:val="1"/>
      <w:numFmt w:val="bullet"/>
      <w:lvlText w:val="o"/>
      <w:lvlJc w:val="left"/>
      <w:pPr>
        <w:ind w:left="3600" w:hanging="360"/>
      </w:pPr>
      <w:rPr>
        <w:rFonts w:ascii="Courier New" w:hAnsi="Courier New" w:cs="Courier New" w:hint="default"/>
      </w:rPr>
    </w:lvl>
    <w:lvl w:ilvl="5" w:tplc="1210647E" w:tentative="1">
      <w:start w:val="1"/>
      <w:numFmt w:val="bullet"/>
      <w:lvlText w:val=""/>
      <w:lvlJc w:val="left"/>
      <w:pPr>
        <w:ind w:left="4320" w:hanging="360"/>
      </w:pPr>
      <w:rPr>
        <w:rFonts w:ascii="Wingdings" w:hAnsi="Wingdings" w:hint="default"/>
      </w:rPr>
    </w:lvl>
    <w:lvl w:ilvl="6" w:tplc="A68CB450" w:tentative="1">
      <w:start w:val="1"/>
      <w:numFmt w:val="bullet"/>
      <w:lvlText w:val=""/>
      <w:lvlJc w:val="left"/>
      <w:pPr>
        <w:ind w:left="5040" w:hanging="360"/>
      </w:pPr>
      <w:rPr>
        <w:rFonts w:ascii="Symbol" w:hAnsi="Symbol" w:hint="default"/>
      </w:rPr>
    </w:lvl>
    <w:lvl w:ilvl="7" w:tplc="DF1A9542" w:tentative="1">
      <w:start w:val="1"/>
      <w:numFmt w:val="bullet"/>
      <w:lvlText w:val="o"/>
      <w:lvlJc w:val="left"/>
      <w:pPr>
        <w:ind w:left="5760" w:hanging="360"/>
      </w:pPr>
      <w:rPr>
        <w:rFonts w:ascii="Courier New" w:hAnsi="Courier New" w:cs="Courier New" w:hint="default"/>
      </w:rPr>
    </w:lvl>
    <w:lvl w:ilvl="8" w:tplc="AC6C1636" w:tentative="1">
      <w:start w:val="1"/>
      <w:numFmt w:val="bullet"/>
      <w:lvlText w:val=""/>
      <w:lvlJc w:val="left"/>
      <w:pPr>
        <w:ind w:left="6480" w:hanging="360"/>
      </w:pPr>
      <w:rPr>
        <w:rFonts w:ascii="Wingdings" w:hAnsi="Wingdings" w:hint="default"/>
      </w:rPr>
    </w:lvl>
  </w:abstractNum>
  <w:abstractNum w:abstractNumId="27" w15:restartNumberingAfterBreak="0">
    <w:nsid w:val="6C507F52"/>
    <w:multiLevelType w:val="multilevel"/>
    <w:tmpl w:val="84FE865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C96C68"/>
    <w:multiLevelType w:val="hybridMultilevel"/>
    <w:tmpl w:val="ECCCDBBE"/>
    <w:lvl w:ilvl="0" w:tplc="F18E5ABE">
      <w:start w:val="1"/>
      <w:numFmt w:val="lowerLetter"/>
      <w:lvlText w:val="%1."/>
      <w:lvlJc w:val="left"/>
      <w:pPr>
        <w:ind w:left="1310" w:hanging="360"/>
      </w:pPr>
    </w:lvl>
    <w:lvl w:ilvl="1" w:tplc="9B42A504" w:tentative="1">
      <w:start w:val="1"/>
      <w:numFmt w:val="lowerLetter"/>
      <w:lvlText w:val="%2."/>
      <w:lvlJc w:val="left"/>
      <w:pPr>
        <w:ind w:left="2030" w:hanging="360"/>
      </w:pPr>
    </w:lvl>
    <w:lvl w:ilvl="2" w:tplc="2AAE9F98" w:tentative="1">
      <w:start w:val="1"/>
      <w:numFmt w:val="lowerRoman"/>
      <w:lvlText w:val="%3."/>
      <w:lvlJc w:val="right"/>
      <w:pPr>
        <w:ind w:left="2750" w:hanging="180"/>
      </w:pPr>
    </w:lvl>
    <w:lvl w:ilvl="3" w:tplc="1F2897E6" w:tentative="1">
      <w:start w:val="1"/>
      <w:numFmt w:val="decimal"/>
      <w:lvlText w:val="%4."/>
      <w:lvlJc w:val="left"/>
      <w:pPr>
        <w:ind w:left="3470" w:hanging="360"/>
      </w:pPr>
    </w:lvl>
    <w:lvl w:ilvl="4" w:tplc="C47A14BA" w:tentative="1">
      <w:start w:val="1"/>
      <w:numFmt w:val="lowerLetter"/>
      <w:lvlText w:val="%5."/>
      <w:lvlJc w:val="left"/>
      <w:pPr>
        <w:ind w:left="4190" w:hanging="360"/>
      </w:pPr>
    </w:lvl>
    <w:lvl w:ilvl="5" w:tplc="A2F4E508" w:tentative="1">
      <w:start w:val="1"/>
      <w:numFmt w:val="lowerRoman"/>
      <w:lvlText w:val="%6."/>
      <w:lvlJc w:val="right"/>
      <w:pPr>
        <w:ind w:left="4910" w:hanging="180"/>
      </w:pPr>
    </w:lvl>
    <w:lvl w:ilvl="6" w:tplc="0C5A5AC8" w:tentative="1">
      <w:start w:val="1"/>
      <w:numFmt w:val="decimal"/>
      <w:lvlText w:val="%7."/>
      <w:lvlJc w:val="left"/>
      <w:pPr>
        <w:ind w:left="5630" w:hanging="360"/>
      </w:pPr>
    </w:lvl>
    <w:lvl w:ilvl="7" w:tplc="3F9A75D6" w:tentative="1">
      <w:start w:val="1"/>
      <w:numFmt w:val="lowerLetter"/>
      <w:lvlText w:val="%8."/>
      <w:lvlJc w:val="left"/>
      <w:pPr>
        <w:ind w:left="6350" w:hanging="360"/>
      </w:pPr>
    </w:lvl>
    <w:lvl w:ilvl="8" w:tplc="F084BDA8" w:tentative="1">
      <w:start w:val="1"/>
      <w:numFmt w:val="lowerRoman"/>
      <w:lvlText w:val="%9."/>
      <w:lvlJc w:val="right"/>
      <w:pPr>
        <w:ind w:left="7070" w:hanging="180"/>
      </w:pPr>
    </w:lvl>
  </w:abstractNum>
  <w:abstractNum w:abstractNumId="29" w15:restartNumberingAfterBreak="0">
    <w:nsid w:val="7903414F"/>
    <w:multiLevelType w:val="hybridMultilevel"/>
    <w:tmpl w:val="2F60C734"/>
    <w:lvl w:ilvl="0" w:tplc="8F589C8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15"/>
  </w:num>
  <w:num w:numId="3">
    <w:abstractNumId w:val="23"/>
  </w:num>
  <w:num w:numId="4">
    <w:abstractNumId w:val="4"/>
  </w:num>
  <w:num w:numId="5">
    <w:abstractNumId w:val="26"/>
  </w:num>
  <w:num w:numId="6">
    <w:abstractNumId w:val="13"/>
  </w:num>
  <w:num w:numId="7">
    <w:abstractNumId w:val="24"/>
  </w:num>
  <w:num w:numId="8">
    <w:abstractNumId w:val="10"/>
  </w:num>
  <w:num w:numId="9">
    <w:abstractNumId w:val="25"/>
  </w:num>
  <w:num w:numId="10">
    <w:abstractNumId w:val="8"/>
  </w:num>
  <w:num w:numId="11">
    <w:abstractNumId w:val="14"/>
  </w:num>
  <w:num w:numId="12">
    <w:abstractNumId w:val="18"/>
  </w:num>
  <w:num w:numId="13">
    <w:abstractNumId w:val="9"/>
  </w:num>
  <w:num w:numId="14">
    <w:abstractNumId w:val="5"/>
  </w:num>
  <w:num w:numId="15">
    <w:abstractNumId w:val="27"/>
  </w:num>
  <w:num w:numId="16">
    <w:abstractNumId w:val="1"/>
  </w:num>
  <w:num w:numId="17">
    <w:abstractNumId w:val="0"/>
  </w:num>
  <w:num w:numId="18">
    <w:abstractNumId w:val="7"/>
  </w:num>
  <w:num w:numId="19">
    <w:abstractNumId w:val="3"/>
  </w:num>
  <w:num w:numId="20">
    <w:abstractNumId w:val="22"/>
  </w:num>
  <w:num w:numId="21">
    <w:abstractNumId w:val="20"/>
  </w:num>
  <w:num w:numId="22">
    <w:abstractNumId w:val="16"/>
  </w:num>
  <w:num w:numId="23">
    <w:abstractNumId w:val="28"/>
  </w:num>
  <w:num w:numId="24">
    <w:abstractNumId w:val="2"/>
  </w:num>
  <w:num w:numId="25">
    <w:abstractNumId w:val="17"/>
  </w:num>
  <w:num w:numId="26">
    <w:abstractNumId w:val="21"/>
  </w:num>
  <w:num w:numId="27">
    <w:abstractNumId w:val="29"/>
  </w:num>
  <w:num w:numId="28">
    <w:abstractNumId w:val="12"/>
  </w:num>
  <w:num w:numId="29">
    <w:abstractNumId w:val="6"/>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86"/>
    <w:rsid w:val="00002AA7"/>
    <w:rsid w:val="0000767F"/>
    <w:rsid w:val="000123FD"/>
    <w:rsid w:val="000126B6"/>
    <w:rsid w:val="000128D3"/>
    <w:rsid w:val="00014168"/>
    <w:rsid w:val="00015A36"/>
    <w:rsid w:val="00015D38"/>
    <w:rsid w:val="00015F6C"/>
    <w:rsid w:val="00016E39"/>
    <w:rsid w:val="000171C0"/>
    <w:rsid w:val="00017249"/>
    <w:rsid w:val="00017692"/>
    <w:rsid w:val="00017A16"/>
    <w:rsid w:val="00021D2D"/>
    <w:rsid w:val="000226C1"/>
    <w:rsid w:val="00024379"/>
    <w:rsid w:val="00024FCA"/>
    <w:rsid w:val="000254F2"/>
    <w:rsid w:val="000259F4"/>
    <w:rsid w:val="00026E09"/>
    <w:rsid w:val="00027BEC"/>
    <w:rsid w:val="00030234"/>
    <w:rsid w:val="00030EB7"/>
    <w:rsid w:val="00033070"/>
    <w:rsid w:val="00033E80"/>
    <w:rsid w:val="00036E21"/>
    <w:rsid w:val="000372DD"/>
    <w:rsid w:val="00037CE0"/>
    <w:rsid w:val="00042529"/>
    <w:rsid w:val="0004281E"/>
    <w:rsid w:val="00042CCC"/>
    <w:rsid w:val="000467AE"/>
    <w:rsid w:val="00047320"/>
    <w:rsid w:val="000475C9"/>
    <w:rsid w:val="00051112"/>
    <w:rsid w:val="000515E8"/>
    <w:rsid w:val="0005208A"/>
    <w:rsid w:val="00053929"/>
    <w:rsid w:val="000548E9"/>
    <w:rsid w:val="00062CB5"/>
    <w:rsid w:val="00066022"/>
    <w:rsid w:val="00072225"/>
    <w:rsid w:val="000722D2"/>
    <w:rsid w:val="00074C4C"/>
    <w:rsid w:val="00074DE8"/>
    <w:rsid w:val="000847F2"/>
    <w:rsid w:val="0008495F"/>
    <w:rsid w:val="0008677C"/>
    <w:rsid w:val="000944EB"/>
    <w:rsid w:val="00095D81"/>
    <w:rsid w:val="000A32B0"/>
    <w:rsid w:val="000A3E3E"/>
    <w:rsid w:val="000A4124"/>
    <w:rsid w:val="000A5BB7"/>
    <w:rsid w:val="000A5F5F"/>
    <w:rsid w:val="000A7250"/>
    <w:rsid w:val="000A7521"/>
    <w:rsid w:val="000B108E"/>
    <w:rsid w:val="000B38EB"/>
    <w:rsid w:val="000B6F07"/>
    <w:rsid w:val="000C03B0"/>
    <w:rsid w:val="000C2489"/>
    <w:rsid w:val="000C4380"/>
    <w:rsid w:val="000C71AF"/>
    <w:rsid w:val="000C7A5A"/>
    <w:rsid w:val="000D02F4"/>
    <w:rsid w:val="000D2761"/>
    <w:rsid w:val="000D3023"/>
    <w:rsid w:val="000D5C76"/>
    <w:rsid w:val="000D70EC"/>
    <w:rsid w:val="000D76E0"/>
    <w:rsid w:val="000E0EE0"/>
    <w:rsid w:val="000E1114"/>
    <w:rsid w:val="000E13B3"/>
    <w:rsid w:val="000E1A39"/>
    <w:rsid w:val="000E2044"/>
    <w:rsid w:val="000E274D"/>
    <w:rsid w:val="000E2DFE"/>
    <w:rsid w:val="000E2FA0"/>
    <w:rsid w:val="000E360E"/>
    <w:rsid w:val="000E47E9"/>
    <w:rsid w:val="000E5075"/>
    <w:rsid w:val="000F3978"/>
    <w:rsid w:val="000F7BA2"/>
    <w:rsid w:val="0010026D"/>
    <w:rsid w:val="00100F95"/>
    <w:rsid w:val="00102409"/>
    <w:rsid w:val="0010450B"/>
    <w:rsid w:val="001050A4"/>
    <w:rsid w:val="0012096C"/>
    <w:rsid w:val="0012125D"/>
    <w:rsid w:val="00122A51"/>
    <w:rsid w:val="00123A7A"/>
    <w:rsid w:val="00125295"/>
    <w:rsid w:val="001253CE"/>
    <w:rsid w:val="00127828"/>
    <w:rsid w:val="00130B7F"/>
    <w:rsid w:val="001317F1"/>
    <w:rsid w:val="001322F7"/>
    <w:rsid w:val="001325CD"/>
    <w:rsid w:val="001325FC"/>
    <w:rsid w:val="00132EEA"/>
    <w:rsid w:val="0013318B"/>
    <w:rsid w:val="00134ACF"/>
    <w:rsid w:val="001366E8"/>
    <w:rsid w:val="00136721"/>
    <w:rsid w:val="00140390"/>
    <w:rsid w:val="001409DB"/>
    <w:rsid w:val="00140CAD"/>
    <w:rsid w:val="0014148C"/>
    <w:rsid w:val="001449A8"/>
    <w:rsid w:val="001451FF"/>
    <w:rsid w:val="001458C5"/>
    <w:rsid w:val="0014792A"/>
    <w:rsid w:val="00153184"/>
    <w:rsid w:val="0015329B"/>
    <w:rsid w:val="00155058"/>
    <w:rsid w:val="00155383"/>
    <w:rsid w:val="00161BDA"/>
    <w:rsid w:val="00161D2D"/>
    <w:rsid w:val="00162C78"/>
    <w:rsid w:val="00163DBD"/>
    <w:rsid w:val="00164734"/>
    <w:rsid w:val="0016508D"/>
    <w:rsid w:val="00165982"/>
    <w:rsid w:val="00171618"/>
    <w:rsid w:val="00173FE6"/>
    <w:rsid w:val="00175D77"/>
    <w:rsid w:val="00180DF2"/>
    <w:rsid w:val="001819B1"/>
    <w:rsid w:val="0018705F"/>
    <w:rsid w:val="001972D8"/>
    <w:rsid w:val="001975E2"/>
    <w:rsid w:val="001A1116"/>
    <w:rsid w:val="001A1B27"/>
    <w:rsid w:val="001A2D10"/>
    <w:rsid w:val="001A44E0"/>
    <w:rsid w:val="001A471F"/>
    <w:rsid w:val="001A4B21"/>
    <w:rsid w:val="001A5D5D"/>
    <w:rsid w:val="001A7013"/>
    <w:rsid w:val="001B1025"/>
    <w:rsid w:val="001B39E9"/>
    <w:rsid w:val="001B4C83"/>
    <w:rsid w:val="001B53B5"/>
    <w:rsid w:val="001B7E0F"/>
    <w:rsid w:val="001B7E89"/>
    <w:rsid w:val="001C05F3"/>
    <w:rsid w:val="001C0E83"/>
    <w:rsid w:val="001C35B8"/>
    <w:rsid w:val="001C4715"/>
    <w:rsid w:val="001C5E41"/>
    <w:rsid w:val="001C77BC"/>
    <w:rsid w:val="001D48BB"/>
    <w:rsid w:val="001D49AC"/>
    <w:rsid w:val="001D5146"/>
    <w:rsid w:val="001E00E3"/>
    <w:rsid w:val="001E3FC7"/>
    <w:rsid w:val="001E5ACC"/>
    <w:rsid w:val="001F19B5"/>
    <w:rsid w:val="001F2349"/>
    <w:rsid w:val="001F6D85"/>
    <w:rsid w:val="001F6F64"/>
    <w:rsid w:val="002005D2"/>
    <w:rsid w:val="0020115C"/>
    <w:rsid w:val="00202696"/>
    <w:rsid w:val="0020298B"/>
    <w:rsid w:val="00206111"/>
    <w:rsid w:val="002062EA"/>
    <w:rsid w:val="002079B7"/>
    <w:rsid w:val="00210C5C"/>
    <w:rsid w:val="002112B8"/>
    <w:rsid w:val="002137E0"/>
    <w:rsid w:val="002142FC"/>
    <w:rsid w:val="00222AE0"/>
    <w:rsid w:val="0022612B"/>
    <w:rsid w:val="00226783"/>
    <w:rsid w:val="00235C13"/>
    <w:rsid w:val="00235ECA"/>
    <w:rsid w:val="00240C46"/>
    <w:rsid w:val="00242BC6"/>
    <w:rsid w:val="00243B02"/>
    <w:rsid w:val="00245769"/>
    <w:rsid w:val="002462A6"/>
    <w:rsid w:val="00247BA4"/>
    <w:rsid w:val="00247EC0"/>
    <w:rsid w:val="00250D77"/>
    <w:rsid w:val="0025196C"/>
    <w:rsid w:val="00252312"/>
    <w:rsid w:val="002546E5"/>
    <w:rsid w:val="00255331"/>
    <w:rsid w:val="002564B9"/>
    <w:rsid w:val="00267248"/>
    <w:rsid w:val="00272E40"/>
    <w:rsid w:val="00273B2B"/>
    <w:rsid w:val="002741AC"/>
    <w:rsid w:val="00274FEB"/>
    <w:rsid w:val="00275F13"/>
    <w:rsid w:val="00276343"/>
    <w:rsid w:val="00276F84"/>
    <w:rsid w:val="002819C0"/>
    <w:rsid w:val="002873CF"/>
    <w:rsid w:val="00291278"/>
    <w:rsid w:val="002919A7"/>
    <w:rsid w:val="00294017"/>
    <w:rsid w:val="00295556"/>
    <w:rsid w:val="002957E4"/>
    <w:rsid w:val="00295BB5"/>
    <w:rsid w:val="0029646B"/>
    <w:rsid w:val="00296484"/>
    <w:rsid w:val="00297885"/>
    <w:rsid w:val="002A173D"/>
    <w:rsid w:val="002A32E5"/>
    <w:rsid w:val="002A4407"/>
    <w:rsid w:val="002A5A4D"/>
    <w:rsid w:val="002A7D0A"/>
    <w:rsid w:val="002B2B16"/>
    <w:rsid w:val="002B4262"/>
    <w:rsid w:val="002C278C"/>
    <w:rsid w:val="002C2BD5"/>
    <w:rsid w:val="002C7F92"/>
    <w:rsid w:val="002C7FE5"/>
    <w:rsid w:val="002D31C8"/>
    <w:rsid w:val="002D5A4D"/>
    <w:rsid w:val="002E0B80"/>
    <w:rsid w:val="002E1B63"/>
    <w:rsid w:val="002E22AF"/>
    <w:rsid w:val="002E3840"/>
    <w:rsid w:val="002E5CF2"/>
    <w:rsid w:val="002E5ECB"/>
    <w:rsid w:val="002E613B"/>
    <w:rsid w:val="002F0CA3"/>
    <w:rsid w:val="002F6155"/>
    <w:rsid w:val="002F61D7"/>
    <w:rsid w:val="002F7CA6"/>
    <w:rsid w:val="00304BDC"/>
    <w:rsid w:val="00304E4A"/>
    <w:rsid w:val="003054E1"/>
    <w:rsid w:val="00305B4D"/>
    <w:rsid w:val="003060ED"/>
    <w:rsid w:val="0030668A"/>
    <w:rsid w:val="00307120"/>
    <w:rsid w:val="00307530"/>
    <w:rsid w:val="00310206"/>
    <w:rsid w:val="00310B8A"/>
    <w:rsid w:val="003160E9"/>
    <w:rsid w:val="003165E5"/>
    <w:rsid w:val="00320E21"/>
    <w:rsid w:val="00323643"/>
    <w:rsid w:val="00324398"/>
    <w:rsid w:val="00326F5C"/>
    <w:rsid w:val="00327255"/>
    <w:rsid w:val="0032779C"/>
    <w:rsid w:val="00333953"/>
    <w:rsid w:val="00334FB6"/>
    <w:rsid w:val="00335125"/>
    <w:rsid w:val="003401EA"/>
    <w:rsid w:val="0034075E"/>
    <w:rsid w:val="00340C9D"/>
    <w:rsid w:val="0034119F"/>
    <w:rsid w:val="003427B7"/>
    <w:rsid w:val="0034601A"/>
    <w:rsid w:val="0034662A"/>
    <w:rsid w:val="00347E3C"/>
    <w:rsid w:val="00350182"/>
    <w:rsid w:val="003525F9"/>
    <w:rsid w:val="003550DC"/>
    <w:rsid w:val="00355BF3"/>
    <w:rsid w:val="00355DA7"/>
    <w:rsid w:val="00356EE4"/>
    <w:rsid w:val="00364394"/>
    <w:rsid w:val="00365301"/>
    <w:rsid w:val="00365D1D"/>
    <w:rsid w:val="0036606D"/>
    <w:rsid w:val="00371B81"/>
    <w:rsid w:val="00373705"/>
    <w:rsid w:val="00375828"/>
    <w:rsid w:val="00376BA1"/>
    <w:rsid w:val="00384FC3"/>
    <w:rsid w:val="00385E09"/>
    <w:rsid w:val="0039006D"/>
    <w:rsid w:val="0039438D"/>
    <w:rsid w:val="0039541B"/>
    <w:rsid w:val="00396F1C"/>
    <w:rsid w:val="00397077"/>
    <w:rsid w:val="003A15BC"/>
    <w:rsid w:val="003A1CAB"/>
    <w:rsid w:val="003A24C2"/>
    <w:rsid w:val="003A29E6"/>
    <w:rsid w:val="003A3804"/>
    <w:rsid w:val="003A43BE"/>
    <w:rsid w:val="003A52BE"/>
    <w:rsid w:val="003A5866"/>
    <w:rsid w:val="003A6E9F"/>
    <w:rsid w:val="003B3737"/>
    <w:rsid w:val="003B5833"/>
    <w:rsid w:val="003B680F"/>
    <w:rsid w:val="003B7932"/>
    <w:rsid w:val="003C2D9F"/>
    <w:rsid w:val="003C31E2"/>
    <w:rsid w:val="003C4D84"/>
    <w:rsid w:val="003C6432"/>
    <w:rsid w:val="003C7337"/>
    <w:rsid w:val="003D0A61"/>
    <w:rsid w:val="003D0B46"/>
    <w:rsid w:val="003D2590"/>
    <w:rsid w:val="003D2736"/>
    <w:rsid w:val="003D4676"/>
    <w:rsid w:val="003D4CD6"/>
    <w:rsid w:val="003D6E8B"/>
    <w:rsid w:val="003D6F64"/>
    <w:rsid w:val="003D70D2"/>
    <w:rsid w:val="003D76C0"/>
    <w:rsid w:val="003E05D3"/>
    <w:rsid w:val="003E167E"/>
    <w:rsid w:val="003E2A95"/>
    <w:rsid w:val="003E2D7B"/>
    <w:rsid w:val="003E6146"/>
    <w:rsid w:val="003E6C66"/>
    <w:rsid w:val="00400AA5"/>
    <w:rsid w:val="00411ADD"/>
    <w:rsid w:val="00412905"/>
    <w:rsid w:val="00412D84"/>
    <w:rsid w:val="0041338A"/>
    <w:rsid w:val="004212F8"/>
    <w:rsid w:val="00421DBE"/>
    <w:rsid w:val="004228C7"/>
    <w:rsid w:val="00423804"/>
    <w:rsid w:val="00424D20"/>
    <w:rsid w:val="004278F7"/>
    <w:rsid w:val="0042798B"/>
    <w:rsid w:val="00434913"/>
    <w:rsid w:val="004362E9"/>
    <w:rsid w:val="00437B87"/>
    <w:rsid w:val="0044369A"/>
    <w:rsid w:val="00444C03"/>
    <w:rsid w:val="0044518B"/>
    <w:rsid w:val="00445C4C"/>
    <w:rsid w:val="00446CCF"/>
    <w:rsid w:val="00446F37"/>
    <w:rsid w:val="004474F8"/>
    <w:rsid w:val="00447E70"/>
    <w:rsid w:val="00447EB4"/>
    <w:rsid w:val="00451F20"/>
    <w:rsid w:val="00452B2E"/>
    <w:rsid w:val="00454C34"/>
    <w:rsid w:val="00456064"/>
    <w:rsid w:val="00463C11"/>
    <w:rsid w:val="0046551D"/>
    <w:rsid w:val="00467CB8"/>
    <w:rsid w:val="00471684"/>
    <w:rsid w:val="004736D7"/>
    <w:rsid w:val="00477550"/>
    <w:rsid w:val="00477F19"/>
    <w:rsid w:val="0048039A"/>
    <w:rsid w:val="004804A5"/>
    <w:rsid w:val="004820F5"/>
    <w:rsid w:val="00482168"/>
    <w:rsid w:val="004822C4"/>
    <w:rsid w:val="00482461"/>
    <w:rsid w:val="004844A8"/>
    <w:rsid w:val="00486D02"/>
    <w:rsid w:val="004949CE"/>
    <w:rsid w:val="00496803"/>
    <w:rsid w:val="004A0F41"/>
    <w:rsid w:val="004A3E7F"/>
    <w:rsid w:val="004A4206"/>
    <w:rsid w:val="004A7C74"/>
    <w:rsid w:val="004B3DC1"/>
    <w:rsid w:val="004B3F90"/>
    <w:rsid w:val="004B4B60"/>
    <w:rsid w:val="004B58FB"/>
    <w:rsid w:val="004B5B61"/>
    <w:rsid w:val="004B6688"/>
    <w:rsid w:val="004C49B6"/>
    <w:rsid w:val="004C4CFB"/>
    <w:rsid w:val="004D0145"/>
    <w:rsid w:val="004D0EFE"/>
    <w:rsid w:val="004E074C"/>
    <w:rsid w:val="004E0E13"/>
    <w:rsid w:val="004F229D"/>
    <w:rsid w:val="004F4683"/>
    <w:rsid w:val="004F57E0"/>
    <w:rsid w:val="004F5D4E"/>
    <w:rsid w:val="004F5DEF"/>
    <w:rsid w:val="004F63F1"/>
    <w:rsid w:val="00500816"/>
    <w:rsid w:val="00503150"/>
    <w:rsid w:val="00505E00"/>
    <w:rsid w:val="00506417"/>
    <w:rsid w:val="005068E9"/>
    <w:rsid w:val="00510302"/>
    <w:rsid w:val="0051195C"/>
    <w:rsid w:val="00513C21"/>
    <w:rsid w:val="00516A57"/>
    <w:rsid w:val="00516CFF"/>
    <w:rsid w:val="00517A9F"/>
    <w:rsid w:val="00520540"/>
    <w:rsid w:val="00521B1E"/>
    <w:rsid w:val="005228F5"/>
    <w:rsid w:val="005239FE"/>
    <w:rsid w:val="005244A4"/>
    <w:rsid w:val="00524983"/>
    <w:rsid w:val="00524F9D"/>
    <w:rsid w:val="0052739D"/>
    <w:rsid w:val="00527783"/>
    <w:rsid w:val="00535879"/>
    <w:rsid w:val="00535B30"/>
    <w:rsid w:val="00537129"/>
    <w:rsid w:val="00540EC1"/>
    <w:rsid w:val="00541DAC"/>
    <w:rsid w:val="0055028A"/>
    <w:rsid w:val="005577CC"/>
    <w:rsid w:val="00561255"/>
    <w:rsid w:val="00563A99"/>
    <w:rsid w:val="005646CC"/>
    <w:rsid w:val="00565B2C"/>
    <w:rsid w:val="00570FC5"/>
    <w:rsid w:val="00571F59"/>
    <w:rsid w:val="005810D8"/>
    <w:rsid w:val="005814B5"/>
    <w:rsid w:val="005820D0"/>
    <w:rsid w:val="00584553"/>
    <w:rsid w:val="00585D7C"/>
    <w:rsid w:val="0058768F"/>
    <w:rsid w:val="0059128A"/>
    <w:rsid w:val="00591665"/>
    <w:rsid w:val="00593601"/>
    <w:rsid w:val="00597146"/>
    <w:rsid w:val="005A30DA"/>
    <w:rsid w:val="005A3C79"/>
    <w:rsid w:val="005A49AE"/>
    <w:rsid w:val="005A75E6"/>
    <w:rsid w:val="005B0B1A"/>
    <w:rsid w:val="005B1875"/>
    <w:rsid w:val="005B1E26"/>
    <w:rsid w:val="005B2CE5"/>
    <w:rsid w:val="005B3613"/>
    <w:rsid w:val="005B5811"/>
    <w:rsid w:val="005C030C"/>
    <w:rsid w:val="005C0577"/>
    <w:rsid w:val="005C087F"/>
    <w:rsid w:val="005C1782"/>
    <w:rsid w:val="005C3D7A"/>
    <w:rsid w:val="005C7983"/>
    <w:rsid w:val="005D0430"/>
    <w:rsid w:val="005D1B5A"/>
    <w:rsid w:val="005D1F7A"/>
    <w:rsid w:val="005D3E9D"/>
    <w:rsid w:val="005E005B"/>
    <w:rsid w:val="005E0EFA"/>
    <w:rsid w:val="005E1F3C"/>
    <w:rsid w:val="005E4B0B"/>
    <w:rsid w:val="005F053A"/>
    <w:rsid w:val="005F0EB5"/>
    <w:rsid w:val="005F278E"/>
    <w:rsid w:val="005F36B2"/>
    <w:rsid w:val="005F4B7C"/>
    <w:rsid w:val="005F7B72"/>
    <w:rsid w:val="00602EDF"/>
    <w:rsid w:val="00603EFD"/>
    <w:rsid w:val="00605543"/>
    <w:rsid w:val="00616479"/>
    <w:rsid w:val="00617165"/>
    <w:rsid w:val="00623370"/>
    <w:rsid w:val="0062397E"/>
    <w:rsid w:val="006255CD"/>
    <w:rsid w:val="006256D3"/>
    <w:rsid w:val="00626A86"/>
    <w:rsid w:val="00627BB7"/>
    <w:rsid w:val="0063112E"/>
    <w:rsid w:val="00631D08"/>
    <w:rsid w:val="0063292C"/>
    <w:rsid w:val="00633E21"/>
    <w:rsid w:val="00635272"/>
    <w:rsid w:val="00635B52"/>
    <w:rsid w:val="00637E8A"/>
    <w:rsid w:val="00642FC0"/>
    <w:rsid w:val="00643C6E"/>
    <w:rsid w:val="00644A13"/>
    <w:rsid w:val="00647584"/>
    <w:rsid w:val="0065136E"/>
    <w:rsid w:val="00651B2C"/>
    <w:rsid w:val="00655418"/>
    <w:rsid w:val="00655EE7"/>
    <w:rsid w:val="0065688B"/>
    <w:rsid w:val="00657D39"/>
    <w:rsid w:val="00661DF8"/>
    <w:rsid w:val="00664E92"/>
    <w:rsid w:val="00670D71"/>
    <w:rsid w:val="00672F8A"/>
    <w:rsid w:val="006757C2"/>
    <w:rsid w:val="00677D3A"/>
    <w:rsid w:val="00681800"/>
    <w:rsid w:val="0068218E"/>
    <w:rsid w:val="00690514"/>
    <w:rsid w:val="006931FC"/>
    <w:rsid w:val="006A17B4"/>
    <w:rsid w:val="006A1BBC"/>
    <w:rsid w:val="006A4301"/>
    <w:rsid w:val="006A66CC"/>
    <w:rsid w:val="006B233F"/>
    <w:rsid w:val="006B29EB"/>
    <w:rsid w:val="006B29ED"/>
    <w:rsid w:val="006B3C45"/>
    <w:rsid w:val="006B4432"/>
    <w:rsid w:val="006C374A"/>
    <w:rsid w:val="006C4422"/>
    <w:rsid w:val="006C52F4"/>
    <w:rsid w:val="006C75C2"/>
    <w:rsid w:val="006C7AD7"/>
    <w:rsid w:val="006D0BFC"/>
    <w:rsid w:val="006D1CD7"/>
    <w:rsid w:val="006D5B2F"/>
    <w:rsid w:val="006D6F17"/>
    <w:rsid w:val="006E3343"/>
    <w:rsid w:val="006E49DF"/>
    <w:rsid w:val="006E4E9C"/>
    <w:rsid w:val="006E7445"/>
    <w:rsid w:val="006E7DCE"/>
    <w:rsid w:val="006F280F"/>
    <w:rsid w:val="006F3097"/>
    <w:rsid w:val="006F3DEC"/>
    <w:rsid w:val="006F4096"/>
    <w:rsid w:val="006F4457"/>
    <w:rsid w:val="007023C7"/>
    <w:rsid w:val="007050FF"/>
    <w:rsid w:val="00707A5A"/>
    <w:rsid w:val="007122DA"/>
    <w:rsid w:val="007142C2"/>
    <w:rsid w:val="00717974"/>
    <w:rsid w:val="007201C7"/>
    <w:rsid w:val="00721D86"/>
    <w:rsid w:val="00723B69"/>
    <w:rsid w:val="00724BBB"/>
    <w:rsid w:val="00730FE2"/>
    <w:rsid w:val="007320B0"/>
    <w:rsid w:val="00741B89"/>
    <w:rsid w:val="00742E0D"/>
    <w:rsid w:val="00752764"/>
    <w:rsid w:val="00753D7C"/>
    <w:rsid w:val="007563DB"/>
    <w:rsid w:val="00757097"/>
    <w:rsid w:val="007616A1"/>
    <w:rsid w:val="00762EDD"/>
    <w:rsid w:val="00764458"/>
    <w:rsid w:val="00765FEE"/>
    <w:rsid w:val="00766962"/>
    <w:rsid w:val="00775287"/>
    <w:rsid w:val="00776BA3"/>
    <w:rsid w:val="007827B8"/>
    <w:rsid w:val="00785D5E"/>
    <w:rsid w:val="00786BBC"/>
    <w:rsid w:val="00790559"/>
    <w:rsid w:val="00791FA4"/>
    <w:rsid w:val="007A0A01"/>
    <w:rsid w:val="007A1486"/>
    <w:rsid w:val="007A4577"/>
    <w:rsid w:val="007A61DD"/>
    <w:rsid w:val="007A6CD2"/>
    <w:rsid w:val="007B101D"/>
    <w:rsid w:val="007B2237"/>
    <w:rsid w:val="007B2300"/>
    <w:rsid w:val="007B24AA"/>
    <w:rsid w:val="007B4884"/>
    <w:rsid w:val="007B6F03"/>
    <w:rsid w:val="007B6F29"/>
    <w:rsid w:val="007B73CB"/>
    <w:rsid w:val="007C164E"/>
    <w:rsid w:val="007C1E29"/>
    <w:rsid w:val="007C2F6C"/>
    <w:rsid w:val="007C3D77"/>
    <w:rsid w:val="007C5D6C"/>
    <w:rsid w:val="007C71C6"/>
    <w:rsid w:val="007D0678"/>
    <w:rsid w:val="007D22C4"/>
    <w:rsid w:val="007D2487"/>
    <w:rsid w:val="007D33F4"/>
    <w:rsid w:val="007D65E4"/>
    <w:rsid w:val="007D6B52"/>
    <w:rsid w:val="007E3A61"/>
    <w:rsid w:val="007F19DC"/>
    <w:rsid w:val="007F2E44"/>
    <w:rsid w:val="007F3825"/>
    <w:rsid w:val="007F3ABE"/>
    <w:rsid w:val="007F48F6"/>
    <w:rsid w:val="007F777E"/>
    <w:rsid w:val="0080079F"/>
    <w:rsid w:val="00800DE9"/>
    <w:rsid w:val="00801965"/>
    <w:rsid w:val="00803E38"/>
    <w:rsid w:val="00807940"/>
    <w:rsid w:val="00810307"/>
    <w:rsid w:val="00811C2F"/>
    <w:rsid w:val="00812FB1"/>
    <w:rsid w:val="0081349E"/>
    <w:rsid w:val="008141F2"/>
    <w:rsid w:val="00815D02"/>
    <w:rsid w:val="00816EFB"/>
    <w:rsid w:val="00820410"/>
    <w:rsid w:val="0082451E"/>
    <w:rsid w:val="0083075F"/>
    <w:rsid w:val="008328E9"/>
    <w:rsid w:val="00833899"/>
    <w:rsid w:val="00835BCB"/>
    <w:rsid w:val="00835CDC"/>
    <w:rsid w:val="00835D3F"/>
    <w:rsid w:val="00840D2F"/>
    <w:rsid w:val="008504A7"/>
    <w:rsid w:val="00850B09"/>
    <w:rsid w:val="00851BCA"/>
    <w:rsid w:val="008557BC"/>
    <w:rsid w:val="0085694D"/>
    <w:rsid w:val="00856CCA"/>
    <w:rsid w:val="00863B9D"/>
    <w:rsid w:val="00863BE6"/>
    <w:rsid w:val="00866873"/>
    <w:rsid w:val="00867334"/>
    <w:rsid w:val="0086785A"/>
    <w:rsid w:val="00867F62"/>
    <w:rsid w:val="00870635"/>
    <w:rsid w:val="008714DC"/>
    <w:rsid w:val="00873CA5"/>
    <w:rsid w:val="008754C6"/>
    <w:rsid w:val="008766D8"/>
    <w:rsid w:val="00876C0B"/>
    <w:rsid w:val="008775BC"/>
    <w:rsid w:val="00882F1B"/>
    <w:rsid w:val="00886A84"/>
    <w:rsid w:val="00890614"/>
    <w:rsid w:val="00890840"/>
    <w:rsid w:val="00891F86"/>
    <w:rsid w:val="008929F0"/>
    <w:rsid w:val="008A0A3C"/>
    <w:rsid w:val="008A2AD9"/>
    <w:rsid w:val="008A3732"/>
    <w:rsid w:val="008A70CE"/>
    <w:rsid w:val="008B0601"/>
    <w:rsid w:val="008B3608"/>
    <w:rsid w:val="008B4CAE"/>
    <w:rsid w:val="008B515B"/>
    <w:rsid w:val="008B630D"/>
    <w:rsid w:val="008C19BF"/>
    <w:rsid w:val="008C25E4"/>
    <w:rsid w:val="008C2DAE"/>
    <w:rsid w:val="008C2DF9"/>
    <w:rsid w:val="008C4410"/>
    <w:rsid w:val="008C54FC"/>
    <w:rsid w:val="008C5EAF"/>
    <w:rsid w:val="008D1C3F"/>
    <w:rsid w:val="008D31E1"/>
    <w:rsid w:val="008D5625"/>
    <w:rsid w:val="008D59ED"/>
    <w:rsid w:val="008D74BF"/>
    <w:rsid w:val="008E269C"/>
    <w:rsid w:val="008E3957"/>
    <w:rsid w:val="008E40E6"/>
    <w:rsid w:val="008E5938"/>
    <w:rsid w:val="008F2BE5"/>
    <w:rsid w:val="008F5AF3"/>
    <w:rsid w:val="008F6E23"/>
    <w:rsid w:val="008F75D1"/>
    <w:rsid w:val="0090037C"/>
    <w:rsid w:val="0090076D"/>
    <w:rsid w:val="00900B3B"/>
    <w:rsid w:val="00902C2F"/>
    <w:rsid w:val="009035E1"/>
    <w:rsid w:val="00904248"/>
    <w:rsid w:val="00905088"/>
    <w:rsid w:val="009059A9"/>
    <w:rsid w:val="00912278"/>
    <w:rsid w:val="0091386A"/>
    <w:rsid w:val="009139F9"/>
    <w:rsid w:val="00913F95"/>
    <w:rsid w:val="009149E7"/>
    <w:rsid w:val="00914FA2"/>
    <w:rsid w:val="00915AB0"/>
    <w:rsid w:val="009175A4"/>
    <w:rsid w:val="00922363"/>
    <w:rsid w:val="00923ADA"/>
    <w:rsid w:val="0092515E"/>
    <w:rsid w:val="00934163"/>
    <w:rsid w:val="009361FF"/>
    <w:rsid w:val="0094101B"/>
    <w:rsid w:val="00941ADA"/>
    <w:rsid w:val="00942E4B"/>
    <w:rsid w:val="00942FBD"/>
    <w:rsid w:val="009433DC"/>
    <w:rsid w:val="0094389E"/>
    <w:rsid w:val="009438AC"/>
    <w:rsid w:val="0094724E"/>
    <w:rsid w:val="0094770B"/>
    <w:rsid w:val="0095581C"/>
    <w:rsid w:val="00955E7B"/>
    <w:rsid w:val="00957D48"/>
    <w:rsid w:val="00960353"/>
    <w:rsid w:val="009624E8"/>
    <w:rsid w:val="00965DD7"/>
    <w:rsid w:val="0097115A"/>
    <w:rsid w:val="009766CC"/>
    <w:rsid w:val="00976F47"/>
    <w:rsid w:val="00980A52"/>
    <w:rsid w:val="00982593"/>
    <w:rsid w:val="0098567B"/>
    <w:rsid w:val="00986173"/>
    <w:rsid w:val="0098713D"/>
    <w:rsid w:val="009874B2"/>
    <w:rsid w:val="00987A29"/>
    <w:rsid w:val="009909B0"/>
    <w:rsid w:val="009909C4"/>
    <w:rsid w:val="009949C4"/>
    <w:rsid w:val="00994E46"/>
    <w:rsid w:val="00995A88"/>
    <w:rsid w:val="009A025C"/>
    <w:rsid w:val="009A0651"/>
    <w:rsid w:val="009A143C"/>
    <w:rsid w:val="009A176B"/>
    <w:rsid w:val="009A46F2"/>
    <w:rsid w:val="009A798D"/>
    <w:rsid w:val="009B1B48"/>
    <w:rsid w:val="009B2267"/>
    <w:rsid w:val="009B2B6C"/>
    <w:rsid w:val="009B5B32"/>
    <w:rsid w:val="009B6D38"/>
    <w:rsid w:val="009B7A42"/>
    <w:rsid w:val="009B7B12"/>
    <w:rsid w:val="009D0A5F"/>
    <w:rsid w:val="009D1860"/>
    <w:rsid w:val="009D20C3"/>
    <w:rsid w:val="009D359D"/>
    <w:rsid w:val="009D36FE"/>
    <w:rsid w:val="009D4D53"/>
    <w:rsid w:val="009D4F62"/>
    <w:rsid w:val="009D53AF"/>
    <w:rsid w:val="009D5E44"/>
    <w:rsid w:val="009D7657"/>
    <w:rsid w:val="009E036F"/>
    <w:rsid w:val="009E0AE8"/>
    <w:rsid w:val="009E5374"/>
    <w:rsid w:val="009E6A8A"/>
    <w:rsid w:val="009F1494"/>
    <w:rsid w:val="009F1C9E"/>
    <w:rsid w:val="009F258D"/>
    <w:rsid w:val="009F327A"/>
    <w:rsid w:val="009F345D"/>
    <w:rsid w:val="009F375B"/>
    <w:rsid w:val="009F409F"/>
    <w:rsid w:val="009F4BCF"/>
    <w:rsid w:val="009F5D0B"/>
    <w:rsid w:val="009F725D"/>
    <w:rsid w:val="009F7DB9"/>
    <w:rsid w:val="00A00054"/>
    <w:rsid w:val="00A006BB"/>
    <w:rsid w:val="00A03090"/>
    <w:rsid w:val="00A05053"/>
    <w:rsid w:val="00A054E0"/>
    <w:rsid w:val="00A06C4A"/>
    <w:rsid w:val="00A10694"/>
    <w:rsid w:val="00A109EC"/>
    <w:rsid w:val="00A1146D"/>
    <w:rsid w:val="00A12CF2"/>
    <w:rsid w:val="00A13218"/>
    <w:rsid w:val="00A146DE"/>
    <w:rsid w:val="00A15506"/>
    <w:rsid w:val="00A15E5B"/>
    <w:rsid w:val="00A165F7"/>
    <w:rsid w:val="00A16E50"/>
    <w:rsid w:val="00A206A7"/>
    <w:rsid w:val="00A22451"/>
    <w:rsid w:val="00A227A3"/>
    <w:rsid w:val="00A23D1F"/>
    <w:rsid w:val="00A309FA"/>
    <w:rsid w:val="00A31CEF"/>
    <w:rsid w:val="00A33E6E"/>
    <w:rsid w:val="00A34B1C"/>
    <w:rsid w:val="00A42A33"/>
    <w:rsid w:val="00A43F90"/>
    <w:rsid w:val="00A460B3"/>
    <w:rsid w:val="00A50AD1"/>
    <w:rsid w:val="00A5243C"/>
    <w:rsid w:val="00A52613"/>
    <w:rsid w:val="00A52A9E"/>
    <w:rsid w:val="00A53FD0"/>
    <w:rsid w:val="00A54C38"/>
    <w:rsid w:val="00A55328"/>
    <w:rsid w:val="00A57082"/>
    <w:rsid w:val="00A60B73"/>
    <w:rsid w:val="00A63EBC"/>
    <w:rsid w:val="00A64314"/>
    <w:rsid w:val="00A66A25"/>
    <w:rsid w:val="00A74E14"/>
    <w:rsid w:val="00A80080"/>
    <w:rsid w:val="00A85570"/>
    <w:rsid w:val="00A91CF5"/>
    <w:rsid w:val="00A95C4B"/>
    <w:rsid w:val="00AA0B08"/>
    <w:rsid w:val="00AA0DCF"/>
    <w:rsid w:val="00AA1195"/>
    <w:rsid w:val="00AA2BEF"/>
    <w:rsid w:val="00AA3C94"/>
    <w:rsid w:val="00AA3E96"/>
    <w:rsid w:val="00AA52E6"/>
    <w:rsid w:val="00AA5E68"/>
    <w:rsid w:val="00AB1D18"/>
    <w:rsid w:val="00AB24B0"/>
    <w:rsid w:val="00AB302C"/>
    <w:rsid w:val="00AB3294"/>
    <w:rsid w:val="00AB3300"/>
    <w:rsid w:val="00AB38A9"/>
    <w:rsid w:val="00AB4951"/>
    <w:rsid w:val="00AB76B5"/>
    <w:rsid w:val="00AC6FCB"/>
    <w:rsid w:val="00AD43C7"/>
    <w:rsid w:val="00AD48D0"/>
    <w:rsid w:val="00AD4D22"/>
    <w:rsid w:val="00AD632B"/>
    <w:rsid w:val="00AD6CD9"/>
    <w:rsid w:val="00AE0C91"/>
    <w:rsid w:val="00AE6D1E"/>
    <w:rsid w:val="00AF1145"/>
    <w:rsid w:val="00B034DC"/>
    <w:rsid w:val="00B0390B"/>
    <w:rsid w:val="00B03C48"/>
    <w:rsid w:val="00B1474A"/>
    <w:rsid w:val="00B14EDA"/>
    <w:rsid w:val="00B15A66"/>
    <w:rsid w:val="00B15A9C"/>
    <w:rsid w:val="00B15E46"/>
    <w:rsid w:val="00B174C9"/>
    <w:rsid w:val="00B20747"/>
    <w:rsid w:val="00B21E7F"/>
    <w:rsid w:val="00B2260F"/>
    <w:rsid w:val="00B23F58"/>
    <w:rsid w:val="00B25546"/>
    <w:rsid w:val="00B25F52"/>
    <w:rsid w:val="00B26177"/>
    <w:rsid w:val="00B306EB"/>
    <w:rsid w:val="00B30D89"/>
    <w:rsid w:val="00B315A0"/>
    <w:rsid w:val="00B32084"/>
    <w:rsid w:val="00B32EA4"/>
    <w:rsid w:val="00B334E5"/>
    <w:rsid w:val="00B33D03"/>
    <w:rsid w:val="00B3496F"/>
    <w:rsid w:val="00B34A18"/>
    <w:rsid w:val="00B35D41"/>
    <w:rsid w:val="00B433E6"/>
    <w:rsid w:val="00B468CE"/>
    <w:rsid w:val="00B46E97"/>
    <w:rsid w:val="00B50863"/>
    <w:rsid w:val="00B508CB"/>
    <w:rsid w:val="00B530F6"/>
    <w:rsid w:val="00B5557C"/>
    <w:rsid w:val="00B56050"/>
    <w:rsid w:val="00B56460"/>
    <w:rsid w:val="00B579CB"/>
    <w:rsid w:val="00B6071A"/>
    <w:rsid w:val="00B613E0"/>
    <w:rsid w:val="00B61DBD"/>
    <w:rsid w:val="00B62383"/>
    <w:rsid w:val="00B6250E"/>
    <w:rsid w:val="00B62616"/>
    <w:rsid w:val="00B626CD"/>
    <w:rsid w:val="00B631DF"/>
    <w:rsid w:val="00B6513A"/>
    <w:rsid w:val="00B70083"/>
    <w:rsid w:val="00B73A62"/>
    <w:rsid w:val="00B75BBF"/>
    <w:rsid w:val="00B76043"/>
    <w:rsid w:val="00B7615F"/>
    <w:rsid w:val="00B77212"/>
    <w:rsid w:val="00B81DD8"/>
    <w:rsid w:val="00B836F3"/>
    <w:rsid w:val="00B83EF9"/>
    <w:rsid w:val="00B8673A"/>
    <w:rsid w:val="00B87A43"/>
    <w:rsid w:val="00B9042C"/>
    <w:rsid w:val="00B9159A"/>
    <w:rsid w:val="00B94105"/>
    <w:rsid w:val="00B956D8"/>
    <w:rsid w:val="00B9629F"/>
    <w:rsid w:val="00BA0C0B"/>
    <w:rsid w:val="00BA4B2D"/>
    <w:rsid w:val="00BA4EA1"/>
    <w:rsid w:val="00BA7613"/>
    <w:rsid w:val="00BB0D0C"/>
    <w:rsid w:val="00BB13B5"/>
    <w:rsid w:val="00BB28F6"/>
    <w:rsid w:val="00BB3000"/>
    <w:rsid w:val="00BB3545"/>
    <w:rsid w:val="00BB4B92"/>
    <w:rsid w:val="00BB61B4"/>
    <w:rsid w:val="00BB6AB7"/>
    <w:rsid w:val="00BB7638"/>
    <w:rsid w:val="00BC2609"/>
    <w:rsid w:val="00BC60F1"/>
    <w:rsid w:val="00BD07D2"/>
    <w:rsid w:val="00BD1C3E"/>
    <w:rsid w:val="00BD5664"/>
    <w:rsid w:val="00BD6954"/>
    <w:rsid w:val="00BE004E"/>
    <w:rsid w:val="00BE0960"/>
    <w:rsid w:val="00BE112D"/>
    <w:rsid w:val="00BE1B82"/>
    <w:rsid w:val="00BE20CE"/>
    <w:rsid w:val="00BE31AF"/>
    <w:rsid w:val="00BE6630"/>
    <w:rsid w:val="00BE6BF6"/>
    <w:rsid w:val="00BE7274"/>
    <w:rsid w:val="00BE7604"/>
    <w:rsid w:val="00BF0A94"/>
    <w:rsid w:val="00BF3657"/>
    <w:rsid w:val="00BF41BC"/>
    <w:rsid w:val="00C01707"/>
    <w:rsid w:val="00C021C4"/>
    <w:rsid w:val="00C04D69"/>
    <w:rsid w:val="00C0525C"/>
    <w:rsid w:val="00C0528F"/>
    <w:rsid w:val="00C10028"/>
    <w:rsid w:val="00C10F5D"/>
    <w:rsid w:val="00C10F78"/>
    <w:rsid w:val="00C13145"/>
    <w:rsid w:val="00C178CF"/>
    <w:rsid w:val="00C17CDF"/>
    <w:rsid w:val="00C30987"/>
    <w:rsid w:val="00C31D8E"/>
    <w:rsid w:val="00C32F0C"/>
    <w:rsid w:val="00C3409C"/>
    <w:rsid w:val="00C40A5A"/>
    <w:rsid w:val="00C42FA3"/>
    <w:rsid w:val="00C43FA8"/>
    <w:rsid w:val="00C5013C"/>
    <w:rsid w:val="00C50797"/>
    <w:rsid w:val="00C662A6"/>
    <w:rsid w:val="00C71187"/>
    <w:rsid w:val="00C723C0"/>
    <w:rsid w:val="00C72400"/>
    <w:rsid w:val="00C73993"/>
    <w:rsid w:val="00C751E5"/>
    <w:rsid w:val="00C75B9C"/>
    <w:rsid w:val="00C75FBD"/>
    <w:rsid w:val="00C805AE"/>
    <w:rsid w:val="00C80981"/>
    <w:rsid w:val="00C81BA3"/>
    <w:rsid w:val="00C81D4E"/>
    <w:rsid w:val="00C86A77"/>
    <w:rsid w:val="00C86BD1"/>
    <w:rsid w:val="00C875E9"/>
    <w:rsid w:val="00C875FE"/>
    <w:rsid w:val="00C90133"/>
    <w:rsid w:val="00C927D2"/>
    <w:rsid w:val="00C92D12"/>
    <w:rsid w:val="00C93A91"/>
    <w:rsid w:val="00CA08DC"/>
    <w:rsid w:val="00CA0928"/>
    <w:rsid w:val="00CA3F2F"/>
    <w:rsid w:val="00CA743B"/>
    <w:rsid w:val="00CB0702"/>
    <w:rsid w:val="00CB530D"/>
    <w:rsid w:val="00CB7A48"/>
    <w:rsid w:val="00CC1724"/>
    <w:rsid w:val="00CC2126"/>
    <w:rsid w:val="00CC5EFE"/>
    <w:rsid w:val="00CD47AF"/>
    <w:rsid w:val="00CD4B88"/>
    <w:rsid w:val="00CD5745"/>
    <w:rsid w:val="00CE03B1"/>
    <w:rsid w:val="00CE1765"/>
    <w:rsid w:val="00CE750F"/>
    <w:rsid w:val="00CF0934"/>
    <w:rsid w:val="00CF148E"/>
    <w:rsid w:val="00CF30AC"/>
    <w:rsid w:val="00CF443B"/>
    <w:rsid w:val="00CF6980"/>
    <w:rsid w:val="00CF7449"/>
    <w:rsid w:val="00CF7824"/>
    <w:rsid w:val="00D0214E"/>
    <w:rsid w:val="00D02DAB"/>
    <w:rsid w:val="00D03D6E"/>
    <w:rsid w:val="00D05890"/>
    <w:rsid w:val="00D06543"/>
    <w:rsid w:val="00D07190"/>
    <w:rsid w:val="00D15DD7"/>
    <w:rsid w:val="00D160CB"/>
    <w:rsid w:val="00D20A0A"/>
    <w:rsid w:val="00D23CEA"/>
    <w:rsid w:val="00D245A1"/>
    <w:rsid w:val="00D31EB1"/>
    <w:rsid w:val="00D3268A"/>
    <w:rsid w:val="00D40B93"/>
    <w:rsid w:val="00D415E2"/>
    <w:rsid w:val="00D418AC"/>
    <w:rsid w:val="00D42055"/>
    <w:rsid w:val="00D44B1A"/>
    <w:rsid w:val="00D46F37"/>
    <w:rsid w:val="00D50AB1"/>
    <w:rsid w:val="00D548A4"/>
    <w:rsid w:val="00D6053E"/>
    <w:rsid w:val="00D63765"/>
    <w:rsid w:val="00D63784"/>
    <w:rsid w:val="00D647C3"/>
    <w:rsid w:val="00D70A0A"/>
    <w:rsid w:val="00D70D81"/>
    <w:rsid w:val="00D718C0"/>
    <w:rsid w:val="00D7317B"/>
    <w:rsid w:val="00D752F6"/>
    <w:rsid w:val="00D75C42"/>
    <w:rsid w:val="00D75DE6"/>
    <w:rsid w:val="00D779FB"/>
    <w:rsid w:val="00D82CBB"/>
    <w:rsid w:val="00D8579F"/>
    <w:rsid w:val="00D86EA9"/>
    <w:rsid w:val="00D91634"/>
    <w:rsid w:val="00D9361E"/>
    <w:rsid w:val="00D941C9"/>
    <w:rsid w:val="00D9633A"/>
    <w:rsid w:val="00D97D69"/>
    <w:rsid w:val="00DA14AD"/>
    <w:rsid w:val="00DA168E"/>
    <w:rsid w:val="00DA2683"/>
    <w:rsid w:val="00DA2985"/>
    <w:rsid w:val="00DA35B9"/>
    <w:rsid w:val="00DA3CBE"/>
    <w:rsid w:val="00DA43F9"/>
    <w:rsid w:val="00DA5883"/>
    <w:rsid w:val="00DA7D37"/>
    <w:rsid w:val="00DB4534"/>
    <w:rsid w:val="00DB4C60"/>
    <w:rsid w:val="00DB4EBE"/>
    <w:rsid w:val="00DB6B96"/>
    <w:rsid w:val="00DB6C74"/>
    <w:rsid w:val="00DC151E"/>
    <w:rsid w:val="00DC2968"/>
    <w:rsid w:val="00DC416D"/>
    <w:rsid w:val="00DC4397"/>
    <w:rsid w:val="00DC50DD"/>
    <w:rsid w:val="00DD1C75"/>
    <w:rsid w:val="00DD4FE6"/>
    <w:rsid w:val="00DD5699"/>
    <w:rsid w:val="00DE423F"/>
    <w:rsid w:val="00DE4E42"/>
    <w:rsid w:val="00DE50C1"/>
    <w:rsid w:val="00DE578A"/>
    <w:rsid w:val="00DE58CF"/>
    <w:rsid w:val="00DF0471"/>
    <w:rsid w:val="00DF13C8"/>
    <w:rsid w:val="00DF2386"/>
    <w:rsid w:val="00DF31F3"/>
    <w:rsid w:val="00DF4D61"/>
    <w:rsid w:val="00DF7FE7"/>
    <w:rsid w:val="00E016EA"/>
    <w:rsid w:val="00E03EC3"/>
    <w:rsid w:val="00E055B1"/>
    <w:rsid w:val="00E07553"/>
    <w:rsid w:val="00E13533"/>
    <w:rsid w:val="00E14D02"/>
    <w:rsid w:val="00E15673"/>
    <w:rsid w:val="00E176A5"/>
    <w:rsid w:val="00E227D4"/>
    <w:rsid w:val="00E234B8"/>
    <w:rsid w:val="00E2476B"/>
    <w:rsid w:val="00E25225"/>
    <w:rsid w:val="00E26226"/>
    <w:rsid w:val="00E27E3F"/>
    <w:rsid w:val="00E33FEA"/>
    <w:rsid w:val="00E34142"/>
    <w:rsid w:val="00E42EA2"/>
    <w:rsid w:val="00E45E83"/>
    <w:rsid w:val="00E46367"/>
    <w:rsid w:val="00E51112"/>
    <w:rsid w:val="00E51B20"/>
    <w:rsid w:val="00E528D8"/>
    <w:rsid w:val="00E557C7"/>
    <w:rsid w:val="00E603D2"/>
    <w:rsid w:val="00E61DA3"/>
    <w:rsid w:val="00E62F14"/>
    <w:rsid w:val="00E6397A"/>
    <w:rsid w:val="00E63F0B"/>
    <w:rsid w:val="00E6405D"/>
    <w:rsid w:val="00E65829"/>
    <w:rsid w:val="00E66B01"/>
    <w:rsid w:val="00E71B4F"/>
    <w:rsid w:val="00E738D4"/>
    <w:rsid w:val="00E81BE1"/>
    <w:rsid w:val="00E835A5"/>
    <w:rsid w:val="00E8409C"/>
    <w:rsid w:val="00E90D23"/>
    <w:rsid w:val="00E94D02"/>
    <w:rsid w:val="00EA250F"/>
    <w:rsid w:val="00EA2CCD"/>
    <w:rsid w:val="00EA3A7F"/>
    <w:rsid w:val="00EA6689"/>
    <w:rsid w:val="00EB1BE3"/>
    <w:rsid w:val="00EB39F2"/>
    <w:rsid w:val="00EB3D9F"/>
    <w:rsid w:val="00EB4B84"/>
    <w:rsid w:val="00EB7B83"/>
    <w:rsid w:val="00EC1763"/>
    <w:rsid w:val="00EC4E8C"/>
    <w:rsid w:val="00EC61C6"/>
    <w:rsid w:val="00EC6254"/>
    <w:rsid w:val="00EC65C5"/>
    <w:rsid w:val="00EC744D"/>
    <w:rsid w:val="00ED26AC"/>
    <w:rsid w:val="00ED64E8"/>
    <w:rsid w:val="00ED69E4"/>
    <w:rsid w:val="00EE31CB"/>
    <w:rsid w:val="00EE37BB"/>
    <w:rsid w:val="00EE666A"/>
    <w:rsid w:val="00EF04F2"/>
    <w:rsid w:val="00EF174F"/>
    <w:rsid w:val="00EF2196"/>
    <w:rsid w:val="00EF620B"/>
    <w:rsid w:val="00EF7182"/>
    <w:rsid w:val="00EF78E7"/>
    <w:rsid w:val="00F0000D"/>
    <w:rsid w:val="00F0092F"/>
    <w:rsid w:val="00F02023"/>
    <w:rsid w:val="00F02DE5"/>
    <w:rsid w:val="00F03E51"/>
    <w:rsid w:val="00F0651A"/>
    <w:rsid w:val="00F0689C"/>
    <w:rsid w:val="00F069A3"/>
    <w:rsid w:val="00F078F1"/>
    <w:rsid w:val="00F11B2B"/>
    <w:rsid w:val="00F12E22"/>
    <w:rsid w:val="00F145FC"/>
    <w:rsid w:val="00F149AA"/>
    <w:rsid w:val="00F149CA"/>
    <w:rsid w:val="00F228C5"/>
    <w:rsid w:val="00F24982"/>
    <w:rsid w:val="00F249DB"/>
    <w:rsid w:val="00F24EAD"/>
    <w:rsid w:val="00F30EA5"/>
    <w:rsid w:val="00F32D03"/>
    <w:rsid w:val="00F33FA3"/>
    <w:rsid w:val="00F344DE"/>
    <w:rsid w:val="00F35793"/>
    <w:rsid w:val="00F422D7"/>
    <w:rsid w:val="00F444EF"/>
    <w:rsid w:val="00F47AD9"/>
    <w:rsid w:val="00F60695"/>
    <w:rsid w:val="00F617E9"/>
    <w:rsid w:val="00F64006"/>
    <w:rsid w:val="00F64729"/>
    <w:rsid w:val="00F6492C"/>
    <w:rsid w:val="00F7073F"/>
    <w:rsid w:val="00F7284B"/>
    <w:rsid w:val="00F73E71"/>
    <w:rsid w:val="00F74C16"/>
    <w:rsid w:val="00F75B58"/>
    <w:rsid w:val="00F761D3"/>
    <w:rsid w:val="00F77165"/>
    <w:rsid w:val="00F77796"/>
    <w:rsid w:val="00F77F5A"/>
    <w:rsid w:val="00F82741"/>
    <w:rsid w:val="00F83857"/>
    <w:rsid w:val="00F83FDA"/>
    <w:rsid w:val="00F87652"/>
    <w:rsid w:val="00F901C5"/>
    <w:rsid w:val="00F92098"/>
    <w:rsid w:val="00F9338E"/>
    <w:rsid w:val="00F9375E"/>
    <w:rsid w:val="00FA4D4D"/>
    <w:rsid w:val="00FA5407"/>
    <w:rsid w:val="00FA5F58"/>
    <w:rsid w:val="00FB0115"/>
    <w:rsid w:val="00FB0A7F"/>
    <w:rsid w:val="00FB0A86"/>
    <w:rsid w:val="00FB2391"/>
    <w:rsid w:val="00FB2D80"/>
    <w:rsid w:val="00FB540D"/>
    <w:rsid w:val="00FB5F0C"/>
    <w:rsid w:val="00FB660E"/>
    <w:rsid w:val="00FB6E0D"/>
    <w:rsid w:val="00FC1072"/>
    <w:rsid w:val="00FC150D"/>
    <w:rsid w:val="00FC387E"/>
    <w:rsid w:val="00FC5435"/>
    <w:rsid w:val="00FC7C95"/>
    <w:rsid w:val="00FD16D9"/>
    <w:rsid w:val="00FD264C"/>
    <w:rsid w:val="00FD4D65"/>
    <w:rsid w:val="00FD7212"/>
    <w:rsid w:val="00FE2204"/>
    <w:rsid w:val="00FE2E43"/>
    <w:rsid w:val="00FE330D"/>
    <w:rsid w:val="00FE5AEE"/>
    <w:rsid w:val="00FF2460"/>
    <w:rsid w:val="00FF3F77"/>
    <w:rsid w:val="00FF4EC7"/>
    <w:rsid w:val="00FF6345"/>
    <w:rsid w:val="0D3984CB"/>
    <w:rsid w:val="0DA11D17"/>
    <w:rsid w:val="2A1F470F"/>
    <w:rsid w:val="36DC5234"/>
    <w:rsid w:val="4824D445"/>
    <w:rsid w:val="52F2CFF4"/>
    <w:rsid w:val="5982FD5B"/>
    <w:rsid w:val="64778068"/>
    <w:rsid w:val="64D85ED8"/>
    <w:rsid w:val="6D3F5388"/>
    <w:rsid w:val="7C4B7052"/>
    <w:rsid w:val="7E8DFE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56663"/>
  <w15:docId w15:val="{A32A44B3-03B8-4B66-BC8C-B32365A7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412905"/>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autoRedefine/>
    <w:uiPriority w:val="9"/>
    <w:unhideWhenUsed/>
    <w:qFormat/>
    <w:rsid w:val="00D8579F"/>
    <w:pPr>
      <w:keepNext/>
      <w:keepLines/>
      <w:spacing w:before="40"/>
      <w:outlineLvl w:val="1"/>
    </w:pPr>
    <w:rPr>
      <w:rFonts w:asciiTheme="minorHAnsi" w:eastAsiaTheme="majorEastAsia" w:hAnsiTheme="minorHAns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Heading1Char">
    <w:name w:val="Heading 1 Char"/>
    <w:basedOn w:val="DefaultParagraphFont"/>
    <w:link w:val="Heading1"/>
    <w:uiPriority w:val="9"/>
    <w:rsid w:val="00412905"/>
    <w:rPr>
      <w:rFonts w:eastAsiaTheme="majorEastAsia" w:cstheme="majorBidi"/>
      <w:b/>
      <w:szCs w:val="32"/>
    </w:rPr>
  </w:style>
  <w:style w:type="character" w:customStyle="1" w:styleId="Heading2Char">
    <w:name w:val="Heading 2 Char"/>
    <w:basedOn w:val="DefaultParagraphFont"/>
    <w:link w:val="Heading2"/>
    <w:uiPriority w:val="9"/>
    <w:rsid w:val="00D8579F"/>
    <w:rPr>
      <w:rFonts w:eastAsiaTheme="majorEastAsia" w:cstheme="majorBidi"/>
      <w:szCs w:val="26"/>
      <w:u w:val="single"/>
    </w:rPr>
  </w:style>
  <w:style w:type="paragraph" w:styleId="TOCHeading">
    <w:name w:val="TOC Heading"/>
    <w:basedOn w:val="Heading1"/>
    <w:next w:val="Normal"/>
    <w:uiPriority w:val="39"/>
    <w:unhideWhenUsed/>
    <w:qFormat/>
    <w:rsid w:val="005F278E"/>
    <w:pPr>
      <w:spacing w:line="259" w:lineRule="auto"/>
      <w:ind w:left="0" w:firstLine="0"/>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5F278E"/>
    <w:pPr>
      <w:spacing w:after="100"/>
      <w:ind w:left="0"/>
    </w:pPr>
  </w:style>
  <w:style w:type="paragraph" w:styleId="TOC2">
    <w:name w:val="toc 2"/>
    <w:basedOn w:val="Normal"/>
    <w:next w:val="Normal"/>
    <w:autoRedefine/>
    <w:uiPriority w:val="39"/>
    <w:unhideWhenUsed/>
    <w:rsid w:val="00BE6630"/>
    <w:pPr>
      <w:tabs>
        <w:tab w:val="right" w:leader="dot" w:pos="9016"/>
      </w:tabs>
      <w:spacing w:after="100"/>
      <w:ind w:left="220"/>
    </w:pPr>
  </w:style>
  <w:style w:type="character" w:customStyle="1" w:styleId="UnresolvedMention1">
    <w:name w:val="Unresolved Mention1"/>
    <w:basedOn w:val="DefaultParagraphFont"/>
    <w:uiPriority w:val="99"/>
    <w:semiHidden/>
    <w:unhideWhenUsed/>
    <w:rsid w:val="00537129"/>
    <w:rPr>
      <w:color w:val="605E5C"/>
      <w:shd w:val="clear" w:color="auto" w:fill="E1DFDD"/>
    </w:rPr>
  </w:style>
  <w:style w:type="table" w:customStyle="1" w:styleId="9">
    <w:name w:val="9"/>
    <w:basedOn w:val="TableNormal"/>
    <w:rsid w:val="00635B52"/>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8">
    <w:name w:val="8"/>
    <w:basedOn w:val="TableNormal"/>
    <w:rsid w:val="00AD43C7"/>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6">
    <w:name w:val="6"/>
    <w:basedOn w:val="TableNormal"/>
    <w:rsid w:val="009F1C9E"/>
    <w:pPr>
      <w:ind w:left="0" w:firstLine="0"/>
    </w:pPr>
    <w:rPr>
      <w:rFonts w:ascii="Calibri" w:eastAsia="Calibri" w:hAnsi="Calibri" w:cs="Calibri"/>
      <w:lang w:eastAsia="ko-KR"/>
    </w:rPr>
    <w:tblPr>
      <w:tblStyleRowBandSize w:val="1"/>
      <w:tblStyleColBandSize w:val="1"/>
    </w:tblPr>
  </w:style>
  <w:style w:type="paragraph" w:customStyle="1" w:styleId="pf0">
    <w:name w:val="pf0"/>
    <w:basedOn w:val="Normal"/>
    <w:rsid w:val="009F1C9E"/>
    <w:pPr>
      <w:spacing w:before="100" w:beforeAutospacing="1" w:after="100" w:afterAutospacing="1"/>
      <w:ind w:left="0" w:firstLine="0"/>
    </w:pPr>
    <w:rPr>
      <w:rFonts w:ascii="Times New Roman" w:eastAsia="Times New Roman" w:hAnsi="Times New Roman"/>
      <w:sz w:val="24"/>
      <w:szCs w:val="24"/>
      <w:lang w:val="en-IN" w:eastAsia="ko-KR"/>
    </w:rPr>
  </w:style>
  <w:style w:type="character" w:customStyle="1" w:styleId="cf01">
    <w:name w:val="cf01"/>
    <w:basedOn w:val="DefaultParagraphFont"/>
    <w:rsid w:val="009F1C9E"/>
    <w:rPr>
      <w:rFonts w:ascii="Segoe UI" w:hAnsi="Segoe UI" w:cs="Segoe UI" w:hint="default"/>
      <w:sz w:val="18"/>
      <w:szCs w:val="18"/>
    </w:rPr>
  </w:style>
  <w:style w:type="table" w:customStyle="1" w:styleId="5">
    <w:name w:val="5"/>
    <w:basedOn w:val="TableNormal"/>
    <w:rsid w:val="00DF13C8"/>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B03C48"/>
  </w:style>
  <w:style w:type="character" w:customStyle="1" w:styleId="FootnoteChar">
    <w:name w:val="Footnote Char"/>
    <w:basedOn w:val="FootnoteTextChar"/>
    <w:link w:val="Footnote"/>
    <w:rsid w:val="00B03C48"/>
    <w:rPr>
      <w:rFonts w:ascii="Calibri" w:eastAsia="Calibri" w:hAnsi="Calibri" w:cs="Times New Roman"/>
      <w:sz w:val="20"/>
      <w:szCs w:val="20"/>
    </w:rPr>
  </w:style>
  <w:style w:type="table" w:customStyle="1" w:styleId="4">
    <w:name w:val="4"/>
    <w:basedOn w:val="TableNormal"/>
    <w:rsid w:val="00276F84"/>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Annex">
    <w:name w:val="Annex"/>
    <w:basedOn w:val="Normal"/>
    <w:link w:val="AnnexChar"/>
    <w:qFormat/>
    <w:rsid w:val="000C71AF"/>
    <w:rPr>
      <w:b/>
      <w:sz w:val="24"/>
    </w:rPr>
  </w:style>
  <w:style w:type="character" w:customStyle="1" w:styleId="AnnexChar">
    <w:name w:val="Annex Char"/>
    <w:basedOn w:val="DefaultParagraphFont"/>
    <w:link w:val="Annex"/>
    <w:rsid w:val="000C71AF"/>
    <w:rPr>
      <w:rFonts w:ascii="Calibri" w:eastAsia="Calibri" w:hAnsi="Calibri" w:cs="Times New Roman"/>
      <w:b/>
      <w:sz w:val="24"/>
    </w:rPr>
  </w:style>
  <w:style w:type="table" w:customStyle="1" w:styleId="2">
    <w:name w:val="2"/>
    <w:basedOn w:val="TableNormal"/>
    <w:rsid w:val="00E15673"/>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1">
    <w:name w:val="1"/>
    <w:basedOn w:val="TableNormal"/>
    <w:rsid w:val="00E15673"/>
    <w:pPr>
      <w:ind w:left="0" w:firstLine="0"/>
    </w:pPr>
    <w:rPr>
      <w:rFonts w:ascii="Calibri" w:eastAsia="Calibri" w:hAnsi="Calibri" w:cs="Calibri"/>
      <w:lang w:eastAsia="ko-KR"/>
    </w:rPr>
    <w:tblPr>
      <w:tblStyleRowBandSize w:val="1"/>
      <w:tblStyleColBandSize w:val="1"/>
    </w:tblPr>
  </w:style>
  <w:style w:type="character" w:customStyle="1" w:styleId="Mention1">
    <w:name w:val="Mention1"/>
    <w:basedOn w:val="DefaultParagraphFont"/>
    <w:uiPriority w:val="99"/>
    <w:unhideWhenUsed/>
    <w:rsid w:val="00BA7613"/>
    <w:rPr>
      <w:color w:val="2B579A"/>
      <w:shd w:val="clear" w:color="auto" w:fill="E1DFDD"/>
    </w:rPr>
  </w:style>
  <w:style w:type="character" w:styleId="FollowedHyperlink">
    <w:name w:val="FollowedHyperlink"/>
    <w:basedOn w:val="DefaultParagraphFont"/>
    <w:uiPriority w:val="99"/>
    <w:semiHidden/>
    <w:unhideWhenUsed/>
    <w:rsid w:val="00CA0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resolution-xiv18-waterbird-population-estimates-support-new-existing-ramsar-site" TargetMode="External"/><Relationship Id="rId18" Type="http://schemas.openxmlformats.org/officeDocument/2006/relationships/image" Target="media/image1.png"/><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document/resolution-viii38-waterbird-population-estimates-identification-designation-wetlands" TargetMode="External"/><Relationship Id="rId20" Type="http://schemas.openxmlformats.org/officeDocument/2006/relationships/hyperlink" Target="https://www.ramsar.org/document/resolution-vi4-adoption-population-estimates-operation-specific-criteria-based-waterfowl" TargetMode="External"/><Relationship Id="rId29" Type="http://schemas.openxmlformats.org/officeDocument/2006/relationships/hyperlink" Target="https://www.seabirds.net/member_organis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resolution-viii38-waterbird-population-estimates-identification-designation-wetlands" TargetMode="External"/><Relationship Id="rId24" Type="http://schemas.openxmlformats.org/officeDocument/2006/relationships/footer" Target="footer3.xml"/><Relationship Id="rId32" Type="http://schemas.openxmlformats.org/officeDocument/2006/relationships/hyperlink" Target="https://www.wetlands.org/wp-content/uploads/2015/11/Waterbird-Populations-Estimates-Fifth-Edition.pdf"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msar.org/document/resolution-vi4-adoption-population-estimates-operation-specific-criteria-based-waterfowl" TargetMode="External"/><Relationship Id="rId23" Type="http://schemas.openxmlformats.org/officeDocument/2006/relationships/footer" Target="footer2.xml"/><Relationship Id="rId28" Type="http://schemas.openxmlformats.org/officeDocument/2006/relationships/hyperlink" Target="https://www.ramsar.org/document/resolution-viii38-waterbird-population-estimates-identification-designation-wetlands" TargetMode="External"/><Relationship Id="rId36" Type="http://schemas.openxmlformats.org/officeDocument/2006/relationships/hyperlink" Target="http://wpp.wetlands.org/background/WAF" TargetMode="External"/><Relationship Id="rId10" Type="http://schemas.openxmlformats.org/officeDocument/2006/relationships/endnotes" Target="endnotes.xml"/><Relationship Id="rId19" Type="http://schemas.openxmlformats.org/officeDocument/2006/relationships/hyperlink" Target="https://www.ramsar.org/document/resolution-xiv18-waterbird-population-estimates-support-new-existing-ramsar-site" TargetMode="External"/><Relationship Id="rId31" Type="http://schemas.openxmlformats.org/officeDocument/2006/relationships/hyperlink" Target="https://www.ramsar.org/document/resolution-xiv6-enhancing-conventions-visibility-synergies-other-multilate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resolution_5.9.pdf"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hyperlink" Target="https://www.ramsar.org/document/resolution-vi4-adoption-population-estimates-operation-specific-criteria-based-waterfowl" TargetMode="External"/><Relationship Id="rId35" Type="http://schemas.openxmlformats.org/officeDocument/2006/relationships/hyperlink" Target="http://wpp.wetlands.org/background/WA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amsar.org/document/resolution-x22-promoting-international-cooperation-conservation-waterbird-flyways" TargetMode="External"/><Relationship Id="rId17" Type="http://schemas.openxmlformats.org/officeDocument/2006/relationships/hyperlink" Target="https://www.ramsar.org/document/resolution-x22-promoting-international-cooperation-conservation-waterbird-flyways" TargetMode="External"/><Relationship Id="rId25" Type="http://schemas.openxmlformats.org/officeDocument/2006/relationships/footer" Target="footer4.xml"/><Relationship Id="rId33" Type="http://schemas.openxmlformats.org/officeDocument/2006/relationships/hyperlink" Target="http://wpp.wetlands.org/" TargetMode="External"/><Relationship Id="rId38" Type="http://schemas.openxmlformats.org/officeDocument/2006/relationships/hyperlink" Target="http://www.wetlands.org/aw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ms.int/en/document/central-asian-flyway-action-plan-conservation-migratory-waterbirds-and-their-habitats" TargetMode="External"/><Relationship Id="rId13" Type="http://schemas.openxmlformats.org/officeDocument/2006/relationships/hyperlink" Target="https://sora.unm.edu/sites/default/files/journals/iwsgb/n073/p00019-p00026.pdf" TargetMode="External"/><Relationship Id="rId3" Type="http://schemas.openxmlformats.org/officeDocument/2006/relationships/hyperlink" Target="https://www.unep-aewa.org/sites/default/files/document/aewa_mop8_19_csr8.pdf" TargetMode="External"/><Relationship Id="rId7" Type="http://schemas.openxmlformats.org/officeDocument/2006/relationships/hyperlink" Target="https://pif.birdconservancy.org/population-estimates-database/" TargetMode="External"/><Relationship Id="rId12" Type="http://schemas.openxmlformats.org/officeDocument/2006/relationships/hyperlink" Target="https://www.ramsar.org/sites/default/files/documents/pdf/lib/Matthews-history.pdf" TargetMode="External"/><Relationship Id="rId2" Type="http://schemas.openxmlformats.org/officeDocument/2006/relationships/hyperlink" Target="https://www.wetlands.org/wp-content/uploads/2015/11/Waterbird-Populations-Estimates-Fifth-Edition.pdf" TargetMode="External"/><Relationship Id="rId1" Type="http://schemas.openxmlformats.org/officeDocument/2006/relationships/hyperlink" Target="https://wpp.wetlands.org" TargetMode="External"/><Relationship Id="rId6" Type="http://schemas.openxmlformats.org/officeDocument/2006/relationships/hyperlink" Target="https://www.ramsar.org/about/bodies/scientific-and-technical-review-panel/work-strp" TargetMode="External"/><Relationship Id="rId11" Type="http://schemas.openxmlformats.org/officeDocument/2006/relationships/hyperlink" Target="https://www.unep-aewa.org/sites/default/files/document/aewa_tc15_22_discussion_paper_on_format_and_content_of_8th_edition_of_conservation_status_report_en_0.pdf" TargetMode="External"/><Relationship Id="rId5" Type="http://schemas.openxmlformats.org/officeDocument/2006/relationships/hyperlink" Target="https://www.ramsar.org/document/sc59-doc25-report-chair-scientific-technical-review-panel" TargetMode="External"/><Relationship Id="rId10" Type="http://schemas.openxmlformats.org/officeDocument/2006/relationships/hyperlink" Target="https://www.ramsar.org/sites/default/files/documents/library/sc59_2022_25_strp_chair_report_e.pdf" TargetMode="External"/><Relationship Id="rId4" Type="http://schemas.openxmlformats.org/officeDocument/2006/relationships/hyperlink" Target="https://pif.birdconservancy.org/population-estimates-database/" TargetMode="External"/><Relationship Id="rId9" Type="http://schemas.openxmlformats.org/officeDocument/2006/relationships/hyperlink" Target="https://www.ramsar.org/sites/default/files/documents/library/sc58-19_strp_chair_report_e.pdf" TargetMode="External"/><Relationship Id="rId14" Type="http://schemas.openxmlformats.org/officeDocument/2006/relationships/hyperlink" Target="https://rsis.ramsar.org/RISapp/StatDoc/strategic_framework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2686EAA9EB3409A7CC675AF69E298" ma:contentTypeVersion="" ma:contentTypeDescription="Create a new document." ma:contentTypeScope="" ma:versionID="c16d24e8a23c23e2e321df023301438b">
  <xsd:schema xmlns:xsd="http://www.w3.org/2001/XMLSchema" xmlns:xs="http://www.w3.org/2001/XMLSchema" xmlns:p="http://schemas.microsoft.com/office/2006/metadata/properties" xmlns:ns2="ca8f4caa-c052-474b-a70e-d66cf45b151e" xmlns:ns3="85e8f32d-c4f6-4255-9c47-19757d550089" targetNamespace="http://schemas.microsoft.com/office/2006/metadata/properties" ma:root="true" ma:fieldsID="f55ecacb2006bc3d5230f74ca61791c9" ns2:_="" ns3:_="">
    <xsd:import namespace="ca8f4caa-c052-474b-a70e-d66cf45b151e"/>
    <xsd:import namespace="85e8f32d-c4f6-4255-9c47-19757d550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4caa-c052-474b-a70e-d66cf45b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0771d2-017c-48ef-ab2a-9f86db62e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8f32d-c4f6-4255-9c47-19757d5500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80a351-0d6e-4140-a890-67540dbb6636}" ma:internalName="TaxCatchAll" ma:showField="CatchAllData" ma:web="85e8f32d-c4f6-4255-9c47-19757d550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8f32d-c4f6-4255-9c47-19757d550089" xsi:nil="true"/>
    <lcf76f155ced4ddcb4097134ff3c332f xmlns="ca8f4caa-c052-474b-a70e-d66cf45b15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F366-F71C-4B5F-8A09-AFFCFA77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f4caa-c052-474b-a70e-d66cf45b151e"/>
    <ds:schemaRef ds:uri="85e8f32d-c4f6-4255-9c47-19757d550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6C104-9E3F-42D7-A978-021CE9F6B2E5}">
  <ds:schemaRefs>
    <ds:schemaRef ds:uri="http://schemas.microsoft.com/office/infopath/2007/PartnerControls"/>
    <ds:schemaRef ds:uri="http://schemas.microsoft.com/office/2006/documentManagement/types"/>
    <ds:schemaRef ds:uri="http://purl.org/dc/dcmitype/"/>
    <ds:schemaRef ds:uri="ca8f4caa-c052-474b-a70e-d66cf45b151e"/>
    <ds:schemaRef ds:uri="http://purl.org/dc/terms/"/>
    <ds:schemaRef ds:uri="http://www.w3.org/XML/1998/namespace"/>
    <ds:schemaRef ds:uri="http://schemas.openxmlformats.org/package/2006/metadata/core-properties"/>
    <ds:schemaRef ds:uri="85e8f32d-c4f6-4255-9c47-19757d55008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4.xml><?xml version="1.0" encoding="utf-8"?>
<ds:datastoreItem xmlns:ds="http://schemas.openxmlformats.org/officeDocument/2006/customXml" ds:itemID="{8240D1CE-012E-452C-97F2-1B24CB02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19939</Words>
  <Characters>113657</Characters>
  <Application>Microsoft Office Word</Application>
  <DocSecurity>0</DocSecurity>
  <Lines>947</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cp:lastPrinted>2016-10-06T22:08:00Z</cp:lastPrinted>
  <dcterms:created xsi:type="dcterms:W3CDTF">2024-04-05T14:55:00Z</dcterms:created>
  <dcterms:modified xsi:type="dcterms:W3CDTF">2024-04-05T15:08:00Z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0x010100B542686EAA9EB3409A7CC675AF69E298</vt:lpwstr>
  </property>
  <property fmtid="{D5CDD505-2E9C-101B-9397-08002B2CF9AE}" pid="3" name="MediaServiceImageTags">
    <vt:lpwstr/>
  </property>
</Properties>
</file>