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39AC9" w14:textId="34DDF32D" w:rsidR="000A65CB" w:rsidRPr="000B6CB2" w:rsidRDefault="007E1FE8" w:rsidP="000A65CB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1" w:color="auto" w:shadow="1"/>
        </w:pBdr>
        <w:suppressAutoHyphens/>
        <w:ind w:right="4490"/>
        <w:rPr>
          <w:rFonts w:asciiTheme="minorHAnsi" w:hAnsiTheme="minorHAnsi" w:cstheme="minorHAnsi"/>
          <w:bCs/>
          <w:lang w:val="es-ES"/>
        </w:rPr>
      </w:pPr>
      <w:r w:rsidRPr="000B6CB2">
        <w:rPr>
          <w:rFonts w:asciiTheme="minorHAnsi" w:hAnsiTheme="minorHAnsi" w:cstheme="minorHAnsi"/>
          <w:bCs/>
          <w:lang w:val="es-ES"/>
        </w:rPr>
        <w:t>LA CONVENCIÓN SOBRE LOS HUMEDALES</w:t>
      </w:r>
    </w:p>
    <w:p w14:paraId="6485F0C7" w14:textId="4737618C" w:rsidR="000A65CB" w:rsidRPr="000B6CB2" w:rsidRDefault="000A65CB" w:rsidP="000A65CB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1" w:color="auto" w:shadow="1"/>
        </w:pBdr>
        <w:suppressAutoHyphens/>
        <w:ind w:right="4490"/>
        <w:rPr>
          <w:rFonts w:asciiTheme="minorHAnsi" w:hAnsiTheme="minorHAnsi" w:cstheme="minorHAnsi"/>
          <w:bCs/>
          <w:lang w:val="es-ES"/>
        </w:rPr>
      </w:pPr>
      <w:r w:rsidRPr="000B6CB2">
        <w:rPr>
          <w:rFonts w:asciiTheme="minorHAnsi" w:hAnsiTheme="minorHAnsi" w:cstheme="minorHAnsi"/>
          <w:bCs/>
          <w:lang w:val="es-ES"/>
        </w:rPr>
        <w:t>63</w:t>
      </w:r>
      <w:r w:rsidR="007E1FE8" w:rsidRPr="000B6CB2">
        <w:rPr>
          <w:rFonts w:asciiTheme="minorHAnsi" w:hAnsiTheme="minorHAnsi" w:cstheme="minorHAnsi"/>
          <w:bCs/>
          <w:lang w:val="es-ES"/>
        </w:rPr>
        <w:t>ª reunión del Comité Permanente</w:t>
      </w:r>
    </w:p>
    <w:p w14:paraId="0172E162" w14:textId="1471B5ED" w:rsidR="000A65CB" w:rsidRPr="000B6CB2" w:rsidRDefault="000A65CB" w:rsidP="000A65CB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1" w:color="auto" w:shadow="1"/>
        </w:pBdr>
        <w:suppressAutoHyphens/>
        <w:ind w:right="4490"/>
        <w:rPr>
          <w:rFonts w:asciiTheme="minorHAnsi" w:hAnsiTheme="minorHAnsi" w:cstheme="minorHAnsi"/>
          <w:bCs/>
          <w:lang w:val="es-ES"/>
        </w:rPr>
      </w:pPr>
      <w:proofErr w:type="spellStart"/>
      <w:r w:rsidRPr="000B6CB2">
        <w:rPr>
          <w:rFonts w:asciiTheme="minorHAnsi" w:hAnsiTheme="minorHAnsi" w:cstheme="minorHAnsi"/>
          <w:bCs/>
          <w:lang w:val="es-ES"/>
        </w:rPr>
        <w:t>Gland</w:t>
      </w:r>
      <w:proofErr w:type="spellEnd"/>
      <w:r w:rsidRPr="000B6CB2">
        <w:rPr>
          <w:rFonts w:asciiTheme="minorHAnsi" w:hAnsiTheme="minorHAnsi" w:cstheme="minorHAnsi"/>
          <w:bCs/>
          <w:lang w:val="es-ES"/>
        </w:rPr>
        <w:t>, S</w:t>
      </w:r>
      <w:r w:rsidR="007E1FE8" w:rsidRPr="000B6CB2">
        <w:rPr>
          <w:rFonts w:asciiTheme="minorHAnsi" w:hAnsiTheme="minorHAnsi" w:cstheme="minorHAnsi"/>
          <w:bCs/>
          <w:lang w:val="es-ES"/>
        </w:rPr>
        <w:t xml:space="preserve">uiza, 3 a 7 de junio de </w:t>
      </w:r>
      <w:r w:rsidRPr="000B6CB2">
        <w:rPr>
          <w:rFonts w:asciiTheme="minorHAnsi" w:hAnsiTheme="minorHAnsi" w:cstheme="minorHAnsi"/>
          <w:bCs/>
          <w:lang w:val="es-ES"/>
        </w:rPr>
        <w:t>2024</w:t>
      </w:r>
    </w:p>
    <w:p w14:paraId="2F3D0CF9" w14:textId="77777777" w:rsidR="00DF2386" w:rsidRPr="000B6CB2" w:rsidRDefault="00DF2386" w:rsidP="006D1F81">
      <w:pPr>
        <w:outlineLvl w:val="0"/>
        <w:rPr>
          <w:b/>
          <w:sz w:val="28"/>
          <w:lang w:val="es-ES"/>
        </w:rPr>
      </w:pPr>
    </w:p>
    <w:p w14:paraId="542771EA" w14:textId="77777777" w:rsidR="00DF2386" w:rsidRPr="000B6CB2" w:rsidRDefault="00B83EF9" w:rsidP="006D1F81">
      <w:pPr>
        <w:jc w:val="right"/>
        <w:rPr>
          <w:rFonts w:cs="Arial"/>
          <w:b/>
          <w:sz w:val="28"/>
          <w:szCs w:val="28"/>
          <w:lang w:val="es-ES"/>
        </w:rPr>
      </w:pPr>
      <w:r w:rsidRPr="000B6CB2">
        <w:rPr>
          <w:rFonts w:cs="Arial"/>
          <w:b/>
          <w:sz w:val="28"/>
          <w:szCs w:val="28"/>
          <w:lang w:val="es-ES"/>
        </w:rPr>
        <w:t>SC</w:t>
      </w:r>
      <w:r w:rsidR="00B651E8" w:rsidRPr="000B6CB2">
        <w:rPr>
          <w:rFonts w:cs="Arial"/>
          <w:b/>
          <w:sz w:val="28"/>
          <w:szCs w:val="28"/>
          <w:lang w:val="es-ES"/>
        </w:rPr>
        <w:t>6</w:t>
      </w:r>
      <w:r w:rsidR="00F0516A" w:rsidRPr="000B6CB2">
        <w:rPr>
          <w:rFonts w:cs="Arial"/>
          <w:b/>
          <w:sz w:val="28"/>
          <w:szCs w:val="28"/>
          <w:lang w:val="es-ES"/>
        </w:rPr>
        <w:t>3</w:t>
      </w:r>
      <w:r w:rsidR="00B158A7" w:rsidRPr="000B6CB2">
        <w:rPr>
          <w:rFonts w:cs="Arial"/>
          <w:b/>
          <w:sz w:val="28"/>
          <w:szCs w:val="28"/>
          <w:lang w:val="es-ES"/>
        </w:rPr>
        <w:t xml:space="preserve"> Doc.</w:t>
      </w:r>
      <w:r w:rsidR="00BF05B5" w:rsidRPr="000B6CB2">
        <w:rPr>
          <w:rFonts w:cs="Arial"/>
          <w:b/>
          <w:sz w:val="28"/>
          <w:szCs w:val="28"/>
          <w:lang w:val="es-ES"/>
        </w:rPr>
        <w:t>21.1</w:t>
      </w:r>
    </w:p>
    <w:p w14:paraId="084A11F7" w14:textId="77777777" w:rsidR="009F26F1" w:rsidRPr="000B6CB2" w:rsidRDefault="009F26F1" w:rsidP="006D1F81">
      <w:pPr>
        <w:ind w:left="0" w:firstLine="0"/>
        <w:jc w:val="center"/>
        <w:rPr>
          <w:rFonts w:asciiTheme="minorHAnsi" w:hAnsiTheme="minorHAnsi"/>
          <w:b/>
          <w:sz w:val="28"/>
          <w:lang w:val="es-ES"/>
        </w:rPr>
      </w:pPr>
    </w:p>
    <w:p w14:paraId="5BE0D345" w14:textId="77777777" w:rsidR="00F60FF4" w:rsidRDefault="00BD4D66" w:rsidP="006D1F81">
      <w:pPr>
        <w:ind w:left="0" w:firstLine="0"/>
        <w:jc w:val="center"/>
        <w:rPr>
          <w:rFonts w:asciiTheme="minorHAnsi" w:hAnsiTheme="minorHAnsi"/>
          <w:b/>
          <w:sz w:val="28"/>
          <w:lang w:val="es-ES"/>
        </w:rPr>
      </w:pPr>
      <w:r w:rsidRPr="000B6CB2">
        <w:rPr>
          <w:rFonts w:asciiTheme="minorHAnsi" w:hAnsiTheme="minorHAnsi"/>
          <w:b/>
          <w:sz w:val="28"/>
          <w:lang w:val="es-ES"/>
        </w:rPr>
        <w:t>Prepara</w:t>
      </w:r>
      <w:r w:rsidR="007E1FE8" w:rsidRPr="000B6CB2">
        <w:rPr>
          <w:rFonts w:asciiTheme="minorHAnsi" w:hAnsiTheme="minorHAnsi"/>
          <w:b/>
          <w:sz w:val="28"/>
          <w:lang w:val="es-ES"/>
        </w:rPr>
        <w:t>ción de la 15ª reunión de la Conferencia de las Partes</w:t>
      </w:r>
    </w:p>
    <w:p w14:paraId="1C9FD479" w14:textId="031FEB0B" w:rsidR="00BD4D66" w:rsidRPr="000B6CB2" w:rsidRDefault="007E1FE8" w:rsidP="006D1F81">
      <w:pPr>
        <w:ind w:left="0" w:firstLine="0"/>
        <w:jc w:val="center"/>
        <w:rPr>
          <w:rFonts w:asciiTheme="minorHAnsi" w:hAnsiTheme="minorHAnsi"/>
          <w:b/>
          <w:sz w:val="28"/>
          <w:lang w:val="es-ES"/>
        </w:rPr>
      </w:pPr>
      <w:r w:rsidRPr="000B6CB2">
        <w:rPr>
          <w:rFonts w:asciiTheme="minorHAnsi" w:hAnsiTheme="minorHAnsi"/>
          <w:b/>
          <w:sz w:val="28"/>
          <w:lang w:val="es-ES"/>
        </w:rPr>
        <w:t xml:space="preserve"> Contratantes</w:t>
      </w:r>
      <w:r w:rsidR="00F60FF4">
        <w:rPr>
          <w:rFonts w:asciiTheme="minorHAnsi" w:hAnsiTheme="minorHAnsi"/>
          <w:b/>
          <w:sz w:val="28"/>
          <w:lang w:val="es-ES"/>
        </w:rPr>
        <w:t xml:space="preserve"> (</w:t>
      </w:r>
      <w:r w:rsidR="00BD4D66" w:rsidRPr="000B6CB2">
        <w:rPr>
          <w:rFonts w:asciiTheme="minorHAnsi" w:hAnsiTheme="minorHAnsi"/>
          <w:b/>
          <w:sz w:val="28"/>
          <w:lang w:val="es-ES"/>
        </w:rPr>
        <w:t>COP15):</w:t>
      </w:r>
    </w:p>
    <w:p w14:paraId="3AA6F216" w14:textId="1BA5A5CB" w:rsidR="00DF2386" w:rsidRPr="000B6CB2" w:rsidRDefault="007E1FE8" w:rsidP="006D1F81">
      <w:pPr>
        <w:ind w:left="0" w:firstLine="0"/>
        <w:jc w:val="center"/>
        <w:rPr>
          <w:rFonts w:cs="Arial"/>
          <w:b/>
          <w:sz w:val="28"/>
          <w:szCs w:val="28"/>
          <w:lang w:val="es-ES"/>
        </w:rPr>
      </w:pPr>
      <w:r w:rsidRPr="000B6CB2">
        <w:rPr>
          <w:rFonts w:asciiTheme="minorHAnsi" w:hAnsiTheme="minorHAnsi"/>
          <w:b/>
          <w:sz w:val="28"/>
          <w:lang w:val="es-ES"/>
        </w:rPr>
        <w:t xml:space="preserve">Informe de la Secretaría sobre la </w:t>
      </w:r>
      <w:r w:rsidR="006546E5" w:rsidRPr="000B6CB2">
        <w:rPr>
          <w:rFonts w:asciiTheme="minorHAnsi" w:hAnsiTheme="minorHAnsi"/>
          <w:b/>
          <w:sz w:val="28"/>
          <w:lang w:val="es-ES"/>
        </w:rPr>
        <w:t>COP1</w:t>
      </w:r>
      <w:r w:rsidR="00B651E8" w:rsidRPr="000B6CB2">
        <w:rPr>
          <w:rFonts w:asciiTheme="minorHAnsi" w:hAnsiTheme="minorHAnsi"/>
          <w:b/>
          <w:sz w:val="28"/>
          <w:lang w:val="es-ES"/>
        </w:rPr>
        <w:t>5</w:t>
      </w:r>
    </w:p>
    <w:p w14:paraId="31A1FE73" w14:textId="77777777" w:rsidR="00DF2386" w:rsidRPr="000B6CB2" w:rsidRDefault="00DF2386" w:rsidP="006D1F81">
      <w:pPr>
        <w:rPr>
          <w:rFonts w:ascii="Garamond" w:hAnsi="Garamond"/>
          <w:b/>
          <w:sz w:val="28"/>
          <w:lang w:val="es-ES"/>
        </w:rPr>
      </w:pPr>
    </w:p>
    <w:p w14:paraId="2EAB4E0E" w14:textId="77777777" w:rsidR="000C2489" w:rsidRPr="000B6CB2" w:rsidRDefault="000C2489" w:rsidP="006D1F81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val="es-ES"/>
        </w:rPr>
      </w:pPr>
      <w:r w:rsidRPr="000B6CB2">
        <w:rPr>
          <w:noProof/>
          <w:lang w:val="es-ES" w:eastAsia="en-GB"/>
        </w:rPr>
        <mc:AlternateContent>
          <mc:Choice Requires="wps">
            <w:drawing>
              <wp:inline distT="0" distB="0" distL="0" distR="0" wp14:anchorId="4BB8F1C8" wp14:editId="11206425">
                <wp:extent cx="5731510" cy="1628775"/>
                <wp:effectExtent l="0" t="0" r="21590" b="2857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9DD17" w14:textId="6AA62028" w:rsidR="000C2489" w:rsidRPr="000B6CB2" w:rsidRDefault="009C04C7" w:rsidP="000C2489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9C04C7">
                              <w:rPr>
                                <w:b/>
                                <w:bCs/>
                                <w:lang w:val="es-ES"/>
                              </w:rPr>
                              <w:t>Acción solicitada</w:t>
                            </w:r>
                            <w:bookmarkStart w:id="0" w:name="_GoBack"/>
                            <w:bookmarkEnd w:id="0"/>
                            <w:r w:rsidR="007E1FE8" w:rsidRPr="000B6CB2">
                              <w:rPr>
                                <w:b/>
                                <w:bCs/>
                                <w:lang w:val="es-ES"/>
                              </w:rPr>
                              <w:t>:</w:t>
                            </w:r>
                          </w:p>
                          <w:p w14:paraId="16B3ABC0" w14:textId="77777777" w:rsidR="000C2489" w:rsidRPr="000B6CB2" w:rsidRDefault="000C2489" w:rsidP="000C2489">
                            <w:pPr>
                              <w:pStyle w:val="ColorfulList-Accent11"/>
                              <w:ind w:left="0"/>
                              <w:rPr>
                                <w:lang w:val="es-ES"/>
                              </w:rPr>
                            </w:pPr>
                          </w:p>
                          <w:p w14:paraId="05D0A9EA" w14:textId="2B666F37" w:rsidR="00F25A82" w:rsidRPr="000B6CB2" w:rsidRDefault="007E1FE8" w:rsidP="009F26F1">
                            <w:pPr>
                              <w:pStyle w:val="ColorfulList-Accent11"/>
                              <w:ind w:left="0" w:firstLine="0"/>
                              <w:rPr>
                                <w:rFonts w:cs="Calibri"/>
                                <w:lang w:val="es-ES"/>
                              </w:rPr>
                            </w:pPr>
                            <w:r w:rsidRPr="000B6CB2">
                              <w:rPr>
                                <w:lang w:val="es-ES"/>
                              </w:rPr>
                              <w:t>Se invita al Comité Permanente a</w:t>
                            </w:r>
                            <w:r w:rsidR="00FA1A5E" w:rsidRPr="000B6CB2">
                              <w:rPr>
                                <w:lang w:val="es-ES"/>
                              </w:rPr>
                              <w:t xml:space="preserve"> hacer lo siguiente</w:t>
                            </w:r>
                            <w:r w:rsidR="00F25A82" w:rsidRPr="000B6CB2">
                              <w:rPr>
                                <w:rFonts w:cs="Calibri"/>
                                <w:lang w:val="es-ES"/>
                              </w:rPr>
                              <w:t>:</w:t>
                            </w:r>
                          </w:p>
                          <w:p w14:paraId="31131C39" w14:textId="77777777" w:rsidR="00F25A82" w:rsidRPr="000B6CB2" w:rsidRDefault="00F25A82" w:rsidP="009F26F1">
                            <w:pPr>
                              <w:pStyle w:val="ColorfulList-Accent11"/>
                              <w:ind w:left="0" w:firstLine="0"/>
                              <w:rPr>
                                <w:rFonts w:cs="Calibri"/>
                                <w:lang w:val="es-ES"/>
                              </w:rPr>
                            </w:pPr>
                          </w:p>
                          <w:p w14:paraId="452E829C" w14:textId="1526C5BC" w:rsidR="00F25A82" w:rsidRPr="000B6CB2" w:rsidRDefault="00F25A82" w:rsidP="00F25A82">
                            <w:pPr>
                              <w:pStyle w:val="ColorfulList-Accent11"/>
                              <w:ind w:left="426" w:hanging="426"/>
                              <w:rPr>
                                <w:rFonts w:cs="Calibri"/>
                                <w:lang w:val="es-ES"/>
                              </w:rPr>
                            </w:pPr>
                            <w:r w:rsidRPr="000B6CB2">
                              <w:rPr>
                                <w:rFonts w:cs="Calibri"/>
                                <w:lang w:val="es-ES"/>
                              </w:rPr>
                              <w:t>i.</w:t>
                            </w:r>
                            <w:r w:rsidRPr="000B6CB2">
                              <w:rPr>
                                <w:rFonts w:cs="Calibri"/>
                                <w:lang w:val="es-ES"/>
                              </w:rPr>
                              <w:tab/>
                            </w:r>
                            <w:r w:rsidR="00FA1A5E" w:rsidRPr="000B6CB2">
                              <w:rPr>
                                <w:rFonts w:cs="Calibri"/>
                                <w:lang w:val="es-ES"/>
                              </w:rPr>
                              <w:t xml:space="preserve">tomar nota de este informe y del calendario indicativo de los eventos y plazos </w:t>
                            </w:r>
                            <w:r w:rsidR="00F60FF4">
                              <w:rPr>
                                <w:rFonts w:cs="Calibri"/>
                                <w:lang w:val="es-ES"/>
                              </w:rPr>
                              <w:t>en el período previo a la C</w:t>
                            </w:r>
                            <w:r w:rsidR="008F70C8" w:rsidRPr="000B6CB2">
                              <w:rPr>
                                <w:rFonts w:cs="Calibri"/>
                                <w:lang w:val="es-ES"/>
                              </w:rPr>
                              <w:t>OP15</w:t>
                            </w:r>
                            <w:r w:rsidRPr="000B6CB2">
                              <w:rPr>
                                <w:rFonts w:cs="Calibri"/>
                                <w:lang w:val="es-ES"/>
                              </w:rPr>
                              <w:t xml:space="preserve">; </w:t>
                            </w:r>
                            <w:r w:rsidR="00FA1A5E" w:rsidRPr="000B6CB2">
                              <w:rPr>
                                <w:rFonts w:cs="Calibri"/>
                                <w:lang w:val="es-ES"/>
                              </w:rPr>
                              <w:t>y</w:t>
                            </w:r>
                          </w:p>
                          <w:p w14:paraId="24557496" w14:textId="77777777" w:rsidR="00F25A82" w:rsidRPr="000B6CB2" w:rsidRDefault="00F25A82" w:rsidP="00F25A82">
                            <w:pPr>
                              <w:pStyle w:val="ColorfulList-Accent11"/>
                              <w:ind w:left="426" w:hanging="426"/>
                              <w:rPr>
                                <w:rFonts w:cs="Calibri"/>
                                <w:lang w:val="es-ES"/>
                              </w:rPr>
                            </w:pPr>
                          </w:p>
                          <w:p w14:paraId="7D667721" w14:textId="68DF7161" w:rsidR="00F0516A" w:rsidRPr="000B6CB2" w:rsidRDefault="00F25A82" w:rsidP="00F25A82">
                            <w:pPr>
                              <w:pStyle w:val="ColorfulList-Accent11"/>
                              <w:ind w:left="426" w:hanging="426"/>
                              <w:rPr>
                                <w:rFonts w:cs="Calibri"/>
                                <w:lang w:val="es-ES"/>
                              </w:rPr>
                            </w:pPr>
                            <w:proofErr w:type="spellStart"/>
                            <w:r w:rsidRPr="000B6CB2">
                              <w:rPr>
                                <w:rFonts w:cs="Calibri"/>
                                <w:lang w:val="es-ES"/>
                              </w:rPr>
                              <w:t>ii</w:t>
                            </w:r>
                            <w:proofErr w:type="spellEnd"/>
                            <w:r w:rsidRPr="000B6CB2">
                              <w:rPr>
                                <w:rFonts w:cs="Calibri"/>
                                <w:lang w:val="es-ES"/>
                              </w:rPr>
                              <w:t>.</w:t>
                            </w:r>
                            <w:r w:rsidRPr="000B6CB2">
                              <w:rPr>
                                <w:rFonts w:cs="Calibri"/>
                                <w:lang w:val="es-ES"/>
                              </w:rPr>
                              <w:tab/>
                            </w:r>
                            <w:r w:rsidR="00FA1A5E" w:rsidRPr="000B6CB2">
                              <w:rPr>
                                <w:rFonts w:cs="Calibri"/>
                                <w:lang w:val="es-ES"/>
                              </w:rPr>
                              <w:t xml:space="preserve">aprobar el tema y logotipo propuestos para la </w:t>
                            </w:r>
                            <w:r w:rsidRPr="000B6CB2">
                              <w:rPr>
                                <w:rFonts w:cs="Calibri"/>
                                <w:lang w:val="es-ES"/>
                              </w:rPr>
                              <w:t>COP15.</w:t>
                            </w:r>
                          </w:p>
                          <w:p w14:paraId="5EF5289E" w14:textId="77777777" w:rsidR="00A04197" w:rsidRPr="002D4EA0" w:rsidRDefault="00A04197" w:rsidP="00166FCC">
                            <w:pPr>
                              <w:pStyle w:val="ColorfulList-Accent11"/>
                              <w:ind w:left="0" w:firstLine="0"/>
                              <w:rPr>
                                <w:rFonts w:cs="Calibri"/>
                                <w:lang w:val="es-ES"/>
                              </w:rPr>
                            </w:pPr>
                          </w:p>
                          <w:p w14:paraId="7E242A5C" w14:textId="77777777" w:rsidR="009D66CB" w:rsidRPr="002D4EA0" w:rsidRDefault="009D66CB" w:rsidP="00275F13">
                            <w:pPr>
                              <w:pStyle w:val="ColorfulList-Accent11"/>
                              <w:ind w:left="360" w:firstLine="0"/>
                              <w:rPr>
                                <w:rFonts w:cs="Calibri"/>
                                <w:lang w:val="es-ES"/>
                              </w:rPr>
                            </w:pPr>
                          </w:p>
                          <w:p w14:paraId="4C79FA04" w14:textId="77777777" w:rsidR="000C2489" w:rsidRPr="002D4EA0" w:rsidRDefault="000C2489" w:rsidP="00275F13">
                            <w:pPr>
                              <w:pStyle w:val="ColorfulList-Accent11"/>
                              <w:ind w:left="-425" w:firstLine="0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B8F1C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1.3pt;height:1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">
                <v:textbox>
                  <w:txbxContent>
                    <w:p w14:paraId="7249DD17" w14:textId="6AA62028" w:rsidR="000C2489" w:rsidRPr="000B6CB2" w:rsidRDefault="009C04C7" w:rsidP="000C2489">
                      <w:pPr>
                        <w:rPr>
                          <w:b/>
                          <w:bCs/>
                          <w:lang w:val="es-ES"/>
                        </w:rPr>
                      </w:pPr>
                      <w:r w:rsidRPr="009C04C7">
                        <w:rPr>
                          <w:b/>
                          <w:bCs/>
                          <w:lang w:val="es-ES"/>
                        </w:rPr>
                        <w:t>Acción solicitada</w:t>
                      </w:r>
                      <w:bookmarkStart w:id="1" w:name="_GoBack"/>
                      <w:bookmarkEnd w:id="1"/>
                      <w:r w:rsidR="007E1FE8" w:rsidRPr="000B6CB2">
                        <w:rPr>
                          <w:b/>
                          <w:bCs/>
                          <w:lang w:val="es-ES"/>
                        </w:rPr>
                        <w:t>:</w:t>
                      </w:r>
                    </w:p>
                    <w:p w14:paraId="16B3ABC0" w14:textId="77777777" w:rsidR="000C2489" w:rsidRPr="000B6CB2" w:rsidRDefault="000C2489" w:rsidP="000C2489">
                      <w:pPr>
                        <w:pStyle w:val="ColorfulList-Accent11"/>
                        <w:ind w:left="0"/>
                        <w:rPr>
                          <w:lang w:val="es-ES"/>
                        </w:rPr>
                      </w:pPr>
                    </w:p>
                    <w:p w14:paraId="05D0A9EA" w14:textId="2B666F37" w:rsidR="00F25A82" w:rsidRPr="000B6CB2" w:rsidRDefault="007E1FE8" w:rsidP="009F26F1">
                      <w:pPr>
                        <w:pStyle w:val="ColorfulList-Accent11"/>
                        <w:ind w:left="0" w:firstLine="0"/>
                        <w:rPr>
                          <w:rFonts w:cs="Calibri"/>
                          <w:lang w:val="es-ES"/>
                        </w:rPr>
                      </w:pPr>
                      <w:r w:rsidRPr="000B6CB2">
                        <w:rPr>
                          <w:lang w:val="es-ES"/>
                        </w:rPr>
                        <w:t>Se invita al Comité Permanente a</w:t>
                      </w:r>
                      <w:r w:rsidR="00FA1A5E" w:rsidRPr="000B6CB2">
                        <w:rPr>
                          <w:lang w:val="es-ES"/>
                        </w:rPr>
                        <w:t xml:space="preserve"> hacer lo siguiente</w:t>
                      </w:r>
                      <w:r w:rsidR="00F25A82" w:rsidRPr="000B6CB2">
                        <w:rPr>
                          <w:rFonts w:cs="Calibri"/>
                          <w:lang w:val="es-ES"/>
                        </w:rPr>
                        <w:t>:</w:t>
                      </w:r>
                    </w:p>
                    <w:p w14:paraId="31131C39" w14:textId="77777777" w:rsidR="00F25A82" w:rsidRPr="000B6CB2" w:rsidRDefault="00F25A82" w:rsidP="009F26F1">
                      <w:pPr>
                        <w:pStyle w:val="ColorfulList-Accent11"/>
                        <w:ind w:left="0" w:firstLine="0"/>
                        <w:rPr>
                          <w:rFonts w:cs="Calibri"/>
                          <w:lang w:val="es-ES"/>
                        </w:rPr>
                      </w:pPr>
                    </w:p>
                    <w:p w14:paraId="452E829C" w14:textId="1526C5BC" w:rsidR="00F25A82" w:rsidRPr="000B6CB2" w:rsidRDefault="00F25A82" w:rsidP="00F25A82">
                      <w:pPr>
                        <w:pStyle w:val="ColorfulList-Accent11"/>
                        <w:ind w:left="426" w:hanging="426"/>
                        <w:rPr>
                          <w:rFonts w:cs="Calibri"/>
                          <w:lang w:val="es-ES"/>
                        </w:rPr>
                      </w:pPr>
                      <w:r w:rsidRPr="000B6CB2">
                        <w:rPr>
                          <w:rFonts w:cs="Calibri"/>
                          <w:lang w:val="es-ES"/>
                        </w:rPr>
                        <w:t>i.</w:t>
                      </w:r>
                      <w:r w:rsidRPr="000B6CB2">
                        <w:rPr>
                          <w:rFonts w:cs="Calibri"/>
                          <w:lang w:val="es-ES"/>
                        </w:rPr>
                        <w:tab/>
                      </w:r>
                      <w:r w:rsidR="00FA1A5E" w:rsidRPr="000B6CB2">
                        <w:rPr>
                          <w:rFonts w:cs="Calibri"/>
                          <w:lang w:val="es-ES"/>
                        </w:rPr>
                        <w:t xml:space="preserve">tomar nota de este informe y del calendario indicativo de los eventos y plazos </w:t>
                      </w:r>
                      <w:r w:rsidR="00F60FF4">
                        <w:rPr>
                          <w:rFonts w:cs="Calibri"/>
                          <w:lang w:val="es-ES"/>
                        </w:rPr>
                        <w:t>en el período previo a la C</w:t>
                      </w:r>
                      <w:r w:rsidR="008F70C8" w:rsidRPr="000B6CB2">
                        <w:rPr>
                          <w:rFonts w:cs="Calibri"/>
                          <w:lang w:val="es-ES"/>
                        </w:rPr>
                        <w:t>OP15</w:t>
                      </w:r>
                      <w:r w:rsidRPr="000B6CB2">
                        <w:rPr>
                          <w:rFonts w:cs="Calibri"/>
                          <w:lang w:val="es-ES"/>
                        </w:rPr>
                        <w:t xml:space="preserve">; </w:t>
                      </w:r>
                      <w:r w:rsidR="00FA1A5E" w:rsidRPr="000B6CB2">
                        <w:rPr>
                          <w:rFonts w:cs="Calibri"/>
                          <w:lang w:val="es-ES"/>
                        </w:rPr>
                        <w:t>y</w:t>
                      </w:r>
                    </w:p>
                    <w:p w14:paraId="24557496" w14:textId="77777777" w:rsidR="00F25A82" w:rsidRPr="000B6CB2" w:rsidRDefault="00F25A82" w:rsidP="00F25A82">
                      <w:pPr>
                        <w:pStyle w:val="ColorfulList-Accent11"/>
                        <w:ind w:left="426" w:hanging="426"/>
                        <w:rPr>
                          <w:rFonts w:cs="Calibri"/>
                          <w:lang w:val="es-ES"/>
                        </w:rPr>
                      </w:pPr>
                    </w:p>
                    <w:p w14:paraId="7D667721" w14:textId="68DF7161" w:rsidR="00F0516A" w:rsidRPr="000B6CB2" w:rsidRDefault="00F25A82" w:rsidP="00F25A82">
                      <w:pPr>
                        <w:pStyle w:val="ColorfulList-Accent11"/>
                        <w:ind w:left="426" w:hanging="426"/>
                        <w:rPr>
                          <w:rFonts w:cs="Calibri"/>
                          <w:lang w:val="es-ES"/>
                        </w:rPr>
                      </w:pPr>
                      <w:proofErr w:type="spellStart"/>
                      <w:r w:rsidRPr="000B6CB2">
                        <w:rPr>
                          <w:rFonts w:cs="Calibri"/>
                          <w:lang w:val="es-ES"/>
                        </w:rPr>
                        <w:t>ii</w:t>
                      </w:r>
                      <w:proofErr w:type="spellEnd"/>
                      <w:r w:rsidRPr="000B6CB2">
                        <w:rPr>
                          <w:rFonts w:cs="Calibri"/>
                          <w:lang w:val="es-ES"/>
                        </w:rPr>
                        <w:t>.</w:t>
                      </w:r>
                      <w:r w:rsidRPr="000B6CB2">
                        <w:rPr>
                          <w:rFonts w:cs="Calibri"/>
                          <w:lang w:val="es-ES"/>
                        </w:rPr>
                        <w:tab/>
                      </w:r>
                      <w:r w:rsidR="00FA1A5E" w:rsidRPr="000B6CB2">
                        <w:rPr>
                          <w:rFonts w:cs="Calibri"/>
                          <w:lang w:val="es-ES"/>
                        </w:rPr>
                        <w:t xml:space="preserve">aprobar el tema y logotipo propuestos para la </w:t>
                      </w:r>
                      <w:r w:rsidRPr="000B6CB2">
                        <w:rPr>
                          <w:rFonts w:cs="Calibri"/>
                          <w:lang w:val="es-ES"/>
                        </w:rPr>
                        <w:t>COP15.</w:t>
                      </w:r>
                    </w:p>
                    <w:p w14:paraId="5EF5289E" w14:textId="77777777" w:rsidR="00A04197" w:rsidRPr="002D4EA0" w:rsidRDefault="00A04197" w:rsidP="00166FCC">
                      <w:pPr>
                        <w:pStyle w:val="ColorfulList-Accent11"/>
                        <w:ind w:left="0" w:firstLine="0"/>
                        <w:rPr>
                          <w:rFonts w:cs="Calibri"/>
                          <w:lang w:val="es-ES"/>
                        </w:rPr>
                      </w:pPr>
                    </w:p>
                    <w:p w14:paraId="7E242A5C" w14:textId="77777777" w:rsidR="009D66CB" w:rsidRPr="002D4EA0" w:rsidRDefault="009D66CB" w:rsidP="00275F13">
                      <w:pPr>
                        <w:pStyle w:val="ColorfulList-Accent11"/>
                        <w:ind w:left="360" w:firstLine="0"/>
                        <w:rPr>
                          <w:rFonts w:cs="Calibri"/>
                          <w:lang w:val="es-ES"/>
                        </w:rPr>
                      </w:pPr>
                    </w:p>
                    <w:p w14:paraId="4C79FA04" w14:textId="77777777" w:rsidR="000C2489" w:rsidRPr="002D4EA0" w:rsidRDefault="000C2489" w:rsidP="00275F13">
                      <w:pPr>
                        <w:pStyle w:val="ColorfulList-Accent11"/>
                        <w:ind w:left="-425" w:firstLine="0"/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CDE457A" w14:textId="77777777" w:rsidR="009E0AE8" w:rsidRPr="000B6CB2" w:rsidRDefault="009E0AE8" w:rsidP="006D1F81">
      <w:pPr>
        <w:ind w:left="0" w:firstLine="0"/>
        <w:rPr>
          <w:rFonts w:cs="Arial"/>
          <w:b/>
          <w:lang w:val="es-ES"/>
        </w:rPr>
      </w:pPr>
    </w:p>
    <w:p w14:paraId="761C43B7" w14:textId="77777777" w:rsidR="00421A37" w:rsidRPr="000B6CB2" w:rsidRDefault="00421A37" w:rsidP="006D1F81">
      <w:pPr>
        <w:rPr>
          <w:rFonts w:cs="Arial"/>
          <w:b/>
          <w:lang w:val="es-ES"/>
        </w:rPr>
      </w:pPr>
    </w:p>
    <w:p w14:paraId="355EC0FD" w14:textId="0B573887" w:rsidR="000C2489" w:rsidRPr="000B6CB2" w:rsidRDefault="00FA1A5E" w:rsidP="006D1F81">
      <w:pPr>
        <w:rPr>
          <w:rFonts w:cs="Arial"/>
          <w:b/>
          <w:lang w:val="es-ES"/>
        </w:rPr>
      </w:pPr>
      <w:r w:rsidRPr="000B6CB2">
        <w:rPr>
          <w:rFonts w:cs="Arial"/>
          <w:b/>
          <w:lang w:val="es-ES"/>
        </w:rPr>
        <w:t>Antecedentes</w:t>
      </w:r>
    </w:p>
    <w:p w14:paraId="0F1E66FB" w14:textId="77777777" w:rsidR="000C2489" w:rsidRPr="000B6CB2" w:rsidRDefault="000C2489" w:rsidP="006D1F81">
      <w:pPr>
        <w:rPr>
          <w:rFonts w:ascii="Garamond" w:hAnsi="Garamond" w:cs="Arial"/>
          <w:lang w:val="es-ES"/>
        </w:rPr>
      </w:pPr>
    </w:p>
    <w:p w14:paraId="1C616016" w14:textId="166CFE6B" w:rsidR="00F0516A" w:rsidRPr="000B6CB2" w:rsidRDefault="006D1F81" w:rsidP="006D1F81">
      <w:pPr>
        <w:ind w:left="426" w:hanging="426"/>
        <w:rPr>
          <w:rFonts w:cs="Arial"/>
          <w:lang w:val="es-ES"/>
        </w:rPr>
      </w:pPr>
      <w:r w:rsidRPr="000B6CB2">
        <w:rPr>
          <w:rFonts w:cs="Arial"/>
          <w:lang w:val="es-ES"/>
        </w:rPr>
        <w:t>1.</w:t>
      </w:r>
      <w:r w:rsidRPr="000B6CB2">
        <w:rPr>
          <w:rFonts w:cs="Arial"/>
          <w:lang w:val="es-ES"/>
        </w:rPr>
        <w:tab/>
      </w:r>
      <w:r w:rsidR="00FA1A5E" w:rsidRPr="000B6CB2">
        <w:rPr>
          <w:rFonts w:cs="Arial"/>
          <w:lang w:val="es-ES"/>
        </w:rPr>
        <w:t xml:space="preserve">En la </w:t>
      </w:r>
      <w:r w:rsidR="004F2738" w:rsidRPr="000B6CB2">
        <w:rPr>
          <w:rFonts w:cs="Arial"/>
          <w:lang w:val="es-ES"/>
        </w:rPr>
        <w:t>14</w:t>
      </w:r>
      <w:r w:rsidR="00FA1A5E" w:rsidRPr="000B6CB2">
        <w:rPr>
          <w:rFonts w:cs="Arial"/>
          <w:lang w:val="es-ES"/>
        </w:rPr>
        <w:t xml:space="preserve">ª reunión de la Conferencia de las Partes Contratantes </w:t>
      </w:r>
      <w:r w:rsidR="004F2738" w:rsidRPr="000B6CB2">
        <w:rPr>
          <w:rFonts w:cs="Arial"/>
          <w:lang w:val="es-ES"/>
        </w:rPr>
        <w:t>(</w:t>
      </w:r>
      <w:r w:rsidR="00B651E8" w:rsidRPr="000B6CB2">
        <w:rPr>
          <w:rFonts w:cs="Arial"/>
          <w:lang w:val="es-ES"/>
        </w:rPr>
        <w:t>COP14</w:t>
      </w:r>
      <w:r w:rsidR="004F2738" w:rsidRPr="000B6CB2">
        <w:rPr>
          <w:rFonts w:cs="Arial"/>
          <w:lang w:val="es-ES"/>
        </w:rPr>
        <w:t>)</w:t>
      </w:r>
      <w:r w:rsidR="00B651E8" w:rsidRPr="000B6CB2">
        <w:rPr>
          <w:rFonts w:cs="Arial"/>
          <w:lang w:val="es-ES"/>
        </w:rPr>
        <w:t xml:space="preserve">, </w:t>
      </w:r>
      <w:proofErr w:type="spellStart"/>
      <w:r w:rsidR="00B651E8" w:rsidRPr="000B6CB2">
        <w:rPr>
          <w:rFonts w:cs="Arial"/>
          <w:lang w:val="es-ES"/>
        </w:rPr>
        <w:t>Zimbabwe</w:t>
      </w:r>
      <w:proofErr w:type="spellEnd"/>
      <w:r w:rsidR="00FA1A5E" w:rsidRPr="000B6CB2">
        <w:rPr>
          <w:rFonts w:cs="Arial"/>
          <w:lang w:val="es-ES"/>
        </w:rPr>
        <w:t xml:space="preserve"> anunció su deseo de acoger la </w:t>
      </w:r>
      <w:r w:rsidR="00B651E8" w:rsidRPr="000B6CB2">
        <w:rPr>
          <w:rFonts w:cs="Arial"/>
          <w:lang w:val="es-ES"/>
        </w:rPr>
        <w:t>COP15</w:t>
      </w:r>
      <w:r w:rsidR="00F0516A" w:rsidRPr="000B6CB2">
        <w:rPr>
          <w:rFonts w:cs="Arial"/>
          <w:lang w:val="es-ES"/>
        </w:rPr>
        <w:t xml:space="preserve"> </w:t>
      </w:r>
      <w:r w:rsidR="00FA1A5E" w:rsidRPr="000B6CB2">
        <w:rPr>
          <w:rFonts w:cs="Arial"/>
          <w:lang w:val="es-ES"/>
        </w:rPr>
        <w:t xml:space="preserve">en </w:t>
      </w:r>
      <w:r w:rsidR="00F0516A" w:rsidRPr="000B6CB2">
        <w:rPr>
          <w:rFonts w:cs="Arial"/>
          <w:lang w:val="es-ES"/>
        </w:rPr>
        <w:t>Victoria Falls</w:t>
      </w:r>
      <w:r w:rsidR="00B651E8" w:rsidRPr="000B6CB2">
        <w:rPr>
          <w:rFonts w:cs="Arial"/>
          <w:lang w:val="es-ES"/>
        </w:rPr>
        <w:t xml:space="preserve">. </w:t>
      </w:r>
      <w:r w:rsidR="00FA1A5E" w:rsidRPr="000B6CB2">
        <w:rPr>
          <w:rFonts w:cs="Arial"/>
          <w:lang w:val="es-ES"/>
        </w:rPr>
        <w:t xml:space="preserve">Después de este anuncio, la </w:t>
      </w:r>
      <w:r w:rsidR="00B651E8" w:rsidRPr="000B6CB2">
        <w:rPr>
          <w:rFonts w:cs="Arial"/>
          <w:lang w:val="es-ES"/>
        </w:rPr>
        <w:t>Secretar</w:t>
      </w:r>
      <w:r w:rsidR="00FA1A5E" w:rsidRPr="000B6CB2">
        <w:rPr>
          <w:rFonts w:cs="Arial"/>
          <w:lang w:val="es-ES"/>
        </w:rPr>
        <w:t>ía recibió el</w:t>
      </w:r>
      <w:r w:rsidR="001A5FD8" w:rsidRPr="000B6CB2">
        <w:rPr>
          <w:rFonts w:cs="Arial"/>
          <w:lang w:val="es-ES"/>
        </w:rPr>
        <w:t xml:space="preserve"> </w:t>
      </w:r>
      <w:r w:rsidR="00AC42EB" w:rsidRPr="000B6CB2">
        <w:rPr>
          <w:rFonts w:cs="Arial"/>
          <w:lang w:val="es-ES"/>
        </w:rPr>
        <w:t>13</w:t>
      </w:r>
      <w:r w:rsidR="00A41A70" w:rsidRPr="000B6CB2">
        <w:rPr>
          <w:rFonts w:cs="Arial"/>
          <w:lang w:val="es-ES"/>
        </w:rPr>
        <w:t> </w:t>
      </w:r>
      <w:r w:rsidR="00FA1A5E" w:rsidRPr="000B6CB2">
        <w:rPr>
          <w:rFonts w:cs="Arial"/>
          <w:lang w:val="es-ES"/>
        </w:rPr>
        <w:t>de diciembre de</w:t>
      </w:r>
      <w:r w:rsidR="001A5FD8" w:rsidRPr="000B6CB2">
        <w:rPr>
          <w:rFonts w:cs="Arial"/>
          <w:lang w:val="es-ES"/>
        </w:rPr>
        <w:t xml:space="preserve"> </w:t>
      </w:r>
      <w:r w:rsidR="00B04955" w:rsidRPr="00F60FF4">
        <w:rPr>
          <w:rFonts w:cs="Arial"/>
          <w:lang w:val="es-ES"/>
        </w:rPr>
        <w:t>2022</w:t>
      </w:r>
      <w:r w:rsidR="00B04955" w:rsidRPr="000B6CB2">
        <w:rPr>
          <w:rFonts w:cs="Arial"/>
          <w:lang w:val="es-ES"/>
        </w:rPr>
        <w:t xml:space="preserve"> </w:t>
      </w:r>
      <w:r w:rsidR="00FA1A5E" w:rsidRPr="000B6CB2">
        <w:rPr>
          <w:rFonts w:cs="Arial"/>
          <w:lang w:val="es-ES"/>
        </w:rPr>
        <w:t xml:space="preserve">una notificación oficial del Ministerio de Asuntos Exteriores de </w:t>
      </w:r>
      <w:proofErr w:type="spellStart"/>
      <w:r w:rsidR="00FA1A5E" w:rsidRPr="000B6CB2">
        <w:rPr>
          <w:rFonts w:cs="Arial"/>
          <w:lang w:val="es-ES"/>
        </w:rPr>
        <w:t>Z</w:t>
      </w:r>
      <w:r w:rsidR="000B6CB2">
        <w:rPr>
          <w:rFonts w:cs="Arial"/>
          <w:lang w:val="es-ES"/>
        </w:rPr>
        <w:t>im</w:t>
      </w:r>
      <w:r w:rsidR="00FA1A5E" w:rsidRPr="000B6CB2">
        <w:rPr>
          <w:rFonts w:cs="Arial"/>
          <w:lang w:val="es-ES"/>
        </w:rPr>
        <w:t>babwe</w:t>
      </w:r>
      <w:proofErr w:type="spellEnd"/>
      <w:r w:rsidR="00FA1A5E" w:rsidRPr="000B6CB2">
        <w:rPr>
          <w:rFonts w:cs="Arial"/>
          <w:lang w:val="es-ES"/>
        </w:rPr>
        <w:t xml:space="preserve"> </w:t>
      </w:r>
      <w:r w:rsidR="00F60FF4">
        <w:rPr>
          <w:rFonts w:cs="Arial"/>
          <w:lang w:val="es-ES"/>
        </w:rPr>
        <w:t xml:space="preserve">en la que el país se ofrecía a </w:t>
      </w:r>
      <w:r w:rsidR="00C3445C" w:rsidRPr="000B6CB2">
        <w:rPr>
          <w:rFonts w:cs="Arial"/>
          <w:lang w:val="es-ES"/>
        </w:rPr>
        <w:t xml:space="preserve">acoger la </w:t>
      </w:r>
      <w:r w:rsidR="001A5FD8" w:rsidRPr="000B6CB2">
        <w:rPr>
          <w:rFonts w:cs="Arial"/>
          <w:lang w:val="es-ES"/>
        </w:rPr>
        <w:t xml:space="preserve">COP15.  </w:t>
      </w:r>
    </w:p>
    <w:p w14:paraId="5EAFE89C" w14:textId="77777777" w:rsidR="00F0516A" w:rsidRPr="000B6CB2" w:rsidRDefault="00F0516A" w:rsidP="006D1F81">
      <w:pPr>
        <w:pStyle w:val="ListParagraph"/>
        <w:ind w:left="426" w:hanging="426"/>
        <w:rPr>
          <w:rFonts w:cs="Arial"/>
          <w:lang w:val="es-ES"/>
        </w:rPr>
      </w:pPr>
    </w:p>
    <w:p w14:paraId="1D7B807E" w14:textId="093F594A" w:rsidR="00F0516A" w:rsidRPr="000B6CB2" w:rsidRDefault="006D1F81" w:rsidP="006D1F81">
      <w:pPr>
        <w:ind w:left="426" w:hanging="426"/>
        <w:rPr>
          <w:rFonts w:cstheme="minorHAnsi"/>
          <w:lang w:val="es-ES"/>
        </w:rPr>
      </w:pPr>
      <w:r w:rsidRPr="000B6CB2">
        <w:rPr>
          <w:rFonts w:cs="Arial"/>
          <w:lang w:val="es-ES"/>
        </w:rPr>
        <w:t>2.</w:t>
      </w:r>
      <w:r w:rsidRPr="000B6CB2">
        <w:rPr>
          <w:rFonts w:cs="Arial"/>
          <w:lang w:val="es-ES"/>
        </w:rPr>
        <w:tab/>
      </w:r>
      <w:r w:rsidR="00C3445C" w:rsidRPr="000B6CB2">
        <w:rPr>
          <w:rFonts w:cs="Arial"/>
          <w:lang w:val="es-ES"/>
        </w:rPr>
        <w:t xml:space="preserve">En la </w:t>
      </w:r>
      <w:r w:rsidR="00F0516A" w:rsidRPr="000B6CB2">
        <w:rPr>
          <w:rFonts w:cs="Arial"/>
          <w:lang w:val="es-ES"/>
        </w:rPr>
        <w:t>62</w:t>
      </w:r>
      <w:r w:rsidR="00C3445C" w:rsidRPr="000B6CB2">
        <w:rPr>
          <w:rFonts w:cs="Arial"/>
          <w:lang w:val="es-ES"/>
        </w:rPr>
        <w:t xml:space="preserve">ª reunión del Comité Permanente </w:t>
      </w:r>
      <w:r w:rsidR="00F25A82" w:rsidRPr="000B6CB2">
        <w:rPr>
          <w:rFonts w:cs="Arial"/>
          <w:lang w:val="es-ES"/>
        </w:rPr>
        <w:t>(SC62)</w:t>
      </w:r>
      <w:r w:rsidR="00C3445C" w:rsidRPr="000B6CB2">
        <w:rPr>
          <w:rFonts w:cs="Arial"/>
          <w:lang w:val="es-ES"/>
        </w:rPr>
        <w:t xml:space="preserve">, el país anfitrión presentó sus planes y las fechas propuestas para celebrar la </w:t>
      </w:r>
      <w:r w:rsidR="00F0516A" w:rsidRPr="000B6CB2">
        <w:rPr>
          <w:rFonts w:cs="Arial"/>
          <w:lang w:val="es-ES"/>
        </w:rPr>
        <w:t xml:space="preserve">COP15. </w:t>
      </w:r>
      <w:r w:rsidR="00C3445C" w:rsidRPr="000B6CB2">
        <w:rPr>
          <w:rFonts w:cs="Arial"/>
          <w:lang w:val="es-ES"/>
        </w:rPr>
        <w:t xml:space="preserve">En la </w:t>
      </w:r>
      <w:r w:rsidR="00F0516A" w:rsidRPr="000B6CB2">
        <w:rPr>
          <w:rFonts w:cstheme="minorHAnsi"/>
          <w:lang w:val="es-ES"/>
        </w:rPr>
        <w:t>Decisi</w:t>
      </w:r>
      <w:r w:rsidR="00C3445C" w:rsidRPr="000B6CB2">
        <w:rPr>
          <w:rFonts w:cstheme="minorHAnsi"/>
          <w:lang w:val="es-ES"/>
        </w:rPr>
        <w:t>ó</w:t>
      </w:r>
      <w:r w:rsidR="00F0516A" w:rsidRPr="000B6CB2">
        <w:rPr>
          <w:rFonts w:cstheme="minorHAnsi"/>
          <w:lang w:val="es-ES"/>
        </w:rPr>
        <w:t>n SC62-08</w:t>
      </w:r>
      <w:r w:rsidR="00F25A82" w:rsidRPr="000B6CB2">
        <w:rPr>
          <w:rFonts w:cstheme="minorHAnsi"/>
          <w:lang w:val="es-ES"/>
        </w:rPr>
        <w:t>, “</w:t>
      </w:r>
      <w:r w:rsidR="00C3445C" w:rsidRPr="000B6CB2">
        <w:rPr>
          <w:rFonts w:cstheme="minorHAnsi"/>
          <w:lang w:val="es-ES"/>
        </w:rPr>
        <w:t>El Comité Permanente</w:t>
      </w:r>
      <w:r w:rsidR="00F0516A" w:rsidRPr="000B6CB2">
        <w:rPr>
          <w:rFonts w:cstheme="minorHAnsi"/>
          <w:lang w:val="es-ES"/>
        </w:rPr>
        <w:t xml:space="preserve"> ac</w:t>
      </w:r>
      <w:r w:rsidR="00C3445C" w:rsidRPr="000B6CB2">
        <w:rPr>
          <w:rFonts w:cstheme="minorHAnsi"/>
          <w:lang w:val="es-ES"/>
        </w:rPr>
        <w:t xml:space="preserve">eptó las fechas propuestas para celebrar la COP15, del 23 al 31 de julio de </w:t>
      </w:r>
      <w:r w:rsidR="00F0516A" w:rsidRPr="000B6CB2">
        <w:rPr>
          <w:rFonts w:cstheme="minorHAnsi"/>
          <w:lang w:val="es-ES"/>
        </w:rPr>
        <w:t>2025</w:t>
      </w:r>
      <w:r w:rsidR="00F25A82" w:rsidRPr="000B6CB2">
        <w:rPr>
          <w:rFonts w:cstheme="minorHAnsi"/>
          <w:lang w:val="es-ES"/>
        </w:rPr>
        <w:t>”</w:t>
      </w:r>
      <w:r w:rsidR="00F0516A" w:rsidRPr="000B6CB2">
        <w:rPr>
          <w:rFonts w:cstheme="minorHAnsi"/>
          <w:lang w:val="es-ES"/>
        </w:rPr>
        <w:t xml:space="preserve"> </w:t>
      </w:r>
      <w:r w:rsidR="00C3445C" w:rsidRPr="000B6CB2">
        <w:rPr>
          <w:rFonts w:cstheme="minorHAnsi"/>
          <w:lang w:val="es-ES"/>
        </w:rPr>
        <w:t xml:space="preserve">y, en la </w:t>
      </w:r>
      <w:r w:rsidR="00F0516A" w:rsidRPr="000B6CB2">
        <w:rPr>
          <w:rFonts w:cstheme="minorHAnsi"/>
          <w:lang w:val="es-ES"/>
        </w:rPr>
        <w:t>Decisi</w:t>
      </w:r>
      <w:r w:rsidR="00C3445C" w:rsidRPr="000B6CB2">
        <w:rPr>
          <w:rFonts w:cstheme="minorHAnsi"/>
          <w:lang w:val="es-ES"/>
        </w:rPr>
        <w:t>ón</w:t>
      </w:r>
      <w:r w:rsidR="00F0516A" w:rsidRPr="000B6CB2">
        <w:rPr>
          <w:rFonts w:cstheme="minorHAnsi"/>
          <w:lang w:val="es-ES"/>
        </w:rPr>
        <w:t xml:space="preserve"> SC62-09</w:t>
      </w:r>
      <w:r w:rsidR="00F25A82" w:rsidRPr="000B6CB2">
        <w:rPr>
          <w:rFonts w:cstheme="minorHAnsi"/>
          <w:lang w:val="es-ES"/>
        </w:rPr>
        <w:t>, “</w:t>
      </w:r>
      <w:r w:rsidR="00C3445C" w:rsidRPr="000B6CB2">
        <w:rPr>
          <w:rFonts w:cstheme="minorHAnsi"/>
          <w:lang w:val="es-ES"/>
        </w:rPr>
        <w:t>El</w:t>
      </w:r>
      <w:r w:rsidR="00F0516A" w:rsidRPr="000B6CB2">
        <w:rPr>
          <w:rFonts w:cstheme="minorHAnsi"/>
          <w:lang w:val="es-ES"/>
        </w:rPr>
        <w:t xml:space="preserve"> </w:t>
      </w:r>
      <w:r w:rsidR="00C3445C" w:rsidRPr="000B6CB2">
        <w:rPr>
          <w:rFonts w:cstheme="minorHAnsi"/>
          <w:lang w:val="es-ES"/>
        </w:rPr>
        <w:t>Comité Permanente</w:t>
      </w:r>
      <w:r w:rsidR="00F0516A" w:rsidRPr="000B6CB2">
        <w:rPr>
          <w:rFonts w:cstheme="minorHAnsi"/>
          <w:lang w:val="es-ES"/>
        </w:rPr>
        <w:t xml:space="preserve"> </w:t>
      </w:r>
      <w:r w:rsidR="00C3445C" w:rsidRPr="000B6CB2">
        <w:rPr>
          <w:rFonts w:cstheme="minorHAnsi"/>
          <w:lang w:val="es-ES"/>
        </w:rPr>
        <w:t>aprobó el orden del día provisional para la</w:t>
      </w:r>
      <w:r w:rsidR="00F0516A" w:rsidRPr="000B6CB2">
        <w:rPr>
          <w:rFonts w:cstheme="minorHAnsi"/>
          <w:lang w:val="es-ES"/>
        </w:rPr>
        <w:t xml:space="preserve"> COP15</w:t>
      </w:r>
      <w:r w:rsidR="00C3445C" w:rsidRPr="000B6CB2">
        <w:rPr>
          <w:rFonts w:cstheme="minorHAnsi"/>
          <w:lang w:val="es-ES"/>
        </w:rPr>
        <w:t>, con la añadidura de la acre</w:t>
      </w:r>
      <w:r w:rsidR="000B6CB2">
        <w:rPr>
          <w:rFonts w:cstheme="minorHAnsi"/>
          <w:lang w:val="es-ES"/>
        </w:rPr>
        <w:t>di</w:t>
      </w:r>
      <w:r w:rsidR="00C3445C" w:rsidRPr="000B6CB2">
        <w:rPr>
          <w:rFonts w:cstheme="minorHAnsi"/>
          <w:lang w:val="es-ES"/>
        </w:rPr>
        <w:t>tación de Ciudad de Humedal como punto del orden del día”.</w:t>
      </w:r>
    </w:p>
    <w:p w14:paraId="25FD10C1" w14:textId="77777777" w:rsidR="00F0516A" w:rsidRPr="000B6CB2" w:rsidRDefault="00F0516A" w:rsidP="006D1F81">
      <w:pPr>
        <w:ind w:left="426" w:hanging="426"/>
        <w:rPr>
          <w:rFonts w:cstheme="minorHAnsi"/>
          <w:lang w:val="es-ES"/>
        </w:rPr>
      </w:pPr>
    </w:p>
    <w:p w14:paraId="787891AE" w14:textId="137D0913" w:rsidR="001A2D10" w:rsidRPr="000B6CB2" w:rsidRDefault="006D1F81" w:rsidP="006D1F81">
      <w:pPr>
        <w:ind w:left="426" w:hanging="426"/>
        <w:rPr>
          <w:rFonts w:cs="Arial"/>
          <w:lang w:val="es-ES"/>
        </w:rPr>
      </w:pPr>
      <w:r w:rsidRPr="000B6CB2">
        <w:rPr>
          <w:rFonts w:cs="Arial"/>
          <w:lang w:val="es-ES"/>
        </w:rPr>
        <w:t>3.</w:t>
      </w:r>
      <w:r w:rsidRPr="000B6CB2">
        <w:rPr>
          <w:rFonts w:cs="Arial"/>
          <w:lang w:val="es-ES"/>
        </w:rPr>
        <w:tab/>
      </w:r>
      <w:r w:rsidR="00663A30" w:rsidRPr="000B6CB2">
        <w:rPr>
          <w:rFonts w:cs="Arial"/>
          <w:lang w:val="es-ES"/>
        </w:rPr>
        <w:t xml:space="preserve">Este informe proporciona información sobre los preparativos de la </w:t>
      </w:r>
      <w:r w:rsidR="00F0516A" w:rsidRPr="000B6CB2">
        <w:rPr>
          <w:rFonts w:cs="Arial"/>
          <w:lang w:val="es-ES"/>
        </w:rPr>
        <w:t>COP15</w:t>
      </w:r>
      <w:r w:rsidR="00663A30" w:rsidRPr="000B6CB2">
        <w:rPr>
          <w:rFonts w:cs="Arial"/>
          <w:lang w:val="es-ES"/>
        </w:rPr>
        <w:t xml:space="preserve"> que han tenido lugar después de la reunión </w:t>
      </w:r>
      <w:r w:rsidR="00F0516A" w:rsidRPr="000B6CB2">
        <w:rPr>
          <w:rFonts w:cs="Arial"/>
          <w:lang w:val="es-ES"/>
        </w:rPr>
        <w:t xml:space="preserve">SC62. </w:t>
      </w:r>
    </w:p>
    <w:p w14:paraId="4479AAAF" w14:textId="77777777" w:rsidR="001A2D10" w:rsidRPr="000B6CB2" w:rsidRDefault="001A2D10" w:rsidP="006D1F81">
      <w:pPr>
        <w:pStyle w:val="ListParagraph"/>
        <w:ind w:left="426"/>
        <w:rPr>
          <w:rFonts w:cs="Arial"/>
          <w:lang w:val="es-ES"/>
        </w:rPr>
      </w:pPr>
    </w:p>
    <w:p w14:paraId="0A95D9C3" w14:textId="507AFF1A" w:rsidR="005540F2" w:rsidRPr="000B6CB2" w:rsidRDefault="005540F2" w:rsidP="006D1F81">
      <w:pPr>
        <w:pStyle w:val="NoSpacing"/>
        <w:ind w:left="426" w:hanging="426"/>
        <w:rPr>
          <w:b/>
          <w:lang w:val="es-ES"/>
        </w:rPr>
      </w:pPr>
      <w:r w:rsidRPr="000B6CB2">
        <w:rPr>
          <w:b/>
          <w:lang w:val="es-ES"/>
        </w:rPr>
        <w:t>Progres</w:t>
      </w:r>
      <w:r w:rsidR="00663A30" w:rsidRPr="000B6CB2">
        <w:rPr>
          <w:b/>
          <w:lang w:val="es-ES"/>
        </w:rPr>
        <w:t>os realizados en los preparativos para la CO</w:t>
      </w:r>
      <w:r w:rsidR="008345A6" w:rsidRPr="000B6CB2">
        <w:rPr>
          <w:b/>
          <w:lang w:val="es-ES"/>
        </w:rPr>
        <w:t>P15</w:t>
      </w:r>
    </w:p>
    <w:p w14:paraId="31CFCDAE" w14:textId="77777777" w:rsidR="009E0AE8" w:rsidRPr="000B6CB2" w:rsidRDefault="009E0AE8" w:rsidP="006D1F81">
      <w:pPr>
        <w:pStyle w:val="NoSpacing"/>
        <w:ind w:left="426" w:hanging="426"/>
        <w:rPr>
          <w:lang w:val="es-ES"/>
        </w:rPr>
      </w:pPr>
    </w:p>
    <w:p w14:paraId="0C125CC3" w14:textId="41635D0D" w:rsidR="000D3A62" w:rsidRPr="000B6CB2" w:rsidRDefault="006D1F81" w:rsidP="006D1F81">
      <w:pPr>
        <w:pStyle w:val="NoSpacing"/>
        <w:ind w:left="426" w:hanging="426"/>
        <w:rPr>
          <w:lang w:val="es-ES"/>
        </w:rPr>
      </w:pPr>
      <w:r w:rsidRPr="000B6CB2">
        <w:rPr>
          <w:lang w:val="es-ES"/>
        </w:rPr>
        <w:t>4.</w:t>
      </w:r>
      <w:r w:rsidRPr="000B6CB2">
        <w:rPr>
          <w:lang w:val="es-ES"/>
        </w:rPr>
        <w:tab/>
      </w:r>
      <w:r w:rsidR="00663A30" w:rsidRPr="000B6CB2">
        <w:rPr>
          <w:lang w:val="es-ES"/>
        </w:rPr>
        <w:t xml:space="preserve">La Secretaría ha prestado apoyo al Subgrupo sobre la </w:t>
      </w:r>
      <w:r w:rsidR="00613E76" w:rsidRPr="000B6CB2">
        <w:rPr>
          <w:lang w:val="es-ES"/>
        </w:rPr>
        <w:t>COP15</w:t>
      </w:r>
      <w:r w:rsidR="00F25A82" w:rsidRPr="000B6CB2">
        <w:rPr>
          <w:lang w:val="es-ES"/>
        </w:rPr>
        <w:t>,</w:t>
      </w:r>
      <w:r w:rsidR="00613E76" w:rsidRPr="000B6CB2">
        <w:rPr>
          <w:lang w:val="es-ES"/>
        </w:rPr>
        <w:t xml:space="preserve"> </w:t>
      </w:r>
      <w:r w:rsidR="00663A30" w:rsidRPr="000B6CB2">
        <w:rPr>
          <w:lang w:val="es-ES"/>
        </w:rPr>
        <w:t xml:space="preserve">organizando reuniones el </w:t>
      </w:r>
      <w:r w:rsidR="00F25A82" w:rsidRPr="000B6CB2">
        <w:rPr>
          <w:lang w:val="es-ES"/>
        </w:rPr>
        <w:t>6 </w:t>
      </w:r>
      <w:r w:rsidR="00663A30" w:rsidRPr="000B6CB2">
        <w:rPr>
          <w:lang w:val="es-ES"/>
        </w:rPr>
        <w:t xml:space="preserve">de septiembre de </w:t>
      </w:r>
      <w:r w:rsidR="00613E76" w:rsidRPr="000B6CB2">
        <w:rPr>
          <w:lang w:val="es-ES"/>
        </w:rPr>
        <w:t>2023</w:t>
      </w:r>
      <w:r w:rsidR="00F25A82" w:rsidRPr="000B6CB2">
        <w:rPr>
          <w:lang w:val="es-ES"/>
        </w:rPr>
        <w:t xml:space="preserve"> </w:t>
      </w:r>
      <w:r w:rsidR="00663A30" w:rsidRPr="000B6CB2">
        <w:rPr>
          <w:lang w:val="es-ES"/>
        </w:rPr>
        <w:t xml:space="preserve">y el </w:t>
      </w:r>
      <w:r w:rsidR="00613E76" w:rsidRPr="000B6CB2">
        <w:rPr>
          <w:lang w:val="es-ES"/>
        </w:rPr>
        <w:t xml:space="preserve">17 </w:t>
      </w:r>
      <w:r w:rsidR="00663A30" w:rsidRPr="000B6CB2">
        <w:rPr>
          <w:lang w:val="es-ES"/>
        </w:rPr>
        <w:t xml:space="preserve">de enero de </w:t>
      </w:r>
      <w:r w:rsidR="00613E76" w:rsidRPr="000B6CB2">
        <w:rPr>
          <w:lang w:val="es-ES"/>
        </w:rPr>
        <w:t>2024</w:t>
      </w:r>
      <w:r w:rsidR="00663A30" w:rsidRPr="000B6CB2">
        <w:rPr>
          <w:lang w:val="es-ES"/>
        </w:rPr>
        <w:t xml:space="preserve">; la próxima reunión está prevista el 17 de abril. </w:t>
      </w:r>
      <w:r w:rsidR="00B461B8">
        <w:rPr>
          <w:lang w:val="es-ES"/>
        </w:rPr>
        <w:t xml:space="preserve">En esas </w:t>
      </w:r>
      <w:r w:rsidR="000B6CB2" w:rsidRPr="000B6CB2">
        <w:rPr>
          <w:lang w:val="es-ES"/>
        </w:rPr>
        <w:t>reuniones</w:t>
      </w:r>
      <w:r w:rsidR="00663A30" w:rsidRPr="000B6CB2">
        <w:rPr>
          <w:lang w:val="es-ES"/>
        </w:rPr>
        <w:t xml:space="preserve">, el país anfitrión proporcionó actualizaciones sobre sus planes y preparativos para la COP15 y recibió comentarios y opiniones de los miembros del Subgrupo sobre cómo organizar una COP </w:t>
      </w:r>
      <w:r w:rsidR="00B461B8">
        <w:rPr>
          <w:lang w:val="es-ES"/>
        </w:rPr>
        <w:t>con éxito</w:t>
      </w:r>
      <w:r w:rsidR="000D3A62" w:rsidRPr="000B6CB2">
        <w:rPr>
          <w:lang w:val="es-ES"/>
        </w:rPr>
        <w:t>.</w:t>
      </w:r>
    </w:p>
    <w:p w14:paraId="377D626F" w14:textId="77777777" w:rsidR="000D3A62" w:rsidRPr="000B6CB2" w:rsidRDefault="000D3A62" w:rsidP="006D1F81">
      <w:pPr>
        <w:pStyle w:val="NoSpacing"/>
        <w:ind w:left="426" w:hanging="426"/>
        <w:rPr>
          <w:lang w:val="es-ES"/>
        </w:rPr>
      </w:pPr>
    </w:p>
    <w:p w14:paraId="6035FBA3" w14:textId="00EB31F4" w:rsidR="001A5FD8" w:rsidRPr="000B6CB2" w:rsidRDefault="006D1F81" w:rsidP="006D1F81">
      <w:pPr>
        <w:keepNext/>
        <w:ind w:left="426" w:hanging="426"/>
        <w:rPr>
          <w:rFonts w:asciiTheme="minorHAnsi" w:eastAsiaTheme="minorHAnsi" w:hAnsiTheme="minorHAnsi" w:cstheme="minorHAnsi"/>
          <w:lang w:val="es-ES" w:eastAsia="ro-RO"/>
        </w:rPr>
      </w:pPr>
      <w:r w:rsidRPr="000B6CB2">
        <w:rPr>
          <w:lang w:val="es-ES"/>
        </w:rPr>
        <w:t>5.</w:t>
      </w:r>
      <w:r w:rsidRPr="000B6CB2">
        <w:rPr>
          <w:lang w:val="es-ES"/>
        </w:rPr>
        <w:tab/>
      </w:r>
      <w:r w:rsidR="00663A30" w:rsidRPr="000B6CB2">
        <w:rPr>
          <w:lang w:val="es-ES"/>
        </w:rPr>
        <w:t xml:space="preserve">En la reunión del Subgrupo celebrada el 17 de enero, </w:t>
      </w:r>
      <w:proofErr w:type="spellStart"/>
      <w:r w:rsidR="000D3A62" w:rsidRPr="000B6CB2">
        <w:rPr>
          <w:lang w:val="es-ES"/>
        </w:rPr>
        <w:t>Zimbabwe</w:t>
      </w:r>
      <w:proofErr w:type="spellEnd"/>
      <w:r w:rsidR="000D3A62" w:rsidRPr="000B6CB2">
        <w:rPr>
          <w:lang w:val="es-ES"/>
        </w:rPr>
        <w:t xml:space="preserve"> inform</w:t>
      </w:r>
      <w:r w:rsidR="00663A30" w:rsidRPr="000B6CB2">
        <w:rPr>
          <w:lang w:val="es-ES"/>
        </w:rPr>
        <w:t xml:space="preserve">ó al Subgrupo de que el acuerdo con el país anfitrión había sido aprobado por el </w:t>
      </w:r>
      <w:r w:rsidR="00B461B8">
        <w:rPr>
          <w:lang w:val="es-ES"/>
        </w:rPr>
        <w:t xml:space="preserve">Comité Consultivo sobre Acuerdos Públicos </w:t>
      </w:r>
      <w:r w:rsidR="00663A30" w:rsidRPr="000B6CB2">
        <w:rPr>
          <w:lang w:val="es-ES"/>
        </w:rPr>
        <w:t xml:space="preserve">el 11 de enero. Ulteriormente, la Secretaría y </w:t>
      </w:r>
      <w:proofErr w:type="spellStart"/>
      <w:r w:rsidR="00663A30" w:rsidRPr="000B6CB2">
        <w:rPr>
          <w:lang w:val="es-ES"/>
        </w:rPr>
        <w:t>Zimbabwe</w:t>
      </w:r>
      <w:proofErr w:type="spellEnd"/>
      <w:r w:rsidR="00663A30" w:rsidRPr="000B6CB2">
        <w:rPr>
          <w:lang w:val="es-ES"/>
        </w:rPr>
        <w:t xml:space="preserve"> organizaron un </w:t>
      </w:r>
      <w:r w:rsidR="00B461B8">
        <w:rPr>
          <w:lang w:val="es-ES"/>
        </w:rPr>
        <w:t>acto</w:t>
      </w:r>
      <w:r w:rsidR="00663A30" w:rsidRPr="000B6CB2">
        <w:rPr>
          <w:lang w:val="es-ES"/>
        </w:rPr>
        <w:t xml:space="preserve"> de firma el 4 de marzo en </w:t>
      </w:r>
      <w:r w:rsidR="00BF05B5" w:rsidRPr="000B6CB2">
        <w:rPr>
          <w:rFonts w:asciiTheme="minorHAnsi" w:hAnsiTheme="minorHAnsi" w:cstheme="minorHAnsi"/>
          <w:lang w:val="es-ES"/>
        </w:rPr>
        <w:t>Harare</w:t>
      </w:r>
      <w:r w:rsidR="00663A30" w:rsidRPr="000B6CB2">
        <w:rPr>
          <w:rFonts w:asciiTheme="minorHAnsi" w:hAnsiTheme="minorHAnsi" w:cstheme="minorHAnsi"/>
          <w:lang w:val="es-ES"/>
        </w:rPr>
        <w:t xml:space="preserve">, en el que el acuerdo con el país </w:t>
      </w:r>
      <w:r w:rsidR="000B6CB2" w:rsidRPr="000B6CB2">
        <w:rPr>
          <w:rFonts w:asciiTheme="minorHAnsi" w:hAnsiTheme="minorHAnsi" w:cstheme="minorHAnsi"/>
          <w:lang w:val="es-ES"/>
        </w:rPr>
        <w:t>anfitrión</w:t>
      </w:r>
      <w:r w:rsidR="00663A30" w:rsidRPr="000B6CB2">
        <w:rPr>
          <w:rFonts w:asciiTheme="minorHAnsi" w:hAnsiTheme="minorHAnsi" w:cstheme="minorHAnsi"/>
          <w:lang w:val="es-ES"/>
        </w:rPr>
        <w:t xml:space="preserve"> fue firmado por el </w:t>
      </w:r>
      <w:r w:rsidR="005D5553">
        <w:rPr>
          <w:rFonts w:asciiTheme="minorHAnsi" w:hAnsiTheme="minorHAnsi" w:cstheme="minorHAnsi"/>
          <w:lang w:val="es-ES"/>
        </w:rPr>
        <w:t>Excmo.</w:t>
      </w:r>
      <w:r w:rsidR="00753343" w:rsidRPr="000B6CB2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="00753343" w:rsidRPr="000B6CB2">
        <w:rPr>
          <w:rFonts w:asciiTheme="minorHAnsi" w:hAnsiTheme="minorHAnsi" w:cstheme="minorHAnsi"/>
          <w:lang w:val="es-ES"/>
        </w:rPr>
        <w:lastRenderedPageBreak/>
        <w:t>Nqobizitha</w:t>
      </w:r>
      <w:proofErr w:type="spellEnd"/>
      <w:r w:rsidR="00753343" w:rsidRPr="000B6CB2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="00753343" w:rsidRPr="000B6CB2">
        <w:rPr>
          <w:rFonts w:asciiTheme="minorHAnsi" w:hAnsiTheme="minorHAnsi" w:cstheme="minorHAnsi"/>
          <w:lang w:val="es-ES"/>
        </w:rPr>
        <w:t>Mangaliso</w:t>
      </w:r>
      <w:proofErr w:type="spellEnd"/>
      <w:r w:rsidR="00753343" w:rsidRPr="000B6CB2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="00753343" w:rsidRPr="000B6CB2">
        <w:rPr>
          <w:rFonts w:asciiTheme="minorHAnsi" w:hAnsiTheme="minorHAnsi" w:cstheme="minorHAnsi"/>
          <w:bCs/>
          <w:lang w:val="es-ES"/>
        </w:rPr>
        <w:t>Ndhlovu</w:t>
      </w:r>
      <w:proofErr w:type="spellEnd"/>
      <w:r w:rsidR="00753343" w:rsidRPr="000B6CB2">
        <w:rPr>
          <w:rFonts w:asciiTheme="minorHAnsi" w:eastAsiaTheme="minorHAnsi" w:hAnsiTheme="minorHAnsi" w:cstheme="minorHAnsi"/>
          <w:lang w:val="es-ES" w:eastAsia="ro-RO"/>
        </w:rPr>
        <w:t xml:space="preserve">, </w:t>
      </w:r>
      <w:r w:rsidR="00663A30" w:rsidRPr="000B6CB2">
        <w:rPr>
          <w:rFonts w:asciiTheme="minorHAnsi" w:eastAsiaTheme="minorHAnsi" w:hAnsiTheme="minorHAnsi" w:cstheme="minorHAnsi"/>
          <w:lang w:val="es-ES" w:eastAsia="ro-RO"/>
        </w:rPr>
        <w:t>Ministro de Medio Ambiente, Clima y Vida Silvestre</w:t>
      </w:r>
      <w:r w:rsidR="005D6B1C">
        <w:rPr>
          <w:rFonts w:asciiTheme="minorHAnsi" w:eastAsiaTheme="minorHAnsi" w:hAnsiTheme="minorHAnsi" w:cstheme="minorHAnsi"/>
          <w:lang w:val="es-ES" w:eastAsia="ro-RO"/>
        </w:rPr>
        <w:t>,</w:t>
      </w:r>
      <w:r w:rsidR="00663A30" w:rsidRPr="000B6CB2">
        <w:rPr>
          <w:rFonts w:asciiTheme="minorHAnsi" w:eastAsiaTheme="minorHAnsi" w:hAnsiTheme="minorHAnsi" w:cstheme="minorHAnsi"/>
          <w:lang w:val="es-ES" w:eastAsia="ro-RO"/>
        </w:rPr>
        <w:t xml:space="preserve"> y la Dra. </w:t>
      </w:r>
      <w:r w:rsidR="006A3E89" w:rsidRPr="000B6CB2">
        <w:rPr>
          <w:rFonts w:asciiTheme="minorHAnsi" w:hAnsiTheme="minorHAnsi" w:cstheme="minorHAnsi"/>
          <w:lang w:val="es-ES"/>
        </w:rPr>
        <w:t xml:space="preserve">Musonda Mumba, </w:t>
      </w:r>
      <w:r w:rsidR="00663A30" w:rsidRPr="000B6CB2">
        <w:rPr>
          <w:rFonts w:asciiTheme="minorHAnsi" w:hAnsiTheme="minorHAnsi" w:cstheme="minorHAnsi"/>
          <w:lang w:val="es-ES"/>
        </w:rPr>
        <w:t>S</w:t>
      </w:r>
      <w:r w:rsidR="006A3E89" w:rsidRPr="000B6CB2">
        <w:rPr>
          <w:rFonts w:asciiTheme="minorHAnsi" w:hAnsiTheme="minorHAnsi" w:cstheme="minorHAnsi"/>
          <w:lang w:val="es-ES"/>
        </w:rPr>
        <w:t>ecretar</w:t>
      </w:r>
      <w:r w:rsidR="00663A30" w:rsidRPr="000B6CB2">
        <w:rPr>
          <w:rFonts w:asciiTheme="minorHAnsi" w:hAnsiTheme="minorHAnsi" w:cstheme="minorHAnsi"/>
          <w:lang w:val="es-ES"/>
        </w:rPr>
        <w:t xml:space="preserve">ia </w:t>
      </w:r>
      <w:r w:rsidR="006A3E89" w:rsidRPr="000B6CB2">
        <w:rPr>
          <w:rFonts w:asciiTheme="minorHAnsi" w:hAnsiTheme="minorHAnsi" w:cstheme="minorHAnsi"/>
          <w:lang w:val="es-ES"/>
        </w:rPr>
        <w:t xml:space="preserve">General </w:t>
      </w:r>
      <w:r w:rsidR="00663A30" w:rsidRPr="000B6CB2">
        <w:rPr>
          <w:rFonts w:asciiTheme="minorHAnsi" w:hAnsiTheme="minorHAnsi" w:cstheme="minorHAnsi"/>
          <w:lang w:val="es-ES"/>
        </w:rPr>
        <w:t xml:space="preserve">de la Convención. El evento fue cubierto por medios de comunicación nacionales y locales y promocionado </w:t>
      </w:r>
      <w:r w:rsidR="005D6B1C">
        <w:rPr>
          <w:rFonts w:asciiTheme="minorHAnsi" w:hAnsiTheme="minorHAnsi" w:cstheme="minorHAnsi"/>
          <w:lang w:val="es-ES"/>
        </w:rPr>
        <w:t>en</w:t>
      </w:r>
      <w:r w:rsidR="00663A30" w:rsidRPr="000B6CB2">
        <w:rPr>
          <w:rFonts w:asciiTheme="minorHAnsi" w:hAnsiTheme="minorHAnsi" w:cstheme="minorHAnsi"/>
          <w:lang w:val="es-ES"/>
        </w:rPr>
        <w:t xml:space="preserve"> los canales de comunicación de la </w:t>
      </w:r>
      <w:r w:rsidR="000B6CB2" w:rsidRPr="000B6CB2">
        <w:rPr>
          <w:rFonts w:asciiTheme="minorHAnsi" w:hAnsiTheme="minorHAnsi" w:cstheme="minorHAnsi"/>
          <w:lang w:val="es-ES"/>
        </w:rPr>
        <w:t>Convención</w:t>
      </w:r>
      <w:r w:rsidR="00663A30" w:rsidRPr="000B6CB2">
        <w:rPr>
          <w:rFonts w:asciiTheme="minorHAnsi" w:hAnsiTheme="minorHAnsi" w:cstheme="minorHAnsi"/>
          <w:lang w:val="es-ES"/>
        </w:rPr>
        <w:t xml:space="preserve">. En los </w:t>
      </w:r>
      <w:r w:rsidR="000B6CB2" w:rsidRPr="000B6CB2">
        <w:rPr>
          <w:rFonts w:asciiTheme="minorHAnsi" w:hAnsiTheme="minorHAnsi" w:cstheme="minorHAnsi"/>
          <w:lang w:val="es-ES"/>
        </w:rPr>
        <w:t>márgenes</w:t>
      </w:r>
      <w:r w:rsidR="00663A30" w:rsidRPr="000B6CB2">
        <w:rPr>
          <w:rFonts w:asciiTheme="minorHAnsi" w:hAnsiTheme="minorHAnsi" w:cstheme="minorHAnsi"/>
          <w:lang w:val="es-ES"/>
        </w:rPr>
        <w:t xml:space="preserve"> del evento, la </w:t>
      </w:r>
      <w:r w:rsidR="000B6CB2" w:rsidRPr="000B6CB2">
        <w:rPr>
          <w:rFonts w:asciiTheme="minorHAnsi" w:hAnsiTheme="minorHAnsi" w:cstheme="minorHAnsi"/>
          <w:lang w:val="es-ES"/>
        </w:rPr>
        <w:t>Secretaria</w:t>
      </w:r>
      <w:r w:rsidR="00663A30" w:rsidRPr="000B6CB2">
        <w:rPr>
          <w:rFonts w:asciiTheme="minorHAnsi" w:hAnsiTheme="minorHAnsi" w:cstheme="minorHAnsi"/>
          <w:lang w:val="es-ES"/>
        </w:rPr>
        <w:t xml:space="preserve"> General pudo visitar varios Humedales de </w:t>
      </w:r>
      <w:r w:rsidR="000B6CB2" w:rsidRPr="000B6CB2">
        <w:rPr>
          <w:rFonts w:asciiTheme="minorHAnsi" w:hAnsiTheme="minorHAnsi" w:cstheme="minorHAnsi"/>
          <w:lang w:val="es-ES"/>
        </w:rPr>
        <w:t>Importancia</w:t>
      </w:r>
      <w:r w:rsidR="00663A30" w:rsidRPr="000B6CB2">
        <w:rPr>
          <w:rFonts w:asciiTheme="minorHAnsi" w:hAnsiTheme="minorHAnsi" w:cstheme="minorHAnsi"/>
          <w:lang w:val="es-ES"/>
        </w:rPr>
        <w:t xml:space="preserve"> </w:t>
      </w:r>
      <w:r w:rsidR="000B6CB2" w:rsidRPr="000B6CB2">
        <w:rPr>
          <w:rFonts w:asciiTheme="minorHAnsi" w:hAnsiTheme="minorHAnsi" w:cstheme="minorHAnsi"/>
          <w:lang w:val="es-ES"/>
        </w:rPr>
        <w:t>Internacional</w:t>
      </w:r>
      <w:r w:rsidR="00663A30" w:rsidRPr="000B6CB2">
        <w:rPr>
          <w:rFonts w:asciiTheme="minorHAnsi" w:hAnsiTheme="minorHAnsi" w:cstheme="minorHAnsi"/>
          <w:lang w:val="es-ES"/>
        </w:rPr>
        <w:t xml:space="preserve"> y reunirse con varias organizaciones nacionales que están prestando ayuda en la planificación y acogida de la </w:t>
      </w:r>
      <w:r w:rsidR="00F578B9" w:rsidRPr="000B6CB2">
        <w:rPr>
          <w:rFonts w:asciiTheme="minorHAnsi" w:hAnsiTheme="minorHAnsi" w:cstheme="minorHAnsi"/>
          <w:lang w:val="es-ES"/>
        </w:rPr>
        <w:t xml:space="preserve">COP15. </w:t>
      </w:r>
    </w:p>
    <w:p w14:paraId="120388B7" w14:textId="77777777" w:rsidR="004F200A" w:rsidRPr="000B6CB2" w:rsidRDefault="004F200A" w:rsidP="006D1F81">
      <w:pPr>
        <w:pStyle w:val="ListParagraph"/>
        <w:ind w:left="426" w:hanging="426"/>
        <w:rPr>
          <w:lang w:val="es-ES"/>
        </w:rPr>
      </w:pPr>
    </w:p>
    <w:p w14:paraId="2CA0888F" w14:textId="4463781A" w:rsidR="006D1F81" w:rsidRPr="000B6CB2" w:rsidRDefault="006D1F81" w:rsidP="006D1F81">
      <w:pPr>
        <w:pStyle w:val="NoSpacing"/>
        <w:ind w:left="426" w:hanging="426"/>
        <w:rPr>
          <w:lang w:val="es-ES"/>
        </w:rPr>
      </w:pPr>
      <w:r w:rsidRPr="000B6CB2">
        <w:rPr>
          <w:lang w:val="es-ES"/>
        </w:rPr>
        <w:t>6.</w:t>
      </w:r>
      <w:r w:rsidRPr="000B6CB2">
        <w:rPr>
          <w:lang w:val="es-ES"/>
        </w:rPr>
        <w:tab/>
      </w:r>
      <w:r w:rsidR="00663A30" w:rsidRPr="000B6CB2">
        <w:rPr>
          <w:lang w:val="es-ES"/>
        </w:rPr>
        <w:t xml:space="preserve">El tema propuesto para la </w:t>
      </w:r>
      <w:r w:rsidR="004F200A" w:rsidRPr="000B6CB2">
        <w:rPr>
          <w:lang w:val="es-ES"/>
        </w:rPr>
        <w:t>COP15</w:t>
      </w:r>
      <w:r w:rsidR="00F25A82" w:rsidRPr="000B6CB2">
        <w:rPr>
          <w:lang w:val="es-ES"/>
        </w:rPr>
        <w:t>,</w:t>
      </w:r>
      <w:r w:rsidR="00F578B9" w:rsidRPr="000B6CB2">
        <w:rPr>
          <w:lang w:val="es-ES"/>
        </w:rPr>
        <w:t xml:space="preserve"> </w:t>
      </w:r>
      <w:r w:rsidR="00753343" w:rsidRPr="000B6CB2">
        <w:rPr>
          <w:lang w:val="es-ES"/>
        </w:rPr>
        <w:t>“</w:t>
      </w:r>
      <w:r w:rsidR="00F578B9" w:rsidRPr="000B6CB2">
        <w:rPr>
          <w:i/>
          <w:lang w:val="es-ES"/>
        </w:rPr>
        <w:t>Prot</w:t>
      </w:r>
      <w:r w:rsidR="00663A30" w:rsidRPr="000B6CB2">
        <w:rPr>
          <w:i/>
          <w:lang w:val="es-ES"/>
        </w:rPr>
        <w:t>eger los humedales para nuestro futuro común</w:t>
      </w:r>
      <w:r w:rsidR="00753343" w:rsidRPr="000B6CB2">
        <w:rPr>
          <w:lang w:val="es-ES"/>
        </w:rPr>
        <w:t>”</w:t>
      </w:r>
      <w:r w:rsidR="005D5553">
        <w:rPr>
          <w:lang w:val="es-ES"/>
        </w:rPr>
        <w:t xml:space="preserve">, </w:t>
      </w:r>
      <w:r w:rsidR="00663A30" w:rsidRPr="000B6CB2">
        <w:rPr>
          <w:lang w:val="es-ES"/>
        </w:rPr>
        <w:t>se comunicó al Subgrupo sobre la COP15 en su reunión del 17 de enero. Los miembros del Subgrupo expresaron su apoyo al tema y</w:t>
      </w:r>
      <w:r w:rsidR="005D5553">
        <w:rPr>
          <w:lang w:val="es-ES"/>
        </w:rPr>
        <w:t xml:space="preserve"> respaldaron </w:t>
      </w:r>
      <w:r w:rsidR="005A22B1" w:rsidRPr="000B6CB2">
        <w:rPr>
          <w:lang w:val="es-ES"/>
        </w:rPr>
        <w:t xml:space="preserve">su aprobación </w:t>
      </w:r>
      <w:r w:rsidR="005D5553">
        <w:rPr>
          <w:lang w:val="es-ES"/>
        </w:rPr>
        <w:t>en</w:t>
      </w:r>
      <w:r w:rsidR="005A22B1" w:rsidRPr="000B6CB2">
        <w:rPr>
          <w:lang w:val="es-ES"/>
        </w:rPr>
        <w:t xml:space="preserve"> la reunión </w:t>
      </w:r>
      <w:r w:rsidR="004F200A" w:rsidRPr="000B6CB2">
        <w:rPr>
          <w:lang w:val="es-ES"/>
        </w:rPr>
        <w:t xml:space="preserve">SC63. </w:t>
      </w:r>
      <w:r w:rsidR="005A22B1" w:rsidRPr="000B6CB2">
        <w:rPr>
          <w:lang w:val="es-ES"/>
        </w:rPr>
        <w:t xml:space="preserve">El país </w:t>
      </w:r>
      <w:r w:rsidR="000B6CB2" w:rsidRPr="000B6CB2">
        <w:rPr>
          <w:lang w:val="es-ES"/>
        </w:rPr>
        <w:t>anfitrión</w:t>
      </w:r>
      <w:r w:rsidR="005A22B1" w:rsidRPr="000B6CB2">
        <w:rPr>
          <w:lang w:val="es-ES"/>
        </w:rPr>
        <w:t xml:space="preserve"> ha preparado una propuesta de logotipo que s</w:t>
      </w:r>
      <w:r w:rsidR="00CB4EF2">
        <w:rPr>
          <w:lang w:val="es-ES"/>
        </w:rPr>
        <w:t xml:space="preserve">e </w:t>
      </w:r>
      <w:r w:rsidR="005D6B1C">
        <w:rPr>
          <w:lang w:val="es-ES"/>
        </w:rPr>
        <w:t>mostrará</w:t>
      </w:r>
      <w:r w:rsidR="005A22B1" w:rsidRPr="000B6CB2">
        <w:rPr>
          <w:lang w:val="es-ES"/>
        </w:rPr>
        <w:t xml:space="preserve"> al Subgrupo sobre la COP15 en su reunión prevista el 17 de abril. </w:t>
      </w:r>
      <w:r w:rsidR="00CB4EF2">
        <w:rPr>
          <w:lang w:val="es-ES"/>
        </w:rPr>
        <w:t xml:space="preserve">Una vez que </w:t>
      </w:r>
      <w:r w:rsidR="005D6B1C">
        <w:rPr>
          <w:lang w:val="es-ES"/>
        </w:rPr>
        <w:t xml:space="preserve">este </w:t>
      </w:r>
      <w:r w:rsidR="00CB4EF2">
        <w:rPr>
          <w:lang w:val="es-ES"/>
        </w:rPr>
        <w:t>la haya examinado, se</w:t>
      </w:r>
      <w:r w:rsidR="005A22B1" w:rsidRPr="000B6CB2">
        <w:rPr>
          <w:lang w:val="es-ES"/>
        </w:rPr>
        <w:t xml:space="preserve"> presentará una propuesta definitiva de logotipo a la reunión SC63 para su </w:t>
      </w:r>
      <w:r w:rsidR="000B6CB2" w:rsidRPr="000B6CB2">
        <w:rPr>
          <w:lang w:val="es-ES"/>
        </w:rPr>
        <w:t>aprobación</w:t>
      </w:r>
      <w:r w:rsidR="005A22B1" w:rsidRPr="000B6CB2">
        <w:rPr>
          <w:lang w:val="es-ES"/>
        </w:rPr>
        <w:t>.</w:t>
      </w:r>
    </w:p>
    <w:p w14:paraId="25A392A5" w14:textId="77777777" w:rsidR="006D1F81" w:rsidRPr="000B6CB2" w:rsidRDefault="006D1F81" w:rsidP="006D1F81">
      <w:pPr>
        <w:pStyle w:val="NoSpacing"/>
        <w:ind w:left="426" w:hanging="426"/>
        <w:rPr>
          <w:lang w:val="es-ES"/>
        </w:rPr>
      </w:pPr>
    </w:p>
    <w:p w14:paraId="0F3D7C5E" w14:textId="3086B34A" w:rsidR="007C5D02" w:rsidRPr="000B6CB2" w:rsidRDefault="006D1F81" w:rsidP="006D1F81">
      <w:pPr>
        <w:pStyle w:val="NoSpacing"/>
        <w:ind w:left="426" w:hanging="426"/>
        <w:rPr>
          <w:lang w:val="es-ES"/>
        </w:rPr>
      </w:pPr>
      <w:r w:rsidRPr="000B6CB2">
        <w:rPr>
          <w:lang w:val="es-ES"/>
        </w:rPr>
        <w:t>7.</w:t>
      </w:r>
      <w:r w:rsidRPr="000B6CB2">
        <w:rPr>
          <w:lang w:val="es-ES"/>
        </w:rPr>
        <w:tab/>
      </w:r>
      <w:r w:rsidR="005A22B1" w:rsidRPr="000B6CB2">
        <w:rPr>
          <w:lang w:val="es-ES"/>
        </w:rPr>
        <w:t xml:space="preserve">Se ha establecido un equipo de coordinación de la COP15 con </w:t>
      </w:r>
      <w:r w:rsidR="000B6CB2" w:rsidRPr="000B6CB2">
        <w:rPr>
          <w:lang w:val="es-ES"/>
        </w:rPr>
        <w:t>representantes</w:t>
      </w:r>
      <w:r w:rsidR="005A22B1" w:rsidRPr="000B6CB2">
        <w:rPr>
          <w:lang w:val="es-ES"/>
        </w:rPr>
        <w:t xml:space="preserve"> de la Secretaría y el país anfitrión para supervisar </w:t>
      </w:r>
      <w:r w:rsidR="000B6CB2" w:rsidRPr="000B6CB2">
        <w:rPr>
          <w:lang w:val="es-ES"/>
        </w:rPr>
        <w:t>los preparativos</w:t>
      </w:r>
      <w:r w:rsidR="005A22B1" w:rsidRPr="000B6CB2">
        <w:rPr>
          <w:lang w:val="es-ES"/>
        </w:rPr>
        <w:t xml:space="preserve"> </w:t>
      </w:r>
      <w:r w:rsidR="00CB4EF2">
        <w:rPr>
          <w:lang w:val="es-ES"/>
        </w:rPr>
        <w:t>de</w:t>
      </w:r>
      <w:r w:rsidR="005A22B1" w:rsidRPr="000B6CB2">
        <w:rPr>
          <w:lang w:val="es-ES"/>
        </w:rPr>
        <w:t xml:space="preserve"> la COP15. </w:t>
      </w:r>
      <w:r w:rsidR="00CB4EF2">
        <w:rPr>
          <w:lang w:val="es-ES"/>
        </w:rPr>
        <w:t>El</w:t>
      </w:r>
      <w:r w:rsidR="005A22B1" w:rsidRPr="000B6CB2">
        <w:rPr>
          <w:lang w:val="es-ES"/>
        </w:rPr>
        <w:t xml:space="preserve"> </w:t>
      </w:r>
      <w:r w:rsidR="000B6CB2" w:rsidRPr="000B6CB2">
        <w:rPr>
          <w:lang w:val="es-ES"/>
        </w:rPr>
        <w:t>equipo</w:t>
      </w:r>
      <w:r w:rsidR="005A22B1" w:rsidRPr="000B6CB2">
        <w:rPr>
          <w:lang w:val="es-ES"/>
        </w:rPr>
        <w:t xml:space="preserve"> se reúne periódicamente por videoconferencia </w:t>
      </w:r>
      <w:r w:rsidR="00CB4EF2">
        <w:rPr>
          <w:lang w:val="es-ES"/>
        </w:rPr>
        <w:t xml:space="preserve">siguiendo </w:t>
      </w:r>
      <w:r w:rsidR="005A22B1" w:rsidRPr="000B6CB2">
        <w:rPr>
          <w:lang w:val="es-ES"/>
        </w:rPr>
        <w:t xml:space="preserve">el calendario de planificación y </w:t>
      </w:r>
      <w:r w:rsidR="000B6CB2" w:rsidRPr="000B6CB2">
        <w:rPr>
          <w:lang w:val="es-ES"/>
        </w:rPr>
        <w:t>organización</w:t>
      </w:r>
      <w:r w:rsidR="005A22B1" w:rsidRPr="000B6CB2">
        <w:rPr>
          <w:lang w:val="es-ES"/>
        </w:rPr>
        <w:t xml:space="preserve"> de la COP de la </w:t>
      </w:r>
      <w:r w:rsidR="000B6CB2" w:rsidRPr="000B6CB2">
        <w:rPr>
          <w:lang w:val="es-ES"/>
        </w:rPr>
        <w:t>Secretaría</w:t>
      </w:r>
      <w:r w:rsidR="005A22B1" w:rsidRPr="000B6CB2">
        <w:rPr>
          <w:lang w:val="es-ES"/>
        </w:rPr>
        <w:t xml:space="preserve"> para </w:t>
      </w:r>
      <w:r w:rsidR="005D6B1C">
        <w:rPr>
          <w:lang w:val="es-ES"/>
        </w:rPr>
        <w:t xml:space="preserve">orientar las </w:t>
      </w:r>
      <w:r w:rsidR="005A22B1" w:rsidRPr="000B6CB2">
        <w:rPr>
          <w:lang w:val="es-ES"/>
        </w:rPr>
        <w:t xml:space="preserve">deliberaciones </w:t>
      </w:r>
      <w:r w:rsidR="005D6B1C">
        <w:rPr>
          <w:lang w:val="es-ES"/>
        </w:rPr>
        <w:t>y decisiones sobre l</w:t>
      </w:r>
      <w:r w:rsidR="005A22B1" w:rsidRPr="000B6CB2">
        <w:rPr>
          <w:lang w:val="es-ES"/>
        </w:rPr>
        <w:t>as acciones necesarias.</w:t>
      </w:r>
    </w:p>
    <w:p w14:paraId="44D8CD02" w14:textId="77777777" w:rsidR="00BB0BD0" w:rsidRPr="000B6CB2" w:rsidRDefault="00BB0BD0" w:rsidP="006D1F81">
      <w:pPr>
        <w:pStyle w:val="NoSpacing"/>
        <w:ind w:left="426" w:hanging="426"/>
        <w:rPr>
          <w:lang w:val="es-ES"/>
        </w:rPr>
      </w:pPr>
    </w:p>
    <w:p w14:paraId="4C3D9BAB" w14:textId="6B12A308" w:rsidR="00F13297" w:rsidRPr="000B6CB2" w:rsidRDefault="00753343" w:rsidP="006D1F81">
      <w:pPr>
        <w:pStyle w:val="NoSpacing"/>
        <w:ind w:left="426" w:hanging="426"/>
        <w:rPr>
          <w:lang w:val="es-ES"/>
        </w:rPr>
      </w:pPr>
      <w:r w:rsidRPr="000B6CB2">
        <w:rPr>
          <w:lang w:val="es-ES"/>
        </w:rPr>
        <w:t>8</w:t>
      </w:r>
      <w:r w:rsidR="00BB0BD0" w:rsidRPr="000B6CB2">
        <w:rPr>
          <w:lang w:val="es-ES"/>
        </w:rPr>
        <w:t>.</w:t>
      </w:r>
      <w:r w:rsidR="00BB0BD0" w:rsidRPr="000B6CB2">
        <w:rPr>
          <w:lang w:val="es-ES"/>
        </w:rPr>
        <w:tab/>
      </w:r>
      <w:r w:rsidR="005A22B1" w:rsidRPr="000B6CB2">
        <w:rPr>
          <w:lang w:val="es-ES"/>
        </w:rPr>
        <w:t xml:space="preserve">Está prevista una </w:t>
      </w:r>
      <w:r w:rsidR="000B6CB2" w:rsidRPr="000B6CB2">
        <w:rPr>
          <w:lang w:val="es-ES"/>
        </w:rPr>
        <w:t>segunda</w:t>
      </w:r>
      <w:r w:rsidR="005A22B1" w:rsidRPr="000B6CB2">
        <w:rPr>
          <w:lang w:val="es-ES"/>
        </w:rPr>
        <w:t xml:space="preserve"> visita </w:t>
      </w:r>
      <w:r w:rsidR="000B6CB2" w:rsidRPr="000B6CB2">
        <w:rPr>
          <w:lang w:val="es-ES"/>
        </w:rPr>
        <w:t>de</w:t>
      </w:r>
      <w:r w:rsidR="005A22B1" w:rsidRPr="000B6CB2">
        <w:rPr>
          <w:lang w:val="es-ES"/>
        </w:rPr>
        <w:t xml:space="preserve"> la Secretaría la semana del 8 de abril de 2024</w:t>
      </w:r>
      <w:r w:rsidR="005D6B1C">
        <w:rPr>
          <w:lang w:val="es-ES"/>
        </w:rPr>
        <w:t>, con e</w:t>
      </w:r>
      <w:r w:rsidR="005A22B1" w:rsidRPr="000B6CB2">
        <w:rPr>
          <w:lang w:val="es-ES"/>
        </w:rPr>
        <w:t xml:space="preserve">l objetivo de </w:t>
      </w:r>
      <w:r w:rsidR="005D6B1C">
        <w:rPr>
          <w:lang w:val="es-ES"/>
        </w:rPr>
        <w:t>impulsar las gestiones</w:t>
      </w:r>
      <w:r w:rsidR="005A22B1" w:rsidRPr="000B6CB2">
        <w:rPr>
          <w:lang w:val="es-ES"/>
        </w:rPr>
        <w:t xml:space="preserve"> logístic</w:t>
      </w:r>
      <w:r w:rsidR="005D6B1C">
        <w:rPr>
          <w:lang w:val="es-ES"/>
        </w:rPr>
        <w:t>a</w:t>
      </w:r>
      <w:r w:rsidR="005A22B1" w:rsidRPr="000B6CB2">
        <w:rPr>
          <w:lang w:val="es-ES"/>
        </w:rPr>
        <w:t xml:space="preserve">s sobre el lugar de la </w:t>
      </w:r>
      <w:r w:rsidR="000B6CB2" w:rsidRPr="000B6CB2">
        <w:rPr>
          <w:lang w:val="es-ES"/>
        </w:rPr>
        <w:t>reunión</w:t>
      </w:r>
      <w:r w:rsidR="005A22B1" w:rsidRPr="000B6CB2">
        <w:rPr>
          <w:lang w:val="es-ES"/>
        </w:rPr>
        <w:t>, el alojamiento y la prestación de servicios técnicos.</w:t>
      </w:r>
    </w:p>
    <w:p w14:paraId="7289D612" w14:textId="77777777" w:rsidR="009D4C0B" w:rsidRPr="000B6CB2" w:rsidRDefault="009D4C0B" w:rsidP="006D1F81">
      <w:pPr>
        <w:pStyle w:val="NoSpacing"/>
        <w:ind w:left="0" w:firstLine="0"/>
        <w:rPr>
          <w:lang w:val="es-ES"/>
        </w:rPr>
      </w:pPr>
    </w:p>
    <w:p w14:paraId="2CE66069" w14:textId="41783B81" w:rsidR="009D4C0B" w:rsidRPr="000B6CB2" w:rsidRDefault="005A22B1" w:rsidP="006D1F81">
      <w:pPr>
        <w:pStyle w:val="NoSpacing"/>
        <w:rPr>
          <w:b/>
          <w:lang w:val="es-ES"/>
        </w:rPr>
      </w:pPr>
      <w:r w:rsidRPr="000B6CB2">
        <w:rPr>
          <w:b/>
          <w:lang w:val="es-ES"/>
        </w:rPr>
        <w:t>Calendario de</w:t>
      </w:r>
      <w:r w:rsidR="005D6B1C">
        <w:rPr>
          <w:b/>
          <w:lang w:val="es-ES"/>
        </w:rPr>
        <w:t xml:space="preserve">l período previo a la </w:t>
      </w:r>
      <w:r w:rsidR="009D4C0B" w:rsidRPr="000B6CB2">
        <w:rPr>
          <w:b/>
          <w:lang w:val="es-ES"/>
        </w:rPr>
        <w:t>COP15</w:t>
      </w:r>
    </w:p>
    <w:p w14:paraId="1D0D56F7" w14:textId="77777777" w:rsidR="0060600F" w:rsidRPr="000B6CB2" w:rsidRDefault="0060600F" w:rsidP="006D1F81">
      <w:pPr>
        <w:pStyle w:val="NoSpacing"/>
        <w:ind w:left="0" w:firstLine="0"/>
        <w:rPr>
          <w:lang w:val="es-ES"/>
        </w:rPr>
      </w:pPr>
    </w:p>
    <w:p w14:paraId="23CE0BC3" w14:textId="2EB5E163" w:rsidR="009D4C0B" w:rsidRPr="000B6CB2" w:rsidRDefault="00753343" w:rsidP="006D1F81">
      <w:pPr>
        <w:pStyle w:val="NoSpacing"/>
        <w:rPr>
          <w:lang w:val="es-ES"/>
        </w:rPr>
      </w:pPr>
      <w:r w:rsidRPr="000B6CB2">
        <w:rPr>
          <w:lang w:val="es-ES"/>
        </w:rPr>
        <w:t>9</w:t>
      </w:r>
      <w:r w:rsidR="0060600F" w:rsidRPr="000B6CB2">
        <w:rPr>
          <w:lang w:val="es-ES"/>
        </w:rPr>
        <w:t>.</w:t>
      </w:r>
      <w:r w:rsidR="0060600F" w:rsidRPr="000B6CB2">
        <w:rPr>
          <w:lang w:val="es-ES"/>
        </w:rPr>
        <w:tab/>
      </w:r>
      <w:r w:rsidR="005A22B1" w:rsidRPr="000B6CB2">
        <w:rPr>
          <w:lang w:val="es-ES"/>
        </w:rPr>
        <w:t xml:space="preserve">En el Cuadro 1 se proporciona un calendario indicativo basado en las fechas aprobadas para la </w:t>
      </w:r>
      <w:r w:rsidR="000E224B" w:rsidRPr="000B6CB2">
        <w:rPr>
          <w:lang w:val="es-ES"/>
        </w:rPr>
        <w:t xml:space="preserve">COP15. </w:t>
      </w:r>
      <w:r w:rsidR="005D6B1C">
        <w:rPr>
          <w:lang w:val="es-ES"/>
        </w:rPr>
        <w:t xml:space="preserve">Las fechas límite de los plazos </w:t>
      </w:r>
      <w:r w:rsidR="005A22B1" w:rsidRPr="000B6CB2">
        <w:rPr>
          <w:lang w:val="es-ES"/>
        </w:rPr>
        <w:t xml:space="preserve">para presentar propuestas </w:t>
      </w:r>
      <w:r w:rsidR="005D6B1C">
        <w:rPr>
          <w:lang w:val="es-ES"/>
        </w:rPr>
        <w:t>de</w:t>
      </w:r>
      <w:r w:rsidR="005A22B1" w:rsidRPr="000B6CB2">
        <w:rPr>
          <w:lang w:val="es-ES"/>
        </w:rPr>
        <w:t xml:space="preserve"> </w:t>
      </w:r>
      <w:r w:rsidR="005D6B1C">
        <w:rPr>
          <w:lang w:val="es-ES"/>
        </w:rPr>
        <w:t>enmienda del r</w:t>
      </w:r>
      <w:r w:rsidR="005A22B1" w:rsidRPr="000B6CB2">
        <w:rPr>
          <w:lang w:val="es-ES"/>
        </w:rPr>
        <w:t xml:space="preserve">eglamento y proyectos de resolución dependerán de las fechas seleccionadas para la reunión </w:t>
      </w:r>
      <w:r w:rsidR="000E224B" w:rsidRPr="000B6CB2">
        <w:rPr>
          <w:lang w:val="es-ES"/>
        </w:rPr>
        <w:t xml:space="preserve">SC64. </w:t>
      </w:r>
      <w:r w:rsidR="005A22B1" w:rsidRPr="000B6CB2">
        <w:rPr>
          <w:lang w:val="es-ES"/>
        </w:rPr>
        <w:t xml:space="preserve">Las fechas </w:t>
      </w:r>
      <w:r w:rsidR="005D6B1C">
        <w:rPr>
          <w:lang w:val="es-ES"/>
        </w:rPr>
        <w:t>de dicha</w:t>
      </w:r>
      <w:r w:rsidR="005A22B1" w:rsidRPr="000B6CB2">
        <w:rPr>
          <w:lang w:val="es-ES"/>
        </w:rPr>
        <w:t xml:space="preserve"> reunión </w:t>
      </w:r>
      <w:r w:rsidR="005D6B1C">
        <w:rPr>
          <w:lang w:val="es-ES"/>
        </w:rPr>
        <w:t xml:space="preserve">se decidirán </w:t>
      </w:r>
      <w:r w:rsidR="005A22B1" w:rsidRPr="000B6CB2">
        <w:rPr>
          <w:lang w:val="es-ES"/>
        </w:rPr>
        <w:t xml:space="preserve">en la reunión </w:t>
      </w:r>
      <w:r w:rsidR="00B10616" w:rsidRPr="000B6CB2">
        <w:rPr>
          <w:lang w:val="es-ES"/>
        </w:rPr>
        <w:t>SC63</w:t>
      </w:r>
      <w:r w:rsidR="000E224B" w:rsidRPr="000B6CB2">
        <w:rPr>
          <w:lang w:val="es-ES"/>
        </w:rPr>
        <w:t xml:space="preserve">. </w:t>
      </w:r>
    </w:p>
    <w:p w14:paraId="32A5FD00" w14:textId="77777777" w:rsidR="009D4C0B" w:rsidRPr="000B6CB2" w:rsidRDefault="009D4C0B" w:rsidP="006D1F81">
      <w:pPr>
        <w:rPr>
          <w:lang w:val="es-ES"/>
        </w:rPr>
      </w:pPr>
    </w:p>
    <w:p w14:paraId="24E7B594" w14:textId="3D064B3D" w:rsidR="009D4C0B" w:rsidRPr="000B6CB2" w:rsidRDefault="005A22B1" w:rsidP="006D1F81">
      <w:pPr>
        <w:rPr>
          <w:i/>
          <w:lang w:val="es-ES"/>
        </w:rPr>
      </w:pPr>
      <w:r w:rsidRPr="000B6CB2">
        <w:rPr>
          <w:i/>
          <w:lang w:val="es-ES"/>
        </w:rPr>
        <w:t>Cuadro 1</w:t>
      </w:r>
      <w:r w:rsidR="00B67A88" w:rsidRPr="000B6CB2">
        <w:rPr>
          <w:i/>
          <w:lang w:val="es-ES"/>
        </w:rPr>
        <w:t>:</w:t>
      </w:r>
      <w:r w:rsidR="009D4C0B" w:rsidRPr="000B6CB2">
        <w:rPr>
          <w:i/>
          <w:lang w:val="es-ES"/>
        </w:rPr>
        <w:t xml:space="preserve"> </w:t>
      </w:r>
      <w:r w:rsidRPr="000B6CB2">
        <w:rPr>
          <w:i/>
          <w:lang w:val="es-ES"/>
        </w:rPr>
        <w:t xml:space="preserve">Calendario de la preparación </w:t>
      </w:r>
      <w:r w:rsidR="008B11D6">
        <w:rPr>
          <w:i/>
          <w:lang w:val="es-ES"/>
        </w:rPr>
        <w:t>d</w:t>
      </w:r>
      <w:r w:rsidRPr="000B6CB2">
        <w:rPr>
          <w:i/>
          <w:lang w:val="es-ES"/>
        </w:rPr>
        <w:t xml:space="preserve">e la </w:t>
      </w:r>
      <w:r w:rsidR="009D4C0B" w:rsidRPr="000B6CB2">
        <w:rPr>
          <w:i/>
          <w:lang w:val="es-ES"/>
        </w:rPr>
        <w:t>COP15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11"/>
      </w:tblGrid>
      <w:tr w:rsidR="009D4C0B" w:rsidRPr="000B6CB2" w14:paraId="025D8DEA" w14:textId="77777777" w:rsidTr="00B12773">
        <w:tc>
          <w:tcPr>
            <w:tcW w:w="2405" w:type="dxa"/>
            <w:vAlign w:val="center"/>
          </w:tcPr>
          <w:p w14:paraId="682DBAAA" w14:textId="673464D9" w:rsidR="009D4C0B" w:rsidRPr="000B6CB2" w:rsidDel="001E3692" w:rsidRDefault="005A22B1" w:rsidP="006D1F81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/>
              </w:rPr>
            </w:pPr>
            <w:r w:rsidRPr="000B6CB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/>
              </w:rPr>
              <w:t>Fecha</w:t>
            </w:r>
          </w:p>
        </w:tc>
        <w:tc>
          <w:tcPr>
            <w:tcW w:w="6611" w:type="dxa"/>
            <w:shd w:val="clear" w:color="auto" w:fill="auto"/>
            <w:noWrap/>
            <w:vAlign w:val="center"/>
          </w:tcPr>
          <w:p w14:paraId="3D5F0C09" w14:textId="600DB5D1" w:rsidR="009D4C0B" w:rsidRPr="000B6CB2" w:rsidRDefault="009D4C0B" w:rsidP="006D1F81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/>
              </w:rPr>
            </w:pPr>
            <w:r w:rsidRPr="000B6CB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/>
              </w:rPr>
              <w:t>Event</w:t>
            </w:r>
            <w:r w:rsidR="005A22B1" w:rsidRPr="000B6CB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/>
              </w:rPr>
              <w:t>o</w:t>
            </w:r>
          </w:p>
        </w:tc>
      </w:tr>
      <w:tr w:rsidR="009D4C0B" w:rsidRPr="002E6B7B" w14:paraId="091DFAE9" w14:textId="77777777" w:rsidTr="00B12773">
        <w:tc>
          <w:tcPr>
            <w:tcW w:w="2405" w:type="dxa"/>
            <w:vAlign w:val="center"/>
          </w:tcPr>
          <w:p w14:paraId="5A19F8E9" w14:textId="5F8F41E4" w:rsidR="009D4C0B" w:rsidRPr="000B6CB2" w:rsidRDefault="00AA5CDC" w:rsidP="006D1F81">
            <w:pPr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/>
              </w:rPr>
            </w:pPr>
            <w:r w:rsidRPr="000B6CB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/>
              </w:rPr>
              <w:t>23</w:t>
            </w:r>
            <w:r w:rsidR="005D6B1C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/>
              </w:rPr>
              <w:t xml:space="preserve"> a </w:t>
            </w:r>
            <w:r w:rsidRPr="000B6CB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/>
              </w:rPr>
              <w:t>31</w:t>
            </w:r>
            <w:r w:rsidR="009D4C0B" w:rsidRPr="000B6CB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/>
              </w:rPr>
              <w:t xml:space="preserve"> </w:t>
            </w:r>
            <w:r w:rsidR="005A22B1" w:rsidRPr="000B6CB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/>
              </w:rPr>
              <w:t xml:space="preserve">de julio de </w:t>
            </w:r>
            <w:r w:rsidR="009D4C0B" w:rsidRPr="000B6CB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/>
              </w:rPr>
              <w:t>202</w:t>
            </w:r>
            <w:r w:rsidR="00CF522F" w:rsidRPr="000B6CB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/>
              </w:rPr>
              <w:t>5</w:t>
            </w:r>
          </w:p>
        </w:tc>
        <w:tc>
          <w:tcPr>
            <w:tcW w:w="6611" w:type="dxa"/>
            <w:shd w:val="clear" w:color="auto" w:fill="auto"/>
            <w:noWrap/>
            <w:vAlign w:val="center"/>
          </w:tcPr>
          <w:p w14:paraId="316EF79C" w14:textId="55384B76" w:rsidR="009D4C0B" w:rsidRPr="000B6CB2" w:rsidRDefault="009D4C0B" w:rsidP="006D1F81">
            <w:pPr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/>
              </w:rPr>
            </w:pPr>
            <w:r w:rsidRPr="000B6CB2">
              <w:rPr>
                <w:b/>
                <w:lang w:val="es-ES"/>
              </w:rPr>
              <w:t>15</w:t>
            </w:r>
            <w:r w:rsidR="000B6CB2">
              <w:rPr>
                <w:b/>
                <w:lang w:val="es-ES"/>
              </w:rPr>
              <w:t>ª reunión de la Conferencia de las Partes Contratantes</w:t>
            </w:r>
            <w:r w:rsidRPr="000B6CB2">
              <w:rPr>
                <w:b/>
                <w:lang w:val="es-ES"/>
              </w:rPr>
              <w:t xml:space="preserve"> (</w:t>
            </w:r>
            <w:r w:rsidRPr="000B6CB2">
              <w:rPr>
                <w:rFonts w:cs="Arial"/>
                <w:b/>
                <w:lang w:val="es-ES"/>
              </w:rPr>
              <w:t>COP15</w:t>
            </w:r>
            <w:r w:rsidRPr="000B6CB2">
              <w:rPr>
                <w:b/>
                <w:lang w:val="es-ES"/>
              </w:rPr>
              <w:t>)</w:t>
            </w:r>
          </w:p>
        </w:tc>
      </w:tr>
      <w:tr w:rsidR="009D4C0B" w:rsidRPr="002E6B7B" w14:paraId="5800EDC2" w14:textId="77777777" w:rsidTr="00B12773">
        <w:tc>
          <w:tcPr>
            <w:tcW w:w="2405" w:type="dxa"/>
            <w:vAlign w:val="bottom"/>
          </w:tcPr>
          <w:p w14:paraId="5E2F6AF3" w14:textId="0596AF52" w:rsidR="009D4C0B" w:rsidRPr="000B6CB2" w:rsidRDefault="00F14AEE" w:rsidP="006D1F81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lang w:val="es-ES"/>
              </w:rPr>
            </w:pPr>
            <w:r w:rsidRPr="000B6CB2">
              <w:rPr>
                <w:rFonts w:asciiTheme="minorHAnsi" w:eastAsia="Times New Roman" w:hAnsiTheme="minorHAnsi" w:cstheme="minorHAnsi"/>
                <w:color w:val="000000"/>
                <w:lang w:val="es-ES"/>
              </w:rPr>
              <w:t xml:space="preserve">25 de abril de </w:t>
            </w:r>
            <w:r w:rsidR="004B49EB" w:rsidRPr="000B6CB2">
              <w:rPr>
                <w:rFonts w:asciiTheme="minorHAnsi" w:eastAsia="Times New Roman" w:hAnsiTheme="minorHAnsi" w:cstheme="minorHAnsi"/>
                <w:color w:val="000000"/>
                <w:lang w:val="es-ES"/>
              </w:rPr>
              <w:t>2025</w:t>
            </w:r>
          </w:p>
        </w:tc>
        <w:tc>
          <w:tcPr>
            <w:tcW w:w="6611" w:type="dxa"/>
            <w:shd w:val="clear" w:color="auto" w:fill="auto"/>
            <w:noWrap/>
            <w:vAlign w:val="bottom"/>
            <w:hideMark/>
          </w:tcPr>
          <w:p w14:paraId="5C26CFDB" w14:textId="53C62112" w:rsidR="009D4C0B" w:rsidRPr="000B6CB2" w:rsidRDefault="00F14AEE" w:rsidP="006D1F81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lang w:val="es-ES"/>
              </w:rPr>
            </w:pPr>
            <w:r w:rsidRPr="000B6CB2">
              <w:rPr>
                <w:rFonts w:asciiTheme="minorHAnsi" w:eastAsia="Times New Roman" w:hAnsiTheme="minorHAnsi" w:cstheme="minorHAnsi"/>
                <w:color w:val="000000"/>
                <w:lang w:val="es-ES"/>
              </w:rPr>
              <w:t xml:space="preserve">Publicación de los documentos de la </w:t>
            </w:r>
            <w:r w:rsidR="009D4C0B" w:rsidRPr="000B6CB2">
              <w:rPr>
                <w:rFonts w:asciiTheme="minorHAnsi" w:eastAsia="Times New Roman" w:hAnsiTheme="minorHAnsi" w:cstheme="minorHAnsi"/>
                <w:color w:val="000000"/>
                <w:lang w:val="es-ES"/>
              </w:rPr>
              <w:t>C</w:t>
            </w:r>
            <w:r w:rsidRPr="000B6CB2">
              <w:rPr>
                <w:rFonts w:asciiTheme="minorHAnsi" w:eastAsia="Times New Roman" w:hAnsiTheme="minorHAnsi" w:cstheme="minorHAnsi"/>
                <w:color w:val="000000"/>
                <w:lang w:val="es-ES"/>
              </w:rPr>
              <w:t>OP</w:t>
            </w:r>
            <w:r w:rsidR="009D4C0B" w:rsidRPr="000B6CB2">
              <w:rPr>
                <w:rFonts w:asciiTheme="minorHAnsi" w:eastAsia="Times New Roman" w:hAnsiTheme="minorHAnsi" w:cstheme="minorHAnsi"/>
                <w:color w:val="000000"/>
                <w:lang w:val="es-ES"/>
              </w:rPr>
              <w:t>1</w:t>
            </w:r>
            <w:r w:rsidR="00B05563" w:rsidRPr="000B6CB2">
              <w:rPr>
                <w:rFonts w:asciiTheme="minorHAnsi" w:eastAsia="Times New Roman" w:hAnsiTheme="minorHAnsi" w:cstheme="minorHAnsi"/>
                <w:color w:val="000000"/>
                <w:lang w:val="es-ES"/>
              </w:rPr>
              <w:t>5</w:t>
            </w:r>
          </w:p>
        </w:tc>
      </w:tr>
      <w:tr w:rsidR="009876A6" w:rsidRPr="002E6B7B" w14:paraId="761F7D28" w14:textId="77777777" w:rsidTr="00B10616">
        <w:tc>
          <w:tcPr>
            <w:tcW w:w="2405" w:type="dxa"/>
          </w:tcPr>
          <w:p w14:paraId="36AE0637" w14:textId="12B7B7B7" w:rsidR="009876A6" w:rsidRPr="000B6CB2" w:rsidRDefault="00C86E0D" w:rsidP="00B10616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lang w:val="es-ES"/>
              </w:rPr>
            </w:pPr>
            <w:r w:rsidRPr="000B6CB2">
              <w:rPr>
                <w:rFonts w:asciiTheme="minorHAnsi" w:eastAsia="Times New Roman" w:hAnsiTheme="minorHAnsi" w:cstheme="minorHAnsi"/>
                <w:color w:val="000000"/>
                <w:lang w:val="es-ES"/>
              </w:rPr>
              <w:t xml:space="preserve">Marzo de </w:t>
            </w:r>
            <w:r w:rsidR="00A836B4" w:rsidRPr="000B6CB2">
              <w:rPr>
                <w:rFonts w:asciiTheme="minorHAnsi" w:eastAsia="Times New Roman" w:hAnsiTheme="minorHAnsi" w:cstheme="minorHAnsi"/>
                <w:color w:val="000000"/>
                <w:lang w:val="es-ES"/>
              </w:rPr>
              <w:t>2025</w:t>
            </w:r>
          </w:p>
        </w:tc>
        <w:tc>
          <w:tcPr>
            <w:tcW w:w="6611" w:type="dxa"/>
            <w:shd w:val="clear" w:color="auto" w:fill="auto"/>
            <w:noWrap/>
            <w:vAlign w:val="bottom"/>
          </w:tcPr>
          <w:p w14:paraId="4D31448C" w14:textId="7A82EEB5" w:rsidR="009876A6" w:rsidRPr="000B6CB2" w:rsidRDefault="00C86E0D" w:rsidP="006D1F81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lang w:val="es-ES"/>
              </w:rPr>
            </w:pPr>
            <w:r w:rsidRPr="000B6CB2">
              <w:rPr>
                <w:rFonts w:asciiTheme="minorHAnsi" w:eastAsia="Times New Roman" w:hAnsiTheme="minorHAnsi" w:cstheme="minorHAnsi"/>
                <w:color w:val="000000"/>
                <w:lang w:val="es-ES"/>
              </w:rPr>
              <w:t xml:space="preserve">Las Partes Contratantes </w:t>
            </w:r>
            <w:r w:rsidR="005D6B1C">
              <w:rPr>
                <w:rFonts w:asciiTheme="minorHAnsi" w:eastAsia="Times New Roman" w:hAnsiTheme="minorHAnsi" w:cstheme="minorHAnsi"/>
                <w:color w:val="000000"/>
                <w:lang w:val="es-ES"/>
              </w:rPr>
              <w:t xml:space="preserve">presentan </w:t>
            </w:r>
            <w:r w:rsidRPr="000B6CB2">
              <w:rPr>
                <w:rFonts w:asciiTheme="minorHAnsi" w:eastAsia="Times New Roman" w:hAnsiTheme="minorHAnsi" w:cstheme="minorHAnsi"/>
                <w:color w:val="000000"/>
                <w:lang w:val="es-ES"/>
              </w:rPr>
              <w:t xml:space="preserve">a la Secretaría propuestas para enmendar el </w:t>
            </w:r>
            <w:r w:rsidR="005D6B1C">
              <w:rPr>
                <w:rFonts w:asciiTheme="minorHAnsi" w:eastAsia="Times New Roman" w:hAnsiTheme="minorHAnsi" w:cstheme="minorHAnsi"/>
                <w:color w:val="000000"/>
                <w:lang w:val="es-ES"/>
              </w:rPr>
              <w:t>r</w:t>
            </w:r>
            <w:r w:rsidRPr="000B6CB2">
              <w:rPr>
                <w:rFonts w:asciiTheme="minorHAnsi" w:eastAsia="Times New Roman" w:hAnsiTheme="minorHAnsi" w:cstheme="minorHAnsi"/>
                <w:color w:val="000000"/>
                <w:lang w:val="es-ES"/>
              </w:rPr>
              <w:t>eglamento</w:t>
            </w:r>
          </w:p>
        </w:tc>
      </w:tr>
      <w:tr w:rsidR="009D4C0B" w:rsidRPr="002E6B7B" w14:paraId="5B377FDE" w14:textId="77777777" w:rsidTr="00B12773">
        <w:tc>
          <w:tcPr>
            <w:tcW w:w="2405" w:type="dxa"/>
            <w:vAlign w:val="bottom"/>
          </w:tcPr>
          <w:p w14:paraId="3111609E" w14:textId="276BB462" w:rsidR="009D4C0B" w:rsidRPr="000B6CB2" w:rsidRDefault="00C86E0D" w:rsidP="006D1F81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lang w:val="es-ES"/>
              </w:rPr>
            </w:pPr>
            <w:r w:rsidRPr="000B6CB2">
              <w:rPr>
                <w:rFonts w:asciiTheme="minorHAnsi" w:eastAsia="Times New Roman" w:hAnsiTheme="minorHAnsi" w:cstheme="minorHAnsi"/>
                <w:color w:val="000000"/>
                <w:lang w:val="es-ES"/>
              </w:rPr>
              <w:t>Enero de</w:t>
            </w:r>
            <w:r w:rsidR="004B49EB" w:rsidRPr="000B6CB2">
              <w:rPr>
                <w:rFonts w:asciiTheme="minorHAnsi" w:eastAsia="Times New Roman" w:hAnsiTheme="minorHAnsi" w:cstheme="minorHAnsi"/>
                <w:color w:val="000000"/>
                <w:lang w:val="es-ES"/>
              </w:rPr>
              <w:t xml:space="preserve"> 2025</w:t>
            </w:r>
          </w:p>
        </w:tc>
        <w:tc>
          <w:tcPr>
            <w:tcW w:w="6611" w:type="dxa"/>
            <w:shd w:val="clear" w:color="auto" w:fill="auto"/>
            <w:noWrap/>
            <w:hideMark/>
          </w:tcPr>
          <w:p w14:paraId="02B45542" w14:textId="329E4D25" w:rsidR="009D4C0B" w:rsidRPr="000B6CB2" w:rsidRDefault="00B05563" w:rsidP="006D1F81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lang w:val="es-ES"/>
              </w:rPr>
            </w:pPr>
            <w:r w:rsidRPr="000B6CB2">
              <w:rPr>
                <w:rFonts w:cs="Arial"/>
                <w:lang w:val="es-ES"/>
              </w:rPr>
              <w:t>64</w:t>
            </w:r>
            <w:r w:rsidR="00C86E0D" w:rsidRPr="000B6CB2">
              <w:rPr>
                <w:rFonts w:cs="Arial"/>
                <w:lang w:val="es-ES"/>
              </w:rPr>
              <w:t xml:space="preserve">ª reunión del </w:t>
            </w:r>
            <w:r w:rsidR="00C3445C" w:rsidRPr="000B6CB2">
              <w:rPr>
                <w:rFonts w:cs="Arial"/>
                <w:lang w:val="es-ES"/>
              </w:rPr>
              <w:t>Comité Permanente</w:t>
            </w:r>
            <w:r w:rsidR="009D4C0B" w:rsidRPr="000B6CB2">
              <w:rPr>
                <w:rFonts w:cs="Arial"/>
                <w:lang w:val="es-ES"/>
              </w:rPr>
              <w:t xml:space="preserve"> (SC</w:t>
            </w:r>
            <w:r w:rsidR="004B49EB" w:rsidRPr="000B6CB2">
              <w:rPr>
                <w:rFonts w:cs="Arial"/>
                <w:lang w:val="es-ES"/>
              </w:rPr>
              <w:t>64</w:t>
            </w:r>
            <w:r w:rsidR="009D4C0B" w:rsidRPr="000B6CB2">
              <w:rPr>
                <w:rFonts w:cs="Arial"/>
                <w:lang w:val="es-ES"/>
              </w:rPr>
              <w:t>)</w:t>
            </w:r>
          </w:p>
        </w:tc>
      </w:tr>
      <w:tr w:rsidR="009D4C0B" w:rsidRPr="002E6B7B" w14:paraId="75EEB24F" w14:textId="77777777" w:rsidTr="00B12773">
        <w:tc>
          <w:tcPr>
            <w:tcW w:w="2405" w:type="dxa"/>
            <w:vAlign w:val="bottom"/>
          </w:tcPr>
          <w:p w14:paraId="7B315F02" w14:textId="378C106F" w:rsidR="009D4C0B" w:rsidRPr="000B6CB2" w:rsidRDefault="004B49EB" w:rsidP="006D1F81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lang w:val="es-ES"/>
              </w:rPr>
            </w:pPr>
            <w:r w:rsidRPr="000B6CB2">
              <w:rPr>
                <w:rFonts w:asciiTheme="minorHAnsi" w:eastAsia="Times New Roman" w:hAnsiTheme="minorHAnsi" w:cstheme="minorHAnsi"/>
                <w:color w:val="000000"/>
                <w:lang w:val="es-ES"/>
              </w:rPr>
              <w:t>Nov</w:t>
            </w:r>
            <w:r w:rsidR="00C86E0D" w:rsidRPr="000B6CB2">
              <w:rPr>
                <w:rFonts w:asciiTheme="minorHAnsi" w:eastAsia="Times New Roman" w:hAnsiTheme="minorHAnsi" w:cstheme="minorHAnsi"/>
                <w:color w:val="000000"/>
                <w:lang w:val="es-ES"/>
              </w:rPr>
              <w:t xml:space="preserve">iembre de </w:t>
            </w:r>
            <w:r w:rsidRPr="000B6CB2">
              <w:rPr>
                <w:rFonts w:asciiTheme="minorHAnsi" w:eastAsia="Times New Roman" w:hAnsiTheme="minorHAnsi" w:cstheme="minorHAnsi"/>
                <w:color w:val="000000"/>
                <w:lang w:val="es-ES"/>
              </w:rPr>
              <w:t>2024</w:t>
            </w:r>
          </w:p>
        </w:tc>
        <w:tc>
          <w:tcPr>
            <w:tcW w:w="6611" w:type="dxa"/>
            <w:shd w:val="clear" w:color="auto" w:fill="auto"/>
            <w:noWrap/>
            <w:vAlign w:val="bottom"/>
            <w:hideMark/>
          </w:tcPr>
          <w:p w14:paraId="3016CE22" w14:textId="79CC063E" w:rsidR="009D4C0B" w:rsidRPr="000B6CB2" w:rsidRDefault="00C86E0D" w:rsidP="006D1F81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lang w:val="es-ES"/>
              </w:rPr>
            </w:pPr>
            <w:r w:rsidRPr="000B6CB2">
              <w:rPr>
                <w:rFonts w:asciiTheme="minorHAnsi" w:eastAsia="Times New Roman" w:hAnsiTheme="minorHAnsi" w:cstheme="minorHAnsi"/>
                <w:color w:val="000000"/>
                <w:lang w:val="es-ES"/>
              </w:rPr>
              <w:t>Presentación de las propuestas de proyectos de resolución</w:t>
            </w:r>
          </w:p>
        </w:tc>
      </w:tr>
      <w:tr w:rsidR="00422D17" w:rsidRPr="002E6B7B" w14:paraId="3994F15A" w14:textId="77777777" w:rsidTr="00FB4E2D">
        <w:tc>
          <w:tcPr>
            <w:tcW w:w="2405" w:type="dxa"/>
            <w:vAlign w:val="bottom"/>
          </w:tcPr>
          <w:p w14:paraId="613B773C" w14:textId="38A738B5" w:rsidR="00422D17" w:rsidRPr="000B6CB2" w:rsidRDefault="00422D17" w:rsidP="006D1F81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lang w:val="es-ES"/>
              </w:rPr>
            </w:pPr>
            <w:r w:rsidRPr="000B6CB2">
              <w:rPr>
                <w:rFonts w:asciiTheme="minorHAnsi" w:eastAsia="Times New Roman" w:hAnsiTheme="minorHAnsi" w:cstheme="minorHAnsi"/>
                <w:color w:val="000000"/>
                <w:lang w:val="es-ES"/>
              </w:rPr>
              <w:t>D</w:t>
            </w:r>
            <w:r w:rsidR="00C86E0D" w:rsidRPr="000B6CB2">
              <w:rPr>
                <w:rFonts w:asciiTheme="minorHAnsi" w:eastAsia="Times New Roman" w:hAnsiTheme="minorHAnsi" w:cstheme="minorHAnsi"/>
                <w:color w:val="000000"/>
                <w:lang w:val="es-ES"/>
              </w:rPr>
              <w:t>iciembre de 2</w:t>
            </w:r>
            <w:r w:rsidRPr="000B6CB2">
              <w:rPr>
                <w:rFonts w:asciiTheme="minorHAnsi" w:eastAsia="Times New Roman" w:hAnsiTheme="minorHAnsi" w:cstheme="minorHAnsi"/>
                <w:color w:val="000000"/>
                <w:lang w:val="es-ES"/>
              </w:rPr>
              <w:t xml:space="preserve">024 – </w:t>
            </w:r>
            <w:r w:rsidR="00C86E0D" w:rsidRPr="000B6CB2">
              <w:rPr>
                <w:rFonts w:asciiTheme="minorHAnsi" w:eastAsia="Times New Roman" w:hAnsiTheme="minorHAnsi" w:cstheme="minorHAnsi"/>
                <w:color w:val="000000"/>
                <w:lang w:val="es-ES"/>
              </w:rPr>
              <w:t>enero de</w:t>
            </w:r>
            <w:r w:rsidRPr="000B6CB2">
              <w:rPr>
                <w:rFonts w:asciiTheme="minorHAnsi" w:eastAsia="Times New Roman" w:hAnsiTheme="minorHAnsi" w:cstheme="minorHAnsi"/>
                <w:color w:val="000000"/>
                <w:lang w:val="es-ES"/>
              </w:rPr>
              <w:t xml:space="preserve"> 2025</w:t>
            </w:r>
          </w:p>
        </w:tc>
        <w:tc>
          <w:tcPr>
            <w:tcW w:w="6611" w:type="dxa"/>
            <w:shd w:val="clear" w:color="auto" w:fill="auto"/>
            <w:noWrap/>
            <w:hideMark/>
          </w:tcPr>
          <w:p w14:paraId="415A2046" w14:textId="0124D120" w:rsidR="00422D17" w:rsidRPr="000B6CB2" w:rsidRDefault="00C86E0D" w:rsidP="00FB4E2D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lang w:val="es-ES"/>
              </w:rPr>
            </w:pPr>
            <w:r w:rsidRPr="000B6CB2">
              <w:rPr>
                <w:rFonts w:asciiTheme="minorHAnsi" w:eastAsia="Times New Roman" w:hAnsiTheme="minorHAnsi" w:cstheme="minorHAnsi"/>
                <w:color w:val="000000"/>
                <w:lang w:val="es-ES"/>
              </w:rPr>
              <w:t xml:space="preserve">Reuniones regionales previas a la </w:t>
            </w:r>
            <w:r w:rsidR="00422D17" w:rsidRPr="000B6CB2">
              <w:rPr>
                <w:rFonts w:asciiTheme="minorHAnsi" w:eastAsia="Times New Roman" w:hAnsiTheme="minorHAnsi" w:cstheme="minorHAnsi"/>
                <w:color w:val="000000"/>
                <w:lang w:val="es-ES"/>
              </w:rPr>
              <w:t>COP</w:t>
            </w:r>
          </w:p>
        </w:tc>
      </w:tr>
    </w:tbl>
    <w:p w14:paraId="21FBCDF5" w14:textId="77777777" w:rsidR="000E224B" w:rsidRPr="000B6CB2" w:rsidRDefault="000E224B" w:rsidP="006D1F81">
      <w:pPr>
        <w:ind w:left="0" w:firstLine="0"/>
        <w:rPr>
          <w:b/>
          <w:lang w:val="es-ES"/>
        </w:rPr>
      </w:pPr>
    </w:p>
    <w:p w14:paraId="5418F5B0" w14:textId="77777777" w:rsidR="000E224B" w:rsidRPr="000B6CB2" w:rsidRDefault="000E224B" w:rsidP="006D1F81">
      <w:pPr>
        <w:rPr>
          <w:b/>
          <w:lang w:val="es-ES"/>
        </w:rPr>
      </w:pPr>
    </w:p>
    <w:p w14:paraId="5C9637EE" w14:textId="37B4E057" w:rsidR="00911543" w:rsidRPr="000B6CB2" w:rsidRDefault="00C86E0D" w:rsidP="006D1F81">
      <w:pPr>
        <w:ind w:left="0" w:firstLine="0"/>
        <w:rPr>
          <w:b/>
          <w:lang w:val="es-ES"/>
        </w:rPr>
      </w:pPr>
      <w:r w:rsidRPr="000B6CB2">
        <w:rPr>
          <w:b/>
          <w:lang w:val="es-ES"/>
        </w:rPr>
        <w:t xml:space="preserve">Reuniones regionales previas a la </w:t>
      </w:r>
      <w:r w:rsidR="00911543" w:rsidRPr="000B6CB2">
        <w:rPr>
          <w:b/>
          <w:lang w:val="es-ES"/>
        </w:rPr>
        <w:t xml:space="preserve">COP </w:t>
      </w:r>
    </w:p>
    <w:p w14:paraId="09EC7AE2" w14:textId="77777777" w:rsidR="00422D17" w:rsidRPr="000B6CB2" w:rsidRDefault="00422D17" w:rsidP="006D1F81">
      <w:pPr>
        <w:rPr>
          <w:b/>
          <w:lang w:val="es-ES"/>
        </w:rPr>
      </w:pPr>
    </w:p>
    <w:p w14:paraId="5032E646" w14:textId="4FC9E8DB" w:rsidR="00422D17" w:rsidRPr="000B6CB2" w:rsidRDefault="00753343" w:rsidP="00422D17">
      <w:pPr>
        <w:rPr>
          <w:lang w:val="es-ES"/>
        </w:rPr>
      </w:pPr>
      <w:r w:rsidRPr="000B6CB2">
        <w:rPr>
          <w:lang w:val="es-ES"/>
        </w:rPr>
        <w:t>10.</w:t>
      </w:r>
      <w:r w:rsidR="009F26F1" w:rsidRPr="000B6CB2">
        <w:rPr>
          <w:lang w:val="es-ES"/>
        </w:rPr>
        <w:tab/>
      </w:r>
      <w:r w:rsidR="00C86E0D" w:rsidRPr="000B6CB2">
        <w:rPr>
          <w:lang w:val="es-ES"/>
        </w:rPr>
        <w:t xml:space="preserve">La Secretaría está </w:t>
      </w:r>
      <w:r w:rsidR="005D6B1C">
        <w:rPr>
          <w:lang w:val="es-ES"/>
        </w:rPr>
        <w:t>prestando apoyo</w:t>
      </w:r>
      <w:r w:rsidR="00C86E0D" w:rsidRPr="000B6CB2">
        <w:rPr>
          <w:lang w:val="es-ES"/>
        </w:rPr>
        <w:t xml:space="preserve"> a las regiones</w:t>
      </w:r>
      <w:r w:rsidR="005D6B1C">
        <w:rPr>
          <w:lang w:val="es-ES"/>
        </w:rPr>
        <w:t xml:space="preserve"> en</w:t>
      </w:r>
      <w:r w:rsidR="00C86E0D" w:rsidRPr="000B6CB2">
        <w:rPr>
          <w:lang w:val="es-ES"/>
        </w:rPr>
        <w:t xml:space="preserve"> la organización de las </w:t>
      </w:r>
      <w:r w:rsidR="000B6CB2" w:rsidRPr="000B6CB2">
        <w:rPr>
          <w:lang w:val="es-ES"/>
        </w:rPr>
        <w:t>reuniones</w:t>
      </w:r>
      <w:r w:rsidR="00C86E0D" w:rsidRPr="000B6CB2">
        <w:rPr>
          <w:lang w:val="es-ES"/>
        </w:rPr>
        <w:t xml:space="preserve"> regionales previas a la COP. </w:t>
      </w:r>
      <w:r w:rsidR="005D6B1C">
        <w:rPr>
          <w:lang w:val="es-ES"/>
        </w:rPr>
        <w:t>Se están realizando</w:t>
      </w:r>
      <w:r w:rsidR="00C86E0D" w:rsidRPr="000B6CB2">
        <w:rPr>
          <w:lang w:val="es-ES"/>
        </w:rPr>
        <w:t xml:space="preserve"> consultas entre la Secretaría y los representantes </w:t>
      </w:r>
      <w:r w:rsidR="000B6CB2" w:rsidRPr="000B6CB2">
        <w:rPr>
          <w:lang w:val="es-ES"/>
        </w:rPr>
        <w:t>regionales</w:t>
      </w:r>
      <w:r w:rsidR="00C86E0D" w:rsidRPr="000B6CB2">
        <w:rPr>
          <w:lang w:val="es-ES"/>
        </w:rPr>
        <w:t xml:space="preserve"> para determinar el formato, la modalidad y las fechas de esas reuniones</w:t>
      </w:r>
      <w:r w:rsidR="00FD2343" w:rsidRPr="000B6CB2">
        <w:rPr>
          <w:lang w:val="es-ES"/>
        </w:rPr>
        <w:t xml:space="preserve">. </w:t>
      </w:r>
    </w:p>
    <w:sectPr w:rsidR="00422D17" w:rsidRPr="000B6CB2" w:rsidSect="002137E0">
      <w:headerReference w:type="default" r:id="rId11"/>
      <w:footerReference w:type="default" r:id="rId12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393CE37" w16cex:dateUtc="2024-03-04T12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950BC" w14:textId="77777777" w:rsidR="00F979CD" w:rsidRDefault="00F979CD" w:rsidP="00DF2386">
      <w:r>
        <w:separator/>
      </w:r>
    </w:p>
  </w:endnote>
  <w:endnote w:type="continuationSeparator" w:id="0">
    <w:p w14:paraId="7BEFB231" w14:textId="77777777" w:rsidR="00F979CD" w:rsidRDefault="00F979CD" w:rsidP="00DF2386">
      <w:r>
        <w:continuationSeparator/>
      </w:r>
    </w:p>
  </w:endnote>
  <w:endnote w:type="continuationNotice" w:id="1">
    <w:p w14:paraId="07A54E91" w14:textId="77777777" w:rsidR="00F979CD" w:rsidRDefault="00F979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-Bold">
    <w:altName w:val="Calibri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AD58E" w14:textId="77777777" w:rsidR="00F73E71" w:rsidRDefault="00B158A7" w:rsidP="002137E0">
    <w:pPr>
      <w:pStyle w:val="Header"/>
      <w:rPr>
        <w:noProof/>
      </w:rPr>
    </w:pPr>
    <w:r w:rsidRPr="00B158A7">
      <w:rPr>
        <w:sz w:val="20"/>
        <w:szCs w:val="20"/>
      </w:rPr>
      <w:t>SC</w:t>
    </w:r>
    <w:r w:rsidR="00AC24A7">
      <w:rPr>
        <w:sz w:val="20"/>
        <w:szCs w:val="20"/>
      </w:rPr>
      <w:t>6</w:t>
    </w:r>
    <w:r w:rsidR="00E309FA">
      <w:rPr>
        <w:sz w:val="20"/>
        <w:szCs w:val="20"/>
      </w:rPr>
      <w:t>3</w:t>
    </w:r>
    <w:r w:rsidRPr="00B158A7">
      <w:rPr>
        <w:sz w:val="20"/>
        <w:szCs w:val="20"/>
      </w:rPr>
      <w:t xml:space="preserve"> Doc.2</w:t>
    </w:r>
    <w:r w:rsidR="00E309FA">
      <w:rPr>
        <w:sz w:val="20"/>
        <w:szCs w:val="20"/>
      </w:rPr>
      <w:t>1</w:t>
    </w:r>
    <w:r w:rsidRPr="00B158A7">
      <w:rPr>
        <w:sz w:val="20"/>
        <w:szCs w:val="20"/>
      </w:rPr>
      <w:t>.</w:t>
    </w:r>
    <w:r w:rsidR="00AC24A7">
      <w:rPr>
        <w:sz w:val="20"/>
        <w:szCs w:val="20"/>
      </w:rPr>
      <w:t>1</w:t>
    </w:r>
    <w:r w:rsidR="00F73E71">
      <w:tab/>
    </w:r>
    <w:r w:rsidR="00F73E71">
      <w:tab/>
    </w:r>
    <w:sdt>
      <w:sdtPr>
        <w:id w:val="-179096953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F73E71" w:rsidRPr="00F344DE">
          <w:rPr>
            <w:sz w:val="20"/>
            <w:szCs w:val="20"/>
          </w:rPr>
          <w:fldChar w:fldCharType="begin"/>
        </w:r>
        <w:r w:rsidR="00F73E71" w:rsidRPr="00F344DE">
          <w:rPr>
            <w:sz w:val="20"/>
            <w:szCs w:val="20"/>
          </w:rPr>
          <w:instrText xml:space="preserve"> PAGE   \* MERGEFORMAT </w:instrText>
        </w:r>
        <w:r w:rsidR="00F73E71" w:rsidRPr="00F344DE">
          <w:rPr>
            <w:sz w:val="20"/>
            <w:szCs w:val="20"/>
          </w:rPr>
          <w:fldChar w:fldCharType="separate"/>
        </w:r>
        <w:r w:rsidR="00BD4D66">
          <w:rPr>
            <w:noProof/>
            <w:sz w:val="20"/>
            <w:szCs w:val="20"/>
          </w:rPr>
          <w:t>4</w:t>
        </w:r>
        <w:r w:rsidR="00F73E71" w:rsidRPr="00F344DE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23923" w14:textId="77777777" w:rsidR="00F979CD" w:rsidRDefault="00F979CD" w:rsidP="00DF2386">
      <w:r>
        <w:separator/>
      </w:r>
    </w:p>
  </w:footnote>
  <w:footnote w:type="continuationSeparator" w:id="0">
    <w:p w14:paraId="20F15921" w14:textId="77777777" w:rsidR="00F979CD" w:rsidRDefault="00F979CD" w:rsidP="00DF2386">
      <w:r>
        <w:continuationSeparator/>
      </w:r>
    </w:p>
  </w:footnote>
  <w:footnote w:type="continuationNotice" w:id="1">
    <w:p w14:paraId="07248043" w14:textId="77777777" w:rsidR="00F979CD" w:rsidRDefault="00F979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3537E" w14:textId="77777777" w:rsidR="00F73E71" w:rsidRDefault="00F73E71">
    <w:pPr>
      <w:pStyle w:val="Header"/>
    </w:pPr>
  </w:p>
  <w:p w14:paraId="57D6F98A" w14:textId="77777777" w:rsidR="00F73E71" w:rsidRDefault="00F73E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4ECE"/>
    <w:multiLevelType w:val="hybridMultilevel"/>
    <w:tmpl w:val="F94A43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237B"/>
    <w:multiLevelType w:val="hybridMultilevel"/>
    <w:tmpl w:val="389637F2"/>
    <w:lvl w:ilvl="0" w:tplc="59E8B26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D3078"/>
    <w:multiLevelType w:val="hybridMultilevel"/>
    <w:tmpl w:val="79A88B56"/>
    <w:lvl w:ilvl="0" w:tplc="49BE4BFA">
      <w:start w:val="1"/>
      <w:numFmt w:val="lowerLetter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D64322"/>
    <w:multiLevelType w:val="hybridMultilevel"/>
    <w:tmpl w:val="868AD4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CA14AE"/>
    <w:multiLevelType w:val="hybridMultilevel"/>
    <w:tmpl w:val="FADEB5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F01EF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FC2EE8"/>
    <w:multiLevelType w:val="hybridMultilevel"/>
    <w:tmpl w:val="80803138"/>
    <w:lvl w:ilvl="0" w:tplc="1FAEB404">
      <w:start w:val="1"/>
      <w:numFmt w:val="lowerLetter"/>
      <w:lvlText w:val="%1."/>
      <w:lvlJc w:val="left"/>
      <w:pPr>
        <w:ind w:left="927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582CB7"/>
    <w:multiLevelType w:val="hybridMultilevel"/>
    <w:tmpl w:val="6DBC2620"/>
    <w:lvl w:ilvl="0" w:tplc="6D4ECE6A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94F20"/>
    <w:multiLevelType w:val="hybridMultilevel"/>
    <w:tmpl w:val="7D7C98A2"/>
    <w:lvl w:ilvl="0" w:tplc="C4685480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44496"/>
    <w:multiLevelType w:val="hybridMultilevel"/>
    <w:tmpl w:val="19AC41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9358F"/>
    <w:multiLevelType w:val="hybridMultilevel"/>
    <w:tmpl w:val="DFCAE9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702F5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77A2812"/>
    <w:multiLevelType w:val="hybridMultilevel"/>
    <w:tmpl w:val="0374D9BA"/>
    <w:lvl w:ilvl="0" w:tplc="DA72F8B6">
      <w:start w:val="1"/>
      <w:numFmt w:val="lowerRoman"/>
      <w:lvlText w:val="%1."/>
      <w:lvlJc w:val="left"/>
      <w:pPr>
        <w:ind w:left="765" w:hanging="360"/>
      </w:pPr>
      <w:rPr>
        <w:rFonts w:hint="default"/>
        <w:sz w:val="22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7F80C1D"/>
    <w:multiLevelType w:val="hybridMultilevel"/>
    <w:tmpl w:val="4E4C4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DB4C27"/>
    <w:multiLevelType w:val="hybridMultilevel"/>
    <w:tmpl w:val="9E106B34"/>
    <w:lvl w:ilvl="0" w:tplc="A9C2F500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16C94"/>
    <w:multiLevelType w:val="hybridMultilevel"/>
    <w:tmpl w:val="578C0E4C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69699D"/>
    <w:multiLevelType w:val="hybridMultilevel"/>
    <w:tmpl w:val="E1E6C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98385E"/>
    <w:multiLevelType w:val="hybridMultilevel"/>
    <w:tmpl w:val="56208B90"/>
    <w:lvl w:ilvl="0" w:tplc="D3B08506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7B265A4"/>
    <w:multiLevelType w:val="hybridMultilevel"/>
    <w:tmpl w:val="D65C154A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F3304A"/>
    <w:multiLevelType w:val="hybridMultilevel"/>
    <w:tmpl w:val="963E67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F7BD2"/>
    <w:multiLevelType w:val="hybridMultilevel"/>
    <w:tmpl w:val="4260D606"/>
    <w:lvl w:ilvl="0" w:tplc="C420B0E2">
      <w:start w:val="14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CC019EB"/>
    <w:multiLevelType w:val="hybridMultilevel"/>
    <w:tmpl w:val="BB3222F0"/>
    <w:lvl w:ilvl="0" w:tplc="D3B085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E31A11"/>
    <w:multiLevelType w:val="hybridMultilevel"/>
    <w:tmpl w:val="7EFE6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62F0F"/>
    <w:multiLevelType w:val="hybridMultilevel"/>
    <w:tmpl w:val="9328EB66"/>
    <w:lvl w:ilvl="0" w:tplc="60F06A0A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4" w15:restartNumberingAfterBreak="0">
    <w:nsid w:val="5BFC251F"/>
    <w:multiLevelType w:val="hybridMultilevel"/>
    <w:tmpl w:val="BCAC9ED8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8B7D3B"/>
    <w:multiLevelType w:val="hybridMultilevel"/>
    <w:tmpl w:val="F86AA15E"/>
    <w:lvl w:ilvl="0" w:tplc="F7447174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6" w15:restartNumberingAfterBreak="0">
    <w:nsid w:val="69594227"/>
    <w:multiLevelType w:val="hybridMultilevel"/>
    <w:tmpl w:val="2C16D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3655A"/>
    <w:multiLevelType w:val="hybridMultilevel"/>
    <w:tmpl w:val="E276517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6DB7649C"/>
    <w:multiLevelType w:val="hybridMultilevel"/>
    <w:tmpl w:val="60340988"/>
    <w:lvl w:ilvl="0" w:tplc="9F16882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1E778C"/>
    <w:multiLevelType w:val="hybridMultilevel"/>
    <w:tmpl w:val="8CC83936"/>
    <w:lvl w:ilvl="0" w:tplc="D21AB97E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6"/>
  </w:num>
  <w:num w:numId="7">
    <w:abstractNumId w:val="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5"/>
  </w:num>
  <w:num w:numId="13">
    <w:abstractNumId w:val="19"/>
  </w:num>
  <w:num w:numId="14">
    <w:abstractNumId w:val="13"/>
  </w:num>
  <w:num w:numId="15">
    <w:abstractNumId w:val="3"/>
  </w:num>
  <w:num w:numId="16">
    <w:abstractNumId w:val="16"/>
  </w:num>
  <w:num w:numId="17">
    <w:abstractNumId w:val="21"/>
  </w:num>
  <w:num w:numId="18">
    <w:abstractNumId w:val="29"/>
  </w:num>
  <w:num w:numId="19">
    <w:abstractNumId w:val="28"/>
  </w:num>
  <w:num w:numId="20">
    <w:abstractNumId w:val="23"/>
  </w:num>
  <w:num w:numId="21">
    <w:abstractNumId w:val="25"/>
  </w:num>
  <w:num w:numId="22">
    <w:abstractNumId w:val="17"/>
  </w:num>
  <w:num w:numId="23">
    <w:abstractNumId w:val="22"/>
  </w:num>
  <w:num w:numId="24">
    <w:abstractNumId w:val="20"/>
  </w:num>
  <w:num w:numId="25">
    <w:abstractNumId w:val="27"/>
  </w:num>
  <w:num w:numId="26">
    <w:abstractNumId w:val="9"/>
  </w:num>
  <w:num w:numId="27">
    <w:abstractNumId w:val="0"/>
  </w:num>
  <w:num w:numId="28">
    <w:abstractNumId w:val="12"/>
  </w:num>
  <w:num w:numId="29">
    <w:abstractNumId w:val="4"/>
  </w:num>
  <w:num w:numId="30">
    <w:abstractNumId w:val="1"/>
  </w:num>
  <w:num w:numId="31">
    <w:abstractNumId w:val="14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86"/>
    <w:rsid w:val="00014168"/>
    <w:rsid w:val="00017A16"/>
    <w:rsid w:val="00026E09"/>
    <w:rsid w:val="00037CE0"/>
    <w:rsid w:val="00051576"/>
    <w:rsid w:val="00053929"/>
    <w:rsid w:val="000574E8"/>
    <w:rsid w:val="000615D0"/>
    <w:rsid w:val="000632EF"/>
    <w:rsid w:val="00063B4F"/>
    <w:rsid w:val="00074DE8"/>
    <w:rsid w:val="00092971"/>
    <w:rsid w:val="00093BAF"/>
    <w:rsid w:val="00095ABE"/>
    <w:rsid w:val="000A3E3E"/>
    <w:rsid w:val="000A65CB"/>
    <w:rsid w:val="000B5D1F"/>
    <w:rsid w:val="000B6CB2"/>
    <w:rsid w:val="000C2489"/>
    <w:rsid w:val="000D3A62"/>
    <w:rsid w:val="000D5C76"/>
    <w:rsid w:val="000D5DC3"/>
    <w:rsid w:val="000E224B"/>
    <w:rsid w:val="000E2FA0"/>
    <w:rsid w:val="000E47E9"/>
    <w:rsid w:val="000F0072"/>
    <w:rsid w:val="00111606"/>
    <w:rsid w:val="00112169"/>
    <w:rsid w:val="0012096C"/>
    <w:rsid w:val="00126579"/>
    <w:rsid w:val="00127828"/>
    <w:rsid w:val="00127A5C"/>
    <w:rsid w:val="00133137"/>
    <w:rsid w:val="00153798"/>
    <w:rsid w:val="00161BDA"/>
    <w:rsid w:val="00164AE6"/>
    <w:rsid w:val="00166FCC"/>
    <w:rsid w:val="00171618"/>
    <w:rsid w:val="00174AEE"/>
    <w:rsid w:val="001819B1"/>
    <w:rsid w:val="00181AD4"/>
    <w:rsid w:val="00182B85"/>
    <w:rsid w:val="001A2D10"/>
    <w:rsid w:val="001A5FD8"/>
    <w:rsid w:val="001A7008"/>
    <w:rsid w:val="001B4C07"/>
    <w:rsid w:val="001C15BA"/>
    <w:rsid w:val="001C5E41"/>
    <w:rsid w:val="001C694E"/>
    <w:rsid w:val="001C77BC"/>
    <w:rsid w:val="001D14C9"/>
    <w:rsid w:val="001D48BB"/>
    <w:rsid w:val="001E00E3"/>
    <w:rsid w:val="001E3692"/>
    <w:rsid w:val="001E629B"/>
    <w:rsid w:val="001F2349"/>
    <w:rsid w:val="001F455D"/>
    <w:rsid w:val="001F760D"/>
    <w:rsid w:val="002005D2"/>
    <w:rsid w:val="00201A2B"/>
    <w:rsid w:val="00201A56"/>
    <w:rsid w:val="0020298B"/>
    <w:rsid w:val="00205A2C"/>
    <w:rsid w:val="00206111"/>
    <w:rsid w:val="002137E0"/>
    <w:rsid w:val="0023441C"/>
    <w:rsid w:val="002408E4"/>
    <w:rsid w:val="00250FB8"/>
    <w:rsid w:val="002741AC"/>
    <w:rsid w:val="00275F13"/>
    <w:rsid w:val="002819C0"/>
    <w:rsid w:val="00287436"/>
    <w:rsid w:val="00295556"/>
    <w:rsid w:val="00295BB5"/>
    <w:rsid w:val="00296D7D"/>
    <w:rsid w:val="002A0AFD"/>
    <w:rsid w:val="002A5A4D"/>
    <w:rsid w:val="002B4262"/>
    <w:rsid w:val="002C62F4"/>
    <w:rsid w:val="002D4EA0"/>
    <w:rsid w:val="002D5A4D"/>
    <w:rsid w:val="002E22AF"/>
    <w:rsid w:val="002E2BC9"/>
    <w:rsid w:val="002E6B7B"/>
    <w:rsid w:val="002F2256"/>
    <w:rsid w:val="002F6155"/>
    <w:rsid w:val="00324398"/>
    <w:rsid w:val="0034332D"/>
    <w:rsid w:val="00343EBB"/>
    <w:rsid w:val="00360139"/>
    <w:rsid w:val="003673BE"/>
    <w:rsid w:val="00367507"/>
    <w:rsid w:val="0037548A"/>
    <w:rsid w:val="00384FC3"/>
    <w:rsid w:val="00391A51"/>
    <w:rsid w:val="003A2C58"/>
    <w:rsid w:val="003A3804"/>
    <w:rsid w:val="003A52BE"/>
    <w:rsid w:val="003A5866"/>
    <w:rsid w:val="003A64BB"/>
    <w:rsid w:val="003A6E9F"/>
    <w:rsid w:val="003C2D9F"/>
    <w:rsid w:val="003C5C82"/>
    <w:rsid w:val="003D3F17"/>
    <w:rsid w:val="003D4CD6"/>
    <w:rsid w:val="003E3FEC"/>
    <w:rsid w:val="00402288"/>
    <w:rsid w:val="004023D0"/>
    <w:rsid w:val="004154C8"/>
    <w:rsid w:val="00421A37"/>
    <w:rsid w:val="004228C7"/>
    <w:rsid w:val="00422D17"/>
    <w:rsid w:val="0042798B"/>
    <w:rsid w:val="00434913"/>
    <w:rsid w:val="004474F8"/>
    <w:rsid w:val="00455D52"/>
    <w:rsid w:val="00460718"/>
    <w:rsid w:val="00466837"/>
    <w:rsid w:val="00477550"/>
    <w:rsid w:val="004844A8"/>
    <w:rsid w:val="00495EB9"/>
    <w:rsid w:val="00496803"/>
    <w:rsid w:val="00496CAA"/>
    <w:rsid w:val="004A03FC"/>
    <w:rsid w:val="004A0E0D"/>
    <w:rsid w:val="004A4C1E"/>
    <w:rsid w:val="004A6313"/>
    <w:rsid w:val="004A6479"/>
    <w:rsid w:val="004B49EB"/>
    <w:rsid w:val="004B6688"/>
    <w:rsid w:val="004D186C"/>
    <w:rsid w:val="004D743F"/>
    <w:rsid w:val="004F0E78"/>
    <w:rsid w:val="004F200A"/>
    <w:rsid w:val="004F2738"/>
    <w:rsid w:val="005058F6"/>
    <w:rsid w:val="0051403A"/>
    <w:rsid w:val="00516400"/>
    <w:rsid w:val="005244A4"/>
    <w:rsid w:val="00527783"/>
    <w:rsid w:val="005540F2"/>
    <w:rsid w:val="005601DD"/>
    <w:rsid w:val="00570000"/>
    <w:rsid w:val="00571DC1"/>
    <w:rsid w:val="0057737D"/>
    <w:rsid w:val="005814B5"/>
    <w:rsid w:val="00591BF3"/>
    <w:rsid w:val="005A04E6"/>
    <w:rsid w:val="005A22B1"/>
    <w:rsid w:val="005A4634"/>
    <w:rsid w:val="005B6953"/>
    <w:rsid w:val="005C3F0C"/>
    <w:rsid w:val="005D1EB1"/>
    <w:rsid w:val="005D3E9D"/>
    <w:rsid w:val="005D5553"/>
    <w:rsid w:val="005D6B1C"/>
    <w:rsid w:val="0060600F"/>
    <w:rsid w:val="00613E76"/>
    <w:rsid w:val="006256D3"/>
    <w:rsid w:val="00627BB7"/>
    <w:rsid w:val="006316C3"/>
    <w:rsid w:val="00641BF6"/>
    <w:rsid w:val="00644A13"/>
    <w:rsid w:val="0065136E"/>
    <w:rsid w:val="00651C6B"/>
    <w:rsid w:val="006546E5"/>
    <w:rsid w:val="00655753"/>
    <w:rsid w:val="0066082B"/>
    <w:rsid w:val="00663A30"/>
    <w:rsid w:val="00670D71"/>
    <w:rsid w:val="00686388"/>
    <w:rsid w:val="006A3E89"/>
    <w:rsid w:val="006A4912"/>
    <w:rsid w:val="006B7FDD"/>
    <w:rsid w:val="006C32D2"/>
    <w:rsid w:val="006D1F81"/>
    <w:rsid w:val="006E2030"/>
    <w:rsid w:val="006E7DCE"/>
    <w:rsid w:val="007050FF"/>
    <w:rsid w:val="00714489"/>
    <w:rsid w:val="00722002"/>
    <w:rsid w:val="00734842"/>
    <w:rsid w:val="007412F1"/>
    <w:rsid w:val="00752764"/>
    <w:rsid w:val="00753343"/>
    <w:rsid w:val="00755ED8"/>
    <w:rsid w:val="00764DFE"/>
    <w:rsid w:val="00766962"/>
    <w:rsid w:val="00775287"/>
    <w:rsid w:val="0078438B"/>
    <w:rsid w:val="007B0526"/>
    <w:rsid w:val="007C5D02"/>
    <w:rsid w:val="007D33F4"/>
    <w:rsid w:val="007E1FE8"/>
    <w:rsid w:val="007F3ABE"/>
    <w:rsid w:val="007F6A19"/>
    <w:rsid w:val="008156D7"/>
    <w:rsid w:val="008328E9"/>
    <w:rsid w:val="008345A6"/>
    <w:rsid w:val="00835BCB"/>
    <w:rsid w:val="00835CDC"/>
    <w:rsid w:val="008441CE"/>
    <w:rsid w:val="00850B09"/>
    <w:rsid w:val="00861AC5"/>
    <w:rsid w:val="00863B9D"/>
    <w:rsid w:val="00863BE6"/>
    <w:rsid w:val="008774EE"/>
    <w:rsid w:val="008775BC"/>
    <w:rsid w:val="00881FED"/>
    <w:rsid w:val="00882F1B"/>
    <w:rsid w:val="0089249E"/>
    <w:rsid w:val="00894AD3"/>
    <w:rsid w:val="008A13D8"/>
    <w:rsid w:val="008A63B5"/>
    <w:rsid w:val="008A70CE"/>
    <w:rsid w:val="008B11D6"/>
    <w:rsid w:val="008B34F6"/>
    <w:rsid w:val="008C25E4"/>
    <w:rsid w:val="008C2D09"/>
    <w:rsid w:val="008C2DAE"/>
    <w:rsid w:val="008D6B70"/>
    <w:rsid w:val="008E5B28"/>
    <w:rsid w:val="008F5442"/>
    <w:rsid w:val="008F70C8"/>
    <w:rsid w:val="009059A9"/>
    <w:rsid w:val="00911543"/>
    <w:rsid w:val="009146C5"/>
    <w:rsid w:val="00923953"/>
    <w:rsid w:val="0092515E"/>
    <w:rsid w:val="00942FBD"/>
    <w:rsid w:val="0094770B"/>
    <w:rsid w:val="0096189A"/>
    <w:rsid w:val="009876A6"/>
    <w:rsid w:val="009A2687"/>
    <w:rsid w:val="009B059F"/>
    <w:rsid w:val="009B1647"/>
    <w:rsid w:val="009B2267"/>
    <w:rsid w:val="009C04C7"/>
    <w:rsid w:val="009C1B9D"/>
    <w:rsid w:val="009C5FF4"/>
    <w:rsid w:val="009D4C0B"/>
    <w:rsid w:val="009D6326"/>
    <w:rsid w:val="009D66CB"/>
    <w:rsid w:val="009E0AE8"/>
    <w:rsid w:val="009E5374"/>
    <w:rsid w:val="009F26F1"/>
    <w:rsid w:val="009F345D"/>
    <w:rsid w:val="00A04197"/>
    <w:rsid w:val="00A13218"/>
    <w:rsid w:val="00A227A3"/>
    <w:rsid w:val="00A41A70"/>
    <w:rsid w:val="00A60B73"/>
    <w:rsid w:val="00A738D0"/>
    <w:rsid w:val="00A80080"/>
    <w:rsid w:val="00A836B4"/>
    <w:rsid w:val="00A85280"/>
    <w:rsid w:val="00AA5CDC"/>
    <w:rsid w:val="00AB4951"/>
    <w:rsid w:val="00AC24A7"/>
    <w:rsid w:val="00AC42EB"/>
    <w:rsid w:val="00B03812"/>
    <w:rsid w:val="00B04955"/>
    <w:rsid w:val="00B05563"/>
    <w:rsid w:val="00B06576"/>
    <w:rsid w:val="00B10616"/>
    <w:rsid w:val="00B158A7"/>
    <w:rsid w:val="00B17E22"/>
    <w:rsid w:val="00B208A8"/>
    <w:rsid w:val="00B24259"/>
    <w:rsid w:val="00B315A0"/>
    <w:rsid w:val="00B34A18"/>
    <w:rsid w:val="00B461B8"/>
    <w:rsid w:val="00B468CE"/>
    <w:rsid w:val="00B52BD3"/>
    <w:rsid w:val="00B5573B"/>
    <w:rsid w:val="00B579CB"/>
    <w:rsid w:val="00B626CD"/>
    <w:rsid w:val="00B651E8"/>
    <w:rsid w:val="00B67A88"/>
    <w:rsid w:val="00B70083"/>
    <w:rsid w:val="00B80BF6"/>
    <w:rsid w:val="00B83EF9"/>
    <w:rsid w:val="00B937EC"/>
    <w:rsid w:val="00B954CB"/>
    <w:rsid w:val="00BA2733"/>
    <w:rsid w:val="00BB0BD0"/>
    <w:rsid w:val="00BB1929"/>
    <w:rsid w:val="00BB28F6"/>
    <w:rsid w:val="00BB65C0"/>
    <w:rsid w:val="00BC2609"/>
    <w:rsid w:val="00BD4D66"/>
    <w:rsid w:val="00BF05B5"/>
    <w:rsid w:val="00BF6F8C"/>
    <w:rsid w:val="00C0528F"/>
    <w:rsid w:val="00C13145"/>
    <w:rsid w:val="00C3445C"/>
    <w:rsid w:val="00C360A8"/>
    <w:rsid w:val="00C36959"/>
    <w:rsid w:val="00C86E0D"/>
    <w:rsid w:val="00CB4EF2"/>
    <w:rsid w:val="00CD3459"/>
    <w:rsid w:val="00CE1CBD"/>
    <w:rsid w:val="00CE750F"/>
    <w:rsid w:val="00CF522F"/>
    <w:rsid w:val="00CF5EFD"/>
    <w:rsid w:val="00D045E4"/>
    <w:rsid w:val="00D160CB"/>
    <w:rsid w:val="00D218D5"/>
    <w:rsid w:val="00D245A1"/>
    <w:rsid w:val="00D37268"/>
    <w:rsid w:val="00D415E2"/>
    <w:rsid w:val="00D42055"/>
    <w:rsid w:val="00D647C3"/>
    <w:rsid w:val="00D9633A"/>
    <w:rsid w:val="00DA44F1"/>
    <w:rsid w:val="00DC236B"/>
    <w:rsid w:val="00DE4854"/>
    <w:rsid w:val="00DF2386"/>
    <w:rsid w:val="00DF7FE7"/>
    <w:rsid w:val="00E21189"/>
    <w:rsid w:val="00E24E10"/>
    <w:rsid w:val="00E305C6"/>
    <w:rsid w:val="00E309FA"/>
    <w:rsid w:val="00E46367"/>
    <w:rsid w:val="00E52881"/>
    <w:rsid w:val="00E61BAD"/>
    <w:rsid w:val="00E636CF"/>
    <w:rsid w:val="00E63F0B"/>
    <w:rsid w:val="00E6506C"/>
    <w:rsid w:val="00E86EA4"/>
    <w:rsid w:val="00EA3A7F"/>
    <w:rsid w:val="00EA5B27"/>
    <w:rsid w:val="00ED7B44"/>
    <w:rsid w:val="00F0516A"/>
    <w:rsid w:val="00F078F1"/>
    <w:rsid w:val="00F10CE8"/>
    <w:rsid w:val="00F13297"/>
    <w:rsid w:val="00F14AEE"/>
    <w:rsid w:val="00F25A82"/>
    <w:rsid w:val="00F26C14"/>
    <w:rsid w:val="00F32D03"/>
    <w:rsid w:val="00F344DE"/>
    <w:rsid w:val="00F5215A"/>
    <w:rsid w:val="00F55820"/>
    <w:rsid w:val="00F578B9"/>
    <w:rsid w:val="00F60FF4"/>
    <w:rsid w:val="00F61138"/>
    <w:rsid w:val="00F61F4E"/>
    <w:rsid w:val="00F73E71"/>
    <w:rsid w:val="00F74156"/>
    <w:rsid w:val="00F77520"/>
    <w:rsid w:val="00F94B02"/>
    <w:rsid w:val="00F979CD"/>
    <w:rsid w:val="00FA1A5E"/>
    <w:rsid w:val="00FB4E2D"/>
    <w:rsid w:val="00FC349F"/>
    <w:rsid w:val="00FD2343"/>
    <w:rsid w:val="00FE4F5F"/>
    <w:rsid w:val="00FE6F3B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FF789C"/>
  <w15:docId w15:val="{D983A7D9-D0E6-4277-B70C-CE4714F8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23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23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386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2386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DF23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2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60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0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09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2B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245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5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45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5A1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0C24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6E0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26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F1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2866174F1EB4584C940634C144C32" ma:contentTypeVersion="17" ma:contentTypeDescription="Create a new document." ma:contentTypeScope="" ma:versionID="3f65ae92b7e3b848dc6f2345e788c425">
  <xsd:schema xmlns:xsd="http://www.w3.org/2001/XMLSchema" xmlns:xs="http://www.w3.org/2001/XMLSchema" xmlns:p="http://schemas.microsoft.com/office/2006/metadata/properties" xmlns:ns3="8c0b6b05-eb82-4bda-97e8-cd82d0d6b453" xmlns:ns4="aedd258d-19a7-41ba-8260-b0918f25313d" targetNamespace="http://schemas.microsoft.com/office/2006/metadata/properties" ma:root="true" ma:fieldsID="82e223424e79a703944e5cd941972b21" ns3:_="" ns4:_="">
    <xsd:import namespace="8c0b6b05-eb82-4bda-97e8-cd82d0d6b453"/>
    <xsd:import namespace="aedd258d-19a7-41ba-8260-b0918f2531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b6b05-eb82-4bda-97e8-cd82d0d6b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d258d-19a7-41ba-8260-b0918f253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0b6b05-eb82-4bda-97e8-cd82d0d6b4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BE0BC-341A-41FC-9874-863BF39D1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b6b05-eb82-4bda-97e8-cd82d0d6b453"/>
    <ds:schemaRef ds:uri="aedd258d-19a7-41ba-8260-b0918f253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3F60DC-7CD9-4AED-81F5-B5C3E2AD4EBF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8c0b6b05-eb82-4bda-97e8-cd82d0d6b453"/>
    <ds:schemaRef ds:uri="http://schemas.microsoft.com/office/infopath/2007/PartnerControls"/>
    <ds:schemaRef ds:uri="aedd258d-19a7-41ba-8260-b0918f25313d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FA6A237-E4D0-4A69-8005-B6911A5FE1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42C41A-E40C-4E65-BED6-8532E9C84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BRACE Poppy</cp:lastModifiedBy>
  <cp:revision>4</cp:revision>
  <cp:lastPrinted>2024-03-04T14:50:00Z</cp:lastPrinted>
  <dcterms:created xsi:type="dcterms:W3CDTF">2024-03-04T14:38:00Z</dcterms:created>
  <dcterms:modified xsi:type="dcterms:W3CDTF">2024-03-04T14:51:00Z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0x01010020C2866174F1EB4584C940634C144C32</vt:lpwstr>
  </property>
</Properties>
</file>