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1A31D" w14:textId="35F57612" w:rsidR="000A65CB" w:rsidRPr="00EB35B0" w:rsidRDefault="000A65CB" w:rsidP="000A65CB">
      <w:pPr>
        <w:pBdr>
          <w:top w:val="single" w:sz="12" w:space="0" w:color="auto" w:shadow="1"/>
          <w:left w:val="single" w:sz="12" w:space="4" w:color="auto" w:shadow="1"/>
          <w:bottom w:val="single" w:sz="12" w:space="1" w:color="auto" w:shadow="1"/>
          <w:right w:val="single" w:sz="12" w:space="1" w:color="auto" w:shadow="1"/>
        </w:pBdr>
        <w:suppressAutoHyphens/>
        <w:ind w:right="4490"/>
        <w:rPr>
          <w:rFonts w:asciiTheme="minorHAnsi" w:hAnsiTheme="minorHAnsi" w:cstheme="minorHAnsi"/>
          <w:bCs/>
          <w:lang w:val="fr-FR"/>
        </w:rPr>
      </w:pPr>
      <w:r w:rsidRPr="00EB35B0">
        <w:rPr>
          <w:rFonts w:asciiTheme="minorHAnsi" w:hAnsiTheme="minorHAnsi" w:cstheme="minorHAnsi"/>
          <w:bCs/>
          <w:lang w:val="fr-FR"/>
        </w:rPr>
        <w:t xml:space="preserve">CONVENTION </w:t>
      </w:r>
      <w:r w:rsidR="00EB35B0" w:rsidRPr="00EB35B0">
        <w:rPr>
          <w:rFonts w:asciiTheme="minorHAnsi" w:hAnsiTheme="minorHAnsi" w:cstheme="minorHAnsi"/>
          <w:bCs/>
          <w:lang w:val="fr-FR"/>
        </w:rPr>
        <w:t>SUR LES ZONES H</w:t>
      </w:r>
      <w:r w:rsidR="00EB35B0">
        <w:rPr>
          <w:rFonts w:asciiTheme="minorHAnsi" w:hAnsiTheme="minorHAnsi" w:cstheme="minorHAnsi"/>
          <w:bCs/>
          <w:lang w:val="fr-FR"/>
        </w:rPr>
        <w:t>UMIDES</w:t>
      </w:r>
    </w:p>
    <w:p w14:paraId="38CB3394" w14:textId="74C3753B" w:rsidR="000A65CB" w:rsidRPr="00EB35B0" w:rsidRDefault="000A65CB" w:rsidP="000A65CB">
      <w:pPr>
        <w:pBdr>
          <w:top w:val="single" w:sz="12" w:space="0" w:color="auto" w:shadow="1"/>
          <w:left w:val="single" w:sz="12" w:space="4" w:color="auto" w:shadow="1"/>
          <w:bottom w:val="single" w:sz="12" w:space="1" w:color="auto" w:shadow="1"/>
          <w:right w:val="single" w:sz="12" w:space="1" w:color="auto" w:shadow="1"/>
        </w:pBdr>
        <w:suppressAutoHyphens/>
        <w:ind w:right="4490"/>
        <w:rPr>
          <w:rFonts w:asciiTheme="minorHAnsi" w:hAnsiTheme="minorHAnsi" w:cstheme="minorHAnsi"/>
          <w:bCs/>
          <w:lang w:val="fr-FR"/>
        </w:rPr>
      </w:pPr>
      <w:r w:rsidRPr="00EB35B0">
        <w:rPr>
          <w:rFonts w:asciiTheme="minorHAnsi" w:hAnsiTheme="minorHAnsi" w:cstheme="minorHAnsi"/>
          <w:bCs/>
          <w:lang w:val="fr-FR"/>
        </w:rPr>
        <w:t>63</w:t>
      </w:r>
      <w:r w:rsidR="00EB35B0" w:rsidRPr="00EB35B0">
        <w:rPr>
          <w:rFonts w:asciiTheme="minorHAnsi" w:hAnsiTheme="minorHAnsi" w:cstheme="minorHAnsi"/>
          <w:bCs/>
          <w:vertAlign w:val="superscript"/>
          <w:lang w:val="fr-FR"/>
        </w:rPr>
        <w:t>e</w:t>
      </w:r>
      <w:r w:rsidR="00EB35B0" w:rsidRPr="00EB35B0">
        <w:rPr>
          <w:rFonts w:asciiTheme="minorHAnsi" w:hAnsiTheme="minorHAnsi" w:cstheme="minorHAnsi"/>
          <w:bCs/>
          <w:lang w:val="fr-FR"/>
        </w:rPr>
        <w:t xml:space="preserve"> Réunion du Comité perm</w:t>
      </w:r>
      <w:r w:rsidR="00EB35B0">
        <w:rPr>
          <w:rFonts w:asciiTheme="minorHAnsi" w:hAnsiTheme="minorHAnsi" w:cstheme="minorHAnsi"/>
          <w:bCs/>
          <w:lang w:val="fr-FR"/>
        </w:rPr>
        <w:t>a</w:t>
      </w:r>
      <w:r w:rsidR="00EB35B0" w:rsidRPr="00EB35B0">
        <w:rPr>
          <w:rFonts w:asciiTheme="minorHAnsi" w:hAnsiTheme="minorHAnsi" w:cstheme="minorHAnsi"/>
          <w:bCs/>
          <w:lang w:val="fr-FR"/>
        </w:rPr>
        <w:t>nent</w:t>
      </w:r>
    </w:p>
    <w:p w14:paraId="668681E7" w14:textId="0489AF48" w:rsidR="000A65CB" w:rsidRPr="009E4D20" w:rsidRDefault="000A65CB" w:rsidP="000A65CB">
      <w:pPr>
        <w:pBdr>
          <w:top w:val="single" w:sz="12" w:space="0" w:color="auto" w:shadow="1"/>
          <w:left w:val="single" w:sz="12" w:space="4" w:color="auto" w:shadow="1"/>
          <w:bottom w:val="single" w:sz="12" w:space="1" w:color="auto" w:shadow="1"/>
          <w:right w:val="single" w:sz="12" w:space="1" w:color="auto" w:shadow="1"/>
        </w:pBdr>
        <w:suppressAutoHyphens/>
        <w:ind w:right="4490"/>
        <w:rPr>
          <w:rFonts w:asciiTheme="minorHAnsi" w:hAnsiTheme="minorHAnsi" w:cstheme="minorHAnsi"/>
          <w:bCs/>
          <w:lang w:val="fr-CH"/>
        </w:rPr>
      </w:pPr>
      <w:r w:rsidRPr="009E4D20">
        <w:rPr>
          <w:rFonts w:asciiTheme="minorHAnsi" w:hAnsiTheme="minorHAnsi" w:cstheme="minorHAnsi"/>
          <w:bCs/>
          <w:lang w:val="fr-CH"/>
        </w:rPr>
        <w:t xml:space="preserve">Gland, </w:t>
      </w:r>
      <w:r w:rsidR="00EB35B0" w:rsidRPr="009E4D20">
        <w:rPr>
          <w:rFonts w:asciiTheme="minorHAnsi" w:hAnsiTheme="minorHAnsi" w:cstheme="minorHAnsi"/>
          <w:bCs/>
          <w:lang w:val="fr-CH"/>
        </w:rPr>
        <w:t>Suisse</w:t>
      </w:r>
      <w:r w:rsidRPr="009E4D20">
        <w:rPr>
          <w:rFonts w:asciiTheme="minorHAnsi" w:hAnsiTheme="minorHAnsi" w:cstheme="minorHAnsi"/>
          <w:bCs/>
          <w:lang w:val="fr-CH"/>
        </w:rPr>
        <w:t>, 3</w:t>
      </w:r>
      <w:r w:rsidR="00EB35B0" w:rsidRPr="009E4D20">
        <w:rPr>
          <w:rFonts w:asciiTheme="minorHAnsi" w:hAnsiTheme="minorHAnsi" w:cstheme="minorHAnsi"/>
          <w:bCs/>
          <w:lang w:val="fr-CH"/>
        </w:rPr>
        <w:t xml:space="preserve"> au </w:t>
      </w:r>
      <w:r w:rsidRPr="009E4D20">
        <w:rPr>
          <w:rFonts w:asciiTheme="minorHAnsi" w:hAnsiTheme="minorHAnsi" w:cstheme="minorHAnsi"/>
          <w:bCs/>
          <w:lang w:val="fr-CH"/>
        </w:rPr>
        <w:t xml:space="preserve">7 </w:t>
      </w:r>
      <w:r w:rsidR="00EB35B0" w:rsidRPr="009E4D20">
        <w:rPr>
          <w:rFonts w:asciiTheme="minorHAnsi" w:hAnsiTheme="minorHAnsi" w:cstheme="minorHAnsi"/>
          <w:bCs/>
          <w:lang w:val="fr-CH"/>
        </w:rPr>
        <w:t>juin</w:t>
      </w:r>
      <w:r w:rsidRPr="009E4D20">
        <w:rPr>
          <w:rFonts w:asciiTheme="minorHAnsi" w:hAnsiTheme="minorHAnsi" w:cstheme="minorHAnsi"/>
          <w:bCs/>
          <w:lang w:val="fr-CH"/>
        </w:rPr>
        <w:t xml:space="preserve"> 2024</w:t>
      </w:r>
    </w:p>
    <w:p w14:paraId="513267DD" w14:textId="77777777" w:rsidR="00DF2386" w:rsidRPr="00343EBB" w:rsidRDefault="00DF2386" w:rsidP="006D1F81">
      <w:pPr>
        <w:outlineLvl w:val="0"/>
        <w:rPr>
          <w:b/>
          <w:sz w:val="28"/>
          <w:lang w:val="de-CH"/>
        </w:rPr>
      </w:pPr>
    </w:p>
    <w:p w14:paraId="15C7672C" w14:textId="77777777" w:rsidR="00DF2386" w:rsidRPr="00343EBB" w:rsidRDefault="00B83EF9" w:rsidP="006D1F81">
      <w:pPr>
        <w:jc w:val="right"/>
        <w:rPr>
          <w:rFonts w:cs="Arial"/>
          <w:b/>
          <w:sz w:val="28"/>
          <w:szCs w:val="28"/>
          <w:lang w:val="de-CH"/>
        </w:rPr>
      </w:pPr>
      <w:r w:rsidRPr="00343EBB">
        <w:rPr>
          <w:rFonts w:cs="Arial"/>
          <w:b/>
          <w:sz w:val="28"/>
          <w:szCs w:val="28"/>
          <w:lang w:val="de-CH"/>
        </w:rPr>
        <w:t>SC</w:t>
      </w:r>
      <w:r w:rsidR="00B651E8">
        <w:rPr>
          <w:rFonts w:cs="Arial"/>
          <w:b/>
          <w:sz w:val="28"/>
          <w:szCs w:val="28"/>
          <w:lang w:val="de-CH"/>
        </w:rPr>
        <w:t>6</w:t>
      </w:r>
      <w:r w:rsidR="00F0516A">
        <w:rPr>
          <w:rFonts w:cs="Arial"/>
          <w:b/>
          <w:sz w:val="28"/>
          <w:szCs w:val="28"/>
          <w:lang w:val="de-CH"/>
        </w:rPr>
        <w:t>3</w:t>
      </w:r>
      <w:r w:rsidR="00B158A7" w:rsidRPr="00343EBB">
        <w:rPr>
          <w:rFonts w:cs="Arial"/>
          <w:b/>
          <w:sz w:val="28"/>
          <w:szCs w:val="28"/>
          <w:lang w:val="de-CH"/>
        </w:rPr>
        <w:t xml:space="preserve"> D</w:t>
      </w:r>
      <w:r w:rsidR="00B158A7" w:rsidRPr="00BF05B5">
        <w:rPr>
          <w:rFonts w:cs="Arial"/>
          <w:b/>
          <w:sz w:val="28"/>
          <w:szCs w:val="28"/>
          <w:lang w:val="de-CH"/>
        </w:rPr>
        <w:t>oc.</w:t>
      </w:r>
      <w:r w:rsidR="00BF05B5" w:rsidRPr="00BF05B5">
        <w:rPr>
          <w:rFonts w:cs="Arial"/>
          <w:b/>
          <w:sz w:val="28"/>
          <w:szCs w:val="28"/>
          <w:lang w:val="de-CH"/>
        </w:rPr>
        <w:t>21.1</w:t>
      </w:r>
    </w:p>
    <w:p w14:paraId="1DCDCD51" w14:textId="77777777" w:rsidR="009F26F1" w:rsidRPr="006B19A9" w:rsidRDefault="009F26F1" w:rsidP="006D1F81">
      <w:pPr>
        <w:ind w:left="0" w:firstLine="0"/>
        <w:jc w:val="center"/>
        <w:rPr>
          <w:rFonts w:asciiTheme="minorHAnsi" w:hAnsiTheme="minorHAnsi"/>
          <w:b/>
          <w:sz w:val="28"/>
          <w:lang w:val="fr-FR"/>
        </w:rPr>
      </w:pPr>
    </w:p>
    <w:p w14:paraId="7B4A5717" w14:textId="6E298067" w:rsidR="00BD4D66" w:rsidRPr="00EB35B0" w:rsidRDefault="00BD4D66" w:rsidP="006D1F81">
      <w:pPr>
        <w:ind w:left="0" w:firstLine="0"/>
        <w:jc w:val="center"/>
        <w:rPr>
          <w:rFonts w:asciiTheme="minorHAnsi" w:hAnsiTheme="minorHAnsi"/>
          <w:b/>
          <w:sz w:val="28"/>
          <w:lang w:val="fr-FR"/>
        </w:rPr>
      </w:pPr>
      <w:r w:rsidRPr="00EB35B0">
        <w:rPr>
          <w:rFonts w:asciiTheme="minorHAnsi" w:hAnsiTheme="minorHAnsi"/>
          <w:b/>
          <w:sz w:val="28"/>
          <w:lang w:val="fr-FR"/>
        </w:rPr>
        <w:t>Pr</w:t>
      </w:r>
      <w:r w:rsidR="00EB35B0" w:rsidRPr="00EB35B0">
        <w:rPr>
          <w:rFonts w:asciiTheme="minorHAnsi" w:hAnsiTheme="minorHAnsi"/>
          <w:b/>
          <w:sz w:val="28"/>
          <w:lang w:val="fr-FR"/>
        </w:rPr>
        <w:t xml:space="preserve">éparatifs de la </w:t>
      </w:r>
      <w:r w:rsidRPr="00EB35B0">
        <w:rPr>
          <w:rFonts w:asciiTheme="minorHAnsi" w:hAnsiTheme="minorHAnsi"/>
          <w:b/>
          <w:sz w:val="28"/>
          <w:lang w:val="fr-FR"/>
        </w:rPr>
        <w:t>15</w:t>
      </w:r>
      <w:r w:rsidR="00EB35B0" w:rsidRPr="00EB35B0">
        <w:rPr>
          <w:rFonts w:asciiTheme="minorHAnsi" w:hAnsiTheme="minorHAnsi"/>
          <w:b/>
          <w:sz w:val="28"/>
          <w:vertAlign w:val="superscript"/>
          <w:lang w:val="fr-FR"/>
        </w:rPr>
        <w:t>e</w:t>
      </w:r>
      <w:r w:rsidRPr="00EB35B0">
        <w:rPr>
          <w:rFonts w:asciiTheme="minorHAnsi" w:hAnsiTheme="minorHAnsi"/>
          <w:b/>
          <w:sz w:val="28"/>
          <w:lang w:val="fr-FR"/>
        </w:rPr>
        <w:t xml:space="preserve"> </w:t>
      </w:r>
      <w:r w:rsidR="00EB35B0" w:rsidRPr="00EB35B0">
        <w:rPr>
          <w:rFonts w:asciiTheme="minorHAnsi" w:hAnsiTheme="minorHAnsi"/>
          <w:b/>
          <w:sz w:val="28"/>
          <w:lang w:val="fr-FR"/>
        </w:rPr>
        <w:t>Session de</w:t>
      </w:r>
      <w:r w:rsidR="00EB35B0">
        <w:rPr>
          <w:rFonts w:asciiTheme="minorHAnsi" w:hAnsiTheme="minorHAnsi"/>
          <w:b/>
          <w:sz w:val="28"/>
          <w:lang w:val="fr-FR"/>
        </w:rPr>
        <w:t xml:space="preserve"> la</w:t>
      </w:r>
      <w:r w:rsidRPr="00EB35B0">
        <w:rPr>
          <w:rFonts w:asciiTheme="minorHAnsi" w:hAnsiTheme="minorHAnsi"/>
          <w:b/>
          <w:sz w:val="28"/>
          <w:lang w:val="fr-FR"/>
        </w:rPr>
        <w:t xml:space="preserve"> </w:t>
      </w:r>
      <w:r w:rsidR="00EB35B0" w:rsidRPr="00EB35B0">
        <w:rPr>
          <w:rFonts w:asciiTheme="minorHAnsi" w:hAnsiTheme="minorHAnsi"/>
          <w:b/>
          <w:sz w:val="28"/>
          <w:lang w:val="fr-FR"/>
        </w:rPr>
        <w:t>Conférence</w:t>
      </w:r>
      <w:r w:rsidRPr="00EB35B0">
        <w:rPr>
          <w:rFonts w:asciiTheme="minorHAnsi" w:hAnsiTheme="minorHAnsi"/>
          <w:b/>
          <w:sz w:val="28"/>
          <w:lang w:val="fr-FR"/>
        </w:rPr>
        <w:t xml:space="preserve"> </w:t>
      </w:r>
      <w:r w:rsidR="00EB35B0">
        <w:rPr>
          <w:rFonts w:asciiTheme="minorHAnsi" w:hAnsiTheme="minorHAnsi"/>
          <w:b/>
          <w:sz w:val="28"/>
          <w:lang w:val="fr-FR"/>
        </w:rPr>
        <w:t>des</w:t>
      </w:r>
      <w:r w:rsidRPr="00EB35B0">
        <w:rPr>
          <w:rFonts w:asciiTheme="minorHAnsi" w:hAnsiTheme="minorHAnsi"/>
          <w:b/>
          <w:sz w:val="28"/>
          <w:lang w:val="fr-FR"/>
        </w:rPr>
        <w:t xml:space="preserve"> Parties</w:t>
      </w:r>
      <w:r w:rsidR="00EB35B0">
        <w:rPr>
          <w:rFonts w:asciiTheme="minorHAnsi" w:hAnsiTheme="minorHAnsi"/>
          <w:b/>
          <w:sz w:val="28"/>
          <w:lang w:val="fr-FR"/>
        </w:rPr>
        <w:t xml:space="preserve"> contractantes</w:t>
      </w:r>
      <w:r w:rsidRPr="00EB35B0">
        <w:rPr>
          <w:rFonts w:asciiTheme="minorHAnsi" w:hAnsiTheme="minorHAnsi"/>
          <w:b/>
          <w:sz w:val="28"/>
          <w:lang w:val="fr-FR"/>
        </w:rPr>
        <w:t xml:space="preserve"> </w:t>
      </w:r>
      <w:r w:rsidR="000A65CB" w:rsidRPr="00EB35B0">
        <w:rPr>
          <w:rFonts w:asciiTheme="minorHAnsi" w:hAnsiTheme="minorHAnsi"/>
          <w:b/>
          <w:sz w:val="28"/>
          <w:lang w:val="fr-FR"/>
        </w:rPr>
        <w:br/>
      </w:r>
      <w:r w:rsidRPr="00EB35B0">
        <w:rPr>
          <w:rFonts w:asciiTheme="minorHAnsi" w:hAnsiTheme="minorHAnsi"/>
          <w:b/>
          <w:sz w:val="28"/>
          <w:lang w:val="fr-FR"/>
        </w:rPr>
        <w:t>(COP15)</w:t>
      </w:r>
      <w:r w:rsidR="00EB35B0">
        <w:rPr>
          <w:rFonts w:asciiTheme="minorHAnsi" w:hAnsiTheme="minorHAnsi"/>
          <w:b/>
          <w:sz w:val="28"/>
          <w:lang w:val="fr-FR"/>
        </w:rPr>
        <w:t xml:space="preserve"> </w:t>
      </w:r>
      <w:r w:rsidRPr="00EB35B0">
        <w:rPr>
          <w:rFonts w:asciiTheme="minorHAnsi" w:hAnsiTheme="minorHAnsi"/>
          <w:b/>
          <w:sz w:val="28"/>
          <w:lang w:val="fr-FR"/>
        </w:rPr>
        <w:t>:</w:t>
      </w:r>
    </w:p>
    <w:p w14:paraId="6DFC162C" w14:textId="3C20241A" w:rsidR="00DF2386" w:rsidRPr="00EB35B0" w:rsidRDefault="006546E5" w:rsidP="006D1F81">
      <w:pPr>
        <w:ind w:left="0" w:firstLine="0"/>
        <w:jc w:val="center"/>
        <w:rPr>
          <w:rFonts w:cs="Arial"/>
          <w:b/>
          <w:sz w:val="28"/>
          <w:szCs w:val="28"/>
          <w:lang w:val="fr-FR"/>
        </w:rPr>
      </w:pPr>
      <w:r w:rsidRPr="00EB35B0">
        <w:rPr>
          <w:rFonts w:asciiTheme="minorHAnsi" w:hAnsiTheme="minorHAnsi"/>
          <w:b/>
          <w:sz w:val="28"/>
          <w:lang w:val="fr-FR"/>
        </w:rPr>
        <w:t>R</w:t>
      </w:r>
      <w:r w:rsidR="00EB35B0" w:rsidRPr="00EB35B0">
        <w:rPr>
          <w:rFonts w:asciiTheme="minorHAnsi" w:hAnsiTheme="minorHAnsi"/>
          <w:b/>
          <w:sz w:val="28"/>
          <w:lang w:val="fr-FR"/>
        </w:rPr>
        <w:t>ap</w:t>
      </w:r>
      <w:r w:rsidRPr="00EB35B0">
        <w:rPr>
          <w:rFonts w:asciiTheme="minorHAnsi" w:hAnsiTheme="minorHAnsi"/>
          <w:b/>
          <w:sz w:val="28"/>
          <w:lang w:val="fr-FR"/>
        </w:rPr>
        <w:t xml:space="preserve">port </w:t>
      </w:r>
      <w:r w:rsidR="00EB35B0" w:rsidRPr="00EB35B0">
        <w:rPr>
          <w:rFonts w:asciiTheme="minorHAnsi" w:hAnsiTheme="minorHAnsi"/>
          <w:b/>
          <w:sz w:val="28"/>
          <w:lang w:val="fr-FR"/>
        </w:rPr>
        <w:t>du</w:t>
      </w:r>
      <w:r w:rsidRPr="00EB35B0">
        <w:rPr>
          <w:rFonts w:asciiTheme="minorHAnsi" w:hAnsiTheme="minorHAnsi"/>
          <w:b/>
          <w:sz w:val="28"/>
          <w:lang w:val="fr-FR"/>
        </w:rPr>
        <w:t xml:space="preserve"> Secr</w:t>
      </w:r>
      <w:r w:rsidR="00EB35B0" w:rsidRPr="00EB35B0">
        <w:rPr>
          <w:rFonts w:asciiTheme="minorHAnsi" w:hAnsiTheme="minorHAnsi"/>
          <w:b/>
          <w:sz w:val="28"/>
          <w:lang w:val="fr-FR"/>
        </w:rPr>
        <w:t>é</w:t>
      </w:r>
      <w:r w:rsidRPr="00EB35B0">
        <w:rPr>
          <w:rFonts w:asciiTheme="minorHAnsi" w:hAnsiTheme="minorHAnsi"/>
          <w:b/>
          <w:sz w:val="28"/>
          <w:lang w:val="fr-FR"/>
        </w:rPr>
        <w:t xml:space="preserve">tariat </w:t>
      </w:r>
      <w:r w:rsidR="00EB35B0">
        <w:rPr>
          <w:rFonts w:asciiTheme="minorHAnsi" w:hAnsiTheme="minorHAnsi"/>
          <w:b/>
          <w:sz w:val="28"/>
          <w:lang w:val="fr-FR"/>
        </w:rPr>
        <w:t>sur la</w:t>
      </w:r>
      <w:r w:rsidRPr="00EB35B0">
        <w:rPr>
          <w:rFonts w:asciiTheme="minorHAnsi" w:hAnsiTheme="minorHAnsi"/>
          <w:b/>
          <w:sz w:val="28"/>
          <w:lang w:val="fr-FR"/>
        </w:rPr>
        <w:t xml:space="preserve"> COP1</w:t>
      </w:r>
      <w:r w:rsidR="00B651E8" w:rsidRPr="00EB35B0">
        <w:rPr>
          <w:rFonts w:asciiTheme="minorHAnsi" w:hAnsiTheme="minorHAnsi"/>
          <w:b/>
          <w:sz w:val="28"/>
          <w:lang w:val="fr-FR"/>
        </w:rPr>
        <w:t>5</w:t>
      </w:r>
    </w:p>
    <w:p w14:paraId="7AEB89E5" w14:textId="77777777" w:rsidR="00DF2386" w:rsidRPr="00EB35B0" w:rsidRDefault="00DF2386" w:rsidP="006D1F81">
      <w:pPr>
        <w:rPr>
          <w:rFonts w:ascii="Garamond" w:hAnsi="Garamond"/>
          <w:b/>
          <w:sz w:val="28"/>
          <w:lang w:val="fr-FR"/>
        </w:rPr>
      </w:pPr>
    </w:p>
    <w:p w14:paraId="39161665" w14:textId="77777777" w:rsidR="000C2489" w:rsidRDefault="000C2489" w:rsidP="006D1F81">
      <w:pPr>
        <w:autoSpaceDE w:val="0"/>
        <w:autoSpaceDN w:val="0"/>
        <w:adjustRightInd w:val="0"/>
        <w:rPr>
          <w:rFonts w:asciiTheme="minorHAnsi" w:eastAsiaTheme="minorHAnsi" w:hAnsiTheme="minorHAnsi" w:cs="Calibri-Bold"/>
          <w:b/>
          <w:bCs/>
        </w:rPr>
      </w:pPr>
      <w:r>
        <w:rPr>
          <w:noProof/>
          <w:lang w:val="en-CA" w:eastAsia="en-CA"/>
        </w:rPr>
        <mc:AlternateContent>
          <mc:Choice Requires="wps">
            <w:drawing>
              <wp:inline distT="0" distB="0" distL="0" distR="0" wp14:anchorId="18FD0740" wp14:editId="3E0BDA39">
                <wp:extent cx="5731510" cy="1628775"/>
                <wp:effectExtent l="0" t="0" r="21590"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628775"/>
                        </a:xfrm>
                        <a:prstGeom prst="rect">
                          <a:avLst/>
                        </a:prstGeom>
                        <a:solidFill>
                          <a:srgbClr val="FFFFFF"/>
                        </a:solidFill>
                        <a:ln w="9525">
                          <a:solidFill>
                            <a:srgbClr val="000000"/>
                          </a:solidFill>
                          <a:miter lim="800000"/>
                          <a:headEnd/>
                          <a:tailEnd/>
                        </a:ln>
                      </wps:spPr>
                      <wps:txbx>
                        <w:txbxContent>
                          <w:p w14:paraId="2BFAD443" w14:textId="4CA97BEC" w:rsidR="000C2489" w:rsidRPr="00EB35B0" w:rsidRDefault="00EB35B0" w:rsidP="000C2489">
                            <w:pPr>
                              <w:rPr>
                                <w:b/>
                                <w:bCs/>
                                <w:lang w:val="fr-FR"/>
                              </w:rPr>
                            </w:pPr>
                            <w:r w:rsidRPr="00EB35B0">
                              <w:rPr>
                                <w:b/>
                                <w:bCs/>
                                <w:lang w:val="fr-FR"/>
                              </w:rPr>
                              <w:t>Mesure requise</w:t>
                            </w:r>
                            <w:bookmarkStart w:id="0" w:name="_GoBack"/>
                            <w:bookmarkEnd w:id="0"/>
                            <w:r w:rsidRPr="00EB35B0">
                              <w:rPr>
                                <w:b/>
                                <w:bCs/>
                                <w:lang w:val="fr-FR"/>
                              </w:rPr>
                              <w:t> </w:t>
                            </w:r>
                            <w:r w:rsidR="000C2489" w:rsidRPr="00EB35B0">
                              <w:rPr>
                                <w:b/>
                                <w:bCs/>
                                <w:lang w:val="fr-FR"/>
                              </w:rPr>
                              <w:t xml:space="preserve">: </w:t>
                            </w:r>
                          </w:p>
                          <w:p w14:paraId="50ADCB41" w14:textId="77777777" w:rsidR="000C2489" w:rsidRPr="00EB35B0" w:rsidRDefault="000C2489" w:rsidP="000C2489">
                            <w:pPr>
                              <w:pStyle w:val="ColorfulList-Accent11"/>
                              <w:ind w:left="0"/>
                              <w:rPr>
                                <w:lang w:val="fr-FR"/>
                              </w:rPr>
                            </w:pPr>
                          </w:p>
                          <w:p w14:paraId="365B704E" w14:textId="7C3D6A19" w:rsidR="00F25A82" w:rsidRPr="00EB35B0" w:rsidRDefault="00EB35B0" w:rsidP="009F26F1">
                            <w:pPr>
                              <w:pStyle w:val="ColorfulList-Accent11"/>
                              <w:ind w:left="0" w:firstLine="0"/>
                              <w:rPr>
                                <w:rFonts w:cs="Calibri"/>
                                <w:lang w:val="fr-FR"/>
                              </w:rPr>
                            </w:pPr>
                            <w:r w:rsidRPr="00EB35B0">
                              <w:rPr>
                                <w:lang w:val="fr-FR"/>
                              </w:rPr>
                              <w:t>Le Comité permanent est invit</w:t>
                            </w:r>
                            <w:r>
                              <w:rPr>
                                <w:lang w:val="fr-FR"/>
                              </w:rPr>
                              <w:t>é</w:t>
                            </w:r>
                            <w:r w:rsidRPr="00EB35B0">
                              <w:rPr>
                                <w:lang w:val="fr-FR"/>
                              </w:rPr>
                              <w:t xml:space="preserve"> à </w:t>
                            </w:r>
                            <w:r w:rsidR="00F25A82" w:rsidRPr="00EB35B0">
                              <w:rPr>
                                <w:rFonts w:cs="Calibri"/>
                                <w:lang w:val="fr-FR"/>
                              </w:rPr>
                              <w:t>:</w:t>
                            </w:r>
                          </w:p>
                          <w:p w14:paraId="6CF02531" w14:textId="77777777" w:rsidR="00F25A82" w:rsidRPr="00EB35B0" w:rsidRDefault="00F25A82" w:rsidP="009F26F1">
                            <w:pPr>
                              <w:pStyle w:val="ColorfulList-Accent11"/>
                              <w:ind w:left="0" w:firstLine="0"/>
                              <w:rPr>
                                <w:rFonts w:cs="Calibri"/>
                                <w:lang w:val="fr-FR"/>
                              </w:rPr>
                            </w:pPr>
                          </w:p>
                          <w:p w14:paraId="53CFC63B" w14:textId="6A14BD56" w:rsidR="00F25A82" w:rsidRPr="00EB35B0" w:rsidRDefault="00F25A82" w:rsidP="00F25A82">
                            <w:pPr>
                              <w:pStyle w:val="ColorfulList-Accent11"/>
                              <w:ind w:left="426" w:hanging="426"/>
                              <w:rPr>
                                <w:rFonts w:cs="Calibri"/>
                                <w:lang w:val="fr-FR"/>
                              </w:rPr>
                            </w:pPr>
                            <w:r w:rsidRPr="00EB35B0">
                              <w:rPr>
                                <w:rFonts w:cs="Calibri"/>
                                <w:lang w:val="fr-FR"/>
                              </w:rPr>
                              <w:t>i</w:t>
                            </w:r>
                            <w:r w:rsidR="00EB35B0" w:rsidRPr="00EB35B0">
                              <w:rPr>
                                <w:rFonts w:cs="Calibri"/>
                                <w:lang w:val="fr-FR"/>
                              </w:rPr>
                              <w:t>)</w:t>
                            </w:r>
                            <w:r w:rsidRPr="00EB35B0">
                              <w:rPr>
                                <w:rFonts w:cs="Calibri"/>
                                <w:lang w:val="fr-FR"/>
                              </w:rPr>
                              <w:tab/>
                            </w:r>
                            <w:r w:rsidR="00EB35B0" w:rsidRPr="00EB35B0">
                              <w:rPr>
                                <w:rFonts w:cs="Calibri"/>
                                <w:lang w:val="fr-FR"/>
                              </w:rPr>
                              <w:t>prendre note du présent rapport et du calendrier provisoire des activi</w:t>
                            </w:r>
                            <w:r w:rsidR="00EB35B0">
                              <w:rPr>
                                <w:rFonts w:cs="Calibri"/>
                                <w:lang w:val="fr-FR"/>
                              </w:rPr>
                              <w:t>tés et des délais jusqu’à la</w:t>
                            </w:r>
                            <w:r w:rsidR="008F70C8" w:rsidRPr="00EB35B0">
                              <w:rPr>
                                <w:rFonts w:cs="Calibri"/>
                                <w:lang w:val="fr-FR"/>
                              </w:rPr>
                              <w:t xml:space="preserve"> COP15</w:t>
                            </w:r>
                            <w:r w:rsidR="00EB35B0">
                              <w:rPr>
                                <w:rFonts w:cs="Calibri"/>
                                <w:lang w:val="fr-FR"/>
                              </w:rPr>
                              <w:t> </w:t>
                            </w:r>
                            <w:r w:rsidRPr="00EB35B0">
                              <w:rPr>
                                <w:rFonts w:cs="Calibri"/>
                                <w:lang w:val="fr-FR"/>
                              </w:rPr>
                              <w:t xml:space="preserve">; </w:t>
                            </w:r>
                            <w:r w:rsidR="00EB35B0">
                              <w:rPr>
                                <w:rFonts w:cs="Calibri"/>
                                <w:lang w:val="fr-FR"/>
                              </w:rPr>
                              <w:t>et</w:t>
                            </w:r>
                          </w:p>
                          <w:p w14:paraId="64F4A1F8" w14:textId="77777777" w:rsidR="00F25A82" w:rsidRPr="00EB35B0" w:rsidRDefault="00F25A82" w:rsidP="00F25A82">
                            <w:pPr>
                              <w:pStyle w:val="ColorfulList-Accent11"/>
                              <w:ind w:left="426" w:hanging="426"/>
                              <w:rPr>
                                <w:rFonts w:cs="Calibri"/>
                                <w:lang w:val="fr-FR"/>
                              </w:rPr>
                            </w:pPr>
                          </w:p>
                          <w:p w14:paraId="17F68D73" w14:textId="742211E6" w:rsidR="00F0516A" w:rsidRPr="00EB35B0" w:rsidRDefault="00F25A82" w:rsidP="00F25A82">
                            <w:pPr>
                              <w:pStyle w:val="ColorfulList-Accent11"/>
                              <w:ind w:left="426" w:hanging="426"/>
                              <w:rPr>
                                <w:rFonts w:cs="Calibri"/>
                                <w:lang w:val="fr-FR"/>
                              </w:rPr>
                            </w:pPr>
                            <w:r w:rsidRPr="00EB35B0">
                              <w:rPr>
                                <w:rFonts w:cs="Calibri"/>
                                <w:lang w:val="fr-FR"/>
                              </w:rPr>
                              <w:t>ii</w:t>
                            </w:r>
                            <w:r w:rsidR="00EB35B0" w:rsidRPr="00EB35B0">
                              <w:rPr>
                                <w:rFonts w:cs="Calibri"/>
                                <w:lang w:val="fr-FR"/>
                              </w:rPr>
                              <w:t>)</w:t>
                            </w:r>
                            <w:r w:rsidRPr="00EB35B0">
                              <w:rPr>
                                <w:rFonts w:cs="Calibri"/>
                                <w:lang w:val="fr-FR"/>
                              </w:rPr>
                              <w:tab/>
                              <w:t>appro</w:t>
                            </w:r>
                            <w:r w:rsidR="00EB35B0" w:rsidRPr="00EB35B0">
                              <w:rPr>
                                <w:rFonts w:cs="Calibri"/>
                                <w:lang w:val="fr-FR"/>
                              </w:rPr>
                              <w:t>uver</w:t>
                            </w:r>
                            <w:r w:rsidRPr="00EB35B0">
                              <w:rPr>
                                <w:rFonts w:cs="Calibri"/>
                                <w:lang w:val="fr-FR"/>
                              </w:rPr>
                              <w:t xml:space="preserve"> </w:t>
                            </w:r>
                            <w:r w:rsidR="00EB35B0" w:rsidRPr="00EB35B0">
                              <w:rPr>
                                <w:rFonts w:cs="Calibri"/>
                                <w:lang w:val="fr-FR"/>
                              </w:rPr>
                              <w:t>le thème et le logo propos</w:t>
                            </w:r>
                            <w:r w:rsidR="00EB35B0">
                              <w:rPr>
                                <w:rFonts w:cs="Calibri"/>
                                <w:lang w:val="fr-FR"/>
                              </w:rPr>
                              <w:t>é</w:t>
                            </w:r>
                            <w:r w:rsidR="00EB35B0" w:rsidRPr="00EB35B0">
                              <w:rPr>
                                <w:rFonts w:cs="Calibri"/>
                                <w:lang w:val="fr-FR"/>
                              </w:rPr>
                              <w:t>s pour la</w:t>
                            </w:r>
                            <w:r w:rsidRPr="00EB35B0">
                              <w:rPr>
                                <w:rFonts w:cs="Calibri"/>
                                <w:lang w:val="fr-FR"/>
                              </w:rPr>
                              <w:t xml:space="preserve"> COP15.</w:t>
                            </w:r>
                          </w:p>
                          <w:p w14:paraId="689D2CE6" w14:textId="77777777" w:rsidR="00A04197" w:rsidRPr="00EB35B0" w:rsidRDefault="00A04197" w:rsidP="00166FCC">
                            <w:pPr>
                              <w:pStyle w:val="ColorfulList-Accent11"/>
                              <w:ind w:left="0" w:firstLine="0"/>
                              <w:rPr>
                                <w:rFonts w:cs="Calibri"/>
                                <w:lang w:val="fr-FR"/>
                              </w:rPr>
                            </w:pPr>
                          </w:p>
                          <w:p w14:paraId="70D04F44" w14:textId="77777777" w:rsidR="009D66CB" w:rsidRPr="00EB35B0" w:rsidRDefault="009D66CB" w:rsidP="00275F13">
                            <w:pPr>
                              <w:pStyle w:val="ColorfulList-Accent11"/>
                              <w:ind w:left="360" w:firstLine="0"/>
                              <w:rPr>
                                <w:rFonts w:cs="Calibri"/>
                                <w:lang w:val="fr-FR"/>
                              </w:rPr>
                            </w:pPr>
                          </w:p>
                          <w:p w14:paraId="027DCA22" w14:textId="77777777" w:rsidR="000C2489" w:rsidRPr="00EB35B0" w:rsidRDefault="000C2489" w:rsidP="00275F13">
                            <w:pPr>
                              <w:pStyle w:val="ColorfulList-Accent11"/>
                              <w:ind w:left="-425" w:firstLine="0"/>
                              <w:rPr>
                                <w:lang w:val="fr-FR"/>
                              </w:rPr>
                            </w:pPr>
                          </w:p>
                        </w:txbxContent>
                      </wps:txbx>
                      <wps:bodyPr rot="0" vert="horz" wrap="square" lIns="91440" tIns="45720" rIns="91440" bIns="45720" anchor="t" anchorCtr="0" upright="1">
                        <a:noAutofit/>
                      </wps:bodyPr>
                    </wps:wsp>
                  </a:graphicData>
                </a:graphic>
              </wp:inline>
            </w:drawing>
          </mc:Choice>
          <mc:Fallback>
            <w:pict>
              <v:shapetype w14:anchorId="18FD0740" id="_x0000_t202" coordsize="21600,21600" o:spt="202" path="m,l,21600r21600,l21600,xe">
                <v:stroke joinstyle="miter"/>
                <v:path gradientshapeok="t" o:connecttype="rect"/>
              </v:shapetype>
              <v:shape id="Text Box 1" o:spid="_x0000_s1026" type="#_x0000_t202" style="width:451.3pt;height:1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">
                <v:textbox>
                  <w:txbxContent>
                    <w:p w14:paraId="2BFAD443" w14:textId="4CA97BEC" w:rsidR="000C2489" w:rsidRPr="00EB35B0" w:rsidRDefault="00EB35B0" w:rsidP="000C2489">
                      <w:pPr>
                        <w:rPr>
                          <w:b/>
                          <w:bCs/>
                          <w:lang w:val="fr-FR"/>
                        </w:rPr>
                      </w:pPr>
                      <w:r w:rsidRPr="00EB35B0">
                        <w:rPr>
                          <w:b/>
                          <w:bCs/>
                          <w:lang w:val="fr-FR"/>
                        </w:rPr>
                        <w:t>Mesure requise</w:t>
                      </w:r>
                      <w:bookmarkStart w:id="1" w:name="_GoBack"/>
                      <w:bookmarkEnd w:id="1"/>
                      <w:r w:rsidRPr="00EB35B0">
                        <w:rPr>
                          <w:b/>
                          <w:bCs/>
                          <w:lang w:val="fr-FR"/>
                        </w:rPr>
                        <w:t> </w:t>
                      </w:r>
                      <w:r w:rsidR="000C2489" w:rsidRPr="00EB35B0">
                        <w:rPr>
                          <w:b/>
                          <w:bCs/>
                          <w:lang w:val="fr-FR"/>
                        </w:rPr>
                        <w:t xml:space="preserve">: </w:t>
                      </w:r>
                    </w:p>
                    <w:p w14:paraId="50ADCB41" w14:textId="77777777" w:rsidR="000C2489" w:rsidRPr="00EB35B0" w:rsidRDefault="000C2489" w:rsidP="000C2489">
                      <w:pPr>
                        <w:pStyle w:val="ColorfulList-Accent11"/>
                        <w:ind w:left="0"/>
                        <w:rPr>
                          <w:lang w:val="fr-FR"/>
                        </w:rPr>
                      </w:pPr>
                    </w:p>
                    <w:p w14:paraId="365B704E" w14:textId="7C3D6A19" w:rsidR="00F25A82" w:rsidRPr="00EB35B0" w:rsidRDefault="00EB35B0" w:rsidP="009F26F1">
                      <w:pPr>
                        <w:pStyle w:val="ColorfulList-Accent11"/>
                        <w:ind w:left="0" w:firstLine="0"/>
                        <w:rPr>
                          <w:rFonts w:cs="Calibri"/>
                          <w:lang w:val="fr-FR"/>
                        </w:rPr>
                      </w:pPr>
                      <w:r w:rsidRPr="00EB35B0">
                        <w:rPr>
                          <w:lang w:val="fr-FR"/>
                        </w:rPr>
                        <w:t>Le Comité permanent est invit</w:t>
                      </w:r>
                      <w:r>
                        <w:rPr>
                          <w:lang w:val="fr-FR"/>
                        </w:rPr>
                        <w:t>é</w:t>
                      </w:r>
                      <w:r w:rsidRPr="00EB35B0">
                        <w:rPr>
                          <w:lang w:val="fr-FR"/>
                        </w:rPr>
                        <w:t xml:space="preserve"> à </w:t>
                      </w:r>
                      <w:r w:rsidR="00F25A82" w:rsidRPr="00EB35B0">
                        <w:rPr>
                          <w:rFonts w:cs="Calibri"/>
                          <w:lang w:val="fr-FR"/>
                        </w:rPr>
                        <w:t>:</w:t>
                      </w:r>
                    </w:p>
                    <w:p w14:paraId="6CF02531" w14:textId="77777777" w:rsidR="00F25A82" w:rsidRPr="00EB35B0" w:rsidRDefault="00F25A82" w:rsidP="009F26F1">
                      <w:pPr>
                        <w:pStyle w:val="ColorfulList-Accent11"/>
                        <w:ind w:left="0" w:firstLine="0"/>
                        <w:rPr>
                          <w:rFonts w:cs="Calibri"/>
                          <w:lang w:val="fr-FR"/>
                        </w:rPr>
                      </w:pPr>
                    </w:p>
                    <w:p w14:paraId="53CFC63B" w14:textId="6A14BD56" w:rsidR="00F25A82" w:rsidRPr="00EB35B0" w:rsidRDefault="00F25A82" w:rsidP="00F25A82">
                      <w:pPr>
                        <w:pStyle w:val="ColorfulList-Accent11"/>
                        <w:ind w:left="426" w:hanging="426"/>
                        <w:rPr>
                          <w:rFonts w:cs="Calibri"/>
                          <w:lang w:val="fr-FR"/>
                        </w:rPr>
                      </w:pPr>
                      <w:r w:rsidRPr="00EB35B0">
                        <w:rPr>
                          <w:rFonts w:cs="Calibri"/>
                          <w:lang w:val="fr-FR"/>
                        </w:rPr>
                        <w:t>i</w:t>
                      </w:r>
                      <w:r w:rsidR="00EB35B0" w:rsidRPr="00EB35B0">
                        <w:rPr>
                          <w:rFonts w:cs="Calibri"/>
                          <w:lang w:val="fr-FR"/>
                        </w:rPr>
                        <w:t>)</w:t>
                      </w:r>
                      <w:r w:rsidRPr="00EB35B0">
                        <w:rPr>
                          <w:rFonts w:cs="Calibri"/>
                          <w:lang w:val="fr-FR"/>
                        </w:rPr>
                        <w:tab/>
                      </w:r>
                      <w:r w:rsidR="00EB35B0" w:rsidRPr="00EB35B0">
                        <w:rPr>
                          <w:rFonts w:cs="Calibri"/>
                          <w:lang w:val="fr-FR"/>
                        </w:rPr>
                        <w:t>prendre note du présent rapport et du calendrier provisoire des activi</w:t>
                      </w:r>
                      <w:r w:rsidR="00EB35B0">
                        <w:rPr>
                          <w:rFonts w:cs="Calibri"/>
                          <w:lang w:val="fr-FR"/>
                        </w:rPr>
                        <w:t>tés et des délais jusqu’à la</w:t>
                      </w:r>
                      <w:r w:rsidR="008F70C8" w:rsidRPr="00EB35B0">
                        <w:rPr>
                          <w:rFonts w:cs="Calibri"/>
                          <w:lang w:val="fr-FR"/>
                        </w:rPr>
                        <w:t xml:space="preserve"> COP15</w:t>
                      </w:r>
                      <w:r w:rsidR="00EB35B0">
                        <w:rPr>
                          <w:rFonts w:cs="Calibri"/>
                          <w:lang w:val="fr-FR"/>
                        </w:rPr>
                        <w:t> </w:t>
                      </w:r>
                      <w:r w:rsidRPr="00EB35B0">
                        <w:rPr>
                          <w:rFonts w:cs="Calibri"/>
                          <w:lang w:val="fr-FR"/>
                        </w:rPr>
                        <w:t xml:space="preserve">; </w:t>
                      </w:r>
                      <w:r w:rsidR="00EB35B0">
                        <w:rPr>
                          <w:rFonts w:cs="Calibri"/>
                          <w:lang w:val="fr-FR"/>
                        </w:rPr>
                        <w:t>et</w:t>
                      </w:r>
                    </w:p>
                    <w:p w14:paraId="64F4A1F8" w14:textId="77777777" w:rsidR="00F25A82" w:rsidRPr="00EB35B0" w:rsidRDefault="00F25A82" w:rsidP="00F25A82">
                      <w:pPr>
                        <w:pStyle w:val="ColorfulList-Accent11"/>
                        <w:ind w:left="426" w:hanging="426"/>
                        <w:rPr>
                          <w:rFonts w:cs="Calibri"/>
                          <w:lang w:val="fr-FR"/>
                        </w:rPr>
                      </w:pPr>
                    </w:p>
                    <w:p w14:paraId="17F68D73" w14:textId="742211E6" w:rsidR="00F0516A" w:rsidRPr="00EB35B0" w:rsidRDefault="00F25A82" w:rsidP="00F25A82">
                      <w:pPr>
                        <w:pStyle w:val="ColorfulList-Accent11"/>
                        <w:ind w:left="426" w:hanging="426"/>
                        <w:rPr>
                          <w:rFonts w:cs="Calibri"/>
                          <w:lang w:val="fr-FR"/>
                        </w:rPr>
                      </w:pPr>
                      <w:r w:rsidRPr="00EB35B0">
                        <w:rPr>
                          <w:rFonts w:cs="Calibri"/>
                          <w:lang w:val="fr-FR"/>
                        </w:rPr>
                        <w:t>ii</w:t>
                      </w:r>
                      <w:r w:rsidR="00EB35B0" w:rsidRPr="00EB35B0">
                        <w:rPr>
                          <w:rFonts w:cs="Calibri"/>
                          <w:lang w:val="fr-FR"/>
                        </w:rPr>
                        <w:t>)</w:t>
                      </w:r>
                      <w:r w:rsidRPr="00EB35B0">
                        <w:rPr>
                          <w:rFonts w:cs="Calibri"/>
                          <w:lang w:val="fr-FR"/>
                        </w:rPr>
                        <w:tab/>
                        <w:t>appro</w:t>
                      </w:r>
                      <w:r w:rsidR="00EB35B0" w:rsidRPr="00EB35B0">
                        <w:rPr>
                          <w:rFonts w:cs="Calibri"/>
                          <w:lang w:val="fr-FR"/>
                        </w:rPr>
                        <w:t>uver</w:t>
                      </w:r>
                      <w:r w:rsidRPr="00EB35B0">
                        <w:rPr>
                          <w:rFonts w:cs="Calibri"/>
                          <w:lang w:val="fr-FR"/>
                        </w:rPr>
                        <w:t xml:space="preserve"> </w:t>
                      </w:r>
                      <w:r w:rsidR="00EB35B0" w:rsidRPr="00EB35B0">
                        <w:rPr>
                          <w:rFonts w:cs="Calibri"/>
                          <w:lang w:val="fr-FR"/>
                        </w:rPr>
                        <w:t>le thème et le logo propos</w:t>
                      </w:r>
                      <w:r w:rsidR="00EB35B0">
                        <w:rPr>
                          <w:rFonts w:cs="Calibri"/>
                          <w:lang w:val="fr-FR"/>
                        </w:rPr>
                        <w:t>é</w:t>
                      </w:r>
                      <w:r w:rsidR="00EB35B0" w:rsidRPr="00EB35B0">
                        <w:rPr>
                          <w:rFonts w:cs="Calibri"/>
                          <w:lang w:val="fr-FR"/>
                        </w:rPr>
                        <w:t>s pour la</w:t>
                      </w:r>
                      <w:r w:rsidRPr="00EB35B0">
                        <w:rPr>
                          <w:rFonts w:cs="Calibri"/>
                          <w:lang w:val="fr-FR"/>
                        </w:rPr>
                        <w:t xml:space="preserve"> COP15.</w:t>
                      </w:r>
                    </w:p>
                    <w:p w14:paraId="689D2CE6" w14:textId="77777777" w:rsidR="00A04197" w:rsidRPr="00EB35B0" w:rsidRDefault="00A04197" w:rsidP="00166FCC">
                      <w:pPr>
                        <w:pStyle w:val="ColorfulList-Accent11"/>
                        <w:ind w:left="0" w:firstLine="0"/>
                        <w:rPr>
                          <w:rFonts w:cs="Calibri"/>
                          <w:lang w:val="fr-FR"/>
                        </w:rPr>
                      </w:pPr>
                    </w:p>
                    <w:p w14:paraId="70D04F44" w14:textId="77777777" w:rsidR="009D66CB" w:rsidRPr="00EB35B0" w:rsidRDefault="009D66CB" w:rsidP="00275F13">
                      <w:pPr>
                        <w:pStyle w:val="ColorfulList-Accent11"/>
                        <w:ind w:left="360" w:firstLine="0"/>
                        <w:rPr>
                          <w:rFonts w:cs="Calibri"/>
                          <w:lang w:val="fr-FR"/>
                        </w:rPr>
                      </w:pPr>
                    </w:p>
                    <w:p w14:paraId="027DCA22" w14:textId="77777777" w:rsidR="000C2489" w:rsidRPr="00EB35B0" w:rsidRDefault="000C2489" w:rsidP="00275F13">
                      <w:pPr>
                        <w:pStyle w:val="ColorfulList-Accent11"/>
                        <w:ind w:left="-425" w:firstLine="0"/>
                        <w:rPr>
                          <w:lang w:val="fr-FR"/>
                        </w:rPr>
                      </w:pPr>
                    </w:p>
                  </w:txbxContent>
                </v:textbox>
                <w10:anchorlock/>
              </v:shape>
            </w:pict>
          </mc:Fallback>
        </mc:AlternateContent>
      </w:r>
    </w:p>
    <w:p w14:paraId="1F65F271" w14:textId="77777777" w:rsidR="009E0AE8" w:rsidRDefault="009E0AE8" w:rsidP="006D1F81">
      <w:pPr>
        <w:ind w:left="0" w:firstLine="0"/>
        <w:rPr>
          <w:rFonts w:cs="Arial"/>
          <w:b/>
        </w:rPr>
      </w:pPr>
    </w:p>
    <w:p w14:paraId="2512930C" w14:textId="77777777" w:rsidR="00421A37" w:rsidRDefault="00421A37" w:rsidP="006D1F81">
      <w:pPr>
        <w:rPr>
          <w:rFonts w:cs="Arial"/>
          <w:b/>
        </w:rPr>
      </w:pPr>
    </w:p>
    <w:p w14:paraId="549FFD76" w14:textId="58AF0A38" w:rsidR="000C2489" w:rsidRPr="009E4D20" w:rsidRDefault="008B7B8F" w:rsidP="006D1F81">
      <w:pPr>
        <w:rPr>
          <w:rFonts w:cs="Arial"/>
          <w:b/>
          <w:lang w:val="fr-CH"/>
        </w:rPr>
      </w:pPr>
      <w:r>
        <w:rPr>
          <w:rFonts w:cs="Arial"/>
          <w:b/>
          <w:lang w:val="fr-CH"/>
        </w:rPr>
        <w:t>Contexte</w:t>
      </w:r>
    </w:p>
    <w:p w14:paraId="18CB8A5C" w14:textId="77777777" w:rsidR="000C2489" w:rsidRPr="009E4D20" w:rsidRDefault="000C2489" w:rsidP="006D1F81">
      <w:pPr>
        <w:rPr>
          <w:rFonts w:ascii="Garamond" w:hAnsi="Garamond" w:cs="Arial"/>
          <w:lang w:val="fr-CH"/>
        </w:rPr>
      </w:pPr>
    </w:p>
    <w:p w14:paraId="5387B3E0" w14:textId="33AED350" w:rsidR="00F0516A" w:rsidRPr="009E4D20" w:rsidRDefault="006D1F81" w:rsidP="006D1F81">
      <w:pPr>
        <w:ind w:left="426" w:hanging="426"/>
        <w:rPr>
          <w:rFonts w:cs="Arial"/>
          <w:lang w:val="fr-CH"/>
        </w:rPr>
      </w:pPr>
      <w:r w:rsidRPr="009E4D20">
        <w:rPr>
          <w:rFonts w:cs="Arial"/>
          <w:lang w:val="fr-CH"/>
        </w:rPr>
        <w:t>1.</w:t>
      </w:r>
      <w:r w:rsidRPr="009E4D20">
        <w:rPr>
          <w:rFonts w:cs="Arial"/>
          <w:lang w:val="fr-CH"/>
        </w:rPr>
        <w:tab/>
      </w:r>
      <w:r w:rsidR="008B7B8F">
        <w:rPr>
          <w:rFonts w:cs="Arial"/>
          <w:lang w:val="fr-CH"/>
        </w:rPr>
        <w:t>À la 14</w:t>
      </w:r>
      <w:r w:rsidR="008B7B8F" w:rsidRPr="008B7B8F">
        <w:rPr>
          <w:rFonts w:cs="Arial"/>
          <w:vertAlign w:val="superscript"/>
          <w:lang w:val="fr-CH"/>
        </w:rPr>
        <w:t>e</w:t>
      </w:r>
      <w:r w:rsidR="008B7B8F">
        <w:rPr>
          <w:rFonts w:cs="Arial"/>
          <w:lang w:val="fr-CH"/>
        </w:rPr>
        <w:t xml:space="preserve"> Session de la Conférence des Parties contractantes (COP14), le Zimbabwe a manifesté sa volonté d’accueillir la COP15 à </w:t>
      </w:r>
      <w:r w:rsidR="00F0516A" w:rsidRPr="009E4D20">
        <w:rPr>
          <w:rFonts w:cs="Arial"/>
          <w:lang w:val="fr-CH"/>
        </w:rPr>
        <w:t xml:space="preserve">Victoria </w:t>
      </w:r>
      <w:proofErr w:type="spellStart"/>
      <w:r w:rsidR="00F0516A" w:rsidRPr="009E4D20">
        <w:rPr>
          <w:rFonts w:cs="Arial"/>
          <w:lang w:val="fr-CH"/>
        </w:rPr>
        <w:t>Falls</w:t>
      </w:r>
      <w:proofErr w:type="spellEnd"/>
      <w:r w:rsidR="00B651E8" w:rsidRPr="009E4D20">
        <w:rPr>
          <w:rFonts w:cs="Arial"/>
          <w:lang w:val="fr-CH"/>
        </w:rPr>
        <w:t xml:space="preserve">. </w:t>
      </w:r>
      <w:r w:rsidR="008B7B8F">
        <w:rPr>
          <w:rFonts w:cs="Arial"/>
          <w:lang w:val="fr-CH"/>
        </w:rPr>
        <w:t>Suite à cette annonce, le 13 décembre 2022, le Secrétariat a reçu une invitation officielle du Ministère des affaires étrangères du Zimbabwe à accueillir la COP15.</w:t>
      </w:r>
      <w:r w:rsidR="001A5FD8" w:rsidRPr="009E4D20">
        <w:rPr>
          <w:rFonts w:cs="Arial"/>
          <w:lang w:val="fr-CH"/>
        </w:rPr>
        <w:t xml:space="preserve">  </w:t>
      </w:r>
    </w:p>
    <w:p w14:paraId="180C8B05" w14:textId="77777777" w:rsidR="00F0516A" w:rsidRPr="009E4D20" w:rsidRDefault="00F0516A" w:rsidP="006D1F81">
      <w:pPr>
        <w:pStyle w:val="ListParagraph"/>
        <w:ind w:left="426" w:hanging="426"/>
        <w:rPr>
          <w:rFonts w:cs="Arial"/>
          <w:lang w:val="fr-CH"/>
        </w:rPr>
      </w:pPr>
    </w:p>
    <w:p w14:paraId="343DEED9" w14:textId="7B3BA14D" w:rsidR="00F0516A" w:rsidRPr="009E4D20" w:rsidRDefault="006D1F81" w:rsidP="00391BD0">
      <w:pPr>
        <w:ind w:left="426" w:hanging="426"/>
        <w:rPr>
          <w:rFonts w:cstheme="minorHAnsi"/>
          <w:lang w:val="fr-CH"/>
        </w:rPr>
      </w:pPr>
      <w:r w:rsidRPr="009E4D20">
        <w:rPr>
          <w:rFonts w:cs="Arial"/>
          <w:lang w:val="fr-CH"/>
        </w:rPr>
        <w:t>2.</w:t>
      </w:r>
      <w:r w:rsidRPr="009E4D20">
        <w:rPr>
          <w:rFonts w:cs="Arial"/>
          <w:lang w:val="fr-CH"/>
        </w:rPr>
        <w:tab/>
      </w:r>
      <w:r w:rsidR="008B7B8F">
        <w:rPr>
          <w:rFonts w:cs="Arial"/>
          <w:lang w:val="fr-CH"/>
        </w:rPr>
        <w:t>À la 62</w:t>
      </w:r>
      <w:r w:rsidR="008B7B8F" w:rsidRPr="008B7B8F">
        <w:rPr>
          <w:rFonts w:cs="Arial"/>
          <w:vertAlign w:val="superscript"/>
          <w:lang w:val="fr-CH"/>
        </w:rPr>
        <w:t>e</w:t>
      </w:r>
      <w:r w:rsidR="008B7B8F">
        <w:rPr>
          <w:rFonts w:cs="Arial"/>
          <w:lang w:val="fr-CH"/>
        </w:rPr>
        <w:t xml:space="preserve"> Réunion du Comité permanent (SC62), le pays hôte a présenté ses plans et les dates proposées pour </w:t>
      </w:r>
      <w:r w:rsidR="00953C08">
        <w:rPr>
          <w:rFonts w:cs="Arial"/>
          <w:lang w:val="fr-CH"/>
        </w:rPr>
        <w:t xml:space="preserve">l’accueil de la COP15. </w:t>
      </w:r>
      <w:r w:rsidR="00391BD0" w:rsidRPr="009E4D20">
        <w:rPr>
          <w:rFonts w:cs="Arial"/>
          <w:lang w:val="fr-CH"/>
        </w:rPr>
        <w:t>Dans la Dé</w:t>
      </w:r>
      <w:r w:rsidR="00F0516A" w:rsidRPr="009E4D20">
        <w:rPr>
          <w:rFonts w:cstheme="minorHAnsi"/>
          <w:lang w:val="fr-CH"/>
        </w:rPr>
        <w:t>cision SC62-08</w:t>
      </w:r>
      <w:r w:rsidR="00F25A82" w:rsidRPr="009E4D20">
        <w:rPr>
          <w:rFonts w:cstheme="minorHAnsi"/>
          <w:lang w:val="fr-CH"/>
        </w:rPr>
        <w:t xml:space="preserve">, </w:t>
      </w:r>
      <w:r w:rsidR="00391BD0" w:rsidRPr="009E4D20">
        <w:rPr>
          <w:rFonts w:cstheme="minorHAnsi"/>
          <w:lang w:val="fr-CH"/>
        </w:rPr>
        <w:t>« Le Comité permanent accepte les dates proposées, du 23 au 31 juillet 2025, pour la COP15 »</w:t>
      </w:r>
      <w:r w:rsidR="00F0516A" w:rsidRPr="009E4D20">
        <w:rPr>
          <w:rFonts w:cstheme="minorHAnsi"/>
          <w:lang w:val="fr-CH"/>
        </w:rPr>
        <w:t xml:space="preserve"> </w:t>
      </w:r>
      <w:r w:rsidR="00391BD0" w:rsidRPr="009E4D20">
        <w:rPr>
          <w:rFonts w:cstheme="minorHAnsi"/>
          <w:lang w:val="fr-CH"/>
        </w:rPr>
        <w:t>et</w:t>
      </w:r>
      <w:r w:rsidR="00F25A82" w:rsidRPr="009E4D20">
        <w:rPr>
          <w:rFonts w:cstheme="minorHAnsi"/>
          <w:lang w:val="fr-CH"/>
        </w:rPr>
        <w:t>,</w:t>
      </w:r>
      <w:r w:rsidR="00F0516A" w:rsidRPr="009E4D20">
        <w:rPr>
          <w:rFonts w:cstheme="minorHAnsi"/>
          <w:lang w:val="fr-CH"/>
        </w:rPr>
        <w:t xml:space="preserve"> </w:t>
      </w:r>
      <w:r w:rsidR="00391BD0" w:rsidRPr="009E4D20">
        <w:rPr>
          <w:rFonts w:cstheme="minorHAnsi"/>
          <w:lang w:val="fr-CH"/>
        </w:rPr>
        <w:t>dans la</w:t>
      </w:r>
      <w:r w:rsidR="00F0516A" w:rsidRPr="009E4D20">
        <w:rPr>
          <w:rFonts w:cstheme="minorHAnsi"/>
          <w:lang w:val="fr-CH"/>
        </w:rPr>
        <w:t xml:space="preserve"> D</w:t>
      </w:r>
      <w:r w:rsidR="00391BD0" w:rsidRPr="009E4D20">
        <w:rPr>
          <w:rFonts w:cstheme="minorHAnsi"/>
          <w:lang w:val="fr-CH"/>
        </w:rPr>
        <w:t>é</w:t>
      </w:r>
      <w:r w:rsidR="00F0516A" w:rsidRPr="009E4D20">
        <w:rPr>
          <w:rFonts w:cstheme="minorHAnsi"/>
          <w:lang w:val="fr-CH"/>
        </w:rPr>
        <w:t>cision SC62</w:t>
      </w:r>
      <w:r w:rsidR="00953C08">
        <w:rPr>
          <w:rFonts w:cstheme="minorHAnsi"/>
          <w:lang w:val="fr-CH"/>
        </w:rPr>
        <w:noBreakHyphen/>
      </w:r>
      <w:r w:rsidR="00F0516A" w:rsidRPr="009E4D20">
        <w:rPr>
          <w:rFonts w:cstheme="minorHAnsi"/>
          <w:lang w:val="fr-CH"/>
        </w:rPr>
        <w:t>09</w:t>
      </w:r>
      <w:r w:rsidR="00F25A82" w:rsidRPr="009E4D20">
        <w:rPr>
          <w:rFonts w:cstheme="minorHAnsi"/>
          <w:lang w:val="fr-CH"/>
        </w:rPr>
        <w:t xml:space="preserve">, </w:t>
      </w:r>
      <w:r w:rsidR="00391BD0" w:rsidRPr="009E4D20">
        <w:rPr>
          <w:rFonts w:cstheme="minorHAnsi"/>
          <w:lang w:val="fr-CH"/>
        </w:rPr>
        <w:t>« Le Comité permanent approuve l’ordre du jour provisoire de la COP15 avec l’ajout d’un point de l’ordre du jour dédié au label Ville des Zones Humides. »</w:t>
      </w:r>
    </w:p>
    <w:p w14:paraId="4700BEDE" w14:textId="77777777" w:rsidR="00F0516A" w:rsidRPr="009E4D20" w:rsidRDefault="00F0516A" w:rsidP="006D1F81">
      <w:pPr>
        <w:ind w:left="426" w:hanging="426"/>
        <w:rPr>
          <w:rFonts w:cstheme="minorHAnsi"/>
          <w:lang w:val="fr-CH"/>
        </w:rPr>
      </w:pPr>
    </w:p>
    <w:p w14:paraId="02A721CB" w14:textId="7B9DDA6B" w:rsidR="001A2D10" w:rsidRPr="009E4D20" w:rsidRDefault="006D1F81" w:rsidP="006D1F81">
      <w:pPr>
        <w:ind w:left="426" w:hanging="426"/>
        <w:rPr>
          <w:rFonts w:cs="Arial"/>
          <w:lang w:val="fr-CH"/>
        </w:rPr>
      </w:pPr>
      <w:r w:rsidRPr="009E4D20">
        <w:rPr>
          <w:rFonts w:cs="Arial"/>
          <w:lang w:val="fr-CH"/>
        </w:rPr>
        <w:t>3.</w:t>
      </w:r>
      <w:r w:rsidRPr="009E4D20">
        <w:rPr>
          <w:rFonts w:cs="Arial"/>
          <w:lang w:val="fr-CH"/>
        </w:rPr>
        <w:tab/>
      </w:r>
      <w:r w:rsidR="006309B4">
        <w:rPr>
          <w:rFonts w:cs="Arial"/>
          <w:lang w:val="fr-CH"/>
        </w:rPr>
        <w:t>Le présent rapport contient des informations sur les préparatifs de la COP15 qui ont eu lieu suite à la 62</w:t>
      </w:r>
      <w:r w:rsidR="006309B4" w:rsidRPr="006309B4">
        <w:rPr>
          <w:rFonts w:cs="Arial"/>
          <w:vertAlign w:val="superscript"/>
          <w:lang w:val="fr-CH"/>
        </w:rPr>
        <w:t>e</w:t>
      </w:r>
      <w:r w:rsidR="006309B4">
        <w:rPr>
          <w:rFonts w:cs="Arial"/>
          <w:lang w:val="fr-CH"/>
        </w:rPr>
        <w:t xml:space="preserve"> Réunion du Comité permanent. </w:t>
      </w:r>
    </w:p>
    <w:p w14:paraId="60C825BC" w14:textId="77777777" w:rsidR="001A2D10" w:rsidRPr="009E4D20" w:rsidRDefault="001A2D10" w:rsidP="006D1F81">
      <w:pPr>
        <w:pStyle w:val="ListParagraph"/>
        <w:ind w:left="426"/>
        <w:rPr>
          <w:rFonts w:cs="Arial"/>
          <w:lang w:val="fr-CH"/>
        </w:rPr>
      </w:pPr>
    </w:p>
    <w:p w14:paraId="795C97F4" w14:textId="10D59695" w:rsidR="005540F2" w:rsidRPr="009E4D20" w:rsidRDefault="005540F2" w:rsidP="006D1F81">
      <w:pPr>
        <w:pStyle w:val="NoSpacing"/>
        <w:ind w:left="426" w:hanging="426"/>
        <w:rPr>
          <w:b/>
          <w:lang w:val="fr-CH"/>
        </w:rPr>
      </w:pPr>
      <w:r w:rsidRPr="009E4D20">
        <w:rPr>
          <w:b/>
          <w:lang w:val="fr-CH"/>
        </w:rPr>
        <w:t>Progr</w:t>
      </w:r>
      <w:r w:rsidR="006309B4">
        <w:rPr>
          <w:b/>
          <w:lang w:val="fr-CH"/>
        </w:rPr>
        <w:t xml:space="preserve">ès des préparatifs de la </w:t>
      </w:r>
      <w:r w:rsidR="008345A6" w:rsidRPr="009E4D20">
        <w:rPr>
          <w:b/>
          <w:lang w:val="fr-CH"/>
        </w:rPr>
        <w:t>COP15</w:t>
      </w:r>
    </w:p>
    <w:p w14:paraId="703E69BE" w14:textId="77777777" w:rsidR="009E0AE8" w:rsidRPr="009E4D20" w:rsidRDefault="009E0AE8" w:rsidP="006D1F81">
      <w:pPr>
        <w:pStyle w:val="NoSpacing"/>
        <w:ind w:left="426" w:hanging="426"/>
        <w:rPr>
          <w:lang w:val="fr-CH"/>
        </w:rPr>
      </w:pPr>
    </w:p>
    <w:p w14:paraId="256B92D7" w14:textId="7A3ABF02" w:rsidR="000D3A62" w:rsidRPr="009E4D20" w:rsidRDefault="006D1F81" w:rsidP="006D1F81">
      <w:pPr>
        <w:pStyle w:val="NoSpacing"/>
        <w:ind w:left="426" w:hanging="426"/>
        <w:rPr>
          <w:lang w:val="fr-CH"/>
        </w:rPr>
      </w:pPr>
      <w:r w:rsidRPr="009E4D20">
        <w:rPr>
          <w:lang w:val="fr-CH"/>
        </w:rPr>
        <w:t>4.</w:t>
      </w:r>
      <w:r w:rsidRPr="009E4D20">
        <w:rPr>
          <w:lang w:val="fr-CH"/>
        </w:rPr>
        <w:tab/>
      </w:r>
      <w:r w:rsidR="006309B4">
        <w:rPr>
          <w:lang w:val="fr-CH"/>
        </w:rPr>
        <w:t xml:space="preserve">Le Secrétariat </w:t>
      </w:r>
      <w:r w:rsidR="0037202F">
        <w:rPr>
          <w:lang w:val="fr-CH"/>
        </w:rPr>
        <w:t xml:space="preserve">a fourni un appui au Sous-groupe sur la COP15 en organisant ses réunions le 6 septembre 2023 et le 17 janvier 2024, la prochaine étant prévue pour le 17 avril. Lors de ces réunions, le pays hôte a </w:t>
      </w:r>
      <w:r w:rsidR="006B19A9">
        <w:rPr>
          <w:lang w:val="fr-CH"/>
        </w:rPr>
        <w:t>présenté</w:t>
      </w:r>
      <w:r w:rsidR="0037202F">
        <w:rPr>
          <w:lang w:val="fr-CH"/>
        </w:rPr>
        <w:t xml:space="preserve"> des mises à jour </w:t>
      </w:r>
      <w:r w:rsidR="006B19A9">
        <w:rPr>
          <w:lang w:val="fr-CH"/>
        </w:rPr>
        <w:t>de</w:t>
      </w:r>
      <w:r w:rsidR="0037202F">
        <w:rPr>
          <w:lang w:val="fr-CH"/>
        </w:rPr>
        <w:t xml:space="preserve"> ses plans et préparatifs pour la COP15 et, a entendu les commentaires et l’opinion des membres du Sous</w:t>
      </w:r>
      <w:r w:rsidR="0037202F">
        <w:rPr>
          <w:lang w:val="fr-CH"/>
        </w:rPr>
        <w:noBreakHyphen/>
        <w:t>groupe sur les moyens d’organiser une COP couronnée de succès.</w:t>
      </w:r>
    </w:p>
    <w:p w14:paraId="2AECFC7A" w14:textId="77777777" w:rsidR="000D3A62" w:rsidRPr="009E4D20" w:rsidRDefault="000D3A62" w:rsidP="006D1F81">
      <w:pPr>
        <w:pStyle w:val="NoSpacing"/>
        <w:ind w:left="426" w:hanging="426"/>
        <w:rPr>
          <w:lang w:val="fr-CH"/>
        </w:rPr>
      </w:pPr>
    </w:p>
    <w:p w14:paraId="609E9AE7" w14:textId="71D12232" w:rsidR="001A5FD8" w:rsidRPr="009E4D20" w:rsidRDefault="006D1F81" w:rsidP="006D1F81">
      <w:pPr>
        <w:keepNext/>
        <w:ind w:left="426" w:hanging="426"/>
        <w:rPr>
          <w:rFonts w:asciiTheme="minorHAnsi" w:eastAsiaTheme="minorHAnsi" w:hAnsiTheme="minorHAnsi" w:cstheme="minorHAnsi"/>
          <w:lang w:val="fr-CH" w:eastAsia="ro-RO"/>
        </w:rPr>
      </w:pPr>
      <w:r w:rsidRPr="009E4D20">
        <w:rPr>
          <w:lang w:val="fr-CH"/>
        </w:rPr>
        <w:t>5.</w:t>
      </w:r>
      <w:r w:rsidRPr="009E4D20">
        <w:rPr>
          <w:lang w:val="fr-CH"/>
        </w:rPr>
        <w:tab/>
      </w:r>
      <w:r w:rsidR="00E4097A">
        <w:rPr>
          <w:lang w:val="fr-CH"/>
        </w:rPr>
        <w:t>À la réunion du Sous</w:t>
      </w:r>
      <w:r w:rsidR="00E4097A">
        <w:rPr>
          <w:lang w:val="fr-CH"/>
        </w:rPr>
        <w:noBreakHyphen/>
        <w:t xml:space="preserve">groupe du 17 janvier, le Zimbabwe a </w:t>
      </w:r>
      <w:r w:rsidR="006B19A9">
        <w:rPr>
          <w:lang w:val="fr-CH"/>
        </w:rPr>
        <w:t xml:space="preserve">annoncé </w:t>
      </w:r>
      <w:r w:rsidR="00E4097A">
        <w:rPr>
          <w:lang w:val="fr-CH"/>
        </w:rPr>
        <w:t>que l’accord du pays hôte avait été approuvé par le Comité consultatif sur les accords publics, le 11 janvier. Ultérieurement, le Secrétariat et le Zimbabwe ont organisé une cérémonie de signature</w:t>
      </w:r>
      <w:r w:rsidR="006B19A9">
        <w:rPr>
          <w:lang w:val="fr-CH"/>
        </w:rPr>
        <w:t>,</w:t>
      </w:r>
      <w:r w:rsidR="00E4097A">
        <w:rPr>
          <w:lang w:val="fr-CH"/>
        </w:rPr>
        <w:t xml:space="preserve"> le 4 mars</w:t>
      </w:r>
      <w:r w:rsidR="006B19A9">
        <w:rPr>
          <w:lang w:val="fr-CH"/>
        </w:rPr>
        <w:t>,</w:t>
      </w:r>
      <w:r w:rsidR="00E4097A">
        <w:rPr>
          <w:lang w:val="fr-CH"/>
        </w:rPr>
        <w:t xml:space="preserve"> à Harare</w:t>
      </w:r>
      <w:r w:rsidR="006B19A9">
        <w:rPr>
          <w:lang w:val="fr-CH"/>
        </w:rPr>
        <w:t>,</w:t>
      </w:r>
      <w:r w:rsidR="00E4097A">
        <w:rPr>
          <w:lang w:val="fr-CH"/>
        </w:rPr>
        <w:t xml:space="preserve"> à laquelle l’accord du pays hôte a été signé par </w:t>
      </w:r>
      <w:r w:rsidR="00E4097A" w:rsidRPr="006B19A9">
        <w:rPr>
          <w:lang w:val="fr-CH"/>
        </w:rPr>
        <w:t>M.</w:t>
      </w:r>
      <w:r w:rsidR="00E4097A">
        <w:rPr>
          <w:lang w:val="fr-CH"/>
        </w:rPr>
        <w:t> </w:t>
      </w:r>
      <w:proofErr w:type="spellStart"/>
      <w:r w:rsidR="00753343" w:rsidRPr="009E4D20">
        <w:rPr>
          <w:rFonts w:asciiTheme="minorHAnsi" w:hAnsiTheme="minorHAnsi" w:cstheme="minorHAnsi"/>
          <w:lang w:val="fr-CH"/>
        </w:rPr>
        <w:t>Nqobizitha</w:t>
      </w:r>
      <w:proofErr w:type="spellEnd"/>
      <w:r w:rsidR="00753343" w:rsidRPr="009E4D20">
        <w:rPr>
          <w:rFonts w:asciiTheme="minorHAnsi" w:hAnsiTheme="minorHAnsi" w:cstheme="minorHAnsi"/>
          <w:lang w:val="fr-CH"/>
        </w:rPr>
        <w:t xml:space="preserve"> </w:t>
      </w:r>
      <w:proofErr w:type="spellStart"/>
      <w:r w:rsidR="00753343" w:rsidRPr="009E4D20">
        <w:rPr>
          <w:rFonts w:asciiTheme="minorHAnsi" w:hAnsiTheme="minorHAnsi" w:cstheme="minorHAnsi"/>
          <w:lang w:val="fr-CH"/>
        </w:rPr>
        <w:t>Mangaliso</w:t>
      </w:r>
      <w:proofErr w:type="spellEnd"/>
      <w:r w:rsidR="00753343" w:rsidRPr="009E4D20">
        <w:rPr>
          <w:rFonts w:asciiTheme="minorHAnsi" w:hAnsiTheme="minorHAnsi" w:cstheme="minorHAnsi"/>
          <w:lang w:val="fr-CH"/>
        </w:rPr>
        <w:t xml:space="preserve"> </w:t>
      </w:r>
      <w:proofErr w:type="spellStart"/>
      <w:r w:rsidR="00753343" w:rsidRPr="009E4D20">
        <w:rPr>
          <w:rFonts w:asciiTheme="minorHAnsi" w:hAnsiTheme="minorHAnsi" w:cstheme="minorHAnsi"/>
          <w:bCs/>
          <w:lang w:val="fr-CH"/>
        </w:rPr>
        <w:lastRenderedPageBreak/>
        <w:t>Ndhlovu</w:t>
      </w:r>
      <w:proofErr w:type="spellEnd"/>
      <w:r w:rsidR="00753343" w:rsidRPr="009E4D20">
        <w:rPr>
          <w:rFonts w:asciiTheme="minorHAnsi" w:eastAsiaTheme="minorHAnsi" w:hAnsiTheme="minorHAnsi" w:cstheme="minorHAnsi"/>
          <w:lang w:val="fr-CH" w:eastAsia="ro-RO"/>
        </w:rPr>
        <w:t xml:space="preserve">, </w:t>
      </w:r>
      <w:r w:rsidR="00753343" w:rsidRPr="009E4D20">
        <w:rPr>
          <w:rFonts w:asciiTheme="minorHAnsi" w:hAnsiTheme="minorHAnsi" w:cstheme="minorHAnsi"/>
          <w:lang w:val="fr-CH"/>
        </w:rPr>
        <w:t>Minist</w:t>
      </w:r>
      <w:r w:rsidR="00E4097A">
        <w:rPr>
          <w:rFonts w:asciiTheme="minorHAnsi" w:hAnsiTheme="minorHAnsi" w:cstheme="minorHAnsi"/>
          <w:lang w:val="fr-CH"/>
        </w:rPr>
        <w:t>re de l’environnement, du climat et des espèces sauvages, et M</w:t>
      </w:r>
      <w:r w:rsidR="00E4097A" w:rsidRPr="00E4097A">
        <w:rPr>
          <w:rFonts w:asciiTheme="minorHAnsi" w:hAnsiTheme="minorHAnsi" w:cstheme="minorHAnsi"/>
          <w:vertAlign w:val="superscript"/>
          <w:lang w:val="fr-CH"/>
        </w:rPr>
        <w:t>me</w:t>
      </w:r>
      <w:r w:rsidR="00E4097A">
        <w:rPr>
          <w:rFonts w:asciiTheme="minorHAnsi" w:hAnsiTheme="minorHAnsi" w:cstheme="minorHAnsi"/>
          <w:lang w:val="fr-CH"/>
        </w:rPr>
        <w:t> </w:t>
      </w:r>
      <w:r w:rsidR="006A3E89" w:rsidRPr="009E4D20">
        <w:rPr>
          <w:rFonts w:asciiTheme="minorHAnsi" w:hAnsiTheme="minorHAnsi" w:cstheme="minorHAnsi"/>
          <w:lang w:val="fr-CH"/>
        </w:rPr>
        <w:t xml:space="preserve">Musonda </w:t>
      </w:r>
      <w:proofErr w:type="spellStart"/>
      <w:r w:rsidR="006A3E89" w:rsidRPr="009E4D20">
        <w:rPr>
          <w:rFonts w:asciiTheme="minorHAnsi" w:hAnsiTheme="minorHAnsi" w:cstheme="minorHAnsi"/>
          <w:lang w:val="fr-CH"/>
        </w:rPr>
        <w:t>Mumba</w:t>
      </w:r>
      <w:proofErr w:type="spellEnd"/>
      <w:r w:rsidR="006A3E89" w:rsidRPr="009E4D20">
        <w:rPr>
          <w:rFonts w:asciiTheme="minorHAnsi" w:hAnsiTheme="minorHAnsi" w:cstheme="minorHAnsi"/>
          <w:lang w:val="fr-CH"/>
        </w:rPr>
        <w:t>, Secr</w:t>
      </w:r>
      <w:r w:rsidR="00E4097A">
        <w:rPr>
          <w:rFonts w:asciiTheme="minorHAnsi" w:hAnsiTheme="minorHAnsi" w:cstheme="minorHAnsi"/>
          <w:lang w:val="fr-CH"/>
        </w:rPr>
        <w:t>é</w:t>
      </w:r>
      <w:r w:rsidR="006A3E89" w:rsidRPr="009E4D20">
        <w:rPr>
          <w:rFonts w:asciiTheme="minorHAnsi" w:hAnsiTheme="minorHAnsi" w:cstheme="minorHAnsi"/>
          <w:lang w:val="fr-CH"/>
        </w:rPr>
        <w:t>ta</w:t>
      </w:r>
      <w:r w:rsidR="00E4097A">
        <w:rPr>
          <w:rFonts w:asciiTheme="minorHAnsi" w:hAnsiTheme="minorHAnsi" w:cstheme="minorHAnsi"/>
          <w:lang w:val="fr-CH"/>
        </w:rPr>
        <w:t xml:space="preserve">ire générale de la </w:t>
      </w:r>
      <w:r w:rsidR="006A3E89" w:rsidRPr="009E4D20">
        <w:rPr>
          <w:rFonts w:asciiTheme="minorHAnsi" w:hAnsiTheme="minorHAnsi" w:cstheme="minorHAnsi"/>
          <w:lang w:val="fr-CH"/>
        </w:rPr>
        <w:t>Convention</w:t>
      </w:r>
      <w:r w:rsidR="00753343" w:rsidRPr="009E4D20">
        <w:rPr>
          <w:rFonts w:asciiTheme="minorHAnsi" w:hAnsiTheme="minorHAnsi" w:cstheme="minorHAnsi"/>
          <w:lang w:val="fr-CH"/>
        </w:rPr>
        <w:t xml:space="preserve">. </w:t>
      </w:r>
      <w:r w:rsidR="00E4097A">
        <w:rPr>
          <w:rFonts w:asciiTheme="minorHAnsi" w:hAnsiTheme="minorHAnsi" w:cstheme="minorHAnsi"/>
          <w:lang w:val="fr-CH"/>
        </w:rPr>
        <w:t xml:space="preserve">L’événement a été couvert par les médias nationaux et locaux et promu sur les canaux de communication de la Convention. En marge de l’événement, la Secrétaire générale a pu visiter plusieurs zones humides d’importance internationale et </w:t>
      </w:r>
      <w:r w:rsidR="00087184">
        <w:rPr>
          <w:rFonts w:asciiTheme="minorHAnsi" w:hAnsiTheme="minorHAnsi" w:cstheme="minorHAnsi"/>
          <w:lang w:val="fr-CH"/>
        </w:rPr>
        <w:t xml:space="preserve">a </w:t>
      </w:r>
      <w:r w:rsidR="00E4097A">
        <w:rPr>
          <w:rFonts w:asciiTheme="minorHAnsi" w:hAnsiTheme="minorHAnsi" w:cstheme="minorHAnsi"/>
          <w:lang w:val="fr-CH"/>
        </w:rPr>
        <w:t>rencontr</w:t>
      </w:r>
      <w:r w:rsidR="00087184">
        <w:rPr>
          <w:rFonts w:asciiTheme="minorHAnsi" w:hAnsiTheme="minorHAnsi" w:cstheme="minorHAnsi"/>
          <w:lang w:val="fr-CH"/>
        </w:rPr>
        <w:t>é</w:t>
      </w:r>
      <w:r w:rsidR="00E4097A">
        <w:rPr>
          <w:rFonts w:asciiTheme="minorHAnsi" w:hAnsiTheme="minorHAnsi" w:cstheme="minorHAnsi"/>
          <w:lang w:val="fr-CH"/>
        </w:rPr>
        <w:t xml:space="preserve"> des organisations nationales</w:t>
      </w:r>
      <w:r w:rsidR="00087184">
        <w:rPr>
          <w:rFonts w:asciiTheme="minorHAnsi" w:hAnsiTheme="minorHAnsi" w:cstheme="minorHAnsi"/>
          <w:lang w:val="fr-CH"/>
        </w:rPr>
        <w:t xml:space="preserve"> qui contribuent à la planification et à l’accueil de la </w:t>
      </w:r>
      <w:r w:rsidR="00F578B9" w:rsidRPr="009E4D20">
        <w:rPr>
          <w:rFonts w:asciiTheme="minorHAnsi" w:hAnsiTheme="minorHAnsi" w:cstheme="minorHAnsi"/>
          <w:lang w:val="fr-CH"/>
        </w:rPr>
        <w:t xml:space="preserve">COP15. </w:t>
      </w:r>
    </w:p>
    <w:p w14:paraId="3FA96DCE" w14:textId="77777777" w:rsidR="004F200A" w:rsidRPr="009E4D20" w:rsidRDefault="004F200A" w:rsidP="006D1F81">
      <w:pPr>
        <w:pStyle w:val="ListParagraph"/>
        <w:ind w:left="426" w:hanging="426"/>
        <w:rPr>
          <w:lang w:val="fr-CH"/>
        </w:rPr>
      </w:pPr>
    </w:p>
    <w:p w14:paraId="61E6422A" w14:textId="25A5A5F6" w:rsidR="006D1F81" w:rsidRPr="009E4D20" w:rsidRDefault="006D1F81" w:rsidP="006D1F81">
      <w:pPr>
        <w:pStyle w:val="NoSpacing"/>
        <w:ind w:left="426" w:hanging="426"/>
        <w:rPr>
          <w:lang w:val="fr-CH"/>
        </w:rPr>
      </w:pPr>
      <w:r w:rsidRPr="009E4D20">
        <w:rPr>
          <w:lang w:val="fr-CH"/>
        </w:rPr>
        <w:t>6.</w:t>
      </w:r>
      <w:r w:rsidRPr="009E4D20">
        <w:rPr>
          <w:lang w:val="fr-CH"/>
        </w:rPr>
        <w:tab/>
      </w:r>
      <w:r w:rsidR="00347590">
        <w:rPr>
          <w:lang w:val="fr-CH"/>
        </w:rPr>
        <w:t xml:space="preserve">Le thème proposé pour la </w:t>
      </w:r>
      <w:r w:rsidR="004F200A" w:rsidRPr="009E4D20">
        <w:rPr>
          <w:lang w:val="fr-CH"/>
        </w:rPr>
        <w:t>COP15</w:t>
      </w:r>
      <w:r w:rsidR="00F25A82" w:rsidRPr="009E4D20">
        <w:rPr>
          <w:lang w:val="fr-CH"/>
        </w:rPr>
        <w:t>,</w:t>
      </w:r>
      <w:r w:rsidR="00F578B9" w:rsidRPr="009E4D20">
        <w:rPr>
          <w:lang w:val="fr-CH"/>
        </w:rPr>
        <w:t xml:space="preserve"> </w:t>
      </w:r>
      <w:r w:rsidR="007A3F3F">
        <w:rPr>
          <w:lang w:val="fr-CH"/>
        </w:rPr>
        <w:t>« </w:t>
      </w:r>
      <w:r w:rsidR="00F578B9" w:rsidRPr="009E4D20">
        <w:rPr>
          <w:i/>
          <w:lang w:val="fr-CH"/>
        </w:rPr>
        <w:t>Prot</w:t>
      </w:r>
      <w:r w:rsidR="007A3F3F">
        <w:rPr>
          <w:i/>
          <w:lang w:val="fr-CH"/>
        </w:rPr>
        <w:t>éger les zones humides pour notre avenir commun </w:t>
      </w:r>
      <w:r w:rsidR="007A3F3F" w:rsidRPr="007A3F3F">
        <w:rPr>
          <w:iCs/>
          <w:lang w:val="fr-CH"/>
        </w:rPr>
        <w:t>»</w:t>
      </w:r>
      <w:r w:rsidR="00F25A82" w:rsidRPr="009E4D20">
        <w:rPr>
          <w:lang w:val="fr-CH"/>
        </w:rPr>
        <w:t>,</w:t>
      </w:r>
      <w:r w:rsidR="00F578B9" w:rsidRPr="009E4D20">
        <w:rPr>
          <w:lang w:val="fr-CH"/>
        </w:rPr>
        <w:t xml:space="preserve"> </w:t>
      </w:r>
      <w:r w:rsidR="007A3F3F">
        <w:rPr>
          <w:lang w:val="fr-CH"/>
        </w:rPr>
        <w:t>a</w:t>
      </w:r>
      <w:r w:rsidR="00CF22DC">
        <w:rPr>
          <w:lang w:val="fr-CH"/>
        </w:rPr>
        <w:t> </w:t>
      </w:r>
      <w:r w:rsidR="007A3F3F">
        <w:rPr>
          <w:lang w:val="fr-CH"/>
        </w:rPr>
        <w:t>été communiqué au Sous</w:t>
      </w:r>
      <w:r w:rsidR="007A3F3F">
        <w:rPr>
          <w:lang w:val="fr-CH"/>
        </w:rPr>
        <w:noBreakHyphen/>
        <w:t xml:space="preserve">groupe sur la </w:t>
      </w:r>
      <w:r w:rsidR="004F200A" w:rsidRPr="009E4D20">
        <w:rPr>
          <w:lang w:val="fr-CH"/>
        </w:rPr>
        <w:t xml:space="preserve">COP15 </w:t>
      </w:r>
      <w:r w:rsidR="007A3F3F">
        <w:rPr>
          <w:lang w:val="fr-CH"/>
        </w:rPr>
        <w:t>à sa réunion du 17 janvier. Les membres du Sous</w:t>
      </w:r>
      <w:r w:rsidR="007A3F3F">
        <w:rPr>
          <w:lang w:val="fr-CH"/>
        </w:rPr>
        <w:noBreakHyphen/>
        <w:t>groupe ont exprimé leur appui à ce thème et ont décidé de le communiquer</w:t>
      </w:r>
      <w:r w:rsidR="0058061F">
        <w:rPr>
          <w:lang w:val="fr-CH"/>
        </w:rPr>
        <w:t>,</w:t>
      </w:r>
      <w:r w:rsidR="007A3F3F">
        <w:rPr>
          <w:lang w:val="fr-CH"/>
        </w:rPr>
        <w:t xml:space="preserve"> pour approbation</w:t>
      </w:r>
      <w:r w:rsidR="0058061F">
        <w:rPr>
          <w:lang w:val="fr-CH"/>
        </w:rPr>
        <w:t>,</w:t>
      </w:r>
      <w:r w:rsidR="007A3F3F">
        <w:rPr>
          <w:lang w:val="fr-CH"/>
        </w:rPr>
        <w:t xml:space="preserve"> à la 63</w:t>
      </w:r>
      <w:r w:rsidR="007A3F3F" w:rsidRPr="007A3F3F">
        <w:rPr>
          <w:vertAlign w:val="superscript"/>
          <w:lang w:val="fr-CH"/>
        </w:rPr>
        <w:t>e</w:t>
      </w:r>
      <w:r w:rsidR="007A3F3F">
        <w:rPr>
          <w:lang w:val="fr-CH"/>
        </w:rPr>
        <w:t> Réunion du Comité permanent. Le pays hôte a préparé un logo qui sera communiqué au Sous</w:t>
      </w:r>
      <w:r w:rsidR="007A3F3F">
        <w:rPr>
          <w:lang w:val="fr-CH"/>
        </w:rPr>
        <w:noBreakHyphen/>
        <w:t xml:space="preserve">groupe sur la COP15 à l’occasion de sa réunion du 17 avril. </w:t>
      </w:r>
      <w:r w:rsidR="009C11FF">
        <w:rPr>
          <w:lang w:val="fr-CH"/>
        </w:rPr>
        <w:t xml:space="preserve">Après examen </w:t>
      </w:r>
      <w:r w:rsidR="0058061F">
        <w:rPr>
          <w:lang w:val="fr-CH"/>
        </w:rPr>
        <w:t>par le</w:t>
      </w:r>
      <w:r w:rsidR="009C11FF">
        <w:rPr>
          <w:lang w:val="fr-CH"/>
        </w:rPr>
        <w:t xml:space="preserve"> Sous</w:t>
      </w:r>
      <w:r w:rsidR="009C11FF">
        <w:rPr>
          <w:lang w:val="fr-CH"/>
        </w:rPr>
        <w:noBreakHyphen/>
        <w:t>groupe, un projet de logo final sera présenté à la 63</w:t>
      </w:r>
      <w:r w:rsidR="009C11FF" w:rsidRPr="009C11FF">
        <w:rPr>
          <w:vertAlign w:val="superscript"/>
          <w:lang w:val="fr-CH"/>
        </w:rPr>
        <w:t>e</w:t>
      </w:r>
      <w:r w:rsidR="009C11FF">
        <w:rPr>
          <w:lang w:val="fr-CH"/>
        </w:rPr>
        <w:t xml:space="preserve"> Réunion du Comité permanent, pour approbation. </w:t>
      </w:r>
    </w:p>
    <w:p w14:paraId="5985264A" w14:textId="77777777" w:rsidR="006D1F81" w:rsidRPr="009E4D20" w:rsidRDefault="006D1F81" w:rsidP="006D1F81">
      <w:pPr>
        <w:pStyle w:val="NoSpacing"/>
        <w:ind w:left="426" w:hanging="426"/>
        <w:rPr>
          <w:lang w:val="fr-CH"/>
        </w:rPr>
      </w:pPr>
    </w:p>
    <w:p w14:paraId="641AC756" w14:textId="258B057E" w:rsidR="007C5D02" w:rsidRPr="009E4D20" w:rsidRDefault="006D1F81" w:rsidP="006D1F81">
      <w:pPr>
        <w:pStyle w:val="NoSpacing"/>
        <w:ind w:left="426" w:hanging="426"/>
        <w:rPr>
          <w:lang w:val="fr-CH"/>
        </w:rPr>
      </w:pPr>
      <w:r w:rsidRPr="009E4D20">
        <w:rPr>
          <w:lang w:val="fr-CH"/>
        </w:rPr>
        <w:t>7.</w:t>
      </w:r>
      <w:r w:rsidRPr="009E4D20">
        <w:rPr>
          <w:lang w:val="fr-CH"/>
        </w:rPr>
        <w:tab/>
      </w:r>
      <w:r w:rsidR="009C11FF">
        <w:rPr>
          <w:lang w:val="fr-CH"/>
        </w:rPr>
        <w:t xml:space="preserve">Une équipe de coordination de la </w:t>
      </w:r>
      <w:r w:rsidR="00613E76" w:rsidRPr="009E4D20">
        <w:rPr>
          <w:lang w:val="fr-CH"/>
        </w:rPr>
        <w:t xml:space="preserve">COP15 </w:t>
      </w:r>
      <w:r w:rsidR="009C11FF">
        <w:rPr>
          <w:lang w:val="fr-CH"/>
        </w:rPr>
        <w:t xml:space="preserve">comprenant des représentants du Secrétariat et du pays hôte a été établie pour superviser les préparatifs en cours pour la COP15. Cette équipe se réunit régulièrement par vidéoconférence </w:t>
      </w:r>
      <w:r w:rsidR="009C2F4B">
        <w:rPr>
          <w:lang w:val="fr-CH"/>
        </w:rPr>
        <w:t xml:space="preserve">en utilisant le calendrier d’organisation et de planification de la COP préparé par le Secrétariat comme base de discussion et </w:t>
      </w:r>
      <w:r w:rsidR="003C53FE">
        <w:rPr>
          <w:lang w:val="fr-CH"/>
        </w:rPr>
        <w:t>pour prendre des</w:t>
      </w:r>
      <w:r w:rsidR="009C2F4B">
        <w:rPr>
          <w:lang w:val="fr-CH"/>
        </w:rPr>
        <w:t xml:space="preserve"> décisions sur les mesures requises.</w:t>
      </w:r>
      <w:r w:rsidR="00613E76" w:rsidRPr="009E4D20">
        <w:rPr>
          <w:lang w:val="fr-CH"/>
        </w:rPr>
        <w:t xml:space="preserve"> </w:t>
      </w:r>
    </w:p>
    <w:p w14:paraId="725E2201" w14:textId="77777777" w:rsidR="00BB0BD0" w:rsidRPr="009E4D20" w:rsidRDefault="00BB0BD0" w:rsidP="006D1F81">
      <w:pPr>
        <w:pStyle w:val="NoSpacing"/>
        <w:ind w:left="426" w:hanging="426"/>
        <w:rPr>
          <w:lang w:val="fr-CH"/>
        </w:rPr>
      </w:pPr>
    </w:p>
    <w:p w14:paraId="204B728E" w14:textId="40D34D66" w:rsidR="00F13297" w:rsidRPr="009E4D20" w:rsidRDefault="00753343" w:rsidP="006D1F81">
      <w:pPr>
        <w:pStyle w:val="NoSpacing"/>
        <w:ind w:left="426" w:hanging="426"/>
        <w:rPr>
          <w:lang w:val="fr-CH"/>
        </w:rPr>
      </w:pPr>
      <w:r w:rsidRPr="009E4D20">
        <w:rPr>
          <w:lang w:val="fr-CH"/>
        </w:rPr>
        <w:t>8</w:t>
      </w:r>
      <w:r w:rsidR="00BB0BD0" w:rsidRPr="009E4D20">
        <w:rPr>
          <w:lang w:val="fr-CH"/>
        </w:rPr>
        <w:t>.</w:t>
      </w:r>
      <w:r w:rsidR="00BB0BD0" w:rsidRPr="009E4D20">
        <w:rPr>
          <w:lang w:val="fr-CH"/>
        </w:rPr>
        <w:tab/>
      </w:r>
      <w:r w:rsidR="00936463">
        <w:rPr>
          <w:lang w:val="fr-CH"/>
        </w:rPr>
        <w:t xml:space="preserve">Une deuxième visite du site par le Secrétariat est prévue pour la semaine du 8 avril 2024. L’objectif est de faire progresser les dispositions logistiques sur les lieux de réunion, les </w:t>
      </w:r>
      <w:r w:rsidR="003C53FE">
        <w:rPr>
          <w:lang w:val="fr-CH"/>
        </w:rPr>
        <w:t>équipements</w:t>
      </w:r>
      <w:r w:rsidR="00936463">
        <w:rPr>
          <w:lang w:val="fr-CH"/>
        </w:rPr>
        <w:t xml:space="preserve"> et la fourniture de services techniques.</w:t>
      </w:r>
      <w:r w:rsidR="00495EB9" w:rsidRPr="009E4D20">
        <w:rPr>
          <w:lang w:val="fr-CH"/>
        </w:rPr>
        <w:t xml:space="preserve"> </w:t>
      </w:r>
    </w:p>
    <w:p w14:paraId="09768489" w14:textId="77777777" w:rsidR="009D4C0B" w:rsidRPr="009E4D20" w:rsidRDefault="009D4C0B" w:rsidP="006D1F81">
      <w:pPr>
        <w:pStyle w:val="NoSpacing"/>
        <w:ind w:left="0" w:firstLine="0"/>
        <w:rPr>
          <w:lang w:val="fr-CH"/>
        </w:rPr>
      </w:pPr>
    </w:p>
    <w:p w14:paraId="22C7322B" w14:textId="44E7502B" w:rsidR="009D4C0B" w:rsidRPr="009E4D20" w:rsidRDefault="00936463" w:rsidP="006D1F81">
      <w:pPr>
        <w:pStyle w:val="NoSpacing"/>
        <w:rPr>
          <w:b/>
          <w:lang w:val="fr-CH"/>
        </w:rPr>
      </w:pPr>
      <w:r>
        <w:rPr>
          <w:b/>
          <w:lang w:val="fr-CH"/>
        </w:rPr>
        <w:t xml:space="preserve">Calendrier jusqu’à la </w:t>
      </w:r>
      <w:r w:rsidR="009D4C0B" w:rsidRPr="009E4D20">
        <w:rPr>
          <w:b/>
          <w:lang w:val="fr-CH"/>
        </w:rPr>
        <w:t>COP15</w:t>
      </w:r>
    </w:p>
    <w:p w14:paraId="4EDC7084" w14:textId="77777777" w:rsidR="0060600F" w:rsidRPr="009E4D20" w:rsidRDefault="0060600F" w:rsidP="006D1F81">
      <w:pPr>
        <w:pStyle w:val="NoSpacing"/>
        <w:ind w:left="0" w:firstLine="0"/>
        <w:rPr>
          <w:lang w:val="fr-CH"/>
        </w:rPr>
      </w:pPr>
    </w:p>
    <w:p w14:paraId="79D54A12" w14:textId="188D1B44" w:rsidR="009D4C0B" w:rsidRPr="009E4D20" w:rsidRDefault="00753343" w:rsidP="006D1F81">
      <w:pPr>
        <w:pStyle w:val="NoSpacing"/>
        <w:rPr>
          <w:lang w:val="fr-CH"/>
        </w:rPr>
      </w:pPr>
      <w:r w:rsidRPr="009E4D20">
        <w:rPr>
          <w:lang w:val="fr-CH"/>
        </w:rPr>
        <w:t>9</w:t>
      </w:r>
      <w:r w:rsidR="0060600F" w:rsidRPr="009E4D20">
        <w:rPr>
          <w:lang w:val="fr-CH"/>
        </w:rPr>
        <w:t>.</w:t>
      </w:r>
      <w:r w:rsidR="0060600F" w:rsidRPr="009E4D20">
        <w:rPr>
          <w:lang w:val="fr-CH"/>
        </w:rPr>
        <w:tab/>
      </w:r>
      <w:r w:rsidR="00936463">
        <w:rPr>
          <w:lang w:val="fr-CH"/>
        </w:rPr>
        <w:t xml:space="preserve">Le tableau 1 fournit un calendrier provisoire fondé sur les dates approuvées pour la COP15. Les dates exactes pour les délais de soumission des propositions </w:t>
      </w:r>
      <w:r w:rsidR="004E7EC2">
        <w:rPr>
          <w:lang w:val="fr-CH"/>
        </w:rPr>
        <w:t>d’amendement du Règlement intérieur et de soumission de projets de résolutions dépendront des dates choisies pour la 64</w:t>
      </w:r>
      <w:r w:rsidR="004E7EC2" w:rsidRPr="004E7EC2">
        <w:rPr>
          <w:vertAlign w:val="superscript"/>
          <w:lang w:val="fr-CH"/>
        </w:rPr>
        <w:t>e</w:t>
      </w:r>
      <w:r w:rsidR="004E7EC2">
        <w:rPr>
          <w:lang w:val="fr-CH"/>
        </w:rPr>
        <w:t> Réunion du Comité permanent. Les dates de cette réunion seront examinées à la 63</w:t>
      </w:r>
      <w:r w:rsidR="004E7EC2" w:rsidRPr="004E7EC2">
        <w:rPr>
          <w:vertAlign w:val="superscript"/>
          <w:lang w:val="fr-CH"/>
        </w:rPr>
        <w:t>e</w:t>
      </w:r>
      <w:r w:rsidR="004E7EC2">
        <w:rPr>
          <w:lang w:val="fr-CH"/>
        </w:rPr>
        <w:t> Réunion du Comité permanent.</w:t>
      </w:r>
      <w:r w:rsidR="000E224B" w:rsidRPr="009E4D20">
        <w:rPr>
          <w:lang w:val="fr-CH"/>
        </w:rPr>
        <w:t xml:space="preserve"> </w:t>
      </w:r>
    </w:p>
    <w:p w14:paraId="068797BE" w14:textId="77777777" w:rsidR="009D4C0B" w:rsidRPr="009E4D20" w:rsidRDefault="009D4C0B" w:rsidP="006D1F81">
      <w:pPr>
        <w:rPr>
          <w:lang w:val="fr-CH"/>
        </w:rPr>
      </w:pPr>
    </w:p>
    <w:p w14:paraId="1AD5099A" w14:textId="37109312" w:rsidR="009D4C0B" w:rsidRPr="009E4D20" w:rsidRDefault="009D4C0B" w:rsidP="006D1F81">
      <w:pPr>
        <w:rPr>
          <w:i/>
          <w:lang w:val="fr-CH"/>
        </w:rPr>
      </w:pPr>
      <w:r w:rsidRPr="009E4D20">
        <w:rPr>
          <w:i/>
          <w:lang w:val="fr-CH"/>
        </w:rPr>
        <w:t>Table</w:t>
      </w:r>
      <w:r w:rsidR="004E7EC2">
        <w:rPr>
          <w:i/>
          <w:lang w:val="fr-CH"/>
        </w:rPr>
        <w:t>au</w:t>
      </w:r>
      <w:r w:rsidRPr="009E4D20">
        <w:rPr>
          <w:i/>
          <w:lang w:val="fr-CH"/>
        </w:rPr>
        <w:t xml:space="preserve"> 1</w:t>
      </w:r>
      <w:r w:rsidR="004E7EC2">
        <w:rPr>
          <w:i/>
          <w:lang w:val="fr-CH"/>
        </w:rPr>
        <w:t> </w:t>
      </w:r>
      <w:r w:rsidR="00B67A88" w:rsidRPr="009E4D20">
        <w:rPr>
          <w:i/>
          <w:lang w:val="fr-CH"/>
        </w:rPr>
        <w:t>:</w:t>
      </w:r>
      <w:r w:rsidRPr="009E4D20">
        <w:rPr>
          <w:i/>
          <w:lang w:val="fr-CH"/>
        </w:rPr>
        <w:t xml:space="preserve"> </w:t>
      </w:r>
      <w:r w:rsidR="004E7EC2">
        <w:rPr>
          <w:i/>
          <w:lang w:val="fr-CH"/>
        </w:rPr>
        <w:t xml:space="preserve">Calendrier jusqu’à la </w:t>
      </w:r>
      <w:r w:rsidRPr="009E4D20">
        <w:rPr>
          <w:i/>
          <w:lang w:val="fr-CH"/>
        </w:rPr>
        <w:t>COP15</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11"/>
      </w:tblGrid>
      <w:tr w:rsidR="009D4C0B" w:rsidRPr="009E4D20" w14:paraId="550B26DA" w14:textId="77777777" w:rsidTr="00B12773">
        <w:tc>
          <w:tcPr>
            <w:tcW w:w="2405" w:type="dxa"/>
            <w:vAlign w:val="center"/>
          </w:tcPr>
          <w:p w14:paraId="79DE078C" w14:textId="77777777" w:rsidR="009D4C0B" w:rsidRPr="009E4D20" w:rsidDel="001E3692" w:rsidRDefault="009D4C0B" w:rsidP="006D1F81">
            <w:pPr>
              <w:ind w:left="0" w:firstLine="0"/>
              <w:jc w:val="center"/>
              <w:rPr>
                <w:rFonts w:asciiTheme="minorHAnsi" w:eastAsia="Times New Roman" w:hAnsiTheme="minorHAnsi" w:cstheme="minorHAnsi"/>
                <w:b/>
                <w:bCs/>
                <w:color w:val="000000"/>
                <w:lang w:val="fr-CH"/>
              </w:rPr>
            </w:pPr>
            <w:r w:rsidRPr="009E4D20">
              <w:rPr>
                <w:rFonts w:asciiTheme="minorHAnsi" w:eastAsia="Times New Roman" w:hAnsiTheme="minorHAnsi" w:cstheme="minorHAnsi"/>
                <w:b/>
                <w:bCs/>
                <w:color w:val="000000"/>
                <w:lang w:val="fr-CH"/>
              </w:rPr>
              <w:t>Date</w:t>
            </w:r>
          </w:p>
        </w:tc>
        <w:tc>
          <w:tcPr>
            <w:tcW w:w="6611" w:type="dxa"/>
            <w:shd w:val="clear" w:color="auto" w:fill="auto"/>
            <w:noWrap/>
            <w:vAlign w:val="center"/>
          </w:tcPr>
          <w:p w14:paraId="55D48550" w14:textId="5A0FB035" w:rsidR="009D4C0B" w:rsidRPr="009E4D20" w:rsidRDefault="004E7EC2" w:rsidP="006D1F81">
            <w:pPr>
              <w:ind w:left="0" w:firstLine="0"/>
              <w:jc w:val="center"/>
              <w:rPr>
                <w:rFonts w:asciiTheme="minorHAnsi" w:eastAsia="Times New Roman" w:hAnsiTheme="minorHAnsi" w:cstheme="minorHAnsi"/>
                <w:b/>
                <w:bCs/>
                <w:color w:val="000000"/>
                <w:lang w:val="fr-CH"/>
              </w:rPr>
            </w:pPr>
            <w:r>
              <w:rPr>
                <w:rFonts w:asciiTheme="minorHAnsi" w:eastAsia="Times New Roman" w:hAnsiTheme="minorHAnsi" w:cstheme="minorHAnsi"/>
                <w:b/>
                <w:bCs/>
                <w:color w:val="000000"/>
                <w:lang w:val="fr-CH"/>
              </w:rPr>
              <w:t>Activité</w:t>
            </w:r>
          </w:p>
        </w:tc>
      </w:tr>
      <w:tr w:rsidR="009D4C0B" w:rsidRPr="00AF25F4" w14:paraId="3FCA1846" w14:textId="77777777" w:rsidTr="00B12773">
        <w:tc>
          <w:tcPr>
            <w:tcW w:w="2405" w:type="dxa"/>
            <w:vAlign w:val="center"/>
          </w:tcPr>
          <w:p w14:paraId="27DE5C67" w14:textId="3F125F9C" w:rsidR="009D4C0B" w:rsidRPr="009E4D20" w:rsidRDefault="00AA5CDC" w:rsidP="006D1F81">
            <w:pPr>
              <w:ind w:left="0" w:firstLine="0"/>
              <w:rPr>
                <w:rFonts w:asciiTheme="minorHAnsi" w:eastAsia="Times New Roman" w:hAnsiTheme="minorHAnsi" w:cstheme="minorHAnsi"/>
                <w:b/>
                <w:bCs/>
                <w:color w:val="000000"/>
                <w:lang w:val="fr-CH"/>
              </w:rPr>
            </w:pPr>
            <w:r w:rsidRPr="009E4D20">
              <w:rPr>
                <w:rFonts w:asciiTheme="minorHAnsi" w:eastAsia="Times New Roman" w:hAnsiTheme="minorHAnsi" w:cstheme="minorHAnsi"/>
                <w:b/>
                <w:bCs/>
                <w:color w:val="000000"/>
                <w:lang w:val="fr-CH"/>
              </w:rPr>
              <w:t>23-</w:t>
            </w:r>
            <w:r w:rsidRPr="003C53FE">
              <w:rPr>
                <w:rFonts w:asciiTheme="minorHAnsi" w:eastAsia="Times New Roman" w:hAnsiTheme="minorHAnsi" w:cstheme="minorHAnsi"/>
                <w:b/>
                <w:bCs/>
                <w:color w:val="000000"/>
                <w:lang w:val="fr-CH"/>
              </w:rPr>
              <w:t>31</w:t>
            </w:r>
            <w:r w:rsidR="009D4C0B" w:rsidRPr="009E4D20">
              <w:rPr>
                <w:rFonts w:asciiTheme="minorHAnsi" w:eastAsia="Times New Roman" w:hAnsiTheme="minorHAnsi" w:cstheme="minorHAnsi"/>
                <w:b/>
                <w:bCs/>
                <w:color w:val="000000"/>
                <w:lang w:val="fr-CH"/>
              </w:rPr>
              <w:t xml:space="preserve"> </w:t>
            </w:r>
            <w:r w:rsidR="004E7EC2">
              <w:rPr>
                <w:rFonts w:asciiTheme="minorHAnsi" w:eastAsia="Times New Roman" w:hAnsiTheme="minorHAnsi" w:cstheme="minorHAnsi"/>
                <w:b/>
                <w:bCs/>
                <w:color w:val="000000"/>
                <w:lang w:val="fr-CH"/>
              </w:rPr>
              <w:t>juillet</w:t>
            </w:r>
            <w:r w:rsidR="00A41A70" w:rsidRPr="009E4D20">
              <w:rPr>
                <w:rFonts w:asciiTheme="minorHAnsi" w:eastAsia="Times New Roman" w:hAnsiTheme="minorHAnsi" w:cstheme="minorHAnsi"/>
                <w:b/>
                <w:bCs/>
                <w:color w:val="000000"/>
                <w:lang w:val="fr-CH"/>
              </w:rPr>
              <w:t xml:space="preserve"> </w:t>
            </w:r>
            <w:r w:rsidR="009D4C0B" w:rsidRPr="009E4D20">
              <w:rPr>
                <w:rFonts w:asciiTheme="minorHAnsi" w:eastAsia="Times New Roman" w:hAnsiTheme="minorHAnsi" w:cstheme="minorHAnsi"/>
                <w:b/>
                <w:bCs/>
                <w:color w:val="000000"/>
                <w:lang w:val="fr-CH"/>
              </w:rPr>
              <w:t>202</w:t>
            </w:r>
            <w:r w:rsidR="00CF522F" w:rsidRPr="009E4D20">
              <w:rPr>
                <w:rFonts w:asciiTheme="minorHAnsi" w:eastAsia="Times New Roman" w:hAnsiTheme="minorHAnsi" w:cstheme="minorHAnsi"/>
                <w:b/>
                <w:bCs/>
                <w:color w:val="000000"/>
                <w:lang w:val="fr-CH"/>
              </w:rPr>
              <w:t>5</w:t>
            </w:r>
          </w:p>
        </w:tc>
        <w:tc>
          <w:tcPr>
            <w:tcW w:w="6611" w:type="dxa"/>
            <w:shd w:val="clear" w:color="auto" w:fill="auto"/>
            <w:noWrap/>
            <w:vAlign w:val="center"/>
          </w:tcPr>
          <w:p w14:paraId="188BA1C7" w14:textId="5C2C8C1D" w:rsidR="009D4C0B" w:rsidRPr="009E4D20" w:rsidRDefault="009D4C0B" w:rsidP="006D1F81">
            <w:pPr>
              <w:ind w:left="0" w:firstLine="0"/>
              <w:rPr>
                <w:rFonts w:asciiTheme="minorHAnsi" w:eastAsia="Times New Roman" w:hAnsiTheme="minorHAnsi" w:cstheme="minorHAnsi"/>
                <w:b/>
                <w:bCs/>
                <w:color w:val="000000"/>
                <w:lang w:val="fr-CH"/>
              </w:rPr>
            </w:pPr>
            <w:r w:rsidRPr="009E4D20">
              <w:rPr>
                <w:b/>
                <w:lang w:val="fr-CH"/>
              </w:rPr>
              <w:t>15</w:t>
            </w:r>
            <w:r w:rsidR="004E7EC2" w:rsidRPr="004E7EC2">
              <w:rPr>
                <w:b/>
                <w:vertAlign w:val="superscript"/>
                <w:lang w:val="fr-CH"/>
              </w:rPr>
              <w:t>e</w:t>
            </w:r>
            <w:r w:rsidR="004E7EC2">
              <w:rPr>
                <w:b/>
                <w:lang w:val="fr-CH"/>
              </w:rPr>
              <w:t xml:space="preserve"> Session de la Conférence des Parties contractantes </w:t>
            </w:r>
            <w:r w:rsidRPr="009E4D20">
              <w:rPr>
                <w:b/>
                <w:lang w:val="fr-CH"/>
              </w:rPr>
              <w:t>(</w:t>
            </w:r>
            <w:r w:rsidRPr="009E4D20">
              <w:rPr>
                <w:rFonts w:cs="Arial"/>
                <w:b/>
                <w:lang w:val="fr-CH"/>
              </w:rPr>
              <w:t>COP15</w:t>
            </w:r>
            <w:r w:rsidRPr="009E4D20">
              <w:rPr>
                <w:b/>
                <w:lang w:val="fr-CH"/>
              </w:rPr>
              <w:t>)</w:t>
            </w:r>
          </w:p>
        </w:tc>
      </w:tr>
      <w:tr w:rsidR="009D4C0B" w:rsidRPr="00AF25F4" w14:paraId="1E361BA5" w14:textId="77777777" w:rsidTr="00B12773">
        <w:tc>
          <w:tcPr>
            <w:tcW w:w="2405" w:type="dxa"/>
            <w:vAlign w:val="bottom"/>
          </w:tcPr>
          <w:p w14:paraId="47120C1F" w14:textId="7D289308" w:rsidR="009D4C0B" w:rsidRPr="009E4D20" w:rsidRDefault="004E7EC2" w:rsidP="006D1F81">
            <w:pPr>
              <w:ind w:left="0" w:firstLine="0"/>
              <w:rPr>
                <w:rFonts w:asciiTheme="minorHAnsi" w:eastAsia="Times New Roman" w:hAnsiTheme="minorHAnsi" w:cstheme="minorHAnsi"/>
                <w:color w:val="000000"/>
                <w:lang w:val="fr-CH"/>
              </w:rPr>
            </w:pPr>
            <w:r w:rsidRPr="003C53FE">
              <w:rPr>
                <w:rFonts w:asciiTheme="minorHAnsi" w:eastAsia="Times New Roman" w:hAnsiTheme="minorHAnsi" w:cstheme="minorHAnsi"/>
                <w:color w:val="000000"/>
                <w:lang w:val="fr-CH"/>
              </w:rPr>
              <w:t xml:space="preserve">25 avril </w:t>
            </w:r>
            <w:r w:rsidR="004B49EB" w:rsidRPr="003C53FE">
              <w:rPr>
                <w:rFonts w:asciiTheme="minorHAnsi" w:eastAsia="Times New Roman" w:hAnsiTheme="minorHAnsi" w:cstheme="minorHAnsi"/>
                <w:color w:val="000000"/>
                <w:lang w:val="fr-CH"/>
              </w:rPr>
              <w:t>2025</w:t>
            </w:r>
          </w:p>
        </w:tc>
        <w:tc>
          <w:tcPr>
            <w:tcW w:w="6611" w:type="dxa"/>
            <w:shd w:val="clear" w:color="auto" w:fill="auto"/>
            <w:noWrap/>
            <w:vAlign w:val="bottom"/>
            <w:hideMark/>
          </w:tcPr>
          <w:p w14:paraId="1A67E12C" w14:textId="5EDF83AF" w:rsidR="009D4C0B" w:rsidRPr="009E4D20" w:rsidRDefault="00325378" w:rsidP="006D1F81">
            <w:pPr>
              <w:ind w:left="0" w:firstLine="0"/>
              <w:rPr>
                <w:rFonts w:asciiTheme="minorHAnsi" w:eastAsia="Times New Roman" w:hAnsiTheme="minorHAnsi" w:cstheme="minorHAnsi"/>
                <w:color w:val="000000"/>
                <w:lang w:val="fr-CH"/>
              </w:rPr>
            </w:pPr>
            <w:r>
              <w:rPr>
                <w:rFonts w:asciiTheme="minorHAnsi" w:eastAsia="Times New Roman" w:hAnsiTheme="minorHAnsi" w:cstheme="minorHAnsi"/>
                <w:color w:val="000000"/>
                <w:lang w:val="fr-CH"/>
              </w:rPr>
              <w:t xml:space="preserve">Publication des documents de la </w:t>
            </w:r>
            <w:r w:rsidR="009D4C0B" w:rsidRPr="009E4D20">
              <w:rPr>
                <w:rFonts w:asciiTheme="minorHAnsi" w:eastAsia="Times New Roman" w:hAnsiTheme="minorHAnsi" w:cstheme="minorHAnsi"/>
                <w:color w:val="000000"/>
                <w:lang w:val="fr-CH"/>
              </w:rPr>
              <w:t>COP1</w:t>
            </w:r>
            <w:r w:rsidR="00B05563" w:rsidRPr="009E4D20">
              <w:rPr>
                <w:rFonts w:asciiTheme="minorHAnsi" w:eastAsia="Times New Roman" w:hAnsiTheme="minorHAnsi" w:cstheme="minorHAnsi"/>
                <w:color w:val="000000"/>
                <w:lang w:val="fr-CH"/>
              </w:rPr>
              <w:t>5</w:t>
            </w:r>
            <w:r w:rsidR="009D4C0B" w:rsidRPr="009E4D20">
              <w:rPr>
                <w:rFonts w:asciiTheme="minorHAnsi" w:eastAsia="Times New Roman" w:hAnsiTheme="minorHAnsi" w:cstheme="minorHAnsi"/>
                <w:color w:val="000000"/>
                <w:lang w:val="fr-CH"/>
              </w:rPr>
              <w:t xml:space="preserve"> </w:t>
            </w:r>
          </w:p>
        </w:tc>
      </w:tr>
      <w:tr w:rsidR="009876A6" w:rsidRPr="00AF25F4" w14:paraId="7169C9CF" w14:textId="77777777" w:rsidTr="00B10616">
        <w:tc>
          <w:tcPr>
            <w:tcW w:w="2405" w:type="dxa"/>
          </w:tcPr>
          <w:p w14:paraId="1CCF476F" w14:textId="173D7F2A" w:rsidR="009876A6" w:rsidRPr="009E4D20" w:rsidRDefault="004E7EC2" w:rsidP="00B10616">
            <w:pPr>
              <w:ind w:left="0" w:firstLine="0"/>
              <w:rPr>
                <w:rFonts w:asciiTheme="minorHAnsi" w:eastAsia="Times New Roman" w:hAnsiTheme="minorHAnsi" w:cstheme="minorHAnsi"/>
                <w:color w:val="000000"/>
                <w:lang w:val="fr-CH"/>
              </w:rPr>
            </w:pPr>
            <w:r>
              <w:rPr>
                <w:rFonts w:asciiTheme="minorHAnsi" w:eastAsia="Times New Roman" w:hAnsiTheme="minorHAnsi" w:cstheme="minorHAnsi"/>
                <w:color w:val="000000"/>
                <w:lang w:val="fr-CH"/>
              </w:rPr>
              <w:t>Mars</w:t>
            </w:r>
            <w:r w:rsidR="00A836B4" w:rsidRPr="009E4D20">
              <w:rPr>
                <w:rFonts w:asciiTheme="minorHAnsi" w:eastAsia="Times New Roman" w:hAnsiTheme="minorHAnsi" w:cstheme="minorHAnsi"/>
                <w:color w:val="000000"/>
                <w:lang w:val="fr-CH"/>
              </w:rPr>
              <w:t xml:space="preserve"> 2025</w:t>
            </w:r>
          </w:p>
        </w:tc>
        <w:tc>
          <w:tcPr>
            <w:tcW w:w="6611" w:type="dxa"/>
            <w:shd w:val="clear" w:color="auto" w:fill="auto"/>
            <w:noWrap/>
            <w:vAlign w:val="bottom"/>
          </w:tcPr>
          <w:p w14:paraId="56F43388" w14:textId="14E9BF8C" w:rsidR="009876A6" w:rsidRPr="009E4D20" w:rsidRDefault="00325378" w:rsidP="006D1F81">
            <w:pPr>
              <w:ind w:left="0" w:firstLine="0"/>
              <w:rPr>
                <w:rFonts w:asciiTheme="minorHAnsi" w:eastAsia="Times New Roman" w:hAnsiTheme="minorHAnsi" w:cstheme="minorHAnsi"/>
                <w:color w:val="000000"/>
                <w:lang w:val="fr-CH"/>
              </w:rPr>
            </w:pPr>
            <w:r>
              <w:rPr>
                <w:rFonts w:asciiTheme="minorHAnsi" w:eastAsia="Times New Roman" w:hAnsiTheme="minorHAnsi" w:cstheme="minorHAnsi"/>
                <w:color w:val="000000"/>
                <w:lang w:val="fr-CH"/>
              </w:rPr>
              <w:t xml:space="preserve">Les Parties contractantes soumettent au Secrétariat des propositions d’amendement du Règlement intérieur </w:t>
            </w:r>
          </w:p>
        </w:tc>
      </w:tr>
      <w:tr w:rsidR="009D4C0B" w:rsidRPr="00AF25F4" w14:paraId="080AC330" w14:textId="77777777" w:rsidTr="00B12773">
        <w:tc>
          <w:tcPr>
            <w:tcW w:w="2405" w:type="dxa"/>
            <w:vAlign w:val="bottom"/>
          </w:tcPr>
          <w:p w14:paraId="02700F80" w14:textId="617381E1" w:rsidR="009D4C0B" w:rsidRPr="009E4D20" w:rsidRDefault="004E7EC2" w:rsidP="006D1F81">
            <w:pPr>
              <w:ind w:left="0" w:firstLine="0"/>
              <w:rPr>
                <w:rFonts w:asciiTheme="minorHAnsi" w:eastAsia="Times New Roman" w:hAnsiTheme="minorHAnsi" w:cstheme="minorHAnsi"/>
                <w:color w:val="000000"/>
                <w:lang w:val="fr-CH"/>
              </w:rPr>
            </w:pPr>
            <w:r>
              <w:rPr>
                <w:rFonts w:asciiTheme="minorHAnsi" w:eastAsia="Times New Roman" w:hAnsiTheme="minorHAnsi" w:cstheme="minorHAnsi"/>
                <w:color w:val="000000"/>
                <w:lang w:val="fr-CH"/>
              </w:rPr>
              <w:t>Janvier</w:t>
            </w:r>
            <w:r w:rsidR="004B49EB" w:rsidRPr="009E4D20">
              <w:rPr>
                <w:rFonts w:asciiTheme="minorHAnsi" w:eastAsia="Times New Roman" w:hAnsiTheme="minorHAnsi" w:cstheme="minorHAnsi"/>
                <w:color w:val="000000"/>
                <w:lang w:val="fr-CH"/>
              </w:rPr>
              <w:t xml:space="preserve"> 2025</w:t>
            </w:r>
          </w:p>
        </w:tc>
        <w:tc>
          <w:tcPr>
            <w:tcW w:w="6611" w:type="dxa"/>
            <w:shd w:val="clear" w:color="auto" w:fill="auto"/>
            <w:noWrap/>
            <w:hideMark/>
          </w:tcPr>
          <w:p w14:paraId="200F5A5F" w14:textId="2F8B2A87" w:rsidR="009D4C0B" w:rsidRPr="009E4D20" w:rsidRDefault="00B05563" w:rsidP="006D1F81">
            <w:pPr>
              <w:ind w:left="0" w:firstLine="0"/>
              <w:rPr>
                <w:rFonts w:asciiTheme="minorHAnsi" w:eastAsia="Times New Roman" w:hAnsiTheme="minorHAnsi" w:cstheme="minorHAnsi"/>
                <w:color w:val="000000"/>
                <w:lang w:val="fr-CH"/>
              </w:rPr>
            </w:pPr>
            <w:r w:rsidRPr="009E4D20">
              <w:rPr>
                <w:rFonts w:cs="Arial"/>
                <w:lang w:val="fr-CH"/>
              </w:rPr>
              <w:t>64</w:t>
            </w:r>
            <w:r w:rsidR="00325378" w:rsidRPr="00325378">
              <w:rPr>
                <w:rFonts w:cs="Arial"/>
                <w:vertAlign w:val="superscript"/>
                <w:lang w:val="fr-CH"/>
              </w:rPr>
              <w:t>e</w:t>
            </w:r>
            <w:r w:rsidR="00325378">
              <w:rPr>
                <w:rFonts w:cs="Arial"/>
                <w:lang w:val="fr-CH"/>
              </w:rPr>
              <w:t> Réunion du Comité permanent</w:t>
            </w:r>
            <w:r w:rsidR="009D4C0B" w:rsidRPr="009E4D20">
              <w:rPr>
                <w:rFonts w:cs="Arial"/>
                <w:lang w:val="fr-CH"/>
              </w:rPr>
              <w:t xml:space="preserve"> (SC</w:t>
            </w:r>
            <w:r w:rsidR="004B49EB" w:rsidRPr="009E4D20">
              <w:rPr>
                <w:rFonts w:cs="Arial"/>
                <w:lang w:val="fr-CH"/>
              </w:rPr>
              <w:t>64</w:t>
            </w:r>
            <w:r w:rsidR="009D4C0B" w:rsidRPr="009E4D20">
              <w:rPr>
                <w:rFonts w:cs="Arial"/>
                <w:lang w:val="fr-CH"/>
              </w:rPr>
              <w:t>)</w:t>
            </w:r>
          </w:p>
        </w:tc>
      </w:tr>
      <w:tr w:rsidR="009D4C0B" w:rsidRPr="00AF25F4" w14:paraId="1FF6D3CE" w14:textId="77777777" w:rsidTr="00B12773">
        <w:tc>
          <w:tcPr>
            <w:tcW w:w="2405" w:type="dxa"/>
            <w:vAlign w:val="bottom"/>
          </w:tcPr>
          <w:p w14:paraId="1FEEB64C" w14:textId="40244118" w:rsidR="009D4C0B" w:rsidRPr="009E4D20" w:rsidRDefault="004E7EC2" w:rsidP="006D1F81">
            <w:pPr>
              <w:ind w:left="0" w:firstLine="0"/>
              <w:rPr>
                <w:rFonts w:asciiTheme="minorHAnsi" w:eastAsia="Times New Roman" w:hAnsiTheme="minorHAnsi" w:cstheme="minorHAnsi"/>
                <w:color w:val="000000"/>
                <w:lang w:val="fr-CH"/>
              </w:rPr>
            </w:pPr>
            <w:r>
              <w:rPr>
                <w:rFonts w:asciiTheme="minorHAnsi" w:eastAsia="Times New Roman" w:hAnsiTheme="minorHAnsi" w:cstheme="minorHAnsi"/>
                <w:color w:val="000000"/>
                <w:lang w:val="fr-CH"/>
              </w:rPr>
              <w:t>Novembre</w:t>
            </w:r>
            <w:r w:rsidR="00FB4E2D" w:rsidRPr="009E4D20">
              <w:rPr>
                <w:rFonts w:asciiTheme="minorHAnsi" w:eastAsia="Times New Roman" w:hAnsiTheme="minorHAnsi" w:cstheme="minorHAnsi"/>
                <w:color w:val="000000"/>
                <w:lang w:val="fr-CH"/>
              </w:rPr>
              <w:t xml:space="preserve"> </w:t>
            </w:r>
            <w:r w:rsidR="004B49EB" w:rsidRPr="009E4D20">
              <w:rPr>
                <w:rFonts w:asciiTheme="minorHAnsi" w:eastAsia="Times New Roman" w:hAnsiTheme="minorHAnsi" w:cstheme="minorHAnsi"/>
                <w:color w:val="000000"/>
                <w:lang w:val="fr-CH"/>
              </w:rPr>
              <w:t>2024</w:t>
            </w:r>
          </w:p>
        </w:tc>
        <w:tc>
          <w:tcPr>
            <w:tcW w:w="6611" w:type="dxa"/>
            <w:shd w:val="clear" w:color="auto" w:fill="auto"/>
            <w:noWrap/>
            <w:vAlign w:val="bottom"/>
            <w:hideMark/>
          </w:tcPr>
          <w:p w14:paraId="23D43B62" w14:textId="735E157A" w:rsidR="009D4C0B" w:rsidRPr="009E4D20" w:rsidRDefault="009D4C0B" w:rsidP="006D1F81">
            <w:pPr>
              <w:ind w:left="0" w:firstLine="0"/>
              <w:rPr>
                <w:rFonts w:asciiTheme="minorHAnsi" w:eastAsia="Times New Roman" w:hAnsiTheme="minorHAnsi" w:cstheme="minorHAnsi"/>
                <w:color w:val="000000"/>
                <w:lang w:val="fr-CH"/>
              </w:rPr>
            </w:pPr>
            <w:r w:rsidRPr="009E4D20">
              <w:rPr>
                <w:rFonts w:asciiTheme="minorHAnsi" w:eastAsia="Times New Roman" w:hAnsiTheme="minorHAnsi" w:cstheme="minorHAnsi"/>
                <w:color w:val="000000"/>
                <w:lang w:val="fr-CH"/>
              </w:rPr>
              <w:t>S</w:t>
            </w:r>
            <w:r w:rsidR="00325378">
              <w:rPr>
                <w:rFonts w:asciiTheme="minorHAnsi" w:eastAsia="Times New Roman" w:hAnsiTheme="minorHAnsi" w:cstheme="minorHAnsi"/>
                <w:color w:val="000000"/>
                <w:lang w:val="fr-CH"/>
              </w:rPr>
              <w:t>oumission de propositions de projets de résolutions</w:t>
            </w:r>
          </w:p>
        </w:tc>
      </w:tr>
      <w:tr w:rsidR="00422D17" w:rsidRPr="009E4D20" w14:paraId="2C762AA8" w14:textId="77777777" w:rsidTr="00FB4E2D">
        <w:tc>
          <w:tcPr>
            <w:tcW w:w="2405" w:type="dxa"/>
            <w:vAlign w:val="bottom"/>
          </w:tcPr>
          <w:p w14:paraId="5B2837F6" w14:textId="4DBF88B0" w:rsidR="00422D17" w:rsidRPr="009E4D20" w:rsidRDefault="004E7EC2" w:rsidP="006D1F81">
            <w:pPr>
              <w:ind w:left="0" w:firstLine="0"/>
              <w:rPr>
                <w:rFonts w:asciiTheme="minorHAnsi" w:eastAsia="Times New Roman" w:hAnsiTheme="minorHAnsi" w:cstheme="minorHAnsi"/>
                <w:color w:val="000000"/>
                <w:lang w:val="fr-CH"/>
              </w:rPr>
            </w:pPr>
            <w:r>
              <w:rPr>
                <w:rFonts w:asciiTheme="minorHAnsi" w:eastAsia="Times New Roman" w:hAnsiTheme="minorHAnsi" w:cstheme="minorHAnsi"/>
                <w:color w:val="000000"/>
                <w:lang w:val="fr-CH"/>
              </w:rPr>
              <w:t>Décembre</w:t>
            </w:r>
            <w:r w:rsidR="00422D17" w:rsidRPr="009E4D20">
              <w:rPr>
                <w:rFonts w:asciiTheme="minorHAnsi" w:eastAsia="Times New Roman" w:hAnsiTheme="minorHAnsi" w:cstheme="minorHAnsi"/>
                <w:color w:val="000000"/>
                <w:lang w:val="fr-CH"/>
              </w:rPr>
              <w:t xml:space="preserve"> 2024 – </w:t>
            </w:r>
            <w:r>
              <w:rPr>
                <w:rFonts w:asciiTheme="minorHAnsi" w:eastAsia="Times New Roman" w:hAnsiTheme="minorHAnsi" w:cstheme="minorHAnsi"/>
                <w:color w:val="000000"/>
                <w:lang w:val="fr-CH"/>
              </w:rPr>
              <w:t>Janvier </w:t>
            </w:r>
            <w:r w:rsidR="00422D17" w:rsidRPr="009E4D20">
              <w:rPr>
                <w:rFonts w:asciiTheme="minorHAnsi" w:eastAsia="Times New Roman" w:hAnsiTheme="minorHAnsi" w:cstheme="minorHAnsi"/>
                <w:color w:val="000000"/>
                <w:lang w:val="fr-CH"/>
              </w:rPr>
              <w:t>2025</w:t>
            </w:r>
          </w:p>
        </w:tc>
        <w:tc>
          <w:tcPr>
            <w:tcW w:w="6611" w:type="dxa"/>
            <w:shd w:val="clear" w:color="auto" w:fill="auto"/>
            <w:noWrap/>
            <w:hideMark/>
          </w:tcPr>
          <w:p w14:paraId="30F7C610" w14:textId="34067262" w:rsidR="00422D17" w:rsidRPr="009E4D20" w:rsidRDefault="00995C56" w:rsidP="00FB4E2D">
            <w:pPr>
              <w:ind w:left="0" w:firstLine="0"/>
              <w:rPr>
                <w:rFonts w:asciiTheme="minorHAnsi" w:eastAsia="Times New Roman" w:hAnsiTheme="minorHAnsi" w:cstheme="minorHAnsi"/>
                <w:color w:val="000000"/>
                <w:lang w:val="fr-CH"/>
              </w:rPr>
            </w:pPr>
            <w:r>
              <w:rPr>
                <w:rFonts w:asciiTheme="minorHAnsi" w:eastAsia="Times New Roman" w:hAnsiTheme="minorHAnsi" w:cstheme="minorHAnsi"/>
                <w:color w:val="000000"/>
                <w:lang w:val="fr-CH"/>
              </w:rPr>
              <w:t>Réunions régionales pré</w:t>
            </w:r>
            <w:r>
              <w:rPr>
                <w:rFonts w:asciiTheme="minorHAnsi" w:eastAsia="Times New Roman" w:hAnsiTheme="minorHAnsi" w:cstheme="minorHAnsi"/>
                <w:color w:val="000000"/>
                <w:lang w:val="fr-CH"/>
              </w:rPr>
              <w:noBreakHyphen/>
              <w:t>COP</w:t>
            </w:r>
          </w:p>
        </w:tc>
      </w:tr>
    </w:tbl>
    <w:p w14:paraId="4C4F3683" w14:textId="77777777" w:rsidR="000E224B" w:rsidRPr="009E4D20" w:rsidRDefault="000E224B" w:rsidP="006D1F81">
      <w:pPr>
        <w:ind w:left="0" w:firstLine="0"/>
        <w:rPr>
          <w:b/>
          <w:lang w:val="fr-CH"/>
        </w:rPr>
      </w:pPr>
    </w:p>
    <w:p w14:paraId="15EB245F" w14:textId="77777777" w:rsidR="000E224B" w:rsidRPr="009E4D20" w:rsidRDefault="000E224B" w:rsidP="006D1F81">
      <w:pPr>
        <w:rPr>
          <w:b/>
          <w:lang w:val="fr-CH"/>
        </w:rPr>
      </w:pPr>
    </w:p>
    <w:p w14:paraId="78DF0FC0" w14:textId="427F45C5" w:rsidR="00911543" w:rsidRPr="009E4D20" w:rsidRDefault="00995C56" w:rsidP="006D1F81">
      <w:pPr>
        <w:ind w:left="0" w:firstLine="0"/>
        <w:rPr>
          <w:b/>
          <w:lang w:val="fr-CH"/>
        </w:rPr>
      </w:pPr>
      <w:r>
        <w:rPr>
          <w:b/>
          <w:lang w:val="fr-CH"/>
        </w:rPr>
        <w:t>Réunions régionales pré</w:t>
      </w:r>
      <w:r w:rsidR="00FB4E2D" w:rsidRPr="009E4D20">
        <w:rPr>
          <w:b/>
          <w:lang w:val="fr-CH"/>
        </w:rPr>
        <w:t>-</w:t>
      </w:r>
      <w:r w:rsidR="00911543" w:rsidRPr="009E4D20">
        <w:rPr>
          <w:b/>
          <w:lang w:val="fr-CH"/>
        </w:rPr>
        <w:t xml:space="preserve">COP </w:t>
      </w:r>
    </w:p>
    <w:p w14:paraId="206C1E48" w14:textId="77777777" w:rsidR="00422D17" w:rsidRPr="009E4D20" w:rsidRDefault="00422D17" w:rsidP="006D1F81">
      <w:pPr>
        <w:rPr>
          <w:b/>
          <w:lang w:val="fr-CH"/>
        </w:rPr>
      </w:pPr>
    </w:p>
    <w:p w14:paraId="6ED2686D" w14:textId="0E5BFE18" w:rsidR="00422D17" w:rsidRPr="009E4D20" w:rsidRDefault="00753343" w:rsidP="00422D17">
      <w:pPr>
        <w:rPr>
          <w:lang w:val="fr-CH"/>
        </w:rPr>
      </w:pPr>
      <w:r w:rsidRPr="009E4D20">
        <w:rPr>
          <w:lang w:val="fr-CH"/>
        </w:rPr>
        <w:t>10.</w:t>
      </w:r>
      <w:r w:rsidR="009F26F1" w:rsidRPr="009E4D20">
        <w:rPr>
          <w:lang w:val="fr-CH"/>
        </w:rPr>
        <w:tab/>
      </w:r>
      <w:r w:rsidR="00995C56">
        <w:rPr>
          <w:lang w:val="fr-CH"/>
        </w:rPr>
        <w:t>Le Secrétariat apporte son appui aux régions pour l’organisation de réunions régionales pré</w:t>
      </w:r>
      <w:r w:rsidR="00995C56">
        <w:rPr>
          <w:lang w:val="fr-CH"/>
        </w:rPr>
        <w:noBreakHyphen/>
        <w:t xml:space="preserve">COP. Des consultations entre le Secrétariat et les représentants régionaux ont lieu pour déterminer le format, les modalités et les dates de ces réunions. </w:t>
      </w:r>
    </w:p>
    <w:sectPr w:rsidR="00422D17" w:rsidRPr="009E4D20" w:rsidSect="003F44B5">
      <w:headerReference w:type="default" r:id="rId11"/>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77CF3" w14:textId="77777777" w:rsidR="003F44B5" w:rsidRDefault="003F44B5" w:rsidP="00DF2386">
      <w:r>
        <w:separator/>
      </w:r>
    </w:p>
  </w:endnote>
  <w:endnote w:type="continuationSeparator" w:id="0">
    <w:p w14:paraId="44988B1A" w14:textId="77777777" w:rsidR="003F44B5" w:rsidRDefault="003F44B5" w:rsidP="00DF2386">
      <w:r>
        <w:continuationSeparator/>
      </w:r>
    </w:p>
  </w:endnote>
  <w:endnote w:type="continuationNotice" w:id="1">
    <w:p w14:paraId="1CD13DD9" w14:textId="77777777" w:rsidR="003F44B5" w:rsidRDefault="003F4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altName w:val="Calibri"/>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C525B" w14:textId="77777777" w:rsidR="00F73E71" w:rsidRDefault="00B158A7" w:rsidP="002137E0">
    <w:pPr>
      <w:pStyle w:val="Header"/>
      <w:rPr>
        <w:noProof/>
      </w:rPr>
    </w:pPr>
    <w:r w:rsidRPr="00B158A7">
      <w:rPr>
        <w:sz w:val="20"/>
        <w:szCs w:val="20"/>
      </w:rPr>
      <w:t>SC</w:t>
    </w:r>
    <w:r w:rsidR="00AC24A7">
      <w:rPr>
        <w:sz w:val="20"/>
        <w:szCs w:val="20"/>
      </w:rPr>
      <w:t>6</w:t>
    </w:r>
    <w:r w:rsidR="00E309FA">
      <w:rPr>
        <w:sz w:val="20"/>
        <w:szCs w:val="20"/>
      </w:rPr>
      <w:t>3</w:t>
    </w:r>
    <w:r w:rsidRPr="00B158A7">
      <w:rPr>
        <w:sz w:val="20"/>
        <w:szCs w:val="20"/>
      </w:rPr>
      <w:t xml:space="preserve"> Doc.2</w:t>
    </w:r>
    <w:r w:rsidR="00E309FA">
      <w:rPr>
        <w:sz w:val="20"/>
        <w:szCs w:val="20"/>
      </w:rPr>
      <w:t>1</w:t>
    </w:r>
    <w:r w:rsidRPr="00B158A7">
      <w:rPr>
        <w:sz w:val="20"/>
        <w:szCs w:val="20"/>
      </w:rPr>
      <w:t>.</w:t>
    </w:r>
    <w:r w:rsidR="00AC24A7">
      <w:rPr>
        <w:sz w:val="20"/>
        <w:szCs w:val="20"/>
      </w:rPr>
      <w:t>1</w:t>
    </w:r>
    <w:r w:rsidR="00F73E71">
      <w:tab/>
    </w:r>
    <w:r w:rsidR="00F73E71">
      <w:tab/>
    </w:r>
    <w:sdt>
      <w:sdtPr>
        <w:id w:val="-1790969534"/>
        <w:docPartObj>
          <w:docPartGallery w:val="Page Numbers (Top of Page)"/>
          <w:docPartUnique/>
        </w:docPartObj>
      </w:sdtPr>
      <w:sdtEndPr>
        <w:rPr>
          <w:noProof/>
        </w:rPr>
      </w:sdtEndPr>
      <w:sdtContent>
        <w:r w:rsidR="00F73E71" w:rsidRPr="00F344DE">
          <w:rPr>
            <w:sz w:val="20"/>
            <w:szCs w:val="20"/>
          </w:rPr>
          <w:fldChar w:fldCharType="begin"/>
        </w:r>
        <w:r w:rsidR="00F73E71" w:rsidRPr="00F344DE">
          <w:rPr>
            <w:sz w:val="20"/>
            <w:szCs w:val="20"/>
          </w:rPr>
          <w:instrText xml:space="preserve"> PAGE   \* MERGEFORMAT </w:instrText>
        </w:r>
        <w:r w:rsidR="00F73E71" w:rsidRPr="00F344DE">
          <w:rPr>
            <w:sz w:val="20"/>
            <w:szCs w:val="20"/>
          </w:rPr>
          <w:fldChar w:fldCharType="separate"/>
        </w:r>
        <w:r w:rsidR="00D83C74">
          <w:rPr>
            <w:noProof/>
            <w:sz w:val="20"/>
            <w:szCs w:val="20"/>
          </w:rPr>
          <w:t>2</w:t>
        </w:r>
        <w:r w:rsidR="00F73E71"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1796F" w14:textId="77777777" w:rsidR="003F44B5" w:rsidRDefault="003F44B5" w:rsidP="00DF2386">
      <w:r>
        <w:separator/>
      </w:r>
    </w:p>
  </w:footnote>
  <w:footnote w:type="continuationSeparator" w:id="0">
    <w:p w14:paraId="059F5EC1" w14:textId="77777777" w:rsidR="003F44B5" w:rsidRDefault="003F44B5" w:rsidP="00DF2386">
      <w:r>
        <w:continuationSeparator/>
      </w:r>
    </w:p>
  </w:footnote>
  <w:footnote w:type="continuationNotice" w:id="1">
    <w:p w14:paraId="5D03D0C6" w14:textId="77777777" w:rsidR="003F44B5" w:rsidRDefault="003F44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07D18" w14:textId="77777777" w:rsidR="00F73E71" w:rsidRDefault="00F73E71">
    <w:pPr>
      <w:pStyle w:val="Header"/>
    </w:pPr>
  </w:p>
  <w:p w14:paraId="1E1BC36F" w14:textId="77777777" w:rsidR="00F73E71" w:rsidRDefault="00F73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0237B"/>
    <w:multiLevelType w:val="hybridMultilevel"/>
    <w:tmpl w:val="389637F2"/>
    <w:lvl w:ilvl="0" w:tplc="59E8B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6"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79358F"/>
    <w:multiLevelType w:val="hybridMultilevel"/>
    <w:tmpl w:val="DFCAE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2"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3"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1DB4C27"/>
    <w:multiLevelType w:val="hybridMultilevel"/>
    <w:tmpl w:val="9E106B34"/>
    <w:lvl w:ilvl="0" w:tplc="A9C2F500">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4"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6"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8"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6"/>
  </w:num>
  <w:num w:numId="7">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5"/>
  </w:num>
  <w:num w:numId="13">
    <w:abstractNumId w:val="19"/>
  </w:num>
  <w:num w:numId="14">
    <w:abstractNumId w:val="13"/>
  </w:num>
  <w:num w:numId="15">
    <w:abstractNumId w:val="3"/>
  </w:num>
  <w:num w:numId="16">
    <w:abstractNumId w:val="16"/>
  </w:num>
  <w:num w:numId="17">
    <w:abstractNumId w:val="21"/>
  </w:num>
  <w:num w:numId="18">
    <w:abstractNumId w:val="29"/>
  </w:num>
  <w:num w:numId="19">
    <w:abstractNumId w:val="28"/>
  </w:num>
  <w:num w:numId="20">
    <w:abstractNumId w:val="23"/>
  </w:num>
  <w:num w:numId="21">
    <w:abstractNumId w:val="25"/>
  </w:num>
  <w:num w:numId="22">
    <w:abstractNumId w:val="17"/>
  </w:num>
  <w:num w:numId="23">
    <w:abstractNumId w:val="22"/>
  </w:num>
  <w:num w:numId="24">
    <w:abstractNumId w:val="20"/>
  </w:num>
  <w:num w:numId="25">
    <w:abstractNumId w:val="27"/>
  </w:num>
  <w:num w:numId="26">
    <w:abstractNumId w:val="9"/>
  </w:num>
  <w:num w:numId="27">
    <w:abstractNumId w:val="0"/>
  </w:num>
  <w:num w:numId="28">
    <w:abstractNumId w:val="12"/>
  </w:num>
  <w:num w:numId="29">
    <w:abstractNumId w:val="4"/>
  </w:num>
  <w:num w:numId="30">
    <w:abstractNumId w:val="1"/>
  </w:num>
  <w:num w:numId="31">
    <w:abstractNumId w:val="14"/>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14168"/>
    <w:rsid w:val="00017A16"/>
    <w:rsid w:val="00026E09"/>
    <w:rsid w:val="00037CE0"/>
    <w:rsid w:val="00051576"/>
    <w:rsid w:val="00053929"/>
    <w:rsid w:val="000574E8"/>
    <w:rsid w:val="000615D0"/>
    <w:rsid w:val="000632EF"/>
    <w:rsid w:val="00063B4F"/>
    <w:rsid w:val="00074DE8"/>
    <w:rsid w:val="00087184"/>
    <w:rsid w:val="00092971"/>
    <w:rsid w:val="00093BAF"/>
    <w:rsid w:val="00095ABE"/>
    <w:rsid w:val="000A3E3E"/>
    <w:rsid w:val="000A65CB"/>
    <w:rsid w:val="000B5D1F"/>
    <w:rsid w:val="000C2489"/>
    <w:rsid w:val="000D3A62"/>
    <w:rsid w:val="000D5C76"/>
    <w:rsid w:val="000D5DC3"/>
    <w:rsid w:val="000E224B"/>
    <w:rsid w:val="000E2FA0"/>
    <w:rsid w:val="000E47E9"/>
    <w:rsid w:val="000F0072"/>
    <w:rsid w:val="00111606"/>
    <w:rsid w:val="00112169"/>
    <w:rsid w:val="0012096C"/>
    <w:rsid w:val="00126579"/>
    <w:rsid w:val="00127828"/>
    <w:rsid w:val="00127A5C"/>
    <w:rsid w:val="00133137"/>
    <w:rsid w:val="00153798"/>
    <w:rsid w:val="00161BDA"/>
    <w:rsid w:val="00164AE6"/>
    <w:rsid w:val="00166FCC"/>
    <w:rsid w:val="00171618"/>
    <w:rsid w:val="00174AEE"/>
    <w:rsid w:val="001819B1"/>
    <w:rsid w:val="00181AD4"/>
    <w:rsid w:val="00182B85"/>
    <w:rsid w:val="001A2D10"/>
    <w:rsid w:val="001A5FD8"/>
    <w:rsid w:val="001A7008"/>
    <w:rsid w:val="001B4C07"/>
    <w:rsid w:val="001C15BA"/>
    <w:rsid w:val="001C5E41"/>
    <w:rsid w:val="001C694E"/>
    <w:rsid w:val="001C77BC"/>
    <w:rsid w:val="001D14C9"/>
    <w:rsid w:val="001D48BB"/>
    <w:rsid w:val="001E00E3"/>
    <w:rsid w:val="001E3692"/>
    <w:rsid w:val="001E629B"/>
    <w:rsid w:val="001F2349"/>
    <w:rsid w:val="001F455D"/>
    <w:rsid w:val="001F760D"/>
    <w:rsid w:val="002005D2"/>
    <w:rsid w:val="00201A2B"/>
    <w:rsid w:val="00201A56"/>
    <w:rsid w:val="0020298B"/>
    <w:rsid w:val="00205A2C"/>
    <w:rsid w:val="00206111"/>
    <w:rsid w:val="002137E0"/>
    <w:rsid w:val="0023441C"/>
    <w:rsid w:val="002408E4"/>
    <w:rsid w:val="00250FB8"/>
    <w:rsid w:val="002741AC"/>
    <w:rsid w:val="00275F13"/>
    <w:rsid w:val="00277141"/>
    <w:rsid w:val="002819C0"/>
    <w:rsid w:val="00287436"/>
    <w:rsid w:val="00295556"/>
    <w:rsid w:val="00295BB5"/>
    <w:rsid w:val="00296D7D"/>
    <w:rsid w:val="002A0AFD"/>
    <w:rsid w:val="002A5A4D"/>
    <w:rsid w:val="002B4262"/>
    <w:rsid w:val="002C62F4"/>
    <w:rsid w:val="002D5A4D"/>
    <w:rsid w:val="002E22AF"/>
    <w:rsid w:val="002E2BC9"/>
    <w:rsid w:val="002F2256"/>
    <w:rsid w:val="002F6155"/>
    <w:rsid w:val="00324398"/>
    <w:rsid w:val="00325378"/>
    <w:rsid w:val="0034332D"/>
    <w:rsid w:val="00343EBB"/>
    <w:rsid w:val="00347590"/>
    <w:rsid w:val="00360139"/>
    <w:rsid w:val="003673BE"/>
    <w:rsid w:val="00367507"/>
    <w:rsid w:val="0037202F"/>
    <w:rsid w:val="0037548A"/>
    <w:rsid w:val="00384FC3"/>
    <w:rsid w:val="00391A51"/>
    <w:rsid w:val="00391BD0"/>
    <w:rsid w:val="003A2C58"/>
    <w:rsid w:val="003A3804"/>
    <w:rsid w:val="003A52BE"/>
    <w:rsid w:val="003A5866"/>
    <w:rsid w:val="003A64BB"/>
    <w:rsid w:val="003A6E9F"/>
    <w:rsid w:val="003C2D9F"/>
    <w:rsid w:val="003C53FE"/>
    <w:rsid w:val="003C5C82"/>
    <w:rsid w:val="003D3F17"/>
    <w:rsid w:val="003D4CD6"/>
    <w:rsid w:val="003E3FEC"/>
    <w:rsid w:val="003F44B5"/>
    <w:rsid w:val="00402288"/>
    <w:rsid w:val="004023D0"/>
    <w:rsid w:val="004154C8"/>
    <w:rsid w:val="00421A37"/>
    <w:rsid w:val="004228C7"/>
    <w:rsid w:val="00422D17"/>
    <w:rsid w:val="0042798B"/>
    <w:rsid w:val="00434913"/>
    <w:rsid w:val="004474F8"/>
    <w:rsid w:val="00455D52"/>
    <w:rsid w:val="00460718"/>
    <w:rsid w:val="00466837"/>
    <w:rsid w:val="00477550"/>
    <w:rsid w:val="004844A8"/>
    <w:rsid w:val="00495EB9"/>
    <w:rsid w:val="00496803"/>
    <w:rsid w:val="00496CAA"/>
    <w:rsid w:val="004A03FC"/>
    <w:rsid w:val="004A0E0D"/>
    <w:rsid w:val="004A4C1E"/>
    <w:rsid w:val="004A6313"/>
    <w:rsid w:val="004B49EB"/>
    <w:rsid w:val="004B6688"/>
    <w:rsid w:val="004D186C"/>
    <w:rsid w:val="004D743F"/>
    <w:rsid w:val="004E7EC2"/>
    <w:rsid w:val="004F0E78"/>
    <w:rsid w:val="004F200A"/>
    <w:rsid w:val="004F2738"/>
    <w:rsid w:val="005058F6"/>
    <w:rsid w:val="0051403A"/>
    <w:rsid w:val="00516400"/>
    <w:rsid w:val="005244A4"/>
    <w:rsid w:val="00527783"/>
    <w:rsid w:val="005540F2"/>
    <w:rsid w:val="005601DD"/>
    <w:rsid w:val="00570000"/>
    <w:rsid w:val="00571DC1"/>
    <w:rsid w:val="0057737D"/>
    <w:rsid w:val="0058061F"/>
    <w:rsid w:val="005814B5"/>
    <w:rsid w:val="00591BF3"/>
    <w:rsid w:val="005A04E6"/>
    <w:rsid w:val="005A4634"/>
    <w:rsid w:val="005B6953"/>
    <w:rsid w:val="005C3F0C"/>
    <w:rsid w:val="005D1EB1"/>
    <w:rsid w:val="005D3E9D"/>
    <w:rsid w:val="0060600F"/>
    <w:rsid w:val="00613E76"/>
    <w:rsid w:val="006256D3"/>
    <w:rsid w:val="00627BB7"/>
    <w:rsid w:val="006309B4"/>
    <w:rsid w:val="006316C3"/>
    <w:rsid w:val="00641BF6"/>
    <w:rsid w:val="00644A13"/>
    <w:rsid w:val="0065136E"/>
    <w:rsid w:val="00651C6B"/>
    <w:rsid w:val="006546E5"/>
    <w:rsid w:val="00655753"/>
    <w:rsid w:val="0066082B"/>
    <w:rsid w:val="00670D71"/>
    <w:rsid w:val="00686388"/>
    <w:rsid w:val="006A3E89"/>
    <w:rsid w:val="006A4912"/>
    <w:rsid w:val="006B19A9"/>
    <w:rsid w:val="006B7FDD"/>
    <w:rsid w:val="006C32D2"/>
    <w:rsid w:val="006D1F81"/>
    <w:rsid w:val="006E2030"/>
    <w:rsid w:val="006E7DCE"/>
    <w:rsid w:val="006F59CD"/>
    <w:rsid w:val="007050FF"/>
    <w:rsid w:val="00714489"/>
    <w:rsid w:val="00722002"/>
    <w:rsid w:val="00734842"/>
    <w:rsid w:val="007412F1"/>
    <w:rsid w:val="00752764"/>
    <w:rsid w:val="00753343"/>
    <w:rsid w:val="00755ED8"/>
    <w:rsid w:val="00764DFE"/>
    <w:rsid w:val="00766962"/>
    <w:rsid w:val="00775287"/>
    <w:rsid w:val="0078438B"/>
    <w:rsid w:val="007A3F3F"/>
    <w:rsid w:val="007B0526"/>
    <w:rsid w:val="007C5D02"/>
    <w:rsid w:val="007D33F4"/>
    <w:rsid w:val="007F3ABE"/>
    <w:rsid w:val="007F6A19"/>
    <w:rsid w:val="008156D7"/>
    <w:rsid w:val="008328E9"/>
    <w:rsid w:val="008345A6"/>
    <w:rsid w:val="00835BCB"/>
    <w:rsid w:val="00835CDC"/>
    <w:rsid w:val="008441CE"/>
    <w:rsid w:val="00850B09"/>
    <w:rsid w:val="00861AC5"/>
    <w:rsid w:val="00863B9D"/>
    <w:rsid w:val="00863BE6"/>
    <w:rsid w:val="008774EE"/>
    <w:rsid w:val="008775BC"/>
    <w:rsid w:val="00881FED"/>
    <w:rsid w:val="00882F1B"/>
    <w:rsid w:val="0089249E"/>
    <w:rsid w:val="00894AD3"/>
    <w:rsid w:val="008A13D8"/>
    <w:rsid w:val="008A63B5"/>
    <w:rsid w:val="008A70CE"/>
    <w:rsid w:val="008B34F6"/>
    <w:rsid w:val="008B7B8F"/>
    <w:rsid w:val="008C25E4"/>
    <w:rsid w:val="008C2D09"/>
    <w:rsid w:val="008C2DAE"/>
    <w:rsid w:val="008D6B70"/>
    <w:rsid w:val="008E5B28"/>
    <w:rsid w:val="008F5442"/>
    <w:rsid w:val="008F70C8"/>
    <w:rsid w:val="009059A9"/>
    <w:rsid w:val="00911543"/>
    <w:rsid w:val="009146C5"/>
    <w:rsid w:val="00923953"/>
    <w:rsid w:val="0092515E"/>
    <w:rsid w:val="00936463"/>
    <w:rsid w:val="00942FBD"/>
    <w:rsid w:val="0094770B"/>
    <w:rsid w:val="00953C08"/>
    <w:rsid w:val="0096189A"/>
    <w:rsid w:val="00966CC8"/>
    <w:rsid w:val="009876A6"/>
    <w:rsid w:val="00995C56"/>
    <w:rsid w:val="009A2687"/>
    <w:rsid w:val="009B059F"/>
    <w:rsid w:val="009B1647"/>
    <w:rsid w:val="009B2267"/>
    <w:rsid w:val="009C11FF"/>
    <w:rsid w:val="009C1B9D"/>
    <w:rsid w:val="009C2F4B"/>
    <w:rsid w:val="009C5FF4"/>
    <w:rsid w:val="009D4C0B"/>
    <w:rsid w:val="009D6326"/>
    <w:rsid w:val="009D66CB"/>
    <w:rsid w:val="009E0AE8"/>
    <w:rsid w:val="009E4D20"/>
    <w:rsid w:val="009E5374"/>
    <w:rsid w:val="009F26F1"/>
    <w:rsid w:val="009F345D"/>
    <w:rsid w:val="00A04197"/>
    <w:rsid w:val="00A13218"/>
    <w:rsid w:val="00A227A3"/>
    <w:rsid w:val="00A41A70"/>
    <w:rsid w:val="00A60B73"/>
    <w:rsid w:val="00A738D0"/>
    <w:rsid w:val="00A80080"/>
    <w:rsid w:val="00A836B4"/>
    <w:rsid w:val="00A85280"/>
    <w:rsid w:val="00AA5CDC"/>
    <w:rsid w:val="00AB4951"/>
    <w:rsid w:val="00AC24A7"/>
    <w:rsid w:val="00AC42EB"/>
    <w:rsid w:val="00AF25F4"/>
    <w:rsid w:val="00B03812"/>
    <w:rsid w:val="00B04955"/>
    <w:rsid w:val="00B05563"/>
    <w:rsid w:val="00B06576"/>
    <w:rsid w:val="00B10616"/>
    <w:rsid w:val="00B158A7"/>
    <w:rsid w:val="00B17E22"/>
    <w:rsid w:val="00B208A8"/>
    <w:rsid w:val="00B24259"/>
    <w:rsid w:val="00B315A0"/>
    <w:rsid w:val="00B34A18"/>
    <w:rsid w:val="00B468CE"/>
    <w:rsid w:val="00B52BD3"/>
    <w:rsid w:val="00B5573B"/>
    <w:rsid w:val="00B579CB"/>
    <w:rsid w:val="00B626CD"/>
    <w:rsid w:val="00B651E8"/>
    <w:rsid w:val="00B67A88"/>
    <w:rsid w:val="00B70083"/>
    <w:rsid w:val="00B80BF6"/>
    <w:rsid w:val="00B83EF9"/>
    <w:rsid w:val="00B937EC"/>
    <w:rsid w:val="00B954CB"/>
    <w:rsid w:val="00BA2733"/>
    <w:rsid w:val="00BB0BD0"/>
    <w:rsid w:val="00BB1929"/>
    <w:rsid w:val="00BB28F6"/>
    <w:rsid w:val="00BB65C0"/>
    <w:rsid w:val="00BC2609"/>
    <w:rsid w:val="00BD4D66"/>
    <w:rsid w:val="00BF05B5"/>
    <w:rsid w:val="00BF6F8C"/>
    <w:rsid w:val="00C0528F"/>
    <w:rsid w:val="00C13145"/>
    <w:rsid w:val="00C360A8"/>
    <w:rsid w:val="00C36959"/>
    <w:rsid w:val="00CD3459"/>
    <w:rsid w:val="00CE1CBD"/>
    <w:rsid w:val="00CE750F"/>
    <w:rsid w:val="00CF22DC"/>
    <w:rsid w:val="00CF522F"/>
    <w:rsid w:val="00CF5EFD"/>
    <w:rsid w:val="00D045E4"/>
    <w:rsid w:val="00D160CB"/>
    <w:rsid w:val="00D218D5"/>
    <w:rsid w:val="00D245A1"/>
    <w:rsid w:val="00D37268"/>
    <w:rsid w:val="00D415E2"/>
    <w:rsid w:val="00D42055"/>
    <w:rsid w:val="00D5167A"/>
    <w:rsid w:val="00D647C3"/>
    <w:rsid w:val="00D83C74"/>
    <w:rsid w:val="00D9633A"/>
    <w:rsid w:val="00DA44F1"/>
    <w:rsid w:val="00DB2850"/>
    <w:rsid w:val="00DC5D1B"/>
    <w:rsid w:val="00DE4854"/>
    <w:rsid w:val="00DF2386"/>
    <w:rsid w:val="00DF7FE7"/>
    <w:rsid w:val="00E21189"/>
    <w:rsid w:val="00E24E10"/>
    <w:rsid w:val="00E305C6"/>
    <w:rsid w:val="00E309FA"/>
    <w:rsid w:val="00E4097A"/>
    <w:rsid w:val="00E46367"/>
    <w:rsid w:val="00E52881"/>
    <w:rsid w:val="00E61BAD"/>
    <w:rsid w:val="00E636CF"/>
    <w:rsid w:val="00E63F0B"/>
    <w:rsid w:val="00E6506C"/>
    <w:rsid w:val="00E86EA4"/>
    <w:rsid w:val="00EA3A7F"/>
    <w:rsid w:val="00EA5B27"/>
    <w:rsid w:val="00EB35B0"/>
    <w:rsid w:val="00ED7B44"/>
    <w:rsid w:val="00F0516A"/>
    <w:rsid w:val="00F078F1"/>
    <w:rsid w:val="00F10CE8"/>
    <w:rsid w:val="00F13297"/>
    <w:rsid w:val="00F25A82"/>
    <w:rsid w:val="00F26C14"/>
    <w:rsid w:val="00F32D03"/>
    <w:rsid w:val="00F344DE"/>
    <w:rsid w:val="00F5215A"/>
    <w:rsid w:val="00F5360F"/>
    <w:rsid w:val="00F55820"/>
    <w:rsid w:val="00F578B9"/>
    <w:rsid w:val="00F61F4E"/>
    <w:rsid w:val="00F73E71"/>
    <w:rsid w:val="00F74156"/>
    <w:rsid w:val="00F77520"/>
    <w:rsid w:val="00F94B02"/>
    <w:rsid w:val="00FB4E2D"/>
    <w:rsid w:val="00FC349F"/>
    <w:rsid w:val="00FD2343"/>
    <w:rsid w:val="00FE4F5F"/>
    <w:rsid w:val="00FE6F3B"/>
    <w:rsid w:val="00FF44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9E3ED8"/>
  <w15:docId w15:val="{D983A7D9-D0E6-4277-B70C-CE4714F8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578322217">
      <w:bodyDiv w:val="1"/>
      <w:marLeft w:val="0"/>
      <w:marRight w:val="0"/>
      <w:marTop w:val="0"/>
      <w:marBottom w:val="0"/>
      <w:divBdr>
        <w:top w:val="none" w:sz="0" w:space="0" w:color="auto"/>
        <w:left w:val="none" w:sz="0" w:space="0" w:color="auto"/>
        <w:bottom w:val="none" w:sz="0" w:space="0" w:color="auto"/>
        <w:right w:val="none" w:sz="0" w:space="0" w:color="auto"/>
      </w:divBdr>
    </w:div>
    <w:div w:id="847140902">
      <w:bodyDiv w:val="1"/>
      <w:marLeft w:val="0"/>
      <w:marRight w:val="0"/>
      <w:marTop w:val="0"/>
      <w:marBottom w:val="0"/>
      <w:divBdr>
        <w:top w:val="none" w:sz="0" w:space="0" w:color="auto"/>
        <w:left w:val="none" w:sz="0" w:space="0" w:color="auto"/>
        <w:bottom w:val="none" w:sz="0" w:space="0" w:color="auto"/>
        <w:right w:val="none" w:sz="0" w:space="0" w:color="auto"/>
      </w:divBdr>
    </w:div>
    <w:div w:id="103508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6A237-E4D0-4A69-8005-B6911A5FE1EE}">
  <ds:schemaRefs>
    <ds:schemaRef ds:uri="http://schemas.microsoft.com/sharepoint/v3/contenttype/forms"/>
  </ds:schemaRefs>
</ds:datastoreItem>
</file>

<file path=customXml/itemProps2.xml><?xml version="1.0" encoding="utf-8"?>
<ds:datastoreItem xmlns:ds="http://schemas.openxmlformats.org/officeDocument/2006/customXml" ds:itemID="{F9ABE0BC-341A-41FC-9874-863BF39D1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3F60DC-7CD9-4AED-81F5-B5C3E2AD4EBF}">
  <ds:schemaRefs>
    <ds:schemaRef ds:uri="http://purl.org/dc/terms/"/>
    <ds:schemaRef ds:uri="http://schemas.microsoft.com/office/2006/documentManagement/types"/>
    <ds:schemaRef ds:uri="http://purl.org/dc/elements/1.1/"/>
    <ds:schemaRef ds:uri="http://purl.org/dc/dcmitype/"/>
    <ds:schemaRef ds:uri="aedd258d-19a7-41ba-8260-b0918f25313d"/>
    <ds:schemaRef ds:uri="http://schemas.microsoft.com/office/2006/metadata/properties"/>
    <ds:schemaRef ds:uri="http://schemas.microsoft.com/office/infopath/2007/PartnerControls"/>
    <ds:schemaRef ds:uri="http://schemas.openxmlformats.org/package/2006/metadata/core-properties"/>
    <ds:schemaRef ds:uri="8c0b6b05-eb82-4bda-97e8-cd82d0d6b453"/>
    <ds:schemaRef ds:uri="http://www.w3.org/XML/1998/namespace"/>
  </ds:schemaRefs>
</ds:datastoreItem>
</file>

<file path=customXml/itemProps4.xml><?xml version="1.0" encoding="utf-8"?>
<ds:datastoreItem xmlns:ds="http://schemas.openxmlformats.org/officeDocument/2006/customXml" ds:itemID="{29B9CF2B-03DC-4367-B30D-723FF0ADA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4116</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3</cp:revision>
  <cp:lastPrinted>2016-10-06T13:08:00Z</cp:lastPrinted>
  <dcterms:created xsi:type="dcterms:W3CDTF">2024-03-04T09:09:00Z</dcterms:created>
  <dcterms:modified xsi:type="dcterms:W3CDTF">2024-03-04T14:49:00Z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