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A589" w14:textId="77777777" w:rsidR="008549A7" w:rsidRPr="008549A7" w:rsidRDefault="008549A7" w:rsidP="008549A7">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8549A7">
        <w:rPr>
          <w:bCs/>
          <w:lang w:val="fr-FR"/>
        </w:rPr>
        <w:t>CONVENTION SUR LES ZONES HUMIDES</w:t>
      </w:r>
    </w:p>
    <w:p w14:paraId="09387DFF" w14:textId="77777777" w:rsidR="008549A7" w:rsidRPr="008549A7" w:rsidRDefault="008549A7" w:rsidP="008549A7">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8549A7">
        <w:rPr>
          <w:bCs/>
          <w:lang w:val="fr-FR"/>
        </w:rPr>
        <w:t>63</w:t>
      </w:r>
      <w:r w:rsidRPr="008549A7">
        <w:rPr>
          <w:bCs/>
          <w:vertAlign w:val="superscript"/>
          <w:lang w:val="fr-FR"/>
        </w:rPr>
        <w:t>e</w:t>
      </w:r>
      <w:r w:rsidRPr="008549A7">
        <w:rPr>
          <w:bCs/>
          <w:lang w:val="fr-FR"/>
        </w:rPr>
        <w:t> Réunion du Comité permanent</w:t>
      </w:r>
    </w:p>
    <w:p w14:paraId="5746519D" w14:textId="77777777" w:rsidR="008549A7" w:rsidRPr="00A30E3F" w:rsidRDefault="008549A7" w:rsidP="008549A7">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492FE7">
        <w:rPr>
          <w:bCs/>
        </w:rPr>
        <w:t>Gland, Suisse, 3 au 7 </w:t>
      </w:r>
      <w:proofErr w:type="spellStart"/>
      <w:r w:rsidRPr="00492FE7">
        <w:rPr>
          <w:bCs/>
        </w:rPr>
        <w:t>juin</w:t>
      </w:r>
      <w:proofErr w:type="spellEnd"/>
      <w:r w:rsidRPr="00492FE7">
        <w:rPr>
          <w:bCs/>
        </w:rPr>
        <w:t xml:space="preserve"> 2024</w:t>
      </w:r>
    </w:p>
    <w:p w14:paraId="1D6E7ED2" w14:textId="77777777" w:rsidR="00DF2386" w:rsidRPr="00C24992" w:rsidRDefault="00DF2386" w:rsidP="00014168">
      <w:pPr>
        <w:outlineLvl w:val="0"/>
        <w:rPr>
          <w:b/>
          <w:lang w:val="de-CH"/>
        </w:rPr>
      </w:pPr>
    </w:p>
    <w:p w14:paraId="3303F271" w14:textId="77777777" w:rsidR="00DF2386" w:rsidRPr="006562C1" w:rsidRDefault="0014749C" w:rsidP="0014749C">
      <w:pPr>
        <w:jc w:val="right"/>
        <w:rPr>
          <w:b/>
          <w:sz w:val="28"/>
          <w:lang w:val="de-CH"/>
        </w:rPr>
      </w:pPr>
      <w:r w:rsidRPr="00C24992">
        <w:rPr>
          <w:rFonts w:cs="Arial"/>
          <w:b/>
          <w:sz w:val="28"/>
          <w:szCs w:val="28"/>
          <w:lang w:val="de-CH"/>
        </w:rPr>
        <w:t>SC</w:t>
      </w:r>
      <w:r w:rsidR="00A9552A">
        <w:rPr>
          <w:rFonts w:cs="Arial"/>
          <w:b/>
          <w:sz w:val="28"/>
          <w:szCs w:val="28"/>
          <w:lang w:val="de-CH"/>
        </w:rPr>
        <w:t>63</w:t>
      </w:r>
      <w:r w:rsidRPr="00C24992">
        <w:rPr>
          <w:rFonts w:cs="Arial"/>
          <w:b/>
          <w:sz w:val="28"/>
          <w:szCs w:val="28"/>
          <w:lang w:val="de-CH"/>
        </w:rPr>
        <w:t xml:space="preserve"> </w:t>
      </w:r>
      <w:r w:rsidR="00FD76BF" w:rsidRPr="00A25E54">
        <w:rPr>
          <w:rFonts w:cs="Arial"/>
          <w:b/>
          <w:sz w:val="28"/>
          <w:szCs w:val="28"/>
          <w:lang w:val="de-CH"/>
        </w:rPr>
        <w:t>Doc</w:t>
      </w:r>
      <w:r>
        <w:rPr>
          <w:rFonts w:cs="Arial"/>
          <w:b/>
          <w:sz w:val="28"/>
          <w:szCs w:val="28"/>
          <w:lang w:val="de-CH"/>
        </w:rPr>
        <w:t>.17.</w:t>
      </w:r>
      <w:r w:rsidR="00A9552A">
        <w:rPr>
          <w:rFonts w:cs="Arial"/>
          <w:b/>
          <w:sz w:val="28"/>
          <w:szCs w:val="28"/>
          <w:lang w:val="de-CH"/>
        </w:rPr>
        <w:t>2</w:t>
      </w:r>
    </w:p>
    <w:p w14:paraId="39789CB6" w14:textId="77777777" w:rsidR="0014749C" w:rsidRPr="004A599C" w:rsidRDefault="0014749C" w:rsidP="00014168">
      <w:pPr>
        <w:jc w:val="center"/>
        <w:rPr>
          <w:rFonts w:cs="Arial"/>
          <w:b/>
          <w:sz w:val="28"/>
          <w:szCs w:val="28"/>
          <w:lang w:val="fr-FR"/>
        </w:rPr>
      </w:pPr>
    </w:p>
    <w:p w14:paraId="09CA4833" w14:textId="0F8507C7" w:rsidR="002074B3" w:rsidRPr="002074B3" w:rsidRDefault="002074B3" w:rsidP="00A9552A">
      <w:pPr>
        <w:jc w:val="center"/>
        <w:rPr>
          <w:rFonts w:cs="Arial"/>
          <w:b/>
          <w:sz w:val="28"/>
          <w:szCs w:val="28"/>
          <w:lang w:val="fr-FR"/>
        </w:rPr>
      </w:pPr>
      <w:r w:rsidRPr="002074B3">
        <w:rPr>
          <w:rFonts w:cs="Arial"/>
          <w:b/>
          <w:sz w:val="28"/>
          <w:szCs w:val="28"/>
          <w:lang w:val="fr-FR"/>
        </w:rPr>
        <w:t>Communication, renforcement des capacités, éducation, sensibilisation et participation (CESP)</w:t>
      </w:r>
      <w:r>
        <w:rPr>
          <w:rFonts w:cs="Arial"/>
          <w:b/>
          <w:sz w:val="28"/>
          <w:szCs w:val="28"/>
          <w:lang w:val="fr-FR"/>
        </w:rPr>
        <w:t> :</w:t>
      </w:r>
    </w:p>
    <w:p w14:paraId="7C5CE640" w14:textId="0DD6F038" w:rsidR="00DF2386" w:rsidRPr="0076198C" w:rsidRDefault="00737C66" w:rsidP="00A9552A">
      <w:pPr>
        <w:jc w:val="center"/>
        <w:rPr>
          <w:rFonts w:cs="Arial"/>
          <w:b/>
          <w:sz w:val="28"/>
          <w:szCs w:val="28"/>
          <w:lang w:val="fr-CH"/>
        </w:rPr>
      </w:pPr>
      <w:r w:rsidRPr="0076198C">
        <w:rPr>
          <w:rFonts w:cs="Arial"/>
          <w:b/>
          <w:sz w:val="28"/>
          <w:szCs w:val="28"/>
          <w:lang w:val="fr-CH"/>
        </w:rPr>
        <w:t>R</w:t>
      </w:r>
      <w:r w:rsidR="00AA4592">
        <w:rPr>
          <w:rFonts w:cs="Arial"/>
          <w:b/>
          <w:sz w:val="28"/>
          <w:szCs w:val="28"/>
          <w:lang w:val="fr-CH"/>
        </w:rPr>
        <w:t xml:space="preserve">apport du Secrétariat sur le fonctionnement futur proposé pour le </w:t>
      </w:r>
      <w:r w:rsidR="00AA4592">
        <w:rPr>
          <w:rFonts w:cs="Arial"/>
          <w:b/>
          <w:sz w:val="28"/>
          <w:szCs w:val="28"/>
          <w:lang w:val="fr-CH"/>
        </w:rPr>
        <w:br/>
        <w:t xml:space="preserve">Groupe de surveillance des activités de CESP, conformément à la Résolution </w:t>
      </w:r>
      <w:r w:rsidR="00A9552A" w:rsidRPr="0076198C">
        <w:rPr>
          <w:rFonts w:cs="Arial"/>
          <w:b/>
          <w:sz w:val="28"/>
          <w:szCs w:val="28"/>
          <w:lang w:val="fr-CH"/>
        </w:rPr>
        <w:t xml:space="preserve">XIV.8 </w:t>
      </w:r>
    </w:p>
    <w:p w14:paraId="12FA1E0A" w14:textId="77777777" w:rsidR="00A9552A" w:rsidRPr="0076198C" w:rsidRDefault="00A9552A" w:rsidP="00A9552A">
      <w:pPr>
        <w:jc w:val="center"/>
        <w:rPr>
          <w:rFonts w:cs="Arial"/>
          <w:b/>
          <w:sz w:val="28"/>
          <w:szCs w:val="28"/>
          <w:lang w:val="fr-CH"/>
        </w:rPr>
      </w:pPr>
    </w:p>
    <w:p w14:paraId="205F119E" w14:textId="77777777" w:rsidR="00DF2386" w:rsidRPr="004A599C" w:rsidRDefault="00DF2386" w:rsidP="00014168">
      <w:pPr>
        <w:rPr>
          <w:rFonts w:ascii="Garamond" w:hAnsi="Garamond" w:cs="Arial"/>
          <w:lang w:val="fr-FR"/>
        </w:rPr>
      </w:pPr>
    </w:p>
    <w:p w14:paraId="7A33A5C6" w14:textId="77777777" w:rsidR="000C2489" w:rsidRDefault="000C2489" w:rsidP="00014168">
      <w:pPr>
        <w:autoSpaceDE w:val="0"/>
        <w:autoSpaceDN w:val="0"/>
        <w:adjustRightInd w:val="0"/>
        <w:rPr>
          <w:rFonts w:asciiTheme="minorHAnsi" w:eastAsiaTheme="minorHAnsi" w:hAnsiTheme="minorHAnsi" w:cs="Calibri-Bold"/>
          <w:b/>
          <w:bCs/>
        </w:rPr>
      </w:pPr>
      <w:r>
        <w:rPr>
          <w:noProof/>
          <w:lang w:val="en-CA" w:eastAsia="en-CA"/>
        </w:rPr>
        <mc:AlternateContent>
          <mc:Choice Requires="wps">
            <w:drawing>
              <wp:inline distT="0" distB="0" distL="0" distR="0" wp14:anchorId="2FA92577" wp14:editId="12C67D3C">
                <wp:extent cx="5867400" cy="2071935"/>
                <wp:effectExtent l="0" t="0" r="1905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71935"/>
                        </a:xfrm>
                        <a:prstGeom prst="rect">
                          <a:avLst/>
                        </a:prstGeom>
                        <a:solidFill>
                          <a:srgbClr val="FFFFFF"/>
                        </a:solidFill>
                        <a:ln w="9525">
                          <a:solidFill>
                            <a:srgbClr val="000000"/>
                          </a:solidFill>
                          <a:miter lim="800000"/>
                          <a:headEnd/>
                          <a:tailEnd/>
                        </a:ln>
                      </wps:spPr>
                      <wps:txbx>
                        <w:txbxContent>
                          <w:p w14:paraId="291FFDF5" w14:textId="3D8AF1D5" w:rsidR="00D915F2" w:rsidRPr="0076198C" w:rsidRDefault="00132375" w:rsidP="000C2489">
                            <w:pPr>
                              <w:rPr>
                                <w:b/>
                                <w:bCs/>
                                <w:lang w:val="fr-CH"/>
                              </w:rPr>
                            </w:pPr>
                            <w:r w:rsidRPr="0076198C">
                              <w:rPr>
                                <w:b/>
                                <w:bCs/>
                                <w:lang w:val="fr-CH"/>
                              </w:rPr>
                              <w:t>Mesure requise </w:t>
                            </w:r>
                            <w:r w:rsidR="00D915F2" w:rsidRPr="0076198C">
                              <w:rPr>
                                <w:b/>
                                <w:bCs/>
                                <w:lang w:val="fr-CH"/>
                              </w:rPr>
                              <w:t xml:space="preserve">: </w:t>
                            </w:r>
                          </w:p>
                          <w:p w14:paraId="4B5E769F" w14:textId="77777777" w:rsidR="00D915F2" w:rsidRPr="0076198C" w:rsidRDefault="00D915F2" w:rsidP="000C2489">
                            <w:pPr>
                              <w:pStyle w:val="ColorfulList-Accent11"/>
                              <w:ind w:left="0"/>
                              <w:rPr>
                                <w:lang w:val="fr-CH"/>
                              </w:rPr>
                            </w:pPr>
                          </w:p>
                          <w:p w14:paraId="01F98AB5" w14:textId="119B89D0" w:rsidR="00D915F2" w:rsidRPr="0076198C" w:rsidRDefault="00AA4592" w:rsidP="00275F13">
                            <w:pPr>
                              <w:pStyle w:val="ColorfulList-Accent11"/>
                              <w:ind w:left="0" w:firstLine="0"/>
                              <w:rPr>
                                <w:rFonts w:cs="Calibri"/>
                                <w:lang w:val="fr-CH"/>
                              </w:rPr>
                            </w:pPr>
                            <w:r>
                              <w:rPr>
                                <w:lang w:val="fr-CH"/>
                              </w:rPr>
                              <w:t>Le Comité permanent est invité à :</w:t>
                            </w:r>
                          </w:p>
                          <w:p w14:paraId="5D4AE62B" w14:textId="736B3BD3" w:rsidR="00D915F2" w:rsidRPr="0076198C" w:rsidRDefault="00D915F2" w:rsidP="000C2489">
                            <w:pPr>
                              <w:pStyle w:val="ColorfulList-Accent11"/>
                              <w:ind w:left="0"/>
                              <w:rPr>
                                <w:rFonts w:cs="Calibri"/>
                                <w:lang w:val="fr-CH"/>
                              </w:rPr>
                            </w:pPr>
                          </w:p>
                          <w:p w14:paraId="1D6CE41B" w14:textId="781E14C7" w:rsidR="00D915F2" w:rsidRPr="0076198C" w:rsidRDefault="00D915F2" w:rsidP="00886E53">
                            <w:pPr>
                              <w:pStyle w:val="ColorfulList-Accent11"/>
                              <w:ind w:left="426" w:hanging="426"/>
                              <w:rPr>
                                <w:rFonts w:asciiTheme="minorHAnsi" w:hAnsiTheme="minorHAnsi" w:cstheme="minorHAnsi"/>
                                <w:lang w:val="fr-CH"/>
                              </w:rPr>
                            </w:pPr>
                            <w:r w:rsidRPr="0076198C">
                              <w:rPr>
                                <w:rFonts w:cs="Calibri"/>
                                <w:lang w:val="fr-CH"/>
                              </w:rPr>
                              <w:t>i</w:t>
                            </w:r>
                            <w:r w:rsidR="0076198C">
                              <w:rPr>
                                <w:rFonts w:cs="Calibri"/>
                                <w:lang w:val="fr-CH"/>
                              </w:rPr>
                              <w:t>)</w:t>
                            </w:r>
                            <w:r w:rsidRPr="0076198C">
                              <w:rPr>
                                <w:rFonts w:cs="Calibri"/>
                                <w:lang w:val="fr-CH"/>
                              </w:rPr>
                              <w:tab/>
                            </w:r>
                            <w:r w:rsidR="004921A9" w:rsidRPr="0076198C">
                              <w:rPr>
                                <w:rFonts w:asciiTheme="minorHAnsi" w:hAnsiTheme="minorHAnsi" w:cstheme="minorHAnsi"/>
                                <w:lang w:val="fr-CH"/>
                              </w:rPr>
                              <w:t>appro</w:t>
                            </w:r>
                            <w:r w:rsidR="00AA4592">
                              <w:rPr>
                                <w:rFonts w:asciiTheme="minorHAnsi" w:hAnsiTheme="minorHAnsi" w:cstheme="minorHAnsi"/>
                                <w:lang w:val="fr-CH"/>
                              </w:rPr>
                              <w:t>uver la proposition du Secrétariat sur le fonctionnement futur du Groupe de surveillance des activités de CESP et donner instruction au Secrétariat de préparer un projet de résolution pour la 64</w:t>
                            </w:r>
                            <w:r w:rsidR="00AA4592" w:rsidRPr="00AA4592">
                              <w:rPr>
                                <w:rFonts w:asciiTheme="minorHAnsi" w:hAnsiTheme="minorHAnsi" w:cstheme="minorHAnsi"/>
                                <w:vertAlign w:val="superscript"/>
                                <w:lang w:val="fr-CH"/>
                              </w:rPr>
                              <w:t>e</w:t>
                            </w:r>
                            <w:r w:rsidR="00AA4592">
                              <w:rPr>
                                <w:rFonts w:asciiTheme="minorHAnsi" w:hAnsiTheme="minorHAnsi" w:cstheme="minorHAnsi"/>
                                <w:lang w:val="fr-CH"/>
                              </w:rPr>
                              <w:t xml:space="preserve"> Réunion du Comité permanent afin que la Conférence des Parties contractantes, à la COP15, puisse officialiser ce fonctionnement ; et </w:t>
                            </w:r>
                          </w:p>
                          <w:p w14:paraId="0C79C8D9" w14:textId="77777777" w:rsidR="00886E53" w:rsidRPr="0076198C" w:rsidRDefault="00886E53" w:rsidP="00886E53">
                            <w:pPr>
                              <w:pStyle w:val="ColorfulList-Accent11"/>
                              <w:ind w:left="426" w:hanging="426"/>
                              <w:rPr>
                                <w:rFonts w:cs="Calibri"/>
                                <w:lang w:val="fr-CH"/>
                              </w:rPr>
                            </w:pPr>
                          </w:p>
                          <w:p w14:paraId="75779A2D" w14:textId="0899A90F" w:rsidR="00D915F2" w:rsidRPr="0076198C" w:rsidRDefault="00886E53" w:rsidP="00FD76BF">
                            <w:pPr>
                              <w:pStyle w:val="ColorfulList-Accent11"/>
                              <w:ind w:left="425"/>
                              <w:rPr>
                                <w:lang w:val="fr-CH"/>
                              </w:rPr>
                            </w:pPr>
                            <w:r w:rsidRPr="0076198C">
                              <w:rPr>
                                <w:lang w:val="fr-CH"/>
                              </w:rPr>
                              <w:t>ii</w:t>
                            </w:r>
                            <w:r w:rsidR="0076198C">
                              <w:rPr>
                                <w:lang w:val="fr-CH"/>
                              </w:rPr>
                              <w:t>)</w:t>
                            </w:r>
                            <w:r w:rsidRPr="0076198C">
                              <w:rPr>
                                <w:lang w:val="fr-CH"/>
                              </w:rPr>
                              <w:tab/>
                            </w:r>
                            <w:r w:rsidR="00AA4592">
                              <w:rPr>
                                <w:lang w:val="fr-CH"/>
                              </w:rPr>
                              <w:t xml:space="preserve">indiquer au Secrétariat le processus et le calendrier à suivre pour nommer les membres du Groupe pour la période triennale </w:t>
                            </w:r>
                            <w:r w:rsidR="00956CCB" w:rsidRPr="0076198C">
                              <w:rPr>
                                <w:lang w:val="fr-CH"/>
                              </w:rPr>
                              <w:t xml:space="preserve">2025-2028. </w:t>
                            </w:r>
                          </w:p>
                        </w:txbxContent>
                      </wps:txbx>
                      <wps:bodyPr rot="0" vert="horz" wrap="square" lIns="91440" tIns="45720" rIns="91440" bIns="45720" anchor="t" anchorCtr="0" upright="1">
                        <a:noAutofit/>
                      </wps:bodyPr>
                    </wps:wsp>
                  </a:graphicData>
                </a:graphic>
              </wp:inline>
            </w:drawing>
          </mc:Choice>
          <mc:Fallback>
            <w:pict>
              <v:shapetype w14:anchorId="2FA92577" id="_x0000_t202" coordsize="21600,21600" o:spt="202" path="m,l,21600r21600,l21600,xe">
                <v:stroke joinstyle="miter"/>
                <v:path gradientshapeok="t" o:connecttype="rect"/>
              </v:shapetype>
              <v:shape id="Text Box 1" o:spid="_x0000_s1026" type="#_x0000_t202" style="width:462pt;height:1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">
                <v:textbox>
                  <w:txbxContent>
                    <w:p w14:paraId="291FFDF5" w14:textId="3D8AF1D5" w:rsidR="00D915F2" w:rsidRPr="0076198C" w:rsidRDefault="00132375" w:rsidP="000C2489">
                      <w:pPr>
                        <w:rPr>
                          <w:b/>
                          <w:bCs/>
                          <w:lang w:val="fr-CH"/>
                        </w:rPr>
                      </w:pPr>
                      <w:r w:rsidRPr="0076198C">
                        <w:rPr>
                          <w:b/>
                          <w:bCs/>
                          <w:lang w:val="fr-CH"/>
                        </w:rPr>
                        <w:t>Mesure requise </w:t>
                      </w:r>
                      <w:r w:rsidR="00D915F2" w:rsidRPr="0076198C">
                        <w:rPr>
                          <w:b/>
                          <w:bCs/>
                          <w:lang w:val="fr-CH"/>
                        </w:rPr>
                        <w:t xml:space="preserve">: </w:t>
                      </w:r>
                    </w:p>
                    <w:p w14:paraId="4B5E769F" w14:textId="77777777" w:rsidR="00D915F2" w:rsidRPr="0076198C" w:rsidRDefault="00D915F2" w:rsidP="000C2489">
                      <w:pPr>
                        <w:pStyle w:val="ColorfulList-Accent11"/>
                        <w:ind w:left="0"/>
                        <w:rPr>
                          <w:lang w:val="fr-CH"/>
                        </w:rPr>
                      </w:pPr>
                    </w:p>
                    <w:p w14:paraId="01F98AB5" w14:textId="119B89D0" w:rsidR="00D915F2" w:rsidRPr="0076198C" w:rsidRDefault="00AA4592" w:rsidP="00275F13">
                      <w:pPr>
                        <w:pStyle w:val="ColorfulList-Accent11"/>
                        <w:ind w:left="0" w:firstLine="0"/>
                        <w:rPr>
                          <w:rFonts w:cs="Calibri"/>
                          <w:lang w:val="fr-CH"/>
                        </w:rPr>
                      </w:pPr>
                      <w:r>
                        <w:rPr>
                          <w:lang w:val="fr-CH"/>
                        </w:rPr>
                        <w:t>Le Comité permanent est invité à :</w:t>
                      </w:r>
                    </w:p>
                    <w:p w14:paraId="5D4AE62B" w14:textId="736B3BD3" w:rsidR="00D915F2" w:rsidRPr="0076198C" w:rsidRDefault="00D915F2" w:rsidP="000C2489">
                      <w:pPr>
                        <w:pStyle w:val="ColorfulList-Accent11"/>
                        <w:ind w:left="0"/>
                        <w:rPr>
                          <w:rFonts w:cs="Calibri"/>
                          <w:lang w:val="fr-CH"/>
                        </w:rPr>
                      </w:pPr>
                    </w:p>
                    <w:p w14:paraId="1D6CE41B" w14:textId="781E14C7" w:rsidR="00D915F2" w:rsidRPr="0076198C" w:rsidRDefault="00D915F2" w:rsidP="00886E53">
                      <w:pPr>
                        <w:pStyle w:val="ColorfulList-Accent11"/>
                        <w:ind w:left="426" w:hanging="426"/>
                        <w:rPr>
                          <w:rFonts w:asciiTheme="minorHAnsi" w:hAnsiTheme="minorHAnsi" w:cstheme="minorHAnsi"/>
                          <w:lang w:val="fr-CH"/>
                        </w:rPr>
                      </w:pPr>
                      <w:r w:rsidRPr="0076198C">
                        <w:rPr>
                          <w:rFonts w:cs="Calibri"/>
                          <w:lang w:val="fr-CH"/>
                        </w:rPr>
                        <w:t>i</w:t>
                      </w:r>
                      <w:r w:rsidR="0076198C">
                        <w:rPr>
                          <w:rFonts w:cs="Calibri"/>
                          <w:lang w:val="fr-CH"/>
                        </w:rPr>
                        <w:t>)</w:t>
                      </w:r>
                      <w:r w:rsidRPr="0076198C">
                        <w:rPr>
                          <w:rFonts w:cs="Calibri"/>
                          <w:lang w:val="fr-CH"/>
                        </w:rPr>
                        <w:tab/>
                      </w:r>
                      <w:r w:rsidR="004921A9" w:rsidRPr="0076198C">
                        <w:rPr>
                          <w:rFonts w:asciiTheme="minorHAnsi" w:hAnsiTheme="minorHAnsi" w:cstheme="minorHAnsi"/>
                          <w:lang w:val="fr-CH"/>
                        </w:rPr>
                        <w:t>appro</w:t>
                      </w:r>
                      <w:r w:rsidR="00AA4592">
                        <w:rPr>
                          <w:rFonts w:asciiTheme="minorHAnsi" w:hAnsiTheme="minorHAnsi" w:cstheme="minorHAnsi"/>
                          <w:lang w:val="fr-CH"/>
                        </w:rPr>
                        <w:t>uver la proposition du Secrétariat sur le fonctionnement futur du Groupe de surveillance des activités de CESP et donner instruction au Secrétariat de préparer un projet de résolution pour la 64</w:t>
                      </w:r>
                      <w:r w:rsidR="00AA4592" w:rsidRPr="00AA4592">
                        <w:rPr>
                          <w:rFonts w:asciiTheme="minorHAnsi" w:hAnsiTheme="minorHAnsi" w:cstheme="minorHAnsi"/>
                          <w:vertAlign w:val="superscript"/>
                          <w:lang w:val="fr-CH"/>
                        </w:rPr>
                        <w:t>e</w:t>
                      </w:r>
                      <w:r w:rsidR="00AA4592">
                        <w:rPr>
                          <w:rFonts w:asciiTheme="minorHAnsi" w:hAnsiTheme="minorHAnsi" w:cstheme="minorHAnsi"/>
                          <w:lang w:val="fr-CH"/>
                        </w:rPr>
                        <w:t xml:space="preserve"> Réunion du Comité permanent afin que la Conférence des Parties contractantes, à la COP15, puisse officialiser ce fonctionnement ; et </w:t>
                      </w:r>
                    </w:p>
                    <w:p w14:paraId="0C79C8D9" w14:textId="77777777" w:rsidR="00886E53" w:rsidRPr="0076198C" w:rsidRDefault="00886E53" w:rsidP="00886E53">
                      <w:pPr>
                        <w:pStyle w:val="ColorfulList-Accent11"/>
                        <w:ind w:left="426" w:hanging="426"/>
                        <w:rPr>
                          <w:rFonts w:cs="Calibri"/>
                          <w:lang w:val="fr-CH"/>
                        </w:rPr>
                      </w:pPr>
                    </w:p>
                    <w:p w14:paraId="75779A2D" w14:textId="0899A90F" w:rsidR="00D915F2" w:rsidRPr="0076198C" w:rsidRDefault="00886E53" w:rsidP="00FD76BF">
                      <w:pPr>
                        <w:pStyle w:val="ColorfulList-Accent11"/>
                        <w:ind w:left="425"/>
                        <w:rPr>
                          <w:lang w:val="fr-CH"/>
                        </w:rPr>
                      </w:pPr>
                      <w:r w:rsidRPr="0076198C">
                        <w:rPr>
                          <w:lang w:val="fr-CH"/>
                        </w:rPr>
                        <w:t>ii</w:t>
                      </w:r>
                      <w:r w:rsidR="0076198C">
                        <w:rPr>
                          <w:lang w:val="fr-CH"/>
                        </w:rPr>
                        <w:t>)</w:t>
                      </w:r>
                      <w:r w:rsidRPr="0076198C">
                        <w:rPr>
                          <w:lang w:val="fr-CH"/>
                        </w:rPr>
                        <w:tab/>
                      </w:r>
                      <w:r w:rsidR="00AA4592">
                        <w:rPr>
                          <w:lang w:val="fr-CH"/>
                        </w:rPr>
                        <w:t xml:space="preserve">indiquer au Secrétariat le processus et le calendrier à suivre pour nommer les membres du Groupe pour la période triennale </w:t>
                      </w:r>
                      <w:r w:rsidR="00956CCB" w:rsidRPr="0076198C">
                        <w:rPr>
                          <w:lang w:val="fr-CH"/>
                        </w:rPr>
                        <w:t xml:space="preserve">2025-2028. </w:t>
                      </w:r>
                    </w:p>
                  </w:txbxContent>
                </v:textbox>
                <w10:anchorlock/>
              </v:shape>
            </w:pict>
          </mc:Fallback>
        </mc:AlternateContent>
      </w:r>
    </w:p>
    <w:p w14:paraId="2A6B92CB" w14:textId="77777777" w:rsidR="009E0AE8" w:rsidRDefault="009E0AE8" w:rsidP="006A2401">
      <w:pPr>
        <w:rPr>
          <w:rFonts w:cs="Arial"/>
          <w:b/>
        </w:rPr>
      </w:pPr>
    </w:p>
    <w:p w14:paraId="7BEB44F1" w14:textId="77777777" w:rsidR="00370C3C" w:rsidRDefault="00370C3C" w:rsidP="009C5199">
      <w:pPr>
        <w:rPr>
          <w:rFonts w:cs="Arial"/>
          <w:b/>
        </w:rPr>
      </w:pPr>
    </w:p>
    <w:p w14:paraId="0BC0D188" w14:textId="54797CEA" w:rsidR="000C2489" w:rsidRPr="0076198C" w:rsidRDefault="00132375" w:rsidP="0007175F">
      <w:pPr>
        <w:rPr>
          <w:rFonts w:cs="Arial"/>
          <w:b/>
          <w:lang w:val="fr-CH"/>
        </w:rPr>
      </w:pPr>
      <w:r w:rsidRPr="0076198C">
        <w:rPr>
          <w:rFonts w:cs="Arial"/>
          <w:b/>
          <w:lang w:val="fr-CH"/>
        </w:rPr>
        <w:t>Contexte et</w:t>
      </w:r>
      <w:r w:rsidR="004D1CCA" w:rsidRPr="0076198C">
        <w:rPr>
          <w:rFonts w:cs="Arial"/>
          <w:b/>
          <w:lang w:val="fr-CH"/>
        </w:rPr>
        <w:t xml:space="preserve"> introduction</w:t>
      </w:r>
    </w:p>
    <w:p w14:paraId="7F330B2B" w14:textId="77777777" w:rsidR="004B6C84" w:rsidRPr="0076198C" w:rsidRDefault="004B6C84" w:rsidP="009C5199">
      <w:pPr>
        <w:rPr>
          <w:rFonts w:ascii="Garamond" w:hAnsi="Garamond" w:cs="Arial"/>
          <w:lang w:val="fr-CH"/>
        </w:rPr>
      </w:pPr>
    </w:p>
    <w:p w14:paraId="64407CBC" w14:textId="63188259" w:rsidR="005F2A8B" w:rsidRPr="0076198C" w:rsidRDefault="00EF70B8" w:rsidP="009342B4">
      <w:pPr>
        <w:pStyle w:val="ListParagraph"/>
        <w:numPr>
          <w:ilvl w:val="0"/>
          <w:numId w:val="8"/>
        </w:numPr>
        <w:rPr>
          <w:rFonts w:cs="Arial"/>
          <w:lang w:val="fr-CH"/>
        </w:rPr>
      </w:pPr>
      <w:r w:rsidRPr="0017764B">
        <w:rPr>
          <w:rFonts w:cs="Arial"/>
          <w:lang w:val="fr-CH"/>
        </w:rPr>
        <w:t xml:space="preserve">La </w:t>
      </w:r>
      <w:r w:rsidR="005F2A8B" w:rsidRPr="0017764B">
        <w:rPr>
          <w:rFonts w:cs="Arial"/>
          <w:lang w:val="fr-CH"/>
        </w:rPr>
        <w:t>R</w:t>
      </w:r>
      <w:r w:rsidRPr="0017764B">
        <w:rPr>
          <w:rFonts w:cs="Arial"/>
          <w:lang w:val="fr-CH"/>
        </w:rPr>
        <w:t>é</w:t>
      </w:r>
      <w:r w:rsidR="005F2A8B" w:rsidRPr="0017764B">
        <w:rPr>
          <w:rFonts w:cs="Arial"/>
          <w:lang w:val="fr-CH"/>
        </w:rPr>
        <w:t>solution IX.18</w:t>
      </w:r>
      <w:r w:rsidRPr="0017764B">
        <w:rPr>
          <w:rFonts w:cs="Arial"/>
          <w:lang w:val="fr-CH"/>
        </w:rPr>
        <w:t>,</w:t>
      </w:r>
      <w:r w:rsidR="005C13B9" w:rsidRPr="0017764B">
        <w:rPr>
          <w:rFonts w:cs="Arial"/>
          <w:lang w:val="fr-CH"/>
        </w:rPr>
        <w:t xml:space="preserve"> </w:t>
      </w:r>
      <w:r w:rsidR="00523ABB" w:rsidRPr="0017764B">
        <w:rPr>
          <w:rFonts w:cs="Arial"/>
          <w:i/>
          <w:lang w:val="fr-CH"/>
        </w:rPr>
        <w:t>Établissement d’un Groupe de surveillance des activités de CESP de la Convention</w:t>
      </w:r>
      <w:r w:rsidRPr="0017764B">
        <w:rPr>
          <w:rFonts w:cs="Arial"/>
          <w:iCs/>
          <w:lang w:val="fr-CH"/>
        </w:rPr>
        <w:t xml:space="preserve"> (2005),</w:t>
      </w:r>
      <w:r w:rsidRPr="0076198C">
        <w:rPr>
          <w:rFonts w:cs="Arial"/>
          <w:iCs/>
          <w:lang w:val="fr-CH"/>
        </w:rPr>
        <w:t xml:space="preserve"> </w:t>
      </w:r>
      <w:r w:rsidR="00AA4592">
        <w:rPr>
          <w:rFonts w:cs="Arial"/>
          <w:lang w:val="fr-CH"/>
        </w:rPr>
        <w:t xml:space="preserve">fournissait des </w:t>
      </w:r>
      <w:r w:rsidR="00B47F72">
        <w:rPr>
          <w:rFonts w:cs="Arial"/>
          <w:lang w:val="fr-CH"/>
        </w:rPr>
        <w:t>orientations initiales sur les fonctions, la composition et le fonctionnement du Groupe de surveillance des activités de CESP.</w:t>
      </w:r>
      <w:r w:rsidR="005F2A8B" w:rsidRPr="0076198C">
        <w:rPr>
          <w:rFonts w:cs="Arial"/>
          <w:lang w:val="fr-CH"/>
        </w:rPr>
        <w:t xml:space="preserve"> </w:t>
      </w:r>
    </w:p>
    <w:p w14:paraId="18FE2BEA" w14:textId="77777777" w:rsidR="005F2A8B" w:rsidRPr="0076198C" w:rsidRDefault="005F2A8B" w:rsidP="005F2A8B">
      <w:pPr>
        <w:pStyle w:val="ListParagraph"/>
        <w:ind w:left="430" w:firstLine="0"/>
        <w:rPr>
          <w:rFonts w:cs="Arial"/>
          <w:lang w:val="fr-CH"/>
        </w:rPr>
      </w:pPr>
    </w:p>
    <w:p w14:paraId="16185B3A" w14:textId="3B24C78D" w:rsidR="00533848" w:rsidRPr="0076198C" w:rsidRDefault="001E4F25" w:rsidP="009C5199">
      <w:pPr>
        <w:pStyle w:val="NoSpacing"/>
        <w:rPr>
          <w:lang w:val="fr-CH"/>
        </w:rPr>
      </w:pPr>
      <w:r w:rsidRPr="0076198C">
        <w:rPr>
          <w:rFonts w:cs="Arial"/>
          <w:lang w:val="fr-CH"/>
        </w:rPr>
        <w:t>2</w:t>
      </w:r>
      <w:r w:rsidR="00275F13" w:rsidRPr="0076198C">
        <w:rPr>
          <w:lang w:val="fr-CH"/>
        </w:rPr>
        <w:t>.</w:t>
      </w:r>
      <w:r w:rsidR="00275F13" w:rsidRPr="0076198C">
        <w:rPr>
          <w:lang w:val="fr-CH"/>
        </w:rPr>
        <w:tab/>
      </w:r>
      <w:r w:rsidR="00132375" w:rsidRPr="0017764B">
        <w:rPr>
          <w:lang w:val="fr-CH"/>
        </w:rPr>
        <w:t xml:space="preserve">Le Groupe de surveillance des activités de CESP </w:t>
      </w:r>
      <w:r w:rsidR="0017764B">
        <w:rPr>
          <w:lang w:val="fr-CH"/>
        </w:rPr>
        <w:t>qui siégeait en</w:t>
      </w:r>
      <w:r w:rsidR="00132375" w:rsidRPr="0017764B">
        <w:rPr>
          <w:lang w:val="fr-CH"/>
        </w:rPr>
        <w:t xml:space="preserve"> </w:t>
      </w:r>
      <w:r w:rsidR="004B6C84" w:rsidRPr="0017764B">
        <w:rPr>
          <w:lang w:val="fr-CH"/>
        </w:rPr>
        <w:t xml:space="preserve">2016-2018 </w:t>
      </w:r>
      <w:r w:rsidR="00132375" w:rsidRPr="0017764B">
        <w:rPr>
          <w:lang w:val="fr-CH"/>
        </w:rPr>
        <w:t>a fait des</w:t>
      </w:r>
      <w:r w:rsidR="004B6C84" w:rsidRPr="0017764B">
        <w:rPr>
          <w:lang w:val="fr-CH"/>
        </w:rPr>
        <w:t xml:space="preserve"> </w:t>
      </w:r>
      <w:r w:rsidR="00132375" w:rsidRPr="0017764B">
        <w:rPr>
          <w:lang w:val="fr-CH"/>
        </w:rPr>
        <w:t>recommandations</w:t>
      </w:r>
      <w:r w:rsidR="0028594D" w:rsidRPr="0017764B">
        <w:rPr>
          <w:lang w:val="fr-CH"/>
        </w:rPr>
        <w:t xml:space="preserve"> </w:t>
      </w:r>
      <w:r w:rsidR="00132375" w:rsidRPr="0017764B">
        <w:rPr>
          <w:lang w:val="fr-CH"/>
        </w:rPr>
        <w:t>sur l’élaboration de la nouvelle approche de CESP</w:t>
      </w:r>
      <w:r w:rsidR="00F9333B" w:rsidRPr="0017764B">
        <w:rPr>
          <w:lang w:val="fr-CH"/>
        </w:rPr>
        <w:t xml:space="preserve"> (communication, </w:t>
      </w:r>
      <w:r w:rsidR="00132375" w:rsidRPr="0017764B">
        <w:rPr>
          <w:lang w:val="fr-CH"/>
        </w:rPr>
        <w:t>é</w:t>
      </w:r>
      <w:r w:rsidR="00F9333B" w:rsidRPr="0017764B">
        <w:rPr>
          <w:lang w:val="fr-CH"/>
        </w:rPr>
        <w:t>ducation</w:t>
      </w:r>
      <w:r w:rsidR="00132375" w:rsidRPr="0017764B">
        <w:rPr>
          <w:lang w:val="fr-CH"/>
        </w:rPr>
        <w:t>, sensibilisation, participation et renforcement des capacités</w:t>
      </w:r>
      <w:r w:rsidR="00F9333B" w:rsidRPr="0017764B">
        <w:rPr>
          <w:lang w:val="fr-CH"/>
        </w:rPr>
        <w:t>)</w:t>
      </w:r>
      <w:r w:rsidR="00DF5550" w:rsidRPr="0017764B">
        <w:rPr>
          <w:lang w:val="fr-CH"/>
        </w:rPr>
        <w:t xml:space="preserve">, </w:t>
      </w:r>
      <w:r w:rsidR="00132375" w:rsidRPr="0017764B">
        <w:rPr>
          <w:lang w:val="fr-CH"/>
        </w:rPr>
        <w:t xml:space="preserve">qui </w:t>
      </w:r>
      <w:r w:rsidR="0017764B">
        <w:rPr>
          <w:lang w:val="fr-CH"/>
        </w:rPr>
        <w:t>figurent</w:t>
      </w:r>
      <w:r w:rsidR="00132375" w:rsidRPr="0017764B">
        <w:rPr>
          <w:lang w:val="fr-CH"/>
        </w:rPr>
        <w:t xml:space="preserve"> dans le</w:t>
      </w:r>
      <w:r w:rsidR="0028594D" w:rsidRPr="0017764B">
        <w:rPr>
          <w:lang w:val="fr-CH"/>
        </w:rPr>
        <w:t xml:space="preserve"> </w:t>
      </w:r>
      <w:r w:rsidR="002F739F" w:rsidRPr="0017764B">
        <w:rPr>
          <w:lang w:val="fr-CH"/>
        </w:rPr>
        <w:t xml:space="preserve">document </w:t>
      </w:r>
      <w:r w:rsidR="0028594D" w:rsidRPr="0017764B">
        <w:rPr>
          <w:lang w:val="fr-CH"/>
        </w:rPr>
        <w:t>COP</w:t>
      </w:r>
      <w:r w:rsidR="00DF5550" w:rsidRPr="0017764B">
        <w:rPr>
          <w:lang w:val="fr-CH"/>
        </w:rPr>
        <w:t>13</w:t>
      </w:r>
      <w:r w:rsidR="0028594D" w:rsidRPr="0017764B">
        <w:rPr>
          <w:lang w:val="fr-CH"/>
        </w:rPr>
        <w:t xml:space="preserve"> </w:t>
      </w:r>
      <w:r w:rsidR="002F739F" w:rsidRPr="0017764B">
        <w:rPr>
          <w:lang w:val="fr-CH"/>
        </w:rPr>
        <w:t>Doc.</w:t>
      </w:r>
      <w:r w:rsidR="0028594D" w:rsidRPr="0017764B">
        <w:rPr>
          <w:lang w:val="fr-CH"/>
        </w:rPr>
        <w:t xml:space="preserve">10, </w:t>
      </w:r>
      <w:r w:rsidR="00EF70B8" w:rsidRPr="0017764B">
        <w:rPr>
          <w:i/>
          <w:lang w:val="fr-CH"/>
        </w:rPr>
        <w:t>Rapport sur l’application du Programme de CESP 2016-2018 et recommandations sur les orientations futures</w:t>
      </w:r>
      <w:r w:rsidRPr="0017764B">
        <w:rPr>
          <w:rStyle w:val="FootnoteReference"/>
          <w:lang w:val="fr-CH"/>
        </w:rPr>
        <w:footnoteReference w:id="2"/>
      </w:r>
      <w:r w:rsidR="00B47F72" w:rsidRPr="0017764B">
        <w:rPr>
          <w:i/>
          <w:lang w:val="fr-CH"/>
        </w:rPr>
        <w:t>.</w:t>
      </w:r>
      <w:r w:rsidR="00533848" w:rsidRPr="0076198C">
        <w:rPr>
          <w:lang w:val="fr-CH"/>
        </w:rPr>
        <w:t xml:space="preserve"> </w:t>
      </w:r>
    </w:p>
    <w:p w14:paraId="3F7072CC" w14:textId="77777777" w:rsidR="000C2489" w:rsidRPr="0076198C" w:rsidRDefault="000C2489" w:rsidP="009C5199">
      <w:pPr>
        <w:pStyle w:val="NoSpacing"/>
        <w:rPr>
          <w:lang w:val="fr-CH"/>
        </w:rPr>
      </w:pPr>
    </w:p>
    <w:p w14:paraId="57F0D4D3" w14:textId="2130704B" w:rsidR="00DF5550" w:rsidRPr="0076198C" w:rsidRDefault="001E4F25" w:rsidP="009C5199">
      <w:pPr>
        <w:pStyle w:val="NoSpacing"/>
        <w:rPr>
          <w:lang w:val="fr-CH"/>
        </w:rPr>
      </w:pPr>
      <w:r w:rsidRPr="0076198C">
        <w:rPr>
          <w:lang w:val="fr-CH"/>
        </w:rPr>
        <w:t>3</w:t>
      </w:r>
      <w:r w:rsidR="00DF5550" w:rsidRPr="0076198C">
        <w:rPr>
          <w:lang w:val="fr-CH"/>
        </w:rPr>
        <w:t>.</w:t>
      </w:r>
      <w:r w:rsidR="00DF5550" w:rsidRPr="0076198C">
        <w:rPr>
          <w:lang w:val="fr-CH"/>
        </w:rPr>
        <w:tab/>
      </w:r>
      <w:bookmarkStart w:id="0" w:name="_Hlk63613538"/>
      <w:r w:rsidR="00B47F72">
        <w:rPr>
          <w:lang w:val="fr-CH"/>
        </w:rPr>
        <w:t>C</w:t>
      </w:r>
      <w:r w:rsidR="003B7589">
        <w:rPr>
          <w:lang w:val="fr-CH"/>
        </w:rPr>
        <w:t>’est sur c</w:t>
      </w:r>
      <w:r w:rsidR="00B47F72">
        <w:rPr>
          <w:lang w:val="fr-CH"/>
        </w:rPr>
        <w:t xml:space="preserve">es recommandations </w:t>
      </w:r>
      <w:r w:rsidR="003B7589">
        <w:rPr>
          <w:lang w:val="fr-CH"/>
        </w:rPr>
        <w:t>que repose</w:t>
      </w:r>
      <w:r w:rsidR="00BA4BAF">
        <w:rPr>
          <w:lang w:val="fr-CH"/>
        </w:rPr>
        <w:t xml:space="preserve"> la Résolution </w:t>
      </w:r>
      <w:r w:rsidR="00DF5550" w:rsidRPr="0076198C">
        <w:rPr>
          <w:lang w:val="fr-CH"/>
        </w:rPr>
        <w:t>XIII.5</w:t>
      </w:r>
      <w:r w:rsidR="00EF70B8" w:rsidRPr="0076198C">
        <w:rPr>
          <w:lang w:val="fr-CH"/>
        </w:rPr>
        <w:t>,</w:t>
      </w:r>
      <w:r w:rsidR="00960D15" w:rsidRPr="0076198C">
        <w:rPr>
          <w:lang w:val="fr-CH"/>
        </w:rPr>
        <w:t xml:space="preserve"> </w:t>
      </w:r>
      <w:r w:rsidR="00EF70B8" w:rsidRPr="0076198C">
        <w:rPr>
          <w:i/>
          <w:lang w:val="fr-CH"/>
        </w:rPr>
        <w:t>Révision du quatrième Plan stratégique de la Convention de Ramsar</w:t>
      </w:r>
      <w:r w:rsidR="00BA4BAF">
        <w:rPr>
          <w:i/>
          <w:lang w:val="fr-CH"/>
        </w:rPr>
        <w:t xml:space="preserve"> </w:t>
      </w:r>
      <w:r w:rsidR="00BA4BAF">
        <w:rPr>
          <w:lang w:val="fr-CH"/>
        </w:rPr>
        <w:t>(</w:t>
      </w:r>
      <w:r w:rsidR="00BA4BAF" w:rsidRPr="0076198C">
        <w:rPr>
          <w:lang w:val="fr-CH"/>
        </w:rPr>
        <w:t>2018</w:t>
      </w:r>
      <w:r w:rsidR="00BA4BAF">
        <w:rPr>
          <w:lang w:val="fr-CH"/>
        </w:rPr>
        <w:t>)</w:t>
      </w:r>
      <w:r w:rsidR="00EF70B8" w:rsidRPr="0076198C">
        <w:rPr>
          <w:i/>
          <w:lang w:val="fr-CH"/>
        </w:rPr>
        <w:t xml:space="preserve"> </w:t>
      </w:r>
      <w:r w:rsidR="00BA4BAF">
        <w:rPr>
          <w:lang w:val="fr-CH"/>
        </w:rPr>
        <w:t>qui</w:t>
      </w:r>
      <w:r w:rsidR="0017764B">
        <w:rPr>
          <w:lang w:val="fr-CH"/>
        </w:rPr>
        <w:t>,</w:t>
      </w:r>
      <w:r w:rsidR="00BA4BAF">
        <w:rPr>
          <w:lang w:val="fr-CH"/>
        </w:rPr>
        <w:t xml:space="preserve"> </w:t>
      </w:r>
      <w:r w:rsidR="0017764B">
        <w:rPr>
          <w:lang w:val="fr-CH"/>
        </w:rPr>
        <w:t>à la 59</w:t>
      </w:r>
      <w:r w:rsidR="0017764B" w:rsidRPr="00E52B9D">
        <w:rPr>
          <w:vertAlign w:val="superscript"/>
          <w:lang w:val="fr-CH"/>
        </w:rPr>
        <w:t>e</w:t>
      </w:r>
      <w:r w:rsidR="0017764B">
        <w:rPr>
          <w:lang w:val="fr-CH"/>
        </w:rPr>
        <w:t xml:space="preserve"> Réunion du Comité permanent </w:t>
      </w:r>
      <w:r w:rsidR="0017764B" w:rsidRPr="0076198C">
        <w:rPr>
          <w:lang w:val="fr-CH"/>
        </w:rPr>
        <w:t>(SC59)</w:t>
      </w:r>
      <w:r w:rsidR="0017764B">
        <w:rPr>
          <w:lang w:val="fr-CH"/>
        </w:rPr>
        <w:t xml:space="preserve">, </w:t>
      </w:r>
      <w:r w:rsidR="00BA4BAF">
        <w:rPr>
          <w:lang w:val="fr-CH"/>
        </w:rPr>
        <w:t>donn</w:t>
      </w:r>
      <w:r w:rsidR="0017764B">
        <w:rPr>
          <w:lang w:val="fr-CH"/>
        </w:rPr>
        <w:t>ait</w:t>
      </w:r>
      <w:r w:rsidR="00BA4BAF">
        <w:rPr>
          <w:lang w:val="fr-CH"/>
        </w:rPr>
        <w:t xml:space="preserve"> instruction au Groupe de surveillance des activités de </w:t>
      </w:r>
      <w:r w:rsidR="00BA4BAF" w:rsidRPr="0017764B">
        <w:rPr>
          <w:lang w:val="fr-CH"/>
        </w:rPr>
        <w:t xml:space="preserve">CESP </w:t>
      </w:r>
      <w:r w:rsidR="00632CF2" w:rsidRPr="0017764B">
        <w:rPr>
          <w:lang w:val="fr-CH"/>
        </w:rPr>
        <w:t>« de présenter sa proposition de nouvelle approche et un projet de résolution à ce sujet pour examen à la COP14</w:t>
      </w:r>
      <w:r w:rsidR="00671E70">
        <w:rPr>
          <w:lang w:val="fr-CH"/>
        </w:rPr>
        <w:t> </w:t>
      </w:r>
      <w:r w:rsidR="00632CF2" w:rsidRPr="0017764B">
        <w:rPr>
          <w:lang w:val="fr-CH"/>
        </w:rPr>
        <w:t xml:space="preserve">; et </w:t>
      </w:r>
      <w:r w:rsidR="0017764B">
        <w:rPr>
          <w:lang w:val="fr-CH"/>
        </w:rPr>
        <w:t>[…]</w:t>
      </w:r>
      <w:r w:rsidR="00632CF2" w:rsidRPr="0017764B">
        <w:rPr>
          <w:lang w:val="fr-CH"/>
        </w:rPr>
        <w:t xml:space="preserve"> au Comité permanent de faire avancer ce dossier, pour décision à la COP14</w:t>
      </w:r>
      <w:r w:rsidR="00960D15" w:rsidRPr="0017764B">
        <w:rPr>
          <w:lang w:val="fr-CH"/>
        </w:rPr>
        <w:t>.</w:t>
      </w:r>
      <w:r w:rsidR="00632CF2" w:rsidRPr="0017764B">
        <w:rPr>
          <w:lang w:val="fr-CH"/>
        </w:rPr>
        <w:t> »</w:t>
      </w:r>
      <w:r w:rsidR="00E52B9D">
        <w:rPr>
          <w:lang w:val="fr-CH"/>
        </w:rPr>
        <w:t>.</w:t>
      </w:r>
      <w:r w:rsidR="00E52B9D" w:rsidRPr="0076198C">
        <w:rPr>
          <w:lang w:val="fr-CH"/>
        </w:rPr>
        <w:t xml:space="preserve"> </w:t>
      </w:r>
      <w:r w:rsidR="00E52B9D">
        <w:rPr>
          <w:lang w:val="fr-CH"/>
        </w:rPr>
        <w:t>Cette nouvelle approche devait tenir compte des travaux déjà réalisés par le Groupe</w:t>
      </w:r>
      <w:r w:rsidR="00E73445">
        <w:rPr>
          <w:lang w:val="fr-CH"/>
        </w:rPr>
        <w:t xml:space="preserve"> de surveillance</w:t>
      </w:r>
      <w:r w:rsidR="00E52B9D">
        <w:rPr>
          <w:lang w:val="fr-CH"/>
        </w:rPr>
        <w:t xml:space="preserve"> et le Groupe de travail sur l’application de la CESP, </w:t>
      </w:r>
      <w:r w:rsidR="003B7589">
        <w:rPr>
          <w:lang w:val="fr-CH"/>
        </w:rPr>
        <w:t>tenir compte de</w:t>
      </w:r>
      <w:r w:rsidR="00E52B9D">
        <w:rPr>
          <w:lang w:val="fr-CH"/>
        </w:rPr>
        <w:t xml:space="preserve"> l’avis du Groupe </w:t>
      </w:r>
      <w:r w:rsidR="00E52B9D">
        <w:rPr>
          <w:lang w:val="fr-CH"/>
        </w:rPr>
        <w:lastRenderedPageBreak/>
        <w:t>d’évaluation scientifique et technique (GEST) et compléter les travaux du Groupe de travail sur le plan stratégique.</w:t>
      </w:r>
    </w:p>
    <w:p w14:paraId="4D217EE3" w14:textId="77777777" w:rsidR="004D62AB" w:rsidRPr="0076198C" w:rsidRDefault="004D62AB" w:rsidP="009C5199">
      <w:pPr>
        <w:pStyle w:val="NoSpacing"/>
        <w:rPr>
          <w:lang w:val="fr-CH"/>
        </w:rPr>
      </w:pPr>
    </w:p>
    <w:p w14:paraId="190DBB4F" w14:textId="0B3BC958" w:rsidR="004D62AB" w:rsidRPr="0076198C" w:rsidRDefault="001E4F25" w:rsidP="004D62AB">
      <w:pPr>
        <w:rPr>
          <w:rFonts w:asciiTheme="minorHAnsi" w:hAnsiTheme="minorHAnsi" w:cstheme="minorHAnsi"/>
          <w:lang w:val="fr-CH"/>
        </w:rPr>
      </w:pPr>
      <w:r w:rsidRPr="0076198C">
        <w:rPr>
          <w:rFonts w:asciiTheme="minorHAnsi" w:hAnsiTheme="minorHAnsi" w:cstheme="minorHAnsi"/>
          <w:lang w:val="fr-CH"/>
        </w:rPr>
        <w:t>4</w:t>
      </w:r>
      <w:r w:rsidR="004D62AB" w:rsidRPr="0076198C">
        <w:rPr>
          <w:rFonts w:asciiTheme="minorHAnsi" w:hAnsiTheme="minorHAnsi" w:cstheme="minorHAnsi"/>
          <w:lang w:val="fr-CH"/>
        </w:rPr>
        <w:t>.</w:t>
      </w:r>
      <w:r w:rsidR="004D62AB" w:rsidRPr="0076198C">
        <w:rPr>
          <w:rFonts w:asciiTheme="minorHAnsi" w:hAnsiTheme="minorHAnsi" w:cstheme="minorHAnsi"/>
          <w:lang w:val="fr-CH"/>
        </w:rPr>
        <w:tab/>
      </w:r>
      <w:bookmarkStart w:id="1" w:name="_Hlk148952138"/>
      <w:r w:rsidR="00632CF2" w:rsidRPr="003B7589">
        <w:rPr>
          <w:rFonts w:asciiTheme="minorHAnsi" w:hAnsiTheme="minorHAnsi" w:cstheme="minorHAnsi"/>
          <w:lang w:val="fr-CH"/>
        </w:rPr>
        <w:t xml:space="preserve">La </w:t>
      </w:r>
      <w:r w:rsidR="004D62AB" w:rsidRPr="003B7589">
        <w:rPr>
          <w:rFonts w:asciiTheme="minorHAnsi" w:hAnsiTheme="minorHAnsi" w:cstheme="minorHAnsi"/>
          <w:lang w:val="fr-CH"/>
        </w:rPr>
        <w:t>R</w:t>
      </w:r>
      <w:r w:rsidR="00632CF2" w:rsidRPr="003B7589">
        <w:rPr>
          <w:rFonts w:asciiTheme="minorHAnsi" w:hAnsiTheme="minorHAnsi" w:cstheme="minorHAnsi"/>
          <w:lang w:val="fr-CH"/>
        </w:rPr>
        <w:t>é</w:t>
      </w:r>
      <w:r w:rsidR="004D62AB" w:rsidRPr="003B7589">
        <w:rPr>
          <w:rFonts w:asciiTheme="minorHAnsi" w:hAnsiTheme="minorHAnsi" w:cstheme="minorHAnsi"/>
          <w:lang w:val="fr-CH"/>
        </w:rPr>
        <w:t>solution XIV.8</w:t>
      </w:r>
      <w:r w:rsidR="00632CF2" w:rsidRPr="003B7589">
        <w:rPr>
          <w:rFonts w:asciiTheme="minorHAnsi" w:hAnsiTheme="minorHAnsi" w:cstheme="minorHAnsi"/>
          <w:lang w:val="fr-CH"/>
        </w:rPr>
        <w:t>,</w:t>
      </w:r>
      <w:r w:rsidR="004D62AB" w:rsidRPr="003B7589">
        <w:rPr>
          <w:rFonts w:asciiTheme="minorHAnsi" w:hAnsiTheme="minorHAnsi" w:cstheme="minorHAnsi"/>
          <w:lang w:val="fr-CH"/>
        </w:rPr>
        <w:t xml:space="preserve"> </w:t>
      </w:r>
      <w:r w:rsidR="00632CF2" w:rsidRPr="003B7589">
        <w:rPr>
          <w:rFonts w:asciiTheme="minorHAnsi" w:hAnsiTheme="minorHAnsi" w:cstheme="minorHAnsi"/>
          <w:i/>
          <w:lang w:val="fr-CH"/>
        </w:rPr>
        <w:t>La nouvelle approche de la CESP</w:t>
      </w:r>
      <w:r w:rsidR="003F6B0A" w:rsidRPr="003B7589">
        <w:rPr>
          <w:rStyle w:val="FootnoteReference"/>
          <w:rFonts w:asciiTheme="minorHAnsi" w:hAnsiTheme="minorHAnsi" w:cstheme="minorHAnsi"/>
          <w:lang w:val="fr-CH"/>
        </w:rPr>
        <w:footnoteReference w:id="3"/>
      </w:r>
      <w:r w:rsidR="004D62AB" w:rsidRPr="003B7589">
        <w:rPr>
          <w:rFonts w:asciiTheme="minorHAnsi" w:hAnsiTheme="minorHAnsi" w:cstheme="minorHAnsi"/>
          <w:lang w:val="fr-CH"/>
        </w:rPr>
        <w:t xml:space="preserve"> </w:t>
      </w:r>
      <w:r w:rsidR="00632CF2" w:rsidRPr="003B7589">
        <w:rPr>
          <w:rFonts w:asciiTheme="minorHAnsi" w:hAnsiTheme="minorHAnsi" w:cstheme="minorHAnsi"/>
          <w:lang w:val="fr-CH"/>
        </w:rPr>
        <w:t>(</w:t>
      </w:r>
      <w:r w:rsidR="00F9333B" w:rsidRPr="003B7589">
        <w:rPr>
          <w:rFonts w:asciiTheme="minorHAnsi" w:hAnsiTheme="minorHAnsi" w:cstheme="minorHAnsi"/>
          <w:lang w:val="fr-CH"/>
        </w:rPr>
        <w:t>2022</w:t>
      </w:r>
      <w:r w:rsidR="00632CF2" w:rsidRPr="003B7589">
        <w:rPr>
          <w:rFonts w:asciiTheme="minorHAnsi" w:hAnsiTheme="minorHAnsi" w:cstheme="minorHAnsi"/>
          <w:lang w:val="fr-CH"/>
        </w:rPr>
        <w:t>)</w:t>
      </w:r>
      <w:r w:rsidR="00C50B8D" w:rsidRPr="003B7589">
        <w:rPr>
          <w:rFonts w:asciiTheme="minorHAnsi" w:hAnsiTheme="minorHAnsi" w:cstheme="minorHAnsi"/>
          <w:lang w:val="fr-CH"/>
        </w:rPr>
        <w:t>,</w:t>
      </w:r>
      <w:r w:rsidR="00F9333B" w:rsidRPr="0076198C">
        <w:rPr>
          <w:rFonts w:asciiTheme="minorHAnsi" w:hAnsiTheme="minorHAnsi" w:cstheme="minorHAnsi"/>
          <w:lang w:val="fr-CH"/>
        </w:rPr>
        <w:t xml:space="preserve"> </w:t>
      </w:r>
      <w:r w:rsidR="004D62AB" w:rsidRPr="0076198C">
        <w:rPr>
          <w:rFonts w:asciiTheme="minorHAnsi" w:hAnsiTheme="minorHAnsi" w:cstheme="minorHAnsi"/>
          <w:lang w:val="fr-CH"/>
        </w:rPr>
        <w:t>d</w:t>
      </w:r>
      <w:r w:rsidR="0052621E">
        <w:rPr>
          <w:rFonts w:asciiTheme="minorHAnsi" w:hAnsiTheme="minorHAnsi" w:cstheme="minorHAnsi"/>
          <w:lang w:val="fr-CH"/>
        </w:rPr>
        <w:t xml:space="preserve">éfinit les caractéristiques de la nouvelle approche de CESP dans son annexe 1 et encourage sa mise en œuvre par les Parties contractantes, les Organisations internationales partenaires et autres partenaires, </w:t>
      </w:r>
      <w:r w:rsidR="003B7589">
        <w:rPr>
          <w:rFonts w:asciiTheme="minorHAnsi" w:hAnsiTheme="minorHAnsi" w:cstheme="minorHAnsi"/>
          <w:lang w:val="fr-CH"/>
        </w:rPr>
        <w:t>sachant</w:t>
      </w:r>
      <w:r w:rsidR="0052621E">
        <w:rPr>
          <w:rFonts w:asciiTheme="minorHAnsi" w:hAnsiTheme="minorHAnsi" w:cstheme="minorHAnsi"/>
          <w:lang w:val="fr-CH"/>
        </w:rPr>
        <w:t xml:space="preserve"> qu’elle est conçue pour </w:t>
      </w:r>
      <w:r w:rsidR="003B7589">
        <w:rPr>
          <w:rFonts w:asciiTheme="minorHAnsi" w:hAnsiTheme="minorHAnsi" w:cstheme="minorHAnsi"/>
          <w:lang w:val="fr-CH"/>
        </w:rPr>
        <w:t>tenir compte des</w:t>
      </w:r>
      <w:r w:rsidR="0052621E">
        <w:rPr>
          <w:rFonts w:asciiTheme="minorHAnsi" w:hAnsiTheme="minorHAnsi" w:cstheme="minorHAnsi"/>
          <w:lang w:val="fr-CH"/>
        </w:rPr>
        <w:t xml:space="preserve"> activités de CESP existantes</w:t>
      </w:r>
      <w:r w:rsidR="003B7589" w:rsidRPr="003B7589">
        <w:rPr>
          <w:rFonts w:asciiTheme="minorHAnsi" w:hAnsiTheme="minorHAnsi" w:cstheme="minorHAnsi"/>
          <w:lang w:val="fr-CH"/>
        </w:rPr>
        <w:t xml:space="preserve"> </w:t>
      </w:r>
      <w:r w:rsidR="003B7589">
        <w:rPr>
          <w:rFonts w:asciiTheme="minorHAnsi" w:hAnsiTheme="minorHAnsi" w:cstheme="minorHAnsi"/>
          <w:lang w:val="fr-CH"/>
        </w:rPr>
        <w:t>et les compléter</w:t>
      </w:r>
      <w:r w:rsidR="0052621E">
        <w:rPr>
          <w:rFonts w:asciiTheme="minorHAnsi" w:hAnsiTheme="minorHAnsi" w:cstheme="minorHAnsi"/>
          <w:lang w:val="fr-CH"/>
        </w:rPr>
        <w:t>. L’annexe 3 de la même Résolution définit le cahier des charges du Groupe de surveillance des activités de CESP, dans le contexte de la nouvelle approche de CESP.</w:t>
      </w:r>
    </w:p>
    <w:bookmarkEnd w:id="1"/>
    <w:p w14:paraId="3ED78E4E" w14:textId="77777777" w:rsidR="007B41D1" w:rsidRPr="0076198C" w:rsidRDefault="007B41D1" w:rsidP="004D62AB">
      <w:pPr>
        <w:rPr>
          <w:rFonts w:asciiTheme="minorHAnsi" w:hAnsiTheme="minorHAnsi" w:cstheme="minorHAnsi"/>
          <w:lang w:val="fr-CH"/>
        </w:rPr>
      </w:pPr>
    </w:p>
    <w:p w14:paraId="6E7B208C" w14:textId="632C472F" w:rsidR="004D62AB" w:rsidRPr="0076198C" w:rsidRDefault="001E4F25" w:rsidP="00490E47">
      <w:pPr>
        <w:ind w:left="426"/>
        <w:contextualSpacing/>
        <w:rPr>
          <w:rFonts w:asciiTheme="minorHAnsi" w:hAnsiTheme="minorHAnsi" w:cstheme="minorHAnsi"/>
          <w:lang w:val="fr-CH"/>
        </w:rPr>
      </w:pPr>
      <w:r w:rsidRPr="003B7589">
        <w:rPr>
          <w:rFonts w:asciiTheme="minorHAnsi" w:hAnsiTheme="minorHAnsi" w:cstheme="minorHAnsi"/>
          <w:lang w:val="fr-CH"/>
        </w:rPr>
        <w:t>5</w:t>
      </w:r>
      <w:r w:rsidR="007B41D1" w:rsidRPr="003B7589">
        <w:rPr>
          <w:rFonts w:asciiTheme="minorHAnsi" w:hAnsiTheme="minorHAnsi" w:cstheme="minorHAnsi"/>
          <w:lang w:val="fr-CH"/>
        </w:rPr>
        <w:t>.</w:t>
      </w:r>
      <w:r w:rsidR="007B41D1" w:rsidRPr="003B7589">
        <w:rPr>
          <w:rFonts w:asciiTheme="minorHAnsi" w:hAnsiTheme="minorHAnsi" w:cstheme="minorHAnsi"/>
          <w:lang w:val="fr-CH"/>
        </w:rPr>
        <w:tab/>
      </w:r>
      <w:r w:rsidR="00632CF2" w:rsidRPr="003B7589">
        <w:rPr>
          <w:rFonts w:asciiTheme="minorHAnsi" w:hAnsiTheme="minorHAnsi" w:cstheme="minorHAnsi"/>
          <w:lang w:val="fr-CH"/>
        </w:rPr>
        <w:t>Le p</w:t>
      </w:r>
      <w:r w:rsidR="007B41D1" w:rsidRPr="003B7589">
        <w:rPr>
          <w:rFonts w:asciiTheme="minorHAnsi" w:hAnsiTheme="minorHAnsi" w:cstheme="minorHAnsi"/>
          <w:lang w:val="fr-CH"/>
        </w:rPr>
        <w:t>aragraph</w:t>
      </w:r>
      <w:r w:rsidR="00632CF2" w:rsidRPr="003B7589">
        <w:rPr>
          <w:rFonts w:asciiTheme="minorHAnsi" w:hAnsiTheme="minorHAnsi" w:cstheme="minorHAnsi"/>
          <w:lang w:val="fr-CH"/>
        </w:rPr>
        <w:t>e</w:t>
      </w:r>
      <w:r w:rsidR="007B41D1" w:rsidRPr="003B7589">
        <w:rPr>
          <w:rFonts w:asciiTheme="minorHAnsi" w:hAnsiTheme="minorHAnsi" w:cstheme="minorHAnsi"/>
          <w:lang w:val="fr-CH"/>
        </w:rPr>
        <w:t xml:space="preserve"> 12 </w:t>
      </w:r>
      <w:r w:rsidR="00632CF2" w:rsidRPr="003B7589">
        <w:rPr>
          <w:rFonts w:asciiTheme="minorHAnsi" w:hAnsiTheme="minorHAnsi" w:cstheme="minorHAnsi"/>
          <w:lang w:val="fr-CH"/>
        </w:rPr>
        <w:t>de la</w:t>
      </w:r>
      <w:r w:rsidR="003F6B0A" w:rsidRPr="003B7589">
        <w:rPr>
          <w:rFonts w:asciiTheme="minorHAnsi" w:hAnsiTheme="minorHAnsi" w:cstheme="minorHAnsi"/>
          <w:lang w:val="fr-CH"/>
        </w:rPr>
        <w:t xml:space="preserve"> </w:t>
      </w:r>
      <w:r w:rsidR="00632CF2" w:rsidRPr="003B7589">
        <w:rPr>
          <w:rFonts w:asciiTheme="minorHAnsi" w:hAnsiTheme="minorHAnsi" w:cstheme="minorHAnsi"/>
          <w:lang w:val="fr-CH"/>
        </w:rPr>
        <w:t>Résolution</w:t>
      </w:r>
      <w:r w:rsidR="007B41D1" w:rsidRPr="003B7589">
        <w:rPr>
          <w:rFonts w:asciiTheme="minorHAnsi" w:hAnsiTheme="minorHAnsi" w:cstheme="minorHAnsi"/>
          <w:lang w:val="fr-CH"/>
        </w:rPr>
        <w:t xml:space="preserve"> X</w:t>
      </w:r>
      <w:r w:rsidR="00490E47" w:rsidRPr="003B7589">
        <w:rPr>
          <w:rFonts w:asciiTheme="minorHAnsi" w:hAnsiTheme="minorHAnsi" w:cstheme="minorHAnsi"/>
          <w:lang w:val="fr-CH"/>
        </w:rPr>
        <w:t>I</w:t>
      </w:r>
      <w:r w:rsidR="007B41D1" w:rsidRPr="003B7589">
        <w:rPr>
          <w:rFonts w:asciiTheme="minorHAnsi" w:hAnsiTheme="minorHAnsi" w:cstheme="minorHAnsi"/>
          <w:lang w:val="fr-CH"/>
        </w:rPr>
        <w:t xml:space="preserve">V.8 </w:t>
      </w:r>
      <w:r w:rsidR="00632CF2" w:rsidRPr="003B7589">
        <w:rPr>
          <w:rFonts w:asciiTheme="minorHAnsi" w:hAnsiTheme="minorHAnsi" w:cstheme="minorHAnsi"/>
          <w:lang w:val="fr-CH"/>
        </w:rPr>
        <w:t>« charge le Secrétariat, en collaboration avec le Groupe de surveillance des activités de CESP et en consultation avec les Parties, de préparer, pour la 63</w:t>
      </w:r>
      <w:r w:rsidR="00632CF2" w:rsidRPr="003B7589">
        <w:rPr>
          <w:rFonts w:asciiTheme="minorHAnsi" w:hAnsiTheme="minorHAnsi" w:cstheme="minorHAnsi"/>
          <w:vertAlign w:val="superscript"/>
          <w:lang w:val="fr-CH"/>
        </w:rPr>
        <w:t>e</w:t>
      </w:r>
      <w:r w:rsidR="0052621E" w:rsidRPr="003B7589">
        <w:rPr>
          <w:rFonts w:asciiTheme="minorHAnsi" w:hAnsiTheme="minorHAnsi" w:cstheme="minorHAnsi"/>
          <w:lang w:val="fr-CH"/>
        </w:rPr>
        <w:t> </w:t>
      </w:r>
      <w:r w:rsidR="00632CF2" w:rsidRPr="003B7589">
        <w:rPr>
          <w:rFonts w:asciiTheme="minorHAnsi" w:hAnsiTheme="minorHAnsi" w:cstheme="minorHAnsi"/>
          <w:lang w:val="fr-CH"/>
        </w:rPr>
        <w:t>Réunion du Comité permanent, une proposition relative aux futures activités du Groupe de surveillance en soutien à la nouvelle approche, comprenant la procédure de nomination et prenant, pour orientations générales, le cahier des charges figurant à l'annexe</w:t>
      </w:r>
      <w:r w:rsidR="0052621E" w:rsidRPr="003B7589">
        <w:rPr>
          <w:rFonts w:asciiTheme="minorHAnsi" w:hAnsiTheme="minorHAnsi" w:cstheme="minorHAnsi"/>
          <w:lang w:val="fr-CH"/>
        </w:rPr>
        <w:t> </w:t>
      </w:r>
      <w:r w:rsidR="00632CF2" w:rsidRPr="003B7589">
        <w:rPr>
          <w:rFonts w:asciiTheme="minorHAnsi" w:hAnsiTheme="minorHAnsi" w:cstheme="minorHAnsi"/>
          <w:lang w:val="fr-CH"/>
        </w:rPr>
        <w:t>3. »</w:t>
      </w:r>
      <w:r w:rsidR="00CC424A">
        <w:rPr>
          <w:rFonts w:asciiTheme="minorHAnsi" w:hAnsiTheme="minorHAnsi" w:cstheme="minorHAnsi"/>
          <w:lang w:val="fr-CH"/>
        </w:rPr>
        <w:t xml:space="preserve"> </w:t>
      </w:r>
    </w:p>
    <w:p w14:paraId="049C8F60" w14:textId="77777777" w:rsidR="0007175F" w:rsidRPr="0076198C" w:rsidRDefault="0007175F" w:rsidP="009C5199">
      <w:pPr>
        <w:pStyle w:val="NoSpacing"/>
        <w:rPr>
          <w:lang w:val="fr-CH"/>
        </w:rPr>
      </w:pPr>
    </w:p>
    <w:p w14:paraId="05351ABD" w14:textId="256314F3" w:rsidR="0007175F" w:rsidRPr="0076198C" w:rsidRDefault="0052621E" w:rsidP="00490E47">
      <w:pPr>
        <w:ind w:left="0" w:firstLine="0"/>
        <w:rPr>
          <w:lang w:val="fr-CH"/>
        </w:rPr>
      </w:pPr>
      <w:r>
        <w:rPr>
          <w:rFonts w:cs="Arial"/>
          <w:b/>
          <w:lang w:val="fr-CH"/>
        </w:rPr>
        <w:t xml:space="preserve">Éléments de la proposition </w:t>
      </w:r>
      <w:r w:rsidR="00034AD4">
        <w:rPr>
          <w:rFonts w:cs="Arial"/>
          <w:b/>
          <w:lang w:val="fr-CH"/>
        </w:rPr>
        <w:t>relative au</w:t>
      </w:r>
      <w:r>
        <w:rPr>
          <w:rFonts w:cs="Arial"/>
          <w:b/>
          <w:lang w:val="fr-CH"/>
        </w:rPr>
        <w:t xml:space="preserve"> fonctionnement futur du Groupe de surveillance des activités de CESP</w:t>
      </w:r>
    </w:p>
    <w:bookmarkEnd w:id="0"/>
    <w:p w14:paraId="614F755D" w14:textId="77777777" w:rsidR="00493991" w:rsidRPr="0076198C" w:rsidRDefault="00493991" w:rsidP="009C5199">
      <w:pPr>
        <w:pStyle w:val="NoSpacing"/>
        <w:rPr>
          <w:lang w:val="fr-CH"/>
        </w:rPr>
      </w:pPr>
    </w:p>
    <w:p w14:paraId="383EB152" w14:textId="20F7C571" w:rsidR="002A4F73" w:rsidRPr="0076198C" w:rsidRDefault="001E4F25" w:rsidP="0007175F">
      <w:pPr>
        <w:pStyle w:val="NoSpacing"/>
        <w:rPr>
          <w:lang w:val="fr-CH"/>
        </w:rPr>
      </w:pPr>
      <w:r w:rsidRPr="0076198C">
        <w:rPr>
          <w:lang w:val="fr-CH"/>
        </w:rPr>
        <w:t>6</w:t>
      </w:r>
      <w:r w:rsidR="00275F13" w:rsidRPr="0076198C">
        <w:rPr>
          <w:lang w:val="fr-CH"/>
        </w:rPr>
        <w:t>.</w:t>
      </w:r>
      <w:r w:rsidR="00275F13" w:rsidRPr="0076198C">
        <w:rPr>
          <w:lang w:val="fr-CH"/>
        </w:rPr>
        <w:tab/>
      </w:r>
      <w:r w:rsidR="0052621E" w:rsidRPr="00990377">
        <w:rPr>
          <w:lang w:val="fr-CH"/>
        </w:rPr>
        <w:t>L</w:t>
      </w:r>
      <w:r w:rsidR="00C061D6" w:rsidRPr="00990377">
        <w:rPr>
          <w:lang w:val="fr-CH"/>
        </w:rPr>
        <w:t>e plan proposé, relatif</w:t>
      </w:r>
      <w:r w:rsidR="0052621E" w:rsidRPr="00990377">
        <w:rPr>
          <w:lang w:val="fr-CH"/>
        </w:rPr>
        <w:t xml:space="preserve"> au fonctionnement futur </w:t>
      </w:r>
      <w:r w:rsidR="00B66B77" w:rsidRPr="00990377">
        <w:rPr>
          <w:lang w:val="fr-CH"/>
        </w:rPr>
        <w:t xml:space="preserve">du Groupe de surveillance des activités de CESP est présenté dans </w:t>
      </w:r>
      <w:r w:rsidR="00B66B77">
        <w:rPr>
          <w:lang w:val="fr-CH"/>
        </w:rPr>
        <w:t>l’annexe 1. Les éléments suivants ont été inclus dans le plan.</w:t>
      </w:r>
      <w:r w:rsidR="00490E47" w:rsidRPr="0076198C">
        <w:rPr>
          <w:lang w:val="fr-CH"/>
        </w:rPr>
        <w:t xml:space="preserve"> </w:t>
      </w:r>
    </w:p>
    <w:p w14:paraId="6DB2C661" w14:textId="77777777" w:rsidR="002A4F73" w:rsidRPr="0076198C" w:rsidRDefault="002A4F73" w:rsidP="0007175F">
      <w:pPr>
        <w:pStyle w:val="NoSpacing"/>
        <w:rPr>
          <w:i/>
          <w:lang w:val="fr-CH"/>
        </w:rPr>
      </w:pPr>
    </w:p>
    <w:p w14:paraId="2F02A64D" w14:textId="20F29B91" w:rsidR="002A4F73" w:rsidRPr="0076198C" w:rsidRDefault="002A4F73" w:rsidP="0007175F">
      <w:pPr>
        <w:pStyle w:val="NoSpacing"/>
        <w:rPr>
          <w:i/>
          <w:lang w:val="fr-CH"/>
        </w:rPr>
      </w:pPr>
      <w:r w:rsidRPr="0076198C">
        <w:rPr>
          <w:i/>
          <w:lang w:val="fr-CH"/>
        </w:rPr>
        <w:t xml:space="preserve">Composition </w:t>
      </w:r>
      <w:r w:rsidR="00194F37">
        <w:rPr>
          <w:i/>
          <w:lang w:val="fr-CH"/>
        </w:rPr>
        <w:t>du Groupe</w:t>
      </w:r>
    </w:p>
    <w:p w14:paraId="460F3042" w14:textId="77777777" w:rsidR="002A4F73" w:rsidRPr="0076198C" w:rsidRDefault="002A4F73" w:rsidP="0007175F">
      <w:pPr>
        <w:pStyle w:val="NoSpacing"/>
        <w:rPr>
          <w:lang w:val="fr-CH"/>
        </w:rPr>
      </w:pPr>
    </w:p>
    <w:p w14:paraId="6D5E9531" w14:textId="15BBB5CD" w:rsidR="002A4F73" w:rsidRPr="0076198C" w:rsidRDefault="002A4F73" w:rsidP="002A4F73">
      <w:pPr>
        <w:pStyle w:val="NoSpacing"/>
        <w:rPr>
          <w:lang w:val="fr-CH"/>
        </w:rPr>
      </w:pPr>
      <w:r w:rsidRPr="0076198C">
        <w:rPr>
          <w:lang w:val="fr-CH"/>
        </w:rPr>
        <w:t>7.</w:t>
      </w:r>
      <w:r w:rsidRPr="0076198C">
        <w:rPr>
          <w:lang w:val="fr-CH"/>
        </w:rPr>
        <w:tab/>
      </w:r>
      <w:r w:rsidR="00194F37">
        <w:rPr>
          <w:lang w:val="fr-CH"/>
        </w:rPr>
        <w:t xml:space="preserve">La </w:t>
      </w:r>
      <w:r w:rsidR="00194F37" w:rsidRPr="0076198C">
        <w:rPr>
          <w:lang w:val="fr-CH"/>
        </w:rPr>
        <w:t>Résolution</w:t>
      </w:r>
      <w:r w:rsidR="00490E47" w:rsidRPr="0076198C">
        <w:rPr>
          <w:lang w:val="fr-CH"/>
        </w:rPr>
        <w:t xml:space="preserve"> IX.18 </w:t>
      </w:r>
      <w:r w:rsidR="00194F37">
        <w:rPr>
          <w:lang w:val="fr-CH"/>
        </w:rPr>
        <w:t xml:space="preserve">définit la composition du Groupe qui doit comprendre le </w:t>
      </w:r>
      <w:r w:rsidR="00F31EFE">
        <w:rPr>
          <w:lang w:val="fr-CH"/>
        </w:rPr>
        <w:t>p</w:t>
      </w:r>
      <w:r w:rsidR="00194F37">
        <w:rPr>
          <w:lang w:val="fr-CH"/>
        </w:rPr>
        <w:t xml:space="preserve">résident du Comité permanent, ou à sa demande le </w:t>
      </w:r>
      <w:r w:rsidR="00F31EFE">
        <w:rPr>
          <w:lang w:val="fr-CH"/>
        </w:rPr>
        <w:t>v</w:t>
      </w:r>
      <w:r w:rsidR="00194F37">
        <w:rPr>
          <w:lang w:val="fr-CH"/>
        </w:rPr>
        <w:t>ice</w:t>
      </w:r>
      <w:r w:rsidR="00194F37">
        <w:rPr>
          <w:lang w:val="fr-CH"/>
        </w:rPr>
        <w:noBreakHyphen/>
      </w:r>
      <w:r w:rsidR="00F31EFE">
        <w:rPr>
          <w:lang w:val="fr-CH"/>
        </w:rPr>
        <w:t>p</w:t>
      </w:r>
      <w:r w:rsidR="00194F37">
        <w:rPr>
          <w:lang w:val="fr-CH"/>
        </w:rPr>
        <w:t xml:space="preserve">résident, et le </w:t>
      </w:r>
      <w:r w:rsidR="00F31EFE">
        <w:rPr>
          <w:lang w:val="fr-CH"/>
        </w:rPr>
        <w:t xml:space="preserve">président </w:t>
      </w:r>
      <w:r w:rsidR="00194F37">
        <w:rPr>
          <w:lang w:val="fr-CH"/>
        </w:rPr>
        <w:t>du Sous</w:t>
      </w:r>
      <w:r w:rsidR="00194F37">
        <w:rPr>
          <w:lang w:val="fr-CH"/>
        </w:rPr>
        <w:noBreakHyphen/>
        <w:t>groupe sur les finances. Compte tenu de la diversité de l’expertise recherchée, la Résolution note que la composition du Groupe pourrait aussi comprendre :</w:t>
      </w:r>
    </w:p>
    <w:p w14:paraId="42617990" w14:textId="39A7B73F" w:rsidR="007637F8" w:rsidRPr="0076198C" w:rsidRDefault="002A4F73" w:rsidP="002A4F73">
      <w:pPr>
        <w:pStyle w:val="NoSpacing"/>
        <w:ind w:left="851"/>
        <w:rPr>
          <w:lang w:val="fr-CH"/>
        </w:rPr>
      </w:pPr>
      <w:r w:rsidRPr="0076198C">
        <w:rPr>
          <w:lang w:val="fr-CH"/>
        </w:rPr>
        <w:t>i</w:t>
      </w:r>
      <w:r w:rsidR="00194F37">
        <w:rPr>
          <w:lang w:val="fr-CH"/>
        </w:rPr>
        <w:t>)</w:t>
      </w:r>
      <w:r w:rsidRPr="0076198C">
        <w:rPr>
          <w:lang w:val="fr-CH"/>
        </w:rPr>
        <w:tab/>
      </w:r>
      <w:r w:rsidR="00194F37">
        <w:rPr>
          <w:lang w:val="fr-CH"/>
        </w:rPr>
        <w:t>deux Correspondants nationaux CESP ;</w:t>
      </w:r>
    </w:p>
    <w:p w14:paraId="30816314" w14:textId="1A994670" w:rsidR="007637F8" w:rsidRPr="0076198C" w:rsidRDefault="002A4F73" w:rsidP="002A4F73">
      <w:pPr>
        <w:pStyle w:val="NoSpacing"/>
        <w:ind w:left="851"/>
        <w:rPr>
          <w:lang w:val="fr-CH"/>
        </w:rPr>
      </w:pPr>
      <w:r w:rsidRPr="0076198C">
        <w:rPr>
          <w:lang w:val="fr-CH"/>
        </w:rPr>
        <w:t>ii</w:t>
      </w:r>
      <w:r w:rsidR="00194F37">
        <w:rPr>
          <w:lang w:val="fr-CH"/>
        </w:rPr>
        <w:t>)</w:t>
      </w:r>
      <w:r w:rsidRPr="0076198C">
        <w:rPr>
          <w:lang w:val="fr-CH"/>
        </w:rPr>
        <w:tab/>
      </w:r>
      <w:r w:rsidR="00194F37">
        <w:rPr>
          <w:lang w:val="fr-CH"/>
        </w:rPr>
        <w:t xml:space="preserve">le </w:t>
      </w:r>
      <w:r w:rsidR="00F31EFE">
        <w:rPr>
          <w:lang w:val="fr-CH"/>
        </w:rPr>
        <w:t xml:space="preserve">président </w:t>
      </w:r>
      <w:r w:rsidR="00194F37">
        <w:rPr>
          <w:lang w:val="fr-CH"/>
        </w:rPr>
        <w:t>du GEST</w:t>
      </w:r>
      <w:r w:rsidR="007637F8" w:rsidRPr="0076198C">
        <w:rPr>
          <w:lang w:val="fr-CH"/>
        </w:rPr>
        <w:t>/</w:t>
      </w:r>
      <w:r w:rsidR="00194F37">
        <w:rPr>
          <w:lang w:val="fr-CH"/>
        </w:rPr>
        <w:t xml:space="preserve">Groupe de spécialistes CESP de </w:t>
      </w:r>
      <w:proofErr w:type="spellStart"/>
      <w:r w:rsidR="007637F8" w:rsidRPr="0076198C">
        <w:rPr>
          <w:lang w:val="fr-CH"/>
        </w:rPr>
        <w:t>W</w:t>
      </w:r>
      <w:r w:rsidRPr="0076198C">
        <w:rPr>
          <w:lang w:val="fr-CH"/>
        </w:rPr>
        <w:t>etlands</w:t>
      </w:r>
      <w:proofErr w:type="spellEnd"/>
      <w:r w:rsidRPr="0076198C">
        <w:rPr>
          <w:lang w:val="fr-CH"/>
        </w:rPr>
        <w:t xml:space="preserve"> </w:t>
      </w:r>
      <w:r w:rsidR="007637F8" w:rsidRPr="0076198C">
        <w:rPr>
          <w:lang w:val="fr-CH"/>
        </w:rPr>
        <w:t>I</w:t>
      </w:r>
      <w:r w:rsidRPr="0076198C">
        <w:rPr>
          <w:lang w:val="fr-CH"/>
        </w:rPr>
        <w:t>nternational</w:t>
      </w:r>
      <w:r w:rsidR="00194F37">
        <w:rPr>
          <w:lang w:val="fr-CH"/>
        </w:rPr>
        <w:t> </w:t>
      </w:r>
      <w:r w:rsidRPr="0076198C">
        <w:rPr>
          <w:lang w:val="fr-CH"/>
        </w:rPr>
        <w:t>;</w:t>
      </w:r>
    </w:p>
    <w:p w14:paraId="4AEB7CDC" w14:textId="57D10EE6" w:rsidR="002A4F73" w:rsidRPr="0076198C" w:rsidRDefault="002A4F73" w:rsidP="002A4F73">
      <w:pPr>
        <w:pStyle w:val="NoSpacing"/>
        <w:ind w:left="851"/>
        <w:rPr>
          <w:lang w:val="fr-CH"/>
        </w:rPr>
      </w:pPr>
      <w:r w:rsidRPr="0076198C">
        <w:rPr>
          <w:lang w:val="fr-CH"/>
        </w:rPr>
        <w:t>iii</w:t>
      </w:r>
      <w:r w:rsidR="00194F37">
        <w:rPr>
          <w:lang w:val="fr-CH"/>
        </w:rPr>
        <w:t>)</w:t>
      </w:r>
      <w:r w:rsidRPr="0076198C">
        <w:rPr>
          <w:lang w:val="fr-CH"/>
        </w:rPr>
        <w:tab/>
      </w:r>
      <w:r w:rsidR="00194F37">
        <w:rPr>
          <w:lang w:val="fr-CH"/>
        </w:rPr>
        <w:t>des experts compétents dans différents domaines de CESP non couverts ci</w:t>
      </w:r>
      <w:r w:rsidR="00194F37">
        <w:rPr>
          <w:lang w:val="fr-CH"/>
        </w:rPr>
        <w:noBreakHyphen/>
        <w:t xml:space="preserve">dessus, en </w:t>
      </w:r>
      <w:r w:rsidR="00B6642F">
        <w:rPr>
          <w:lang w:val="fr-CH"/>
        </w:rPr>
        <w:t>respectant une</w:t>
      </w:r>
      <w:r w:rsidR="00194F37">
        <w:rPr>
          <w:lang w:val="fr-CH"/>
        </w:rPr>
        <w:t xml:space="preserve"> représentation géographique appropriée et équilibrée ; </w:t>
      </w:r>
    </w:p>
    <w:p w14:paraId="4071C79B" w14:textId="712E84F2" w:rsidR="007637F8" w:rsidRPr="0076198C" w:rsidRDefault="002A4F73" w:rsidP="002A4F73">
      <w:pPr>
        <w:pStyle w:val="NoSpacing"/>
        <w:ind w:left="851"/>
        <w:rPr>
          <w:lang w:val="fr-CH"/>
        </w:rPr>
      </w:pPr>
      <w:r w:rsidRPr="0076198C">
        <w:rPr>
          <w:lang w:val="fr-CH"/>
        </w:rPr>
        <w:t>iv</w:t>
      </w:r>
      <w:r w:rsidR="00194F37">
        <w:rPr>
          <w:lang w:val="fr-CH"/>
        </w:rPr>
        <w:t>)</w:t>
      </w:r>
      <w:r w:rsidRPr="0076198C">
        <w:rPr>
          <w:lang w:val="fr-CH"/>
        </w:rPr>
        <w:tab/>
      </w:r>
      <w:r w:rsidR="00194F37">
        <w:rPr>
          <w:lang w:val="fr-CH"/>
        </w:rPr>
        <w:t xml:space="preserve">le Secrétariat </w:t>
      </w:r>
      <w:r w:rsidR="007637F8" w:rsidRPr="0076198C">
        <w:rPr>
          <w:lang w:val="fr-CH"/>
        </w:rPr>
        <w:t>Ramsar (</w:t>
      </w:r>
      <w:r w:rsidR="00194F37">
        <w:rPr>
          <w:iCs/>
          <w:lang w:val="fr-CH"/>
        </w:rPr>
        <w:t>de droit</w:t>
      </w:r>
      <w:r w:rsidRPr="0076198C">
        <w:rPr>
          <w:lang w:val="fr-CH"/>
        </w:rPr>
        <w:t>).</w:t>
      </w:r>
    </w:p>
    <w:p w14:paraId="68035328" w14:textId="77777777" w:rsidR="007637F8" w:rsidRPr="0076198C" w:rsidRDefault="007637F8" w:rsidP="007637F8">
      <w:pPr>
        <w:pStyle w:val="NoSpacing"/>
        <w:ind w:left="1505" w:firstLine="0"/>
        <w:rPr>
          <w:lang w:val="fr-CH"/>
        </w:rPr>
      </w:pPr>
    </w:p>
    <w:p w14:paraId="629A1B2B" w14:textId="59FAC7A8" w:rsidR="007637F8" w:rsidRPr="0076198C" w:rsidRDefault="002A4F73" w:rsidP="002A4F73">
      <w:pPr>
        <w:pStyle w:val="NoSpacing"/>
        <w:ind w:left="426" w:hanging="426"/>
        <w:rPr>
          <w:lang w:val="fr-CH"/>
        </w:rPr>
      </w:pPr>
      <w:r w:rsidRPr="0076198C">
        <w:rPr>
          <w:lang w:val="fr-CH"/>
        </w:rPr>
        <w:t>8.</w:t>
      </w:r>
      <w:r w:rsidRPr="0076198C">
        <w:rPr>
          <w:lang w:val="fr-CH"/>
        </w:rPr>
        <w:tab/>
      </w:r>
      <w:r w:rsidR="00194F37">
        <w:rPr>
          <w:lang w:val="fr-CH"/>
        </w:rPr>
        <w:t>L’annexe 3 de la Résolution</w:t>
      </w:r>
      <w:r w:rsidR="007637F8" w:rsidRPr="0076198C">
        <w:rPr>
          <w:lang w:val="fr-CH"/>
        </w:rPr>
        <w:t xml:space="preserve"> XIV.8</w:t>
      </w:r>
      <w:r w:rsidR="003F6B0A" w:rsidRPr="0076198C">
        <w:rPr>
          <w:lang w:val="fr-CH"/>
        </w:rPr>
        <w:t xml:space="preserve"> </w:t>
      </w:r>
      <w:r w:rsidR="00194F37">
        <w:rPr>
          <w:lang w:val="fr-CH"/>
        </w:rPr>
        <w:t>donne d’autres orientations sur la composition du Groupe, comme suit :</w:t>
      </w:r>
    </w:p>
    <w:p w14:paraId="02464137" w14:textId="58890950" w:rsidR="008A3A96" w:rsidRPr="004A599C" w:rsidRDefault="002A4F73"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i</w:t>
      </w:r>
      <w:r w:rsidR="008A3A96" w:rsidRPr="004A599C">
        <w:rPr>
          <w:rFonts w:asciiTheme="minorHAnsi" w:hAnsiTheme="minorHAnsi" w:cstheme="minorHAnsi"/>
          <w:color w:val="000000"/>
          <w:lang w:val="fr-CH"/>
        </w:rPr>
        <w:t>)</w:t>
      </w:r>
      <w:r w:rsidRPr="004A599C">
        <w:rPr>
          <w:rFonts w:asciiTheme="minorHAnsi" w:hAnsiTheme="minorHAnsi" w:cstheme="minorHAnsi"/>
          <w:color w:val="000000"/>
          <w:lang w:val="fr-CH"/>
        </w:rPr>
        <w:tab/>
      </w:r>
      <w:r w:rsidR="008A3A96" w:rsidRPr="004A599C">
        <w:rPr>
          <w:rFonts w:asciiTheme="minorHAnsi" w:hAnsiTheme="minorHAnsi" w:cstheme="minorHAnsi"/>
          <w:color w:val="000000"/>
          <w:lang w:val="fr-CH"/>
        </w:rPr>
        <w:t>Compte tenu de leur variété, les activités de CESP nécessitent tout un éventail de compétences. La composition du Groupe en tient compte.</w:t>
      </w:r>
    </w:p>
    <w:p w14:paraId="2C6B7B0B" w14:textId="086747E8" w:rsidR="008A3A96" w:rsidRPr="004A599C" w:rsidRDefault="008A3A96"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ii)</w:t>
      </w:r>
      <w:r w:rsidRPr="004A599C">
        <w:rPr>
          <w:rFonts w:asciiTheme="minorHAnsi" w:hAnsiTheme="minorHAnsi" w:cstheme="minorHAnsi"/>
          <w:color w:val="000000"/>
          <w:lang w:val="fr-CH"/>
        </w:rPr>
        <w:tab/>
        <w:t xml:space="preserve">La composition du Groupe </w:t>
      </w:r>
      <w:bookmarkStart w:id="2" w:name="_Hlk155167961"/>
      <w:r w:rsidRPr="004A599C">
        <w:rPr>
          <w:rFonts w:asciiTheme="minorHAnsi" w:hAnsiTheme="minorHAnsi" w:cstheme="minorHAnsi"/>
          <w:color w:val="000000"/>
          <w:lang w:val="fr-CH"/>
        </w:rPr>
        <w:t>reflète de façon équilibrée l’ensemble des régions de la Convention</w:t>
      </w:r>
      <w:bookmarkEnd w:id="2"/>
      <w:r w:rsidRPr="004A599C">
        <w:rPr>
          <w:rFonts w:asciiTheme="minorHAnsi" w:hAnsiTheme="minorHAnsi" w:cstheme="minorHAnsi"/>
          <w:color w:val="000000"/>
          <w:lang w:val="fr-CH"/>
        </w:rPr>
        <w:t>.</w:t>
      </w:r>
    </w:p>
    <w:p w14:paraId="6FD9D5BD" w14:textId="54250DA5" w:rsidR="008A3A96" w:rsidRPr="004A599C" w:rsidRDefault="008A3A96"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 xml:space="preserve">iii) </w:t>
      </w:r>
      <w:r w:rsidRPr="004A599C">
        <w:rPr>
          <w:rFonts w:asciiTheme="minorHAnsi" w:hAnsiTheme="minorHAnsi" w:cstheme="minorHAnsi"/>
          <w:color w:val="000000"/>
          <w:lang w:val="fr-CH"/>
        </w:rPr>
        <w:tab/>
      </w:r>
      <w:r w:rsidR="00B6642F">
        <w:rPr>
          <w:rFonts w:asciiTheme="minorHAnsi" w:hAnsiTheme="minorHAnsi" w:cstheme="minorHAnsi"/>
          <w:color w:val="000000"/>
          <w:lang w:val="fr-CH"/>
        </w:rPr>
        <w:t>De préférence, l</w:t>
      </w:r>
      <w:r w:rsidRPr="004A599C">
        <w:rPr>
          <w:rFonts w:asciiTheme="minorHAnsi" w:hAnsiTheme="minorHAnsi" w:cstheme="minorHAnsi"/>
          <w:color w:val="000000"/>
          <w:lang w:val="fr-CH"/>
        </w:rPr>
        <w:t xml:space="preserve">e Groupe comprend au moins un Correspondant de CESP </w:t>
      </w:r>
      <w:r w:rsidR="00B6642F">
        <w:rPr>
          <w:rFonts w:asciiTheme="minorHAnsi" w:hAnsiTheme="minorHAnsi" w:cstheme="minorHAnsi"/>
          <w:color w:val="000000"/>
          <w:lang w:val="fr-CH"/>
        </w:rPr>
        <w:t>ONG</w:t>
      </w:r>
      <w:r w:rsidRPr="004A599C">
        <w:rPr>
          <w:rFonts w:asciiTheme="minorHAnsi" w:hAnsiTheme="minorHAnsi" w:cstheme="minorHAnsi"/>
          <w:color w:val="000000"/>
          <w:lang w:val="fr-CH"/>
        </w:rPr>
        <w:t xml:space="preserve"> et un Correspondant de CESP gouvernemental.</w:t>
      </w:r>
    </w:p>
    <w:p w14:paraId="1B26F3E6" w14:textId="361D9C99" w:rsidR="008A3A96" w:rsidRPr="004A599C" w:rsidRDefault="008A3A96"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iv)</w:t>
      </w:r>
      <w:r w:rsidRPr="004A599C">
        <w:rPr>
          <w:rFonts w:asciiTheme="minorHAnsi" w:hAnsiTheme="minorHAnsi" w:cstheme="minorHAnsi"/>
          <w:color w:val="000000"/>
          <w:lang w:val="fr-CH"/>
        </w:rPr>
        <w:tab/>
        <w:t>Les Organisations internationales partenaires (OIP) sélectionnent un représentant qui assure la liaison entre le Groupe et les six OIP.</w:t>
      </w:r>
    </w:p>
    <w:p w14:paraId="72CCA8C7" w14:textId="02291DE5" w:rsidR="008A3A96" w:rsidRPr="004A599C" w:rsidRDefault="008A3A96"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 xml:space="preserve">v) </w:t>
      </w:r>
      <w:r w:rsidRPr="004A599C">
        <w:rPr>
          <w:rFonts w:asciiTheme="minorHAnsi" w:hAnsiTheme="minorHAnsi" w:cstheme="minorHAnsi"/>
          <w:color w:val="000000"/>
          <w:lang w:val="fr-CH"/>
        </w:rPr>
        <w:tab/>
        <w:t>Le Groupe comprend un représentant de la jeunesse.</w:t>
      </w:r>
    </w:p>
    <w:p w14:paraId="2BC7A1D4" w14:textId="7BB26D91" w:rsidR="000E44D4" w:rsidRPr="004A599C" w:rsidRDefault="002A4F73" w:rsidP="008A3A96">
      <w:pPr>
        <w:pStyle w:val="NoSpacing"/>
        <w:ind w:left="851"/>
        <w:rPr>
          <w:rFonts w:asciiTheme="minorHAnsi" w:hAnsiTheme="minorHAnsi" w:cstheme="minorHAnsi"/>
          <w:color w:val="000000"/>
          <w:lang w:val="fr-CH"/>
        </w:rPr>
      </w:pPr>
      <w:r w:rsidRPr="004A599C">
        <w:rPr>
          <w:rFonts w:asciiTheme="minorHAnsi" w:hAnsiTheme="minorHAnsi" w:cstheme="minorHAnsi"/>
          <w:color w:val="000000"/>
          <w:lang w:val="fr-CH"/>
        </w:rPr>
        <w:t>vi</w:t>
      </w:r>
      <w:r w:rsidR="008A3A96" w:rsidRPr="004A599C">
        <w:rPr>
          <w:rFonts w:asciiTheme="minorHAnsi" w:hAnsiTheme="minorHAnsi" w:cstheme="minorHAnsi"/>
          <w:color w:val="000000"/>
          <w:lang w:val="fr-CH"/>
        </w:rPr>
        <w:t>)</w:t>
      </w:r>
      <w:r w:rsidRPr="004A599C">
        <w:rPr>
          <w:rFonts w:asciiTheme="minorHAnsi" w:hAnsiTheme="minorHAnsi" w:cstheme="minorHAnsi"/>
          <w:color w:val="000000"/>
          <w:lang w:val="fr-CH"/>
        </w:rPr>
        <w:tab/>
      </w:r>
      <w:r w:rsidR="00950A4A" w:rsidRPr="004A599C">
        <w:rPr>
          <w:rFonts w:asciiTheme="minorHAnsi" w:hAnsiTheme="minorHAnsi" w:cstheme="minorHAnsi"/>
          <w:color w:val="000000"/>
          <w:lang w:val="fr-CH"/>
        </w:rPr>
        <w:t>Si possible, le Groupe comprend un membre autochtone</w:t>
      </w:r>
      <w:r w:rsidR="007637F8" w:rsidRPr="004A599C">
        <w:rPr>
          <w:rFonts w:asciiTheme="minorHAnsi" w:hAnsiTheme="minorHAnsi" w:cstheme="minorHAnsi"/>
          <w:color w:val="000000"/>
          <w:lang w:val="fr-CH"/>
        </w:rPr>
        <w:t>.</w:t>
      </w:r>
      <w:r w:rsidR="000E44D4" w:rsidRPr="004A599C">
        <w:rPr>
          <w:rFonts w:asciiTheme="minorHAnsi" w:hAnsiTheme="minorHAnsi" w:cstheme="minorHAnsi"/>
          <w:color w:val="000000"/>
          <w:lang w:val="fr-CH"/>
        </w:rPr>
        <w:t xml:space="preserve"> </w:t>
      </w:r>
    </w:p>
    <w:p w14:paraId="596FC572" w14:textId="2EB677B5" w:rsidR="008A3A96" w:rsidRPr="004A599C" w:rsidRDefault="002A4F73" w:rsidP="008A3A96">
      <w:pPr>
        <w:ind w:left="851"/>
        <w:rPr>
          <w:rFonts w:asciiTheme="minorHAnsi" w:hAnsiTheme="minorHAnsi" w:cstheme="minorHAnsi"/>
          <w:color w:val="000000"/>
          <w:lang w:val="fr-CH"/>
        </w:rPr>
      </w:pPr>
      <w:bookmarkStart w:id="3" w:name="_Hlk148949828"/>
      <w:r w:rsidRPr="004A599C">
        <w:rPr>
          <w:rFonts w:asciiTheme="minorHAnsi" w:hAnsiTheme="minorHAnsi" w:cstheme="minorHAnsi"/>
          <w:color w:val="000000"/>
          <w:lang w:val="fr-CH"/>
        </w:rPr>
        <w:t>vii</w:t>
      </w:r>
      <w:r w:rsidR="008A3A96" w:rsidRPr="004A599C">
        <w:rPr>
          <w:rFonts w:asciiTheme="minorHAnsi" w:hAnsiTheme="minorHAnsi" w:cstheme="minorHAnsi"/>
          <w:color w:val="000000"/>
          <w:lang w:val="fr-CH"/>
        </w:rPr>
        <w:t>)</w:t>
      </w:r>
      <w:r w:rsidRPr="004A599C">
        <w:rPr>
          <w:rFonts w:asciiTheme="minorHAnsi" w:hAnsiTheme="minorHAnsi" w:cstheme="minorHAnsi"/>
          <w:color w:val="000000"/>
          <w:lang w:val="fr-CH"/>
        </w:rPr>
        <w:tab/>
      </w:r>
      <w:bookmarkEnd w:id="3"/>
      <w:r w:rsidR="008A3A96" w:rsidRPr="004A599C">
        <w:rPr>
          <w:rFonts w:asciiTheme="minorHAnsi" w:hAnsiTheme="minorHAnsi" w:cstheme="minorHAnsi"/>
          <w:color w:val="000000"/>
          <w:lang w:val="fr-CH"/>
        </w:rPr>
        <w:t xml:space="preserve">Pour </w:t>
      </w:r>
      <w:r w:rsidR="00B6642F">
        <w:rPr>
          <w:rFonts w:asciiTheme="minorHAnsi" w:hAnsiTheme="minorHAnsi" w:cstheme="minorHAnsi"/>
          <w:color w:val="000000"/>
          <w:lang w:val="fr-CH"/>
        </w:rPr>
        <w:t>préserver</w:t>
      </w:r>
      <w:r w:rsidR="008A3A96" w:rsidRPr="004A599C">
        <w:rPr>
          <w:rFonts w:asciiTheme="minorHAnsi" w:hAnsiTheme="minorHAnsi" w:cstheme="minorHAnsi"/>
          <w:color w:val="000000"/>
          <w:lang w:val="fr-CH"/>
        </w:rPr>
        <w:t xml:space="preserve"> la mémoire institutionnelle du Groupe, il est recommandé qu’au moins un de ses membres ait déjà siégé au Groupe pendant la précédente période triennale.</w:t>
      </w:r>
    </w:p>
    <w:p w14:paraId="78048E29" w14:textId="188DDAA9" w:rsidR="000E44D4" w:rsidRPr="0076198C" w:rsidRDefault="00611DFA" w:rsidP="008A3A96">
      <w:pPr>
        <w:ind w:left="851"/>
        <w:rPr>
          <w:rFonts w:asciiTheme="minorHAnsi" w:hAnsiTheme="minorHAnsi" w:cstheme="minorHAnsi"/>
          <w:color w:val="000000"/>
          <w:lang w:val="fr-CH"/>
        </w:rPr>
      </w:pPr>
      <w:r w:rsidRPr="004A599C">
        <w:rPr>
          <w:rFonts w:asciiTheme="minorHAnsi" w:hAnsiTheme="minorHAnsi" w:cstheme="minorHAnsi"/>
          <w:color w:val="000000"/>
          <w:lang w:val="fr-CH"/>
        </w:rPr>
        <w:t>viii</w:t>
      </w:r>
      <w:r w:rsidR="008A3A96" w:rsidRPr="004A599C">
        <w:rPr>
          <w:rFonts w:asciiTheme="minorHAnsi" w:hAnsiTheme="minorHAnsi" w:cstheme="minorHAnsi"/>
          <w:color w:val="000000"/>
          <w:lang w:val="fr-CH"/>
        </w:rPr>
        <w:t>)</w:t>
      </w:r>
      <w:r w:rsidR="008A3A96" w:rsidRPr="004A599C">
        <w:rPr>
          <w:rFonts w:asciiTheme="minorHAnsi" w:hAnsiTheme="minorHAnsi" w:cstheme="minorHAnsi"/>
          <w:color w:val="000000"/>
          <w:lang w:val="fr-CH"/>
        </w:rPr>
        <w:tab/>
        <w:t xml:space="preserve">Pour veiller à la collaboration et à l’échange d’informations entre le Groupe de surveillance des activités de CESP et les autres organes de la Convention, plus particulièrement le </w:t>
      </w:r>
      <w:r w:rsidR="008A3A96" w:rsidRPr="004A599C">
        <w:rPr>
          <w:rFonts w:asciiTheme="minorHAnsi" w:hAnsiTheme="minorHAnsi" w:cstheme="minorHAnsi"/>
          <w:color w:val="000000"/>
          <w:lang w:val="fr-CH"/>
        </w:rPr>
        <w:lastRenderedPageBreak/>
        <w:t>Comité permanent et le Groupe d’évaluation scientifique et technique, un représentant de chaque organe est nommé pour siéger au Groupe de surveillance des activités de CESP.</w:t>
      </w:r>
    </w:p>
    <w:p w14:paraId="61CEC270" w14:textId="77777777" w:rsidR="007637F8" w:rsidRPr="0076198C" w:rsidRDefault="007637F8" w:rsidP="000E44D4">
      <w:pPr>
        <w:pStyle w:val="NoSpacing"/>
        <w:ind w:left="1505" w:firstLine="0"/>
        <w:rPr>
          <w:lang w:val="fr-CH"/>
        </w:rPr>
      </w:pPr>
    </w:p>
    <w:p w14:paraId="54063327" w14:textId="5B8A988D" w:rsidR="007637F8" w:rsidRPr="0076198C" w:rsidRDefault="002A4F73" w:rsidP="002A4F73">
      <w:pPr>
        <w:pStyle w:val="NoSpacing"/>
        <w:ind w:left="426" w:hanging="426"/>
        <w:rPr>
          <w:lang w:val="fr-CH"/>
        </w:rPr>
      </w:pPr>
      <w:r w:rsidRPr="0076198C">
        <w:rPr>
          <w:lang w:val="fr-CH"/>
        </w:rPr>
        <w:t>9.</w:t>
      </w:r>
      <w:r w:rsidRPr="0076198C">
        <w:rPr>
          <w:lang w:val="fr-CH"/>
        </w:rPr>
        <w:tab/>
      </w:r>
      <w:r w:rsidR="00A30333">
        <w:rPr>
          <w:lang w:val="fr-CH"/>
        </w:rPr>
        <w:t xml:space="preserve">La composition du Groupe de surveillance des activités de CESP pour la période triennale actuelle </w:t>
      </w:r>
      <w:r w:rsidR="007637F8" w:rsidRPr="0076198C">
        <w:rPr>
          <w:lang w:val="fr-CH"/>
        </w:rPr>
        <w:t>(2023</w:t>
      </w:r>
      <w:r w:rsidR="00EF6C5F" w:rsidRPr="0076198C">
        <w:rPr>
          <w:lang w:val="fr-CH"/>
        </w:rPr>
        <w:t>-</w:t>
      </w:r>
      <w:r w:rsidR="007637F8" w:rsidRPr="0076198C">
        <w:rPr>
          <w:lang w:val="fr-CH"/>
        </w:rPr>
        <w:t>2025)</w:t>
      </w:r>
      <w:r w:rsidR="00EF6C5F" w:rsidRPr="0076198C">
        <w:rPr>
          <w:lang w:val="fr-CH"/>
        </w:rPr>
        <w:t xml:space="preserve"> </w:t>
      </w:r>
      <w:r w:rsidR="00A30333">
        <w:rPr>
          <w:lang w:val="fr-CH"/>
        </w:rPr>
        <w:t xml:space="preserve">est publiée sur le site </w:t>
      </w:r>
      <w:r w:rsidR="005D2941">
        <w:rPr>
          <w:lang w:val="fr-CH"/>
        </w:rPr>
        <w:t>W</w:t>
      </w:r>
      <w:r w:rsidR="00A30333">
        <w:rPr>
          <w:lang w:val="fr-CH"/>
        </w:rPr>
        <w:t xml:space="preserve">eb de la </w:t>
      </w:r>
      <w:r w:rsidR="00EF6C5F" w:rsidRPr="0076198C">
        <w:rPr>
          <w:lang w:val="fr-CH"/>
        </w:rPr>
        <w:t xml:space="preserve">Convention </w:t>
      </w:r>
      <w:r w:rsidR="00A30333">
        <w:rPr>
          <w:lang w:val="fr-CH"/>
        </w:rPr>
        <w:t xml:space="preserve">à l’adresse : </w:t>
      </w:r>
      <w:hyperlink r:id="rId11" w:history="1">
        <w:r w:rsidR="00671E70" w:rsidRPr="00614BD0">
          <w:rPr>
            <w:rStyle w:val="Hyperlink"/>
            <w:lang w:val="fr-FR"/>
          </w:rPr>
          <w:t>https://www.ramsar.org/fr/le-comite-permanent-actuel-2023-2025-les-membres</w:t>
        </w:r>
      </w:hyperlink>
      <w:r w:rsidR="00EF6C5F" w:rsidRPr="0076198C">
        <w:rPr>
          <w:lang w:val="fr-CH"/>
        </w:rPr>
        <w:t xml:space="preserve">. </w:t>
      </w:r>
      <w:r w:rsidR="00A30333">
        <w:rPr>
          <w:rStyle w:val="CommentReference"/>
          <w:sz w:val="22"/>
          <w:szCs w:val="22"/>
          <w:lang w:val="fr-CH"/>
        </w:rPr>
        <w:t xml:space="preserve">Cette composition remplit les critères fournis dans les Résolutions </w:t>
      </w:r>
      <w:r w:rsidR="007637F8" w:rsidRPr="0076198C">
        <w:rPr>
          <w:lang w:val="fr-CH"/>
        </w:rPr>
        <w:t xml:space="preserve">IX.18 </w:t>
      </w:r>
      <w:r w:rsidR="00A30333">
        <w:rPr>
          <w:lang w:val="fr-CH"/>
        </w:rPr>
        <w:t>et</w:t>
      </w:r>
      <w:r w:rsidR="007637F8" w:rsidRPr="0076198C">
        <w:rPr>
          <w:lang w:val="fr-CH"/>
        </w:rPr>
        <w:t xml:space="preserve"> XIV.8. </w:t>
      </w:r>
      <w:r w:rsidR="00A30333">
        <w:rPr>
          <w:lang w:val="fr-CH"/>
        </w:rPr>
        <w:t xml:space="preserve">La proposition </w:t>
      </w:r>
      <w:r w:rsidR="005D2941">
        <w:rPr>
          <w:lang w:val="fr-CH"/>
        </w:rPr>
        <w:t>relative à la</w:t>
      </w:r>
      <w:r w:rsidR="00A30333">
        <w:rPr>
          <w:lang w:val="fr-CH"/>
        </w:rPr>
        <w:t xml:space="preserve"> composition future du Groupe s’appuie sur les orientations fournies dans ces deux Résolutions. </w:t>
      </w:r>
    </w:p>
    <w:p w14:paraId="5174711E" w14:textId="7B247744" w:rsidR="002A4F73" w:rsidRPr="0076198C" w:rsidRDefault="002A4F73" w:rsidP="002A4F73">
      <w:pPr>
        <w:pStyle w:val="NoSpacing"/>
        <w:ind w:left="426" w:hanging="426"/>
        <w:rPr>
          <w:lang w:val="fr-CH"/>
        </w:rPr>
      </w:pPr>
    </w:p>
    <w:p w14:paraId="41007712" w14:textId="4EE93200" w:rsidR="002A4F73" w:rsidRPr="0076198C" w:rsidRDefault="000B26F9" w:rsidP="002A4F73">
      <w:pPr>
        <w:pStyle w:val="NoSpacing"/>
        <w:ind w:left="426" w:hanging="426"/>
        <w:rPr>
          <w:i/>
          <w:lang w:val="fr-CH"/>
        </w:rPr>
      </w:pPr>
      <w:r>
        <w:rPr>
          <w:i/>
          <w:lang w:val="fr-CH"/>
        </w:rPr>
        <w:t>Procédure de nomination</w:t>
      </w:r>
    </w:p>
    <w:p w14:paraId="0CE551A9" w14:textId="77777777" w:rsidR="007637F8" w:rsidRPr="0076198C" w:rsidRDefault="007637F8" w:rsidP="007637F8">
      <w:pPr>
        <w:pStyle w:val="NoSpacing"/>
        <w:ind w:left="1505" w:firstLine="0"/>
        <w:rPr>
          <w:lang w:val="fr-CH"/>
        </w:rPr>
      </w:pPr>
    </w:p>
    <w:p w14:paraId="547A88D9" w14:textId="6571453F" w:rsidR="00490E47" w:rsidRPr="0076198C" w:rsidRDefault="002A4F73" w:rsidP="002A4F73">
      <w:pPr>
        <w:pStyle w:val="NoSpacing"/>
        <w:ind w:left="426" w:hanging="426"/>
        <w:rPr>
          <w:lang w:val="fr-CH"/>
        </w:rPr>
      </w:pPr>
      <w:r w:rsidRPr="0076198C">
        <w:rPr>
          <w:lang w:val="fr-CH"/>
        </w:rPr>
        <w:t>10.</w:t>
      </w:r>
      <w:r w:rsidRPr="0076198C">
        <w:rPr>
          <w:lang w:val="fr-CH"/>
        </w:rPr>
        <w:tab/>
      </w:r>
      <w:r w:rsidR="000B26F9">
        <w:rPr>
          <w:lang w:val="fr-CH"/>
        </w:rPr>
        <w:t xml:space="preserve">Les Parties contractantes ont exprimé l’importance d’établir la composition </w:t>
      </w:r>
      <w:r w:rsidR="005B778C">
        <w:rPr>
          <w:lang w:val="fr-CH"/>
        </w:rPr>
        <w:t xml:space="preserve">des </w:t>
      </w:r>
      <w:r w:rsidR="000B26F9">
        <w:rPr>
          <w:lang w:val="fr-CH"/>
        </w:rPr>
        <w:t xml:space="preserve">organes subsidiaires de la Convention le plus tôt possible au début de chaque période triennale. La Résolution </w:t>
      </w:r>
      <w:r w:rsidR="005C2079" w:rsidRPr="0076198C">
        <w:rPr>
          <w:lang w:val="fr-CH"/>
        </w:rPr>
        <w:t xml:space="preserve">XIV.8 </w:t>
      </w:r>
      <w:proofErr w:type="gramStart"/>
      <w:r w:rsidR="000B26F9">
        <w:rPr>
          <w:lang w:val="fr-CH"/>
        </w:rPr>
        <w:t>demande</w:t>
      </w:r>
      <w:proofErr w:type="gramEnd"/>
      <w:r w:rsidR="000B26F9">
        <w:rPr>
          <w:lang w:val="fr-CH"/>
        </w:rPr>
        <w:t xml:space="preserve"> </w:t>
      </w:r>
      <w:r w:rsidR="005B778C">
        <w:rPr>
          <w:lang w:val="fr-CH"/>
        </w:rPr>
        <w:t>que le</w:t>
      </w:r>
      <w:r w:rsidR="000B26F9">
        <w:rPr>
          <w:lang w:val="fr-CH"/>
        </w:rPr>
        <w:t xml:space="preserve"> processus de nomination </w:t>
      </w:r>
      <w:r w:rsidR="005B778C">
        <w:rPr>
          <w:lang w:val="fr-CH"/>
        </w:rPr>
        <w:t>des membres du</w:t>
      </w:r>
      <w:r w:rsidR="000B26F9">
        <w:rPr>
          <w:lang w:val="fr-CH"/>
        </w:rPr>
        <w:t xml:space="preserve"> Groupe de surveillance des activités de CESP ait lieu avant chaque COP et </w:t>
      </w:r>
      <w:r w:rsidR="005B778C">
        <w:rPr>
          <w:lang w:val="fr-CH"/>
        </w:rPr>
        <w:t>la</w:t>
      </w:r>
      <w:r w:rsidR="000B26F9">
        <w:rPr>
          <w:lang w:val="fr-CH"/>
        </w:rPr>
        <w:t xml:space="preserve"> proposition compren</w:t>
      </w:r>
      <w:r w:rsidR="009A5D05">
        <w:rPr>
          <w:lang w:val="fr-CH"/>
        </w:rPr>
        <w:t>d</w:t>
      </w:r>
      <w:r w:rsidR="000B26F9">
        <w:rPr>
          <w:lang w:val="fr-CH"/>
        </w:rPr>
        <w:t xml:space="preserve"> un calendrier pour le processus de nomination, </w:t>
      </w:r>
      <w:r w:rsidR="009A5D05">
        <w:rPr>
          <w:lang w:val="fr-CH"/>
        </w:rPr>
        <w:t>sachant</w:t>
      </w:r>
      <w:r w:rsidR="000B26F9">
        <w:rPr>
          <w:lang w:val="fr-CH"/>
        </w:rPr>
        <w:t xml:space="preserve"> que le </w:t>
      </w:r>
      <w:r w:rsidR="009A5D05">
        <w:rPr>
          <w:lang w:val="fr-CH"/>
        </w:rPr>
        <w:t>p</w:t>
      </w:r>
      <w:r w:rsidR="000B26F9">
        <w:rPr>
          <w:lang w:val="fr-CH"/>
        </w:rPr>
        <w:t xml:space="preserve">résident et le </w:t>
      </w:r>
      <w:r w:rsidR="009A5D05">
        <w:rPr>
          <w:lang w:val="fr-CH"/>
        </w:rPr>
        <w:t>v</w:t>
      </w:r>
      <w:r w:rsidR="000B26F9">
        <w:rPr>
          <w:lang w:val="fr-CH"/>
        </w:rPr>
        <w:t>ice</w:t>
      </w:r>
      <w:r w:rsidR="000B26F9">
        <w:rPr>
          <w:lang w:val="fr-CH"/>
        </w:rPr>
        <w:noBreakHyphen/>
      </w:r>
      <w:r w:rsidR="009A5D05">
        <w:rPr>
          <w:lang w:val="fr-CH"/>
        </w:rPr>
        <w:t>p</w:t>
      </w:r>
      <w:r w:rsidR="000B26F9">
        <w:rPr>
          <w:lang w:val="fr-CH"/>
        </w:rPr>
        <w:t xml:space="preserve">résident du Comité permanent </w:t>
      </w:r>
      <w:r w:rsidR="009A5D05">
        <w:rPr>
          <w:lang w:val="fr-CH"/>
        </w:rPr>
        <w:t>ainsi que</w:t>
      </w:r>
      <w:r w:rsidR="000B26F9">
        <w:rPr>
          <w:lang w:val="fr-CH"/>
        </w:rPr>
        <w:t xml:space="preserve"> le </w:t>
      </w:r>
      <w:r w:rsidR="009A5D05">
        <w:rPr>
          <w:lang w:val="fr-CH"/>
        </w:rPr>
        <w:t>p</w:t>
      </w:r>
      <w:r w:rsidR="000B26F9">
        <w:rPr>
          <w:lang w:val="fr-CH"/>
        </w:rPr>
        <w:t>résident du Sous</w:t>
      </w:r>
      <w:r w:rsidR="000B26F9">
        <w:rPr>
          <w:lang w:val="fr-CH"/>
        </w:rPr>
        <w:noBreakHyphen/>
        <w:t xml:space="preserve">groupe sur les finances ne sont pas sélectionnés </w:t>
      </w:r>
      <w:r w:rsidR="00DC07B8">
        <w:rPr>
          <w:lang w:val="fr-CH"/>
        </w:rPr>
        <w:t xml:space="preserve">avant la première réunion du Comité permanent suivant la COP. En outre, la composition proposée pour le Groupe de surveillance des activités de CESP résultant du processus de nomination </w:t>
      </w:r>
      <w:r w:rsidR="009A5D05">
        <w:rPr>
          <w:lang w:val="fr-CH"/>
        </w:rPr>
        <w:t>doit</w:t>
      </w:r>
      <w:r w:rsidR="00DC07B8">
        <w:rPr>
          <w:lang w:val="fr-CH"/>
        </w:rPr>
        <w:t xml:space="preserve"> être approuvée par le Comité permanent.</w:t>
      </w:r>
      <w:r w:rsidR="005C2079" w:rsidRPr="0076198C">
        <w:rPr>
          <w:lang w:val="fr-CH"/>
        </w:rPr>
        <w:t xml:space="preserve"> </w:t>
      </w:r>
    </w:p>
    <w:p w14:paraId="7BE0DF78" w14:textId="77777777" w:rsidR="006B36AC" w:rsidRPr="004A599C" w:rsidRDefault="006B36AC" w:rsidP="006B36AC">
      <w:pPr>
        <w:pStyle w:val="NoSpacing"/>
        <w:ind w:left="785" w:firstLine="0"/>
        <w:rPr>
          <w:lang w:val="fr-FR"/>
        </w:rPr>
      </w:pPr>
    </w:p>
    <w:p w14:paraId="71D83592" w14:textId="118831E0" w:rsidR="00AD1091" w:rsidRPr="00DC07B8" w:rsidRDefault="00DC07B8" w:rsidP="00AD1091">
      <w:pPr>
        <w:pStyle w:val="NoSpacing"/>
        <w:rPr>
          <w:i/>
          <w:lang w:val="fr-CH"/>
        </w:rPr>
      </w:pPr>
      <w:r w:rsidRPr="00DC07B8">
        <w:rPr>
          <w:i/>
          <w:lang w:val="fr-CH"/>
        </w:rPr>
        <w:t>Fonctionnement</w:t>
      </w:r>
      <w:r w:rsidR="00AD1091" w:rsidRPr="00DC07B8">
        <w:rPr>
          <w:i/>
          <w:lang w:val="fr-CH"/>
        </w:rPr>
        <w:t xml:space="preserve"> </w:t>
      </w:r>
    </w:p>
    <w:p w14:paraId="30BFB9A2" w14:textId="77777777" w:rsidR="00AD1091" w:rsidRPr="004A599C" w:rsidRDefault="00AD1091" w:rsidP="00AD1091">
      <w:pPr>
        <w:pStyle w:val="NoSpacing"/>
        <w:rPr>
          <w:u w:val="single"/>
          <w:lang w:val="fr-FR"/>
        </w:rPr>
      </w:pPr>
    </w:p>
    <w:p w14:paraId="7CE9FB59" w14:textId="06C3B893" w:rsidR="001A123E" w:rsidRPr="00DC07B8" w:rsidRDefault="00EF6C5F" w:rsidP="00AD1091">
      <w:pPr>
        <w:pStyle w:val="NoSpacing"/>
        <w:rPr>
          <w:lang w:val="fr-CH"/>
        </w:rPr>
      </w:pPr>
      <w:r w:rsidRPr="00DC07B8">
        <w:rPr>
          <w:lang w:val="fr-CH"/>
        </w:rPr>
        <w:t>11.</w:t>
      </w:r>
      <w:r w:rsidRPr="00DC07B8">
        <w:rPr>
          <w:lang w:val="fr-CH"/>
        </w:rPr>
        <w:tab/>
      </w:r>
      <w:r w:rsidR="00DC07B8">
        <w:rPr>
          <w:lang w:val="fr-CH"/>
        </w:rPr>
        <w:t xml:space="preserve">Le fonctionnement du Groupe </w:t>
      </w:r>
      <w:r w:rsidR="009A5D05">
        <w:rPr>
          <w:lang w:val="fr-CH"/>
        </w:rPr>
        <w:t>est</w:t>
      </w:r>
      <w:r w:rsidR="00DC07B8">
        <w:rPr>
          <w:lang w:val="fr-CH"/>
        </w:rPr>
        <w:t xml:space="preserve"> défini dans les Résolutions </w:t>
      </w:r>
      <w:r w:rsidR="001A123E" w:rsidRPr="00DC07B8">
        <w:rPr>
          <w:lang w:val="fr-CH"/>
        </w:rPr>
        <w:t xml:space="preserve">IX.18 </w:t>
      </w:r>
      <w:r w:rsidR="00DC07B8">
        <w:rPr>
          <w:lang w:val="fr-CH"/>
        </w:rPr>
        <w:t>et</w:t>
      </w:r>
      <w:r w:rsidR="001A123E" w:rsidRPr="00DC07B8">
        <w:rPr>
          <w:lang w:val="fr-CH"/>
        </w:rPr>
        <w:t xml:space="preserve"> XIV.8. </w:t>
      </w:r>
      <w:r w:rsidR="00DC07B8">
        <w:rPr>
          <w:lang w:val="fr-CH"/>
        </w:rPr>
        <w:t xml:space="preserve">Le plan </w:t>
      </w:r>
      <w:r w:rsidR="00BD2A54">
        <w:rPr>
          <w:lang w:val="fr-CH"/>
        </w:rPr>
        <w:t xml:space="preserve">relatif au fonctionnement, </w:t>
      </w:r>
      <w:r w:rsidR="00DC07B8">
        <w:rPr>
          <w:lang w:val="fr-CH"/>
        </w:rPr>
        <w:t xml:space="preserve">proposé par le Secrétariat, applique les leçons et l’expérience opérationnelles des périodes triennales écoulées en </w:t>
      </w:r>
      <w:r w:rsidR="00BD2A54">
        <w:rPr>
          <w:lang w:val="fr-CH"/>
        </w:rPr>
        <w:t>s’inspirant des</w:t>
      </w:r>
      <w:r w:rsidR="00DC07B8">
        <w:rPr>
          <w:lang w:val="fr-CH"/>
        </w:rPr>
        <w:t xml:space="preserve"> orientations données dans ces deux Résolutions.</w:t>
      </w:r>
    </w:p>
    <w:p w14:paraId="375C6FCE" w14:textId="77777777" w:rsidR="00490E47" w:rsidRPr="00DC07B8" w:rsidRDefault="001A123E" w:rsidP="001A123E">
      <w:pPr>
        <w:pStyle w:val="NoSpacing"/>
        <w:rPr>
          <w:lang w:val="fr-CH"/>
        </w:rPr>
      </w:pPr>
      <w:r w:rsidRPr="00DC07B8">
        <w:rPr>
          <w:lang w:val="fr-CH"/>
        </w:rPr>
        <w:t xml:space="preserve"> </w:t>
      </w:r>
    </w:p>
    <w:p w14:paraId="66215B03" w14:textId="67B36867" w:rsidR="00EF6C5F" w:rsidRPr="00DC07B8" w:rsidRDefault="00DC07B8" w:rsidP="00EF6C5F">
      <w:pPr>
        <w:pStyle w:val="NoSpacing"/>
        <w:rPr>
          <w:i/>
          <w:lang w:val="fr-CH"/>
        </w:rPr>
      </w:pPr>
      <w:r>
        <w:rPr>
          <w:i/>
          <w:lang w:val="fr-CH"/>
        </w:rPr>
        <w:t>Vers un programme de CESP plus stratégique, plus intégré et plus efficace</w:t>
      </w:r>
      <w:r w:rsidR="00EF6C5F" w:rsidRPr="00DC07B8">
        <w:rPr>
          <w:i/>
          <w:lang w:val="fr-CH"/>
        </w:rPr>
        <w:t xml:space="preserve"> </w:t>
      </w:r>
    </w:p>
    <w:p w14:paraId="21B47CB5" w14:textId="77777777" w:rsidR="00EF6C5F" w:rsidRPr="00DC07B8" w:rsidRDefault="00EF6C5F" w:rsidP="00EF6C5F">
      <w:pPr>
        <w:pStyle w:val="NoSpacing"/>
        <w:rPr>
          <w:lang w:val="fr-CH"/>
        </w:rPr>
      </w:pPr>
    </w:p>
    <w:p w14:paraId="703A1005" w14:textId="6C6FD4CA" w:rsidR="00490E47" w:rsidRPr="00DC07B8" w:rsidRDefault="00EF6C5F" w:rsidP="00EF6C5F">
      <w:pPr>
        <w:pStyle w:val="NoSpacing"/>
        <w:rPr>
          <w:lang w:val="fr-CH"/>
        </w:rPr>
      </w:pPr>
      <w:r w:rsidRPr="00DC07B8">
        <w:rPr>
          <w:lang w:val="fr-CH"/>
        </w:rPr>
        <w:t>12.</w:t>
      </w:r>
      <w:r w:rsidRPr="00DC07B8">
        <w:rPr>
          <w:lang w:val="fr-CH"/>
        </w:rPr>
        <w:tab/>
      </w:r>
      <w:r w:rsidR="00BD2A54">
        <w:rPr>
          <w:lang w:val="fr-CH"/>
        </w:rPr>
        <w:t xml:space="preserve">Dans le </w:t>
      </w:r>
      <w:r w:rsidR="00BD2A54" w:rsidRPr="00DC07B8">
        <w:rPr>
          <w:lang w:val="fr-CH"/>
        </w:rPr>
        <w:t>document SC58 Doc.15.1</w:t>
      </w:r>
      <w:r w:rsidR="00BD2A54">
        <w:rPr>
          <w:lang w:val="fr-CH"/>
        </w:rPr>
        <w:t>, l</w:t>
      </w:r>
      <w:r w:rsidR="00301AB1">
        <w:rPr>
          <w:lang w:val="fr-CH"/>
        </w:rPr>
        <w:t xml:space="preserve">e Groupe de surveillance des activités de CESP </w:t>
      </w:r>
      <w:r w:rsidR="00BD2A54">
        <w:rPr>
          <w:lang w:val="fr-CH"/>
        </w:rPr>
        <w:t>de</w:t>
      </w:r>
      <w:r w:rsidR="00301AB1">
        <w:rPr>
          <w:lang w:val="fr-CH"/>
        </w:rPr>
        <w:t xml:space="preserve"> la période triennale </w:t>
      </w:r>
      <w:r w:rsidR="00E73EE3" w:rsidRPr="00DC07B8">
        <w:rPr>
          <w:lang w:val="fr-CH"/>
        </w:rPr>
        <w:t>2018-2022</w:t>
      </w:r>
      <w:r w:rsidR="009D3933">
        <w:rPr>
          <w:lang w:val="fr-CH"/>
        </w:rPr>
        <w:t xml:space="preserve"> a </w:t>
      </w:r>
      <w:r w:rsidR="007F22F3">
        <w:rPr>
          <w:lang w:val="fr-CH"/>
        </w:rPr>
        <w:t>formulé</w:t>
      </w:r>
      <w:r w:rsidR="009D3933">
        <w:rPr>
          <w:lang w:val="fr-CH"/>
        </w:rPr>
        <w:t xml:space="preserve"> des recommandations </w:t>
      </w:r>
      <w:r w:rsidR="007F22F3">
        <w:rPr>
          <w:lang w:val="fr-CH"/>
        </w:rPr>
        <w:t>pour le</w:t>
      </w:r>
      <w:r w:rsidR="009D3933">
        <w:rPr>
          <w:lang w:val="fr-CH"/>
        </w:rPr>
        <w:t xml:space="preserve"> Comité permanent en vue de </w:t>
      </w:r>
      <w:r w:rsidR="007F22F3">
        <w:rPr>
          <w:lang w:val="fr-CH"/>
        </w:rPr>
        <w:t>rendre</w:t>
      </w:r>
      <w:r w:rsidR="009D3933">
        <w:rPr>
          <w:lang w:val="fr-CH"/>
        </w:rPr>
        <w:t xml:space="preserve"> la CESP plus stratégique, plus intégré</w:t>
      </w:r>
      <w:r w:rsidR="007F22F3">
        <w:rPr>
          <w:lang w:val="fr-CH"/>
        </w:rPr>
        <w:t>e</w:t>
      </w:r>
      <w:r w:rsidR="009D3933">
        <w:rPr>
          <w:lang w:val="fr-CH"/>
        </w:rPr>
        <w:t xml:space="preserve"> et plus efficace</w:t>
      </w:r>
      <w:r w:rsidR="006B36AC" w:rsidRPr="00DC07B8">
        <w:rPr>
          <w:lang w:val="fr-CH"/>
        </w:rPr>
        <w:t xml:space="preserve">. </w:t>
      </w:r>
      <w:r w:rsidR="009D3933">
        <w:rPr>
          <w:lang w:val="fr-CH"/>
        </w:rPr>
        <w:t xml:space="preserve">Ces recommandations, issues d’une étude </w:t>
      </w:r>
      <w:r w:rsidR="007F22F3">
        <w:rPr>
          <w:lang w:val="fr-CH"/>
        </w:rPr>
        <w:t xml:space="preserve">menée </w:t>
      </w:r>
      <w:r w:rsidR="009D3933">
        <w:rPr>
          <w:lang w:val="fr-CH"/>
        </w:rPr>
        <w:t xml:space="preserve">auprès des Correspondants nationaux, des Correspondants gouvernementaux CESP et des Correspondants ONG CESP sur la nouvelle approche de CESP, ont été incorporées dans la présente proposition avec les orientations découlant de la Résolution </w:t>
      </w:r>
      <w:r w:rsidR="00E73EE3" w:rsidRPr="00DC07B8">
        <w:rPr>
          <w:lang w:val="fr-CH"/>
        </w:rPr>
        <w:t>XIV.8</w:t>
      </w:r>
      <w:r w:rsidR="005C2079" w:rsidRPr="00DC07B8">
        <w:rPr>
          <w:lang w:val="fr-CH"/>
        </w:rPr>
        <w:t xml:space="preserve">. </w:t>
      </w:r>
    </w:p>
    <w:p w14:paraId="7E857604" w14:textId="77777777" w:rsidR="001A5E83" w:rsidRPr="00DC07B8" w:rsidRDefault="001A5E83" w:rsidP="001A5E83">
      <w:pPr>
        <w:pStyle w:val="ListParagraph"/>
        <w:rPr>
          <w:lang w:val="fr-CH"/>
        </w:rPr>
      </w:pPr>
    </w:p>
    <w:p w14:paraId="610D6E5D" w14:textId="3623F32E" w:rsidR="005F2A8B" w:rsidRPr="00DC07B8" w:rsidRDefault="00EF6C5F" w:rsidP="001A5E83">
      <w:pPr>
        <w:pStyle w:val="NoSpacing"/>
        <w:rPr>
          <w:lang w:val="fr-CH"/>
        </w:rPr>
      </w:pPr>
      <w:r w:rsidRPr="00DC07B8">
        <w:rPr>
          <w:lang w:val="fr-CH"/>
        </w:rPr>
        <w:t>13</w:t>
      </w:r>
      <w:r w:rsidR="001A5E83" w:rsidRPr="00DC07B8">
        <w:rPr>
          <w:lang w:val="fr-CH"/>
        </w:rPr>
        <w:t>.</w:t>
      </w:r>
      <w:r w:rsidR="001A5E83" w:rsidRPr="00DC07B8">
        <w:rPr>
          <w:lang w:val="fr-CH"/>
        </w:rPr>
        <w:tab/>
      </w:r>
      <w:r w:rsidR="00A6311C">
        <w:rPr>
          <w:lang w:val="fr-CH"/>
        </w:rPr>
        <w:t xml:space="preserve">La proposition de fonctionnement futur du Groupe de surveillance des activités de CESP qui se trouve dans l’annexe 1 a été révisée par le Groupe de surveillance des activités de CESP actuel comprenant le représentant </w:t>
      </w:r>
      <w:r w:rsidR="007F22F3">
        <w:rPr>
          <w:lang w:val="fr-CH"/>
        </w:rPr>
        <w:t xml:space="preserve">du </w:t>
      </w:r>
      <w:r w:rsidR="00A6311C">
        <w:rPr>
          <w:lang w:val="fr-CH"/>
        </w:rPr>
        <w:t xml:space="preserve">GEST au sein du Groupe de surveillance et leurs commentaires et recommandations </w:t>
      </w:r>
      <w:r w:rsidR="00720375">
        <w:rPr>
          <w:lang w:val="fr-CH"/>
        </w:rPr>
        <w:t>s’y trouvent reflétés.</w:t>
      </w:r>
      <w:r w:rsidR="005F2A8B" w:rsidRPr="00DC07B8">
        <w:rPr>
          <w:lang w:val="fr-CH"/>
        </w:rPr>
        <w:t xml:space="preserve"> </w:t>
      </w:r>
    </w:p>
    <w:p w14:paraId="5B4FC9D0" w14:textId="77777777" w:rsidR="005F2A8B" w:rsidRPr="00DC07B8" w:rsidRDefault="005F2A8B" w:rsidP="001A5E83">
      <w:pPr>
        <w:pStyle w:val="NoSpacing"/>
        <w:rPr>
          <w:lang w:val="fr-CH"/>
        </w:rPr>
      </w:pPr>
    </w:p>
    <w:p w14:paraId="1EFE1D36" w14:textId="3031CAAE" w:rsidR="001A5E83" w:rsidRPr="00DC07B8" w:rsidRDefault="00EF6C5F" w:rsidP="001A5E83">
      <w:pPr>
        <w:pStyle w:val="NoSpacing"/>
        <w:rPr>
          <w:lang w:val="fr-CH"/>
        </w:rPr>
      </w:pPr>
      <w:r w:rsidRPr="00DC07B8">
        <w:rPr>
          <w:lang w:val="fr-CH"/>
        </w:rPr>
        <w:t>14</w:t>
      </w:r>
      <w:r w:rsidR="005F2A8B" w:rsidRPr="00DC07B8">
        <w:rPr>
          <w:lang w:val="fr-CH"/>
        </w:rPr>
        <w:t>.</w:t>
      </w:r>
      <w:r w:rsidR="005F2A8B" w:rsidRPr="00DC07B8">
        <w:rPr>
          <w:lang w:val="fr-CH"/>
        </w:rPr>
        <w:tab/>
      </w:r>
      <w:r w:rsidR="00720375">
        <w:rPr>
          <w:lang w:val="fr-CH"/>
        </w:rPr>
        <w:t xml:space="preserve">Le Comité permanent est invité à approuver la proposition et </w:t>
      </w:r>
      <w:r w:rsidR="007F22F3">
        <w:rPr>
          <w:lang w:val="fr-CH"/>
        </w:rPr>
        <w:t>à donner</w:t>
      </w:r>
      <w:r w:rsidR="00720375">
        <w:rPr>
          <w:lang w:val="fr-CH"/>
        </w:rPr>
        <w:t xml:space="preserve"> instruction au Secrétariat de préparer un projet de résolution pour la 64</w:t>
      </w:r>
      <w:r w:rsidR="00720375" w:rsidRPr="00720375">
        <w:rPr>
          <w:vertAlign w:val="superscript"/>
          <w:lang w:val="fr-CH"/>
        </w:rPr>
        <w:t>e</w:t>
      </w:r>
      <w:r w:rsidR="00720375">
        <w:rPr>
          <w:lang w:val="fr-CH"/>
        </w:rPr>
        <w:t> Réunion du Comité permanent afin que la Conférence des Parties contractantes puisse officialiser cette proposition</w:t>
      </w:r>
      <w:r w:rsidR="00F31EFE" w:rsidRPr="00F31EFE">
        <w:rPr>
          <w:lang w:val="fr-CH"/>
        </w:rPr>
        <w:t xml:space="preserve"> </w:t>
      </w:r>
      <w:r w:rsidR="00F31EFE">
        <w:rPr>
          <w:lang w:val="fr-CH"/>
        </w:rPr>
        <w:t>à la COP15</w:t>
      </w:r>
      <w:r w:rsidR="00720375">
        <w:rPr>
          <w:lang w:val="fr-CH"/>
        </w:rPr>
        <w:t>.</w:t>
      </w:r>
      <w:r w:rsidR="00AA3F7B" w:rsidRPr="00DC07B8">
        <w:rPr>
          <w:rFonts w:asciiTheme="minorHAnsi" w:hAnsiTheme="minorHAnsi" w:cstheme="minorHAnsi"/>
          <w:lang w:val="fr-CH"/>
        </w:rPr>
        <w:t xml:space="preserve"> </w:t>
      </w:r>
    </w:p>
    <w:p w14:paraId="15B362A2" w14:textId="77777777" w:rsidR="00490E47" w:rsidRPr="00DC07B8" w:rsidRDefault="00490E47" w:rsidP="0007175F">
      <w:pPr>
        <w:pStyle w:val="NoSpacing"/>
        <w:rPr>
          <w:lang w:val="fr-CH"/>
        </w:rPr>
      </w:pPr>
    </w:p>
    <w:p w14:paraId="1DDB954E" w14:textId="77777777" w:rsidR="00490E47" w:rsidRPr="00DC07B8" w:rsidRDefault="00490E47" w:rsidP="0007175F">
      <w:pPr>
        <w:pStyle w:val="NoSpacing"/>
        <w:rPr>
          <w:lang w:val="fr-CH"/>
        </w:rPr>
      </w:pPr>
    </w:p>
    <w:p w14:paraId="008284FD" w14:textId="77777777" w:rsidR="00411D84" w:rsidRPr="00DC07B8" w:rsidRDefault="00411D84">
      <w:pPr>
        <w:rPr>
          <w:lang w:val="fr-CH"/>
        </w:rPr>
      </w:pPr>
      <w:r w:rsidRPr="00DC07B8">
        <w:rPr>
          <w:lang w:val="fr-CH"/>
        </w:rPr>
        <w:br w:type="page"/>
      </w:r>
    </w:p>
    <w:p w14:paraId="5D8B5878" w14:textId="1E22594B" w:rsidR="00B40B7B" w:rsidRDefault="00FD70AF" w:rsidP="00B40B7B">
      <w:pPr>
        <w:pStyle w:val="NoSpacing"/>
        <w:ind w:left="0" w:firstLine="0"/>
        <w:rPr>
          <w:b/>
          <w:sz w:val="24"/>
          <w:szCs w:val="24"/>
          <w:lang w:val="fr-CH"/>
        </w:rPr>
      </w:pPr>
      <w:r w:rsidRPr="00DC07B8">
        <w:rPr>
          <w:b/>
          <w:sz w:val="24"/>
          <w:szCs w:val="24"/>
          <w:lang w:val="fr-CH"/>
        </w:rPr>
        <w:lastRenderedPageBreak/>
        <w:t>A</w:t>
      </w:r>
      <w:r w:rsidR="007E4714" w:rsidRPr="00DC07B8">
        <w:rPr>
          <w:b/>
          <w:sz w:val="24"/>
          <w:szCs w:val="24"/>
          <w:lang w:val="fr-CH"/>
        </w:rPr>
        <w:t>nnex</w:t>
      </w:r>
      <w:r w:rsidR="00720375">
        <w:rPr>
          <w:b/>
          <w:sz w:val="24"/>
          <w:szCs w:val="24"/>
          <w:lang w:val="fr-CH"/>
        </w:rPr>
        <w:t>e</w:t>
      </w:r>
      <w:r w:rsidR="007E4714" w:rsidRPr="00DC07B8">
        <w:rPr>
          <w:b/>
          <w:sz w:val="24"/>
          <w:szCs w:val="24"/>
          <w:lang w:val="fr-CH"/>
        </w:rPr>
        <w:t xml:space="preserve"> </w:t>
      </w:r>
      <w:r w:rsidR="00A777FF" w:rsidRPr="00DC07B8">
        <w:rPr>
          <w:b/>
          <w:sz w:val="24"/>
          <w:szCs w:val="24"/>
          <w:lang w:val="fr-CH"/>
        </w:rPr>
        <w:t>1</w:t>
      </w:r>
    </w:p>
    <w:p w14:paraId="5374D3E0" w14:textId="14C6031A" w:rsidR="005F5BA5" w:rsidRPr="00DC07B8" w:rsidRDefault="005F5BA5" w:rsidP="00B40B7B">
      <w:pPr>
        <w:pStyle w:val="NoSpacing"/>
        <w:ind w:left="0" w:firstLine="0"/>
        <w:rPr>
          <w:b/>
          <w:sz w:val="24"/>
          <w:szCs w:val="24"/>
          <w:lang w:val="fr-CH"/>
        </w:rPr>
      </w:pPr>
      <w:r w:rsidRPr="00DC07B8">
        <w:rPr>
          <w:rFonts w:cs="Arial"/>
          <w:b/>
          <w:sz w:val="24"/>
          <w:szCs w:val="24"/>
          <w:lang w:val="fr-CH"/>
        </w:rPr>
        <w:t>Propos</w:t>
      </w:r>
      <w:r w:rsidR="00720375">
        <w:rPr>
          <w:rFonts w:cs="Arial"/>
          <w:b/>
          <w:sz w:val="24"/>
          <w:szCs w:val="24"/>
          <w:lang w:val="fr-CH"/>
        </w:rPr>
        <w:t xml:space="preserve">ition </w:t>
      </w:r>
      <w:r w:rsidR="00FA1AF6">
        <w:rPr>
          <w:rFonts w:cs="Arial"/>
          <w:b/>
          <w:sz w:val="24"/>
          <w:szCs w:val="24"/>
          <w:lang w:val="fr-CH"/>
        </w:rPr>
        <w:t>relative au</w:t>
      </w:r>
      <w:r w:rsidR="00720375">
        <w:rPr>
          <w:rFonts w:cs="Arial"/>
          <w:b/>
          <w:sz w:val="24"/>
          <w:szCs w:val="24"/>
          <w:lang w:val="fr-CH"/>
        </w:rPr>
        <w:t xml:space="preserve"> fonctionnement futur du</w:t>
      </w:r>
      <w:r w:rsidR="00B40B7B">
        <w:rPr>
          <w:rFonts w:cs="Arial"/>
          <w:b/>
          <w:sz w:val="24"/>
          <w:szCs w:val="24"/>
          <w:lang w:val="fr-CH"/>
        </w:rPr>
        <w:t xml:space="preserve"> </w:t>
      </w:r>
      <w:r w:rsidR="00720375">
        <w:rPr>
          <w:rFonts w:cs="Arial"/>
          <w:b/>
          <w:sz w:val="24"/>
          <w:szCs w:val="24"/>
          <w:lang w:val="fr-CH"/>
        </w:rPr>
        <w:t xml:space="preserve">Groupe de surveillance des activités </w:t>
      </w:r>
      <w:r w:rsidR="00B40B7B">
        <w:rPr>
          <w:rFonts w:cs="Arial"/>
          <w:b/>
          <w:sz w:val="24"/>
          <w:szCs w:val="24"/>
          <w:lang w:val="fr-CH"/>
        </w:rPr>
        <w:br/>
      </w:r>
      <w:r w:rsidR="00720375">
        <w:rPr>
          <w:rFonts w:cs="Arial"/>
          <w:b/>
          <w:sz w:val="24"/>
          <w:szCs w:val="24"/>
          <w:lang w:val="fr-CH"/>
        </w:rPr>
        <w:t>de CESP</w:t>
      </w:r>
    </w:p>
    <w:p w14:paraId="43F12313" w14:textId="38DC0247" w:rsidR="005C2079" w:rsidRPr="00DC07B8" w:rsidRDefault="005C2079" w:rsidP="005C2079">
      <w:pPr>
        <w:pStyle w:val="NoSpacing"/>
        <w:tabs>
          <w:tab w:val="left" w:pos="1330"/>
        </w:tabs>
        <w:rPr>
          <w:lang w:val="fr-CH"/>
        </w:rPr>
      </w:pPr>
    </w:p>
    <w:p w14:paraId="6B503468" w14:textId="77777777" w:rsidR="008563F6" w:rsidRPr="00DC07B8" w:rsidRDefault="008563F6" w:rsidP="005C2079">
      <w:pPr>
        <w:pStyle w:val="NoSpacing"/>
        <w:tabs>
          <w:tab w:val="left" w:pos="1330"/>
        </w:tabs>
        <w:rPr>
          <w:lang w:val="fr-CH"/>
        </w:rPr>
      </w:pPr>
    </w:p>
    <w:p w14:paraId="14DB5C8F" w14:textId="2E71A923" w:rsidR="006F4BFB" w:rsidRPr="00DC07B8" w:rsidRDefault="00694845" w:rsidP="0023393D">
      <w:pPr>
        <w:pStyle w:val="NoSpacing"/>
        <w:tabs>
          <w:tab w:val="left" w:pos="1330"/>
        </w:tabs>
        <w:ind w:left="0" w:firstLine="0"/>
        <w:rPr>
          <w:lang w:val="fr-CH"/>
        </w:rPr>
      </w:pPr>
      <w:r>
        <w:rPr>
          <w:lang w:val="fr-CH"/>
        </w:rPr>
        <w:t xml:space="preserve">Le Programme sur la communication, l’éducation, la sensibilisation, la participation et le renforcement des capacités </w:t>
      </w:r>
      <w:r w:rsidR="00FA1AF6">
        <w:rPr>
          <w:lang w:val="fr-CH"/>
        </w:rPr>
        <w:t>(</w:t>
      </w:r>
      <w:r>
        <w:rPr>
          <w:lang w:val="fr-CH"/>
        </w:rPr>
        <w:t>CESP</w:t>
      </w:r>
      <w:r w:rsidR="00FA1AF6">
        <w:rPr>
          <w:lang w:val="fr-CH"/>
        </w:rPr>
        <w:t>)</w:t>
      </w:r>
      <w:r>
        <w:rPr>
          <w:lang w:val="fr-CH"/>
        </w:rPr>
        <w:t xml:space="preserve"> est un instrument </w:t>
      </w:r>
      <w:r w:rsidR="00FA1AF6">
        <w:rPr>
          <w:lang w:val="fr-CH"/>
        </w:rPr>
        <w:t>conçu pour fournir</w:t>
      </w:r>
      <w:r>
        <w:rPr>
          <w:lang w:val="fr-CH"/>
        </w:rPr>
        <w:t xml:space="preserve"> des orientations aux Parties contractantes, au Secrétariat de la Convention, aux Organisations internationales partenaires de la Convention (OIP), aux ONG, aux organisations communautaires et autres parties prenantes </w:t>
      </w:r>
      <w:r w:rsidR="00FA1AF6">
        <w:rPr>
          <w:lang w:val="fr-CH"/>
        </w:rPr>
        <w:t>qui prennent les mesures appropriées pour</w:t>
      </w:r>
      <w:r>
        <w:rPr>
          <w:lang w:val="fr-CH"/>
        </w:rPr>
        <w:t xml:space="preserve"> </w:t>
      </w:r>
      <w:r w:rsidR="00FA1AF6">
        <w:rPr>
          <w:lang w:val="fr-CH"/>
        </w:rPr>
        <w:t>que le public s’engage</w:t>
      </w:r>
      <w:r>
        <w:rPr>
          <w:lang w:val="fr-CH"/>
        </w:rPr>
        <w:t xml:space="preserve">, </w:t>
      </w:r>
      <w:r w:rsidR="00FA1AF6">
        <w:rPr>
          <w:lang w:val="fr-CH"/>
        </w:rPr>
        <w:t xml:space="preserve">se mobilise et agisse </w:t>
      </w:r>
      <w:r>
        <w:rPr>
          <w:lang w:val="fr-CH"/>
        </w:rPr>
        <w:t>en faveur de la conservation et de l’utilisation rationnelle des zones humides.</w:t>
      </w:r>
      <w:r w:rsidR="006F4BFB" w:rsidRPr="00DC07B8">
        <w:rPr>
          <w:lang w:val="fr-CH"/>
        </w:rPr>
        <w:t xml:space="preserve"> </w:t>
      </w:r>
    </w:p>
    <w:p w14:paraId="3E7A8675" w14:textId="77777777" w:rsidR="006F4BFB" w:rsidRPr="00DC07B8" w:rsidRDefault="006F4BFB" w:rsidP="0023393D">
      <w:pPr>
        <w:pStyle w:val="NoSpacing"/>
        <w:tabs>
          <w:tab w:val="left" w:pos="1330"/>
        </w:tabs>
        <w:ind w:left="0" w:firstLine="0"/>
        <w:rPr>
          <w:lang w:val="fr-CH"/>
        </w:rPr>
      </w:pPr>
    </w:p>
    <w:p w14:paraId="7D850C4B" w14:textId="0BC8BD95" w:rsidR="005C2079" w:rsidRPr="00DC07B8" w:rsidRDefault="00B64359" w:rsidP="0023393D">
      <w:pPr>
        <w:pStyle w:val="NoSpacing"/>
        <w:tabs>
          <w:tab w:val="left" w:pos="1330"/>
        </w:tabs>
        <w:ind w:left="0" w:firstLine="0"/>
        <w:rPr>
          <w:lang w:val="fr-CH"/>
        </w:rPr>
      </w:pPr>
      <w:r w:rsidRPr="00990377">
        <w:rPr>
          <w:lang w:val="fr-CH"/>
        </w:rPr>
        <w:t xml:space="preserve">Le rôle principal du Groupe de surveillance des activités de CESP consiste à superviser la préparation </w:t>
      </w:r>
      <w:r w:rsidR="00C061D6" w:rsidRPr="00990377">
        <w:rPr>
          <w:lang w:val="fr-CH"/>
        </w:rPr>
        <w:t xml:space="preserve">et la mise en œuvre </w:t>
      </w:r>
      <w:r w:rsidRPr="00990377">
        <w:rPr>
          <w:lang w:val="fr-CH"/>
        </w:rPr>
        <w:t xml:space="preserve">de </w:t>
      </w:r>
      <w:r w:rsidR="00C061D6" w:rsidRPr="00990377">
        <w:rPr>
          <w:lang w:val="fr-CH"/>
        </w:rPr>
        <w:t>la</w:t>
      </w:r>
      <w:r w:rsidRPr="00990377">
        <w:rPr>
          <w:lang w:val="fr-CH"/>
        </w:rPr>
        <w:t xml:space="preserve"> CESP</w:t>
      </w:r>
      <w:r w:rsidR="007A5AC1" w:rsidRPr="00990377">
        <w:rPr>
          <w:lang w:val="fr-CH"/>
        </w:rPr>
        <w:t xml:space="preserve"> </w:t>
      </w:r>
      <w:r w:rsidR="00DD3247" w:rsidRPr="00990377">
        <w:rPr>
          <w:lang w:val="fr-CH"/>
        </w:rPr>
        <w:t xml:space="preserve">dans le cadre de la Convention </w:t>
      </w:r>
      <w:r w:rsidR="007A5AC1" w:rsidRPr="00990377">
        <w:rPr>
          <w:lang w:val="fr-CH"/>
        </w:rPr>
        <w:t>et, en particulier</w:t>
      </w:r>
      <w:r w:rsidR="007A5AC1">
        <w:rPr>
          <w:lang w:val="fr-CH"/>
        </w:rPr>
        <w:t xml:space="preserve">, </w:t>
      </w:r>
      <w:r w:rsidR="00DD3247">
        <w:rPr>
          <w:lang w:val="fr-CH"/>
        </w:rPr>
        <w:t>à</w:t>
      </w:r>
      <w:r w:rsidR="007A5AC1">
        <w:rPr>
          <w:lang w:val="fr-CH"/>
        </w:rPr>
        <w:t xml:space="preserve"> conseiller le Comité permanent et le Secrétariat sur les activités nationales et internationales de CESP, y compris les priorités en matière de CESP du Groupe d’évaluation scientifique et technique (GEST). Les fonctions particulières comprennent :</w:t>
      </w:r>
    </w:p>
    <w:p w14:paraId="7435989F" w14:textId="77777777" w:rsidR="00313EAE" w:rsidRPr="00DC07B8" w:rsidRDefault="00313EAE" w:rsidP="0023393D">
      <w:pPr>
        <w:pStyle w:val="NoSpacing"/>
        <w:tabs>
          <w:tab w:val="left" w:pos="1330"/>
        </w:tabs>
        <w:ind w:left="0" w:firstLine="0"/>
        <w:rPr>
          <w:lang w:val="fr-CH"/>
        </w:rPr>
      </w:pPr>
    </w:p>
    <w:p w14:paraId="472D03DF" w14:textId="7641A286" w:rsidR="00313EAE" w:rsidRPr="00DC07B8" w:rsidRDefault="00313EAE" w:rsidP="005D262B">
      <w:pPr>
        <w:ind w:left="426" w:hanging="426"/>
        <w:contextualSpacing/>
        <w:rPr>
          <w:rFonts w:asciiTheme="minorHAnsi" w:hAnsiTheme="minorHAnsi" w:cstheme="minorHAnsi"/>
          <w:color w:val="000000"/>
          <w:lang w:val="fr-CH"/>
        </w:rPr>
      </w:pPr>
      <w:r w:rsidRPr="00DC07B8">
        <w:rPr>
          <w:rFonts w:asciiTheme="minorHAnsi" w:hAnsiTheme="minorHAnsi" w:cstheme="minorHAnsi"/>
          <w:color w:val="000000"/>
          <w:lang w:val="fr-CH"/>
        </w:rPr>
        <w:t>i</w:t>
      </w:r>
      <w:r w:rsidR="00694845">
        <w:rPr>
          <w:rFonts w:asciiTheme="minorHAnsi" w:hAnsiTheme="minorHAnsi" w:cstheme="minorHAnsi"/>
          <w:color w:val="000000"/>
          <w:lang w:val="fr-CH"/>
        </w:rPr>
        <w:t>)</w:t>
      </w:r>
      <w:r w:rsidRPr="00DC07B8">
        <w:rPr>
          <w:rFonts w:asciiTheme="minorHAnsi" w:hAnsiTheme="minorHAnsi" w:cstheme="minorHAnsi"/>
          <w:color w:val="000000"/>
          <w:lang w:val="fr-CH"/>
        </w:rPr>
        <w:tab/>
      </w:r>
      <w:r w:rsidR="007A5AC1">
        <w:rPr>
          <w:rFonts w:asciiTheme="minorHAnsi" w:hAnsiTheme="minorHAnsi" w:cstheme="minorHAnsi"/>
          <w:color w:val="000000"/>
          <w:lang w:val="fr-CH"/>
        </w:rPr>
        <w:t xml:space="preserve">livrer </w:t>
      </w:r>
      <w:r w:rsidR="00DD3247">
        <w:rPr>
          <w:rFonts w:asciiTheme="minorHAnsi" w:hAnsiTheme="minorHAnsi" w:cstheme="minorHAnsi"/>
          <w:color w:val="000000"/>
          <w:lang w:val="fr-CH"/>
        </w:rPr>
        <w:t>l</w:t>
      </w:r>
      <w:r w:rsidR="007A5AC1">
        <w:rPr>
          <w:rFonts w:asciiTheme="minorHAnsi" w:hAnsiTheme="minorHAnsi" w:cstheme="minorHAnsi"/>
          <w:color w:val="000000"/>
          <w:lang w:val="fr-CH"/>
        </w:rPr>
        <w:t xml:space="preserve">es résultats d’activités de communication, éducation, sensibilisation, participation et renforcement des capacités (CESP) </w:t>
      </w:r>
      <w:r w:rsidR="00DD3247">
        <w:rPr>
          <w:rFonts w:asciiTheme="minorHAnsi" w:hAnsiTheme="minorHAnsi" w:cstheme="minorHAnsi"/>
          <w:color w:val="000000"/>
          <w:lang w:val="fr-CH"/>
        </w:rPr>
        <w:t xml:space="preserve">spécifiquement </w:t>
      </w:r>
      <w:r w:rsidR="007A5AC1" w:rsidRPr="00837EF0">
        <w:rPr>
          <w:rFonts w:asciiTheme="minorHAnsi" w:hAnsiTheme="minorHAnsi" w:cstheme="minorHAnsi"/>
          <w:color w:val="000000"/>
          <w:lang w:val="fr-CH"/>
        </w:rPr>
        <w:t>demandées</w:t>
      </w:r>
      <w:r w:rsidR="007A5AC1">
        <w:rPr>
          <w:rFonts w:asciiTheme="minorHAnsi" w:hAnsiTheme="minorHAnsi" w:cstheme="minorHAnsi"/>
          <w:color w:val="000000"/>
          <w:lang w:val="fr-CH"/>
        </w:rPr>
        <w:t xml:space="preserve"> dans les Résolutions de la Conférence des Parties contractantes (COP) et dans le Plan stratégique ;</w:t>
      </w:r>
      <w:r w:rsidRPr="00DC07B8">
        <w:rPr>
          <w:rFonts w:asciiTheme="minorHAnsi" w:hAnsiTheme="minorHAnsi" w:cstheme="minorHAnsi"/>
          <w:color w:val="000000"/>
          <w:lang w:val="fr-CH"/>
        </w:rPr>
        <w:t xml:space="preserve"> </w:t>
      </w:r>
    </w:p>
    <w:p w14:paraId="24FA6272" w14:textId="77777777" w:rsidR="00313EAE" w:rsidRPr="00DC07B8" w:rsidRDefault="00313EAE" w:rsidP="005D262B">
      <w:pPr>
        <w:ind w:left="426" w:hanging="426"/>
        <w:contextualSpacing/>
        <w:rPr>
          <w:rFonts w:asciiTheme="minorHAnsi" w:hAnsiTheme="minorHAnsi" w:cstheme="minorHAnsi"/>
          <w:color w:val="000000"/>
          <w:lang w:val="fr-CH"/>
        </w:rPr>
      </w:pPr>
    </w:p>
    <w:p w14:paraId="349F807D" w14:textId="5F191C2D" w:rsidR="00313EAE" w:rsidRPr="00DC07B8" w:rsidRDefault="00313EAE" w:rsidP="005D262B">
      <w:pPr>
        <w:ind w:left="426" w:hanging="426"/>
        <w:contextualSpacing/>
        <w:rPr>
          <w:rFonts w:asciiTheme="minorHAnsi" w:hAnsiTheme="minorHAnsi" w:cstheme="minorHAnsi"/>
          <w:color w:val="000000"/>
          <w:lang w:val="fr-CH"/>
        </w:rPr>
      </w:pPr>
      <w:r w:rsidRPr="00DC07B8">
        <w:rPr>
          <w:rFonts w:asciiTheme="minorHAnsi" w:hAnsiTheme="minorHAnsi" w:cstheme="minorHAnsi"/>
          <w:color w:val="000000"/>
          <w:lang w:val="fr-CH"/>
        </w:rPr>
        <w:t>ii</w:t>
      </w:r>
      <w:r w:rsidR="00694845">
        <w:rPr>
          <w:rFonts w:asciiTheme="minorHAnsi" w:hAnsiTheme="minorHAnsi" w:cstheme="minorHAnsi"/>
          <w:color w:val="000000"/>
          <w:lang w:val="fr-CH"/>
        </w:rPr>
        <w:t>)</w:t>
      </w:r>
      <w:r w:rsidRPr="00DC07B8">
        <w:rPr>
          <w:rFonts w:asciiTheme="minorHAnsi" w:hAnsiTheme="minorHAnsi" w:cstheme="minorHAnsi"/>
          <w:color w:val="000000"/>
          <w:lang w:val="fr-CH"/>
        </w:rPr>
        <w:tab/>
      </w:r>
      <w:r w:rsidR="00837EF0">
        <w:rPr>
          <w:rFonts w:asciiTheme="minorHAnsi" w:hAnsiTheme="minorHAnsi" w:cstheme="minorHAnsi"/>
          <w:color w:val="000000"/>
          <w:lang w:val="fr-CH"/>
        </w:rPr>
        <w:t>examiner les besoins en matière de CESP et les lacunes dans sa mise en œuvre afin d’identifier les activités de CESP à intégrer dans le Plan stratégique ;</w:t>
      </w:r>
    </w:p>
    <w:p w14:paraId="6611036A" w14:textId="77777777" w:rsidR="00313EAE" w:rsidRPr="00DC07B8" w:rsidRDefault="00313EAE" w:rsidP="005D262B">
      <w:pPr>
        <w:ind w:left="426" w:hanging="426"/>
        <w:contextualSpacing/>
        <w:rPr>
          <w:rFonts w:asciiTheme="minorHAnsi" w:hAnsiTheme="minorHAnsi" w:cstheme="minorHAnsi"/>
          <w:color w:val="000000"/>
          <w:lang w:val="fr-CH"/>
        </w:rPr>
      </w:pPr>
    </w:p>
    <w:p w14:paraId="35BCE8B4" w14:textId="465C2CAB" w:rsidR="00313EAE" w:rsidRPr="00DC07B8" w:rsidRDefault="00313EAE" w:rsidP="005D262B">
      <w:pPr>
        <w:ind w:left="426" w:hanging="426"/>
        <w:contextualSpacing/>
        <w:rPr>
          <w:rFonts w:asciiTheme="minorHAnsi" w:hAnsiTheme="minorHAnsi" w:cstheme="minorHAnsi"/>
          <w:color w:val="000000"/>
          <w:lang w:val="fr-CH"/>
        </w:rPr>
      </w:pPr>
      <w:r w:rsidRPr="00DC07B8">
        <w:rPr>
          <w:rFonts w:asciiTheme="minorHAnsi" w:hAnsiTheme="minorHAnsi" w:cstheme="minorHAnsi"/>
          <w:color w:val="000000"/>
          <w:lang w:val="fr-CH"/>
        </w:rPr>
        <w:t>iii</w:t>
      </w:r>
      <w:r w:rsidR="00694845">
        <w:rPr>
          <w:rFonts w:asciiTheme="minorHAnsi" w:hAnsiTheme="minorHAnsi" w:cstheme="minorHAnsi"/>
          <w:color w:val="000000"/>
          <w:lang w:val="fr-CH"/>
        </w:rPr>
        <w:t>)</w:t>
      </w:r>
      <w:r w:rsidRPr="00DC07B8">
        <w:rPr>
          <w:rFonts w:asciiTheme="minorHAnsi" w:hAnsiTheme="minorHAnsi" w:cstheme="minorHAnsi"/>
          <w:color w:val="000000"/>
          <w:lang w:val="fr-CH"/>
        </w:rPr>
        <w:tab/>
      </w:r>
      <w:r w:rsidR="00DD3247">
        <w:rPr>
          <w:rFonts w:asciiTheme="minorHAnsi" w:hAnsiTheme="minorHAnsi" w:cstheme="minorHAnsi"/>
          <w:color w:val="000000"/>
          <w:lang w:val="fr-CH"/>
        </w:rPr>
        <w:t>assurer le suivi d</w:t>
      </w:r>
      <w:r w:rsidR="00837EF0">
        <w:rPr>
          <w:rFonts w:asciiTheme="minorHAnsi" w:hAnsiTheme="minorHAnsi" w:cstheme="minorHAnsi"/>
          <w:color w:val="000000"/>
          <w:lang w:val="fr-CH"/>
        </w:rPr>
        <w:t xml:space="preserve">es questions actuelles en matière de CESP </w:t>
      </w:r>
      <w:r w:rsidR="00DD3247">
        <w:rPr>
          <w:rFonts w:asciiTheme="minorHAnsi" w:hAnsiTheme="minorHAnsi" w:cstheme="minorHAnsi"/>
          <w:color w:val="000000"/>
          <w:lang w:val="fr-CH"/>
        </w:rPr>
        <w:t>dans le cadre</w:t>
      </w:r>
      <w:r w:rsidR="00837EF0">
        <w:rPr>
          <w:rFonts w:asciiTheme="minorHAnsi" w:hAnsiTheme="minorHAnsi" w:cstheme="minorHAnsi"/>
          <w:color w:val="000000"/>
          <w:lang w:val="fr-CH"/>
        </w:rPr>
        <w:t xml:space="preserve"> de la Convention et faire rapport à ce sujet, et surveiller </w:t>
      </w:r>
      <w:r w:rsidR="00DD3247">
        <w:rPr>
          <w:rFonts w:asciiTheme="minorHAnsi" w:hAnsiTheme="minorHAnsi" w:cstheme="minorHAnsi"/>
          <w:color w:val="000000"/>
          <w:lang w:val="fr-CH"/>
        </w:rPr>
        <w:t>l’av</w:t>
      </w:r>
      <w:bookmarkStart w:id="4" w:name="_GoBack"/>
      <w:bookmarkEnd w:id="4"/>
      <w:r w:rsidR="00DD3247">
        <w:rPr>
          <w:rFonts w:asciiTheme="minorHAnsi" w:hAnsiTheme="minorHAnsi" w:cstheme="minorHAnsi"/>
          <w:color w:val="000000"/>
          <w:lang w:val="fr-CH"/>
        </w:rPr>
        <w:t xml:space="preserve">ancement de la mise en œuvre </w:t>
      </w:r>
      <w:r w:rsidR="00837EF0">
        <w:rPr>
          <w:rFonts w:asciiTheme="minorHAnsi" w:hAnsiTheme="minorHAnsi" w:cstheme="minorHAnsi"/>
          <w:color w:val="000000"/>
          <w:lang w:val="fr-CH"/>
        </w:rPr>
        <w:t xml:space="preserve">des priorités actuelles </w:t>
      </w:r>
      <w:r w:rsidR="00DD3247">
        <w:rPr>
          <w:rFonts w:asciiTheme="minorHAnsi" w:hAnsiTheme="minorHAnsi" w:cstheme="minorHAnsi"/>
          <w:color w:val="000000"/>
          <w:lang w:val="fr-CH"/>
        </w:rPr>
        <w:t>en matière de</w:t>
      </w:r>
      <w:r w:rsidR="00837EF0">
        <w:rPr>
          <w:rFonts w:asciiTheme="minorHAnsi" w:hAnsiTheme="minorHAnsi" w:cstheme="minorHAnsi"/>
          <w:color w:val="000000"/>
          <w:lang w:val="fr-CH"/>
        </w:rPr>
        <w:t xml:space="preserve"> CESP, en particulier en ce qui concerne les activités de CESP figurant dans le Plan stratégique </w:t>
      </w:r>
      <w:r w:rsidR="00DD3247">
        <w:rPr>
          <w:rFonts w:asciiTheme="minorHAnsi" w:hAnsiTheme="minorHAnsi" w:cstheme="minorHAnsi"/>
          <w:color w:val="000000"/>
          <w:lang w:val="fr-CH"/>
        </w:rPr>
        <w:t>et</w:t>
      </w:r>
      <w:r w:rsidR="00837EF0">
        <w:rPr>
          <w:rFonts w:asciiTheme="minorHAnsi" w:hAnsiTheme="minorHAnsi" w:cstheme="minorHAnsi"/>
          <w:color w:val="000000"/>
          <w:lang w:val="fr-CH"/>
        </w:rPr>
        <w:t xml:space="preserve"> dans les Résolutions de la COP ; et </w:t>
      </w:r>
    </w:p>
    <w:p w14:paraId="2B380A26" w14:textId="77777777" w:rsidR="00313EAE" w:rsidRPr="00DC07B8" w:rsidRDefault="00313EAE" w:rsidP="005D262B">
      <w:pPr>
        <w:ind w:left="426" w:firstLine="0"/>
        <w:contextualSpacing/>
        <w:rPr>
          <w:rFonts w:asciiTheme="minorHAnsi" w:hAnsiTheme="minorHAnsi" w:cstheme="minorHAnsi"/>
          <w:color w:val="000000"/>
          <w:lang w:val="fr-CH"/>
        </w:rPr>
      </w:pPr>
    </w:p>
    <w:p w14:paraId="1FEA1598" w14:textId="3345F39D" w:rsidR="00313EAE" w:rsidRPr="00DC07B8" w:rsidRDefault="00330AF6" w:rsidP="005D262B">
      <w:pPr>
        <w:ind w:left="426" w:hanging="426"/>
        <w:contextualSpacing/>
        <w:rPr>
          <w:rFonts w:asciiTheme="minorHAnsi" w:hAnsiTheme="minorHAnsi" w:cstheme="minorHAnsi"/>
          <w:color w:val="000000"/>
          <w:lang w:val="fr-CH"/>
        </w:rPr>
      </w:pPr>
      <w:r w:rsidRPr="00DC07B8">
        <w:rPr>
          <w:rFonts w:asciiTheme="minorHAnsi" w:hAnsiTheme="minorHAnsi" w:cstheme="minorHAnsi"/>
          <w:color w:val="000000"/>
          <w:lang w:val="fr-CH"/>
        </w:rPr>
        <w:t>i</w:t>
      </w:r>
      <w:r w:rsidR="00313EAE" w:rsidRPr="00DC07B8">
        <w:rPr>
          <w:rFonts w:asciiTheme="minorHAnsi" w:hAnsiTheme="minorHAnsi" w:cstheme="minorHAnsi"/>
          <w:color w:val="000000"/>
          <w:lang w:val="fr-CH"/>
        </w:rPr>
        <w:t>v</w:t>
      </w:r>
      <w:r w:rsidR="00694845">
        <w:rPr>
          <w:rFonts w:asciiTheme="minorHAnsi" w:hAnsiTheme="minorHAnsi" w:cstheme="minorHAnsi"/>
          <w:color w:val="000000"/>
          <w:lang w:val="fr-CH"/>
        </w:rPr>
        <w:t>)</w:t>
      </w:r>
      <w:r w:rsidR="00313EAE" w:rsidRPr="00DC07B8">
        <w:rPr>
          <w:rFonts w:asciiTheme="minorHAnsi" w:hAnsiTheme="minorHAnsi" w:cstheme="minorHAnsi"/>
          <w:color w:val="000000"/>
          <w:lang w:val="fr-CH"/>
        </w:rPr>
        <w:tab/>
      </w:r>
      <w:r w:rsidR="00837EF0">
        <w:rPr>
          <w:rFonts w:asciiTheme="minorHAnsi" w:hAnsiTheme="minorHAnsi" w:cstheme="minorHAnsi"/>
          <w:color w:val="000000"/>
          <w:lang w:val="fr-CH"/>
        </w:rPr>
        <w:t xml:space="preserve">assurer la liaison avec d’autres accords multilatéraux sur l’environnement (AME) pour améliorer les synergies </w:t>
      </w:r>
      <w:r w:rsidR="00DD3247">
        <w:rPr>
          <w:rFonts w:asciiTheme="minorHAnsi" w:hAnsiTheme="minorHAnsi" w:cstheme="minorHAnsi"/>
          <w:color w:val="000000"/>
          <w:lang w:val="fr-CH"/>
        </w:rPr>
        <w:t>en matière de</w:t>
      </w:r>
      <w:r w:rsidR="00837EF0">
        <w:rPr>
          <w:rFonts w:asciiTheme="minorHAnsi" w:hAnsiTheme="minorHAnsi" w:cstheme="minorHAnsi"/>
          <w:color w:val="000000"/>
          <w:lang w:val="fr-CH"/>
        </w:rPr>
        <w:t xml:space="preserve"> CESP entre les Conventions.</w:t>
      </w:r>
    </w:p>
    <w:p w14:paraId="724B2E20" w14:textId="77777777" w:rsidR="0023393D" w:rsidRPr="00DC07B8" w:rsidRDefault="0023393D" w:rsidP="0023393D">
      <w:pPr>
        <w:pStyle w:val="NoSpacing"/>
        <w:tabs>
          <w:tab w:val="left" w:pos="1330"/>
        </w:tabs>
        <w:ind w:left="0" w:firstLine="0"/>
        <w:rPr>
          <w:lang w:val="fr-CH"/>
        </w:rPr>
      </w:pPr>
    </w:p>
    <w:p w14:paraId="49356D86" w14:textId="6DACA774" w:rsidR="0023393D" w:rsidRPr="00DC07B8" w:rsidRDefault="00837EF0" w:rsidP="0023393D">
      <w:pPr>
        <w:pStyle w:val="NoSpacing"/>
        <w:tabs>
          <w:tab w:val="left" w:pos="1330"/>
        </w:tabs>
        <w:ind w:left="0" w:firstLine="0"/>
        <w:rPr>
          <w:lang w:val="fr-CH"/>
        </w:rPr>
      </w:pPr>
      <w:r>
        <w:rPr>
          <w:lang w:val="fr-CH"/>
        </w:rPr>
        <w:t>Cette proposition sur le fonctionnement futur du Groupe a pour objet de fournir des orientations sur son fonctionnement qui apporteront à toutes les parties prenantes une plus grande clarté et permettront au Groupe de fonctionner plus efficacement. Cette proposition reflète les instructions et les orientations fournies par différentes Résolutions, Décisions du Comité permanent et recommandations des Groupes actuels et passés.</w:t>
      </w:r>
      <w:r w:rsidR="00CC424A">
        <w:rPr>
          <w:lang w:val="fr-CH"/>
        </w:rPr>
        <w:t xml:space="preserve"> </w:t>
      </w:r>
    </w:p>
    <w:p w14:paraId="21B776BD" w14:textId="77777777" w:rsidR="00313EAE" w:rsidRPr="00DC07B8" w:rsidRDefault="00313EAE" w:rsidP="0023393D">
      <w:pPr>
        <w:pStyle w:val="NoSpacing"/>
        <w:tabs>
          <w:tab w:val="left" w:pos="1330"/>
        </w:tabs>
        <w:ind w:left="0" w:firstLine="0"/>
        <w:rPr>
          <w:lang w:val="fr-CH"/>
        </w:rPr>
      </w:pPr>
    </w:p>
    <w:p w14:paraId="1652E7F6" w14:textId="27811AED" w:rsidR="00313EAE" w:rsidRPr="00837EF0" w:rsidRDefault="00837EF0" w:rsidP="0023393D">
      <w:pPr>
        <w:pStyle w:val="NoSpacing"/>
        <w:tabs>
          <w:tab w:val="left" w:pos="1330"/>
        </w:tabs>
        <w:ind w:left="0" w:firstLine="0"/>
        <w:rPr>
          <w:u w:val="single"/>
          <w:lang w:val="fr-CH"/>
        </w:rPr>
      </w:pPr>
      <w:r w:rsidRPr="00837EF0">
        <w:rPr>
          <w:u w:val="single"/>
          <w:lang w:val="fr-CH"/>
        </w:rPr>
        <w:t>Composition du Groupe</w:t>
      </w:r>
    </w:p>
    <w:p w14:paraId="46B877B7" w14:textId="77777777" w:rsidR="00611DFA" w:rsidRDefault="00611DFA" w:rsidP="00A972E1">
      <w:pPr>
        <w:ind w:left="0" w:firstLine="0"/>
        <w:rPr>
          <w:rFonts w:asciiTheme="minorHAnsi" w:hAnsiTheme="minorHAnsi" w:cstheme="minorHAnsi"/>
          <w:color w:val="000000"/>
          <w:highlight w:val="yellow"/>
          <w:lang w:val="fr-CH"/>
        </w:rPr>
      </w:pPr>
    </w:p>
    <w:p w14:paraId="5D1402A0" w14:textId="5C713613" w:rsidR="00807DCF" w:rsidRPr="00837EF0" w:rsidRDefault="00950A4A" w:rsidP="00A972E1">
      <w:pPr>
        <w:ind w:left="0" w:firstLine="0"/>
        <w:rPr>
          <w:rFonts w:asciiTheme="minorHAnsi" w:hAnsiTheme="minorHAnsi" w:cstheme="minorHAnsi"/>
          <w:color w:val="000000"/>
          <w:lang w:val="fr-CH"/>
        </w:rPr>
      </w:pPr>
      <w:r w:rsidRPr="00A41CE3">
        <w:rPr>
          <w:rFonts w:asciiTheme="minorHAnsi" w:hAnsiTheme="minorHAnsi" w:cstheme="minorHAnsi"/>
          <w:color w:val="000000"/>
          <w:lang w:val="fr-CH"/>
        </w:rPr>
        <w:t>Compte tenu de leur variété, les activités de CESP nécessitent tout un éventail de compétences</w:t>
      </w:r>
      <w:r w:rsidR="00A41CE3" w:rsidRPr="00A41CE3">
        <w:rPr>
          <w:rFonts w:asciiTheme="minorHAnsi" w:hAnsiTheme="minorHAnsi" w:cstheme="minorHAnsi"/>
          <w:color w:val="000000"/>
          <w:lang w:val="fr-CH"/>
        </w:rPr>
        <w:t xml:space="preserve"> qui</w:t>
      </w:r>
      <w:r w:rsidR="00330AF6" w:rsidRPr="00A41CE3">
        <w:rPr>
          <w:rFonts w:asciiTheme="minorHAnsi" w:hAnsiTheme="minorHAnsi" w:cstheme="minorHAnsi"/>
          <w:color w:val="000000"/>
          <w:lang w:val="fr-CH"/>
        </w:rPr>
        <w:t xml:space="preserve"> </w:t>
      </w:r>
      <w:r w:rsidRPr="00A41CE3">
        <w:rPr>
          <w:rFonts w:asciiTheme="minorHAnsi" w:hAnsiTheme="minorHAnsi" w:cstheme="minorHAnsi"/>
          <w:color w:val="000000"/>
          <w:lang w:val="fr-CH"/>
        </w:rPr>
        <w:t>doivent se trouver reflétées dans la</w:t>
      </w:r>
      <w:r w:rsidR="00330AF6" w:rsidRPr="00A41CE3">
        <w:rPr>
          <w:rFonts w:asciiTheme="minorHAnsi" w:hAnsiTheme="minorHAnsi" w:cstheme="minorHAnsi"/>
          <w:color w:val="000000"/>
          <w:lang w:val="fr-CH"/>
        </w:rPr>
        <w:t xml:space="preserve"> composition </w:t>
      </w:r>
      <w:r w:rsidRPr="00A41CE3">
        <w:rPr>
          <w:rFonts w:asciiTheme="minorHAnsi" w:hAnsiTheme="minorHAnsi" w:cstheme="minorHAnsi"/>
          <w:color w:val="000000"/>
          <w:lang w:val="fr-CH"/>
        </w:rPr>
        <w:t>du Groupe</w:t>
      </w:r>
      <w:r w:rsidR="00330AF6" w:rsidRPr="00A41CE3">
        <w:rPr>
          <w:rFonts w:asciiTheme="minorHAnsi" w:hAnsiTheme="minorHAnsi" w:cstheme="minorHAnsi"/>
          <w:color w:val="000000"/>
          <w:lang w:val="fr-CH"/>
        </w:rPr>
        <w:t xml:space="preserve">. </w:t>
      </w:r>
      <w:r w:rsidRPr="00A41CE3">
        <w:rPr>
          <w:rFonts w:asciiTheme="minorHAnsi" w:hAnsiTheme="minorHAnsi" w:cstheme="minorHAnsi"/>
          <w:color w:val="000000"/>
          <w:lang w:val="fr-CH"/>
        </w:rPr>
        <w:t xml:space="preserve">La composition du Groupe devrait </w:t>
      </w:r>
      <w:r w:rsidR="00A41CE3" w:rsidRPr="00A41CE3">
        <w:rPr>
          <w:rFonts w:asciiTheme="minorHAnsi" w:hAnsiTheme="minorHAnsi" w:cstheme="minorHAnsi"/>
          <w:color w:val="000000"/>
          <w:lang w:val="fr-CH"/>
        </w:rPr>
        <w:t>refléter de façon équilibrée l’ensemble des régions de la Convention</w:t>
      </w:r>
      <w:r w:rsidR="00330AF6" w:rsidRPr="00A41CE3">
        <w:rPr>
          <w:rFonts w:asciiTheme="minorHAnsi" w:hAnsiTheme="minorHAnsi" w:cstheme="minorHAnsi"/>
          <w:color w:val="000000"/>
          <w:lang w:val="fr-CH"/>
        </w:rPr>
        <w:t>.</w:t>
      </w:r>
      <w:r w:rsidR="00807DCF" w:rsidRPr="00A41CE3">
        <w:rPr>
          <w:rFonts w:asciiTheme="minorHAnsi" w:hAnsiTheme="minorHAnsi" w:cstheme="minorHAnsi"/>
          <w:color w:val="000000"/>
          <w:lang w:val="fr-CH"/>
        </w:rPr>
        <w:t xml:space="preserve"> </w:t>
      </w:r>
      <w:r w:rsidRPr="00A41CE3">
        <w:rPr>
          <w:rFonts w:asciiTheme="minorHAnsi" w:hAnsiTheme="minorHAnsi" w:cstheme="minorHAnsi"/>
          <w:color w:val="000000"/>
          <w:lang w:val="fr-CH"/>
        </w:rPr>
        <w:t xml:space="preserve">Pour </w:t>
      </w:r>
      <w:r w:rsidR="00A41CE3" w:rsidRPr="00A41CE3">
        <w:rPr>
          <w:rFonts w:asciiTheme="minorHAnsi" w:hAnsiTheme="minorHAnsi" w:cstheme="minorHAnsi"/>
          <w:color w:val="000000"/>
          <w:lang w:val="fr-CH"/>
        </w:rPr>
        <w:t>préserver</w:t>
      </w:r>
      <w:r w:rsidRPr="00A41CE3">
        <w:rPr>
          <w:rFonts w:asciiTheme="minorHAnsi" w:hAnsiTheme="minorHAnsi" w:cstheme="minorHAnsi"/>
          <w:color w:val="000000"/>
          <w:lang w:val="fr-CH"/>
        </w:rPr>
        <w:t xml:space="preserve"> la mémoire institutionnelle du Groupe, il est recommandé qu’au moins un de ses membres ait déjà siégé au Groupe pendant la précédente période triennale</w:t>
      </w:r>
      <w:r w:rsidR="00807DCF" w:rsidRPr="00A41CE3">
        <w:rPr>
          <w:rFonts w:asciiTheme="minorHAnsi" w:hAnsiTheme="minorHAnsi" w:cstheme="minorHAnsi"/>
          <w:color w:val="000000"/>
          <w:lang w:val="fr-CH"/>
        </w:rPr>
        <w:t xml:space="preserve">. </w:t>
      </w:r>
      <w:r w:rsidR="006D667E" w:rsidRPr="00A41CE3">
        <w:rPr>
          <w:rFonts w:asciiTheme="minorHAnsi" w:hAnsiTheme="minorHAnsi" w:cstheme="minorHAnsi"/>
          <w:color w:val="000000"/>
          <w:lang w:val="fr-CH"/>
        </w:rPr>
        <w:t>Le Groupe peut inviter d’autres experts de CESP selon les besoins.</w:t>
      </w:r>
      <w:r w:rsidR="00F56F30" w:rsidRPr="00837EF0">
        <w:rPr>
          <w:rFonts w:asciiTheme="minorHAnsi" w:hAnsiTheme="minorHAnsi" w:cstheme="minorHAnsi"/>
          <w:color w:val="000000"/>
          <w:lang w:val="fr-CH"/>
        </w:rPr>
        <w:t xml:space="preserve"> </w:t>
      </w:r>
    </w:p>
    <w:p w14:paraId="63B58C2A" w14:textId="77777777" w:rsidR="00330AF6" w:rsidRPr="00837EF0" w:rsidRDefault="00330AF6" w:rsidP="00807DCF">
      <w:pPr>
        <w:ind w:left="0" w:firstLine="0"/>
        <w:contextualSpacing/>
        <w:rPr>
          <w:rFonts w:asciiTheme="minorHAnsi" w:hAnsiTheme="minorHAnsi" w:cstheme="minorHAnsi"/>
          <w:color w:val="000000"/>
          <w:lang w:val="fr-CH"/>
        </w:rPr>
      </w:pPr>
    </w:p>
    <w:p w14:paraId="46CF1182" w14:textId="1EAD462E" w:rsidR="00330AF6" w:rsidRPr="00837EF0" w:rsidRDefault="006D667E" w:rsidP="00330AF6">
      <w:pPr>
        <w:ind w:left="426" w:hanging="426"/>
        <w:contextualSpacing/>
        <w:rPr>
          <w:rFonts w:asciiTheme="minorHAnsi" w:hAnsiTheme="minorHAnsi" w:cstheme="minorHAnsi"/>
          <w:color w:val="000000"/>
          <w:lang w:val="fr-CH"/>
        </w:rPr>
      </w:pPr>
      <w:r>
        <w:rPr>
          <w:rFonts w:asciiTheme="minorHAnsi" w:hAnsiTheme="minorHAnsi" w:cstheme="minorHAnsi"/>
          <w:color w:val="000000"/>
          <w:lang w:val="fr-CH"/>
        </w:rPr>
        <w:t>Les membres du Groupe devraient comprendre :</w:t>
      </w:r>
      <w:r w:rsidR="00330AF6" w:rsidRPr="00837EF0">
        <w:rPr>
          <w:rFonts w:asciiTheme="minorHAnsi" w:hAnsiTheme="minorHAnsi" w:cstheme="minorHAnsi"/>
          <w:color w:val="000000"/>
          <w:lang w:val="fr-CH"/>
        </w:rPr>
        <w:t xml:space="preserve"> </w:t>
      </w:r>
    </w:p>
    <w:p w14:paraId="10DF716F" w14:textId="77777777" w:rsidR="00330AF6" w:rsidRPr="00837EF0" w:rsidRDefault="00330AF6" w:rsidP="00BB564F">
      <w:pPr>
        <w:ind w:left="426" w:hanging="426"/>
        <w:contextualSpacing/>
        <w:rPr>
          <w:rFonts w:asciiTheme="minorHAnsi" w:hAnsiTheme="minorHAnsi" w:cstheme="minorHAnsi"/>
          <w:color w:val="000000"/>
          <w:lang w:val="fr-CH"/>
        </w:rPr>
      </w:pPr>
    </w:p>
    <w:p w14:paraId="56F7657E" w14:textId="3F4BE13B" w:rsidR="00330AF6" w:rsidRPr="00837EF0" w:rsidRDefault="00BB564F" w:rsidP="00BB564F">
      <w:pPr>
        <w:pStyle w:val="NoSpacing"/>
        <w:ind w:left="426" w:hanging="426"/>
        <w:rPr>
          <w:lang w:val="fr-CH"/>
        </w:rPr>
      </w:pPr>
      <w:r w:rsidRPr="00837EF0">
        <w:rPr>
          <w:lang w:val="fr-CH"/>
        </w:rPr>
        <w:t>i</w:t>
      </w:r>
      <w:r w:rsidR="00837EF0">
        <w:rPr>
          <w:lang w:val="fr-CH"/>
        </w:rPr>
        <w:t>)</w:t>
      </w:r>
      <w:r w:rsidRPr="00837EF0">
        <w:rPr>
          <w:lang w:val="fr-CH"/>
        </w:rPr>
        <w:tab/>
      </w:r>
      <w:r w:rsidR="004108F3" w:rsidRPr="00990377">
        <w:rPr>
          <w:lang w:val="fr-CH"/>
        </w:rPr>
        <w:t xml:space="preserve">le </w:t>
      </w:r>
      <w:r w:rsidR="00C061D6" w:rsidRPr="00990377">
        <w:rPr>
          <w:lang w:val="fr-CH"/>
        </w:rPr>
        <w:t xml:space="preserve">président ou le </w:t>
      </w:r>
      <w:r w:rsidR="00A41CE3" w:rsidRPr="00990377">
        <w:rPr>
          <w:lang w:val="fr-CH"/>
        </w:rPr>
        <w:t>v</w:t>
      </w:r>
      <w:r w:rsidR="004108F3" w:rsidRPr="00990377">
        <w:rPr>
          <w:lang w:val="fr-CH"/>
        </w:rPr>
        <w:t>ice</w:t>
      </w:r>
      <w:r w:rsidR="004108F3">
        <w:rPr>
          <w:lang w:val="fr-CH"/>
        </w:rPr>
        <w:t>-</w:t>
      </w:r>
      <w:r w:rsidR="00A41CE3">
        <w:rPr>
          <w:lang w:val="fr-CH"/>
        </w:rPr>
        <w:t>p</w:t>
      </w:r>
      <w:r w:rsidR="004108F3">
        <w:rPr>
          <w:lang w:val="fr-CH"/>
        </w:rPr>
        <w:t>résident du Comité permanent</w:t>
      </w:r>
      <w:r w:rsidR="00990377">
        <w:rPr>
          <w:lang w:val="fr-CH"/>
        </w:rPr>
        <w:t> ;</w:t>
      </w:r>
      <w:r w:rsidR="00611DFA">
        <w:rPr>
          <w:strike/>
          <w:lang w:val="fr-CH"/>
        </w:rPr>
        <w:t xml:space="preserve"> </w:t>
      </w:r>
    </w:p>
    <w:p w14:paraId="6BFD80EA" w14:textId="48E6E54A" w:rsidR="00330AF6" w:rsidRPr="00837EF0" w:rsidRDefault="00BB564F" w:rsidP="00BB564F">
      <w:pPr>
        <w:pStyle w:val="NoSpacing"/>
        <w:ind w:left="426" w:hanging="426"/>
        <w:rPr>
          <w:lang w:val="fr-CH"/>
        </w:rPr>
      </w:pPr>
      <w:r w:rsidRPr="00837EF0">
        <w:rPr>
          <w:lang w:val="fr-CH"/>
        </w:rPr>
        <w:lastRenderedPageBreak/>
        <w:t>ii</w:t>
      </w:r>
      <w:r w:rsidR="00837EF0">
        <w:rPr>
          <w:lang w:val="fr-CH"/>
        </w:rPr>
        <w:t>)</w:t>
      </w:r>
      <w:r w:rsidRPr="00837EF0">
        <w:rPr>
          <w:lang w:val="fr-CH"/>
        </w:rPr>
        <w:tab/>
      </w:r>
      <w:r w:rsidR="00611DFA">
        <w:rPr>
          <w:lang w:val="fr-CH"/>
        </w:rPr>
        <w:t xml:space="preserve">deux Correspondants gouvernementaux CESP ; </w:t>
      </w:r>
    </w:p>
    <w:p w14:paraId="774791A8" w14:textId="53B035F7" w:rsidR="00330AF6" w:rsidRPr="00837EF0" w:rsidRDefault="00C061D6" w:rsidP="00BB564F">
      <w:pPr>
        <w:pStyle w:val="NoSpacing"/>
        <w:ind w:left="426" w:hanging="426"/>
        <w:rPr>
          <w:lang w:val="fr-CH"/>
        </w:rPr>
      </w:pPr>
      <w:r>
        <w:rPr>
          <w:rFonts w:asciiTheme="minorHAnsi" w:hAnsiTheme="minorHAnsi" w:cstheme="minorHAnsi"/>
          <w:color w:val="000000"/>
          <w:lang w:val="fr-CH"/>
        </w:rPr>
        <w:t>iii</w:t>
      </w:r>
      <w:r w:rsidR="00837EF0">
        <w:rPr>
          <w:rFonts w:asciiTheme="minorHAnsi" w:hAnsiTheme="minorHAnsi" w:cstheme="minorHAnsi"/>
          <w:color w:val="000000"/>
          <w:lang w:val="fr-CH"/>
        </w:rPr>
        <w:t>)</w:t>
      </w:r>
      <w:r w:rsidR="00BB564F" w:rsidRPr="00837EF0">
        <w:rPr>
          <w:rFonts w:asciiTheme="minorHAnsi" w:hAnsiTheme="minorHAnsi" w:cstheme="minorHAnsi"/>
          <w:color w:val="000000"/>
          <w:lang w:val="fr-CH"/>
        </w:rPr>
        <w:tab/>
      </w:r>
      <w:r w:rsidR="00611DFA">
        <w:rPr>
          <w:rFonts w:asciiTheme="minorHAnsi" w:hAnsiTheme="minorHAnsi" w:cstheme="minorHAnsi"/>
          <w:color w:val="000000"/>
          <w:lang w:val="fr-CH"/>
        </w:rPr>
        <w:t xml:space="preserve">deux Correspondants ONG CESP ; </w:t>
      </w:r>
    </w:p>
    <w:p w14:paraId="0FABD597" w14:textId="0BC3F6EE" w:rsidR="00330AF6" w:rsidRPr="00837EF0" w:rsidRDefault="00C061D6" w:rsidP="00BB564F">
      <w:pPr>
        <w:pStyle w:val="NoSpacing"/>
        <w:ind w:left="426" w:hanging="426"/>
        <w:rPr>
          <w:lang w:val="fr-CH"/>
        </w:rPr>
      </w:pPr>
      <w:r>
        <w:rPr>
          <w:lang w:val="fr-CH"/>
        </w:rPr>
        <w:t>i</w:t>
      </w:r>
      <w:r w:rsidR="00BB564F" w:rsidRPr="00837EF0">
        <w:rPr>
          <w:lang w:val="fr-CH"/>
        </w:rPr>
        <w:t>v</w:t>
      </w:r>
      <w:r w:rsidR="00837EF0">
        <w:rPr>
          <w:lang w:val="fr-CH"/>
        </w:rPr>
        <w:t>)</w:t>
      </w:r>
      <w:r w:rsidR="00BB564F" w:rsidRPr="00837EF0">
        <w:rPr>
          <w:lang w:val="fr-CH"/>
        </w:rPr>
        <w:tab/>
      </w:r>
      <w:r w:rsidR="00611DFA">
        <w:rPr>
          <w:lang w:val="fr-CH"/>
        </w:rPr>
        <w:t xml:space="preserve">le </w:t>
      </w:r>
      <w:r w:rsidR="00A41CE3">
        <w:rPr>
          <w:lang w:val="fr-CH"/>
        </w:rPr>
        <w:t>v</w:t>
      </w:r>
      <w:r w:rsidR="00611DFA">
        <w:rPr>
          <w:lang w:val="fr-CH"/>
        </w:rPr>
        <w:t>ice-</w:t>
      </w:r>
      <w:r w:rsidR="00A41CE3">
        <w:rPr>
          <w:lang w:val="fr-CH"/>
        </w:rPr>
        <w:t>p</w:t>
      </w:r>
      <w:r w:rsidR="00611DFA">
        <w:rPr>
          <w:lang w:val="fr-CH"/>
        </w:rPr>
        <w:t>résident du GEST (ou un représentant du GEST) ;</w:t>
      </w:r>
    </w:p>
    <w:p w14:paraId="4E2DC990" w14:textId="77E4D1D0" w:rsidR="00330AF6" w:rsidRPr="00837EF0" w:rsidRDefault="00BB564F" w:rsidP="00BB564F">
      <w:pPr>
        <w:pStyle w:val="NoSpacing"/>
        <w:ind w:left="426" w:hanging="426"/>
        <w:rPr>
          <w:lang w:val="fr-CH"/>
        </w:rPr>
      </w:pPr>
      <w:r w:rsidRPr="00837EF0">
        <w:rPr>
          <w:rFonts w:asciiTheme="minorHAnsi" w:hAnsiTheme="minorHAnsi" w:cstheme="minorHAnsi"/>
          <w:color w:val="000000"/>
          <w:lang w:val="fr-CH"/>
        </w:rPr>
        <w:t>v</w:t>
      </w:r>
      <w:r w:rsidR="00837EF0">
        <w:rPr>
          <w:rFonts w:asciiTheme="minorHAnsi" w:hAnsiTheme="minorHAnsi" w:cstheme="minorHAnsi"/>
          <w:color w:val="000000"/>
          <w:lang w:val="fr-CH"/>
        </w:rPr>
        <w:t>)</w:t>
      </w:r>
      <w:r w:rsidRPr="00837EF0">
        <w:rPr>
          <w:rFonts w:asciiTheme="minorHAnsi" w:hAnsiTheme="minorHAnsi" w:cstheme="minorHAnsi"/>
          <w:color w:val="000000"/>
          <w:lang w:val="fr-CH"/>
        </w:rPr>
        <w:tab/>
      </w:r>
      <w:r w:rsidR="00611DFA">
        <w:rPr>
          <w:rFonts w:asciiTheme="minorHAnsi" w:hAnsiTheme="minorHAnsi" w:cstheme="minorHAnsi"/>
          <w:color w:val="000000"/>
          <w:lang w:val="fr-CH"/>
        </w:rPr>
        <w:t>les Organisations internationales partenaires choisiront un représentant qui assurera la liaison entre le Groupe et les six OIP ;</w:t>
      </w:r>
    </w:p>
    <w:p w14:paraId="4D9A6CA2" w14:textId="20521219" w:rsidR="00330AF6" w:rsidRPr="00837EF0" w:rsidRDefault="00BB564F" w:rsidP="00BB564F">
      <w:pPr>
        <w:pStyle w:val="NoSpacing"/>
        <w:ind w:left="426" w:hanging="426"/>
        <w:rPr>
          <w:lang w:val="fr-CH"/>
        </w:rPr>
      </w:pPr>
      <w:r w:rsidRPr="00837EF0">
        <w:rPr>
          <w:rFonts w:asciiTheme="minorHAnsi" w:hAnsiTheme="minorHAnsi" w:cstheme="minorHAnsi"/>
          <w:color w:val="000000"/>
          <w:lang w:val="fr-CH"/>
        </w:rPr>
        <w:t>v</w:t>
      </w:r>
      <w:r w:rsidR="00881703">
        <w:rPr>
          <w:rFonts w:asciiTheme="minorHAnsi" w:hAnsiTheme="minorHAnsi" w:cstheme="minorHAnsi"/>
          <w:color w:val="000000"/>
          <w:lang w:val="fr-CH"/>
        </w:rPr>
        <w:t>i</w:t>
      </w:r>
      <w:r w:rsidR="00837EF0">
        <w:rPr>
          <w:rFonts w:asciiTheme="minorHAnsi" w:hAnsiTheme="minorHAnsi" w:cstheme="minorHAnsi"/>
          <w:color w:val="000000"/>
          <w:lang w:val="fr-CH"/>
        </w:rPr>
        <w:t>)</w:t>
      </w:r>
      <w:r w:rsidRPr="00837EF0">
        <w:rPr>
          <w:rFonts w:asciiTheme="minorHAnsi" w:hAnsiTheme="minorHAnsi" w:cstheme="minorHAnsi"/>
          <w:color w:val="000000"/>
          <w:lang w:val="fr-CH"/>
        </w:rPr>
        <w:tab/>
      </w:r>
      <w:r w:rsidR="00611DFA">
        <w:rPr>
          <w:rFonts w:asciiTheme="minorHAnsi" w:hAnsiTheme="minorHAnsi" w:cstheme="minorHAnsi"/>
          <w:color w:val="000000"/>
          <w:lang w:val="fr-CH"/>
        </w:rPr>
        <w:t>un représentant de la jeunesse ;</w:t>
      </w:r>
    </w:p>
    <w:p w14:paraId="6D02D522" w14:textId="078D148A" w:rsidR="00F56F30" w:rsidRPr="00837EF0" w:rsidRDefault="00221A6D" w:rsidP="00F56F30">
      <w:pPr>
        <w:ind w:left="426" w:hanging="426"/>
        <w:rPr>
          <w:rFonts w:asciiTheme="minorHAnsi" w:hAnsiTheme="minorHAnsi" w:cstheme="minorHAnsi"/>
          <w:lang w:val="fr-CH"/>
        </w:rPr>
      </w:pPr>
      <w:r w:rsidRPr="00837EF0">
        <w:rPr>
          <w:rFonts w:asciiTheme="minorHAnsi" w:hAnsiTheme="minorHAnsi" w:cstheme="minorHAnsi"/>
          <w:color w:val="000000"/>
          <w:lang w:val="fr-CH"/>
        </w:rPr>
        <w:t>vi</w:t>
      </w:r>
      <w:r w:rsidR="00881703">
        <w:rPr>
          <w:rFonts w:asciiTheme="minorHAnsi" w:hAnsiTheme="minorHAnsi" w:cstheme="minorHAnsi"/>
          <w:color w:val="000000"/>
          <w:lang w:val="fr-CH"/>
        </w:rPr>
        <w:t>i</w:t>
      </w:r>
      <w:r w:rsidR="00837EF0">
        <w:rPr>
          <w:rFonts w:asciiTheme="minorHAnsi" w:hAnsiTheme="minorHAnsi" w:cstheme="minorHAnsi"/>
          <w:color w:val="000000"/>
          <w:lang w:val="fr-CH"/>
        </w:rPr>
        <w:t>)</w:t>
      </w:r>
      <w:r w:rsidR="00BB564F" w:rsidRPr="00837EF0">
        <w:rPr>
          <w:rFonts w:asciiTheme="minorHAnsi" w:hAnsiTheme="minorHAnsi" w:cstheme="minorHAnsi"/>
          <w:color w:val="000000"/>
          <w:lang w:val="fr-CH"/>
        </w:rPr>
        <w:tab/>
      </w:r>
      <w:r w:rsidR="00611DFA">
        <w:rPr>
          <w:rFonts w:asciiTheme="minorHAnsi" w:hAnsiTheme="minorHAnsi" w:cstheme="minorHAnsi"/>
          <w:color w:val="000000"/>
          <w:lang w:val="fr-CH"/>
        </w:rPr>
        <w:t xml:space="preserve">un représentant des peuples autochtones ; </w:t>
      </w:r>
    </w:p>
    <w:p w14:paraId="7E47C501" w14:textId="508BF1BF" w:rsidR="00330AF6" w:rsidRPr="00F31EFE" w:rsidRDefault="00C061D6" w:rsidP="00BB564F">
      <w:pPr>
        <w:pStyle w:val="NoSpacing"/>
        <w:ind w:left="426" w:hanging="426"/>
        <w:rPr>
          <w:lang w:val="fr-CH"/>
        </w:rPr>
      </w:pPr>
      <w:r>
        <w:rPr>
          <w:lang w:val="fr-CH"/>
        </w:rPr>
        <w:t>viii</w:t>
      </w:r>
      <w:r w:rsidR="00837EF0" w:rsidRPr="00F31EFE">
        <w:rPr>
          <w:lang w:val="fr-CH"/>
        </w:rPr>
        <w:t>)</w:t>
      </w:r>
      <w:r w:rsidR="00BB564F" w:rsidRPr="00F31EFE">
        <w:rPr>
          <w:lang w:val="fr-CH"/>
        </w:rPr>
        <w:tab/>
      </w:r>
      <w:r w:rsidR="00611DFA" w:rsidRPr="00F31EFE">
        <w:rPr>
          <w:lang w:val="fr-CH"/>
        </w:rPr>
        <w:t>des Parties contractantes (une par région</w:t>
      </w:r>
      <w:r>
        <w:rPr>
          <w:lang w:val="fr-CH"/>
        </w:rPr>
        <w:t xml:space="preserve">, </w:t>
      </w:r>
      <w:r w:rsidRPr="00990377">
        <w:rPr>
          <w:lang w:val="fr-CH"/>
        </w:rPr>
        <w:t>différente de toute autre représentation régionale des membres énumérés ci-dessus</w:t>
      </w:r>
      <w:r w:rsidR="00611DFA" w:rsidRPr="00990377">
        <w:rPr>
          <w:lang w:val="fr-CH"/>
        </w:rPr>
        <w:t>)</w:t>
      </w:r>
      <w:r w:rsidR="00611DFA" w:rsidRPr="00F31EFE">
        <w:rPr>
          <w:lang w:val="fr-CH"/>
        </w:rPr>
        <w:t> ;</w:t>
      </w:r>
    </w:p>
    <w:p w14:paraId="225DB1B9" w14:textId="641F35B4" w:rsidR="009342B4" w:rsidRPr="00837EF0" w:rsidRDefault="00B351C9" w:rsidP="00BB564F">
      <w:pPr>
        <w:pStyle w:val="NoSpacing"/>
        <w:ind w:left="426" w:hanging="426"/>
        <w:rPr>
          <w:lang w:val="fr-CH"/>
        </w:rPr>
      </w:pPr>
      <w:r>
        <w:rPr>
          <w:lang w:val="fr-CH"/>
        </w:rPr>
        <w:t>i</w:t>
      </w:r>
      <w:r w:rsidR="00BB564F" w:rsidRPr="00F31EFE">
        <w:rPr>
          <w:lang w:val="fr-CH"/>
        </w:rPr>
        <w:t>x</w:t>
      </w:r>
      <w:r w:rsidR="00837EF0" w:rsidRPr="00F31EFE">
        <w:rPr>
          <w:lang w:val="fr-CH"/>
        </w:rPr>
        <w:t>)</w:t>
      </w:r>
      <w:r w:rsidR="00BB564F" w:rsidRPr="00837EF0">
        <w:rPr>
          <w:lang w:val="fr-CH"/>
        </w:rPr>
        <w:tab/>
      </w:r>
      <w:r w:rsidR="00611DFA">
        <w:rPr>
          <w:lang w:val="fr-CH"/>
        </w:rPr>
        <w:t xml:space="preserve">un représentant du Secrétariat de la Convention (de droit). </w:t>
      </w:r>
    </w:p>
    <w:p w14:paraId="7F77D182" w14:textId="77777777" w:rsidR="00330AF6" w:rsidRPr="00837EF0" w:rsidRDefault="00330AF6" w:rsidP="00330AF6">
      <w:pPr>
        <w:ind w:left="0" w:firstLine="0"/>
        <w:rPr>
          <w:rFonts w:asciiTheme="minorHAnsi" w:hAnsiTheme="minorHAnsi" w:cstheme="minorHAnsi"/>
          <w:color w:val="000000"/>
          <w:lang w:val="fr-CH"/>
        </w:rPr>
      </w:pPr>
    </w:p>
    <w:p w14:paraId="32AD571F" w14:textId="296A3AE7" w:rsidR="00807DCF" w:rsidRPr="00837EF0" w:rsidRDefault="00BC49F9" w:rsidP="00330AF6">
      <w:pPr>
        <w:ind w:left="0" w:firstLine="0"/>
        <w:rPr>
          <w:u w:val="single"/>
          <w:lang w:val="fr-CH"/>
        </w:rPr>
      </w:pPr>
      <w:r>
        <w:rPr>
          <w:u w:val="single"/>
          <w:lang w:val="fr-CH"/>
        </w:rPr>
        <w:t>Procédure de nomination</w:t>
      </w:r>
    </w:p>
    <w:p w14:paraId="38898EAF" w14:textId="77777777" w:rsidR="00A972E1" w:rsidRPr="00837EF0" w:rsidRDefault="00A972E1" w:rsidP="00330AF6">
      <w:pPr>
        <w:ind w:left="0" w:firstLine="0"/>
        <w:rPr>
          <w:lang w:val="fr-CH"/>
        </w:rPr>
      </w:pPr>
    </w:p>
    <w:p w14:paraId="0DF3D6EA" w14:textId="3FE9B0DF" w:rsidR="00324F5F" w:rsidRPr="00990377" w:rsidRDefault="003A3D12" w:rsidP="00330AF6">
      <w:pPr>
        <w:ind w:left="0" w:firstLine="0"/>
        <w:rPr>
          <w:lang w:val="fr-CH"/>
        </w:rPr>
      </w:pPr>
      <w:r w:rsidRPr="00990377">
        <w:rPr>
          <w:lang w:val="fr-CH"/>
        </w:rPr>
        <w:t xml:space="preserve">Il est proposé qu’une Résolution de la </w:t>
      </w:r>
      <w:r w:rsidR="00324F5F" w:rsidRPr="00990377">
        <w:rPr>
          <w:lang w:val="fr-CH"/>
        </w:rPr>
        <w:t xml:space="preserve">COP15 </w:t>
      </w:r>
      <w:r w:rsidRPr="00990377">
        <w:rPr>
          <w:lang w:val="fr-CH"/>
        </w:rPr>
        <w:t xml:space="preserve">donne </w:t>
      </w:r>
      <w:r w:rsidR="00B351C9" w:rsidRPr="00990377">
        <w:rPr>
          <w:lang w:val="fr-CH"/>
        </w:rPr>
        <w:t xml:space="preserve">d’autres </w:t>
      </w:r>
      <w:r w:rsidRPr="00990377">
        <w:rPr>
          <w:lang w:val="fr-CH"/>
        </w:rPr>
        <w:t>instruction</w:t>
      </w:r>
      <w:r w:rsidR="00B351C9" w:rsidRPr="00990377">
        <w:rPr>
          <w:lang w:val="fr-CH"/>
        </w:rPr>
        <w:t>s</w:t>
      </w:r>
      <w:r w:rsidRPr="00990377">
        <w:rPr>
          <w:lang w:val="fr-CH"/>
        </w:rPr>
        <w:t xml:space="preserve"> </w:t>
      </w:r>
      <w:r w:rsidR="00B351C9" w:rsidRPr="00990377">
        <w:rPr>
          <w:lang w:val="fr-CH"/>
        </w:rPr>
        <w:t>sur le processus de nomination en s’inspirant des orientations figurant dans l’annexe 3 de la Résolution XIV.8</w:t>
      </w:r>
      <w:r w:rsidR="00990377" w:rsidRPr="00990377">
        <w:rPr>
          <w:lang w:val="fr-CH"/>
        </w:rPr>
        <w:t>,</w:t>
      </w:r>
      <w:r w:rsidR="00B351C9" w:rsidRPr="00990377">
        <w:rPr>
          <w:lang w:val="fr-CH"/>
        </w:rPr>
        <w:t xml:space="preserve"> rappelées ci-dessous.</w:t>
      </w:r>
      <w:r w:rsidR="00324F5F" w:rsidRPr="00990377">
        <w:rPr>
          <w:lang w:val="fr-CH"/>
        </w:rPr>
        <w:t xml:space="preserve"> </w:t>
      </w:r>
    </w:p>
    <w:p w14:paraId="5E887C43" w14:textId="77777777" w:rsidR="004F23A6" w:rsidRPr="00837EF0" w:rsidRDefault="004F23A6" w:rsidP="00330AF6">
      <w:pPr>
        <w:ind w:left="0" w:firstLine="0"/>
        <w:rPr>
          <w:lang w:val="fr-CH"/>
        </w:rPr>
      </w:pPr>
    </w:p>
    <w:p w14:paraId="498E6CB2" w14:textId="3B139AC5" w:rsidR="0054343B" w:rsidRPr="00837EF0" w:rsidRDefault="005A5C8F" w:rsidP="0054343B">
      <w:pPr>
        <w:pStyle w:val="ListParagraph"/>
        <w:numPr>
          <w:ilvl w:val="0"/>
          <w:numId w:val="13"/>
        </w:numPr>
        <w:ind w:left="426" w:hanging="426"/>
        <w:rPr>
          <w:lang w:val="fr-CH"/>
        </w:rPr>
      </w:pPr>
      <w:r>
        <w:rPr>
          <w:lang w:val="fr-CH"/>
        </w:rPr>
        <w:t>Lors des réunions régionales pré</w:t>
      </w:r>
      <w:r>
        <w:rPr>
          <w:lang w:val="fr-CH"/>
        </w:rPr>
        <w:noBreakHyphen/>
        <w:t xml:space="preserve">COP, les Parties contractantes sont informées de la composition du Groupe de surveillance des activités de CESP et encouragées à </w:t>
      </w:r>
      <w:r w:rsidR="00006E3C">
        <w:rPr>
          <w:lang w:val="fr-CH"/>
        </w:rPr>
        <w:t>choisir</w:t>
      </w:r>
      <w:r>
        <w:rPr>
          <w:lang w:val="fr-CH"/>
        </w:rPr>
        <w:t xml:space="preserve"> des membres qualifiés, éventuellement intéressés.</w:t>
      </w:r>
    </w:p>
    <w:p w14:paraId="3E3E849A" w14:textId="77777777" w:rsidR="0054343B" w:rsidRPr="00837EF0" w:rsidRDefault="0054343B" w:rsidP="0054343B">
      <w:pPr>
        <w:ind w:left="0" w:firstLine="0"/>
        <w:rPr>
          <w:lang w:val="fr-CH"/>
        </w:rPr>
      </w:pPr>
    </w:p>
    <w:p w14:paraId="5D08374F" w14:textId="7A158144" w:rsidR="00DF400A" w:rsidRPr="00990377" w:rsidRDefault="00B351C9" w:rsidP="00A954C8">
      <w:pPr>
        <w:pStyle w:val="ListParagraph"/>
        <w:numPr>
          <w:ilvl w:val="0"/>
          <w:numId w:val="13"/>
        </w:numPr>
        <w:ind w:left="426" w:hanging="426"/>
        <w:rPr>
          <w:lang w:val="fr-CH"/>
        </w:rPr>
      </w:pPr>
      <w:r w:rsidRPr="00990377">
        <w:rPr>
          <w:lang w:val="fr-CH"/>
        </w:rPr>
        <w:t>Quatre mois</w:t>
      </w:r>
      <w:r w:rsidR="005A5C8F" w:rsidRPr="00990377">
        <w:rPr>
          <w:lang w:val="fr-CH"/>
        </w:rPr>
        <w:t xml:space="preserve"> avant la COP, le Secrétariat lance un appel à nomination à toutes les Parties contractantes pour les catégories suivantes :</w:t>
      </w:r>
    </w:p>
    <w:p w14:paraId="1F3EA732" w14:textId="0FDF4CFD" w:rsidR="00DF400A" w:rsidRPr="00990377" w:rsidRDefault="005A5C8F" w:rsidP="00A954C8">
      <w:pPr>
        <w:pStyle w:val="ListParagraph"/>
        <w:numPr>
          <w:ilvl w:val="1"/>
          <w:numId w:val="13"/>
        </w:numPr>
        <w:ind w:left="851" w:hanging="425"/>
        <w:rPr>
          <w:lang w:val="fr-CH"/>
        </w:rPr>
      </w:pPr>
      <w:r w:rsidRPr="00990377">
        <w:rPr>
          <w:lang w:val="fr-CH"/>
        </w:rPr>
        <w:t>Correspondant gouvernemental CESP ;</w:t>
      </w:r>
    </w:p>
    <w:p w14:paraId="41A0E64E" w14:textId="60A2CA56" w:rsidR="00DF400A" w:rsidRPr="00990377" w:rsidRDefault="005A5C8F" w:rsidP="00A954C8">
      <w:pPr>
        <w:pStyle w:val="ListParagraph"/>
        <w:numPr>
          <w:ilvl w:val="1"/>
          <w:numId w:val="13"/>
        </w:numPr>
        <w:ind w:left="851" w:hanging="425"/>
        <w:rPr>
          <w:lang w:val="fr-CH"/>
        </w:rPr>
      </w:pPr>
      <w:r w:rsidRPr="00990377">
        <w:rPr>
          <w:lang w:val="fr-CH"/>
        </w:rPr>
        <w:t>Correspondant ONG CESP ;</w:t>
      </w:r>
    </w:p>
    <w:p w14:paraId="54B02091" w14:textId="0BFD7090" w:rsidR="00DF400A" w:rsidRPr="00990377" w:rsidRDefault="005A5C8F" w:rsidP="00A954C8">
      <w:pPr>
        <w:pStyle w:val="ListParagraph"/>
        <w:numPr>
          <w:ilvl w:val="1"/>
          <w:numId w:val="13"/>
        </w:numPr>
        <w:ind w:left="851" w:hanging="425"/>
        <w:rPr>
          <w:lang w:val="fr-CH"/>
        </w:rPr>
      </w:pPr>
      <w:r w:rsidRPr="00990377">
        <w:rPr>
          <w:lang w:val="fr-CH"/>
        </w:rPr>
        <w:t>Représentant des peuples autochtones ; et</w:t>
      </w:r>
    </w:p>
    <w:p w14:paraId="3499713F" w14:textId="0541F8A1" w:rsidR="0054343B" w:rsidRPr="00990377" w:rsidRDefault="005A5C8F" w:rsidP="0054343B">
      <w:pPr>
        <w:pStyle w:val="ListParagraph"/>
        <w:numPr>
          <w:ilvl w:val="1"/>
          <w:numId w:val="13"/>
        </w:numPr>
        <w:ind w:left="851" w:hanging="425"/>
        <w:rPr>
          <w:lang w:val="fr-CH"/>
        </w:rPr>
      </w:pPr>
      <w:r w:rsidRPr="00990377">
        <w:rPr>
          <w:lang w:val="fr-CH"/>
        </w:rPr>
        <w:t>Représentant de la jeunesse.</w:t>
      </w:r>
    </w:p>
    <w:p w14:paraId="66A48092" w14:textId="77777777" w:rsidR="0054343B" w:rsidRPr="00990377" w:rsidRDefault="0054343B" w:rsidP="0054343B">
      <w:pPr>
        <w:pStyle w:val="ListParagraph"/>
        <w:ind w:left="0" w:firstLine="0"/>
        <w:rPr>
          <w:lang w:val="fr-CH"/>
        </w:rPr>
      </w:pPr>
    </w:p>
    <w:p w14:paraId="7F5214F5" w14:textId="67990517" w:rsidR="00196532" w:rsidRPr="00990377" w:rsidRDefault="00B351C9" w:rsidP="00A954C8">
      <w:pPr>
        <w:pStyle w:val="ListParagraph"/>
        <w:numPr>
          <w:ilvl w:val="0"/>
          <w:numId w:val="13"/>
        </w:numPr>
        <w:ind w:left="426" w:hanging="426"/>
        <w:rPr>
          <w:lang w:val="fr-CH"/>
        </w:rPr>
      </w:pPr>
      <w:r w:rsidRPr="00990377">
        <w:rPr>
          <w:lang w:val="fr-CH"/>
        </w:rPr>
        <w:t xml:space="preserve">Quatre mois </w:t>
      </w:r>
      <w:r w:rsidR="005A5C8F" w:rsidRPr="00990377">
        <w:rPr>
          <w:lang w:val="fr-CH"/>
        </w:rPr>
        <w:t xml:space="preserve">avant la COP, le Secrétariat invite les OIP à </w:t>
      </w:r>
      <w:r w:rsidR="00855898" w:rsidRPr="00990377">
        <w:rPr>
          <w:lang w:val="fr-CH"/>
        </w:rPr>
        <w:t>choisir leur</w:t>
      </w:r>
      <w:r w:rsidR="005A5C8F" w:rsidRPr="00990377">
        <w:rPr>
          <w:lang w:val="fr-CH"/>
        </w:rPr>
        <w:t xml:space="preserve"> représentant conjoint au Groupe.</w:t>
      </w:r>
    </w:p>
    <w:p w14:paraId="7E2E8E47" w14:textId="77777777" w:rsidR="0054343B" w:rsidRPr="00837EF0" w:rsidRDefault="0054343B" w:rsidP="0054343B">
      <w:pPr>
        <w:ind w:left="0" w:firstLine="0"/>
        <w:rPr>
          <w:lang w:val="fr-CH"/>
        </w:rPr>
      </w:pPr>
    </w:p>
    <w:p w14:paraId="0AFAF331" w14:textId="083CF2A2" w:rsidR="009C302C" w:rsidRPr="00837EF0" w:rsidRDefault="005A5C8F" w:rsidP="00A954C8">
      <w:pPr>
        <w:pStyle w:val="ListParagraph"/>
        <w:numPr>
          <w:ilvl w:val="0"/>
          <w:numId w:val="13"/>
        </w:numPr>
        <w:ind w:left="426" w:hanging="426"/>
        <w:rPr>
          <w:lang w:val="fr-CH"/>
        </w:rPr>
      </w:pPr>
      <w:r>
        <w:rPr>
          <w:lang w:val="fr-CH"/>
        </w:rPr>
        <w:t xml:space="preserve">Lors des réunions régionales à la COP, chaque région </w:t>
      </w:r>
      <w:r w:rsidR="00855898">
        <w:rPr>
          <w:lang w:val="fr-CH"/>
        </w:rPr>
        <w:t>sélectionne</w:t>
      </w:r>
      <w:r>
        <w:rPr>
          <w:lang w:val="fr-CH"/>
        </w:rPr>
        <w:t xml:space="preserve"> une Partie contractante de la région comme membre du Groupe.</w:t>
      </w:r>
      <w:r w:rsidR="00DF400A" w:rsidRPr="00837EF0">
        <w:rPr>
          <w:lang w:val="fr-CH"/>
        </w:rPr>
        <w:t xml:space="preserve"> </w:t>
      </w:r>
    </w:p>
    <w:p w14:paraId="517294C9" w14:textId="77777777" w:rsidR="0054343B" w:rsidRPr="00837EF0" w:rsidRDefault="0054343B" w:rsidP="0054343B">
      <w:pPr>
        <w:ind w:left="0" w:firstLine="0"/>
        <w:jc w:val="both"/>
        <w:rPr>
          <w:lang w:val="fr-CH"/>
        </w:rPr>
      </w:pPr>
    </w:p>
    <w:p w14:paraId="58505FC3" w14:textId="328691FC" w:rsidR="00196532" w:rsidRPr="00990377" w:rsidRDefault="006A3E78" w:rsidP="00A954C8">
      <w:pPr>
        <w:pStyle w:val="ListParagraph"/>
        <w:numPr>
          <w:ilvl w:val="0"/>
          <w:numId w:val="13"/>
        </w:numPr>
        <w:ind w:left="426" w:hanging="426"/>
        <w:rPr>
          <w:lang w:val="fr-CH"/>
        </w:rPr>
      </w:pPr>
      <w:r w:rsidRPr="00990377">
        <w:rPr>
          <w:lang w:val="fr-CH"/>
        </w:rPr>
        <w:t xml:space="preserve">À </w:t>
      </w:r>
      <w:r w:rsidR="00855898" w:rsidRPr="00990377">
        <w:rPr>
          <w:lang w:val="fr-CH"/>
        </w:rPr>
        <w:t>s</w:t>
      </w:r>
      <w:r w:rsidRPr="00990377">
        <w:rPr>
          <w:lang w:val="fr-CH"/>
        </w:rPr>
        <w:t xml:space="preserve">a première réunion </w:t>
      </w:r>
      <w:r w:rsidR="00855898" w:rsidRPr="00990377">
        <w:rPr>
          <w:lang w:val="fr-CH"/>
        </w:rPr>
        <w:t>suivant</w:t>
      </w:r>
      <w:r w:rsidRPr="00990377">
        <w:rPr>
          <w:lang w:val="fr-CH"/>
        </w:rPr>
        <w:t xml:space="preserve"> immédiatement la COP</w:t>
      </w:r>
      <w:r w:rsidR="00B351C9" w:rsidRPr="00990377">
        <w:rPr>
          <w:lang w:val="fr-CH"/>
        </w:rPr>
        <w:t xml:space="preserve"> ou dans la période intersessions qui suit la COP</w:t>
      </w:r>
      <w:r w:rsidRPr="00990377">
        <w:rPr>
          <w:lang w:val="fr-CH"/>
        </w:rPr>
        <w:t>, le Comité permanent approuve la composition du Groupe de surveillance des activités de CESP une fois que le</w:t>
      </w:r>
      <w:r w:rsidR="00B351C9" w:rsidRPr="00990377">
        <w:rPr>
          <w:lang w:val="fr-CH"/>
        </w:rPr>
        <w:t xml:space="preserve"> président et le</w:t>
      </w:r>
      <w:r w:rsidRPr="00990377">
        <w:rPr>
          <w:lang w:val="fr-CH"/>
        </w:rPr>
        <w:t xml:space="preserve"> </w:t>
      </w:r>
      <w:r w:rsidR="00855898" w:rsidRPr="00990377">
        <w:rPr>
          <w:lang w:val="fr-CH"/>
        </w:rPr>
        <w:t>v</w:t>
      </w:r>
      <w:r w:rsidRPr="00990377">
        <w:rPr>
          <w:lang w:val="fr-CH"/>
        </w:rPr>
        <w:t>ice</w:t>
      </w:r>
      <w:r w:rsidRPr="00990377">
        <w:rPr>
          <w:lang w:val="fr-CH"/>
        </w:rPr>
        <w:noBreakHyphen/>
      </w:r>
      <w:r w:rsidR="00855898" w:rsidRPr="00990377">
        <w:rPr>
          <w:lang w:val="fr-CH"/>
        </w:rPr>
        <w:t>p</w:t>
      </w:r>
      <w:r w:rsidRPr="00990377">
        <w:rPr>
          <w:lang w:val="fr-CH"/>
        </w:rPr>
        <w:t xml:space="preserve">résident du Comité permanent et le </w:t>
      </w:r>
      <w:r w:rsidR="00855898" w:rsidRPr="00990377">
        <w:rPr>
          <w:lang w:val="fr-CH"/>
        </w:rPr>
        <w:t>p</w:t>
      </w:r>
      <w:r w:rsidRPr="00990377">
        <w:rPr>
          <w:lang w:val="fr-CH"/>
        </w:rPr>
        <w:t>résident du Sous</w:t>
      </w:r>
      <w:r w:rsidRPr="00990377">
        <w:rPr>
          <w:lang w:val="fr-CH"/>
        </w:rPr>
        <w:noBreakHyphen/>
        <w:t xml:space="preserve">groupe sur les finances ont été élus. Pour aider le Comité permanent à déterminer la composition du Groupe, le Secrétariat présente un résumé des nominations reçues pour le Correspondant gouvernemental CESP, le Correspondant ONG CESP, le représentant des peuples autochtones et le représentant de la jeunesse. Si nécessaire, il est noté que le représentant du GEST sera </w:t>
      </w:r>
      <w:r w:rsidR="00855898" w:rsidRPr="00990377">
        <w:rPr>
          <w:lang w:val="fr-CH"/>
        </w:rPr>
        <w:t>choisi</w:t>
      </w:r>
      <w:r w:rsidRPr="00990377">
        <w:rPr>
          <w:lang w:val="fr-CH"/>
        </w:rPr>
        <w:t xml:space="preserve"> à une date ultérieure.</w:t>
      </w:r>
      <w:r w:rsidR="00196532" w:rsidRPr="00990377">
        <w:rPr>
          <w:lang w:val="fr-CH"/>
        </w:rPr>
        <w:t xml:space="preserve"> </w:t>
      </w:r>
    </w:p>
    <w:p w14:paraId="218877B9" w14:textId="77777777" w:rsidR="0054343B" w:rsidRPr="00990377" w:rsidRDefault="0054343B" w:rsidP="0054343B">
      <w:pPr>
        <w:ind w:left="0" w:firstLine="0"/>
        <w:rPr>
          <w:lang w:val="fr-CH"/>
        </w:rPr>
      </w:pPr>
    </w:p>
    <w:p w14:paraId="38772F31" w14:textId="3A5A9044" w:rsidR="000055D1" w:rsidRDefault="006A3E78" w:rsidP="00A954C8">
      <w:pPr>
        <w:pStyle w:val="ListParagraph"/>
        <w:numPr>
          <w:ilvl w:val="0"/>
          <w:numId w:val="13"/>
        </w:numPr>
        <w:ind w:left="426" w:hanging="426"/>
        <w:rPr>
          <w:lang w:val="fr-CH"/>
        </w:rPr>
      </w:pPr>
      <w:r w:rsidRPr="00990377">
        <w:rPr>
          <w:lang w:val="fr-CH"/>
        </w:rPr>
        <w:t xml:space="preserve">Dans un délai de </w:t>
      </w:r>
      <w:r w:rsidR="000055D1" w:rsidRPr="00990377">
        <w:rPr>
          <w:lang w:val="fr-CH"/>
        </w:rPr>
        <w:t>deux mois</w:t>
      </w:r>
      <w:r w:rsidRPr="00990377">
        <w:rPr>
          <w:lang w:val="fr-CH"/>
        </w:rPr>
        <w:t xml:space="preserve"> après la </w:t>
      </w:r>
      <w:r w:rsidR="00990377">
        <w:rPr>
          <w:lang w:val="fr-CH"/>
        </w:rPr>
        <w:t xml:space="preserve">clôture </w:t>
      </w:r>
      <w:r>
        <w:rPr>
          <w:lang w:val="fr-CH"/>
        </w:rPr>
        <w:t xml:space="preserve">de la COP, le Groupe de surveillance des activités de CESP tient sa première réunion en vue de sélectionner son </w:t>
      </w:r>
      <w:r w:rsidR="00855898">
        <w:rPr>
          <w:lang w:val="fr-CH"/>
        </w:rPr>
        <w:t>p</w:t>
      </w:r>
      <w:r>
        <w:rPr>
          <w:lang w:val="fr-CH"/>
        </w:rPr>
        <w:t xml:space="preserve">résident et son </w:t>
      </w:r>
      <w:r w:rsidR="00855898">
        <w:rPr>
          <w:lang w:val="fr-CH"/>
        </w:rPr>
        <w:t>v</w:t>
      </w:r>
      <w:r>
        <w:rPr>
          <w:lang w:val="fr-CH"/>
        </w:rPr>
        <w:t>ice</w:t>
      </w:r>
      <w:r>
        <w:rPr>
          <w:lang w:val="fr-CH"/>
        </w:rPr>
        <w:noBreakHyphen/>
      </w:r>
      <w:r w:rsidR="00855898">
        <w:rPr>
          <w:lang w:val="fr-CH"/>
        </w:rPr>
        <w:t>p</w:t>
      </w:r>
      <w:r>
        <w:rPr>
          <w:lang w:val="fr-CH"/>
        </w:rPr>
        <w:t xml:space="preserve">résident et </w:t>
      </w:r>
      <w:r w:rsidR="00855898">
        <w:rPr>
          <w:lang w:val="fr-CH"/>
        </w:rPr>
        <w:t>entame l’élaboration de</w:t>
      </w:r>
      <w:r>
        <w:rPr>
          <w:lang w:val="fr-CH"/>
        </w:rPr>
        <w:t xml:space="preserve"> son plan de travail pour la période triennale</w:t>
      </w:r>
      <w:r w:rsidR="00855898">
        <w:rPr>
          <w:lang w:val="fr-CH"/>
        </w:rPr>
        <w:t>,</w:t>
      </w:r>
      <w:r>
        <w:rPr>
          <w:lang w:val="fr-CH"/>
        </w:rPr>
        <w:t xml:space="preserve"> conformément aux instructions reçues de la COP.</w:t>
      </w:r>
    </w:p>
    <w:p w14:paraId="4F5A3ECB" w14:textId="77777777" w:rsidR="000055D1" w:rsidRPr="000055D1" w:rsidRDefault="000055D1" w:rsidP="000055D1">
      <w:pPr>
        <w:pStyle w:val="ListParagraph"/>
        <w:rPr>
          <w:lang w:val="fr-CH"/>
        </w:rPr>
      </w:pPr>
    </w:p>
    <w:p w14:paraId="1E76A830" w14:textId="0E0CA015" w:rsidR="00DF400A" w:rsidRPr="00990377" w:rsidRDefault="000055D1" w:rsidP="00A954C8">
      <w:pPr>
        <w:pStyle w:val="ListParagraph"/>
        <w:numPr>
          <w:ilvl w:val="0"/>
          <w:numId w:val="13"/>
        </w:numPr>
        <w:ind w:left="426" w:hanging="426"/>
        <w:rPr>
          <w:lang w:val="fr-CH"/>
        </w:rPr>
      </w:pPr>
      <w:r w:rsidRPr="00990377">
        <w:rPr>
          <w:lang w:val="fr-CH"/>
        </w:rPr>
        <w:t xml:space="preserve">La nouvelle Résolution proposée </w:t>
      </w:r>
      <w:r w:rsidR="00990377" w:rsidRPr="00990377">
        <w:rPr>
          <w:lang w:val="fr-CH"/>
        </w:rPr>
        <w:t>pour adoption à</w:t>
      </w:r>
      <w:r w:rsidRPr="00990377">
        <w:rPr>
          <w:lang w:val="fr-CH"/>
        </w:rPr>
        <w:t xml:space="preserve"> la COP15 appellerait à organiser la première réunion du nouveau Groupe de surveillance des activités de CESP dans les deux mois qui suivent la clôture de la COP plutôt qu’à la COP elle-même.   </w:t>
      </w:r>
      <w:r w:rsidR="006A3E78" w:rsidRPr="00990377">
        <w:rPr>
          <w:lang w:val="fr-CH"/>
        </w:rPr>
        <w:t xml:space="preserve"> </w:t>
      </w:r>
    </w:p>
    <w:p w14:paraId="491F05F0" w14:textId="77777777" w:rsidR="00807DCF" w:rsidRPr="00990377" w:rsidRDefault="00807DCF" w:rsidP="00330AF6">
      <w:pPr>
        <w:ind w:left="0" w:firstLine="0"/>
        <w:rPr>
          <w:rFonts w:asciiTheme="minorHAnsi" w:hAnsiTheme="minorHAnsi" w:cstheme="minorHAnsi"/>
          <w:lang w:val="fr-CH"/>
        </w:rPr>
      </w:pPr>
    </w:p>
    <w:p w14:paraId="4633B37C" w14:textId="38D9E74D" w:rsidR="00807DCF" w:rsidRPr="006A3E78" w:rsidRDefault="00D94235" w:rsidP="005D262B">
      <w:pPr>
        <w:keepNext/>
        <w:ind w:left="0" w:firstLine="0"/>
        <w:rPr>
          <w:u w:val="single"/>
          <w:lang w:val="fr-CH"/>
        </w:rPr>
      </w:pPr>
      <w:r>
        <w:rPr>
          <w:u w:val="single"/>
          <w:lang w:val="fr-CH"/>
        </w:rPr>
        <w:t>Fonctionnement</w:t>
      </w:r>
    </w:p>
    <w:p w14:paraId="2889DE19" w14:textId="77777777" w:rsidR="00A972E1" w:rsidRPr="006A3E78" w:rsidRDefault="00A972E1" w:rsidP="005D262B">
      <w:pPr>
        <w:keepNext/>
        <w:ind w:left="0" w:firstLine="0"/>
        <w:rPr>
          <w:u w:val="single"/>
          <w:lang w:val="fr-CH"/>
        </w:rPr>
      </w:pPr>
    </w:p>
    <w:p w14:paraId="48797A15" w14:textId="7C704A9E" w:rsidR="00DB3BE3" w:rsidRPr="006A3E78" w:rsidRDefault="0049430A" w:rsidP="0049430A">
      <w:pPr>
        <w:ind w:left="426" w:hanging="426"/>
        <w:rPr>
          <w:rFonts w:asciiTheme="minorHAnsi" w:hAnsiTheme="minorHAnsi" w:cstheme="minorHAnsi"/>
          <w:color w:val="000000"/>
          <w:lang w:val="fr-CH"/>
        </w:rPr>
      </w:pPr>
      <w:r w:rsidRPr="006A3E78">
        <w:rPr>
          <w:lang w:val="fr-CH"/>
        </w:rPr>
        <w:t>i</w:t>
      </w:r>
      <w:r w:rsidR="006A3E78">
        <w:rPr>
          <w:lang w:val="fr-CH"/>
        </w:rPr>
        <w:t>)</w:t>
      </w:r>
      <w:r w:rsidRPr="006A3E78">
        <w:rPr>
          <w:lang w:val="fr-CH"/>
        </w:rPr>
        <w:tab/>
      </w:r>
      <w:r w:rsidR="00D94235">
        <w:rPr>
          <w:lang w:val="fr-CH"/>
        </w:rPr>
        <w:t xml:space="preserve">La principale langue de travail du Groupe est l’anglais. Les rapports du Groupe de surveillance des activités de CESP au Comité permanent sont traduits dans les langues officielles de la Convention. </w:t>
      </w:r>
    </w:p>
    <w:p w14:paraId="11BCC00F" w14:textId="77777777" w:rsidR="0049430A" w:rsidRPr="006A3E78" w:rsidRDefault="0049430A" w:rsidP="0049430A">
      <w:pPr>
        <w:ind w:left="426" w:hanging="426"/>
        <w:rPr>
          <w:rFonts w:asciiTheme="minorHAnsi" w:hAnsiTheme="minorHAnsi" w:cstheme="minorHAnsi"/>
          <w:color w:val="000000"/>
          <w:lang w:val="fr-CH"/>
        </w:rPr>
      </w:pPr>
    </w:p>
    <w:p w14:paraId="774D4FE4" w14:textId="13D8E834" w:rsidR="00807DCF"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D94235">
        <w:rPr>
          <w:rFonts w:asciiTheme="minorHAnsi" w:hAnsiTheme="minorHAnsi" w:cstheme="minorHAnsi"/>
          <w:color w:val="000000"/>
          <w:lang w:val="fr-CH"/>
        </w:rPr>
        <w:t>Le Groupe fonctionne</w:t>
      </w:r>
      <w:r w:rsidR="00855898">
        <w:rPr>
          <w:rFonts w:asciiTheme="minorHAnsi" w:hAnsiTheme="minorHAnsi" w:cstheme="minorHAnsi"/>
          <w:color w:val="000000"/>
          <w:lang w:val="fr-CH"/>
        </w:rPr>
        <w:t>,</w:t>
      </w:r>
      <w:r w:rsidR="00D94235">
        <w:rPr>
          <w:rFonts w:asciiTheme="minorHAnsi" w:hAnsiTheme="minorHAnsi" w:cstheme="minorHAnsi"/>
          <w:color w:val="000000"/>
          <w:lang w:val="fr-CH"/>
        </w:rPr>
        <w:t xml:space="preserve"> dans toute la mesure du possible</w:t>
      </w:r>
      <w:r w:rsidR="00855898">
        <w:rPr>
          <w:rFonts w:asciiTheme="minorHAnsi" w:hAnsiTheme="minorHAnsi" w:cstheme="minorHAnsi"/>
          <w:color w:val="000000"/>
          <w:lang w:val="fr-CH"/>
        </w:rPr>
        <w:t>,</w:t>
      </w:r>
      <w:r w:rsidR="00D94235">
        <w:rPr>
          <w:rFonts w:asciiTheme="minorHAnsi" w:hAnsiTheme="minorHAnsi" w:cstheme="minorHAnsi"/>
          <w:color w:val="000000"/>
          <w:lang w:val="fr-CH"/>
        </w:rPr>
        <w:t xml:space="preserve"> par </w:t>
      </w:r>
      <w:r w:rsidR="00855898">
        <w:rPr>
          <w:rFonts w:asciiTheme="minorHAnsi" w:hAnsiTheme="minorHAnsi" w:cstheme="minorHAnsi"/>
          <w:color w:val="000000"/>
          <w:lang w:val="fr-CH"/>
        </w:rPr>
        <w:t>voie</w:t>
      </w:r>
      <w:r w:rsidR="00D94235">
        <w:rPr>
          <w:rFonts w:asciiTheme="minorHAnsi" w:hAnsiTheme="minorHAnsi" w:cstheme="minorHAnsi"/>
          <w:color w:val="000000"/>
          <w:lang w:val="fr-CH"/>
        </w:rPr>
        <w:t xml:space="preserve"> électronique (courriel, réunions </w:t>
      </w:r>
      <w:r w:rsidR="00855898">
        <w:rPr>
          <w:rFonts w:asciiTheme="minorHAnsi" w:hAnsiTheme="minorHAnsi" w:cstheme="minorHAnsi"/>
          <w:color w:val="000000"/>
          <w:lang w:val="fr-CH"/>
        </w:rPr>
        <w:t xml:space="preserve">en </w:t>
      </w:r>
      <w:r w:rsidR="00D94235">
        <w:rPr>
          <w:rFonts w:asciiTheme="minorHAnsi" w:hAnsiTheme="minorHAnsi" w:cstheme="minorHAnsi"/>
          <w:color w:val="000000"/>
          <w:lang w:val="fr-CH"/>
        </w:rPr>
        <w:t xml:space="preserve">vidéo, outils de collaboration en ligne, etc.). Si nécessaire, et si le financement le permet, le Groupe peut se réunir </w:t>
      </w:r>
      <w:r w:rsidR="00877EE7">
        <w:rPr>
          <w:rFonts w:asciiTheme="minorHAnsi" w:hAnsiTheme="minorHAnsi" w:cstheme="minorHAnsi"/>
          <w:color w:val="000000"/>
          <w:lang w:val="fr-CH"/>
        </w:rPr>
        <w:t>en présentiel durant la période triennale.</w:t>
      </w:r>
      <w:r w:rsidR="00807DCF" w:rsidRPr="006A3E78">
        <w:rPr>
          <w:rFonts w:asciiTheme="minorHAnsi" w:hAnsiTheme="minorHAnsi" w:cstheme="minorHAnsi"/>
          <w:color w:val="000000"/>
          <w:lang w:val="fr-CH"/>
        </w:rPr>
        <w:t xml:space="preserve"> </w:t>
      </w:r>
    </w:p>
    <w:p w14:paraId="70E7F9CA" w14:textId="77777777" w:rsidR="0049430A" w:rsidRPr="006A3E78" w:rsidRDefault="0049430A" w:rsidP="0049430A">
      <w:pPr>
        <w:ind w:left="426" w:hanging="426"/>
        <w:rPr>
          <w:rFonts w:asciiTheme="minorHAnsi" w:hAnsiTheme="minorHAnsi" w:cstheme="minorHAnsi"/>
          <w:color w:val="000000"/>
          <w:lang w:val="fr-CH"/>
        </w:rPr>
      </w:pPr>
    </w:p>
    <w:p w14:paraId="6BFEDCFB" w14:textId="273B62A1" w:rsidR="00DB3BE3"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iii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877EE7">
        <w:rPr>
          <w:rFonts w:asciiTheme="minorHAnsi" w:hAnsiTheme="minorHAnsi" w:cstheme="minorHAnsi"/>
          <w:color w:val="000000"/>
          <w:lang w:val="fr-CH"/>
        </w:rPr>
        <w:t>Le Groupe fait rapport sur ses activités à chaque réunion du Comité permanent.</w:t>
      </w:r>
    </w:p>
    <w:p w14:paraId="262C48D3" w14:textId="77777777" w:rsidR="0049430A" w:rsidRPr="006A3E78" w:rsidRDefault="0049430A" w:rsidP="0049430A">
      <w:pPr>
        <w:ind w:left="426" w:hanging="426"/>
        <w:rPr>
          <w:rFonts w:asciiTheme="minorHAnsi" w:hAnsiTheme="minorHAnsi" w:cstheme="minorHAnsi"/>
          <w:color w:val="000000"/>
          <w:lang w:val="fr-CH"/>
        </w:rPr>
      </w:pPr>
    </w:p>
    <w:p w14:paraId="2B706C77" w14:textId="7FB1A8ED" w:rsidR="00807DCF"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iv</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604284">
        <w:rPr>
          <w:rFonts w:asciiTheme="minorHAnsi" w:hAnsiTheme="minorHAnsi" w:cstheme="minorHAnsi"/>
          <w:color w:val="000000"/>
          <w:lang w:val="fr-CH"/>
        </w:rPr>
        <w:t>Les Correspondants gouvernementaux CESP et les Correspondants ONG CESP doivent, dans la mesure du possible et si nécessaire, consulter leurs homologues et les inviter à participer.</w:t>
      </w:r>
    </w:p>
    <w:p w14:paraId="41C0134C" w14:textId="77777777" w:rsidR="0049430A" w:rsidRPr="006A3E78" w:rsidRDefault="0049430A" w:rsidP="0049430A">
      <w:pPr>
        <w:ind w:left="426" w:hanging="426"/>
        <w:rPr>
          <w:rFonts w:asciiTheme="minorHAnsi" w:hAnsiTheme="minorHAnsi" w:cstheme="minorHAnsi"/>
          <w:color w:val="000000"/>
          <w:lang w:val="fr-CH"/>
        </w:rPr>
      </w:pPr>
    </w:p>
    <w:p w14:paraId="12FDDEA2" w14:textId="54DE1A68" w:rsidR="0058500E"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v</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604284">
        <w:rPr>
          <w:rFonts w:asciiTheme="minorHAnsi" w:hAnsiTheme="minorHAnsi" w:cstheme="minorHAnsi"/>
          <w:color w:val="000000"/>
          <w:lang w:val="fr-CH"/>
        </w:rPr>
        <w:t>Les membres du Groupe de surveillance des activités de CESP qui représentent des gouvernements sont encouragés à se joindre à des groupes de travail constitués de la Convention pour apporter des connaissances et des compétences en matière de CESP aux plans de travail des groupes.</w:t>
      </w:r>
      <w:r w:rsidR="0058500E" w:rsidRPr="006A3E78">
        <w:rPr>
          <w:rFonts w:asciiTheme="minorHAnsi" w:hAnsiTheme="minorHAnsi" w:cstheme="minorHAnsi"/>
          <w:color w:val="000000"/>
          <w:lang w:val="fr-CH"/>
        </w:rPr>
        <w:t xml:space="preserve"> </w:t>
      </w:r>
    </w:p>
    <w:p w14:paraId="3052B8AE" w14:textId="77777777" w:rsidR="00807DCF" w:rsidRPr="006A3E78" w:rsidRDefault="00807DCF" w:rsidP="00330AF6">
      <w:pPr>
        <w:ind w:left="0" w:firstLine="0"/>
        <w:rPr>
          <w:rFonts w:asciiTheme="minorHAnsi" w:hAnsiTheme="minorHAnsi" w:cstheme="minorHAnsi"/>
          <w:color w:val="000000"/>
          <w:lang w:val="fr-CH"/>
        </w:rPr>
      </w:pPr>
    </w:p>
    <w:p w14:paraId="7083BE27" w14:textId="405A27E7" w:rsidR="00807DCF" w:rsidRPr="006A3E78" w:rsidRDefault="004F6DBB" w:rsidP="00330AF6">
      <w:pPr>
        <w:ind w:left="0" w:firstLine="0"/>
        <w:rPr>
          <w:u w:val="single"/>
          <w:lang w:val="fr-CH"/>
        </w:rPr>
      </w:pPr>
      <w:r>
        <w:rPr>
          <w:u w:val="single"/>
          <w:lang w:val="fr-CH"/>
        </w:rPr>
        <w:t xml:space="preserve">Vers un programme de CESP plus stratégique, plus intégré et plus efficace </w:t>
      </w:r>
    </w:p>
    <w:p w14:paraId="209472F8" w14:textId="77777777" w:rsidR="00A972E1" w:rsidRPr="006A3E78" w:rsidRDefault="00A972E1" w:rsidP="00330AF6">
      <w:pPr>
        <w:ind w:left="0" w:firstLine="0"/>
        <w:rPr>
          <w:u w:val="single"/>
          <w:lang w:val="fr-CH"/>
        </w:rPr>
      </w:pPr>
    </w:p>
    <w:p w14:paraId="0922E14C" w14:textId="63E1F842" w:rsidR="00D915F2" w:rsidRDefault="00A235C2" w:rsidP="00691305">
      <w:pPr>
        <w:ind w:left="0" w:firstLine="0"/>
        <w:rPr>
          <w:rFonts w:asciiTheme="minorHAnsi" w:hAnsiTheme="minorHAnsi" w:cstheme="minorHAnsi"/>
          <w:lang w:val="fr-CH"/>
        </w:rPr>
      </w:pPr>
      <w:r>
        <w:rPr>
          <w:rFonts w:asciiTheme="minorHAnsi" w:hAnsiTheme="minorHAnsi" w:cstheme="minorHAnsi"/>
          <w:lang w:val="fr-CH"/>
        </w:rPr>
        <w:t xml:space="preserve">Les caractéristiques de la nouvelle approche de CESP, définies </w:t>
      </w:r>
      <w:r w:rsidR="00FB0F61">
        <w:rPr>
          <w:rFonts w:asciiTheme="minorHAnsi" w:hAnsiTheme="minorHAnsi" w:cstheme="minorHAnsi"/>
          <w:lang w:val="fr-CH"/>
        </w:rPr>
        <w:t>à</w:t>
      </w:r>
      <w:r>
        <w:rPr>
          <w:rFonts w:asciiTheme="minorHAnsi" w:hAnsiTheme="minorHAnsi" w:cstheme="minorHAnsi"/>
          <w:lang w:val="fr-CH"/>
        </w:rPr>
        <w:t xml:space="preserve"> l’annexe 1 de la Résolution </w:t>
      </w:r>
      <w:r w:rsidR="00D915F2" w:rsidRPr="006A3E78">
        <w:rPr>
          <w:rFonts w:asciiTheme="minorHAnsi" w:hAnsiTheme="minorHAnsi" w:cstheme="minorHAnsi"/>
          <w:lang w:val="fr-CH"/>
        </w:rPr>
        <w:t>XIV.8</w:t>
      </w:r>
      <w:r w:rsidR="009A27E4" w:rsidRPr="006A3E78">
        <w:rPr>
          <w:rFonts w:asciiTheme="minorHAnsi" w:hAnsiTheme="minorHAnsi" w:cstheme="minorHAnsi"/>
          <w:lang w:val="fr-CH"/>
        </w:rPr>
        <w:t>,</w:t>
      </w:r>
      <w:r w:rsidR="00D915F2" w:rsidRPr="006A3E78">
        <w:rPr>
          <w:rFonts w:asciiTheme="minorHAnsi" w:hAnsiTheme="minorHAnsi" w:cstheme="minorHAnsi"/>
          <w:lang w:val="fr-CH"/>
        </w:rPr>
        <w:t xml:space="preserve"> </w:t>
      </w:r>
      <w:r>
        <w:rPr>
          <w:rFonts w:asciiTheme="minorHAnsi" w:hAnsiTheme="minorHAnsi" w:cstheme="minorHAnsi"/>
          <w:lang w:val="fr-CH"/>
        </w:rPr>
        <w:t xml:space="preserve">permettent </w:t>
      </w:r>
      <w:r w:rsidR="00FB0F61">
        <w:rPr>
          <w:rFonts w:asciiTheme="minorHAnsi" w:hAnsiTheme="minorHAnsi" w:cstheme="minorHAnsi"/>
          <w:lang w:val="fr-CH"/>
        </w:rPr>
        <w:t>d’identifier les</w:t>
      </w:r>
      <w:r>
        <w:rPr>
          <w:rFonts w:asciiTheme="minorHAnsi" w:hAnsiTheme="minorHAnsi" w:cstheme="minorHAnsi"/>
          <w:lang w:val="fr-CH"/>
        </w:rPr>
        <w:t xml:space="preserve"> mesures prioritaires concrètes que le Groupe de surveillance des activités de CESP</w:t>
      </w:r>
      <w:r w:rsidR="00FB0F61">
        <w:rPr>
          <w:rFonts w:asciiTheme="minorHAnsi" w:hAnsiTheme="minorHAnsi" w:cstheme="minorHAnsi"/>
          <w:lang w:val="fr-CH"/>
        </w:rPr>
        <w:t xml:space="preserve"> peut mettre en œuvre et</w:t>
      </w:r>
      <w:r>
        <w:rPr>
          <w:rFonts w:asciiTheme="minorHAnsi" w:hAnsiTheme="minorHAnsi" w:cstheme="minorHAnsi"/>
          <w:lang w:val="fr-CH"/>
        </w:rPr>
        <w:t xml:space="preserve"> qui sont conformes à la première caractéristique d’un ensemble réduit d’activités clairement lié</w:t>
      </w:r>
      <w:r w:rsidR="00FB0F61">
        <w:rPr>
          <w:rFonts w:asciiTheme="minorHAnsi" w:hAnsiTheme="minorHAnsi" w:cstheme="minorHAnsi"/>
          <w:lang w:val="fr-CH"/>
        </w:rPr>
        <w:t>es</w:t>
      </w:r>
      <w:r>
        <w:rPr>
          <w:rFonts w:asciiTheme="minorHAnsi" w:hAnsiTheme="minorHAnsi" w:cstheme="minorHAnsi"/>
          <w:lang w:val="fr-CH"/>
        </w:rPr>
        <w:t xml:space="preserve"> au Plan stratégique qui conduira </w:t>
      </w:r>
      <w:r w:rsidR="00FB0F61">
        <w:rPr>
          <w:rFonts w:asciiTheme="minorHAnsi" w:hAnsiTheme="minorHAnsi" w:cstheme="minorHAnsi"/>
          <w:lang w:val="fr-CH"/>
        </w:rPr>
        <w:t>à</w:t>
      </w:r>
      <w:r>
        <w:rPr>
          <w:rFonts w:asciiTheme="minorHAnsi" w:hAnsiTheme="minorHAnsi" w:cstheme="minorHAnsi"/>
          <w:lang w:val="fr-CH"/>
        </w:rPr>
        <w:t xml:space="preserve"> un programme de CESP plus stratégique, plus intégré et plus efficace. Les </w:t>
      </w:r>
      <w:r w:rsidR="00FB0F61">
        <w:rPr>
          <w:rFonts w:asciiTheme="minorHAnsi" w:hAnsiTheme="minorHAnsi" w:cstheme="minorHAnsi"/>
          <w:lang w:val="fr-CH"/>
        </w:rPr>
        <w:t>mesures</w:t>
      </w:r>
      <w:r>
        <w:rPr>
          <w:rFonts w:asciiTheme="minorHAnsi" w:hAnsiTheme="minorHAnsi" w:cstheme="minorHAnsi"/>
          <w:lang w:val="fr-CH"/>
        </w:rPr>
        <w:t xml:space="preserve"> proposées comprennent :</w:t>
      </w:r>
    </w:p>
    <w:p w14:paraId="1A29CF4B" w14:textId="77777777" w:rsidR="00D915F2" w:rsidRPr="006A3E78" w:rsidRDefault="00D915F2" w:rsidP="00330AF6">
      <w:pPr>
        <w:ind w:left="0" w:firstLine="0"/>
        <w:rPr>
          <w:u w:val="single"/>
          <w:lang w:val="fr-CH"/>
        </w:rPr>
      </w:pPr>
    </w:p>
    <w:p w14:paraId="510229F1" w14:textId="06258284" w:rsidR="00DB3BE3"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A235C2">
        <w:rPr>
          <w:rFonts w:asciiTheme="minorHAnsi" w:hAnsiTheme="minorHAnsi" w:cstheme="minorHAnsi"/>
          <w:color w:val="000000"/>
          <w:lang w:val="fr-CH"/>
        </w:rPr>
        <w:t xml:space="preserve">Renforcer le réseau de Correspondants CESP – Le Groupe de surveillance des activités de CESP actuel a inscrit dans son plan de travail </w:t>
      </w:r>
      <w:r w:rsidR="00F31EFE">
        <w:rPr>
          <w:rFonts w:asciiTheme="minorHAnsi" w:hAnsiTheme="minorHAnsi" w:cstheme="minorHAnsi"/>
          <w:color w:val="000000"/>
          <w:lang w:val="fr-CH"/>
        </w:rPr>
        <w:t>l’examen du soutien accordé au</w:t>
      </w:r>
      <w:r w:rsidR="00A235C2">
        <w:rPr>
          <w:rFonts w:asciiTheme="minorHAnsi" w:hAnsiTheme="minorHAnsi" w:cstheme="minorHAnsi"/>
          <w:color w:val="000000"/>
          <w:lang w:val="fr-CH"/>
        </w:rPr>
        <w:t xml:space="preserve"> réseau de Correspondants CESP et </w:t>
      </w:r>
      <w:r w:rsidR="00F31EFE">
        <w:rPr>
          <w:rFonts w:asciiTheme="minorHAnsi" w:hAnsiTheme="minorHAnsi" w:cstheme="minorHAnsi"/>
          <w:color w:val="000000"/>
          <w:lang w:val="fr-CH"/>
        </w:rPr>
        <w:t xml:space="preserve">l’élaboration de </w:t>
      </w:r>
      <w:r w:rsidR="00A235C2">
        <w:rPr>
          <w:rFonts w:asciiTheme="minorHAnsi" w:hAnsiTheme="minorHAnsi" w:cstheme="minorHAnsi"/>
          <w:color w:val="000000"/>
          <w:lang w:val="fr-CH"/>
        </w:rPr>
        <w:t xml:space="preserve">recommandations </w:t>
      </w:r>
      <w:r w:rsidR="00F31EFE">
        <w:rPr>
          <w:rFonts w:asciiTheme="minorHAnsi" w:hAnsiTheme="minorHAnsi" w:cstheme="minorHAnsi"/>
          <w:color w:val="000000"/>
          <w:lang w:val="fr-CH"/>
        </w:rPr>
        <w:t>sur le renforcement du</w:t>
      </w:r>
      <w:r w:rsidR="00A235C2">
        <w:rPr>
          <w:rFonts w:asciiTheme="minorHAnsi" w:hAnsiTheme="minorHAnsi" w:cstheme="minorHAnsi"/>
          <w:color w:val="000000"/>
          <w:lang w:val="fr-CH"/>
        </w:rPr>
        <w:t xml:space="preserve"> réseau par </w:t>
      </w:r>
      <w:r w:rsidR="00FB0F61">
        <w:rPr>
          <w:rFonts w:asciiTheme="minorHAnsi" w:hAnsiTheme="minorHAnsi" w:cstheme="minorHAnsi"/>
          <w:color w:val="000000"/>
          <w:lang w:val="fr-CH"/>
        </w:rPr>
        <w:t>l’amélioration des activités</w:t>
      </w:r>
      <w:r w:rsidR="00A235C2">
        <w:rPr>
          <w:rFonts w:asciiTheme="minorHAnsi" w:hAnsiTheme="minorHAnsi" w:cstheme="minorHAnsi"/>
          <w:color w:val="000000"/>
          <w:lang w:val="fr-CH"/>
        </w:rPr>
        <w:t xml:space="preserve"> de communication, </w:t>
      </w:r>
      <w:r w:rsidR="00C8188F">
        <w:rPr>
          <w:rFonts w:asciiTheme="minorHAnsi" w:hAnsiTheme="minorHAnsi" w:cstheme="minorHAnsi"/>
          <w:color w:val="000000"/>
          <w:lang w:val="fr-CH"/>
        </w:rPr>
        <w:t xml:space="preserve">partage d’informations et renforcement des capacités. Ces </w:t>
      </w:r>
      <w:r w:rsidR="00184775" w:rsidRPr="006A3E78">
        <w:rPr>
          <w:rFonts w:asciiTheme="minorHAnsi" w:hAnsiTheme="minorHAnsi" w:cstheme="minorHAnsi"/>
          <w:color w:val="000000"/>
          <w:lang w:val="fr-CH"/>
        </w:rPr>
        <w:t>recomm</w:t>
      </w:r>
      <w:r w:rsidR="00C8188F">
        <w:rPr>
          <w:rFonts w:asciiTheme="minorHAnsi" w:hAnsiTheme="minorHAnsi" w:cstheme="minorHAnsi"/>
          <w:color w:val="000000"/>
          <w:lang w:val="fr-CH"/>
        </w:rPr>
        <w:t>a</w:t>
      </w:r>
      <w:r w:rsidR="00184775" w:rsidRPr="006A3E78">
        <w:rPr>
          <w:rFonts w:asciiTheme="minorHAnsi" w:hAnsiTheme="minorHAnsi" w:cstheme="minorHAnsi"/>
          <w:color w:val="000000"/>
          <w:lang w:val="fr-CH"/>
        </w:rPr>
        <w:t xml:space="preserve">ndations </w:t>
      </w:r>
      <w:r w:rsidR="00C8188F">
        <w:rPr>
          <w:rFonts w:asciiTheme="minorHAnsi" w:hAnsiTheme="minorHAnsi" w:cstheme="minorHAnsi"/>
          <w:color w:val="000000"/>
          <w:lang w:val="fr-CH"/>
        </w:rPr>
        <w:t>figureront dans le rapport du Groupe de surveillance des activités de CESP à la 63</w:t>
      </w:r>
      <w:r w:rsidR="00C8188F" w:rsidRPr="00C8188F">
        <w:rPr>
          <w:rFonts w:asciiTheme="minorHAnsi" w:hAnsiTheme="minorHAnsi" w:cstheme="minorHAnsi"/>
          <w:color w:val="000000"/>
          <w:vertAlign w:val="superscript"/>
          <w:lang w:val="fr-CH"/>
        </w:rPr>
        <w:t>e</w:t>
      </w:r>
      <w:r w:rsidR="00C8188F">
        <w:rPr>
          <w:rFonts w:asciiTheme="minorHAnsi" w:hAnsiTheme="minorHAnsi" w:cstheme="minorHAnsi"/>
          <w:color w:val="000000"/>
          <w:lang w:val="fr-CH"/>
        </w:rPr>
        <w:t xml:space="preserve"> Réunion du Comité permanent et seront appliquées </w:t>
      </w:r>
      <w:r w:rsidR="00FB0F61">
        <w:rPr>
          <w:rFonts w:asciiTheme="minorHAnsi" w:hAnsiTheme="minorHAnsi" w:cstheme="minorHAnsi"/>
          <w:color w:val="000000"/>
          <w:lang w:val="fr-CH"/>
        </w:rPr>
        <w:t>au cours de</w:t>
      </w:r>
      <w:r w:rsidR="00C8188F">
        <w:rPr>
          <w:rFonts w:asciiTheme="minorHAnsi" w:hAnsiTheme="minorHAnsi" w:cstheme="minorHAnsi"/>
          <w:color w:val="000000"/>
          <w:lang w:val="fr-CH"/>
        </w:rPr>
        <w:t xml:space="preserve"> la période triennale actuelle.</w:t>
      </w:r>
    </w:p>
    <w:p w14:paraId="30EE06E2" w14:textId="77777777" w:rsidR="0049430A" w:rsidRPr="006A3E78" w:rsidRDefault="0049430A" w:rsidP="0049430A">
      <w:pPr>
        <w:ind w:left="426" w:hanging="426"/>
        <w:rPr>
          <w:rFonts w:asciiTheme="minorHAnsi" w:hAnsiTheme="minorHAnsi" w:cstheme="minorHAnsi"/>
          <w:color w:val="000000"/>
          <w:lang w:val="fr-CH"/>
        </w:rPr>
      </w:pPr>
    </w:p>
    <w:p w14:paraId="5B0FD725" w14:textId="15458945" w:rsidR="00084187"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492DD0">
        <w:rPr>
          <w:rFonts w:asciiTheme="minorHAnsi" w:hAnsiTheme="minorHAnsi" w:cstheme="minorHAnsi"/>
          <w:color w:val="000000"/>
          <w:lang w:val="fr-CH"/>
        </w:rPr>
        <w:t>Un guide sur les rôles et responsabilités des Correspondants CESP – Le Secrétariat, en consultation avec le Groupe de surveillance</w:t>
      </w:r>
      <w:r w:rsidR="00E45827">
        <w:rPr>
          <w:rFonts w:asciiTheme="minorHAnsi" w:hAnsiTheme="minorHAnsi" w:cstheme="minorHAnsi"/>
          <w:color w:val="000000"/>
          <w:lang w:val="fr-CH"/>
        </w:rPr>
        <w:t>,</w:t>
      </w:r>
      <w:r w:rsidR="00492DD0">
        <w:rPr>
          <w:rFonts w:asciiTheme="minorHAnsi" w:hAnsiTheme="minorHAnsi" w:cstheme="minorHAnsi"/>
          <w:color w:val="000000"/>
          <w:lang w:val="fr-CH"/>
        </w:rPr>
        <w:t xml:space="preserve"> produira une brochure numérique sur le rôle et les responsabilités des Correspondants gouvernementaux et ONG CESP. </w:t>
      </w:r>
    </w:p>
    <w:p w14:paraId="399C770E" w14:textId="77777777" w:rsidR="0049430A" w:rsidRPr="006A3E78" w:rsidRDefault="0049430A" w:rsidP="0049430A">
      <w:pPr>
        <w:ind w:left="426" w:hanging="426"/>
        <w:rPr>
          <w:rFonts w:asciiTheme="minorHAnsi" w:hAnsiTheme="minorHAnsi" w:cstheme="minorHAnsi"/>
          <w:color w:val="000000"/>
          <w:lang w:val="fr-CH"/>
        </w:rPr>
      </w:pPr>
    </w:p>
    <w:p w14:paraId="09BD830E" w14:textId="57888BEC" w:rsidR="008362A1"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iii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13060E">
        <w:rPr>
          <w:rFonts w:asciiTheme="minorHAnsi" w:hAnsiTheme="minorHAnsi" w:cstheme="minorHAnsi"/>
          <w:color w:val="000000"/>
          <w:lang w:val="fr-CH"/>
        </w:rPr>
        <w:t xml:space="preserve">Des orientations mises à jour sur la CESP – Le Secrétariat, en utilisant le financement du budget administratif pour la CESP, élaborera des orientations pour les Correspondants CESP afin de remplacer le Manuel 2010 sur la CESP pour les zones humides désormais </w:t>
      </w:r>
      <w:r w:rsidR="00DC592B">
        <w:rPr>
          <w:rFonts w:asciiTheme="minorHAnsi" w:hAnsiTheme="minorHAnsi" w:cstheme="minorHAnsi"/>
          <w:color w:val="000000"/>
          <w:lang w:val="fr-CH"/>
        </w:rPr>
        <w:t>obsolète</w:t>
      </w:r>
      <w:r w:rsidR="0013060E">
        <w:rPr>
          <w:rFonts w:asciiTheme="minorHAnsi" w:hAnsiTheme="minorHAnsi" w:cstheme="minorHAnsi"/>
          <w:color w:val="000000"/>
          <w:lang w:val="fr-CH"/>
        </w:rPr>
        <w:t>.</w:t>
      </w:r>
    </w:p>
    <w:p w14:paraId="140B7382" w14:textId="77777777" w:rsidR="0049430A" w:rsidRPr="006A3E78" w:rsidRDefault="0049430A" w:rsidP="0049430A">
      <w:pPr>
        <w:ind w:left="426" w:hanging="426"/>
        <w:rPr>
          <w:rFonts w:asciiTheme="minorHAnsi" w:hAnsiTheme="minorHAnsi" w:cstheme="minorHAnsi"/>
          <w:color w:val="000000"/>
          <w:lang w:val="fr-CH"/>
        </w:rPr>
      </w:pPr>
    </w:p>
    <w:p w14:paraId="4659770B" w14:textId="0D92B7FC" w:rsidR="00343F52"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iv</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2F30D7">
        <w:rPr>
          <w:rFonts w:asciiTheme="minorHAnsi" w:hAnsiTheme="minorHAnsi" w:cstheme="minorHAnsi"/>
          <w:color w:val="000000"/>
          <w:lang w:val="fr-CH"/>
        </w:rPr>
        <w:t xml:space="preserve">Formation et partage d’informations pour les Correspondants gouvernementaux CESP – Le Secrétariat, en collaboration avec le Groupe de surveillance, préparera un webinaire de formation pour les Correspondants gouvernementaux et ONG. Le webinaire sera diffusé dans les langues officielles de la Convention et un enregistrement du webinaire sera disponible dans la section CESP du site </w:t>
      </w:r>
      <w:r w:rsidR="00632D5C">
        <w:rPr>
          <w:rFonts w:asciiTheme="minorHAnsi" w:hAnsiTheme="minorHAnsi" w:cstheme="minorHAnsi"/>
          <w:color w:val="000000"/>
          <w:lang w:val="fr-CH"/>
        </w:rPr>
        <w:t>W</w:t>
      </w:r>
      <w:r w:rsidR="002F30D7">
        <w:rPr>
          <w:rFonts w:asciiTheme="minorHAnsi" w:hAnsiTheme="minorHAnsi" w:cstheme="minorHAnsi"/>
          <w:color w:val="000000"/>
          <w:lang w:val="fr-CH"/>
        </w:rPr>
        <w:t>eb de la Convention.</w:t>
      </w:r>
      <w:r w:rsidR="00CC424A">
        <w:rPr>
          <w:rFonts w:asciiTheme="minorHAnsi" w:hAnsiTheme="minorHAnsi" w:cstheme="minorHAnsi"/>
          <w:color w:val="000000"/>
          <w:lang w:val="fr-CH"/>
        </w:rPr>
        <w:t xml:space="preserve"> </w:t>
      </w:r>
    </w:p>
    <w:p w14:paraId="43221C6D" w14:textId="77777777" w:rsidR="0049430A" w:rsidRPr="006A3E78" w:rsidRDefault="0049430A" w:rsidP="0049430A">
      <w:pPr>
        <w:ind w:left="426" w:hanging="426"/>
        <w:rPr>
          <w:rFonts w:asciiTheme="minorHAnsi" w:hAnsiTheme="minorHAnsi" w:cstheme="minorHAnsi"/>
          <w:color w:val="000000"/>
          <w:lang w:val="fr-CH"/>
        </w:rPr>
      </w:pPr>
    </w:p>
    <w:p w14:paraId="7138BB5B" w14:textId="3098FDEF" w:rsidR="00D915F2"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lastRenderedPageBreak/>
        <w:t>v</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D915F2" w:rsidRPr="006A3E78">
        <w:rPr>
          <w:rFonts w:asciiTheme="minorHAnsi" w:hAnsiTheme="minorHAnsi" w:cstheme="minorHAnsi"/>
          <w:color w:val="000000"/>
          <w:lang w:val="fr-CH"/>
        </w:rPr>
        <w:t>I</w:t>
      </w:r>
      <w:r w:rsidR="002F30D7">
        <w:rPr>
          <w:rFonts w:asciiTheme="minorHAnsi" w:hAnsiTheme="minorHAnsi" w:cstheme="minorHAnsi"/>
          <w:color w:val="000000"/>
          <w:lang w:val="fr-CH"/>
        </w:rPr>
        <w:t xml:space="preserve">ntégration de la CESP dans le Plan stratégique de la Convention – Il est recommandé que le </w:t>
      </w:r>
      <w:r w:rsidR="0025096B">
        <w:rPr>
          <w:rFonts w:asciiTheme="minorHAnsi" w:hAnsiTheme="minorHAnsi" w:cstheme="minorHAnsi"/>
          <w:color w:val="000000"/>
          <w:lang w:val="fr-CH"/>
        </w:rPr>
        <w:t>p</w:t>
      </w:r>
      <w:r w:rsidR="002F30D7">
        <w:rPr>
          <w:rFonts w:asciiTheme="minorHAnsi" w:hAnsiTheme="minorHAnsi" w:cstheme="minorHAnsi"/>
          <w:color w:val="000000"/>
          <w:lang w:val="fr-CH"/>
        </w:rPr>
        <w:t xml:space="preserve">résident et le </w:t>
      </w:r>
      <w:r w:rsidR="0025096B">
        <w:rPr>
          <w:rFonts w:asciiTheme="minorHAnsi" w:hAnsiTheme="minorHAnsi" w:cstheme="minorHAnsi"/>
          <w:color w:val="000000"/>
          <w:lang w:val="fr-CH"/>
        </w:rPr>
        <w:t>v</w:t>
      </w:r>
      <w:r w:rsidR="002F30D7">
        <w:rPr>
          <w:rFonts w:asciiTheme="minorHAnsi" w:hAnsiTheme="minorHAnsi" w:cstheme="minorHAnsi"/>
          <w:color w:val="000000"/>
          <w:lang w:val="fr-CH"/>
        </w:rPr>
        <w:t>ice</w:t>
      </w:r>
      <w:r w:rsidR="002F30D7">
        <w:rPr>
          <w:rFonts w:asciiTheme="minorHAnsi" w:hAnsiTheme="minorHAnsi" w:cstheme="minorHAnsi"/>
          <w:color w:val="000000"/>
          <w:lang w:val="fr-CH"/>
        </w:rPr>
        <w:noBreakHyphen/>
      </w:r>
      <w:r w:rsidR="0025096B">
        <w:rPr>
          <w:rFonts w:asciiTheme="minorHAnsi" w:hAnsiTheme="minorHAnsi" w:cstheme="minorHAnsi"/>
          <w:color w:val="000000"/>
          <w:lang w:val="fr-CH"/>
        </w:rPr>
        <w:t>p</w:t>
      </w:r>
      <w:r w:rsidR="002F30D7">
        <w:rPr>
          <w:rFonts w:asciiTheme="minorHAnsi" w:hAnsiTheme="minorHAnsi" w:cstheme="minorHAnsi"/>
          <w:color w:val="000000"/>
          <w:lang w:val="fr-CH"/>
        </w:rPr>
        <w:t>résident du Groupe de surveillance participent en qualité de membre</w:t>
      </w:r>
      <w:r w:rsidR="0025096B">
        <w:rPr>
          <w:rFonts w:asciiTheme="minorHAnsi" w:hAnsiTheme="minorHAnsi" w:cstheme="minorHAnsi"/>
          <w:color w:val="000000"/>
          <w:lang w:val="fr-CH"/>
        </w:rPr>
        <w:t>s</w:t>
      </w:r>
      <w:r w:rsidR="002F30D7">
        <w:rPr>
          <w:rFonts w:asciiTheme="minorHAnsi" w:hAnsiTheme="minorHAnsi" w:cstheme="minorHAnsi"/>
          <w:color w:val="000000"/>
          <w:lang w:val="fr-CH"/>
        </w:rPr>
        <w:t xml:space="preserve"> du Groupe de travail sur le Plan stratégique pour faciliter l’intégration de la CESP dans le nouveau Plan stratégique, ses objectifs et ses indicateurs.</w:t>
      </w:r>
    </w:p>
    <w:p w14:paraId="374FDF4A" w14:textId="77777777" w:rsidR="0049430A" w:rsidRPr="006A3E78" w:rsidRDefault="0049430A" w:rsidP="0049430A">
      <w:pPr>
        <w:ind w:left="426" w:hanging="426"/>
        <w:rPr>
          <w:rFonts w:asciiTheme="minorHAnsi" w:hAnsiTheme="minorHAnsi" w:cstheme="minorHAnsi"/>
          <w:color w:val="000000"/>
          <w:lang w:val="fr-CH"/>
        </w:rPr>
      </w:pPr>
    </w:p>
    <w:p w14:paraId="745D85BC" w14:textId="20B08081" w:rsidR="0049430A"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vi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25096B">
        <w:rPr>
          <w:rFonts w:asciiTheme="minorHAnsi" w:hAnsiTheme="minorHAnsi" w:cstheme="minorHAnsi"/>
          <w:color w:val="000000"/>
          <w:lang w:val="fr-CH"/>
        </w:rPr>
        <w:t>R</w:t>
      </w:r>
      <w:r w:rsidR="002F30D7">
        <w:rPr>
          <w:rFonts w:asciiTheme="minorHAnsi" w:hAnsiTheme="minorHAnsi" w:cstheme="minorHAnsi"/>
          <w:color w:val="000000"/>
          <w:lang w:val="fr-CH"/>
        </w:rPr>
        <w:t xml:space="preserve">apport sur </w:t>
      </w:r>
      <w:r w:rsidR="0025096B">
        <w:rPr>
          <w:rFonts w:asciiTheme="minorHAnsi" w:hAnsiTheme="minorHAnsi" w:cstheme="minorHAnsi"/>
          <w:color w:val="000000"/>
          <w:lang w:val="fr-CH"/>
        </w:rPr>
        <w:t>certaines</w:t>
      </w:r>
      <w:r w:rsidR="002F30D7">
        <w:rPr>
          <w:rFonts w:asciiTheme="minorHAnsi" w:hAnsiTheme="minorHAnsi" w:cstheme="minorHAnsi"/>
          <w:color w:val="000000"/>
          <w:lang w:val="fr-CH"/>
        </w:rPr>
        <w:t xml:space="preserve"> activités et réalisations de CESP identifiées dans le formulaire de Rapport national – </w:t>
      </w:r>
      <w:r w:rsidR="00F31EFE">
        <w:rPr>
          <w:rFonts w:asciiTheme="minorHAnsi" w:hAnsiTheme="minorHAnsi" w:cstheme="minorHAnsi"/>
          <w:color w:val="000000"/>
          <w:lang w:val="fr-CH"/>
        </w:rPr>
        <w:t>À i</w:t>
      </w:r>
      <w:r w:rsidR="002F30D7">
        <w:rPr>
          <w:rFonts w:asciiTheme="minorHAnsi" w:hAnsiTheme="minorHAnsi" w:cstheme="minorHAnsi"/>
          <w:color w:val="000000"/>
          <w:lang w:val="fr-CH"/>
        </w:rPr>
        <w:t>nclure dans le nouveau formulaire de Rapport national</w:t>
      </w:r>
      <w:r w:rsidR="00C72A0A">
        <w:rPr>
          <w:rFonts w:asciiTheme="minorHAnsi" w:hAnsiTheme="minorHAnsi" w:cstheme="minorHAnsi"/>
          <w:color w:val="000000"/>
          <w:lang w:val="fr-CH"/>
        </w:rPr>
        <w:t xml:space="preserve"> qui sera élaboré à la suite de l’adoption</w:t>
      </w:r>
      <w:r w:rsidR="0025096B">
        <w:rPr>
          <w:rFonts w:asciiTheme="minorHAnsi" w:hAnsiTheme="minorHAnsi" w:cstheme="minorHAnsi"/>
          <w:color w:val="000000"/>
          <w:lang w:val="fr-CH"/>
        </w:rPr>
        <w:t>, dans le</w:t>
      </w:r>
      <w:r w:rsidR="00C72A0A">
        <w:rPr>
          <w:rFonts w:asciiTheme="minorHAnsi" w:hAnsiTheme="minorHAnsi" w:cstheme="minorHAnsi"/>
          <w:color w:val="000000"/>
          <w:lang w:val="fr-CH"/>
        </w:rPr>
        <w:t xml:space="preserve"> cinquième Plan stratégique</w:t>
      </w:r>
      <w:r w:rsidR="0025096B">
        <w:rPr>
          <w:rFonts w:asciiTheme="minorHAnsi" w:hAnsiTheme="minorHAnsi" w:cstheme="minorHAnsi"/>
          <w:color w:val="000000"/>
          <w:lang w:val="fr-CH"/>
        </w:rPr>
        <w:t>,</w:t>
      </w:r>
      <w:r w:rsidR="00C72A0A">
        <w:rPr>
          <w:rFonts w:asciiTheme="minorHAnsi" w:hAnsiTheme="minorHAnsi" w:cstheme="minorHAnsi"/>
          <w:color w:val="000000"/>
          <w:lang w:val="fr-CH"/>
        </w:rPr>
        <w:t xml:space="preserve"> </w:t>
      </w:r>
      <w:r w:rsidR="0025096B">
        <w:rPr>
          <w:rFonts w:asciiTheme="minorHAnsi" w:hAnsiTheme="minorHAnsi" w:cstheme="minorHAnsi"/>
          <w:color w:val="000000"/>
          <w:lang w:val="fr-CH"/>
        </w:rPr>
        <w:t>d’</w:t>
      </w:r>
      <w:r w:rsidR="00C72A0A">
        <w:rPr>
          <w:rFonts w:asciiTheme="minorHAnsi" w:hAnsiTheme="minorHAnsi" w:cstheme="minorHAnsi"/>
          <w:color w:val="000000"/>
          <w:lang w:val="fr-CH"/>
        </w:rPr>
        <w:t xml:space="preserve">un ensemble d’indicateurs </w:t>
      </w:r>
      <w:r w:rsidR="0025096B">
        <w:rPr>
          <w:rFonts w:asciiTheme="minorHAnsi" w:hAnsiTheme="minorHAnsi" w:cstheme="minorHAnsi"/>
          <w:color w:val="000000"/>
          <w:lang w:val="fr-CH"/>
        </w:rPr>
        <w:t>de surveillance et d’évaluation de</w:t>
      </w:r>
      <w:r w:rsidR="00C72A0A">
        <w:rPr>
          <w:rFonts w:asciiTheme="minorHAnsi" w:hAnsiTheme="minorHAnsi" w:cstheme="minorHAnsi"/>
          <w:color w:val="000000"/>
          <w:lang w:val="fr-CH"/>
        </w:rPr>
        <w:t xml:space="preserve"> la mise en œuvre de la CESP au niveau national.</w:t>
      </w:r>
      <w:r w:rsidR="0058500E" w:rsidRPr="006A3E78">
        <w:rPr>
          <w:rFonts w:asciiTheme="minorHAnsi" w:hAnsiTheme="minorHAnsi" w:cstheme="minorHAnsi"/>
          <w:color w:val="000000"/>
          <w:lang w:val="fr-CH"/>
        </w:rPr>
        <w:t xml:space="preserve"> </w:t>
      </w:r>
    </w:p>
    <w:p w14:paraId="28789483" w14:textId="39D5736A" w:rsidR="00D915F2" w:rsidRPr="006A3E78" w:rsidRDefault="00D915F2" w:rsidP="0049430A">
      <w:pPr>
        <w:ind w:left="426" w:hanging="426"/>
        <w:rPr>
          <w:rFonts w:asciiTheme="minorHAnsi" w:hAnsiTheme="minorHAnsi" w:cstheme="minorHAnsi"/>
          <w:color w:val="000000"/>
          <w:lang w:val="fr-CH"/>
        </w:rPr>
      </w:pPr>
    </w:p>
    <w:p w14:paraId="02A5DA02" w14:textId="0432DC09" w:rsidR="00EC673C" w:rsidRPr="006A3E78" w:rsidRDefault="0049430A" w:rsidP="0049430A">
      <w:pPr>
        <w:ind w:left="426" w:hanging="426"/>
        <w:rPr>
          <w:rFonts w:asciiTheme="minorHAnsi" w:hAnsiTheme="minorHAnsi" w:cstheme="minorHAnsi"/>
          <w:color w:val="000000"/>
          <w:lang w:val="fr-CH"/>
        </w:rPr>
      </w:pPr>
      <w:r w:rsidRPr="006A3E78">
        <w:rPr>
          <w:rFonts w:asciiTheme="minorHAnsi" w:hAnsiTheme="minorHAnsi" w:cstheme="minorHAnsi"/>
          <w:color w:val="000000"/>
          <w:lang w:val="fr-CH"/>
        </w:rPr>
        <w:t>vii</w:t>
      </w:r>
      <w:r w:rsidR="006A3E78">
        <w:rPr>
          <w:rFonts w:asciiTheme="minorHAnsi" w:hAnsiTheme="minorHAnsi" w:cstheme="minorHAnsi"/>
          <w:color w:val="000000"/>
          <w:lang w:val="fr-CH"/>
        </w:rPr>
        <w:t>)</w:t>
      </w:r>
      <w:r w:rsidRPr="006A3E78">
        <w:rPr>
          <w:rFonts w:asciiTheme="minorHAnsi" w:hAnsiTheme="minorHAnsi" w:cstheme="minorHAnsi"/>
          <w:color w:val="000000"/>
          <w:lang w:val="fr-CH"/>
        </w:rPr>
        <w:tab/>
      </w:r>
      <w:r w:rsidR="0090704D" w:rsidRPr="006A3E78">
        <w:rPr>
          <w:rFonts w:asciiTheme="minorHAnsi" w:hAnsiTheme="minorHAnsi" w:cstheme="minorHAnsi"/>
          <w:color w:val="000000"/>
          <w:lang w:val="fr-CH"/>
        </w:rPr>
        <w:t>L</w:t>
      </w:r>
      <w:r w:rsidR="00C72A0A">
        <w:rPr>
          <w:rFonts w:asciiTheme="minorHAnsi" w:hAnsiTheme="minorHAnsi" w:cstheme="minorHAnsi"/>
          <w:color w:val="000000"/>
          <w:lang w:val="fr-CH"/>
        </w:rPr>
        <w:t xml:space="preserve">iste des ressources de la Convention qui soutiennent l’application de la CESP – Compiler et publier, dans la section CESP du site </w:t>
      </w:r>
      <w:r w:rsidR="0025096B">
        <w:rPr>
          <w:rFonts w:asciiTheme="minorHAnsi" w:hAnsiTheme="minorHAnsi" w:cstheme="minorHAnsi"/>
          <w:color w:val="000000"/>
          <w:lang w:val="fr-CH"/>
        </w:rPr>
        <w:t>W</w:t>
      </w:r>
      <w:r w:rsidR="00C72A0A">
        <w:rPr>
          <w:rFonts w:asciiTheme="minorHAnsi" w:hAnsiTheme="minorHAnsi" w:cstheme="minorHAnsi"/>
          <w:color w:val="000000"/>
          <w:lang w:val="fr-CH"/>
        </w:rPr>
        <w:t>eb, une liste de liens vers des ressources qui soutiennent la mise en œuvre de la CESP.</w:t>
      </w:r>
      <w:r w:rsidR="00CC424A">
        <w:rPr>
          <w:rFonts w:asciiTheme="minorHAnsi" w:hAnsiTheme="minorHAnsi" w:cstheme="minorHAnsi"/>
          <w:color w:val="000000"/>
          <w:lang w:val="fr-CH"/>
        </w:rPr>
        <w:t xml:space="preserve"> </w:t>
      </w:r>
    </w:p>
    <w:sectPr w:rsidR="00EC673C" w:rsidRPr="006A3E78" w:rsidSect="0031204D">
      <w:headerReference w:type="even"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279F" w14:textId="77777777" w:rsidR="0031204D" w:rsidRDefault="0031204D" w:rsidP="00DF2386">
      <w:r>
        <w:separator/>
      </w:r>
    </w:p>
  </w:endnote>
  <w:endnote w:type="continuationSeparator" w:id="0">
    <w:p w14:paraId="37F8016D" w14:textId="77777777" w:rsidR="0031204D" w:rsidRDefault="0031204D" w:rsidP="00DF2386">
      <w:r>
        <w:continuationSeparator/>
      </w:r>
    </w:p>
  </w:endnote>
  <w:endnote w:type="continuationNotice" w:id="1">
    <w:p w14:paraId="10AF12D0" w14:textId="77777777" w:rsidR="0031204D" w:rsidRDefault="00312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6963" w14:textId="77777777" w:rsidR="00D915F2" w:rsidRDefault="00D915F2" w:rsidP="002137E0">
    <w:pPr>
      <w:pStyle w:val="Header"/>
      <w:rPr>
        <w:noProof/>
      </w:rPr>
    </w:pPr>
    <w:r w:rsidRPr="00533848">
      <w:rPr>
        <w:sz w:val="20"/>
        <w:szCs w:val="20"/>
      </w:rPr>
      <w:t>SC</w:t>
    </w:r>
    <w:r>
      <w:rPr>
        <w:sz w:val="20"/>
        <w:szCs w:val="20"/>
      </w:rPr>
      <w:t>63 Doc.17.2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72333">
          <w:rPr>
            <w:noProof/>
            <w:sz w:val="20"/>
            <w:szCs w:val="20"/>
          </w:rPr>
          <w:t>7</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3A07" w14:textId="77777777" w:rsidR="0031204D" w:rsidRDefault="0031204D" w:rsidP="00DF2386">
      <w:r>
        <w:separator/>
      </w:r>
    </w:p>
  </w:footnote>
  <w:footnote w:type="continuationSeparator" w:id="0">
    <w:p w14:paraId="21A64D94" w14:textId="77777777" w:rsidR="0031204D" w:rsidRDefault="0031204D" w:rsidP="00DF2386">
      <w:r>
        <w:continuationSeparator/>
      </w:r>
    </w:p>
  </w:footnote>
  <w:footnote w:type="continuationNotice" w:id="1">
    <w:p w14:paraId="4E7E558D" w14:textId="77777777" w:rsidR="0031204D" w:rsidRDefault="0031204D"/>
  </w:footnote>
  <w:footnote w:id="2">
    <w:p w14:paraId="0F07CD5F" w14:textId="4B8F41FE" w:rsidR="001E4F25" w:rsidRPr="00632CF2" w:rsidRDefault="001E4F25" w:rsidP="001E4F25">
      <w:pPr>
        <w:pStyle w:val="FootnoteText"/>
        <w:ind w:left="0" w:firstLine="0"/>
        <w:rPr>
          <w:lang w:val="fr-FR"/>
        </w:rPr>
      </w:pPr>
      <w:r>
        <w:rPr>
          <w:rStyle w:val="FootnoteReference"/>
        </w:rPr>
        <w:footnoteRef/>
      </w:r>
      <w:r w:rsidRPr="00632CF2">
        <w:rPr>
          <w:lang w:val="fr-FR"/>
        </w:rPr>
        <w:t xml:space="preserve"> </w:t>
      </w:r>
      <w:r w:rsidR="00632CF2" w:rsidRPr="00632CF2">
        <w:rPr>
          <w:lang w:val="fr-FR"/>
        </w:rPr>
        <w:t>Voir</w:t>
      </w:r>
      <w:r w:rsidRPr="00632CF2">
        <w:rPr>
          <w:lang w:val="fr-FR"/>
        </w:rPr>
        <w:t xml:space="preserve"> </w:t>
      </w:r>
      <w:hyperlink r:id="rId1" w:history="1">
        <w:r w:rsidR="00671E70" w:rsidRPr="00614BD0">
          <w:rPr>
            <w:rStyle w:val="Hyperlink"/>
            <w:lang w:val="fr-FR"/>
          </w:rPr>
          <w:t>https://www.ramsar.org/fr/document/cop13-doc10-rapport-sur-lapplication-du-programme-de-cesp-2016-2018-et-recommandations-sur</w:t>
        </w:r>
      </w:hyperlink>
      <w:r w:rsidRPr="00632CF2">
        <w:rPr>
          <w:lang w:val="fr-FR"/>
        </w:rPr>
        <w:t>.</w:t>
      </w:r>
    </w:p>
  </w:footnote>
  <w:footnote w:id="3">
    <w:p w14:paraId="6D6D0DCD" w14:textId="52D496D6" w:rsidR="003F6B0A" w:rsidRPr="008A3A96" w:rsidRDefault="003F6B0A" w:rsidP="003F6B0A">
      <w:pPr>
        <w:pStyle w:val="FootnoteText"/>
        <w:rPr>
          <w:lang w:val="fr-FR"/>
        </w:rPr>
      </w:pPr>
      <w:r>
        <w:rPr>
          <w:rStyle w:val="FootnoteReference"/>
        </w:rPr>
        <w:footnoteRef/>
      </w:r>
      <w:r w:rsidRPr="008A3A96">
        <w:rPr>
          <w:lang w:val="fr-FR"/>
        </w:rPr>
        <w:t xml:space="preserve"> </w:t>
      </w:r>
      <w:r w:rsidR="008A3A96" w:rsidRPr="008A3A96">
        <w:rPr>
          <w:lang w:val="fr-FR"/>
        </w:rPr>
        <w:t>Voir</w:t>
      </w:r>
      <w:r w:rsidRPr="008A3A96">
        <w:rPr>
          <w:lang w:val="fr-FR"/>
        </w:rPr>
        <w:t xml:space="preserve"> </w:t>
      </w:r>
      <w:hyperlink r:id="rId2" w:history="1">
        <w:r w:rsidR="00671E70" w:rsidRPr="00614BD0">
          <w:rPr>
            <w:rStyle w:val="Hyperlink"/>
            <w:lang w:val="fr-FR"/>
          </w:rPr>
          <w:t>https://www.ramsar.org/fr/document/resolution-xiv8-la-nouvelle-approche-de-la-cesp</w:t>
        </w:r>
      </w:hyperlink>
      <w:r w:rsidRPr="008A3A96">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9ACA" w14:textId="77777777" w:rsidR="00D915F2" w:rsidRDefault="008549A7">
    <w:pPr>
      <w:pStyle w:val="Header"/>
    </w:pPr>
    <w:r>
      <w:rPr>
        <w:noProof/>
      </w:rPr>
      <w:pict w14:anchorId="07AD9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533C15"/>
    <w:multiLevelType w:val="hybridMultilevel"/>
    <w:tmpl w:val="63DC85C4"/>
    <w:lvl w:ilvl="0" w:tplc="08090019">
      <w:start w:val="1"/>
      <w:numFmt w:val="lowerLetter"/>
      <w:lvlText w:val="%1."/>
      <w:lvlJc w:val="left"/>
      <w:pPr>
        <w:ind w:left="785" w:hanging="360"/>
      </w:pPr>
    </w:lvl>
    <w:lvl w:ilvl="1" w:tplc="0E449272">
      <w:start w:val="1"/>
      <w:numFmt w:val="lowerRoman"/>
      <w:lvlText w:val="%2."/>
      <w:lvlJc w:val="left"/>
      <w:pPr>
        <w:ind w:left="1505" w:hanging="36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60083"/>
    <w:multiLevelType w:val="hybridMultilevel"/>
    <w:tmpl w:val="A950EE9A"/>
    <w:lvl w:ilvl="0" w:tplc="5F4663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A7276"/>
    <w:multiLevelType w:val="hybridMultilevel"/>
    <w:tmpl w:val="9EE68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EB5"/>
    <w:multiLevelType w:val="hybridMultilevel"/>
    <w:tmpl w:val="7818A1DE"/>
    <w:lvl w:ilvl="0" w:tplc="08090019">
      <w:start w:val="1"/>
      <w:numFmt w:val="lowerLetter"/>
      <w:lvlText w:val="%1."/>
      <w:lvlJc w:val="left"/>
      <w:pPr>
        <w:ind w:left="785" w:hanging="360"/>
      </w:pPr>
    </w:lvl>
    <w:lvl w:ilvl="1" w:tplc="D686566C">
      <w:start w:val="1"/>
      <w:numFmt w:val="lowerLetter"/>
      <w:lvlText w:val="%2."/>
      <w:lvlJc w:val="left"/>
      <w:pPr>
        <w:ind w:left="1505" w:hanging="36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CE5601D"/>
    <w:multiLevelType w:val="hybridMultilevel"/>
    <w:tmpl w:val="EB501FC2"/>
    <w:lvl w:ilvl="0" w:tplc="0E449272">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27B17"/>
    <w:multiLevelType w:val="hybridMultilevel"/>
    <w:tmpl w:val="2D081B08"/>
    <w:lvl w:ilvl="0" w:tplc="0809001B">
      <w:start w:val="1"/>
      <w:numFmt w:val="lowerRoman"/>
      <w:lvlText w:val="%1."/>
      <w:lvlJc w:val="righ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900B8"/>
    <w:multiLevelType w:val="hybridMultilevel"/>
    <w:tmpl w:val="7E7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50516"/>
    <w:multiLevelType w:val="hybridMultilevel"/>
    <w:tmpl w:val="148C9FF4"/>
    <w:lvl w:ilvl="0" w:tplc="0809001B">
      <w:start w:val="1"/>
      <w:numFmt w:val="lowerRoman"/>
      <w:lvlText w:val="%1."/>
      <w:lvlJc w:val="righ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1B5672"/>
    <w:multiLevelType w:val="hybridMultilevel"/>
    <w:tmpl w:val="0062E7A6"/>
    <w:lvl w:ilvl="0" w:tplc="ED2673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2"/>
  </w:num>
  <w:num w:numId="5">
    <w:abstractNumId w:val="5"/>
  </w:num>
  <w:num w:numId="6">
    <w:abstractNumId w:val="1"/>
  </w:num>
  <w:num w:numId="7">
    <w:abstractNumId w:val="8"/>
  </w:num>
  <w:num w:numId="8">
    <w:abstractNumId w:val="0"/>
  </w:num>
  <w:num w:numId="9">
    <w:abstractNumId w:val="10"/>
  </w:num>
  <w:num w:numId="10">
    <w:abstractNumId w:val="3"/>
  </w:num>
  <w:num w:numId="11">
    <w:abstractNumId w:val="13"/>
  </w:num>
  <w:num w:numId="12">
    <w:abstractNumId w:val="9"/>
  </w:num>
  <w:num w:numId="13">
    <w:abstractNumId w:val="4"/>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4564"/>
    <w:rsid w:val="000055D1"/>
    <w:rsid w:val="0000603F"/>
    <w:rsid w:val="00006E3C"/>
    <w:rsid w:val="00014168"/>
    <w:rsid w:val="000142B6"/>
    <w:rsid w:val="00017A16"/>
    <w:rsid w:val="00020F65"/>
    <w:rsid w:val="000217EF"/>
    <w:rsid w:val="00023125"/>
    <w:rsid w:val="00026E09"/>
    <w:rsid w:val="0003169F"/>
    <w:rsid w:val="00034AD4"/>
    <w:rsid w:val="00037CE0"/>
    <w:rsid w:val="00042981"/>
    <w:rsid w:val="0004527D"/>
    <w:rsid w:val="00050158"/>
    <w:rsid w:val="00053929"/>
    <w:rsid w:val="00054FB5"/>
    <w:rsid w:val="000710E1"/>
    <w:rsid w:val="0007175F"/>
    <w:rsid w:val="00074DE8"/>
    <w:rsid w:val="000834D3"/>
    <w:rsid w:val="00084187"/>
    <w:rsid w:val="00093844"/>
    <w:rsid w:val="00093A30"/>
    <w:rsid w:val="00096787"/>
    <w:rsid w:val="000A1C29"/>
    <w:rsid w:val="000A3E3E"/>
    <w:rsid w:val="000B26F9"/>
    <w:rsid w:val="000B47C6"/>
    <w:rsid w:val="000B749A"/>
    <w:rsid w:val="000C2489"/>
    <w:rsid w:val="000C2BE5"/>
    <w:rsid w:val="000D5C76"/>
    <w:rsid w:val="000E2FA0"/>
    <w:rsid w:val="000E44D4"/>
    <w:rsid w:val="000E47E9"/>
    <w:rsid w:val="000F28E2"/>
    <w:rsid w:val="0010271F"/>
    <w:rsid w:val="00107C49"/>
    <w:rsid w:val="00116E09"/>
    <w:rsid w:val="0012096C"/>
    <w:rsid w:val="001251CA"/>
    <w:rsid w:val="00127828"/>
    <w:rsid w:val="0013060E"/>
    <w:rsid w:val="00132375"/>
    <w:rsid w:val="00143C01"/>
    <w:rsid w:val="00146012"/>
    <w:rsid w:val="001460FE"/>
    <w:rsid w:val="0014749C"/>
    <w:rsid w:val="001554FE"/>
    <w:rsid w:val="00161BDA"/>
    <w:rsid w:val="00162642"/>
    <w:rsid w:val="00170C33"/>
    <w:rsid w:val="00171618"/>
    <w:rsid w:val="00172333"/>
    <w:rsid w:val="0017764B"/>
    <w:rsid w:val="001819B1"/>
    <w:rsid w:val="001835B0"/>
    <w:rsid w:val="00184775"/>
    <w:rsid w:val="0019225B"/>
    <w:rsid w:val="00193FE4"/>
    <w:rsid w:val="00194F37"/>
    <w:rsid w:val="00196532"/>
    <w:rsid w:val="001A05BE"/>
    <w:rsid w:val="001A123E"/>
    <w:rsid w:val="001A2D10"/>
    <w:rsid w:val="001A44B6"/>
    <w:rsid w:val="001A5E83"/>
    <w:rsid w:val="001A795F"/>
    <w:rsid w:val="001B64DE"/>
    <w:rsid w:val="001C5E41"/>
    <w:rsid w:val="001C77BC"/>
    <w:rsid w:val="001C7BC9"/>
    <w:rsid w:val="001D0052"/>
    <w:rsid w:val="001D379C"/>
    <w:rsid w:val="001D48BB"/>
    <w:rsid w:val="001D4BF8"/>
    <w:rsid w:val="001D5ACC"/>
    <w:rsid w:val="001D6486"/>
    <w:rsid w:val="001E00E3"/>
    <w:rsid w:val="001E2E28"/>
    <w:rsid w:val="001E4F25"/>
    <w:rsid w:val="001E70A5"/>
    <w:rsid w:val="001F2349"/>
    <w:rsid w:val="002005D2"/>
    <w:rsid w:val="0020298B"/>
    <w:rsid w:val="002050C8"/>
    <w:rsid w:val="00205D7F"/>
    <w:rsid w:val="00206111"/>
    <w:rsid w:val="002074B3"/>
    <w:rsid w:val="002137E0"/>
    <w:rsid w:val="00221A6D"/>
    <w:rsid w:val="00221AC5"/>
    <w:rsid w:val="00225738"/>
    <w:rsid w:val="002279E3"/>
    <w:rsid w:val="0023393D"/>
    <w:rsid w:val="00234C53"/>
    <w:rsid w:val="0023536F"/>
    <w:rsid w:val="0025096B"/>
    <w:rsid w:val="00255EB3"/>
    <w:rsid w:val="002741AC"/>
    <w:rsid w:val="00274FE5"/>
    <w:rsid w:val="00275F13"/>
    <w:rsid w:val="00276205"/>
    <w:rsid w:val="00277716"/>
    <w:rsid w:val="002819C0"/>
    <w:rsid w:val="002825B1"/>
    <w:rsid w:val="0028594D"/>
    <w:rsid w:val="00295556"/>
    <w:rsid w:val="00295BB5"/>
    <w:rsid w:val="002A4F73"/>
    <w:rsid w:val="002A5A4D"/>
    <w:rsid w:val="002B27CF"/>
    <w:rsid w:val="002B4262"/>
    <w:rsid w:val="002B6B21"/>
    <w:rsid w:val="002C274B"/>
    <w:rsid w:val="002C31C7"/>
    <w:rsid w:val="002D5A4D"/>
    <w:rsid w:val="002E0026"/>
    <w:rsid w:val="002E22AF"/>
    <w:rsid w:val="002F30D7"/>
    <w:rsid w:val="002F4E3F"/>
    <w:rsid w:val="002F6155"/>
    <w:rsid w:val="002F739F"/>
    <w:rsid w:val="00301AB1"/>
    <w:rsid w:val="00303113"/>
    <w:rsid w:val="00304865"/>
    <w:rsid w:val="0031204D"/>
    <w:rsid w:val="00313561"/>
    <w:rsid w:val="003137A5"/>
    <w:rsid w:val="00313EAE"/>
    <w:rsid w:val="003209B0"/>
    <w:rsid w:val="00324398"/>
    <w:rsid w:val="00324F5F"/>
    <w:rsid w:val="0032782D"/>
    <w:rsid w:val="00330AF6"/>
    <w:rsid w:val="00343AF3"/>
    <w:rsid w:val="00343F52"/>
    <w:rsid w:val="0036636E"/>
    <w:rsid w:val="003678B2"/>
    <w:rsid w:val="00370C3C"/>
    <w:rsid w:val="00372E1B"/>
    <w:rsid w:val="003737D2"/>
    <w:rsid w:val="003742F2"/>
    <w:rsid w:val="00376C19"/>
    <w:rsid w:val="00384FC3"/>
    <w:rsid w:val="003A3804"/>
    <w:rsid w:val="003A3D12"/>
    <w:rsid w:val="003A525D"/>
    <w:rsid w:val="003A52BE"/>
    <w:rsid w:val="003A5866"/>
    <w:rsid w:val="003A6E9F"/>
    <w:rsid w:val="003B4355"/>
    <w:rsid w:val="003B7589"/>
    <w:rsid w:val="003C2D9F"/>
    <w:rsid w:val="003D3ECE"/>
    <w:rsid w:val="003D4CD6"/>
    <w:rsid w:val="003E656F"/>
    <w:rsid w:val="003F6B0A"/>
    <w:rsid w:val="00401559"/>
    <w:rsid w:val="004108F3"/>
    <w:rsid w:val="00411D84"/>
    <w:rsid w:val="00415131"/>
    <w:rsid w:val="00420882"/>
    <w:rsid w:val="004228C7"/>
    <w:rsid w:val="00423854"/>
    <w:rsid w:val="004269AE"/>
    <w:rsid w:val="0042798B"/>
    <w:rsid w:val="0043294E"/>
    <w:rsid w:val="00434913"/>
    <w:rsid w:val="0044217A"/>
    <w:rsid w:val="004433B6"/>
    <w:rsid w:val="004474F8"/>
    <w:rsid w:val="004541BC"/>
    <w:rsid w:val="00477550"/>
    <w:rsid w:val="0047785E"/>
    <w:rsid w:val="00483903"/>
    <w:rsid w:val="004844A8"/>
    <w:rsid w:val="00490E47"/>
    <w:rsid w:val="00491089"/>
    <w:rsid w:val="004921A9"/>
    <w:rsid w:val="00492DD0"/>
    <w:rsid w:val="00493991"/>
    <w:rsid w:val="0049430A"/>
    <w:rsid w:val="00496803"/>
    <w:rsid w:val="004A2A09"/>
    <w:rsid w:val="004A3430"/>
    <w:rsid w:val="004A599C"/>
    <w:rsid w:val="004B6688"/>
    <w:rsid w:val="004B6C84"/>
    <w:rsid w:val="004B71D7"/>
    <w:rsid w:val="004B7E3C"/>
    <w:rsid w:val="004C3718"/>
    <w:rsid w:val="004D1CCA"/>
    <w:rsid w:val="004D62AB"/>
    <w:rsid w:val="004D633A"/>
    <w:rsid w:val="004E172A"/>
    <w:rsid w:val="004E7FE1"/>
    <w:rsid w:val="004F23A6"/>
    <w:rsid w:val="004F376E"/>
    <w:rsid w:val="004F6DBB"/>
    <w:rsid w:val="00502DCA"/>
    <w:rsid w:val="00506DC3"/>
    <w:rsid w:val="005209BF"/>
    <w:rsid w:val="00523ABB"/>
    <w:rsid w:val="005244A4"/>
    <w:rsid w:val="0052621E"/>
    <w:rsid w:val="00527783"/>
    <w:rsid w:val="0053230D"/>
    <w:rsid w:val="00533848"/>
    <w:rsid w:val="0054343B"/>
    <w:rsid w:val="00551ABC"/>
    <w:rsid w:val="00557ADF"/>
    <w:rsid w:val="005814B5"/>
    <w:rsid w:val="005824BD"/>
    <w:rsid w:val="0058500E"/>
    <w:rsid w:val="00592F6E"/>
    <w:rsid w:val="0059787B"/>
    <w:rsid w:val="005A5C8F"/>
    <w:rsid w:val="005A746A"/>
    <w:rsid w:val="005A7C2F"/>
    <w:rsid w:val="005B649E"/>
    <w:rsid w:val="005B778C"/>
    <w:rsid w:val="005C13B9"/>
    <w:rsid w:val="005C2079"/>
    <w:rsid w:val="005C67DF"/>
    <w:rsid w:val="005D18C3"/>
    <w:rsid w:val="005D262B"/>
    <w:rsid w:val="005D2941"/>
    <w:rsid w:val="005D3E9D"/>
    <w:rsid w:val="005D559B"/>
    <w:rsid w:val="005D6030"/>
    <w:rsid w:val="005D725E"/>
    <w:rsid w:val="005D7A68"/>
    <w:rsid w:val="005D7AD1"/>
    <w:rsid w:val="005E7C7A"/>
    <w:rsid w:val="005F0B47"/>
    <w:rsid w:val="005F157E"/>
    <w:rsid w:val="005F2A8B"/>
    <w:rsid w:val="005F4543"/>
    <w:rsid w:val="005F5BA5"/>
    <w:rsid w:val="006020B8"/>
    <w:rsid w:val="00604284"/>
    <w:rsid w:val="00610B09"/>
    <w:rsid w:val="00611DFA"/>
    <w:rsid w:val="00615F8C"/>
    <w:rsid w:val="00616143"/>
    <w:rsid w:val="006164EF"/>
    <w:rsid w:val="00621F90"/>
    <w:rsid w:val="00624A4C"/>
    <w:rsid w:val="006256D3"/>
    <w:rsid w:val="00627BB7"/>
    <w:rsid w:val="00632CF2"/>
    <w:rsid w:val="00632D5C"/>
    <w:rsid w:val="00635B36"/>
    <w:rsid w:val="00644A13"/>
    <w:rsid w:val="0065136E"/>
    <w:rsid w:val="00655D4F"/>
    <w:rsid w:val="006562C1"/>
    <w:rsid w:val="006624BF"/>
    <w:rsid w:val="00667549"/>
    <w:rsid w:val="00670C49"/>
    <w:rsid w:val="00670D71"/>
    <w:rsid w:val="00671E70"/>
    <w:rsid w:val="00690A62"/>
    <w:rsid w:val="00691305"/>
    <w:rsid w:val="00694845"/>
    <w:rsid w:val="006A1B0C"/>
    <w:rsid w:val="006A2401"/>
    <w:rsid w:val="006A3284"/>
    <w:rsid w:val="006A3E78"/>
    <w:rsid w:val="006B36AC"/>
    <w:rsid w:val="006D1093"/>
    <w:rsid w:val="006D667E"/>
    <w:rsid w:val="006D7318"/>
    <w:rsid w:val="006E7528"/>
    <w:rsid w:val="006E7DCE"/>
    <w:rsid w:val="006F0FD6"/>
    <w:rsid w:val="006F44D4"/>
    <w:rsid w:val="006F4BFB"/>
    <w:rsid w:val="007050B9"/>
    <w:rsid w:val="007050FF"/>
    <w:rsid w:val="00707493"/>
    <w:rsid w:val="00720375"/>
    <w:rsid w:val="00725BE7"/>
    <w:rsid w:val="00737C66"/>
    <w:rsid w:val="00745274"/>
    <w:rsid w:val="00752764"/>
    <w:rsid w:val="00754DB3"/>
    <w:rsid w:val="0076198C"/>
    <w:rsid w:val="007637F8"/>
    <w:rsid w:val="00764452"/>
    <w:rsid w:val="00765244"/>
    <w:rsid w:val="00765652"/>
    <w:rsid w:val="00766962"/>
    <w:rsid w:val="00766BA8"/>
    <w:rsid w:val="00767BA9"/>
    <w:rsid w:val="00770FFD"/>
    <w:rsid w:val="00771677"/>
    <w:rsid w:val="00772753"/>
    <w:rsid w:val="00772BED"/>
    <w:rsid w:val="00775287"/>
    <w:rsid w:val="00776FFB"/>
    <w:rsid w:val="007774F2"/>
    <w:rsid w:val="007810BB"/>
    <w:rsid w:val="007835AE"/>
    <w:rsid w:val="007844C4"/>
    <w:rsid w:val="00791692"/>
    <w:rsid w:val="00794652"/>
    <w:rsid w:val="00794E45"/>
    <w:rsid w:val="0079693F"/>
    <w:rsid w:val="007A1C92"/>
    <w:rsid w:val="007A5107"/>
    <w:rsid w:val="007A5AC1"/>
    <w:rsid w:val="007B41D1"/>
    <w:rsid w:val="007D2BB6"/>
    <w:rsid w:val="007D33F4"/>
    <w:rsid w:val="007E136A"/>
    <w:rsid w:val="007E4714"/>
    <w:rsid w:val="007E6E35"/>
    <w:rsid w:val="007F22F3"/>
    <w:rsid w:val="007F3ABE"/>
    <w:rsid w:val="007F5813"/>
    <w:rsid w:val="00803F13"/>
    <w:rsid w:val="00807057"/>
    <w:rsid w:val="00807DCF"/>
    <w:rsid w:val="00821433"/>
    <w:rsid w:val="00821A70"/>
    <w:rsid w:val="00822D08"/>
    <w:rsid w:val="008312CB"/>
    <w:rsid w:val="008328E9"/>
    <w:rsid w:val="00835BCB"/>
    <w:rsid w:val="00835CDC"/>
    <w:rsid w:val="008362A1"/>
    <w:rsid w:val="0083768D"/>
    <w:rsid w:val="00837EF0"/>
    <w:rsid w:val="00850B09"/>
    <w:rsid w:val="008549A7"/>
    <w:rsid w:val="00855898"/>
    <w:rsid w:val="008563F6"/>
    <w:rsid w:val="0086024B"/>
    <w:rsid w:val="00863A4E"/>
    <w:rsid w:val="00863B9D"/>
    <w:rsid w:val="00863BE6"/>
    <w:rsid w:val="00873205"/>
    <w:rsid w:val="008733A1"/>
    <w:rsid w:val="008752D1"/>
    <w:rsid w:val="008775BB"/>
    <w:rsid w:val="008775BC"/>
    <w:rsid w:val="00877EE7"/>
    <w:rsid w:val="00881703"/>
    <w:rsid w:val="00882F1B"/>
    <w:rsid w:val="00886E53"/>
    <w:rsid w:val="008A3A96"/>
    <w:rsid w:val="008A6505"/>
    <w:rsid w:val="008A70CE"/>
    <w:rsid w:val="008C0651"/>
    <w:rsid w:val="008C25E4"/>
    <w:rsid w:val="008C2DAE"/>
    <w:rsid w:val="008D0A75"/>
    <w:rsid w:val="008D12FA"/>
    <w:rsid w:val="008D769B"/>
    <w:rsid w:val="008E1456"/>
    <w:rsid w:val="008E16E3"/>
    <w:rsid w:val="008E28FF"/>
    <w:rsid w:val="008E4F79"/>
    <w:rsid w:val="008F377A"/>
    <w:rsid w:val="009059A9"/>
    <w:rsid w:val="00906705"/>
    <w:rsid w:val="0090704D"/>
    <w:rsid w:val="00910FBD"/>
    <w:rsid w:val="009115BC"/>
    <w:rsid w:val="0092149A"/>
    <w:rsid w:val="009215F7"/>
    <w:rsid w:val="0092515E"/>
    <w:rsid w:val="009342B4"/>
    <w:rsid w:val="009344D2"/>
    <w:rsid w:val="00941AA9"/>
    <w:rsid w:val="00942FBD"/>
    <w:rsid w:val="00944B04"/>
    <w:rsid w:val="0094770B"/>
    <w:rsid w:val="00950A4A"/>
    <w:rsid w:val="00953F1F"/>
    <w:rsid w:val="00956CCB"/>
    <w:rsid w:val="00960D15"/>
    <w:rsid w:val="00964154"/>
    <w:rsid w:val="00967BF0"/>
    <w:rsid w:val="009744DA"/>
    <w:rsid w:val="00976BFC"/>
    <w:rsid w:val="00977079"/>
    <w:rsid w:val="00990377"/>
    <w:rsid w:val="00993D54"/>
    <w:rsid w:val="009A27E4"/>
    <w:rsid w:val="009A5D05"/>
    <w:rsid w:val="009B16A3"/>
    <w:rsid w:val="009B2267"/>
    <w:rsid w:val="009B2288"/>
    <w:rsid w:val="009B7B70"/>
    <w:rsid w:val="009C0ABF"/>
    <w:rsid w:val="009C19BE"/>
    <w:rsid w:val="009C27AF"/>
    <w:rsid w:val="009C302C"/>
    <w:rsid w:val="009C5199"/>
    <w:rsid w:val="009D3933"/>
    <w:rsid w:val="009D3DAF"/>
    <w:rsid w:val="009E0AE8"/>
    <w:rsid w:val="009E5374"/>
    <w:rsid w:val="009E7368"/>
    <w:rsid w:val="009F345D"/>
    <w:rsid w:val="009F6A76"/>
    <w:rsid w:val="009F7540"/>
    <w:rsid w:val="00A00C84"/>
    <w:rsid w:val="00A01EA6"/>
    <w:rsid w:val="00A02529"/>
    <w:rsid w:val="00A13218"/>
    <w:rsid w:val="00A20D3D"/>
    <w:rsid w:val="00A227A3"/>
    <w:rsid w:val="00A235C2"/>
    <w:rsid w:val="00A25E54"/>
    <w:rsid w:val="00A30333"/>
    <w:rsid w:val="00A36200"/>
    <w:rsid w:val="00A41CE3"/>
    <w:rsid w:val="00A5033C"/>
    <w:rsid w:val="00A51797"/>
    <w:rsid w:val="00A534EB"/>
    <w:rsid w:val="00A53A55"/>
    <w:rsid w:val="00A54D5B"/>
    <w:rsid w:val="00A60B73"/>
    <w:rsid w:val="00A6311C"/>
    <w:rsid w:val="00A706F0"/>
    <w:rsid w:val="00A777FF"/>
    <w:rsid w:val="00A80080"/>
    <w:rsid w:val="00A954C8"/>
    <w:rsid w:val="00A9552A"/>
    <w:rsid w:val="00A972E1"/>
    <w:rsid w:val="00AA3F7B"/>
    <w:rsid w:val="00AA4592"/>
    <w:rsid w:val="00AB4951"/>
    <w:rsid w:val="00AB6E08"/>
    <w:rsid w:val="00AB76AB"/>
    <w:rsid w:val="00AC61DA"/>
    <w:rsid w:val="00AD1091"/>
    <w:rsid w:val="00AE63F1"/>
    <w:rsid w:val="00AF4241"/>
    <w:rsid w:val="00AF424E"/>
    <w:rsid w:val="00AF4E5A"/>
    <w:rsid w:val="00B21744"/>
    <w:rsid w:val="00B23512"/>
    <w:rsid w:val="00B27FFC"/>
    <w:rsid w:val="00B315A0"/>
    <w:rsid w:val="00B34A18"/>
    <w:rsid w:val="00B351C9"/>
    <w:rsid w:val="00B40B7B"/>
    <w:rsid w:val="00B42194"/>
    <w:rsid w:val="00B468CE"/>
    <w:rsid w:val="00B47F72"/>
    <w:rsid w:val="00B52B7F"/>
    <w:rsid w:val="00B5347D"/>
    <w:rsid w:val="00B5599F"/>
    <w:rsid w:val="00B579CB"/>
    <w:rsid w:val="00B626CD"/>
    <w:rsid w:val="00B64359"/>
    <w:rsid w:val="00B6642F"/>
    <w:rsid w:val="00B66B77"/>
    <w:rsid w:val="00B70083"/>
    <w:rsid w:val="00B76C9A"/>
    <w:rsid w:val="00B827B6"/>
    <w:rsid w:val="00B83C2C"/>
    <w:rsid w:val="00B83EF9"/>
    <w:rsid w:val="00B851DC"/>
    <w:rsid w:val="00B928A3"/>
    <w:rsid w:val="00B94B55"/>
    <w:rsid w:val="00B95C2F"/>
    <w:rsid w:val="00B96479"/>
    <w:rsid w:val="00BA2FBF"/>
    <w:rsid w:val="00BA4BAF"/>
    <w:rsid w:val="00BA58DF"/>
    <w:rsid w:val="00BB23DD"/>
    <w:rsid w:val="00BB28F6"/>
    <w:rsid w:val="00BB564F"/>
    <w:rsid w:val="00BC0C3C"/>
    <w:rsid w:val="00BC2609"/>
    <w:rsid w:val="00BC49F9"/>
    <w:rsid w:val="00BC7C4F"/>
    <w:rsid w:val="00BD2A54"/>
    <w:rsid w:val="00BE1461"/>
    <w:rsid w:val="00BF0F36"/>
    <w:rsid w:val="00BF1334"/>
    <w:rsid w:val="00BF4697"/>
    <w:rsid w:val="00C0528F"/>
    <w:rsid w:val="00C061D6"/>
    <w:rsid w:val="00C0708D"/>
    <w:rsid w:val="00C13145"/>
    <w:rsid w:val="00C24992"/>
    <w:rsid w:val="00C31E16"/>
    <w:rsid w:val="00C32DE6"/>
    <w:rsid w:val="00C50B8D"/>
    <w:rsid w:val="00C63612"/>
    <w:rsid w:val="00C72A0A"/>
    <w:rsid w:val="00C8188F"/>
    <w:rsid w:val="00C90BC1"/>
    <w:rsid w:val="00C965CD"/>
    <w:rsid w:val="00CA6757"/>
    <w:rsid w:val="00CA7E43"/>
    <w:rsid w:val="00CB74C2"/>
    <w:rsid w:val="00CC424A"/>
    <w:rsid w:val="00CC64BC"/>
    <w:rsid w:val="00CD05B5"/>
    <w:rsid w:val="00CE09D9"/>
    <w:rsid w:val="00CE750F"/>
    <w:rsid w:val="00CF23EE"/>
    <w:rsid w:val="00D0209C"/>
    <w:rsid w:val="00D10FF1"/>
    <w:rsid w:val="00D15243"/>
    <w:rsid w:val="00D160CB"/>
    <w:rsid w:val="00D245A1"/>
    <w:rsid w:val="00D276DF"/>
    <w:rsid w:val="00D375D7"/>
    <w:rsid w:val="00D415E2"/>
    <w:rsid w:val="00D42055"/>
    <w:rsid w:val="00D424FA"/>
    <w:rsid w:val="00D43113"/>
    <w:rsid w:val="00D442AA"/>
    <w:rsid w:val="00D4485D"/>
    <w:rsid w:val="00D4692D"/>
    <w:rsid w:val="00D470CF"/>
    <w:rsid w:val="00D47E02"/>
    <w:rsid w:val="00D647C3"/>
    <w:rsid w:val="00D64F7B"/>
    <w:rsid w:val="00D66925"/>
    <w:rsid w:val="00D851EF"/>
    <w:rsid w:val="00D915F2"/>
    <w:rsid w:val="00D94235"/>
    <w:rsid w:val="00D9633A"/>
    <w:rsid w:val="00DA0969"/>
    <w:rsid w:val="00DA0EA2"/>
    <w:rsid w:val="00DA3C64"/>
    <w:rsid w:val="00DA565B"/>
    <w:rsid w:val="00DB3BE3"/>
    <w:rsid w:val="00DB54AC"/>
    <w:rsid w:val="00DC07B8"/>
    <w:rsid w:val="00DC592B"/>
    <w:rsid w:val="00DC7DC6"/>
    <w:rsid w:val="00DD3247"/>
    <w:rsid w:val="00DE4EC9"/>
    <w:rsid w:val="00DE5579"/>
    <w:rsid w:val="00DF2386"/>
    <w:rsid w:val="00DF400A"/>
    <w:rsid w:val="00DF5550"/>
    <w:rsid w:val="00DF7FE7"/>
    <w:rsid w:val="00E21E46"/>
    <w:rsid w:val="00E25088"/>
    <w:rsid w:val="00E36AC6"/>
    <w:rsid w:val="00E437CB"/>
    <w:rsid w:val="00E45827"/>
    <w:rsid w:val="00E46367"/>
    <w:rsid w:val="00E5205F"/>
    <w:rsid w:val="00E52B9D"/>
    <w:rsid w:val="00E558AF"/>
    <w:rsid w:val="00E63F0B"/>
    <w:rsid w:val="00E73445"/>
    <w:rsid w:val="00E73EE3"/>
    <w:rsid w:val="00E93AD1"/>
    <w:rsid w:val="00EA02DA"/>
    <w:rsid w:val="00EA2797"/>
    <w:rsid w:val="00EA3A7F"/>
    <w:rsid w:val="00EA3DBC"/>
    <w:rsid w:val="00EB0BE9"/>
    <w:rsid w:val="00EC673C"/>
    <w:rsid w:val="00ED2263"/>
    <w:rsid w:val="00EE0E86"/>
    <w:rsid w:val="00EF3827"/>
    <w:rsid w:val="00EF6C5F"/>
    <w:rsid w:val="00EF70B8"/>
    <w:rsid w:val="00F078F1"/>
    <w:rsid w:val="00F103F4"/>
    <w:rsid w:val="00F163B4"/>
    <w:rsid w:val="00F31EFE"/>
    <w:rsid w:val="00F32D03"/>
    <w:rsid w:val="00F344DE"/>
    <w:rsid w:val="00F37A4C"/>
    <w:rsid w:val="00F42C01"/>
    <w:rsid w:val="00F44ADA"/>
    <w:rsid w:val="00F56F30"/>
    <w:rsid w:val="00F6004D"/>
    <w:rsid w:val="00F711D3"/>
    <w:rsid w:val="00F73E71"/>
    <w:rsid w:val="00F82FB9"/>
    <w:rsid w:val="00F9333B"/>
    <w:rsid w:val="00FA1AF6"/>
    <w:rsid w:val="00FA409D"/>
    <w:rsid w:val="00FA50B5"/>
    <w:rsid w:val="00FA7A28"/>
    <w:rsid w:val="00FB0F61"/>
    <w:rsid w:val="00FB14FC"/>
    <w:rsid w:val="00FB3B91"/>
    <w:rsid w:val="00FC17BF"/>
    <w:rsid w:val="00FD70AF"/>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02606"/>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customStyle="1" w:styleId="Mentionnonrsolue1">
    <w:name w:val="Mention non résolue1"/>
    <w:basedOn w:val="DefaultParagraphFont"/>
    <w:uiPriority w:val="99"/>
    <w:semiHidden/>
    <w:unhideWhenUsed/>
    <w:rsid w:val="001E4F25"/>
    <w:rPr>
      <w:color w:val="605E5C"/>
      <w:shd w:val="clear" w:color="auto" w:fill="E1DFDD"/>
    </w:rPr>
  </w:style>
  <w:style w:type="character" w:styleId="FollowedHyperlink">
    <w:name w:val="FollowedHyperlink"/>
    <w:basedOn w:val="DefaultParagraphFont"/>
    <w:uiPriority w:val="99"/>
    <w:semiHidden/>
    <w:unhideWhenUsed/>
    <w:rsid w:val="007835AE"/>
    <w:rPr>
      <w:color w:val="800080" w:themeColor="followedHyperlink"/>
      <w:u w:val="single"/>
    </w:rPr>
  </w:style>
  <w:style w:type="character" w:styleId="UnresolvedMention">
    <w:name w:val="Unresolved Mention"/>
    <w:basedOn w:val="DefaultParagraphFont"/>
    <w:uiPriority w:val="99"/>
    <w:semiHidden/>
    <w:unhideWhenUsed/>
    <w:rsid w:val="0067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fr/le-comite-permanent-actuel-2023-2025-les-memb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resolution-xiv8-la-nouvelle-approche-de-la-cesp" TargetMode="External"/><Relationship Id="rId1" Type="http://schemas.openxmlformats.org/officeDocument/2006/relationships/hyperlink" Target="https://www.ramsar.org/fr/document/cop13-doc10-rapport-sur-lapplication-du-programme-de-cesp-2016-2018-et-recommandations-s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043B-DECA-4653-B311-04E5D5B770BF}">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aedd258d-19a7-41ba-8260-b0918f25313d"/>
    <ds:schemaRef ds:uri="http://schemas.microsoft.com/office/infopath/2007/PartnerControls"/>
    <ds:schemaRef ds:uri="http://www.w3.org/XML/1998/namespace"/>
    <ds:schemaRef ds:uri="8c0b6b05-eb82-4bda-97e8-cd82d0d6b453"/>
    <ds:schemaRef ds:uri="http://purl.org/dc/elements/1.1/"/>
  </ds:schemaRefs>
</ds:datastoreItem>
</file>

<file path=customXml/itemProps2.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3.xml><?xml version="1.0" encoding="utf-8"?>
<ds:datastoreItem xmlns:ds="http://schemas.openxmlformats.org/officeDocument/2006/customXml" ds:itemID="{86C6ACAB-F538-437A-B46D-B4DD8541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600CB-CCAF-401E-8052-80592BF0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2654</Words>
  <Characters>15132</Characters>
  <Application>Microsoft Office Word</Application>
  <DocSecurity>0</DocSecurity>
  <Lines>126</Lines>
  <Paragraphs>35</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Company>IUCN</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5</cp:revision>
  <cp:lastPrinted>2023-12-20T17:54:00Z</cp:lastPrinted>
  <dcterms:created xsi:type="dcterms:W3CDTF">2024-02-13T09:34:00Z</dcterms:created>
  <dcterms:modified xsi:type="dcterms:W3CDTF">2024-03-01T11:04:00Z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