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EDD4" w14:textId="77777777" w:rsidR="00CA050D" w:rsidRPr="005F3F7B" w:rsidRDefault="00CA050D" w:rsidP="00CA050D">
      <w:pPr>
        <w:pBdr>
          <w:top w:val="single" w:sz="12" w:space="0" w:color="auto" w:shadow="1"/>
          <w:left w:val="single" w:sz="12" w:space="4" w:color="auto" w:shadow="1"/>
          <w:bottom w:val="single" w:sz="12" w:space="1" w:color="auto" w:shadow="1"/>
          <w:right w:val="single" w:sz="12" w:space="7" w:color="auto" w:shadow="1"/>
        </w:pBdr>
        <w:ind w:right="4490"/>
        <w:rPr>
          <w:bCs/>
        </w:rPr>
      </w:pPr>
      <w:r w:rsidRPr="005F3F7B">
        <w:rPr>
          <w:bCs/>
        </w:rPr>
        <w:t>THE CONVENTION ON WETLANDS</w:t>
      </w:r>
    </w:p>
    <w:p w14:paraId="5C7DD440" w14:textId="77777777" w:rsidR="00CA050D" w:rsidRDefault="00CA050D" w:rsidP="00CA050D">
      <w:pPr>
        <w:pBdr>
          <w:top w:val="single" w:sz="12" w:space="0" w:color="auto" w:shadow="1"/>
          <w:left w:val="single" w:sz="12" w:space="4" w:color="auto" w:shadow="1"/>
          <w:bottom w:val="single" w:sz="12" w:space="1" w:color="auto" w:shadow="1"/>
          <w:right w:val="single" w:sz="12" w:space="7" w:color="auto" w:shadow="1"/>
        </w:pBdr>
        <w:ind w:right="4490"/>
        <w:rPr>
          <w:bCs/>
        </w:rPr>
      </w:pPr>
      <w:r>
        <w:rPr>
          <w:bCs/>
        </w:rPr>
        <w:t>63rd</w:t>
      </w:r>
      <w:r w:rsidRPr="005F3F7B">
        <w:rPr>
          <w:bCs/>
        </w:rPr>
        <w:t xml:space="preserve"> </w:t>
      </w:r>
      <w:r>
        <w:rPr>
          <w:bCs/>
        </w:rPr>
        <w:t>m</w:t>
      </w:r>
      <w:r w:rsidRPr="005F3F7B">
        <w:rPr>
          <w:bCs/>
        </w:rPr>
        <w:t>eeting of the Standing Committee</w:t>
      </w:r>
    </w:p>
    <w:p w14:paraId="62448D5D" w14:textId="77777777" w:rsidR="00CA050D" w:rsidRDefault="00CA050D" w:rsidP="00CA050D">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5F3F7B">
        <w:rPr>
          <w:bCs/>
        </w:rPr>
        <w:t xml:space="preserve">Gland, Switzerland, </w:t>
      </w:r>
      <w:r>
        <w:rPr>
          <w:bCs/>
        </w:rPr>
        <w:t>3-7 June 2024</w:t>
      </w:r>
    </w:p>
    <w:p w14:paraId="1D6E7ED2" w14:textId="77777777" w:rsidR="00DF2386" w:rsidRPr="00C24992" w:rsidRDefault="00DF2386" w:rsidP="00014168">
      <w:pPr>
        <w:outlineLvl w:val="0"/>
        <w:rPr>
          <w:b/>
          <w:lang w:val="de-CH"/>
        </w:rPr>
      </w:pPr>
    </w:p>
    <w:p w14:paraId="3303F271" w14:textId="77777777" w:rsidR="00DF2386" w:rsidRPr="006562C1" w:rsidRDefault="0014749C" w:rsidP="0014749C">
      <w:pPr>
        <w:jc w:val="right"/>
        <w:rPr>
          <w:b/>
          <w:sz w:val="28"/>
          <w:lang w:val="de-CH"/>
        </w:rPr>
      </w:pPr>
      <w:r w:rsidRPr="00C24992">
        <w:rPr>
          <w:rFonts w:cs="Arial"/>
          <w:b/>
          <w:sz w:val="28"/>
          <w:szCs w:val="28"/>
          <w:lang w:val="de-CH"/>
        </w:rPr>
        <w:t>SC</w:t>
      </w:r>
      <w:r w:rsidR="00A9552A">
        <w:rPr>
          <w:rFonts w:cs="Arial"/>
          <w:b/>
          <w:sz w:val="28"/>
          <w:szCs w:val="28"/>
          <w:lang w:val="de-CH"/>
        </w:rPr>
        <w:t>63</w:t>
      </w:r>
      <w:r w:rsidRPr="00C24992">
        <w:rPr>
          <w:rFonts w:cs="Arial"/>
          <w:b/>
          <w:sz w:val="28"/>
          <w:szCs w:val="28"/>
          <w:lang w:val="de-CH"/>
        </w:rPr>
        <w:t xml:space="preserve"> </w:t>
      </w:r>
      <w:r w:rsidR="00FD76BF" w:rsidRPr="00A25E54">
        <w:rPr>
          <w:rFonts w:cs="Arial"/>
          <w:b/>
          <w:sz w:val="28"/>
          <w:szCs w:val="28"/>
          <w:lang w:val="de-CH"/>
        </w:rPr>
        <w:t>Doc</w:t>
      </w:r>
      <w:r>
        <w:rPr>
          <w:rFonts w:cs="Arial"/>
          <w:b/>
          <w:sz w:val="28"/>
          <w:szCs w:val="28"/>
          <w:lang w:val="de-CH"/>
        </w:rPr>
        <w:t>.17.</w:t>
      </w:r>
      <w:r w:rsidR="00A9552A">
        <w:rPr>
          <w:rFonts w:cs="Arial"/>
          <w:b/>
          <w:sz w:val="28"/>
          <w:szCs w:val="28"/>
          <w:lang w:val="de-CH"/>
        </w:rPr>
        <w:t>2</w:t>
      </w:r>
    </w:p>
    <w:p w14:paraId="39789CB6" w14:textId="77777777" w:rsidR="0014749C" w:rsidRPr="00696775" w:rsidRDefault="0014749C" w:rsidP="00014168">
      <w:pPr>
        <w:jc w:val="center"/>
        <w:rPr>
          <w:rFonts w:cs="Arial"/>
          <w:b/>
          <w:sz w:val="28"/>
          <w:szCs w:val="28"/>
          <w:lang w:val="de-DE"/>
        </w:rPr>
      </w:pPr>
    </w:p>
    <w:p w14:paraId="71C72D7C" w14:textId="77777777" w:rsidR="00597B79" w:rsidRPr="006C4071" w:rsidRDefault="00597B79" w:rsidP="00597B79">
      <w:pPr>
        <w:jc w:val="center"/>
        <w:rPr>
          <w:rFonts w:cstheme="minorHAnsi"/>
          <w:b/>
          <w:bCs/>
          <w:sz w:val="28"/>
          <w:szCs w:val="28"/>
        </w:rPr>
      </w:pPr>
      <w:r w:rsidRPr="006C4071">
        <w:rPr>
          <w:rFonts w:cstheme="minorHAnsi"/>
          <w:b/>
          <w:bCs/>
          <w:sz w:val="28"/>
          <w:szCs w:val="28"/>
        </w:rPr>
        <w:t xml:space="preserve">Communication, capacity building, education, participation </w:t>
      </w:r>
      <w:r w:rsidRPr="006C4071">
        <w:rPr>
          <w:rFonts w:cstheme="minorHAnsi"/>
          <w:b/>
          <w:bCs/>
          <w:sz w:val="28"/>
          <w:szCs w:val="28"/>
        </w:rPr>
        <w:br/>
        <w:t>and awareness (CEPA):</w:t>
      </w:r>
    </w:p>
    <w:p w14:paraId="7C5CE640" w14:textId="0B1485CA" w:rsidR="00DF2386" w:rsidRDefault="00737C66" w:rsidP="00A9552A">
      <w:pPr>
        <w:jc w:val="center"/>
        <w:rPr>
          <w:rFonts w:cs="Arial"/>
          <w:b/>
          <w:sz w:val="28"/>
          <w:szCs w:val="28"/>
        </w:rPr>
      </w:pPr>
      <w:r w:rsidRPr="00737C66">
        <w:rPr>
          <w:rFonts w:cs="Arial"/>
          <w:b/>
          <w:sz w:val="28"/>
          <w:szCs w:val="28"/>
        </w:rPr>
        <w:t xml:space="preserve">Report of the </w:t>
      </w:r>
      <w:r w:rsidR="00A9552A">
        <w:rPr>
          <w:rFonts w:cs="Arial"/>
          <w:b/>
          <w:sz w:val="28"/>
          <w:szCs w:val="28"/>
        </w:rPr>
        <w:t xml:space="preserve">Secretariat on the proposed </w:t>
      </w:r>
      <w:bookmarkStart w:id="0" w:name="_Hlk149300449"/>
      <w:r w:rsidR="00A9552A">
        <w:rPr>
          <w:rFonts w:cs="Arial"/>
          <w:b/>
          <w:sz w:val="28"/>
          <w:szCs w:val="28"/>
        </w:rPr>
        <w:t>future operations of the CEPA Oversight Panel</w:t>
      </w:r>
      <w:bookmarkEnd w:id="0"/>
      <w:r w:rsidR="00A9552A">
        <w:rPr>
          <w:rFonts w:cs="Arial"/>
          <w:b/>
          <w:sz w:val="28"/>
          <w:szCs w:val="28"/>
        </w:rPr>
        <w:t xml:space="preserve">, in accordance with Resolution XIV.8 </w:t>
      </w:r>
    </w:p>
    <w:p w14:paraId="12FA1E0A" w14:textId="77777777" w:rsidR="00A9552A" w:rsidRDefault="00A9552A" w:rsidP="00A9552A">
      <w:pPr>
        <w:jc w:val="center"/>
        <w:rPr>
          <w:rFonts w:cs="Arial"/>
          <w:b/>
          <w:sz w:val="28"/>
          <w:szCs w:val="28"/>
        </w:rPr>
      </w:pPr>
    </w:p>
    <w:p w14:paraId="205F119E" w14:textId="77777777" w:rsidR="00DF2386" w:rsidRDefault="00DF2386" w:rsidP="00014168">
      <w:pPr>
        <w:rPr>
          <w:rFonts w:ascii="Garamond" w:hAnsi="Garamond" w:cs="Arial"/>
        </w:rPr>
      </w:pPr>
    </w:p>
    <w:p w14:paraId="7A33A5C6"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2FA92577" wp14:editId="081CAABD">
                <wp:extent cx="5867400" cy="187642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876425"/>
                        </a:xfrm>
                        <a:prstGeom prst="rect">
                          <a:avLst/>
                        </a:prstGeom>
                        <a:solidFill>
                          <a:srgbClr val="FFFFFF"/>
                        </a:solidFill>
                        <a:ln w="9525">
                          <a:solidFill>
                            <a:srgbClr val="000000"/>
                          </a:solidFill>
                          <a:miter lim="800000"/>
                          <a:headEnd/>
                          <a:tailEnd/>
                        </a:ln>
                      </wps:spPr>
                      <wps:txbx>
                        <w:txbxContent>
                          <w:p w14:paraId="291FFDF5" w14:textId="0DCE63A6" w:rsidR="00D915F2" w:rsidRPr="00BF0F36" w:rsidRDefault="00D915F2" w:rsidP="000C2489">
                            <w:pPr>
                              <w:rPr>
                                <w:b/>
                                <w:bCs/>
                              </w:rPr>
                            </w:pPr>
                            <w:r w:rsidRPr="00BF0F36">
                              <w:rPr>
                                <w:b/>
                                <w:bCs/>
                              </w:rPr>
                              <w:t xml:space="preserve">Action requested: </w:t>
                            </w:r>
                          </w:p>
                          <w:p w14:paraId="4B5E769F" w14:textId="77777777" w:rsidR="00D915F2" w:rsidRPr="00BF0F36" w:rsidRDefault="00D915F2" w:rsidP="000C2489">
                            <w:pPr>
                              <w:pStyle w:val="ColorfulList-Accent11"/>
                              <w:ind w:left="0"/>
                            </w:pPr>
                          </w:p>
                          <w:p w14:paraId="01F98AB5" w14:textId="6E37F2D1" w:rsidR="00D915F2" w:rsidRPr="00BF0F36" w:rsidRDefault="00D915F2" w:rsidP="00275F13">
                            <w:pPr>
                              <w:pStyle w:val="ColorfulList-Accent11"/>
                              <w:ind w:left="0" w:firstLine="0"/>
                              <w:rPr>
                                <w:rFonts w:cs="Calibri"/>
                              </w:rPr>
                            </w:pPr>
                            <w:r w:rsidRPr="00BF0F36">
                              <w:t xml:space="preserve">The Standing Committee is </w:t>
                            </w:r>
                            <w:r w:rsidRPr="00BF0F36">
                              <w:rPr>
                                <w:rFonts w:cs="Calibri"/>
                              </w:rPr>
                              <w:t>invited to:</w:t>
                            </w:r>
                          </w:p>
                          <w:p w14:paraId="5D4AE62B" w14:textId="736B3BD3" w:rsidR="00D915F2" w:rsidRPr="00BF0F36" w:rsidRDefault="00D915F2" w:rsidP="000C2489">
                            <w:pPr>
                              <w:pStyle w:val="ColorfulList-Accent11"/>
                              <w:ind w:left="0"/>
                              <w:rPr>
                                <w:rFonts w:cs="Calibri"/>
                              </w:rPr>
                            </w:pPr>
                          </w:p>
                          <w:p w14:paraId="1D6CE41B" w14:textId="22D0B43F" w:rsidR="00D915F2" w:rsidRDefault="00D915F2" w:rsidP="00886E53">
                            <w:pPr>
                              <w:pStyle w:val="ColorfulList-Accent11"/>
                              <w:ind w:left="426" w:hanging="426"/>
                              <w:rPr>
                                <w:rFonts w:asciiTheme="minorHAnsi" w:hAnsiTheme="minorHAnsi" w:cstheme="minorHAnsi"/>
                              </w:rPr>
                            </w:pPr>
                            <w:proofErr w:type="spellStart"/>
                            <w:r w:rsidRPr="00BF0F36">
                              <w:rPr>
                                <w:rFonts w:cs="Calibri"/>
                              </w:rPr>
                              <w:t>i</w:t>
                            </w:r>
                            <w:proofErr w:type="spellEnd"/>
                            <w:r w:rsidRPr="00BF0F36">
                              <w:rPr>
                                <w:rFonts w:cs="Calibri"/>
                              </w:rPr>
                              <w:t>.</w:t>
                            </w:r>
                            <w:r w:rsidRPr="00BF0F36">
                              <w:rPr>
                                <w:rFonts w:cs="Calibri"/>
                              </w:rPr>
                              <w:tab/>
                            </w:r>
                            <w:proofErr w:type="gramStart"/>
                            <w:r w:rsidR="004921A9" w:rsidRPr="00BF0F36">
                              <w:rPr>
                                <w:rFonts w:asciiTheme="minorHAnsi" w:hAnsiTheme="minorHAnsi" w:cstheme="minorHAnsi"/>
                              </w:rPr>
                              <w:t>approve</w:t>
                            </w:r>
                            <w:proofErr w:type="gramEnd"/>
                            <w:r w:rsidR="004921A9">
                              <w:rPr>
                                <w:rFonts w:asciiTheme="minorHAnsi" w:hAnsiTheme="minorHAnsi" w:cstheme="minorHAnsi"/>
                              </w:rPr>
                              <w:t xml:space="preserve"> the </w:t>
                            </w:r>
                            <w:r w:rsidR="004921A9" w:rsidRPr="001105AA">
                              <w:rPr>
                                <w:rFonts w:asciiTheme="minorHAnsi" w:hAnsiTheme="minorHAnsi" w:cstheme="minorHAnsi"/>
                              </w:rPr>
                              <w:t>proposal</w:t>
                            </w:r>
                            <w:r w:rsidR="004921A9">
                              <w:rPr>
                                <w:rFonts w:asciiTheme="minorHAnsi" w:hAnsiTheme="minorHAnsi" w:cstheme="minorHAnsi"/>
                              </w:rPr>
                              <w:t xml:space="preserve"> of the Secretariat on the </w:t>
                            </w:r>
                            <w:r w:rsidR="004921A9" w:rsidRPr="004921A9">
                              <w:rPr>
                                <w:rFonts w:asciiTheme="minorHAnsi" w:hAnsiTheme="minorHAnsi" w:cstheme="minorHAnsi"/>
                              </w:rPr>
                              <w:t>future operations of the CEPA Oversight Panel</w:t>
                            </w:r>
                            <w:r w:rsidR="004921A9">
                              <w:rPr>
                                <w:rFonts w:asciiTheme="minorHAnsi" w:hAnsiTheme="minorHAnsi" w:cstheme="minorHAnsi"/>
                              </w:rPr>
                              <w:t>, and instruct the Secretariat to prepare a draft resolution for SC64 to enable its formalization by the Conference of the Contracting Parties at COP15</w:t>
                            </w:r>
                            <w:r w:rsidR="00886E53">
                              <w:rPr>
                                <w:rFonts w:asciiTheme="minorHAnsi" w:hAnsiTheme="minorHAnsi" w:cstheme="minorHAnsi"/>
                              </w:rPr>
                              <w:t>; and</w:t>
                            </w:r>
                          </w:p>
                          <w:p w14:paraId="0C79C8D9" w14:textId="77777777" w:rsidR="00886E53" w:rsidRPr="00370C3C" w:rsidRDefault="00886E53" w:rsidP="00886E53">
                            <w:pPr>
                              <w:pStyle w:val="ColorfulList-Accent11"/>
                              <w:ind w:left="426" w:hanging="426"/>
                              <w:rPr>
                                <w:rFonts w:cs="Calibri"/>
                              </w:rPr>
                            </w:pPr>
                          </w:p>
                          <w:p w14:paraId="75779A2D" w14:textId="7A9B668C" w:rsidR="00D915F2" w:rsidRPr="00F32D03" w:rsidRDefault="00886E53" w:rsidP="00FD76BF">
                            <w:pPr>
                              <w:pStyle w:val="ColorfulList-Accent11"/>
                              <w:ind w:left="425"/>
                            </w:pPr>
                            <w:r>
                              <w:t>ii.</w:t>
                            </w:r>
                            <w:r>
                              <w:tab/>
                            </w:r>
                            <w:r w:rsidR="00221AC5">
                              <w:t>a</w:t>
                            </w:r>
                            <w:r w:rsidR="00956CCB">
                              <w:t xml:space="preserve">dvise </w:t>
                            </w:r>
                            <w:r>
                              <w:t xml:space="preserve">the Secretariat </w:t>
                            </w:r>
                            <w:r w:rsidR="00956CCB">
                              <w:t xml:space="preserve">on the process and timeline to be followed for nominating the Panel for the 2025-2028 triennium. </w:t>
                            </w:r>
                          </w:p>
                        </w:txbxContent>
                      </wps:txbx>
                      <wps:bodyPr rot="0" vert="horz" wrap="square" lIns="91440" tIns="45720" rIns="91440" bIns="45720" anchor="t" anchorCtr="0" upright="1">
                        <a:noAutofit/>
                      </wps:bodyPr>
                    </wps:wsp>
                  </a:graphicData>
                </a:graphic>
              </wp:inline>
            </w:drawing>
          </mc:Choice>
          <mc:Fallback>
            <w:pict>
              <v:shapetype w14:anchorId="2FA92577" id="_x0000_t202" coordsize="21600,21600" o:spt="202" path="m,l,21600r21600,l21600,xe">
                <v:stroke joinstyle="miter"/>
                <v:path gradientshapeok="t" o:connecttype="rect"/>
              </v:shapetype>
              <v:shape id="Text Box 1" o:spid="_x0000_s1026" type="#_x0000_t202" style="width:462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">
                <v:textbox>
                  <w:txbxContent>
                    <w:p w14:paraId="291FFDF5" w14:textId="0DCE63A6" w:rsidR="00D915F2" w:rsidRPr="00BF0F36" w:rsidRDefault="00D915F2" w:rsidP="000C2489">
                      <w:pPr>
                        <w:rPr>
                          <w:b/>
                          <w:bCs/>
                        </w:rPr>
                      </w:pPr>
                      <w:r w:rsidRPr="00BF0F36">
                        <w:rPr>
                          <w:b/>
                          <w:bCs/>
                        </w:rPr>
                        <w:t xml:space="preserve">Action requested: </w:t>
                      </w:r>
                    </w:p>
                    <w:p w14:paraId="4B5E769F" w14:textId="77777777" w:rsidR="00D915F2" w:rsidRPr="00BF0F36" w:rsidRDefault="00D915F2" w:rsidP="000C2489">
                      <w:pPr>
                        <w:pStyle w:val="ColorfulList-Accent11"/>
                        <w:ind w:left="0"/>
                      </w:pPr>
                    </w:p>
                    <w:p w14:paraId="01F98AB5" w14:textId="6E37F2D1" w:rsidR="00D915F2" w:rsidRPr="00BF0F36" w:rsidRDefault="00D915F2" w:rsidP="00275F13">
                      <w:pPr>
                        <w:pStyle w:val="ColorfulList-Accent11"/>
                        <w:ind w:left="0" w:firstLine="0"/>
                        <w:rPr>
                          <w:rFonts w:cs="Calibri"/>
                        </w:rPr>
                      </w:pPr>
                      <w:r w:rsidRPr="00BF0F36">
                        <w:t xml:space="preserve">The Standing Committee is </w:t>
                      </w:r>
                      <w:r w:rsidRPr="00BF0F36">
                        <w:rPr>
                          <w:rFonts w:cs="Calibri"/>
                        </w:rPr>
                        <w:t>invited to:</w:t>
                      </w:r>
                    </w:p>
                    <w:p w14:paraId="5D4AE62B" w14:textId="736B3BD3" w:rsidR="00D915F2" w:rsidRPr="00BF0F36" w:rsidRDefault="00D915F2" w:rsidP="000C2489">
                      <w:pPr>
                        <w:pStyle w:val="ColorfulList-Accent11"/>
                        <w:ind w:left="0"/>
                        <w:rPr>
                          <w:rFonts w:cs="Calibri"/>
                        </w:rPr>
                      </w:pPr>
                    </w:p>
                    <w:p w14:paraId="1D6CE41B" w14:textId="22D0B43F" w:rsidR="00D915F2" w:rsidRDefault="00D915F2" w:rsidP="00886E53">
                      <w:pPr>
                        <w:pStyle w:val="ColorfulList-Accent11"/>
                        <w:ind w:left="426" w:hanging="426"/>
                        <w:rPr>
                          <w:rFonts w:asciiTheme="minorHAnsi" w:hAnsiTheme="minorHAnsi" w:cstheme="minorHAnsi"/>
                        </w:rPr>
                      </w:pPr>
                      <w:proofErr w:type="spellStart"/>
                      <w:r w:rsidRPr="00BF0F36">
                        <w:rPr>
                          <w:rFonts w:cs="Calibri"/>
                        </w:rPr>
                        <w:t>i</w:t>
                      </w:r>
                      <w:proofErr w:type="spellEnd"/>
                      <w:r w:rsidRPr="00BF0F36">
                        <w:rPr>
                          <w:rFonts w:cs="Calibri"/>
                        </w:rPr>
                        <w:t>.</w:t>
                      </w:r>
                      <w:r w:rsidRPr="00BF0F36">
                        <w:rPr>
                          <w:rFonts w:cs="Calibri"/>
                        </w:rPr>
                        <w:tab/>
                      </w:r>
                      <w:proofErr w:type="gramStart"/>
                      <w:r w:rsidR="004921A9" w:rsidRPr="00BF0F36">
                        <w:rPr>
                          <w:rFonts w:asciiTheme="minorHAnsi" w:hAnsiTheme="minorHAnsi" w:cstheme="minorHAnsi"/>
                        </w:rPr>
                        <w:t>approve</w:t>
                      </w:r>
                      <w:proofErr w:type="gramEnd"/>
                      <w:r w:rsidR="004921A9">
                        <w:rPr>
                          <w:rFonts w:asciiTheme="minorHAnsi" w:hAnsiTheme="minorHAnsi" w:cstheme="minorHAnsi"/>
                        </w:rPr>
                        <w:t xml:space="preserve"> the </w:t>
                      </w:r>
                      <w:r w:rsidR="004921A9" w:rsidRPr="001105AA">
                        <w:rPr>
                          <w:rFonts w:asciiTheme="minorHAnsi" w:hAnsiTheme="minorHAnsi" w:cstheme="minorHAnsi"/>
                        </w:rPr>
                        <w:t>proposal</w:t>
                      </w:r>
                      <w:r w:rsidR="004921A9">
                        <w:rPr>
                          <w:rFonts w:asciiTheme="minorHAnsi" w:hAnsiTheme="minorHAnsi" w:cstheme="minorHAnsi"/>
                        </w:rPr>
                        <w:t xml:space="preserve"> of the Secretariat on the </w:t>
                      </w:r>
                      <w:r w:rsidR="004921A9" w:rsidRPr="004921A9">
                        <w:rPr>
                          <w:rFonts w:asciiTheme="minorHAnsi" w:hAnsiTheme="minorHAnsi" w:cstheme="minorHAnsi"/>
                        </w:rPr>
                        <w:t>future operations of the CEPA Oversight Panel</w:t>
                      </w:r>
                      <w:r w:rsidR="004921A9">
                        <w:rPr>
                          <w:rFonts w:asciiTheme="minorHAnsi" w:hAnsiTheme="minorHAnsi" w:cstheme="minorHAnsi"/>
                        </w:rPr>
                        <w:t>, and instruct the Secretariat to prepare a draft resolution for SC64 to enable its formalization by the Conference of the Contracting Parties at COP15</w:t>
                      </w:r>
                      <w:r w:rsidR="00886E53">
                        <w:rPr>
                          <w:rFonts w:asciiTheme="minorHAnsi" w:hAnsiTheme="minorHAnsi" w:cstheme="minorHAnsi"/>
                        </w:rPr>
                        <w:t>; and</w:t>
                      </w:r>
                    </w:p>
                    <w:p w14:paraId="0C79C8D9" w14:textId="77777777" w:rsidR="00886E53" w:rsidRPr="00370C3C" w:rsidRDefault="00886E53" w:rsidP="00886E53">
                      <w:pPr>
                        <w:pStyle w:val="ColorfulList-Accent11"/>
                        <w:ind w:left="426" w:hanging="426"/>
                        <w:rPr>
                          <w:rFonts w:cs="Calibri"/>
                        </w:rPr>
                      </w:pPr>
                    </w:p>
                    <w:p w14:paraId="75779A2D" w14:textId="7A9B668C" w:rsidR="00D915F2" w:rsidRPr="00F32D03" w:rsidRDefault="00886E53" w:rsidP="00FD76BF">
                      <w:pPr>
                        <w:pStyle w:val="ColorfulList-Accent11"/>
                        <w:ind w:left="425"/>
                      </w:pPr>
                      <w:r>
                        <w:t>ii.</w:t>
                      </w:r>
                      <w:r>
                        <w:tab/>
                      </w:r>
                      <w:r w:rsidR="00221AC5">
                        <w:t>a</w:t>
                      </w:r>
                      <w:r w:rsidR="00956CCB">
                        <w:t xml:space="preserve">dvise </w:t>
                      </w:r>
                      <w:r>
                        <w:t xml:space="preserve">the Secretariat </w:t>
                      </w:r>
                      <w:r w:rsidR="00956CCB">
                        <w:t xml:space="preserve">on the process and timeline to be followed for nominating the Panel for the 2025-2028 triennium. </w:t>
                      </w:r>
                    </w:p>
                  </w:txbxContent>
                </v:textbox>
                <w10:anchorlock/>
              </v:shape>
            </w:pict>
          </mc:Fallback>
        </mc:AlternateContent>
      </w:r>
    </w:p>
    <w:p w14:paraId="2A6B92CB" w14:textId="77777777" w:rsidR="009E0AE8" w:rsidRDefault="009E0AE8" w:rsidP="006A2401">
      <w:pPr>
        <w:rPr>
          <w:rFonts w:cs="Arial"/>
          <w:b/>
        </w:rPr>
      </w:pPr>
    </w:p>
    <w:p w14:paraId="7BEB44F1" w14:textId="77777777" w:rsidR="00370C3C" w:rsidRDefault="00370C3C" w:rsidP="009C5199">
      <w:pPr>
        <w:rPr>
          <w:rFonts w:cs="Arial"/>
          <w:b/>
        </w:rPr>
      </w:pPr>
    </w:p>
    <w:p w14:paraId="0BC0D188" w14:textId="77777777" w:rsidR="000C2489" w:rsidRPr="000C2489" w:rsidRDefault="004D1CCA" w:rsidP="0007175F">
      <w:pPr>
        <w:rPr>
          <w:rFonts w:cs="Arial"/>
          <w:b/>
        </w:rPr>
      </w:pPr>
      <w:r>
        <w:rPr>
          <w:rFonts w:cs="Arial"/>
          <w:b/>
        </w:rPr>
        <w:t>Background and introduction</w:t>
      </w:r>
    </w:p>
    <w:p w14:paraId="7F330B2B" w14:textId="77777777" w:rsidR="004B6C84" w:rsidRPr="000C2489" w:rsidRDefault="004B6C84" w:rsidP="009C5199">
      <w:pPr>
        <w:rPr>
          <w:rFonts w:ascii="Garamond" w:hAnsi="Garamond" w:cs="Arial"/>
        </w:rPr>
      </w:pPr>
    </w:p>
    <w:p w14:paraId="64407CBC" w14:textId="7A61FD37" w:rsidR="005F2A8B" w:rsidRDefault="005F2A8B" w:rsidP="009342B4">
      <w:pPr>
        <w:pStyle w:val="ListParagraph"/>
        <w:numPr>
          <w:ilvl w:val="0"/>
          <w:numId w:val="8"/>
        </w:numPr>
        <w:rPr>
          <w:rFonts w:cs="Arial"/>
        </w:rPr>
      </w:pPr>
      <w:r w:rsidRPr="005F2A8B">
        <w:rPr>
          <w:rFonts w:cs="Arial"/>
        </w:rPr>
        <w:t>Resolution IX.18</w:t>
      </w:r>
      <w:r w:rsidR="005C13B9">
        <w:rPr>
          <w:rFonts w:cs="Arial"/>
        </w:rPr>
        <w:t xml:space="preserve"> </w:t>
      </w:r>
      <w:r w:rsidR="007835AE">
        <w:rPr>
          <w:rFonts w:cs="Arial"/>
        </w:rPr>
        <w:t xml:space="preserve">of 2005 </w:t>
      </w:r>
      <w:r w:rsidR="005C13B9">
        <w:rPr>
          <w:rFonts w:cs="Arial"/>
        </w:rPr>
        <w:t>on</w:t>
      </w:r>
      <w:r w:rsidRPr="005F2A8B">
        <w:rPr>
          <w:rFonts w:cs="Arial"/>
        </w:rPr>
        <w:t xml:space="preserve"> </w:t>
      </w:r>
      <w:r w:rsidRPr="005F2A8B">
        <w:rPr>
          <w:rFonts w:cs="Arial"/>
          <w:i/>
        </w:rPr>
        <w:t>Establishment of an Oversight Panel for the CEPA activities of the Convention</w:t>
      </w:r>
      <w:r w:rsidRPr="005F2A8B">
        <w:rPr>
          <w:rFonts w:cs="Arial"/>
        </w:rPr>
        <w:t xml:space="preserve"> provided initial guidance on the functions, composition and modus operandi of the CEPA Oversight Panel. </w:t>
      </w:r>
    </w:p>
    <w:p w14:paraId="18FE2BEA" w14:textId="77777777" w:rsidR="005F2A8B" w:rsidRPr="005F2A8B" w:rsidRDefault="005F2A8B" w:rsidP="005F2A8B">
      <w:pPr>
        <w:pStyle w:val="ListParagraph"/>
        <w:ind w:left="430" w:firstLine="0"/>
        <w:rPr>
          <w:rFonts w:cs="Arial"/>
        </w:rPr>
      </w:pPr>
    </w:p>
    <w:p w14:paraId="16185B3A" w14:textId="42CF48E4" w:rsidR="00533848" w:rsidRDefault="001E4F25" w:rsidP="009C5199">
      <w:pPr>
        <w:pStyle w:val="NoSpacing"/>
      </w:pPr>
      <w:r>
        <w:rPr>
          <w:rFonts w:cs="Arial"/>
        </w:rPr>
        <w:t>2</w:t>
      </w:r>
      <w:r w:rsidR="00275F13">
        <w:t>.</w:t>
      </w:r>
      <w:r w:rsidR="00275F13">
        <w:tab/>
      </w:r>
      <w:r w:rsidR="004B6C84" w:rsidRPr="004B6C84">
        <w:t xml:space="preserve">The </w:t>
      </w:r>
      <w:r w:rsidR="005F0B47">
        <w:t xml:space="preserve">CEPA Oversight </w:t>
      </w:r>
      <w:r w:rsidR="004B6C84" w:rsidRPr="004B6C84">
        <w:t xml:space="preserve">Panel </w:t>
      </w:r>
      <w:r w:rsidR="004E172A">
        <w:t>for</w:t>
      </w:r>
      <w:r w:rsidR="004E172A" w:rsidRPr="004B6C84">
        <w:t xml:space="preserve"> </w:t>
      </w:r>
      <w:r w:rsidR="004B6C84" w:rsidRPr="004B6C84">
        <w:t>2016-2018 made recommendations</w:t>
      </w:r>
      <w:r w:rsidR="0028594D">
        <w:t xml:space="preserve"> on the development of a new approach for CEPA</w:t>
      </w:r>
      <w:r w:rsidR="00F9333B">
        <w:t xml:space="preserve"> (communication, capacity building, education, participation and awareness)</w:t>
      </w:r>
      <w:r w:rsidR="00DF5550">
        <w:t>, which were</w:t>
      </w:r>
      <w:r w:rsidR="0028594D">
        <w:t xml:space="preserve"> included in </w:t>
      </w:r>
      <w:r w:rsidR="002F739F">
        <w:t xml:space="preserve">document </w:t>
      </w:r>
      <w:r w:rsidR="0028594D">
        <w:t>COP</w:t>
      </w:r>
      <w:r w:rsidR="00DF5550">
        <w:t>13</w:t>
      </w:r>
      <w:r w:rsidR="0028594D">
        <w:t xml:space="preserve"> </w:t>
      </w:r>
      <w:r w:rsidR="002F739F">
        <w:t>Doc.</w:t>
      </w:r>
      <w:r w:rsidR="0028594D">
        <w:t xml:space="preserve">10, </w:t>
      </w:r>
      <w:r w:rsidR="0028594D" w:rsidRPr="009C5199">
        <w:rPr>
          <w:i/>
        </w:rPr>
        <w:t>Report on implementation of the CEPA Programme 2016-2018 and recommendations on future directions</w:t>
      </w:r>
      <w:r w:rsidR="00533848">
        <w:t>.</w:t>
      </w:r>
      <w:r>
        <w:rPr>
          <w:rStyle w:val="FootnoteReference"/>
        </w:rPr>
        <w:footnoteReference w:id="2"/>
      </w:r>
      <w:r w:rsidR="00533848">
        <w:t xml:space="preserve"> </w:t>
      </w:r>
    </w:p>
    <w:p w14:paraId="3F7072CC" w14:textId="77777777" w:rsidR="000C2489" w:rsidRDefault="000C2489" w:rsidP="009C5199">
      <w:pPr>
        <w:pStyle w:val="NoSpacing"/>
      </w:pPr>
    </w:p>
    <w:p w14:paraId="57F0D4D3" w14:textId="534B6127" w:rsidR="00DF5550" w:rsidRDefault="001E4F25" w:rsidP="009C5199">
      <w:pPr>
        <w:pStyle w:val="NoSpacing"/>
      </w:pPr>
      <w:r>
        <w:t>3</w:t>
      </w:r>
      <w:r w:rsidR="00DF5550">
        <w:t>.</w:t>
      </w:r>
      <w:r w:rsidR="00DF5550">
        <w:tab/>
      </w:r>
      <w:bookmarkStart w:id="1" w:name="_Hlk63613538"/>
      <w:r w:rsidR="005F0B47">
        <w:t>The</w:t>
      </w:r>
      <w:r w:rsidR="00F9333B">
        <w:t>se</w:t>
      </w:r>
      <w:r w:rsidR="005F0B47">
        <w:t xml:space="preserve"> recommendations informed </w:t>
      </w:r>
      <w:r w:rsidR="00DF5550">
        <w:t xml:space="preserve">Resolution XIII.5 </w:t>
      </w:r>
      <w:r w:rsidR="007835AE">
        <w:t xml:space="preserve">of 2018 </w:t>
      </w:r>
      <w:r w:rsidR="00960D15">
        <w:t xml:space="preserve">on </w:t>
      </w:r>
      <w:r w:rsidR="00960D15" w:rsidRPr="00960D15">
        <w:rPr>
          <w:i/>
        </w:rPr>
        <w:t>Review of the fourth Strategic Plan of the Ramsar Convention</w:t>
      </w:r>
      <w:r w:rsidR="00960D15">
        <w:t xml:space="preserve"> </w:t>
      </w:r>
      <w:r w:rsidR="005F0B47">
        <w:t>which instructed</w:t>
      </w:r>
      <w:r w:rsidR="004E172A">
        <w:t xml:space="preserve"> </w:t>
      </w:r>
      <w:r w:rsidR="00DF5550">
        <w:t>the CEPA Oversight Panel</w:t>
      </w:r>
      <w:r w:rsidR="00FD7EC9">
        <w:t xml:space="preserve">, at </w:t>
      </w:r>
      <w:r w:rsidR="00F9333B">
        <w:t>the 59th meeting of the Standing Committee (</w:t>
      </w:r>
      <w:r w:rsidR="00FD7EC9">
        <w:t>SC59</w:t>
      </w:r>
      <w:r w:rsidR="00F9333B">
        <w:t>)</w:t>
      </w:r>
      <w:r w:rsidR="00FD7EC9">
        <w:t>, “</w:t>
      </w:r>
      <w:r w:rsidR="00960D15" w:rsidRPr="00DF5550">
        <w:t xml:space="preserve">to </w:t>
      </w:r>
      <w:r w:rsidR="00DF5550" w:rsidRPr="00DF5550">
        <w:t xml:space="preserve">present its </w:t>
      </w:r>
      <w:r w:rsidR="00FD7EC9">
        <w:t xml:space="preserve">proposed </w:t>
      </w:r>
      <w:r w:rsidR="00DF5550" w:rsidRPr="00DF5550">
        <w:t xml:space="preserve">new approach </w:t>
      </w:r>
      <w:r w:rsidR="00FD7EC9">
        <w:t>and</w:t>
      </w:r>
      <w:r w:rsidR="00DF5550" w:rsidRPr="00DF5550">
        <w:t xml:space="preserve"> a draft </w:t>
      </w:r>
      <w:r w:rsidR="00FD7EC9">
        <w:t>r</w:t>
      </w:r>
      <w:r w:rsidR="00FD7EC9" w:rsidRPr="00DF5550">
        <w:t>esolution</w:t>
      </w:r>
      <w:r w:rsidR="00FD7EC9">
        <w:t xml:space="preserve"> on this subject to be submitted to COP14; and </w:t>
      </w:r>
      <w:r w:rsidR="00960D15">
        <w:t xml:space="preserve">further instructs </w:t>
      </w:r>
      <w:r w:rsidR="00FD7EC9">
        <w:t>the Standing Committee to take this matter further, for decision at COP14</w:t>
      </w:r>
      <w:r w:rsidR="00960D15">
        <w:t>.”</w:t>
      </w:r>
      <w:r w:rsidR="00493991">
        <w:t xml:space="preserve"> This </w:t>
      </w:r>
      <w:r w:rsidR="00FD7EC9">
        <w:t xml:space="preserve">new approach </w:t>
      </w:r>
      <w:r w:rsidR="00493991">
        <w:t xml:space="preserve">was to </w:t>
      </w:r>
      <w:proofErr w:type="gramStart"/>
      <w:r w:rsidR="00493991">
        <w:t>take into account</w:t>
      </w:r>
      <w:proofErr w:type="gramEnd"/>
      <w:r w:rsidR="00493991">
        <w:t xml:space="preserve"> the work already carried out by the Panel and </w:t>
      </w:r>
      <w:r w:rsidR="00967BF0">
        <w:t xml:space="preserve">the </w:t>
      </w:r>
      <w:r w:rsidR="00493991">
        <w:t>Working Group</w:t>
      </w:r>
      <w:r w:rsidR="00967BF0" w:rsidRPr="00967BF0">
        <w:t xml:space="preserve"> on CEPA </w:t>
      </w:r>
      <w:r w:rsidR="00F9333B">
        <w:t>I</w:t>
      </w:r>
      <w:r w:rsidR="00967BF0" w:rsidRPr="00967BF0">
        <w:t>mplementation</w:t>
      </w:r>
      <w:r w:rsidR="00493991">
        <w:t xml:space="preserve">, incorporate the advice of the </w:t>
      </w:r>
      <w:r w:rsidR="00967BF0" w:rsidRPr="00967BF0">
        <w:t xml:space="preserve">Scientific and Technical Review Panel (STRP) </w:t>
      </w:r>
      <w:r w:rsidR="00493991">
        <w:t>and complement the work of the Strategic Plan Working Group.</w:t>
      </w:r>
    </w:p>
    <w:p w14:paraId="4D217EE3" w14:textId="77777777" w:rsidR="004D62AB" w:rsidRDefault="004D62AB" w:rsidP="009C5199">
      <w:pPr>
        <w:pStyle w:val="NoSpacing"/>
      </w:pPr>
    </w:p>
    <w:p w14:paraId="190DBB4F" w14:textId="5A417D90" w:rsidR="004D62AB" w:rsidRDefault="001E4F25" w:rsidP="004D62AB">
      <w:pPr>
        <w:rPr>
          <w:rFonts w:asciiTheme="minorHAnsi" w:hAnsiTheme="minorHAnsi" w:cstheme="minorHAnsi"/>
        </w:rPr>
      </w:pPr>
      <w:r>
        <w:rPr>
          <w:rFonts w:asciiTheme="minorHAnsi" w:hAnsiTheme="minorHAnsi" w:cstheme="minorHAnsi"/>
        </w:rPr>
        <w:lastRenderedPageBreak/>
        <w:t>4</w:t>
      </w:r>
      <w:r w:rsidR="004D62AB" w:rsidRPr="001105AA">
        <w:rPr>
          <w:rFonts w:asciiTheme="minorHAnsi" w:hAnsiTheme="minorHAnsi" w:cstheme="minorHAnsi"/>
        </w:rPr>
        <w:t>.</w:t>
      </w:r>
      <w:r w:rsidR="004D62AB" w:rsidRPr="001105AA">
        <w:rPr>
          <w:rFonts w:asciiTheme="minorHAnsi" w:hAnsiTheme="minorHAnsi" w:cstheme="minorHAnsi"/>
        </w:rPr>
        <w:tab/>
      </w:r>
      <w:bookmarkStart w:id="2" w:name="_Hlk148952138"/>
      <w:r w:rsidR="004D62AB">
        <w:rPr>
          <w:rFonts w:asciiTheme="minorHAnsi" w:hAnsiTheme="minorHAnsi" w:cstheme="minorHAnsi"/>
        </w:rPr>
        <w:t xml:space="preserve">Resolution XIV.8 on </w:t>
      </w:r>
      <w:proofErr w:type="gramStart"/>
      <w:r w:rsidR="004D62AB" w:rsidRPr="007B41D1">
        <w:rPr>
          <w:rFonts w:asciiTheme="minorHAnsi" w:hAnsiTheme="minorHAnsi" w:cstheme="minorHAnsi"/>
          <w:i/>
        </w:rPr>
        <w:t>The</w:t>
      </w:r>
      <w:proofErr w:type="gramEnd"/>
      <w:r w:rsidR="004D62AB" w:rsidRPr="007B41D1">
        <w:rPr>
          <w:rFonts w:asciiTheme="minorHAnsi" w:hAnsiTheme="minorHAnsi" w:cstheme="minorHAnsi"/>
          <w:i/>
        </w:rPr>
        <w:t xml:space="preserve"> new CEPA approach</w:t>
      </w:r>
      <w:r w:rsidR="003F6B0A">
        <w:rPr>
          <w:rStyle w:val="FootnoteReference"/>
          <w:rFonts w:asciiTheme="minorHAnsi" w:hAnsiTheme="minorHAnsi" w:cstheme="minorHAnsi"/>
        </w:rPr>
        <w:footnoteReference w:id="3"/>
      </w:r>
      <w:r w:rsidR="004D62AB">
        <w:rPr>
          <w:rFonts w:asciiTheme="minorHAnsi" w:hAnsiTheme="minorHAnsi" w:cstheme="minorHAnsi"/>
        </w:rPr>
        <w:t xml:space="preserve"> </w:t>
      </w:r>
      <w:r w:rsidR="00F9333B">
        <w:rPr>
          <w:rFonts w:asciiTheme="minorHAnsi" w:hAnsiTheme="minorHAnsi" w:cstheme="minorHAnsi"/>
        </w:rPr>
        <w:t xml:space="preserve">of 2022 </w:t>
      </w:r>
      <w:r w:rsidR="004D62AB">
        <w:rPr>
          <w:rFonts w:asciiTheme="minorHAnsi" w:hAnsiTheme="minorHAnsi" w:cstheme="minorHAnsi"/>
        </w:rPr>
        <w:t>defines the characteristics of the new CEPA approach in Annex 1 and encourages</w:t>
      </w:r>
      <w:r w:rsidR="004D62AB" w:rsidRPr="001105AA">
        <w:rPr>
          <w:rFonts w:asciiTheme="minorHAnsi" w:hAnsiTheme="minorHAnsi" w:cstheme="minorHAnsi"/>
        </w:rPr>
        <w:t xml:space="preserve"> its implementation by </w:t>
      </w:r>
      <w:r w:rsidR="003F6B0A">
        <w:rPr>
          <w:rFonts w:asciiTheme="minorHAnsi" w:hAnsiTheme="minorHAnsi" w:cstheme="minorHAnsi"/>
        </w:rPr>
        <w:t xml:space="preserve">Contracting </w:t>
      </w:r>
      <w:r w:rsidR="004D62AB" w:rsidRPr="001105AA">
        <w:rPr>
          <w:rFonts w:asciiTheme="minorHAnsi" w:hAnsiTheme="minorHAnsi" w:cstheme="minorHAnsi"/>
        </w:rPr>
        <w:t>Parties, International Organization Partners and other partners, noting that it is designed to recogni</w:t>
      </w:r>
      <w:r w:rsidR="004D62AB">
        <w:rPr>
          <w:rFonts w:asciiTheme="minorHAnsi" w:hAnsiTheme="minorHAnsi" w:cstheme="minorHAnsi"/>
        </w:rPr>
        <w:t>z</w:t>
      </w:r>
      <w:r w:rsidR="004D62AB" w:rsidRPr="001105AA">
        <w:rPr>
          <w:rFonts w:asciiTheme="minorHAnsi" w:hAnsiTheme="minorHAnsi" w:cstheme="minorHAnsi"/>
        </w:rPr>
        <w:t>e and be complementary to existing</w:t>
      </w:r>
      <w:r w:rsidR="004D62AB" w:rsidRPr="0063033C">
        <w:rPr>
          <w:rFonts w:asciiTheme="minorHAnsi" w:hAnsiTheme="minorHAnsi" w:cstheme="minorHAnsi"/>
        </w:rPr>
        <w:t xml:space="preserve"> </w:t>
      </w:r>
      <w:r w:rsidR="004D62AB" w:rsidRPr="001105AA">
        <w:rPr>
          <w:rFonts w:asciiTheme="minorHAnsi" w:hAnsiTheme="minorHAnsi" w:cstheme="minorHAnsi"/>
        </w:rPr>
        <w:t>CEPA activities</w:t>
      </w:r>
      <w:r w:rsidR="007B41D1">
        <w:rPr>
          <w:rFonts w:asciiTheme="minorHAnsi" w:hAnsiTheme="minorHAnsi" w:cstheme="minorHAnsi"/>
        </w:rPr>
        <w:t xml:space="preserve">. </w:t>
      </w:r>
      <w:r w:rsidR="003F6B0A">
        <w:rPr>
          <w:rFonts w:asciiTheme="minorHAnsi" w:hAnsiTheme="minorHAnsi" w:cstheme="minorHAnsi"/>
        </w:rPr>
        <w:t>Annex 3 of the same Resolution defines the t</w:t>
      </w:r>
      <w:r w:rsidR="003F6B0A">
        <w:t>erms of reference of the CEPA Oversight Panel as part of the new CEPA approach.</w:t>
      </w:r>
    </w:p>
    <w:bookmarkEnd w:id="2"/>
    <w:p w14:paraId="3ED78E4E" w14:textId="77777777" w:rsidR="007B41D1" w:rsidRDefault="007B41D1" w:rsidP="004D62AB">
      <w:pPr>
        <w:rPr>
          <w:rFonts w:asciiTheme="minorHAnsi" w:hAnsiTheme="minorHAnsi" w:cstheme="minorHAnsi"/>
        </w:rPr>
      </w:pPr>
    </w:p>
    <w:p w14:paraId="6E7B208C" w14:textId="0BC77AEC" w:rsidR="004D62AB" w:rsidRPr="00490E47" w:rsidRDefault="001E4F25" w:rsidP="00490E47">
      <w:pPr>
        <w:ind w:left="426"/>
        <w:contextualSpacing/>
        <w:rPr>
          <w:rFonts w:asciiTheme="minorHAnsi" w:hAnsiTheme="minorHAnsi" w:cstheme="minorHAnsi"/>
        </w:rPr>
      </w:pPr>
      <w:r>
        <w:rPr>
          <w:rFonts w:asciiTheme="minorHAnsi" w:hAnsiTheme="minorHAnsi" w:cstheme="minorHAnsi"/>
        </w:rPr>
        <w:t>5</w:t>
      </w:r>
      <w:r w:rsidR="007B41D1" w:rsidRPr="001105AA">
        <w:rPr>
          <w:rFonts w:asciiTheme="minorHAnsi" w:hAnsiTheme="minorHAnsi" w:cstheme="minorHAnsi"/>
        </w:rPr>
        <w:t>.</w:t>
      </w:r>
      <w:r w:rsidR="007B41D1" w:rsidRPr="001105AA">
        <w:rPr>
          <w:rFonts w:asciiTheme="minorHAnsi" w:hAnsiTheme="minorHAnsi" w:cstheme="minorHAnsi"/>
        </w:rPr>
        <w:tab/>
      </w:r>
      <w:r w:rsidR="007B41D1">
        <w:rPr>
          <w:rFonts w:asciiTheme="minorHAnsi" w:hAnsiTheme="minorHAnsi" w:cstheme="minorHAnsi"/>
        </w:rPr>
        <w:t xml:space="preserve">Paragraph 12 </w:t>
      </w:r>
      <w:r w:rsidR="003F6B0A">
        <w:rPr>
          <w:rFonts w:asciiTheme="minorHAnsi" w:hAnsiTheme="minorHAnsi" w:cstheme="minorHAnsi"/>
        </w:rPr>
        <w:t xml:space="preserve">of </w:t>
      </w:r>
      <w:r w:rsidR="007B41D1">
        <w:rPr>
          <w:rFonts w:asciiTheme="minorHAnsi" w:hAnsiTheme="minorHAnsi" w:cstheme="minorHAnsi"/>
        </w:rPr>
        <w:t>Resolution X</w:t>
      </w:r>
      <w:r w:rsidR="00490E47">
        <w:rPr>
          <w:rFonts w:asciiTheme="minorHAnsi" w:hAnsiTheme="minorHAnsi" w:cstheme="minorHAnsi"/>
        </w:rPr>
        <w:t>I</w:t>
      </w:r>
      <w:r w:rsidR="007B41D1">
        <w:rPr>
          <w:rFonts w:asciiTheme="minorHAnsi" w:hAnsiTheme="minorHAnsi" w:cstheme="minorHAnsi"/>
        </w:rPr>
        <w:t>V.8 “instructs</w:t>
      </w:r>
      <w:r w:rsidR="007B41D1" w:rsidRPr="001105AA">
        <w:rPr>
          <w:rFonts w:asciiTheme="minorHAnsi" w:hAnsiTheme="minorHAnsi" w:cstheme="minorHAnsi"/>
        </w:rPr>
        <w:t xml:space="preserve"> the Secretariat, in collaboration with the CEPA Oversight Panel, and </w:t>
      </w:r>
      <w:r w:rsidR="007B41D1">
        <w:rPr>
          <w:rFonts w:asciiTheme="minorHAnsi" w:hAnsiTheme="minorHAnsi" w:cstheme="minorHAnsi"/>
        </w:rPr>
        <w:t xml:space="preserve">in </w:t>
      </w:r>
      <w:r w:rsidR="007B41D1" w:rsidRPr="001105AA">
        <w:rPr>
          <w:rFonts w:asciiTheme="minorHAnsi" w:hAnsiTheme="minorHAnsi" w:cstheme="minorHAnsi"/>
        </w:rPr>
        <w:t xml:space="preserve">consultation with Parties, to prepare for </w:t>
      </w:r>
      <w:r w:rsidR="007B41D1">
        <w:rPr>
          <w:rFonts w:asciiTheme="minorHAnsi" w:hAnsiTheme="minorHAnsi" w:cstheme="minorHAnsi"/>
        </w:rPr>
        <w:t>SC63</w:t>
      </w:r>
      <w:r w:rsidR="007B41D1" w:rsidRPr="001105AA">
        <w:rPr>
          <w:rFonts w:asciiTheme="minorHAnsi" w:hAnsiTheme="minorHAnsi" w:cstheme="minorHAnsi"/>
        </w:rPr>
        <w:t xml:space="preserve"> a proposal on the future operations of the Oversight Panel to support the new approach, including the nomination procedure, using the </w:t>
      </w:r>
      <w:r w:rsidR="007B41D1">
        <w:rPr>
          <w:rFonts w:asciiTheme="minorHAnsi" w:hAnsiTheme="minorHAnsi" w:cstheme="minorHAnsi"/>
        </w:rPr>
        <w:t>t</w:t>
      </w:r>
      <w:r w:rsidR="007B41D1" w:rsidRPr="001105AA">
        <w:rPr>
          <w:rFonts w:asciiTheme="minorHAnsi" w:hAnsiTheme="minorHAnsi" w:cstheme="minorHAnsi"/>
        </w:rPr>
        <w:t xml:space="preserve">erms of </w:t>
      </w:r>
      <w:r w:rsidR="007B41D1">
        <w:rPr>
          <w:rFonts w:asciiTheme="minorHAnsi" w:hAnsiTheme="minorHAnsi" w:cstheme="minorHAnsi"/>
        </w:rPr>
        <w:t>r</w:t>
      </w:r>
      <w:r w:rsidR="007B41D1" w:rsidRPr="001105AA">
        <w:rPr>
          <w:rFonts w:asciiTheme="minorHAnsi" w:hAnsiTheme="minorHAnsi" w:cstheme="minorHAnsi"/>
        </w:rPr>
        <w:t>eference contained in Annex 3 as general guidance</w:t>
      </w:r>
      <w:r w:rsidR="007B41D1">
        <w:rPr>
          <w:rFonts w:asciiTheme="minorHAnsi" w:hAnsiTheme="minorHAnsi" w:cstheme="minorHAnsi"/>
        </w:rPr>
        <w:t xml:space="preserve">”. </w:t>
      </w:r>
      <w:r w:rsidR="007B41D1" w:rsidRPr="001105AA">
        <w:rPr>
          <w:rFonts w:asciiTheme="minorHAnsi" w:hAnsiTheme="minorHAnsi" w:cstheme="minorHAnsi"/>
        </w:rPr>
        <w:t xml:space="preserve"> </w:t>
      </w:r>
    </w:p>
    <w:p w14:paraId="049C8F60" w14:textId="77777777" w:rsidR="0007175F" w:rsidRDefault="0007175F" w:rsidP="009C5199">
      <w:pPr>
        <w:pStyle w:val="NoSpacing"/>
      </w:pPr>
    </w:p>
    <w:p w14:paraId="05351ABD" w14:textId="77777777" w:rsidR="0007175F" w:rsidRDefault="00490E47" w:rsidP="00490E47">
      <w:pPr>
        <w:ind w:left="0" w:firstLine="0"/>
      </w:pPr>
      <w:r>
        <w:rPr>
          <w:rFonts w:cs="Arial"/>
          <w:b/>
        </w:rPr>
        <w:t>Elements of the proposal on future operations of the Oversight Panel</w:t>
      </w:r>
    </w:p>
    <w:bookmarkEnd w:id="1"/>
    <w:p w14:paraId="614F755D" w14:textId="77777777" w:rsidR="00493991" w:rsidRPr="00026E09" w:rsidRDefault="00493991" w:rsidP="009C5199">
      <w:pPr>
        <w:pStyle w:val="NoSpacing"/>
      </w:pPr>
    </w:p>
    <w:p w14:paraId="383EB152" w14:textId="3DAA9ABD" w:rsidR="002A4F73" w:rsidRDefault="001E4F25" w:rsidP="0007175F">
      <w:pPr>
        <w:pStyle w:val="NoSpacing"/>
      </w:pPr>
      <w:r>
        <w:t>6</w:t>
      </w:r>
      <w:r w:rsidR="00275F13">
        <w:t>.</w:t>
      </w:r>
      <w:r w:rsidR="00275F13">
        <w:tab/>
      </w:r>
      <w:r w:rsidR="007835AE">
        <w:t xml:space="preserve">The </w:t>
      </w:r>
      <w:r w:rsidR="00490E47">
        <w:t>propos</w:t>
      </w:r>
      <w:r w:rsidR="00631441">
        <w:t>ed plan</w:t>
      </w:r>
      <w:r w:rsidR="00490E47">
        <w:t xml:space="preserve"> on the future operations of the Oversight Panel is presented as </w:t>
      </w:r>
      <w:r w:rsidR="00490E47" w:rsidRPr="003F6B0A">
        <w:t xml:space="preserve">Annex </w:t>
      </w:r>
      <w:r w:rsidR="003F6B0A" w:rsidRPr="003F6B0A">
        <w:t>1</w:t>
      </w:r>
      <w:r w:rsidR="00490E47" w:rsidRPr="003F6B0A">
        <w:t>. The</w:t>
      </w:r>
      <w:r w:rsidR="00490E47">
        <w:t xml:space="preserve"> following elements have been included in the plan. </w:t>
      </w:r>
    </w:p>
    <w:p w14:paraId="6DB2C661" w14:textId="77777777" w:rsidR="002A4F73" w:rsidRDefault="002A4F73" w:rsidP="0007175F">
      <w:pPr>
        <w:pStyle w:val="NoSpacing"/>
        <w:rPr>
          <w:i/>
        </w:rPr>
      </w:pPr>
    </w:p>
    <w:p w14:paraId="2F02A64D" w14:textId="38494397" w:rsidR="002A4F73" w:rsidRPr="002A4F73" w:rsidRDefault="002A4F73" w:rsidP="0007175F">
      <w:pPr>
        <w:pStyle w:val="NoSpacing"/>
        <w:rPr>
          <w:i/>
        </w:rPr>
      </w:pPr>
      <w:r w:rsidRPr="002A4F73">
        <w:rPr>
          <w:i/>
        </w:rPr>
        <w:t>Composition of the Panel</w:t>
      </w:r>
    </w:p>
    <w:p w14:paraId="460F3042" w14:textId="77777777" w:rsidR="002A4F73" w:rsidRDefault="002A4F73" w:rsidP="0007175F">
      <w:pPr>
        <w:pStyle w:val="NoSpacing"/>
      </w:pPr>
    </w:p>
    <w:p w14:paraId="6D5E9531" w14:textId="38F4916B" w:rsidR="002A4F73" w:rsidRDefault="002A4F73" w:rsidP="002A4F73">
      <w:pPr>
        <w:pStyle w:val="NoSpacing"/>
      </w:pPr>
      <w:r>
        <w:t>7.</w:t>
      </w:r>
      <w:r>
        <w:tab/>
      </w:r>
      <w:r w:rsidR="00490E47">
        <w:t>Resolution IX.18 define</w:t>
      </w:r>
      <w:r w:rsidR="00F163B4">
        <w:t>d</w:t>
      </w:r>
      <w:r w:rsidR="00490E47">
        <w:t xml:space="preserve"> the composition of the Panel to include the Chair of the Standing Committee, or at his or her request the </w:t>
      </w:r>
      <w:r w:rsidR="007835AE">
        <w:t>Vice-Chair</w:t>
      </w:r>
      <w:r w:rsidR="00490E47">
        <w:t xml:space="preserve">, and the Chair of the Subgroup on Finance. </w:t>
      </w:r>
      <w:r>
        <w:t>Given the diversity of the expertise sought</w:t>
      </w:r>
      <w:r w:rsidR="00490E47">
        <w:t xml:space="preserve">, the </w:t>
      </w:r>
      <w:r>
        <w:t xml:space="preserve">Resolution noted that the </w:t>
      </w:r>
      <w:r w:rsidR="00490E47">
        <w:t xml:space="preserve">Panel’s membership could </w:t>
      </w:r>
      <w:r>
        <w:t xml:space="preserve">also </w:t>
      </w:r>
      <w:r w:rsidR="00490E47">
        <w:t>include</w:t>
      </w:r>
      <w:r>
        <w:t>:</w:t>
      </w:r>
    </w:p>
    <w:p w14:paraId="42617990" w14:textId="3698EA30" w:rsidR="007637F8" w:rsidRDefault="002A4F73" w:rsidP="002A4F73">
      <w:pPr>
        <w:pStyle w:val="NoSpacing"/>
        <w:ind w:left="851"/>
      </w:pPr>
      <w:proofErr w:type="spellStart"/>
      <w:r>
        <w:t>i</w:t>
      </w:r>
      <w:proofErr w:type="spellEnd"/>
      <w:r>
        <w:t>.</w:t>
      </w:r>
      <w:r>
        <w:tab/>
      </w:r>
      <w:r w:rsidR="007637F8">
        <w:t>Two national CEPA Focal Points</w:t>
      </w:r>
      <w:r>
        <w:t>;</w:t>
      </w:r>
    </w:p>
    <w:p w14:paraId="30816314" w14:textId="09E94371" w:rsidR="007637F8" w:rsidRDefault="002A4F73" w:rsidP="002A4F73">
      <w:pPr>
        <w:pStyle w:val="NoSpacing"/>
        <w:ind w:left="851"/>
      </w:pPr>
      <w:r>
        <w:t>ii.</w:t>
      </w:r>
      <w:r>
        <w:tab/>
      </w:r>
      <w:r w:rsidR="007637F8">
        <w:t>Chair of the STRP/W</w:t>
      </w:r>
      <w:r>
        <w:t xml:space="preserve">etlands </w:t>
      </w:r>
      <w:r w:rsidR="007637F8">
        <w:t>I</w:t>
      </w:r>
      <w:r>
        <w:t>nternational</w:t>
      </w:r>
      <w:r w:rsidR="007637F8">
        <w:t xml:space="preserve"> CEPA Specialist Group</w:t>
      </w:r>
      <w:r>
        <w:t>;</w:t>
      </w:r>
    </w:p>
    <w:p w14:paraId="4AEB7CDC" w14:textId="235CF800" w:rsidR="002A4F73" w:rsidRDefault="002A4F73" w:rsidP="002A4F73">
      <w:pPr>
        <w:pStyle w:val="NoSpacing"/>
        <w:ind w:left="851"/>
      </w:pPr>
      <w:r>
        <w:t>iii.</w:t>
      </w:r>
      <w:r>
        <w:tab/>
      </w:r>
      <w:r w:rsidR="007637F8">
        <w:t>Relevant experts in different aspects of CEPA not covered in the above, taking into consideration appropriate and balanced geographical representation</w:t>
      </w:r>
      <w:r>
        <w:t>;</w:t>
      </w:r>
    </w:p>
    <w:p w14:paraId="4071C79B" w14:textId="418CEBAC" w:rsidR="007637F8" w:rsidRDefault="002A4F73" w:rsidP="002A4F73">
      <w:pPr>
        <w:pStyle w:val="NoSpacing"/>
        <w:ind w:left="851"/>
      </w:pPr>
      <w:r>
        <w:t>iv.</w:t>
      </w:r>
      <w:r>
        <w:tab/>
      </w:r>
      <w:r w:rsidR="007637F8">
        <w:t>Ramsar Secretariat (</w:t>
      </w:r>
      <w:r w:rsidR="007637F8" w:rsidRPr="007637F8">
        <w:rPr>
          <w:i/>
        </w:rPr>
        <w:t>ex officio</w:t>
      </w:r>
      <w:r>
        <w:t>).</w:t>
      </w:r>
    </w:p>
    <w:p w14:paraId="68035328" w14:textId="77777777" w:rsidR="007637F8" w:rsidRDefault="007637F8" w:rsidP="007637F8">
      <w:pPr>
        <w:pStyle w:val="NoSpacing"/>
        <w:ind w:left="1505" w:firstLine="0"/>
      </w:pPr>
    </w:p>
    <w:p w14:paraId="629A1B2B" w14:textId="33A49B0F" w:rsidR="007637F8" w:rsidRDefault="002A4F73" w:rsidP="002A4F73">
      <w:pPr>
        <w:pStyle w:val="NoSpacing"/>
        <w:ind w:left="426" w:hanging="426"/>
      </w:pPr>
      <w:r>
        <w:t>8.</w:t>
      </w:r>
      <w:r>
        <w:tab/>
      </w:r>
      <w:r w:rsidR="003F6B0A">
        <w:t xml:space="preserve">Annex 3 of </w:t>
      </w:r>
      <w:r w:rsidR="007637F8">
        <w:t>Resolution XIV.8</w:t>
      </w:r>
      <w:r w:rsidR="003F6B0A">
        <w:t xml:space="preserve"> </w:t>
      </w:r>
      <w:r w:rsidR="007637F8">
        <w:t>provides further guidance on the composition of the Panel as follows</w:t>
      </w:r>
      <w:r>
        <w:t>:</w:t>
      </w:r>
    </w:p>
    <w:p w14:paraId="4D112134" w14:textId="403A5641" w:rsidR="007637F8" w:rsidRPr="007637F8" w:rsidRDefault="002A4F73" w:rsidP="002A4F73">
      <w:pPr>
        <w:pStyle w:val="NoSpacing"/>
        <w:ind w:left="851"/>
      </w:pPr>
      <w:proofErr w:type="spellStart"/>
      <w:r>
        <w:rPr>
          <w:rFonts w:asciiTheme="minorHAnsi" w:hAnsiTheme="minorHAnsi" w:cstheme="minorHAnsi"/>
          <w:color w:val="000000"/>
          <w:lang w:val="en-US"/>
        </w:rPr>
        <w:t>i</w:t>
      </w:r>
      <w:proofErr w:type="spellEnd"/>
      <w:r>
        <w:rPr>
          <w:rFonts w:asciiTheme="minorHAnsi" w:hAnsiTheme="minorHAnsi" w:cstheme="minorHAnsi"/>
          <w:color w:val="000000"/>
          <w:lang w:val="en-US"/>
        </w:rPr>
        <w:t>.</w:t>
      </w:r>
      <w:r>
        <w:rPr>
          <w:rFonts w:asciiTheme="minorHAnsi" w:hAnsiTheme="minorHAnsi" w:cstheme="minorHAnsi"/>
          <w:color w:val="000000"/>
          <w:lang w:val="en-US"/>
        </w:rPr>
        <w:tab/>
      </w:r>
      <w:r w:rsidR="007637F8" w:rsidRPr="00281585">
        <w:rPr>
          <w:rFonts w:asciiTheme="minorHAnsi" w:hAnsiTheme="minorHAnsi" w:cstheme="minorHAnsi"/>
          <w:color w:val="000000"/>
          <w:lang w:val="en-US"/>
        </w:rPr>
        <w:t xml:space="preserve">CEPA activities are diverse and thus require a range of expertise. This diversity of expertise should be reflected in the composition of the Panel. </w:t>
      </w:r>
    </w:p>
    <w:p w14:paraId="2533A6E7" w14:textId="4FCBE4EA" w:rsidR="007637F8" w:rsidRPr="007637F8" w:rsidRDefault="002A4F73" w:rsidP="002A4F73">
      <w:pPr>
        <w:pStyle w:val="NoSpacing"/>
        <w:ind w:left="851"/>
      </w:pPr>
      <w:r>
        <w:rPr>
          <w:rFonts w:asciiTheme="minorHAnsi" w:hAnsiTheme="minorHAnsi" w:cstheme="minorHAnsi"/>
          <w:color w:val="000000"/>
          <w:lang w:val="en-US"/>
        </w:rPr>
        <w:t>ii.</w:t>
      </w:r>
      <w:r>
        <w:rPr>
          <w:rFonts w:asciiTheme="minorHAnsi" w:hAnsiTheme="minorHAnsi" w:cstheme="minorHAnsi"/>
          <w:color w:val="000000"/>
          <w:lang w:val="en-US"/>
        </w:rPr>
        <w:tab/>
      </w:r>
      <w:r w:rsidR="007637F8" w:rsidRPr="007637F8">
        <w:rPr>
          <w:rFonts w:asciiTheme="minorHAnsi" w:hAnsiTheme="minorHAnsi" w:cstheme="minorHAnsi"/>
          <w:color w:val="000000"/>
          <w:lang w:val="en-US"/>
        </w:rPr>
        <w:t>The Panel should have balanced representation from all regions of the Convention.</w:t>
      </w:r>
    </w:p>
    <w:p w14:paraId="4996ABAF" w14:textId="4520C64D" w:rsidR="007637F8" w:rsidRPr="007637F8" w:rsidRDefault="002A4F73" w:rsidP="002A4F73">
      <w:pPr>
        <w:pStyle w:val="NoSpacing"/>
        <w:ind w:left="851"/>
      </w:pPr>
      <w:r>
        <w:rPr>
          <w:rFonts w:asciiTheme="minorHAnsi" w:hAnsiTheme="minorHAnsi" w:cstheme="minorHAnsi"/>
          <w:color w:val="000000"/>
          <w:lang w:val="en-US"/>
        </w:rPr>
        <w:t>iii.</w:t>
      </w:r>
      <w:r>
        <w:rPr>
          <w:rFonts w:asciiTheme="minorHAnsi" w:hAnsiTheme="minorHAnsi" w:cstheme="minorHAnsi"/>
          <w:color w:val="000000"/>
          <w:lang w:val="en-US"/>
        </w:rPr>
        <w:tab/>
      </w:r>
      <w:r w:rsidR="007637F8" w:rsidRPr="007637F8">
        <w:rPr>
          <w:rFonts w:asciiTheme="minorHAnsi" w:hAnsiTheme="minorHAnsi" w:cstheme="minorHAnsi"/>
          <w:color w:val="000000"/>
          <w:lang w:val="en-US"/>
        </w:rPr>
        <w:t>The Panel should ideally be comprised of at least one CEPA NGO Focal Point and one CEPA Government Focal Point.</w:t>
      </w:r>
    </w:p>
    <w:p w14:paraId="34452228" w14:textId="785186E9" w:rsidR="007637F8" w:rsidRPr="007637F8" w:rsidRDefault="002A4F73" w:rsidP="002A4F73">
      <w:pPr>
        <w:pStyle w:val="NoSpacing"/>
        <w:ind w:left="851"/>
      </w:pPr>
      <w:r>
        <w:rPr>
          <w:rFonts w:asciiTheme="minorHAnsi" w:hAnsiTheme="minorHAnsi" w:cstheme="minorHAnsi"/>
          <w:color w:val="000000"/>
          <w:lang w:val="en-US"/>
        </w:rPr>
        <w:t>iv.</w:t>
      </w:r>
      <w:r>
        <w:rPr>
          <w:rFonts w:asciiTheme="minorHAnsi" w:hAnsiTheme="minorHAnsi" w:cstheme="minorHAnsi"/>
          <w:color w:val="000000"/>
          <w:lang w:val="en-US"/>
        </w:rPr>
        <w:tab/>
      </w:r>
      <w:r w:rsidR="007637F8" w:rsidRPr="007637F8">
        <w:rPr>
          <w:rFonts w:asciiTheme="minorHAnsi" w:hAnsiTheme="minorHAnsi" w:cstheme="minorHAnsi"/>
          <w:color w:val="000000"/>
          <w:lang w:val="en-US"/>
        </w:rPr>
        <w:t>International Organization Partners should select one representative that will act as the liaison between the Panel and the six IOPs.</w:t>
      </w:r>
    </w:p>
    <w:p w14:paraId="5B3C1A3E" w14:textId="4B767354" w:rsidR="007637F8" w:rsidRPr="007637F8" w:rsidRDefault="002A4F73" w:rsidP="002A4F73">
      <w:pPr>
        <w:pStyle w:val="NoSpacing"/>
        <w:ind w:left="851"/>
      </w:pPr>
      <w:r>
        <w:rPr>
          <w:rFonts w:asciiTheme="minorHAnsi" w:hAnsiTheme="minorHAnsi" w:cstheme="minorHAnsi"/>
          <w:color w:val="000000"/>
          <w:lang w:val="en-US"/>
        </w:rPr>
        <w:t>v.</w:t>
      </w:r>
      <w:r>
        <w:rPr>
          <w:rFonts w:asciiTheme="minorHAnsi" w:hAnsiTheme="minorHAnsi" w:cstheme="minorHAnsi"/>
          <w:color w:val="000000"/>
          <w:lang w:val="en-US"/>
        </w:rPr>
        <w:tab/>
      </w:r>
      <w:r w:rsidR="007637F8" w:rsidRPr="007637F8">
        <w:rPr>
          <w:rFonts w:asciiTheme="minorHAnsi" w:hAnsiTheme="minorHAnsi" w:cstheme="minorHAnsi"/>
          <w:color w:val="000000"/>
          <w:lang w:val="en-US"/>
        </w:rPr>
        <w:t xml:space="preserve">The Panel should </w:t>
      </w:r>
      <w:r w:rsidR="007637F8" w:rsidRPr="007637F8">
        <w:rPr>
          <w:rFonts w:asciiTheme="minorHAnsi" w:hAnsiTheme="minorHAnsi" w:cstheme="minorHAnsi"/>
          <w:lang w:val="en-US"/>
        </w:rPr>
        <w:t>include</w:t>
      </w:r>
      <w:r w:rsidR="007637F8" w:rsidRPr="007637F8">
        <w:rPr>
          <w:rFonts w:asciiTheme="minorHAnsi" w:hAnsiTheme="minorHAnsi" w:cstheme="minorHAnsi"/>
          <w:color w:val="000000"/>
          <w:lang w:val="en-US"/>
        </w:rPr>
        <w:t xml:space="preserve"> a youth representative.</w:t>
      </w:r>
    </w:p>
    <w:p w14:paraId="2BC7A1D4" w14:textId="3064D69C" w:rsidR="000E44D4" w:rsidRPr="002A4F73" w:rsidRDefault="002A4F73" w:rsidP="002A4F73">
      <w:pPr>
        <w:ind w:left="851"/>
        <w:rPr>
          <w:rFonts w:asciiTheme="minorHAnsi" w:hAnsiTheme="minorHAnsi" w:cstheme="minorHAnsi"/>
          <w:color w:val="000000"/>
          <w:lang w:val="en-US"/>
        </w:rPr>
      </w:pPr>
      <w:r>
        <w:rPr>
          <w:rFonts w:asciiTheme="minorHAnsi" w:hAnsiTheme="minorHAnsi" w:cstheme="minorHAnsi"/>
          <w:color w:val="000000"/>
          <w:lang w:val="en-US"/>
        </w:rPr>
        <w:t>vi.</w:t>
      </w:r>
      <w:r>
        <w:rPr>
          <w:rFonts w:asciiTheme="minorHAnsi" w:hAnsiTheme="minorHAnsi" w:cstheme="minorHAnsi"/>
          <w:color w:val="000000"/>
          <w:lang w:val="en-US"/>
        </w:rPr>
        <w:tab/>
      </w:r>
      <w:r w:rsidR="007637F8" w:rsidRPr="002A4F73">
        <w:rPr>
          <w:rFonts w:asciiTheme="minorHAnsi" w:hAnsiTheme="minorHAnsi" w:cstheme="minorHAnsi"/>
          <w:color w:val="000000"/>
          <w:lang w:val="en-US"/>
        </w:rPr>
        <w:t xml:space="preserve">The Panel should </w:t>
      </w:r>
      <w:r w:rsidR="007637F8" w:rsidRPr="002A4F73">
        <w:rPr>
          <w:rFonts w:asciiTheme="minorHAnsi" w:hAnsiTheme="minorHAnsi" w:cstheme="minorHAnsi"/>
          <w:lang w:val="en-US"/>
        </w:rPr>
        <w:t>include</w:t>
      </w:r>
      <w:r w:rsidR="007637F8" w:rsidRPr="002A4F73">
        <w:rPr>
          <w:rFonts w:asciiTheme="minorHAnsi" w:hAnsiTheme="minorHAnsi" w:cstheme="minorHAnsi"/>
          <w:color w:val="000000"/>
          <w:lang w:val="en-US"/>
        </w:rPr>
        <w:t xml:space="preserve"> an </w:t>
      </w:r>
      <w:r w:rsidR="007637F8" w:rsidRPr="002A4F73">
        <w:rPr>
          <w:rFonts w:asciiTheme="minorHAnsi" w:hAnsiTheme="minorHAnsi" w:cstheme="minorHAnsi"/>
        </w:rPr>
        <w:t xml:space="preserve">Indigenous </w:t>
      </w:r>
      <w:r w:rsidR="007637F8" w:rsidRPr="002A4F73">
        <w:rPr>
          <w:rFonts w:asciiTheme="minorHAnsi" w:hAnsiTheme="minorHAnsi" w:cstheme="minorHAnsi"/>
          <w:lang w:val="en-US"/>
        </w:rPr>
        <w:t xml:space="preserve">member </w:t>
      </w:r>
      <w:r w:rsidR="007637F8" w:rsidRPr="002A4F73">
        <w:rPr>
          <w:rFonts w:asciiTheme="minorHAnsi" w:hAnsiTheme="minorHAnsi" w:cstheme="minorHAnsi"/>
          <w:color w:val="000000"/>
          <w:lang w:val="en-US"/>
        </w:rPr>
        <w:t>as feasible.</w:t>
      </w:r>
      <w:r w:rsidR="000E44D4" w:rsidRPr="002A4F73">
        <w:rPr>
          <w:rFonts w:asciiTheme="minorHAnsi" w:hAnsiTheme="minorHAnsi" w:cstheme="minorHAnsi"/>
          <w:color w:val="000000"/>
          <w:lang w:val="en-US"/>
        </w:rPr>
        <w:t xml:space="preserve"> </w:t>
      </w:r>
    </w:p>
    <w:p w14:paraId="24980BAC" w14:textId="7DD9984D" w:rsidR="000E44D4" w:rsidRPr="002A4F73" w:rsidRDefault="002A4F73" w:rsidP="002A4F73">
      <w:pPr>
        <w:ind w:left="851"/>
        <w:rPr>
          <w:rFonts w:asciiTheme="minorHAnsi" w:hAnsiTheme="minorHAnsi" w:cstheme="minorHAnsi"/>
          <w:color w:val="000000"/>
          <w:lang w:val="en-US"/>
        </w:rPr>
      </w:pPr>
      <w:bookmarkStart w:id="3" w:name="_Hlk148949828"/>
      <w:r>
        <w:rPr>
          <w:rFonts w:asciiTheme="minorHAnsi" w:hAnsiTheme="minorHAnsi" w:cstheme="minorHAnsi"/>
          <w:color w:val="000000"/>
          <w:lang w:val="en-US"/>
        </w:rPr>
        <w:t>vii.</w:t>
      </w:r>
      <w:r>
        <w:rPr>
          <w:rFonts w:asciiTheme="minorHAnsi" w:hAnsiTheme="minorHAnsi" w:cstheme="minorHAnsi"/>
          <w:color w:val="000000"/>
          <w:lang w:val="en-US"/>
        </w:rPr>
        <w:tab/>
      </w:r>
      <w:r w:rsidR="000E44D4" w:rsidRPr="002A4F73">
        <w:rPr>
          <w:rFonts w:asciiTheme="minorHAnsi" w:hAnsiTheme="minorHAnsi" w:cstheme="minorHAnsi"/>
          <w:color w:val="000000"/>
          <w:lang w:val="en-US"/>
        </w:rPr>
        <w:t xml:space="preserve">To ensure institutional memory, it is recommended that at least one of the Panel’s members has served as Panel member during the previous triennium. </w:t>
      </w:r>
    </w:p>
    <w:bookmarkEnd w:id="3"/>
    <w:p w14:paraId="78048E29" w14:textId="41C59885" w:rsidR="000E44D4" w:rsidRPr="002A4F73" w:rsidRDefault="008562F1" w:rsidP="002A4F73">
      <w:pPr>
        <w:ind w:left="851"/>
        <w:rPr>
          <w:rFonts w:asciiTheme="minorHAnsi" w:hAnsiTheme="minorHAnsi" w:cstheme="minorHAnsi"/>
          <w:color w:val="000000"/>
          <w:lang w:val="en-US"/>
        </w:rPr>
      </w:pPr>
      <w:r>
        <w:rPr>
          <w:rFonts w:asciiTheme="minorHAnsi" w:hAnsiTheme="minorHAnsi" w:cstheme="minorHAnsi"/>
          <w:color w:val="000000"/>
          <w:lang w:val="en-US"/>
        </w:rPr>
        <w:t>viii</w:t>
      </w:r>
      <w:r w:rsidR="002A4F73">
        <w:rPr>
          <w:rFonts w:asciiTheme="minorHAnsi" w:hAnsiTheme="minorHAnsi" w:cstheme="minorHAnsi"/>
          <w:color w:val="000000"/>
          <w:lang w:val="en-US"/>
        </w:rPr>
        <w:t>.</w:t>
      </w:r>
      <w:r w:rsidR="002A4F73">
        <w:rPr>
          <w:rFonts w:asciiTheme="minorHAnsi" w:hAnsiTheme="minorHAnsi" w:cstheme="minorHAnsi"/>
          <w:color w:val="000000"/>
          <w:lang w:val="en-US"/>
        </w:rPr>
        <w:tab/>
      </w:r>
      <w:r w:rsidR="000E44D4" w:rsidRPr="002A4F73">
        <w:rPr>
          <w:rFonts w:asciiTheme="minorHAnsi" w:hAnsiTheme="minorHAnsi" w:cstheme="minorHAnsi"/>
          <w:color w:val="000000"/>
          <w:lang w:val="en-US"/>
        </w:rPr>
        <w:t>In order to ensure collaboration and information exchange between the CEPA Oversight Panel and other Convention bodies, specifically the Standing Committee and the Scientific and Technical Review Panel, a representative from each body should be nominated to serve on the CEPA Oversight Panel.</w:t>
      </w:r>
    </w:p>
    <w:p w14:paraId="61CEC270" w14:textId="77777777" w:rsidR="007637F8" w:rsidRDefault="007637F8" w:rsidP="000E44D4">
      <w:pPr>
        <w:pStyle w:val="NoSpacing"/>
        <w:ind w:left="1505" w:firstLine="0"/>
      </w:pPr>
    </w:p>
    <w:p w14:paraId="54063327" w14:textId="6AAB296B" w:rsidR="007637F8" w:rsidRDefault="002A4F73" w:rsidP="002A4F73">
      <w:pPr>
        <w:pStyle w:val="NoSpacing"/>
        <w:ind w:left="426" w:hanging="426"/>
      </w:pPr>
      <w:r>
        <w:t>9.</w:t>
      </w:r>
      <w:r>
        <w:tab/>
      </w:r>
      <w:r w:rsidR="007637F8">
        <w:t xml:space="preserve">The </w:t>
      </w:r>
      <w:r w:rsidR="00EF6C5F">
        <w:t xml:space="preserve">membership of the </w:t>
      </w:r>
      <w:r w:rsidR="007637F8">
        <w:t>CEPA Oversight Panel for the current triennium (2023</w:t>
      </w:r>
      <w:r w:rsidR="00EF6C5F">
        <w:t>-</w:t>
      </w:r>
      <w:r w:rsidR="007637F8">
        <w:t>2025)</w:t>
      </w:r>
      <w:r w:rsidR="00EF6C5F">
        <w:t xml:space="preserve"> is published on the Convention website at </w:t>
      </w:r>
      <w:hyperlink r:id="rId11" w:history="1">
        <w:r w:rsidR="00EF6C5F" w:rsidRPr="00EA19EC">
          <w:rPr>
            <w:rStyle w:val="Hyperlink"/>
          </w:rPr>
          <w:t>https://www.ramsar.org/current-standing-committee-2023-2025-members</w:t>
        </w:r>
      </w:hyperlink>
      <w:r w:rsidR="00EF6C5F">
        <w:t xml:space="preserve">. </w:t>
      </w:r>
      <w:r w:rsidR="00EF6C5F" w:rsidRPr="00EF6C5F">
        <w:rPr>
          <w:rStyle w:val="CommentReference"/>
          <w:sz w:val="22"/>
          <w:szCs w:val="22"/>
        </w:rPr>
        <w:t>This</w:t>
      </w:r>
      <w:r w:rsidR="00EF6C5F">
        <w:rPr>
          <w:rStyle w:val="CommentReference"/>
        </w:rPr>
        <w:t xml:space="preserve"> </w:t>
      </w:r>
      <w:r w:rsidR="007637F8">
        <w:t>membership meets the criteria provided in Resolution</w:t>
      </w:r>
      <w:r w:rsidR="009B16A3">
        <w:t>s</w:t>
      </w:r>
      <w:r w:rsidR="007637F8">
        <w:t xml:space="preserve"> IX.18 and </w:t>
      </w:r>
      <w:r w:rsidR="007637F8">
        <w:lastRenderedPageBreak/>
        <w:t>XIV.8. The pr</w:t>
      </w:r>
      <w:r w:rsidR="00B851DC">
        <w:t>oposal</w:t>
      </w:r>
      <w:r w:rsidR="007637F8">
        <w:t xml:space="preserve"> </w:t>
      </w:r>
      <w:r w:rsidR="003F6B0A">
        <w:t xml:space="preserve">for the Panel’s </w:t>
      </w:r>
      <w:r w:rsidR="00EF6C5F">
        <w:t xml:space="preserve">future </w:t>
      </w:r>
      <w:r w:rsidR="007637F8">
        <w:t xml:space="preserve">membership </w:t>
      </w:r>
      <w:r w:rsidR="003F6B0A">
        <w:t xml:space="preserve">is </w:t>
      </w:r>
      <w:r w:rsidR="007637F8">
        <w:t xml:space="preserve">based on the guidance </w:t>
      </w:r>
      <w:r w:rsidR="00FD70AF">
        <w:t>provided by</w:t>
      </w:r>
      <w:r w:rsidR="007637F8">
        <w:t xml:space="preserve"> both Resolutions.</w:t>
      </w:r>
    </w:p>
    <w:p w14:paraId="5174711E" w14:textId="7B247744" w:rsidR="002A4F73" w:rsidRDefault="002A4F73" w:rsidP="002A4F73">
      <w:pPr>
        <w:pStyle w:val="NoSpacing"/>
        <w:ind w:left="426" w:hanging="426"/>
      </w:pPr>
    </w:p>
    <w:p w14:paraId="41007712" w14:textId="49E4C1AF" w:rsidR="002A4F73" w:rsidRPr="002A4F73" w:rsidRDefault="002A4F73" w:rsidP="002A4F73">
      <w:pPr>
        <w:pStyle w:val="NoSpacing"/>
        <w:ind w:left="426" w:hanging="426"/>
        <w:rPr>
          <w:i/>
        </w:rPr>
      </w:pPr>
      <w:r w:rsidRPr="002A4F73">
        <w:rPr>
          <w:i/>
        </w:rPr>
        <w:t>Nomination procedure</w:t>
      </w:r>
    </w:p>
    <w:p w14:paraId="0CE551A9" w14:textId="77777777" w:rsidR="007637F8" w:rsidRDefault="007637F8" w:rsidP="007637F8">
      <w:pPr>
        <w:pStyle w:val="NoSpacing"/>
        <w:ind w:left="1505" w:firstLine="0"/>
      </w:pPr>
    </w:p>
    <w:p w14:paraId="547A88D9" w14:textId="10CDB5BE" w:rsidR="00490E47" w:rsidRDefault="002A4F73" w:rsidP="002A4F73">
      <w:pPr>
        <w:pStyle w:val="NoSpacing"/>
        <w:ind w:left="426" w:hanging="426"/>
      </w:pPr>
      <w:r w:rsidRPr="002A4F73">
        <w:t>10.</w:t>
      </w:r>
      <w:r w:rsidRPr="002A4F73">
        <w:tab/>
      </w:r>
      <w:r w:rsidR="006B36AC">
        <w:t xml:space="preserve">Contracting Parties have expressed the importance </w:t>
      </w:r>
      <w:r w:rsidR="00EF6C5F">
        <w:t xml:space="preserve">of </w:t>
      </w:r>
      <w:r w:rsidR="006B36AC">
        <w:t xml:space="preserve">establishing membership of </w:t>
      </w:r>
      <w:r w:rsidR="00EF6C5F">
        <w:t xml:space="preserve">subsidiary </w:t>
      </w:r>
      <w:r w:rsidR="006B36AC">
        <w:t xml:space="preserve">bodies of the Convention as early in each triennium as possible. </w:t>
      </w:r>
      <w:r w:rsidR="005C2079">
        <w:t xml:space="preserve">Resolution XIV.8 calls for a nomination process </w:t>
      </w:r>
      <w:r w:rsidR="00184775">
        <w:t xml:space="preserve">for the Oversight Panel </w:t>
      </w:r>
      <w:r w:rsidR="005C2079">
        <w:t>to take place in advance of each COP</w:t>
      </w:r>
      <w:r w:rsidR="00EF6C5F">
        <w:t>,</w:t>
      </w:r>
      <w:r w:rsidR="005C2079">
        <w:t xml:space="preserve"> and the proposal includes a timeline for the nomination process</w:t>
      </w:r>
      <w:r w:rsidR="00EF6C5F">
        <w:t>,</w:t>
      </w:r>
      <w:r w:rsidR="005C2079">
        <w:t xml:space="preserve"> noting that the Chair and </w:t>
      </w:r>
      <w:r w:rsidR="007835AE">
        <w:t>Vice-Chair</w:t>
      </w:r>
      <w:r w:rsidR="005C2079">
        <w:t xml:space="preserve"> of the Standing Committee and the Chair of the Subgroup on Finance are not selected until the first meeting of the Standing Committee following the COP. Further, the proposed composition of the Oversight Panel </w:t>
      </w:r>
      <w:r w:rsidR="004A2A09">
        <w:t>resulting from</w:t>
      </w:r>
      <w:r w:rsidR="005C2079">
        <w:t xml:space="preserve"> the nomination process will need to be approved by the Standing Committee. </w:t>
      </w:r>
    </w:p>
    <w:p w14:paraId="7BE0DF78" w14:textId="77777777" w:rsidR="006B36AC" w:rsidRDefault="006B36AC" w:rsidP="006B36AC">
      <w:pPr>
        <w:pStyle w:val="NoSpacing"/>
        <w:ind w:left="785" w:firstLine="0"/>
      </w:pPr>
    </w:p>
    <w:p w14:paraId="71D83592" w14:textId="4DBBAB9F" w:rsidR="00AD1091" w:rsidRPr="00AD1091" w:rsidRDefault="00AD1091" w:rsidP="00AD1091">
      <w:pPr>
        <w:pStyle w:val="NoSpacing"/>
        <w:rPr>
          <w:i/>
        </w:rPr>
      </w:pPr>
      <w:r w:rsidRPr="00AD1091">
        <w:rPr>
          <w:i/>
        </w:rPr>
        <w:t xml:space="preserve">Modus operandi </w:t>
      </w:r>
    </w:p>
    <w:p w14:paraId="30BFB9A2" w14:textId="77777777" w:rsidR="00AD1091" w:rsidRDefault="00AD1091" w:rsidP="00AD1091">
      <w:pPr>
        <w:pStyle w:val="NoSpacing"/>
        <w:rPr>
          <w:u w:val="single"/>
        </w:rPr>
      </w:pPr>
    </w:p>
    <w:p w14:paraId="7CE9FB59" w14:textId="11125E8C" w:rsidR="001A123E" w:rsidRDefault="00EF6C5F" w:rsidP="00AD1091">
      <w:pPr>
        <w:pStyle w:val="NoSpacing"/>
      </w:pPr>
      <w:r w:rsidRPr="00EF6C5F">
        <w:t>11.</w:t>
      </w:r>
      <w:r w:rsidRPr="00EF6C5F">
        <w:tab/>
      </w:r>
      <w:r w:rsidR="009B16A3">
        <w:t>The m</w:t>
      </w:r>
      <w:r w:rsidR="001A123E" w:rsidRPr="001A123E">
        <w:t xml:space="preserve">odus operandi of </w:t>
      </w:r>
      <w:r w:rsidR="001A123E">
        <w:t xml:space="preserve">the Panel </w:t>
      </w:r>
      <w:r w:rsidR="009B16A3">
        <w:t xml:space="preserve">was </w:t>
      </w:r>
      <w:r w:rsidR="001A123E">
        <w:t>defined in Resolution</w:t>
      </w:r>
      <w:r w:rsidR="005D262B">
        <w:t>s</w:t>
      </w:r>
      <w:r w:rsidR="001A123E">
        <w:t xml:space="preserve"> IX.18 and Resolution XIV.8. The modus operandi in the </w:t>
      </w:r>
      <w:r w:rsidR="00184775">
        <w:t xml:space="preserve">Secretariat’s </w:t>
      </w:r>
      <w:r w:rsidR="001A123E">
        <w:t>propos</w:t>
      </w:r>
      <w:r w:rsidR="00184775">
        <w:t>ed plan</w:t>
      </w:r>
      <w:r w:rsidR="00FD70AF">
        <w:t xml:space="preserve"> applies operational experience and </w:t>
      </w:r>
      <w:r w:rsidR="00E73EE3">
        <w:t xml:space="preserve">lessons </w:t>
      </w:r>
      <w:r w:rsidR="00FD70AF">
        <w:t>from past triennia to build on the guidance from these two Resolutions.</w:t>
      </w:r>
    </w:p>
    <w:p w14:paraId="375C6FCE" w14:textId="77777777" w:rsidR="00490E47" w:rsidRPr="001A123E" w:rsidRDefault="001A123E" w:rsidP="001A123E">
      <w:pPr>
        <w:pStyle w:val="NoSpacing"/>
      </w:pPr>
      <w:r>
        <w:t xml:space="preserve"> </w:t>
      </w:r>
    </w:p>
    <w:p w14:paraId="66215B03" w14:textId="0532BC9A" w:rsidR="00EF6C5F" w:rsidRPr="00EF6C5F" w:rsidRDefault="00EF6C5F" w:rsidP="00EF6C5F">
      <w:pPr>
        <w:pStyle w:val="NoSpacing"/>
        <w:rPr>
          <w:i/>
        </w:rPr>
      </w:pPr>
      <w:r w:rsidRPr="00EF6C5F">
        <w:rPr>
          <w:i/>
        </w:rPr>
        <w:t xml:space="preserve">Towards a more strategic, integrated and effective CEPA programme </w:t>
      </w:r>
    </w:p>
    <w:p w14:paraId="21B47CB5" w14:textId="77777777" w:rsidR="00EF6C5F" w:rsidRDefault="00EF6C5F" w:rsidP="00EF6C5F">
      <w:pPr>
        <w:pStyle w:val="NoSpacing"/>
      </w:pPr>
    </w:p>
    <w:p w14:paraId="703A1005" w14:textId="27FA9622" w:rsidR="00490E47" w:rsidRDefault="00EF6C5F" w:rsidP="00EF6C5F">
      <w:pPr>
        <w:pStyle w:val="NoSpacing"/>
      </w:pPr>
      <w:r>
        <w:t>12.</w:t>
      </w:r>
      <w:r>
        <w:tab/>
      </w:r>
      <w:r w:rsidR="006B36AC">
        <w:t xml:space="preserve">The Oversight Panel for the </w:t>
      </w:r>
      <w:r w:rsidR="00E73EE3">
        <w:t xml:space="preserve">2018-2022 </w:t>
      </w:r>
      <w:r w:rsidR="006B36AC">
        <w:t xml:space="preserve">triennium provided recommendations </w:t>
      </w:r>
      <w:r w:rsidR="00E73EE3">
        <w:t xml:space="preserve">to the Standing Committee </w:t>
      </w:r>
      <w:r w:rsidR="006B36AC">
        <w:t>to make CEPA more strategic, integrated and effective</w:t>
      </w:r>
      <w:r w:rsidR="00E73EE3">
        <w:t>,</w:t>
      </w:r>
      <w:r w:rsidR="00E73EE3" w:rsidRPr="00E73EE3">
        <w:t xml:space="preserve"> </w:t>
      </w:r>
      <w:r w:rsidR="00E73EE3">
        <w:t>in document SC58 Doc.15.1</w:t>
      </w:r>
      <w:r w:rsidR="006B36AC">
        <w:t>. These recommendations</w:t>
      </w:r>
      <w:r w:rsidR="00E73EE3">
        <w:t>,</w:t>
      </w:r>
      <w:r w:rsidR="006B36AC">
        <w:t xml:space="preserve"> drawn from a survey of National Focal Points, CEPA Government Focal Points, and CEPA NGO Focal Points on the </w:t>
      </w:r>
      <w:r w:rsidR="005C2079">
        <w:t>new approach to CEPA</w:t>
      </w:r>
      <w:r w:rsidR="00E73EE3">
        <w:t xml:space="preserve">, </w:t>
      </w:r>
      <w:r w:rsidR="005C2079">
        <w:t xml:space="preserve">have been incorporated into the </w:t>
      </w:r>
      <w:r w:rsidR="00E73EE3">
        <w:t xml:space="preserve">present </w:t>
      </w:r>
      <w:r w:rsidR="005C2079">
        <w:t>propos</w:t>
      </w:r>
      <w:r w:rsidR="00E73EE3">
        <w:t>al along with guidance from Resolution XIV.8</w:t>
      </w:r>
      <w:r w:rsidR="005C2079">
        <w:t xml:space="preserve">. </w:t>
      </w:r>
    </w:p>
    <w:p w14:paraId="7E857604" w14:textId="77777777" w:rsidR="001A5E83" w:rsidRDefault="001A5E83" w:rsidP="001A5E83">
      <w:pPr>
        <w:pStyle w:val="ListParagraph"/>
      </w:pPr>
    </w:p>
    <w:p w14:paraId="610D6E5D" w14:textId="34689DA5" w:rsidR="005F2A8B" w:rsidRDefault="00EF6C5F" w:rsidP="001A5E83">
      <w:pPr>
        <w:pStyle w:val="NoSpacing"/>
      </w:pPr>
      <w:r>
        <w:t>13</w:t>
      </w:r>
      <w:r w:rsidR="001A5E83">
        <w:t>.</w:t>
      </w:r>
      <w:r w:rsidR="001A5E83">
        <w:tab/>
      </w:r>
      <w:r w:rsidR="005F2A8B">
        <w:t xml:space="preserve">The proposal on the future operations of the Oversight Panel found in </w:t>
      </w:r>
      <w:r w:rsidR="005F2A8B" w:rsidRPr="0090704D">
        <w:t xml:space="preserve">Annex </w:t>
      </w:r>
      <w:r w:rsidR="00E73EE3" w:rsidRPr="0090704D">
        <w:t xml:space="preserve">1 </w:t>
      </w:r>
      <w:r w:rsidR="005F2A8B" w:rsidRPr="0090704D">
        <w:t>has</w:t>
      </w:r>
      <w:r w:rsidR="005F2A8B">
        <w:t xml:space="preserve"> been reviewed by the current CEPA Oversight Panel including the STRP representative on the Oversight Panel</w:t>
      </w:r>
      <w:r w:rsidR="00E73EE3">
        <w:t xml:space="preserve">, and </w:t>
      </w:r>
      <w:r w:rsidR="005F2A8B">
        <w:t xml:space="preserve">their comments and recommendations </w:t>
      </w:r>
      <w:r w:rsidR="00E73EE3">
        <w:t xml:space="preserve">have been </w:t>
      </w:r>
      <w:r w:rsidR="00184775">
        <w:t>reflected</w:t>
      </w:r>
      <w:r w:rsidR="005F2A8B">
        <w:t xml:space="preserve"> in </w:t>
      </w:r>
      <w:r w:rsidR="00E73EE3">
        <w:t>it</w:t>
      </w:r>
      <w:r w:rsidR="005F2A8B">
        <w:t xml:space="preserve">. </w:t>
      </w:r>
    </w:p>
    <w:p w14:paraId="5B4FC9D0" w14:textId="77777777" w:rsidR="005F2A8B" w:rsidRDefault="005F2A8B" w:rsidP="001A5E83">
      <w:pPr>
        <w:pStyle w:val="NoSpacing"/>
      </w:pPr>
    </w:p>
    <w:p w14:paraId="1EFE1D36" w14:textId="0CFBEE9D" w:rsidR="001A5E83" w:rsidRDefault="00EF6C5F" w:rsidP="001A5E83">
      <w:pPr>
        <w:pStyle w:val="NoSpacing"/>
      </w:pPr>
      <w:r>
        <w:t>14</w:t>
      </w:r>
      <w:r w:rsidR="005F2A8B">
        <w:t>.</w:t>
      </w:r>
      <w:r w:rsidR="005F2A8B">
        <w:tab/>
      </w:r>
      <w:r w:rsidR="001A5E83">
        <w:t xml:space="preserve">The Standing Committee is </w:t>
      </w:r>
      <w:r w:rsidR="004921A9">
        <w:t>invited</w:t>
      </w:r>
      <w:r w:rsidR="004921A9" w:rsidRPr="00AA3F7B">
        <w:rPr>
          <w:rFonts w:asciiTheme="minorHAnsi" w:hAnsiTheme="minorHAnsi" w:cstheme="minorHAnsi"/>
        </w:rPr>
        <w:t xml:space="preserve"> </w:t>
      </w:r>
      <w:r w:rsidR="007E4714">
        <w:rPr>
          <w:rFonts w:asciiTheme="minorHAnsi" w:hAnsiTheme="minorHAnsi" w:cstheme="minorHAnsi"/>
        </w:rPr>
        <w:t xml:space="preserve">to </w:t>
      </w:r>
      <w:r w:rsidR="004921A9">
        <w:rPr>
          <w:rFonts w:asciiTheme="minorHAnsi" w:hAnsiTheme="minorHAnsi" w:cstheme="minorHAnsi"/>
        </w:rPr>
        <w:t xml:space="preserve">approve </w:t>
      </w:r>
      <w:r w:rsidR="007E4714">
        <w:rPr>
          <w:rFonts w:asciiTheme="minorHAnsi" w:hAnsiTheme="minorHAnsi" w:cstheme="minorHAnsi"/>
        </w:rPr>
        <w:t xml:space="preserve">the </w:t>
      </w:r>
      <w:r w:rsidR="00AA3F7B" w:rsidRPr="001105AA">
        <w:rPr>
          <w:rFonts w:asciiTheme="minorHAnsi" w:hAnsiTheme="minorHAnsi" w:cstheme="minorHAnsi"/>
        </w:rPr>
        <w:t>proposal</w:t>
      </w:r>
      <w:r w:rsidR="004921A9">
        <w:rPr>
          <w:rFonts w:asciiTheme="minorHAnsi" w:hAnsiTheme="minorHAnsi" w:cstheme="minorHAnsi"/>
        </w:rPr>
        <w:t>, and instruct the Secretariat to prepare a draft resolution for SC64 to enable its formalization by the Conference of the Contracting Parties at COP15</w:t>
      </w:r>
      <w:r w:rsidR="007E4714">
        <w:rPr>
          <w:rFonts w:asciiTheme="minorHAnsi" w:hAnsiTheme="minorHAnsi" w:cstheme="minorHAnsi"/>
        </w:rPr>
        <w:t>.</w:t>
      </w:r>
      <w:r w:rsidR="00AA3F7B" w:rsidRPr="001105AA">
        <w:rPr>
          <w:rFonts w:asciiTheme="minorHAnsi" w:hAnsiTheme="minorHAnsi" w:cstheme="minorHAnsi"/>
        </w:rPr>
        <w:t xml:space="preserve"> </w:t>
      </w:r>
    </w:p>
    <w:p w14:paraId="15B362A2" w14:textId="77777777" w:rsidR="00490E47" w:rsidRDefault="00490E47" w:rsidP="0007175F">
      <w:pPr>
        <w:pStyle w:val="NoSpacing"/>
      </w:pPr>
    </w:p>
    <w:p w14:paraId="1DDB954E" w14:textId="77777777" w:rsidR="00490E47" w:rsidRDefault="00490E47" w:rsidP="0007175F">
      <w:pPr>
        <w:pStyle w:val="NoSpacing"/>
      </w:pPr>
    </w:p>
    <w:p w14:paraId="008284FD" w14:textId="77777777" w:rsidR="00411D84" w:rsidRDefault="00411D84">
      <w:r>
        <w:br w:type="page"/>
      </w:r>
    </w:p>
    <w:p w14:paraId="0BFB8A82" w14:textId="385070EA" w:rsidR="00490E47" w:rsidRPr="004921A9" w:rsidRDefault="00FD70AF" w:rsidP="005C2079">
      <w:pPr>
        <w:pStyle w:val="NoSpacing"/>
        <w:tabs>
          <w:tab w:val="left" w:pos="1330"/>
        </w:tabs>
        <w:rPr>
          <w:b/>
          <w:sz w:val="24"/>
          <w:szCs w:val="24"/>
        </w:rPr>
      </w:pPr>
      <w:r w:rsidRPr="0090704D">
        <w:rPr>
          <w:b/>
          <w:sz w:val="24"/>
          <w:szCs w:val="24"/>
        </w:rPr>
        <w:lastRenderedPageBreak/>
        <w:t>A</w:t>
      </w:r>
      <w:r w:rsidR="007E4714" w:rsidRPr="0090704D">
        <w:rPr>
          <w:b/>
          <w:sz w:val="24"/>
          <w:szCs w:val="24"/>
        </w:rPr>
        <w:t xml:space="preserve">nnex </w:t>
      </w:r>
      <w:r w:rsidR="00A777FF" w:rsidRPr="0090704D">
        <w:rPr>
          <w:b/>
          <w:sz w:val="24"/>
          <w:szCs w:val="24"/>
        </w:rPr>
        <w:t>1</w:t>
      </w:r>
      <w:r w:rsidR="005C2079" w:rsidRPr="004921A9">
        <w:rPr>
          <w:b/>
          <w:sz w:val="24"/>
          <w:szCs w:val="24"/>
        </w:rPr>
        <w:tab/>
      </w:r>
    </w:p>
    <w:p w14:paraId="5374D3E0" w14:textId="77777777" w:rsidR="005F5BA5" w:rsidRPr="004921A9" w:rsidRDefault="005F5BA5" w:rsidP="005C2079">
      <w:pPr>
        <w:pStyle w:val="NoSpacing"/>
        <w:tabs>
          <w:tab w:val="left" w:pos="1330"/>
        </w:tabs>
        <w:rPr>
          <w:b/>
          <w:sz w:val="24"/>
          <w:szCs w:val="24"/>
        </w:rPr>
      </w:pPr>
      <w:r w:rsidRPr="004921A9">
        <w:rPr>
          <w:rFonts w:cs="Arial"/>
          <w:b/>
          <w:sz w:val="24"/>
          <w:szCs w:val="24"/>
        </w:rPr>
        <w:t>Proposal on future operations of the CEPA Oversight Panel</w:t>
      </w:r>
    </w:p>
    <w:p w14:paraId="43F12313" w14:textId="38DC0247" w:rsidR="005C2079" w:rsidRDefault="005C2079" w:rsidP="005C2079">
      <w:pPr>
        <w:pStyle w:val="NoSpacing"/>
        <w:tabs>
          <w:tab w:val="left" w:pos="1330"/>
        </w:tabs>
      </w:pPr>
    </w:p>
    <w:p w14:paraId="6B503468" w14:textId="77777777" w:rsidR="008563F6" w:rsidRDefault="008563F6" w:rsidP="005C2079">
      <w:pPr>
        <w:pStyle w:val="NoSpacing"/>
        <w:tabs>
          <w:tab w:val="left" w:pos="1330"/>
        </w:tabs>
      </w:pPr>
    </w:p>
    <w:p w14:paraId="14DB5C8F" w14:textId="77777777" w:rsidR="006F4BFB" w:rsidRDefault="006F4BFB" w:rsidP="0023393D">
      <w:pPr>
        <w:pStyle w:val="NoSpacing"/>
        <w:tabs>
          <w:tab w:val="left" w:pos="1330"/>
        </w:tabs>
        <w:ind w:left="0" w:firstLine="0"/>
      </w:pPr>
      <w:r>
        <w:t xml:space="preserve">The Convention on Wetland’s Programme on communication, capacity building, education, participation and awareness (CEPA) is an instrument to provide guidance to Contracting Parties, the Convention Secretariat, Convention International Organization Partners (IOPs), NGOs, community-based organizations and other stakeholders in the appropriate actions to engage, enlist and enable people to act for the conservation and wise use of wetlands. </w:t>
      </w:r>
    </w:p>
    <w:p w14:paraId="3E7A8675" w14:textId="77777777" w:rsidR="006F4BFB" w:rsidRDefault="006F4BFB" w:rsidP="0023393D">
      <w:pPr>
        <w:pStyle w:val="NoSpacing"/>
        <w:tabs>
          <w:tab w:val="left" w:pos="1330"/>
        </w:tabs>
        <w:ind w:left="0" w:firstLine="0"/>
      </w:pPr>
    </w:p>
    <w:p w14:paraId="7D850C4B" w14:textId="60783AD2" w:rsidR="005C2079" w:rsidRDefault="005F5BA5" w:rsidP="0023393D">
      <w:pPr>
        <w:pStyle w:val="NoSpacing"/>
        <w:tabs>
          <w:tab w:val="left" w:pos="1330"/>
        </w:tabs>
        <w:ind w:left="0" w:firstLine="0"/>
      </w:pPr>
      <w:r>
        <w:t xml:space="preserve">The main </w:t>
      </w:r>
      <w:r w:rsidR="00A51797">
        <w:t xml:space="preserve">role </w:t>
      </w:r>
      <w:r>
        <w:t xml:space="preserve">of the CEPA Oversight Panel </w:t>
      </w:r>
      <w:r w:rsidR="00221A6D">
        <w:t xml:space="preserve">is to </w:t>
      </w:r>
      <w:r w:rsidR="00E36AC6">
        <w:t xml:space="preserve">oversee </w:t>
      </w:r>
      <w:r w:rsidR="00CA7E43">
        <w:t xml:space="preserve">preparation </w:t>
      </w:r>
      <w:r w:rsidR="00806797">
        <w:t xml:space="preserve">and implementation </w:t>
      </w:r>
      <w:r w:rsidR="00CA7E43">
        <w:t xml:space="preserve">of </w:t>
      </w:r>
      <w:proofErr w:type="gramStart"/>
      <w:r w:rsidR="00CA7E43">
        <w:t xml:space="preserve">CEPA </w:t>
      </w:r>
      <w:r w:rsidR="00054FB5">
        <w:t xml:space="preserve"> </w:t>
      </w:r>
      <w:r>
        <w:t>within</w:t>
      </w:r>
      <w:proofErr w:type="gramEnd"/>
      <w:r>
        <w:t xml:space="preserve"> the Convention</w:t>
      </w:r>
      <w:r w:rsidR="006F4BFB">
        <w:t xml:space="preserve"> and in particular to advise the Standing Committee and the Secretariat on </w:t>
      </w:r>
      <w:r w:rsidR="00D4485D">
        <w:t xml:space="preserve">national and international </w:t>
      </w:r>
      <w:r w:rsidR="006F4BFB">
        <w:t xml:space="preserve">CEPA activities, including the CEPA priorities of the Scientific and Technical Review Panel (STRP). </w:t>
      </w:r>
      <w:r w:rsidR="00313EAE">
        <w:t>Specific functions include</w:t>
      </w:r>
      <w:r w:rsidR="00A777FF">
        <w:t>:</w:t>
      </w:r>
    </w:p>
    <w:p w14:paraId="7435989F" w14:textId="77777777" w:rsidR="00313EAE" w:rsidRDefault="00313EAE" w:rsidP="0023393D">
      <w:pPr>
        <w:pStyle w:val="NoSpacing"/>
        <w:tabs>
          <w:tab w:val="left" w:pos="1330"/>
        </w:tabs>
        <w:ind w:left="0" w:firstLine="0"/>
      </w:pPr>
    </w:p>
    <w:p w14:paraId="472D03DF" w14:textId="4EB10502" w:rsidR="00313EAE" w:rsidRPr="00281585" w:rsidRDefault="00313EAE" w:rsidP="005D262B">
      <w:pPr>
        <w:ind w:left="426" w:hanging="426"/>
        <w:contextualSpacing/>
        <w:rPr>
          <w:rFonts w:asciiTheme="minorHAnsi" w:hAnsiTheme="minorHAnsi" w:cstheme="minorHAnsi"/>
          <w:color w:val="000000"/>
          <w:lang w:val="en-US"/>
        </w:rPr>
      </w:pPr>
      <w:proofErr w:type="spellStart"/>
      <w:r>
        <w:rPr>
          <w:rFonts w:asciiTheme="minorHAnsi" w:hAnsiTheme="minorHAnsi" w:cstheme="minorHAnsi"/>
          <w:color w:val="000000"/>
          <w:lang w:val="en-US"/>
        </w:rPr>
        <w:t>i</w:t>
      </w:r>
      <w:proofErr w:type="spellEnd"/>
      <w:r>
        <w:rPr>
          <w:rFonts w:asciiTheme="minorHAnsi" w:hAnsiTheme="minorHAnsi" w:cstheme="minorHAnsi"/>
          <w:color w:val="000000"/>
          <w:lang w:val="en-US"/>
        </w:rPr>
        <w:t>.</w:t>
      </w:r>
      <w:r>
        <w:rPr>
          <w:rFonts w:asciiTheme="minorHAnsi" w:hAnsiTheme="minorHAnsi" w:cstheme="minorHAnsi"/>
          <w:color w:val="000000"/>
          <w:lang w:val="en-US"/>
        </w:rPr>
        <w:tab/>
      </w:r>
      <w:r w:rsidR="00A777FF">
        <w:rPr>
          <w:rFonts w:asciiTheme="minorHAnsi" w:hAnsiTheme="minorHAnsi" w:cstheme="minorHAnsi"/>
          <w:color w:val="000000"/>
          <w:lang w:val="en-US"/>
        </w:rPr>
        <w:t>d</w:t>
      </w:r>
      <w:r w:rsidR="00A777FF" w:rsidRPr="00281585">
        <w:rPr>
          <w:rFonts w:asciiTheme="minorHAnsi" w:hAnsiTheme="minorHAnsi" w:cstheme="minorHAnsi"/>
          <w:color w:val="000000"/>
          <w:lang w:val="en-US"/>
        </w:rPr>
        <w:t>eliver</w:t>
      </w:r>
      <w:r w:rsidR="00A777FF">
        <w:rPr>
          <w:rFonts w:asciiTheme="minorHAnsi" w:hAnsiTheme="minorHAnsi" w:cstheme="minorHAnsi"/>
          <w:color w:val="000000"/>
          <w:lang w:val="en-US"/>
        </w:rPr>
        <w:t>ing</w:t>
      </w:r>
      <w:r w:rsidR="00A777FF" w:rsidRPr="00281585">
        <w:rPr>
          <w:rFonts w:asciiTheme="minorHAnsi" w:hAnsiTheme="minorHAnsi" w:cstheme="minorHAnsi"/>
          <w:color w:val="000000"/>
          <w:lang w:val="en-US"/>
        </w:rPr>
        <w:t xml:space="preserve"> </w:t>
      </w:r>
      <w:r w:rsidRPr="00281585">
        <w:rPr>
          <w:rFonts w:asciiTheme="minorHAnsi" w:hAnsiTheme="minorHAnsi" w:cstheme="minorHAnsi"/>
          <w:color w:val="000000"/>
          <w:lang w:val="en-US"/>
        </w:rPr>
        <w:t xml:space="preserve">results originating from specific </w:t>
      </w:r>
      <w:r w:rsidRPr="001105AA">
        <w:rPr>
          <w:rFonts w:asciiTheme="minorHAnsi" w:hAnsiTheme="minorHAnsi" w:cstheme="minorHAnsi"/>
        </w:rPr>
        <w:t>communication, capacity building, education, participation and awareness (CEPA)</w:t>
      </w:r>
      <w:r>
        <w:rPr>
          <w:rFonts w:asciiTheme="minorHAnsi" w:hAnsiTheme="minorHAnsi" w:cstheme="minorHAnsi"/>
        </w:rPr>
        <w:t xml:space="preserve"> </w:t>
      </w:r>
      <w:r w:rsidRPr="00281585">
        <w:rPr>
          <w:rFonts w:asciiTheme="minorHAnsi" w:hAnsiTheme="minorHAnsi" w:cstheme="minorHAnsi"/>
          <w:color w:val="000000"/>
          <w:lang w:val="en-US"/>
        </w:rPr>
        <w:t xml:space="preserve">requests included in </w:t>
      </w:r>
      <w:r>
        <w:rPr>
          <w:rFonts w:asciiTheme="minorHAnsi" w:hAnsiTheme="minorHAnsi" w:cstheme="minorHAnsi"/>
          <w:color w:val="000000"/>
          <w:lang w:val="en-US"/>
        </w:rPr>
        <w:t>R</w:t>
      </w:r>
      <w:r w:rsidRPr="00281585">
        <w:rPr>
          <w:rFonts w:asciiTheme="minorHAnsi" w:hAnsiTheme="minorHAnsi" w:cstheme="minorHAnsi"/>
          <w:color w:val="000000"/>
          <w:lang w:val="en-US"/>
        </w:rPr>
        <w:t xml:space="preserve">esolutions </w:t>
      </w:r>
      <w:r>
        <w:rPr>
          <w:rFonts w:asciiTheme="minorHAnsi" w:hAnsiTheme="minorHAnsi" w:cstheme="minorHAnsi"/>
          <w:color w:val="000000"/>
          <w:lang w:val="en-US"/>
        </w:rPr>
        <w:t xml:space="preserve">of the Conference of the Contracting Parties (COP) </w:t>
      </w:r>
      <w:r w:rsidRPr="00281585">
        <w:rPr>
          <w:rFonts w:asciiTheme="minorHAnsi" w:hAnsiTheme="minorHAnsi" w:cstheme="minorHAnsi"/>
          <w:color w:val="000000"/>
          <w:lang w:val="en-US"/>
        </w:rPr>
        <w:t>and the Strategic Plan</w:t>
      </w:r>
      <w:r w:rsidR="00A777FF">
        <w:rPr>
          <w:rFonts w:asciiTheme="minorHAnsi" w:hAnsiTheme="minorHAnsi" w:cstheme="minorHAnsi"/>
          <w:color w:val="000000"/>
          <w:lang w:val="en-US"/>
        </w:rPr>
        <w:t>;</w:t>
      </w:r>
      <w:r w:rsidRPr="00281585">
        <w:rPr>
          <w:rFonts w:asciiTheme="minorHAnsi" w:hAnsiTheme="minorHAnsi" w:cstheme="minorHAnsi"/>
          <w:color w:val="000000"/>
          <w:lang w:val="en-US"/>
        </w:rPr>
        <w:t xml:space="preserve"> </w:t>
      </w:r>
    </w:p>
    <w:p w14:paraId="24FA6272" w14:textId="77777777" w:rsidR="00313EAE" w:rsidRPr="00281585" w:rsidRDefault="00313EAE" w:rsidP="005D262B">
      <w:pPr>
        <w:ind w:left="426" w:hanging="426"/>
        <w:contextualSpacing/>
        <w:rPr>
          <w:rFonts w:asciiTheme="minorHAnsi" w:hAnsiTheme="minorHAnsi" w:cstheme="minorHAnsi"/>
          <w:color w:val="000000"/>
          <w:lang w:val="en-US"/>
        </w:rPr>
      </w:pPr>
    </w:p>
    <w:p w14:paraId="349F807D" w14:textId="467364B0" w:rsidR="00313EAE" w:rsidRPr="00281585" w:rsidRDefault="00313EAE" w:rsidP="005D262B">
      <w:pPr>
        <w:ind w:left="426" w:hanging="426"/>
        <w:contextualSpacing/>
        <w:rPr>
          <w:rFonts w:asciiTheme="minorHAnsi" w:hAnsiTheme="minorHAnsi" w:cstheme="minorHAnsi"/>
          <w:color w:val="000000"/>
          <w:lang w:val="en-US"/>
        </w:rPr>
      </w:pPr>
      <w:r>
        <w:rPr>
          <w:rFonts w:asciiTheme="minorHAnsi" w:hAnsiTheme="minorHAnsi" w:cstheme="minorHAnsi"/>
          <w:color w:val="000000"/>
          <w:lang w:val="en-US"/>
        </w:rPr>
        <w:t>ii.</w:t>
      </w:r>
      <w:r>
        <w:rPr>
          <w:rFonts w:asciiTheme="minorHAnsi" w:hAnsiTheme="minorHAnsi" w:cstheme="minorHAnsi"/>
          <w:color w:val="000000"/>
          <w:lang w:val="en-US"/>
        </w:rPr>
        <w:tab/>
      </w:r>
      <w:r w:rsidR="00A777FF">
        <w:rPr>
          <w:rFonts w:asciiTheme="minorHAnsi" w:hAnsiTheme="minorHAnsi" w:cstheme="minorHAnsi"/>
          <w:color w:val="000000"/>
          <w:lang w:val="en-US"/>
        </w:rPr>
        <w:t>e</w:t>
      </w:r>
      <w:r w:rsidRPr="00281585">
        <w:rPr>
          <w:rFonts w:asciiTheme="minorHAnsi" w:hAnsiTheme="minorHAnsi" w:cstheme="minorHAnsi"/>
          <w:color w:val="000000"/>
          <w:lang w:val="en-US"/>
        </w:rPr>
        <w:t>xamin</w:t>
      </w:r>
      <w:r w:rsidR="00A777FF">
        <w:rPr>
          <w:rFonts w:asciiTheme="minorHAnsi" w:hAnsiTheme="minorHAnsi" w:cstheme="minorHAnsi"/>
          <w:color w:val="000000"/>
          <w:lang w:val="en-US"/>
        </w:rPr>
        <w:t>ing</w:t>
      </w:r>
      <w:r w:rsidRPr="00281585">
        <w:rPr>
          <w:rFonts w:asciiTheme="minorHAnsi" w:hAnsiTheme="minorHAnsi" w:cstheme="minorHAnsi"/>
          <w:color w:val="000000"/>
          <w:lang w:val="en-US"/>
        </w:rPr>
        <w:t xml:space="preserve"> CEPA needs and gaps in implementation in order to identify CEPA activities </w:t>
      </w:r>
      <w:r w:rsidRPr="00281585">
        <w:rPr>
          <w:rFonts w:asciiTheme="minorHAnsi" w:hAnsiTheme="minorHAnsi" w:cstheme="minorHAnsi"/>
          <w:color w:val="000000"/>
          <w:lang w:val="en-US"/>
        </w:rPr>
        <w:br/>
        <w:t>to be integrated in the Strategic Plan</w:t>
      </w:r>
      <w:r w:rsidR="00A777FF">
        <w:rPr>
          <w:rFonts w:asciiTheme="minorHAnsi" w:hAnsiTheme="minorHAnsi" w:cstheme="minorHAnsi"/>
          <w:color w:val="000000"/>
          <w:lang w:val="en-US"/>
        </w:rPr>
        <w:t>;</w:t>
      </w:r>
    </w:p>
    <w:p w14:paraId="6611036A" w14:textId="77777777" w:rsidR="00313EAE" w:rsidRPr="00281585" w:rsidRDefault="00313EAE" w:rsidP="005D262B">
      <w:pPr>
        <w:ind w:left="426" w:hanging="426"/>
        <w:contextualSpacing/>
        <w:rPr>
          <w:rFonts w:asciiTheme="minorHAnsi" w:hAnsiTheme="minorHAnsi" w:cstheme="minorHAnsi"/>
          <w:color w:val="000000"/>
          <w:lang w:val="en-US"/>
        </w:rPr>
      </w:pPr>
    </w:p>
    <w:p w14:paraId="35BCE8B4" w14:textId="0DF064F2" w:rsidR="00313EAE" w:rsidRPr="00281585" w:rsidRDefault="00313EAE" w:rsidP="005D262B">
      <w:pPr>
        <w:ind w:left="426" w:hanging="426"/>
        <w:contextualSpacing/>
        <w:rPr>
          <w:rFonts w:asciiTheme="minorHAnsi" w:hAnsiTheme="minorHAnsi" w:cstheme="minorHAnsi"/>
          <w:color w:val="000000"/>
          <w:lang w:val="en-US"/>
        </w:rPr>
      </w:pPr>
      <w:r>
        <w:rPr>
          <w:rFonts w:asciiTheme="minorHAnsi" w:hAnsiTheme="minorHAnsi" w:cstheme="minorHAnsi"/>
          <w:color w:val="000000"/>
          <w:lang w:val="en-US"/>
        </w:rPr>
        <w:t>iii.</w:t>
      </w:r>
      <w:r>
        <w:rPr>
          <w:rFonts w:asciiTheme="minorHAnsi" w:hAnsiTheme="minorHAnsi" w:cstheme="minorHAnsi"/>
          <w:color w:val="000000"/>
          <w:lang w:val="en-US"/>
        </w:rPr>
        <w:tab/>
      </w:r>
      <w:r w:rsidR="00A777FF">
        <w:rPr>
          <w:rFonts w:asciiTheme="minorHAnsi" w:hAnsiTheme="minorHAnsi" w:cstheme="minorHAnsi"/>
          <w:color w:val="000000"/>
          <w:lang w:val="en-US"/>
        </w:rPr>
        <w:t>m</w:t>
      </w:r>
      <w:r w:rsidRPr="00281585">
        <w:rPr>
          <w:rFonts w:asciiTheme="minorHAnsi" w:hAnsiTheme="minorHAnsi" w:cstheme="minorHAnsi"/>
          <w:color w:val="000000"/>
          <w:lang w:val="en-US"/>
        </w:rPr>
        <w:t>onitor</w:t>
      </w:r>
      <w:r w:rsidR="00A777FF">
        <w:rPr>
          <w:rFonts w:asciiTheme="minorHAnsi" w:hAnsiTheme="minorHAnsi" w:cstheme="minorHAnsi"/>
          <w:color w:val="000000"/>
          <w:lang w:val="en-US"/>
        </w:rPr>
        <w:t>ing</w:t>
      </w:r>
      <w:r w:rsidRPr="00281585">
        <w:rPr>
          <w:rFonts w:asciiTheme="minorHAnsi" w:hAnsiTheme="minorHAnsi" w:cstheme="minorHAnsi"/>
          <w:color w:val="000000"/>
          <w:lang w:val="en-US"/>
        </w:rPr>
        <w:t xml:space="preserve"> and report</w:t>
      </w:r>
      <w:r w:rsidR="00A777FF">
        <w:rPr>
          <w:rFonts w:asciiTheme="minorHAnsi" w:hAnsiTheme="minorHAnsi" w:cstheme="minorHAnsi"/>
          <w:color w:val="000000"/>
          <w:lang w:val="en-US"/>
        </w:rPr>
        <w:t>ing</w:t>
      </w:r>
      <w:r w:rsidRPr="00281585">
        <w:rPr>
          <w:rFonts w:asciiTheme="minorHAnsi" w:hAnsiTheme="minorHAnsi" w:cstheme="minorHAnsi"/>
          <w:color w:val="000000"/>
          <w:lang w:val="en-US"/>
        </w:rPr>
        <w:t xml:space="preserve"> on current CEPA issues within the Convention and the progress </w:t>
      </w:r>
      <w:r w:rsidRPr="00281585">
        <w:rPr>
          <w:rFonts w:asciiTheme="minorHAnsi" w:hAnsiTheme="minorHAnsi" w:cstheme="minorHAnsi"/>
          <w:color w:val="000000"/>
          <w:lang w:val="en-US"/>
        </w:rPr>
        <w:br/>
        <w:t xml:space="preserve">of implementation of current CEPA </w:t>
      </w:r>
      <w:r w:rsidR="005D262B">
        <w:rPr>
          <w:rFonts w:asciiTheme="minorHAnsi" w:hAnsiTheme="minorHAnsi" w:cstheme="minorHAnsi"/>
          <w:color w:val="000000"/>
          <w:lang w:val="en-US"/>
        </w:rPr>
        <w:t>p</w:t>
      </w:r>
      <w:r w:rsidR="005D262B" w:rsidRPr="00281585">
        <w:rPr>
          <w:rFonts w:asciiTheme="minorHAnsi" w:hAnsiTheme="minorHAnsi" w:cstheme="minorHAnsi"/>
          <w:color w:val="000000"/>
          <w:lang w:val="en-US"/>
        </w:rPr>
        <w:t>riorities</w:t>
      </w:r>
      <w:r w:rsidRPr="00281585">
        <w:rPr>
          <w:rFonts w:asciiTheme="minorHAnsi" w:hAnsiTheme="minorHAnsi" w:cstheme="minorHAnsi"/>
          <w:color w:val="000000"/>
          <w:lang w:val="en-US"/>
        </w:rPr>
        <w:t xml:space="preserve">, especially with reference to the CEPA activities included in the Strategic Plan as well as COP </w:t>
      </w:r>
      <w:r>
        <w:rPr>
          <w:rFonts w:asciiTheme="minorHAnsi" w:hAnsiTheme="minorHAnsi" w:cstheme="minorHAnsi"/>
          <w:color w:val="000000"/>
          <w:lang w:val="en-US"/>
        </w:rPr>
        <w:t>R</w:t>
      </w:r>
      <w:r w:rsidRPr="00281585">
        <w:rPr>
          <w:rFonts w:asciiTheme="minorHAnsi" w:hAnsiTheme="minorHAnsi" w:cstheme="minorHAnsi"/>
          <w:color w:val="000000"/>
          <w:lang w:val="en-US"/>
        </w:rPr>
        <w:t>esolutions</w:t>
      </w:r>
      <w:r w:rsidR="00A777FF">
        <w:rPr>
          <w:rFonts w:asciiTheme="minorHAnsi" w:hAnsiTheme="minorHAnsi" w:cstheme="minorHAnsi"/>
          <w:color w:val="000000"/>
          <w:lang w:val="en-US"/>
        </w:rPr>
        <w:t>; and</w:t>
      </w:r>
    </w:p>
    <w:p w14:paraId="2B380A26" w14:textId="77777777" w:rsidR="00313EAE" w:rsidRPr="00281585" w:rsidRDefault="00313EAE" w:rsidP="005D262B">
      <w:pPr>
        <w:ind w:left="426" w:firstLine="0"/>
        <w:contextualSpacing/>
        <w:rPr>
          <w:rFonts w:asciiTheme="minorHAnsi" w:hAnsiTheme="minorHAnsi" w:cstheme="minorHAnsi"/>
          <w:color w:val="000000"/>
          <w:lang w:val="en-US"/>
        </w:rPr>
      </w:pPr>
    </w:p>
    <w:p w14:paraId="1FEA1598" w14:textId="2B8C9CEE" w:rsidR="00313EAE" w:rsidRPr="00281585" w:rsidRDefault="00330AF6" w:rsidP="005D262B">
      <w:pPr>
        <w:ind w:left="426" w:hanging="426"/>
        <w:contextualSpacing/>
        <w:rPr>
          <w:rFonts w:asciiTheme="minorHAnsi" w:hAnsiTheme="minorHAnsi" w:cstheme="minorHAnsi"/>
          <w:color w:val="000000"/>
          <w:lang w:val="en-US"/>
        </w:rPr>
      </w:pPr>
      <w:r>
        <w:rPr>
          <w:rFonts w:asciiTheme="minorHAnsi" w:hAnsiTheme="minorHAnsi" w:cstheme="minorHAnsi"/>
          <w:color w:val="000000"/>
          <w:lang w:val="en-US"/>
        </w:rPr>
        <w:t>i</w:t>
      </w:r>
      <w:r w:rsidR="00313EAE">
        <w:rPr>
          <w:rFonts w:asciiTheme="minorHAnsi" w:hAnsiTheme="minorHAnsi" w:cstheme="minorHAnsi"/>
          <w:color w:val="000000"/>
          <w:lang w:val="en-US"/>
        </w:rPr>
        <w:t>v.</w:t>
      </w:r>
      <w:r w:rsidR="00313EAE">
        <w:rPr>
          <w:rFonts w:asciiTheme="minorHAnsi" w:hAnsiTheme="minorHAnsi" w:cstheme="minorHAnsi"/>
          <w:color w:val="000000"/>
          <w:lang w:val="en-US"/>
        </w:rPr>
        <w:tab/>
      </w:r>
      <w:r w:rsidR="00A777FF">
        <w:rPr>
          <w:rFonts w:asciiTheme="minorHAnsi" w:hAnsiTheme="minorHAnsi" w:cstheme="minorHAnsi"/>
          <w:color w:val="000000"/>
          <w:lang w:val="en-US"/>
        </w:rPr>
        <w:t>l</w:t>
      </w:r>
      <w:r w:rsidR="00313EAE" w:rsidRPr="00281585">
        <w:rPr>
          <w:rFonts w:asciiTheme="minorHAnsi" w:hAnsiTheme="minorHAnsi" w:cstheme="minorHAnsi"/>
          <w:color w:val="000000"/>
          <w:lang w:val="en-US"/>
        </w:rPr>
        <w:t>iais</w:t>
      </w:r>
      <w:r w:rsidR="00A777FF">
        <w:rPr>
          <w:rFonts w:asciiTheme="minorHAnsi" w:hAnsiTheme="minorHAnsi" w:cstheme="minorHAnsi"/>
          <w:color w:val="000000"/>
          <w:lang w:val="en-US"/>
        </w:rPr>
        <w:t>ing</w:t>
      </w:r>
      <w:r w:rsidR="00313EAE" w:rsidRPr="00281585">
        <w:rPr>
          <w:rFonts w:asciiTheme="minorHAnsi" w:hAnsiTheme="minorHAnsi" w:cstheme="minorHAnsi"/>
          <w:color w:val="000000"/>
          <w:lang w:val="en-US"/>
        </w:rPr>
        <w:t xml:space="preserve"> with other multilateral environmental agreements (MEAs) to improve CEPA synergies </w:t>
      </w:r>
      <w:r w:rsidR="00313EAE">
        <w:rPr>
          <w:rFonts w:asciiTheme="minorHAnsi" w:hAnsiTheme="minorHAnsi" w:cstheme="minorHAnsi"/>
          <w:color w:val="000000"/>
          <w:lang w:val="en-US"/>
        </w:rPr>
        <w:t>among C</w:t>
      </w:r>
      <w:r w:rsidR="00313EAE" w:rsidRPr="00281585">
        <w:rPr>
          <w:rFonts w:asciiTheme="minorHAnsi" w:hAnsiTheme="minorHAnsi" w:cstheme="minorHAnsi"/>
          <w:color w:val="000000"/>
          <w:lang w:val="en-US"/>
        </w:rPr>
        <w:t>onventions.</w:t>
      </w:r>
    </w:p>
    <w:p w14:paraId="724B2E20" w14:textId="77777777" w:rsidR="0023393D" w:rsidRPr="00330AF6" w:rsidRDefault="0023393D" w:rsidP="0023393D">
      <w:pPr>
        <w:pStyle w:val="NoSpacing"/>
        <w:tabs>
          <w:tab w:val="left" w:pos="1330"/>
        </w:tabs>
        <w:ind w:left="0" w:firstLine="0"/>
        <w:rPr>
          <w:lang w:val="en-US"/>
        </w:rPr>
      </w:pPr>
    </w:p>
    <w:p w14:paraId="49356D86" w14:textId="0237A432" w:rsidR="0023393D" w:rsidRDefault="0023393D" w:rsidP="0023393D">
      <w:pPr>
        <w:pStyle w:val="NoSpacing"/>
        <w:tabs>
          <w:tab w:val="left" w:pos="1330"/>
        </w:tabs>
        <w:ind w:left="0" w:firstLine="0"/>
      </w:pPr>
      <w:r>
        <w:t xml:space="preserve">This proposal on the future operations of the Panel aims to provide guidance on </w:t>
      </w:r>
      <w:r w:rsidR="00054FB5">
        <w:t xml:space="preserve">its </w:t>
      </w:r>
      <w:r>
        <w:t xml:space="preserve">operations that will provide all stakeholders with greater clarity </w:t>
      </w:r>
      <w:r w:rsidR="00A777FF">
        <w:t>and</w:t>
      </w:r>
      <w:r>
        <w:t xml:space="preserve"> enable the Panel </w:t>
      </w:r>
      <w:r w:rsidR="00A972E1">
        <w:t xml:space="preserve">to </w:t>
      </w:r>
      <w:r>
        <w:t xml:space="preserve">operate more effectively and efficiently. This proposal reflects instructions and guidance provided by relevant Resolutions, Decisions of the Standing Committee and recommendations </w:t>
      </w:r>
      <w:r w:rsidR="00A972E1">
        <w:t xml:space="preserve">of </w:t>
      </w:r>
      <w:r>
        <w:t xml:space="preserve">the current and past Panels.  </w:t>
      </w:r>
    </w:p>
    <w:p w14:paraId="21B776BD" w14:textId="77777777" w:rsidR="00313EAE" w:rsidRDefault="00313EAE" w:rsidP="0023393D">
      <w:pPr>
        <w:pStyle w:val="NoSpacing"/>
        <w:tabs>
          <w:tab w:val="left" w:pos="1330"/>
        </w:tabs>
        <w:ind w:left="0" w:firstLine="0"/>
      </w:pPr>
    </w:p>
    <w:p w14:paraId="1652E7F6" w14:textId="77777777" w:rsidR="00313EAE" w:rsidRDefault="00313EAE" w:rsidP="0023393D">
      <w:pPr>
        <w:pStyle w:val="NoSpacing"/>
        <w:tabs>
          <w:tab w:val="left" w:pos="1330"/>
        </w:tabs>
        <w:ind w:left="0" w:firstLine="0"/>
        <w:rPr>
          <w:u w:val="single"/>
        </w:rPr>
      </w:pPr>
      <w:r w:rsidRPr="001A123E">
        <w:rPr>
          <w:u w:val="single"/>
        </w:rPr>
        <w:t>Membership of the Panel</w:t>
      </w:r>
    </w:p>
    <w:p w14:paraId="2A5AC86B" w14:textId="77777777" w:rsidR="00A972E1" w:rsidRDefault="00A972E1" w:rsidP="00A972E1">
      <w:pPr>
        <w:ind w:left="0" w:firstLine="0"/>
        <w:contextualSpacing/>
      </w:pPr>
    </w:p>
    <w:p w14:paraId="5D1402A0" w14:textId="296284C1" w:rsidR="00807DCF" w:rsidRPr="00807DCF" w:rsidRDefault="00330AF6" w:rsidP="00A972E1">
      <w:pPr>
        <w:ind w:left="0" w:firstLine="0"/>
        <w:rPr>
          <w:rFonts w:asciiTheme="minorHAnsi" w:hAnsiTheme="minorHAnsi" w:cstheme="minorHAnsi"/>
          <w:color w:val="000000"/>
          <w:lang w:val="en-US"/>
        </w:rPr>
      </w:pPr>
      <w:r>
        <w:rPr>
          <w:rFonts w:asciiTheme="minorHAnsi" w:hAnsiTheme="minorHAnsi" w:cstheme="minorHAnsi"/>
          <w:color w:val="000000"/>
          <w:lang w:val="en-US"/>
        </w:rPr>
        <w:t xml:space="preserve">As </w:t>
      </w:r>
      <w:r w:rsidRPr="00281585">
        <w:rPr>
          <w:rFonts w:asciiTheme="minorHAnsi" w:hAnsiTheme="minorHAnsi" w:cstheme="minorHAnsi"/>
          <w:color w:val="000000"/>
          <w:lang w:val="en-US"/>
        </w:rPr>
        <w:t>CEPA activities are diverse and require a range of expertise</w:t>
      </w:r>
      <w:r>
        <w:rPr>
          <w:rFonts w:asciiTheme="minorHAnsi" w:hAnsiTheme="minorHAnsi" w:cstheme="minorHAnsi"/>
          <w:color w:val="000000"/>
          <w:lang w:val="en-US"/>
        </w:rPr>
        <w:t xml:space="preserve">, </w:t>
      </w:r>
      <w:r w:rsidRPr="00281585">
        <w:rPr>
          <w:rFonts w:asciiTheme="minorHAnsi" w:hAnsiTheme="minorHAnsi" w:cstheme="minorHAnsi"/>
          <w:color w:val="000000"/>
          <w:lang w:val="en-US"/>
        </w:rPr>
        <w:t>diversity of expertise should be reflected in the composition of the Panel.</w:t>
      </w:r>
      <w:r>
        <w:rPr>
          <w:rFonts w:asciiTheme="minorHAnsi" w:hAnsiTheme="minorHAnsi" w:cstheme="minorHAnsi"/>
          <w:color w:val="000000"/>
          <w:lang w:val="en-US"/>
        </w:rPr>
        <w:t xml:space="preserve"> </w:t>
      </w:r>
      <w:r w:rsidRPr="00807DCF">
        <w:rPr>
          <w:rFonts w:asciiTheme="minorHAnsi" w:hAnsiTheme="minorHAnsi" w:cstheme="minorHAnsi"/>
          <w:color w:val="000000"/>
          <w:lang w:val="en-US"/>
        </w:rPr>
        <w:t>The Panel should have balanced representation from all regions of the Convention.</w:t>
      </w:r>
      <w:r w:rsidR="00807DCF" w:rsidRPr="00807DCF">
        <w:rPr>
          <w:rFonts w:asciiTheme="minorHAnsi" w:hAnsiTheme="minorHAnsi" w:cstheme="minorHAnsi"/>
          <w:color w:val="000000"/>
          <w:lang w:val="en-US"/>
        </w:rPr>
        <w:t xml:space="preserve"> To ensure institutional memory, it is recommended that at least one of the Panel’s members has served as </w:t>
      </w:r>
      <w:r w:rsidR="00807DCF">
        <w:rPr>
          <w:rFonts w:asciiTheme="minorHAnsi" w:hAnsiTheme="minorHAnsi" w:cstheme="minorHAnsi"/>
          <w:color w:val="000000"/>
          <w:lang w:val="en-US"/>
        </w:rPr>
        <w:t xml:space="preserve">a </w:t>
      </w:r>
      <w:r w:rsidR="00807DCF" w:rsidRPr="00807DCF">
        <w:rPr>
          <w:rFonts w:asciiTheme="minorHAnsi" w:hAnsiTheme="minorHAnsi" w:cstheme="minorHAnsi"/>
          <w:color w:val="000000"/>
          <w:lang w:val="en-US"/>
        </w:rPr>
        <w:t xml:space="preserve">Panel member during the previous triennium. </w:t>
      </w:r>
      <w:r w:rsidR="00F56F30">
        <w:rPr>
          <w:rFonts w:asciiTheme="minorHAnsi" w:hAnsiTheme="minorHAnsi" w:cstheme="minorHAnsi"/>
          <w:color w:val="000000"/>
          <w:lang w:val="en-US"/>
        </w:rPr>
        <w:t xml:space="preserve">The Panel may invite additional CEPA experts as required. </w:t>
      </w:r>
    </w:p>
    <w:p w14:paraId="63B58C2A" w14:textId="77777777" w:rsidR="00330AF6" w:rsidRDefault="00330AF6" w:rsidP="00807DCF">
      <w:pPr>
        <w:ind w:left="0" w:firstLine="0"/>
        <w:contextualSpacing/>
        <w:rPr>
          <w:rFonts w:asciiTheme="minorHAnsi" w:hAnsiTheme="minorHAnsi" w:cstheme="minorHAnsi"/>
          <w:color w:val="000000"/>
          <w:lang w:val="en-US"/>
        </w:rPr>
      </w:pPr>
    </w:p>
    <w:p w14:paraId="46CF1182" w14:textId="4E9FD8DF" w:rsidR="00330AF6" w:rsidRDefault="00054FB5" w:rsidP="00330AF6">
      <w:pPr>
        <w:ind w:left="426" w:hanging="426"/>
        <w:contextualSpacing/>
        <w:rPr>
          <w:rFonts w:asciiTheme="minorHAnsi" w:hAnsiTheme="minorHAnsi" w:cstheme="minorHAnsi"/>
          <w:color w:val="000000"/>
          <w:lang w:val="en-US"/>
        </w:rPr>
      </w:pPr>
      <w:r>
        <w:rPr>
          <w:rFonts w:asciiTheme="minorHAnsi" w:hAnsiTheme="minorHAnsi" w:cstheme="minorHAnsi"/>
          <w:color w:val="000000"/>
          <w:lang w:val="en-US"/>
        </w:rPr>
        <w:t>The m</w:t>
      </w:r>
      <w:r w:rsidR="00330AF6">
        <w:rPr>
          <w:rFonts w:asciiTheme="minorHAnsi" w:hAnsiTheme="minorHAnsi" w:cstheme="minorHAnsi"/>
          <w:color w:val="000000"/>
          <w:lang w:val="en-US"/>
        </w:rPr>
        <w:t xml:space="preserve">embership </w:t>
      </w:r>
      <w:r>
        <w:rPr>
          <w:rFonts w:asciiTheme="minorHAnsi" w:hAnsiTheme="minorHAnsi" w:cstheme="minorHAnsi"/>
          <w:color w:val="000000"/>
          <w:lang w:val="en-US"/>
        </w:rPr>
        <w:t xml:space="preserve">of the Panel should </w:t>
      </w:r>
      <w:r w:rsidR="00330AF6">
        <w:rPr>
          <w:rFonts w:asciiTheme="minorHAnsi" w:hAnsiTheme="minorHAnsi" w:cstheme="minorHAnsi"/>
          <w:color w:val="000000"/>
          <w:lang w:val="en-US"/>
        </w:rPr>
        <w:t xml:space="preserve">include: </w:t>
      </w:r>
    </w:p>
    <w:p w14:paraId="10DF716F" w14:textId="77777777" w:rsidR="00330AF6" w:rsidRPr="00281585" w:rsidRDefault="00330AF6" w:rsidP="00BB564F">
      <w:pPr>
        <w:ind w:left="426" w:hanging="426"/>
        <w:contextualSpacing/>
        <w:rPr>
          <w:rFonts w:asciiTheme="minorHAnsi" w:hAnsiTheme="minorHAnsi" w:cstheme="minorHAnsi"/>
          <w:color w:val="000000"/>
          <w:lang w:val="en-US"/>
        </w:rPr>
      </w:pPr>
    </w:p>
    <w:p w14:paraId="670F748E" w14:textId="5A1B4348" w:rsidR="00330AF6" w:rsidRDefault="00BB564F" w:rsidP="00BB564F">
      <w:pPr>
        <w:pStyle w:val="NoSpacing"/>
        <w:ind w:left="426" w:hanging="426"/>
      </w:pPr>
      <w:proofErr w:type="spellStart"/>
      <w:r>
        <w:t>i</w:t>
      </w:r>
      <w:proofErr w:type="spellEnd"/>
      <w:r>
        <w:t>.</w:t>
      </w:r>
      <w:r>
        <w:tab/>
      </w:r>
      <w:r w:rsidR="008836F4">
        <w:t xml:space="preserve">The Chair or </w:t>
      </w:r>
      <w:r w:rsidR="007835AE">
        <w:t>Vice-Chair</w:t>
      </w:r>
      <w:r w:rsidR="009342B4">
        <w:t xml:space="preserve"> of the Standing Committee</w:t>
      </w:r>
    </w:p>
    <w:p w14:paraId="6BFD80EA" w14:textId="01CF76FA" w:rsidR="00330AF6" w:rsidRDefault="00307215" w:rsidP="00BB564F">
      <w:pPr>
        <w:pStyle w:val="NoSpacing"/>
        <w:ind w:left="426" w:hanging="426"/>
      </w:pPr>
      <w:r>
        <w:t>ii</w:t>
      </w:r>
      <w:r w:rsidR="00BB564F">
        <w:t>.</w:t>
      </w:r>
      <w:r w:rsidR="00BB564F">
        <w:tab/>
      </w:r>
      <w:r w:rsidR="00330AF6">
        <w:t>Two national CEPA Government Focal Points</w:t>
      </w:r>
    </w:p>
    <w:p w14:paraId="774791A8" w14:textId="0F140CDF" w:rsidR="00330AF6" w:rsidRPr="00DB3BE3" w:rsidRDefault="00307215" w:rsidP="00BB564F">
      <w:pPr>
        <w:pStyle w:val="NoSpacing"/>
        <w:ind w:left="426" w:hanging="426"/>
      </w:pPr>
      <w:r>
        <w:rPr>
          <w:rFonts w:asciiTheme="minorHAnsi" w:hAnsiTheme="minorHAnsi" w:cstheme="minorHAnsi"/>
          <w:color w:val="000000"/>
        </w:rPr>
        <w:t>iii</w:t>
      </w:r>
      <w:r w:rsidR="00BB564F">
        <w:rPr>
          <w:rFonts w:asciiTheme="minorHAnsi" w:hAnsiTheme="minorHAnsi" w:cstheme="minorHAnsi"/>
          <w:color w:val="000000"/>
        </w:rPr>
        <w:t>.</w:t>
      </w:r>
      <w:r w:rsidR="00BB564F">
        <w:rPr>
          <w:rFonts w:asciiTheme="minorHAnsi" w:hAnsiTheme="minorHAnsi" w:cstheme="minorHAnsi"/>
          <w:color w:val="000000"/>
        </w:rPr>
        <w:tab/>
      </w:r>
      <w:r w:rsidR="00F56F30">
        <w:rPr>
          <w:rFonts w:asciiTheme="minorHAnsi" w:hAnsiTheme="minorHAnsi" w:cstheme="minorHAnsi"/>
          <w:color w:val="000000"/>
        </w:rPr>
        <w:t>Two</w:t>
      </w:r>
      <w:r w:rsidR="00330AF6" w:rsidRPr="00DB3BE3">
        <w:rPr>
          <w:rFonts w:asciiTheme="minorHAnsi" w:hAnsiTheme="minorHAnsi" w:cstheme="minorHAnsi"/>
          <w:color w:val="000000"/>
        </w:rPr>
        <w:t xml:space="preserve"> CEPA NGO Focal Point</w:t>
      </w:r>
      <w:r w:rsidR="00F56F30">
        <w:rPr>
          <w:rFonts w:asciiTheme="minorHAnsi" w:hAnsiTheme="minorHAnsi" w:cstheme="minorHAnsi"/>
          <w:color w:val="000000"/>
        </w:rPr>
        <w:t>s</w:t>
      </w:r>
    </w:p>
    <w:p w14:paraId="0FABD597" w14:textId="4A6C7A8A" w:rsidR="00330AF6" w:rsidRDefault="00307215" w:rsidP="00BB564F">
      <w:pPr>
        <w:pStyle w:val="NoSpacing"/>
        <w:ind w:left="426" w:hanging="426"/>
      </w:pPr>
      <w:r>
        <w:t>i</w:t>
      </w:r>
      <w:r w:rsidR="00BB564F">
        <w:t>v.</w:t>
      </w:r>
      <w:r w:rsidR="00BB564F">
        <w:tab/>
      </w:r>
      <w:r w:rsidR="00330AF6">
        <w:t xml:space="preserve">STRP </w:t>
      </w:r>
      <w:r w:rsidR="007835AE">
        <w:t>Vice-Chair</w:t>
      </w:r>
      <w:r w:rsidR="00330AF6">
        <w:t xml:space="preserve"> (or STRP representative)</w:t>
      </w:r>
    </w:p>
    <w:p w14:paraId="4E2DC990" w14:textId="0F3E7566" w:rsidR="00330AF6" w:rsidRPr="007637F8" w:rsidRDefault="00BB564F" w:rsidP="00BB564F">
      <w:pPr>
        <w:pStyle w:val="NoSpacing"/>
        <w:ind w:left="426" w:hanging="426"/>
      </w:pPr>
      <w:r>
        <w:rPr>
          <w:rFonts w:asciiTheme="minorHAnsi" w:hAnsiTheme="minorHAnsi" w:cstheme="minorHAnsi"/>
          <w:color w:val="000000"/>
          <w:lang w:val="en-US"/>
        </w:rPr>
        <w:t>v.</w:t>
      </w:r>
      <w:r>
        <w:rPr>
          <w:rFonts w:asciiTheme="minorHAnsi" w:hAnsiTheme="minorHAnsi" w:cstheme="minorHAnsi"/>
          <w:color w:val="000000"/>
          <w:lang w:val="en-US"/>
        </w:rPr>
        <w:tab/>
      </w:r>
      <w:r w:rsidR="00330AF6" w:rsidRPr="007637F8">
        <w:rPr>
          <w:rFonts w:asciiTheme="minorHAnsi" w:hAnsiTheme="minorHAnsi" w:cstheme="minorHAnsi"/>
          <w:color w:val="000000"/>
          <w:lang w:val="en-US"/>
        </w:rPr>
        <w:t xml:space="preserve">International Organization Partners </w:t>
      </w:r>
      <w:r w:rsidR="009342B4">
        <w:rPr>
          <w:rFonts w:asciiTheme="minorHAnsi" w:hAnsiTheme="minorHAnsi" w:cstheme="minorHAnsi"/>
          <w:color w:val="000000"/>
          <w:lang w:val="en-US"/>
        </w:rPr>
        <w:t>to</w:t>
      </w:r>
      <w:r w:rsidR="00330AF6" w:rsidRPr="007637F8">
        <w:rPr>
          <w:rFonts w:asciiTheme="minorHAnsi" w:hAnsiTheme="minorHAnsi" w:cstheme="minorHAnsi"/>
          <w:color w:val="000000"/>
          <w:lang w:val="en-US"/>
        </w:rPr>
        <w:t xml:space="preserve"> select one representative that will act as the liaison between the Panel and the six IOPs.</w:t>
      </w:r>
    </w:p>
    <w:p w14:paraId="4D9A6CA2" w14:textId="6A2A7EE0" w:rsidR="00330AF6" w:rsidRPr="007637F8" w:rsidRDefault="00BB564F" w:rsidP="00BB564F">
      <w:pPr>
        <w:pStyle w:val="NoSpacing"/>
        <w:ind w:left="426" w:hanging="426"/>
      </w:pPr>
      <w:r>
        <w:rPr>
          <w:rFonts w:asciiTheme="minorHAnsi" w:hAnsiTheme="minorHAnsi" w:cstheme="minorHAnsi"/>
          <w:color w:val="000000"/>
          <w:lang w:val="en-US"/>
        </w:rPr>
        <w:t>vi.</w:t>
      </w:r>
      <w:r>
        <w:rPr>
          <w:rFonts w:asciiTheme="minorHAnsi" w:hAnsiTheme="minorHAnsi" w:cstheme="minorHAnsi"/>
          <w:color w:val="000000"/>
          <w:lang w:val="en-US"/>
        </w:rPr>
        <w:tab/>
      </w:r>
      <w:r w:rsidR="00330AF6">
        <w:rPr>
          <w:rFonts w:asciiTheme="minorHAnsi" w:hAnsiTheme="minorHAnsi" w:cstheme="minorHAnsi"/>
          <w:color w:val="000000"/>
          <w:lang w:val="en-US"/>
        </w:rPr>
        <w:t>A</w:t>
      </w:r>
      <w:r w:rsidR="00330AF6" w:rsidRPr="007637F8">
        <w:rPr>
          <w:rFonts w:asciiTheme="minorHAnsi" w:hAnsiTheme="minorHAnsi" w:cstheme="minorHAnsi"/>
          <w:color w:val="000000"/>
          <w:lang w:val="en-US"/>
        </w:rPr>
        <w:t xml:space="preserve"> youth representative.</w:t>
      </w:r>
    </w:p>
    <w:p w14:paraId="6D02D522" w14:textId="7B5259BF" w:rsidR="00F56F30" w:rsidRPr="00F56F30" w:rsidRDefault="00221A6D" w:rsidP="00F56F30">
      <w:pPr>
        <w:ind w:left="426" w:hanging="426"/>
        <w:rPr>
          <w:rFonts w:asciiTheme="minorHAnsi" w:hAnsiTheme="minorHAnsi" w:cstheme="minorHAnsi"/>
        </w:rPr>
      </w:pPr>
      <w:r>
        <w:rPr>
          <w:rFonts w:asciiTheme="minorHAnsi" w:hAnsiTheme="minorHAnsi" w:cstheme="minorHAnsi"/>
          <w:color w:val="000000"/>
          <w:lang w:val="en-US"/>
        </w:rPr>
        <w:lastRenderedPageBreak/>
        <w:t>vii.</w:t>
      </w:r>
      <w:r w:rsidR="00BB564F">
        <w:rPr>
          <w:rFonts w:asciiTheme="minorHAnsi" w:hAnsiTheme="minorHAnsi" w:cstheme="minorHAnsi"/>
          <w:color w:val="000000"/>
          <w:lang w:val="en-US"/>
        </w:rPr>
        <w:tab/>
      </w:r>
      <w:r w:rsidR="00330AF6" w:rsidRPr="00BB564F">
        <w:rPr>
          <w:rFonts w:asciiTheme="minorHAnsi" w:hAnsiTheme="minorHAnsi" w:cstheme="minorHAnsi"/>
          <w:color w:val="000000"/>
          <w:lang w:val="en-US"/>
        </w:rPr>
        <w:t xml:space="preserve">An </w:t>
      </w:r>
      <w:r w:rsidR="00330AF6" w:rsidRPr="00BB564F">
        <w:rPr>
          <w:rFonts w:asciiTheme="minorHAnsi" w:hAnsiTheme="minorHAnsi" w:cstheme="minorHAnsi"/>
        </w:rPr>
        <w:t>Indigenous Peoples representative</w:t>
      </w:r>
    </w:p>
    <w:p w14:paraId="7E47C501" w14:textId="2D8992FC" w:rsidR="00330AF6" w:rsidRDefault="00307215" w:rsidP="00BB564F">
      <w:pPr>
        <w:pStyle w:val="NoSpacing"/>
        <w:ind w:left="426" w:hanging="426"/>
      </w:pPr>
      <w:r>
        <w:t>viii</w:t>
      </w:r>
      <w:r w:rsidR="00BB564F">
        <w:t>.</w:t>
      </w:r>
      <w:r w:rsidR="00BB564F">
        <w:tab/>
      </w:r>
      <w:r w:rsidR="00330AF6">
        <w:t xml:space="preserve">Contracting Parties </w:t>
      </w:r>
      <w:r w:rsidR="009342B4">
        <w:t>(one per region</w:t>
      </w:r>
      <w:r w:rsidR="002167B9">
        <w:t xml:space="preserve"> separate from any regional representation from the members listed above</w:t>
      </w:r>
      <w:r w:rsidR="009342B4">
        <w:t>)</w:t>
      </w:r>
    </w:p>
    <w:p w14:paraId="225DB1B9" w14:textId="386DEF25" w:rsidR="009342B4" w:rsidRDefault="00307215" w:rsidP="00BB564F">
      <w:pPr>
        <w:pStyle w:val="NoSpacing"/>
        <w:ind w:left="426" w:hanging="426"/>
      </w:pPr>
      <w:r>
        <w:t>i</w:t>
      </w:r>
      <w:r w:rsidR="00BB564F">
        <w:t>x.</w:t>
      </w:r>
      <w:r w:rsidR="00BB564F">
        <w:tab/>
      </w:r>
      <w:r w:rsidR="009342B4">
        <w:t>A representative of the Secretariat of the Convention (</w:t>
      </w:r>
      <w:r w:rsidR="009342B4" w:rsidRPr="009342B4">
        <w:rPr>
          <w:i/>
        </w:rPr>
        <w:t>ex officio</w:t>
      </w:r>
      <w:r w:rsidR="009342B4">
        <w:t xml:space="preserve">) </w:t>
      </w:r>
    </w:p>
    <w:p w14:paraId="7F77D182" w14:textId="77777777" w:rsidR="00330AF6" w:rsidRDefault="00330AF6" w:rsidP="00330AF6">
      <w:pPr>
        <w:ind w:left="0" w:firstLine="0"/>
        <w:rPr>
          <w:rFonts w:asciiTheme="minorHAnsi" w:hAnsiTheme="minorHAnsi" w:cstheme="minorHAnsi"/>
          <w:color w:val="000000"/>
        </w:rPr>
      </w:pPr>
    </w:p>
    <w:p w14:paraId="32AD571F" w14:textId="77777777" w:rsidR="00807DCF" w:rsidRDefault="00807DCF" w:rsidP="00330AF6">
      <w:pPr>
        <w:ind w:left="0" w:firstLine="0"/>
        <w:rPr>
          <w:u w:val="single"/>
        </w:rPr>
      </w:pPr>
      <w:r w:rsidRPr="006B36AC">
        <w:rPr>
          <w:u w:val="single"/>
        </w:rPr>
        <w:t>Nomination procedure</w:t>
      </w:r>
    </w:p>
    <w:p w14:paraId="38898EAF" w14:textId="77777777" w:rsidR="00A972E1" w:rsidRDefault="00A972E1" w:rsidP="00330AF6">
      <w:pPr>
        <w:ind w:left="0" w:firstLine="0"/>
      </w:pPr>
    </w:p>
    <w:p w14:paraId="0DF3D6EA" w14:textId="0FFBBE2F" w:rsidR="00324F5F" w:rsidRDefault="00324F5F" w:rsidP="00330AF6">
      <w:pPr>
        <w:ind w:left="0" w:firstLine="0"/>
      </w:pPr>
      <w:bookmarkStart w:id="4" w:name="_GoBack"/>
      <w:bookmarkEnd w:id="4"/>
      <w:r>
        <w:t xml:space="preserve">It is proposed that a COP15 Resolution provide </w:t>
      </w:r>
      <w:r w:rsidR="003743F7">
        <w:t xml:space="preserve">further </w:t>
      </w:r>
      <w:r>
        <w:t xml:space="preserve">instruction </w:t>
      </w:r>
      <w:r w:rsidR="00731276">
        <w:t>on the nomination process following the guidance in Resolution XIV.8 Annex 3</w:t>
      </w:r>
      <w:r w:rsidR="003743F7">
        <w:t xml:space="preserve"> as outlined below</w:t>
      </w:r>
      <w:r w:rsidR="00731276">
        <w:t xml:space="preserve">. </w:t>
      </w:r>
    </w:p>
    <w:p w14:paraId="5E887C43" w14:textId="77777777" w:rsidR="004F23A6" w:rsidRDefault="004F23A6" w:rsidP="00330AF6">
      <w:pPr>
        <w:ind w:left="0" w:firstLine="0"/>
      </w:pPr>
    </w:p>
    <w:p w14:paraId="498E6CB2" w14:textId="7C3FFFA0" w:rsidR="0054343B" w:rsidRDefault="00DF400A" w:rsidP="0054343B">
      <w:pPr>
        <w:pStyle w:val="ListParagraph"/>
        <w:numPr>
          <w:ilvl w:val="0"/>
          <w:numId w:val="13"/>
        </w:numPr>
        <w:ind w:left="426" w:hanging="426"/>
      </w:pPr>
      <w:r>
        <w:t xml:space="preserve">During pre-COP regional meetings Contracting Parties </w:t>
      </w:r>
      <w:r w:rsidR="004E7FE1">
        <w:t xml:space="preserve">are </w:t>
      </w:r>
      <w:r>
        <w:t>informed of the membership of the CEPA Oversight Panel and encouraged to identify potential interested and qualified members.</w:t>
      </w:r>
    </w:p>
    <w:p w14:paraId="3E3E849A" w14:textId="77777777" w:rsidR="0054343B" w:rsidRDefault="0054343B" w:rsidP="0054343B">
      <w:pPr>
        <w:ind w:left="0" w:firstLine="0"/>
      </w:pPr>
    </w:p>
    <w:p w14:paraId="5D08374F" w14:textId="3A78601F" w:rsidR="00DF400A" w:rsidRDefault="00906B79" w:rsidP="00A954C8">
      <w:pPr>
        <w:pStyle w:val="ListParagraph"/>
        <w:numPr>
          <w:ilvl w:val="0"/>
          <w:numId w:val="13"/>
        </w:numPr>
        <w:ind w:left="426" w:hanging="426"/>
      </w:pPr>
      <w:r>
        <w:t>Four months</w:t>
      </w:r>
      <w:r w:rsidR="00DF400A">
        <w:t xml:space="preserve"> in advance of </w:t>
      </w:r>
      <w:r w:rsidR="00A954C8">
        <w:t xml:space="preserve">the </w:t>
      </w:r>
      <w:r w:rsidR="00DF400A">
        <w:t>COP, the Secretariat issue</w:t>
      </w:r>
      <w:r w:rsidR="003137A5">
        <w:t>s</w:t>
      </w:r>
      <w:r w:rsidR="00DF400A">
        <w:t xml:space="preserve"> a call for nominations to all Contracting Parties for the following categories:</w:t>
      </w:r>
    </w:p>
    <w:p w14:paraId="1F3EA732" w14:textId="36BBB1B6" w:rsidR="00DF400A" w:rsidRDefault="00DF400A" w:rsidP="00A954C8">
      <w:pPr>
        <w:pStyle w:val="ListParagraph"/>
        <w:numPr>
          <w:ilvl w:val="1"/>
          <w:numId w:val="13"/>
        </w:numPr>
        <w:ind w:left="851" w:hanging="425"/>
      </w:pPr>
      <w:r>
        <w:t xml:space="preserve">CEPA Government </w:t>
      </w:r>
      <w:r w:rsidR="007E4714">
        <w:t>F</w:t>
      </w:r>
      <w:r>
        <w:t>ocal Point</w:t>
      </w:r>
      <w:r w:rsidR="00A954C8">
        <w:t>;</w:t>
      </w:r>
    </w:p>
    <w:p w14:paraId="41A0E64E" w14:textId="599D6F5A" w:rsidR="00DF400A" w:rsidRDefault="00DF400A" w:rsidP="00A954C8">
      <w:pPr>
        <w:pStyle w:val="ListParagraph"/>
        <w:numPr>
          <w:ilvl w:val="1"/>
          <w:numId w:val="13"/>
        </w:numPr>
        <w:ind w:left="851" w:hanging="425"/>
      </w:pPr>
      <w:r>
        <w:t>CEPA NGO Focal Point</w:t>
      </w:r>
      <w:r w:rsidR="00A954C8">
        <w:t>;</w:t>
      </w:r>
    </w:p>
    <w:p w14:paraId="54B02091" w14:textId="406C1CD4" w:rsidR="00DF400A" w:rsidRDefault="00DF400A" w:rsidP="00A954C8">
      <w:pPr>
        <w:pStyle w:val="ListParagraph"/>
        <w:numPr>
          <w:ilvl w:val="1"/>
          <w:numId w:val="13"/>
        </w:numPr>
        <w:ind w:left="851" w:hanging="425"/>
      </w:pPr>
      <w:r>
        <w:t>Indigenous Peoples representative</w:t>
      </w:r>
      <w:r w:rsidR="00A954C8">
        <w:t>; and</w:t>
      </w:r>
    </w:p>
    <w:p w14:paraId="3499713F" w14:textId="69CFDED5" w:rsidR="0054343B" w:rsidRDefault="00DF400A" w:rsidP="0054343B">
      <w:pPr>
        <w:pStyle w:val="ListParagraph"/>
        <w:numPr>
          <w:ilvl w:val="1"/>
          <w:numId w:val="13"/>
        </w:numPr>
        <w:ind w:left="851" w:hanging="425"/>
      </w:pPr>
      <w:r>
        <w:t>Youth representative</w:t>
      </w:r>
      <w:r w:rsidR="00A954C8">
        <w:t>.</w:t>
      </w:r>
    </w:p>
    <w:p w14:paraId="66A48092" w14:textId="77777777" w:rsidR="0054343B" w:rsidRDefault="0054343B" w:rsidP="0054343B">
      <w:pPr>
        <w:pStyle w:val="ListParagraph"/>
        <w:ind w:left="0" w:firstLine="0"/>
      </w:pPr>
    </w:p>
    <w:p w14:paraId="7F5214F5" w14:textId="370C57D5" w:rsidR="00196532" w:rsidRDefault="00906B79" w:rsidP="00A954C8">
      <w:pPr>
        <w:pStyle w:val="ListParagraph"/>
        <w:numPr>
          <w:ilvl w:val="0"/>
          <w:numId w:val="13"/>
        </w:numPr>
        <w:ind w:left="426" w:hanging="426"/>
      </w:pPr>
      <w:r>
        <w:t>Four months</w:t>
      </w:r>
      <w:r w:rsidR="00196532">
        <w:t xml:space="preserve"> in advance of the COP the Secretariat</w:t>
      </w:r>
      <w:r w:rsidR="007E4714">
        <w:t xml:space="preserve"> </w:t>
      </w:r>
      <w:r w:rsidR="00196532">
        <w:t>invite</w:t>
      </w:r>
      <w:r w:rsidR="00A954C8">
        <w:t>s</w:t>
      </w:r>
      <w:r w:rsidR="00196532">
        <w:t xml:space="preserve"> </w:t>
      </w:r>
      <w:r w:rsidR="007E4714">
        <w:t>I</w:t>
      </w:r>
      <w:r w:rsidR="00196532">
        <w:t>OPs to select a representative to jointly represent IOPs on the Panel</w:t>
      </w:r>
      <w:r w:rsidR="00A954C8">
        <w:t>.</w:t>
      </w:r>
    </w:p>
    <w:p w14:paraId="7E2E8E47" w14:textId="77777777" w:rsidR="0054343B" w:rsidRDefault="0054343B" w:rsidP="0054343B">
      <w:pPr>
        <w:ind w:left="0" w:firstLine="0"/>
      </w:pPr>
    </w:p>
    <w:p w14:paraId="0AFAF331" w14:textId="562B2D38" w:rsidR="009C302C" w:rsidRDefault="009C302C" w:rsidP="00A954C8">
      <w:pPr>
        <w:pStyle w:val="ListParagraph"/>
        <w:numPr>
          <w:ilvl w:val="0"/>
          <w:numId w:val="13"/>
        </w:numPr>
        <w:ind w:left="426" w:hanging="426"/>
      </w:pPr>
      <w:r>
        <w:t>During regional meetings at the COP</w:t>
      </w:r>
      <w:r w:rsidR="00A954C8">
        <w:t>,</w:t>
      </w:r>
      <w:r>
        <w:t xml:space="preserve"> each region </w:t>
      </w:r>
      <w:r w:rsidR="00A954C8">
        <w:t xml:space="preserve">identifies </w:t>
      </w:r>
      <w:r>
        <w:t xml:space="preserve">a Contracting Party from the region as a member </w:t>
      </w:r>
      <w:r w:rsidR="007E4714">
        <w:t>of</w:t>
      </w:r>
      <w:r>
        <w:t xml:space="preserve"> the Panel</w:t>
      </w:r>
      <w:r w:rsidR="00DF400A">
        <w:t xml:space="preserve">. </w:t>
      </w:r>
    </w:p>
    <w:p w14:paraId="517294C9" w14:textId="77777777" w:rsidR="0054343B" w:rsidRDefault="0054343B" w:rsidP="0054343B">
      <w:pPr>
        <w:ind w:left="0" w:firstLine="0"/>
        <w:jc w:val="both"/>
      </w:pPr>
    </w:p>
    <w:p w14:paraId="58505FC3" w14:textId="5E794AE4" w:rsidR="00196532" w:rsidRDefault="00DF400A" w:rsidP="00A954C8">
      <w:pPr>
        <w:pStyle w:val="ListParagraph"/>
        <w:numPr>
          <w:ilvl w:val="0"/>
          <w:numId w:val="13"/>
        </w:numPr>
        <w:ind w:left="426" w:hanging="426"/>
      </w:pPr>
      <w:r>
        <w:t xml:space="preserve">At the first meeting of the Standing Committee </w:t>
      </w:r>
      <w:r w:rsidR="00A954C8">
        <w:t xml:space="preserve">immediately </w:t>
      </w:r>
      <w:r>
        <w:t>after the COP</w:t>
      </w:r>
      <w:r w:rsidR="008836F4">
        <w:t xml:space="preserve"> or </w:t>
      </w:r>
      <w:proofErr w:type="spellStart"/>
      <w:r w:rsidR="008836F4">
        <w:t>intersessionally</w:t>
      </w:r>
      <w:proofErr w:type="spellEnd"/>
      <w:r w:rsidR="008836F4">
        <w:t xml:space="preserve"> following the COP</w:t>
      </w:r>
      <w:r>
        <w:t>, the Standing Committee approve</w:t>
      </w:r>
      <w:r w:rsidR="00A954C8">
        <w:t>s</w:t>
      </w:r>
      <w:r>
        <w:t xml:space="preserve"> the composition of the CEPA Oversight Panel</w:t>
      </w:r>
      <w:r w:rsidR="00A954C8">
        <w:t xml:space="preserve"> once the </w:t>
      </w:r>
      <w:r w:rsidR="008836F4">
        <w:t xml:space="preserve">Chair and </w:t>
      </w:r>
      <w:r w:rsidR="00A954C8">
        <w:t>Vice-Chair of the Standing Committee and Chair of the Subgroup on Finance have been elected</w:t>
      </w:r>
      <w:r>
        <w:t xml:space="preserve">. </w:t>
      </w:r>
      <w:r w:rsidR="00196532">
        <w:t xml:space="preserve">To assist the Standing Committee in determining the composition of the Panel, the Secretariat </w:t>
      </w:r>
      <w:r w:rsidR="008836F4">
        <w:t>will</w:t>
      </w:r>
      <w:r w:rsidR="00196532">
        <w:t xml:space="preserve"> present a summary of the nominations received for the CEPA Government </w:t>
      </w:r>
      <w:r w:rsidR="007E4714">
        <w:t>F</w:t>
      </w:r>
      <w:r w:rsidR="00196532">
        <w:t>ocal Point, CEPA NGO Focal Point, Indigenous Peoples representative and Youth representative categories. I</w:t>
      </w:r>
      <w:r w:rsidR="007E4714">
        <w:t xml:space="preserve">f </w:t>
      </w:r>
      <w:r w:rsidR="00A954C8">
        <w:t>necessary</w:t>
      </w:r>
      <w:r w:rsidR="007E4714">
        <w:t>, it</w:t>
      </w:r>
      <w:r w:rsidR="00196532">
        <w:t xml:space="preserve"> </w:t>
      </w:r>
      <w:r w:rsidR="00A954C8">
        <w:t>is</w:t>
      </w:r>
      <w:r w:rsidR="00196532">
        <w:t xml:space="preserve"> noted that the STRP representative </w:t>
      </w:r>
      <w:r w:rsidR="00731276">
        <w:t>may</w:t>
      </w:r>
      <w:r w:rsidR="00A954C8">
        <w:t xml:space="preserve"> </w:t>
      </w:r>
      <w:r w:rsidR="00196532">
        <w:t xml:space="preserve">be identified at a later date. </w:t>
      </w:r>
    </w:p>
    <w:p w14:paraId="218877B9" w14:textId="77777777" w:rsidR="0054343B" w:rsidRDefault="0054343B" w:rsidP="0054343B">
      <w:pPr>
        <w:ind w:left="0" w:firstLine="0"/>
      </w:pPr>
    </w:p>
    <w:p w14:paraId="1E76A830" w14:textId="6E3B0370" w:rsidR="00DF400A" w:rsidRDefault="009F7540" w:rsidP="00A954C8">
      <w:pPr>
        <w:pStyle w:val="ListParagraph"/>
        <w:numPr>
          <w:ilvl w:val="0"/>
          <w:numId w:val="13"/>
        </w:numPr>
        <w:ind w:left="426" w:hanging="426"/>
      </w:pPr>
      <w:r>
        <w:t xml:space="preserve">Within </w:t>
      </w:r>
      <w:r w:rsidR="008836F4">
        <w:t>two months</w:t>
      </w:r>
      <w:r>
        <w:t xml:space="preserve"> of the </w:t>
      </w:r>
      <w:r w:rsidR="00A954C8">
        <w:t xml:space="preserve">end </w:t>
      </w:r>
      <w:r>
        <w:t>of the COP</w:t>
      </w:r>
      <w:r w:rsidR="00A954C8">
        <w:t>,</w:t>
      </w:r>
      <w:r>
        <w:t xml:space="preserve"> the CEPA Oversight Panel hold</w:t>
      </w:r>
      <w:r w:rsidR="008563F6">
        <w:t>s</w:t>
      </w:r>
      <w:r>
        <w:t xml:space="preserve"> its first meeting to select its Chair and </w:t>
      </w:r>
      <w:r w:rsidR="007835AE">
        <w:t>Vice-Chair</w:t>
      </w:r>
      <w:r w:rsidR="00502DCA">
        <w:t xml:space="preserve"> and begin the development of its work </w:t>
      </w:r>
      <w:r w:rsidR="008563F6">
        <w:t xml:space="preserve">plan for the triennium </w:t>
      </w:r>
      <w:r w:rsidR="00502DCA">
        <w:t>in accordance with the instructions received from the COP.</w:t>
      </w:r>
    </w:p>
    <w:p w14:paraId="2FFFE017" w14:textId="77777777" w:rsidR="003743F7" w:rsidRDefault="003743F7" w:rsidP="003743F7">
      <w:pPr>
        <w:pStyle w:val="ListParagraph"/>
      </w:pPr>
    </w:p>
    <w:p w14:paraId="1E189459" w14:textId="1A50A6DD" w:rsidR="003743F7" w:rsidRDefault="003743F7" w:rsidP="00307215">
      <w:pPr>
        <w:pStyle w:val="ListParagraph"/>
        <w:numPr>
          <w:ilvl w:val="0"/>
          <w:numId w:val="13"/>
        </w:numPr>
        <w:ind w:left="426" w:hanging="426"/>
      </w:pPr>
      <w:r>
        <w:t xml:space="preserve">The proposed new COP15 Resolution would call for the first meeting of a newly composed CEPA Oversight Panel to take place within two months of the </w:t>
      </w:r>
      <w:r w:rsidR="00090C81">
        <w:t>closure</w:t>
      </w:r>
      <w:r>
        <w:t xml:space="preserve"> of the COP, rather than at the COP.</w:t>
      </w:r>
    </w:p>
    <w:p w14:paraId="491F05F0" w14:textId="77777777" w:rsidR="00807DCF" w:rsidRDefault="00807DCF" w:rsidP="00330AF6">
      <w:pPr>
        <w:ind w:left="0" w:firstLine="0"/>
        <w:rPr>
          <w:rFonts w:asciiTheme="minorHAnsi" w:hAnsiTheme="minorHAnsi" w:cstheme="minorHAnsi"/>
          <w:color w:val="000000"/>
        </w:rPr>
      </w:pPr>
    </w:p>
    <w:p w14:paraId="4633B37C" w14:textId="1033A692" w:rsidR="00807DCF" w:rsidRDefault="00807DCF" w:rsidP="005D262B">
      <w:pPr>
        <w:keepNext/>
        <w:ind w:left="0" w:firstLine="0"/>
        <w:rPr>
          <w:u w:val="single"/>
        </w:rPr>
      </w:pPr>
      <w:r w:rsidRPr="00791692">
        <w:rPr>
          <w:u w:val="single"/>
        </w:rPr>
        <w:t xml:space="preserve">Modus </w:t>
      </w:r>
      <w:r>
        <w:rPr>
          <w:u w:val="single"/>
        </w:rPr>
        <w:t>o</w:t>
      </w:r>
      <w:r w:rsidRPr="00791692">
        <w:rPr>
          <w:u w:val="single"/>
        </w:rPr>
        <w:t>perandi</w:t>
      </w:r>
    </w:p>
    <w:p w14:paraId="2889DE19" w14:textId="77777777" w:rsidR="00A972E1" w:rsidRDefault="00A972E1" w:rsidP="005D262B">
      <w:pPr>
        <w:keepNext/>
        <w:ind w:left="0" w:firstLine="0"/>
        <w:rPr>
          <w:u w:val="single"/>
        </w:rPr>
      </w:pPr>
    </w:p>
    <w:p w14:paraId="48797A15" w14:textId="7431785A" w:rsidR="00DB3BE3" w:rsidRPr="0049430A" w:rsidRDefault="0049430A" w:rsidP="0049430A">
      <w:pPr>
        <w:ind w:left="426" w:hanging="426"/>
        <w:rPr>
          <w:rFonts w:asciiTheme="minorHAnsi" w:hAnsiTheme="minorHAnsi" w:cstheme="minorHAnsi"/>
          <w:color w:val="000000"/>
          <w:lang w:val="en-US"/>
        </w:rPr>
      </w:pPr>
      <w:proofErr w:type="spellStart"/>
      <w:r>
        <w:t>i</w:t>
      </w:r>
      <w:proofErr w:type="spellEnd"/>
      <w:r>
        <w:t>.</w:t>
      </w:r>
      <w:r>
        <w:tab/>
      </w:r>
      <w:r w:rsidR="00807DCF">
        <w:t xml:space="preserve">The main working language of the Panel </w:t>
      </w:r>
      <w:r w:rsidR="007E4714">
        <w:t>is</w:t>
      </w:r>
      <w:r w:rsidR="00807DCF">
        <w:t xml:space="preserve"> English</w:t>
      </w:r>
      <w:r w:rsidR="00807DCF" w:rsidRPr="0049430A">
        <w:rPr>
          <w:rFonts w:asciiTheme="minorHAnsi" w:hAnsiTheme="minorHAnsi" w:cstheme="minorHAnsi"/>
          <w:color w:val="000000"/>
          <w:lang w:val="en-US"/>
        </w:rPr>
        <w:t xml:space="preserve">. </w:t>
      </w:r>
      <w:r w:rsidR="007E4714" w:rsidRPr="0049430A">
        <w:rPr>
          <w:rFonts w:asciiTheme="minorHAnsi" w:hAnsiTheme="minorHAnsi" w:cstheme="minorHAnsi"/>
          <w:color w:val="000000"/>
          <w:lang w:val="en-US"/>
        </w:rPr>
        <w:t xml:space="preserve">Reports of the </w:t>
      </w:r>
      <w:r w:rsidR="00DB3BE3" w:rsidRPr="0049430A">
        <w:rPr>
          <w:rFonts w:asciiTheme="minorHAnsi" w:hAnsiTheme="minorHAnsi" w:cstheme="minorHAnsi"/>
          <w:color w:val="000000"/>
          <w:lang w:val="en-US"/>
        </w:rPr>
        <w:t xml:space="preserve">CEPA Oversight Panel to the Standing Committee will be translated into the official languages of the Convention. </w:t>
      </w:r>
    </w:p>
    <w:p w14:paraId="11BCC00F" w14:textId="77777777" w:rsidR="0049430A" w:rsidRDefault="0049430A" w:rsidP="0049430A">
      <w:pPr>
        <w:ind w:left="426" w:hanging="426"/>
        <w:rPr>
          <w:rFonts w:asciiTheme="minorHAnsi" w:hAnsiTheme="minorHAnsi" w:cstheme="minorHAnsi"/>
          <w:color w:val="000000"/>
          <w:lang w:val="en-US"/>
        </w:rPr>
      </w:pPr>
    </w:p>
    <w:p w14:paraId="774D4FE4" w14:textId="0E669DB4" w:rsidR="00807DCF" w:rsidRPr="0049430A" w:rsidRDefault="0049430A" w:rsidP="0049430A">
      <w:pPr>
        <w:ind w:left="426" w:hanging="426"/>
        <w:rPr>
          <w:rFonts w:asciiTheme="minorHAnsi" w:hAnsiTheme="minorHAnsi" w:cstheme="minorHAnsi"/>
          <w:color w:val="000000"/>
          <w:lang w:val="en-US"/>
        </w:rPr>
      </w:pPr>
      <w:r>
        <w:rPr>
          <w:rFonts w:asciiTheme="minorHAnsi" w:hAnsiTheme="minorHAnsi" w:cstheme="minorHAnsi"/>
          <w:color w:val="000000"/>
          <w:lang w:val="en-US"/>
        </w:rPr>
        <w:t>ii.</w:t>
      </w:r>
      <w:r>
        <w:rPr>
          <w:rFonts w:asciiTheme="minorHAnsi" w:hAnsiTheme="minorHAnsi" w:cstheme="minorHAnsi"/>
          <w:color w:val="000000"/>
          <w:lang w:val="en-US"/>
        </w:rPr>
        <w:tab/>
      </w:r>
      <w:r w:rsidR="00807DCF" w:rsidRPr="0049430A">
        <w:rPr>
          <w:rFonts w:asciiTheme="minorHAnsi" w:hAnsiTheme="minorHAnsi" w:cstheme="minorHAnsi"/>
          <w:color w:val="000000"/>
          <w:lang w:val="en-US"/>
        </w:rPr>
        <w:t xml:space="preserve">The Panel will operate as </w:t>
      </w:r>
      <w:r w:rsidR="008563F6" w:rsidRPr="0049430A">
        <w:rPr>
          <w:rFonts w:asciiTheme="minorHAnsi" w:hAnsiTheme="minorHAnsi" w:cstheme="minorHAnsi"/>
          <w:color w:val="000000"/>
          <w:lang w:val="en-US"/>
        </w:rPr>
        <w:t xml:space="preserve">far </w:t>
      </w:r>
      <w:r w:rsidR="00807DCF" w:rsidRPr="0049430A">
        <w:rPr>
          <w:rFonts w:asciiTheme="minorHAnsi" w:hAnsiTheme="minorHAnsi" w:cstheme="minorHAnsi"/>
          <w:color w:val="000000"/>
          <w:lang w:val="en-US"/>
        </w:rPr>
        <w:t xml:space="preserve">as possible through electronic means (email, video </w:t>
      </w:r>
      <w:r w:rsidR="00DB3BE3" w:rsidRPr="0049430A">
        <w:rPr>
          <w:rFonts w:asciiTheme="minorHAnsi" w:hAnsiTheme="minorHAnsi" w:cstheme="minorHAnsi"/>
          <w:color w:val="000000"/>
          <w:lang w:val="en-US"/>
        </w:rPr>
        <w:t>meetings</w:t>
      </w:r>
      <w:r w:rsidR="00807DCF" w:rsidRPr="0049430A">
        <w:rPr>
          <w:rFonts w:asciiTheme="minorHAnsi" w:hAnsiTheme="minorHAnsi" w:cstheme="minorHAnsi"/>
          <w:color w:val="000000"/>
          <w:lang w:val="en-US"/>
        </w:rPr>
        <w:t xml:space="preserve">, </w:t>
      </w:r>
      <w:r w:rsidR="00DB3BE3" w:rsidRPr="0049430A">
        <w:rPr>
          <w:rFonts w:asciiTheme="minorHAnsi" w:hAnsiTheme="minorHAnsi" w:cstheme="minorHAnsi"/>
          <w:color w:val="000000"/>
          <w:lang w:val="en-US"/>
        </w:rPr>
        <w:t xml:space="preserve">collaborative online tools, </w:t>
      </w:r>
      <w:r w:rsidR="00807DCF" w:rsidRPr="0049430A">
        <w:rPr>
          <w:rFonts w:asciiTheme="minorHAnsi" w:hAnsiTheme="minorHAnsi" w:cstheme="minorHAnsi"/>
          <w:color w:val="000000"/>
          <w:lang w:val="en-US"/>
        </w:rPr>
        <w:t>etc.). If it is thought necessary, and if funding permits, the Panel may seek to meet</w:t>
      </w:r>
      <w:r w:rsidR="00DB3BE3" w:rsidRPr="0049430A">
        <w:rPr>
          <w:rFonts w:asciiTheme="minorHAnsi" w:hAnsiTheme="minorHAnsi" w:cstheme="minorHAnsi"/>
          <w:color w:val="000000"/>
          <w:lang w:val="en-US"/>
        </w:rPr>
        <w:t xml:space="preserve"> </w:t>
      </w:r>
      <w:r w:rsidR="008563F6" w:rsidRPr="0049430A">
        <w:rPr>
          <w:rFonts w:asciiTheme="minorHAnsi" w:hAnsiTheme="minorHAnsi" w:cstheme="minorHAnsi"/>
          <w:color w:val="000000"/>
          <w:lang w:val="en-US"/>
        </w:rPr>
        <w:t xml:space="preserve">face-to-face </w:t>
      </w:r>
      <w:r w:rsidR="00807DCF" w:rsidRPr="0049430A">
        <w:rPr>
          <w:rFonts w:asciiTheme="minorHAnsi" w:hAnsiTheme="minorHAnsi" w:cstheme="minorHAnsi"/>
          <w:color w:val="000000"/>
          <w:lang w:val="en-US"/>
        </w:rPr>
        <w:t xml:space="preserve">during the triennium. </w:t>
      </w:r>
    </w:p>
    <w:p w14:paraId="70E7F9CA" w14:textId="77777777" w:rsidR="0049430A" w:rsidRDefault="0049430A" w:rsidP="0049430A">
      <w:pPr>
        <w:ind w:left="426" w:hanging="426"/>
        <w:rPr>
          <w:rFonts w:asciiTheme="minorHAnsi" w:hAnsiTheme="minorHAnsi" w:cstheme="minorHAnsi"/>
          <w:color w:val="000000"/>
          <w:lang w:val="en-US"/>
        </w:rPr>
      </w:pPr>
    </w:p>
    <w:p w14:paraId="6BFEDCFB" w14:textId="0BF27E67" w:rsidR="00DB3BE3" w:rsidRPr="0049430A" w:rsidRDefault="0049430A" w:rsidP="0049430A">
      <w:pPr>
        <w:ind w:left="426" w:hanging="426"/>
        <w:rPr>
          <w:rFonts w:asciiTheme="minorHAnsi" w:hAnsiTheme="minorHAnsi" w:cstheme="minorHAnsi"/>
          <w:color w:val="000000"/>
          <w:lang w:val="en-US"/>
        </w:rPr>
      </w:pPr>
      <w:r>
        <w:rPr>
          <w:rFonts w:asciiTheme="minorHAnsi" w:hAnsiTheme="minorHAnsi" w:cstheme="minorHAnsi"/>
          <w:color w:val="000000"/>
          <w:lang w:val="en-US"/>
        </w:rPr>
        <w:t>iii.</w:t>
      </w:r>
      <w:r>
        <w:rPr>
          <w:rFonts w:asciiTheme="minorHAnsi" w:hAnsiTheme="minorHAnsi" w:cstheme="minorHAnsi"/>
          <w:color w:val="000000"/>
          <w:lang w:val="en-US"/>
        </w:rPr>
        <w:tab/>
      </w:r>
      <w:r w:rsidR="00DB3BE3" w:rsidRPr="0049430A">
        <w:rPr>
          <w:rFonts w:asciiTheme="minorHAnsi" w:hAnsiTheme="minorHAnsi" w:cstheme="minorHAnsi"/>
          <w:color w:val="000000"/>
          <w:lang w:val="en-US"/>
        </w:rPr>
        <w:t>The Panel will report on its activities to each meeting of the Standing Committee</w:t>
      </w:r>
      <w:r w:rsidR="008563F6" w:rsidRPr="0049430A">
        <w:rPr>
          <w:rFonts w:asciiTheme="minorHAnsi" w:hAnsiTheme="minorHAnsi" w:cstheme="minorHAnsi"/>
          <w:color w:val="000000"/>
          <w:lang w:val="en-US"/>
        </w:rPr>
        <w:t>.</w:t>
      </w:r>
    </w:p>
    <w:p w14:paraId="262C48D3" w14:textId="77777777" w:rsidR="0049430A" w:rsidRDefault="0049430A" w:rsidP="0049430A">
      <w:pPr>
        <w:ind w:left="426" w:hanging="426"/>
        <w:rPr>
          <w:rFonts w:asciiTheme="minorHAnsi" w:hAnsiTheme="minorHAnsi" w:cstheme="minorHAnsi"/>
          <w:color w:val="000000"/>
          <w:lang w:val="en-US"/>
        </w:rPr>
      </w:pPr>
    </w:p>
    <w:p w14:paraId="2B706C77" w14:textId="16FF53D2" w:rsidR="00807DCF" w:rsidRPr="0049430A" w:rsidRDefault="0049430A" w:rsidP="0049430A">
      <w:pPr>
        <w:ind w:left="426" w:hanging="426"/>
        <w:rPr>
          <w:rFonts w:asciiTheme="minorHAnsi" w:hAnsiTheme="minorHAnsi" w:cstheme="minorHAnsi"/>
          <w:color w:val="000000"/>
          <w:lang w:val="en-US"/>
        </w:rPr>
      </w:pPr>
      <w:r>
        <w:rPr>
          <w:rFonts w:asciiTheme="minorHAnsi" w:hAnsiTheme="minorHAnsi" w:cstheme="minorHAnsi"/>
          <w:color w:val="000000"/>
          <w:lang w:val="en-US"/>
        </w:rPr>
        <w:t>iv.</w:t>
      </w:r>
      <w:r>
        <w:rPr>
          <w:rFonts w:asciiTheme="minorHAnsi" w:hAnsiTheme="minorHAnsi" w:cstheme="minorHAnsi"/>
          <w:color w:val="000000"/>
          <w:lang w:val="en-US"/>
        </w:rPr>
        <w:tab/>
      </w:r>
      <w:r w:rsidR="00807DCF" w:rsidRPr="0049430A">
        <w:rPr>
          <w:rFonts w:asciiTheme="minorHAnsi" w:hAnsiTheme="minorHAnsi" w:cstheme="minorHAnsi"/>
          <w:color w:val="000000"/>
          <w:lang w:val="en-US"/>
        </w:rPr>
        <w:t xml:space="preserve">The CEPA </w:t>
      </w:r>
      <w:r w:rsidR="00DB3BE3" w:rsidRPr="0049430A">
        <w:rPr>
          <w:rFonts w:asciiTheme="minorHAnsi" w:hAnsiTheme="minorHAnsi" w:cstheme="minorHAnsi"/>
          <w:color w:val="000000"/>
          <w:lang w:val="en-US"/>
        </w:rPr>
        <w:t>Government Focal</w:t>
      </w:r>
      <w:r w:rsidR="00807DCF" w:rsidRPr="0049430A">
        <w:rPr>
          <w:rFonts w:asciiTheme="minorHAnsi" w:hAnsiTheme="minorHAnsi" w:cstheme="minorHAnsi"/>
          <w:color w:val="000000"/>
          <w:lang w:val="en-US"/>
        </w:rPr>
        <w:t xml:space="preserve"> Point representatives </w:t>
      </w:r>
      <w:r w:rsidR="002B27CF" w:rsidRPr="0049430A">
        <w:rPr>
          <w:rFonts w:asciiTheme="minorHAnsi" w:hAnsiTheme="minorHAnsi" w:cstheme="minorHAnsi"/>
          <w:color w:val="000000"/>
          <w:lang w:val="en-US"/>
        </w:rPr>
        <w:t xml:space="preserve">and the NGO CEPA Focal Points </w:t>
      </w:r>
      <w:r w:rsidR="00807DCF" w:rsidRPr="0049430A">
        <w:rPr>
          <w:rFonts w:asciiTheme="minorHAnsi" w:hAnsiTheme="minorHAnsi" w:cstheme="minorHAnsi"/>
          <w:color w:val="000000"/>
          <w:lang w:val="en-US"/>
        </w:rPr>
        <w:t xml:space="preserve">should, as </w:t>
      </w:r>
      <w:r w:rsidR="008563F6" w:rsidRPr="0049430A">
        <w:rPr>
          <w:rFonts w:asciiTheme="minorHAnsi" w:hAnsiTheme="minorHAnsi" w:cstheme="minorHAnsi"/>
          <w:color w:val="000000"/>
          <w:lang w:val="en-US"/>
        </w:rPr>
        <w:t xml:space="preserve">far </w:t>
      </w:r>
      <w:r w:rsidR="00807DCF" w:rsidRPr="0049430A">
        <w:rPr>
          <w:rFonts w:asciiTheme="minorHAnsi" w:hAnsiTheme="minorHAnsi" w:cstheme="minorHAnsi"/>
          <w:color w:val="000000"/>
          <w:lang w:val="en-US"/>
        </w:rPr>
        <w:t>as possible and as necessary, consult with and seek input from</w:t>
      </w:r>
      <w:r w:rsidR="002B27CF" w:rsidRPr="0049430A">
        <w:rPr>
          <w:rFonts w:asciiTheme="minorHAnsi" w:hAnsiTheme="minorHAnsi" w:cstheme="minorHAnsi"/>
          <w:color w:val="000000"/>
          <w:lang w:val="en-US"/>
        </w:rPr>
        <w:t xml:space="preserve"> their counterparts.</w:t>
      </w:r>
    </w:p>
    <w:p w14:paraId="41C0134C" w14:textId="77777777" w:rsidR="0049430A" w:rsidRDefault="0049430A" w:rsidP="0049430A">
      <w:pPr>
        <w:ind w:left="426" w:hanging="426"/>
        <w:rPr>
          <w:rFonts w:asciiTheme="minorHAnsi" w:hAnsiTheme="minorHAnsi" w:cstheme="minorHAnsi"/>
          <w:color w:val="000000"/>
          <w:lang w:val="en-US"/>
        </w:rPr>
      </w:pPr>
    </w:p>
    <w:p w14:paraId="12FDDEA2" w14:textId="5579EE84" w:rsidR="0058500E" w:rsidRPr="0049430A" w:rsidRDefault="0049430A" w:rsidP="0049430A">
      <w:pPr>
        <w:ind w:left="426" w:hanging="426"/>
        <w:rPr>
          <w:rFonts w:asciiTheme="minorHAnsi" w:hAnsiTheme="minorHAnsi" w:cstheme="minorHAnsi"/>
          <w:color w:val="000000"/>
          <w:lang w:val="en-US"/>
        </w:rPr>
      </w:pPr>
      <w:r>
        <w:rPr>
          <w:rFonts w:asciiTheme="minorHAnsi" w:hAnsiTheme="minorHAnsi" w:cstheme="minorHAnsi"/>
          <w:color w:val="000000"/>
          <w:lang w:val="en-US"/>
        </w:rPr>
        <w:t>v.</w:t>
      </w:r>
      <w:r>
        <w:rPr>
          <w:rFonts w:asciiTheme="minorHAnsi" w:hAnsiTheme="minorHAnsi" w:cstheme="minorHAnsi"/>
          <w:color w:val="000000"/>
          <w:lang w:val="en-US"/>
        </w:rPr>
        <w:tab/>
      </w:r>
      <w:r w:rsidR="0058500E" w:rsidRPr="0049430A">
        <w:rPr>
          <w:rFonts w:asciiTheme="minorHAnsi" w:hAnsiTheme="minorHAnsi" w:cstheme="minorHAnsi"/>
          <w:color w:val="000000"/>
          <w:lang w:val="en-US"/>
        </w:rPr>
        <w:t xml:space="preserve">Oversight Panel members who represent governments are encouraged to join established </w:t>
      </w:r>
      <w:r w:rsidR="002B27CF" w:rsidRPr="0049430A">
        <w:rPr>
          <w:rFonts w:asciiTheme="minorHAnsi" w:hAnsiTheme="minorHAnsi" w:cstheme="minorHAnsi"/>
          <w:color w:val="000000"/>
          <w:lang w:val="en-US"/>
        </w:rPr>
        <w:t xml:space="preserve">Convention </w:t>
      </w:r>
      <w:r w:rsidR="008563F6" w:rsidRPr="0049430A">
        <w:rPr>
          <w:rFonts w:asciiTheme="minorHAnsi" w:hAnsiTheme="minorHAnsi" w:cstheme="minorHAnsi"/>
          <w:color w:val="000000"/>
          <w:lang w:val="en-US"/>
        </w:rPr>
        <w:t xml:space="preserve">working groups </w:t>
      </w:r>
      <w:r w:rsidR="0058500E" w:rsidRPr="0049430A">
        <w:rPr>
          <w:rFonts w:asciiTheme="minorHAnsi" w:hAnsiTheme="minorHAnsi" w:cstheme="minorHAnsi"/>
          <w:color w:val="000000"/>
          <w:lang w:val="en-US"/>
        </w:rPr>
        <w:t xml:space="preserve">to contribute CEPA knowledge and expertise to the </w:t>
      </w:r>
      <w:r w:rsidR="007E4714" w:rsidRPr="0049430A">
        <w:rPr>
          <w:rFonts w:asciiTheme="minorHAnsi" w:hAnsiTheme="minorHAnsi" w:cstheme="minorHAnsi"/>
          <w:color w:val="000000"/>
          <w:lang w:val="en-US"/>
        </w:rPr>
        <w:t xml:space="preserve">work plans of the </w:t>
      </w:r>
      <w:r w:rsidR="008563F6" w:rsidRPr="0049430A">
        <w:rPr>
          <w:rFonts w:asciiTheme="minorHAnsi" w:hAnsiTheme="minorHAnsi" w:cstheme="minorHAnsi"/>
          <w:color w:val="000000"/>
          <w:lang w:val="en-US"/>
        </w:rPr>
        <w:t>groups</w:t>
      </w:r>
      <w:r w:rsidR="0058500E" w:rsidRPr="0049430A">
        <w:rPr>
          <w:rFonts w:asciiTheme="minorHAnsi" w:hAnsiTheme="minorHAnsi" w:cstheme="minorHAnsi"/>
          <w:color w:val="000000"/>
          <w:lang w:val="en-US"/>
        </w:rPr>
        <w:t xml:space="preserve">. </w:t>
      </w:r>
    </w:p>
    <w:p w14:paraId="3052B8AE" w14:textId="77777777" w:rsidR="00807DCF" w:rsidRDefault="00807DCF" w:rsidP="00330AF6">
      <w:pPr>
        <w:ind w:left="0" w:firstLine="0"/>
        <w:rPr>
          <w:rFonts w:asciiTheme="minorHAnsi" w:hAnsiTheme="minorHAnsi" w:cstheme="minorHAnsi"/>
          <w:color w:val="000000"/>
        </w:rPr>
      </w:pPr>
    </w:p>
    <w:p w14:paraId="7083BE27" w14:textId="4C1A1B41" w:rsidR="00807DCF" w:rsidRDefault="00807DCF" w:rsidP="00330AF6">
      <w:pPr>
        <w:ind w:left="0" w:firstLine="0"/>
        <w:rPr>
          <w:u w:val="single"/>
        </w:rPr>
      </w:pPr>
      <w:r w:rsidRPr="005C2079">
        <w:rPr>
          <w:u w:val="single"/>
        </w:rPr>
        <w:t>Towards a more strategic, integrated and effective CEPA programme</w:t>
      </w:r>
    </w:p>
    <w:p w14:paraId="209472F8" w14:textId="77777777" w:rsidR="00A972E1" w:rsidRDefault="00A972E1" w:rsidP="00330AF6">
      <w:pPr>
        <w:ind w:left="0" w:firstLine="0"/>
        <w:rPr>
          <w:u w:val="single"/>
        </w:rPr>
      </w:pPr>
    </w:p>
    <w:p w14:paraId="0922E14C" w14:textId="5C3F6E69" w:rsidR="00D915F2" w:rsidRDefault="00D915F2" w:rsidP="00691305">
      <w:pPr>
        <w:ind w:left="0" w:firstLine="0"/>
        <w:rPr>
          <w:rFonts w:asciiTheme="minorHAnsi" w:hAnsiTheme="minorHAnsi" w:cstheme="minorHAnsi"/>
        </w:rPr>
      </w:pPr>
      <w:r w:rsidRPr="00D915F2">
        <w:rPr>
          <w:rFonts w:asciiTheme="minorHAnsi" w:hAnsiTheme="minorHAnsi" w:cstheme="minorHAnsi"/>
        </w:rPr>
        <w:t xml:space="preserve">The </w:t>
      </w:r>
      <w:r>
        <w:rPr>
          <w:rFonts w:asciiTheme="minorHAnsi" w:hAnsiTheme="minorHAnsi" w:cstheme="minorHAnsi"/>
        </w:rPr>
        <w:t xml:space="preserve">characteristics of </w:t>
      </w:r>
      <w:r w:rsidRPr="008563F6">
        <w:rPr>
          <w:rFonts w:asciiTheme="minorHAnsi" w:hAnsiTheme="minorHAnsi" w:cstheme="minorHAnsi"/>
        </w:rPr>
        <w:t>the new CEPA approach</w:t>
      </w:r>
      <w:r w:rsidR="009A27E4">
        <w:rPr>
          <w:rFonts w:asciiTheme="minorHAnsi" w:hAnsiTheme="minorHAnsi" w:cstheme="minorHAnsi"/>
        </w:rPr>
        <w:t>,</w:t>
      </w:r>
      <w:r>
        <w:rPr>
          <w:rFonts w:asciiTheme="minorHAnsi" w:hAnsiTheme="minorHAnsi" w:cstheme="minorHAnsi"/>
        </w:rPr>
        <w:t xml:space="preserve"> defined in Annex 1 of Resolution XIV.8</w:t>
      </w:r>
      <w:r w:rsidR="009A27E4">
        <w:rPr>
          <w:rFonts w:asciiTheme="minorHAnsi" w:hAnsiTheme="minorHAnsi" w:cstheme="minorHAnsi"/>
        </w:rPr>
        <w:t>,</w:t>
      </w:r>
      <w:r>
        <w:rPr>
          <w:rFonts w:asciiTheme="minorHAnsi" w:hAnsiTheme="minorHAnsi" w:cstheme="minorHAnsi"/>
        </w:rPr>
        <w:t xml:space="preserve"> inform the identification of concrete priority actions </w:t>
      </w:r>
      <w:r w:rsidR="008362A1">
        <w:rPr>
          <w:rFonts w:asciiTheme="minorHAnsi" w:hAnsiTheme="minorHAnsi" w:cstheme="minorHAnsi"/>
        </w:rPr>
        <w:t>for the CEPA Oversight Panel to implement</w:t>
      </w:r>
      <w:r w:rsidR="008563F6">
        <w:rPr>
          <w:rFonts w:asciiTheme="minorHAnsi" w:hAnsiTheme="minorHAnsi" w:cstheme="minorHAnsi"/>
        </w:rPr>
        <w:t>,</w:t>
      </w:r>
      <w:r w:rsidR="008362A1">
        <w:rPr>
          <w:rFonts w:asciiTheme="minorHAnsi" w:hAnsiTheme="minorHAnsi" w:cstheme="minorHAnsi"/>
        </w:rPr>
        <w:t xml:space="preserve"> </w:t>
      </w:r>
      <w:r>
        <w:rPr>
          <w:rFonts w:asciiTheme="minorHAnsi" w:hAnsiTheme="minorHAnsi" w:cstheme="minorHAnsi"/>
        </w:rPr>
        <w:t xml:space="preserve">consistent with </w:t>
      </w:r>
      <w:r w:rsidR="008563F6">
        <w:rPr>
          <w:rFonts w:asciiTheme="minorHAnsi" w:hAnsiTheme="minorHAnsi" w:cstheme="minorHAnsi"/>
        </w:rPr>
        <w:t>the first characteristic</w:t>
      </w:r>
      <w:r>
        <w:rPr>
          <w:rFonts w:asciiTheme="minorHAnsi" w:hAnsiTheme="minorHAnsi" w:cstheme="minorHAnsi"/>
        </w:rPr>
        <w:t xml:space="preserve"> of a reduced set of activities clearly linked to the Strategic Plan</w:t>
      </w:r>
      <w:r w:rsidR="00691305">
        <w:rPr>
          <w:rFonts w:asciiTheme="minorHAnsi" w:hAnsiTheme="minorHAnsi" w:cstheme="minorHAnsi"/>
        </w:rPr>
        <w:t xml:space="preserve"> that will lead to a more strategic, integrated and effective CEPA programme. Proposed actions </w:t>
      </w:r>
      <w:r w:rsidR="008362A1">
        <w:rPr>
          <w:rFonts w:asciiTheme="minorHAnsi" w:hAnsiTheme="minorHAnsi" w:cstheme="minorHAnsi"/>
        </w:rPr>
        <w:t>include</w:t>
      </w:r>
      <w:r w:rsidR="008563F6">
        <w:rPr>
          <w:rFonts w:asciiTheme="minorHAnsi" w:hAnsiTheme="minorHAnsi" w:cstheme="minorHAnsi"/>
        </w:rPr>
        <w:t>:</w:t>
      </w:r>
    </w:p>
    <w:p w14:paraId="1A29CF4B" w14:textId="77777777" w:rsidR="00D915F2" w:rsidRDefault="00D915F2" w:rsidP="00330AF6">
      <w:pPr>
        <w:ind w:left="0" w:firstLine="0"/>
        <w:rPr>
          <w:u w:val="single"/>
        </w:rPr>
      </w:pPr>
    </w:p>
    <w:p w14:paraId="510229F1" w14:textId="4290327F" w:rsidR="00DB3BE3" w:rsidRDefault="0049430A" w:rsidP="0049430A">
      <w:pPr>
        <w:ind w:left="426" w:hanging="426"/>
        <w:rPr>
          <w:rFonts w:asciiTheme="minorHAnsi" w:hAnsiTheme="minorHAnsi" w:cstheme="minorHAnsi"/>
          <w:color w:val="000000"/>
        </w:rPr>
      </w:pPr>
      <w:proofErr w:type="spellStart"/>
      <w:r>
        <w:rPr>
          <w:rFonts w:asciiTheme="minorHAnsi" w:hAnsiTheme="minorHAnsi" w:cstheme="minorHAnsi"/>
          <w:color w:val="000000"/>
        </w:rPr>
        <w:t>i</w:t>
      </w:r>
      <w:proofErr w:type="spellEnd"/>
      <w:r>
        <w:rPr>
          <w:rFonts w:asciiTheme="minorHAnsi" w:hAnsiTheme="minorHAnsi" w:cstheme="minorHAnsi"/>
          <w:color w:val="000000"/>
        </w:rPr>
        <w:t>.</w:t>
      </w:r>
      <w:r>
        <w:rPr>
          <w:rFonts w:asciiTheme="minorHAnsi" w:hAnsiTheme="minorHAnsi" w:cstheme="minorHAnsi"/>
          <w:color w:val="000000"/>
        </w:rPr>
        <w:tab/>
      </w:r>
      <w:r w:rsidR="00184775" w:rsidRPr="0049430A">
        <w:rPr>
          <w:rFonts w:asciiTheme="minorHAnsi" w:hAnsiTheme="minorHAnsi" w:cstheme="minorHAnsi"/>
          <w:color w:val="000000"/>
        </w:rPr>
        <w:t xml:space="preserve">Strengthening the </w:t>
      </w:r>
      <w:r w:rsidR="00DB3BE3" w:rsidRPr="0049430A">
        <w:rPr>
          <w:rFonts w:asciiTheme="minorHAnsi" w:hAnsiTheme="minorHAnsi" w:cstheme="minorHAnsi"/>
          <w:color w:val="000000"/>
        </w:rPr>
        <w:t>CEPA Focal Point network</w:t>
      </w:r>
      <w:r w:rsidR="00184775" w:rsidRPr="0049430A">
        <w:rPr>
          <w:rFonts w:asciiTheme="minorHAnsi" w:hAnsiTheme="minorHAnsi" w:cstheme="minorHAnsi"/>
          <w:color w:val="000000"/>
        </w:rPr>
        <w:t xml:space="preserve"> – The current CEPA Oversight Panel has within its workplan the action to review how the CEPA Focal Point network is supported</w:t>
      </w:r>
      <w:r w:rsidR="009A27E4" w:rsidRPr="0049430A">
        <w:rPr>
          <w:rFonts w:asciiTheme="minorHAnsi" w:hAnsiTheme="minorHAnsi" w:cstheme="minorHAnsi"/>
          <w:color w:val="000000"/>
        </w:rPr>
        <w:t>,</w:t>
      </w:r>
      <w:r w:rsidR="00184775" w:rsidRPr="0049430A">
        <w:rPr>
          <w:rFonts w:asciiTheme="minorHAnsi" w:hAnsiTheme="minorHAnsi" w:cstheme="minorHAnsi"/>
          <w:color w:val="000000"/>
        </w:rPr>
        <w:t xml:space="preserve"> and make recommendations to strengthen the network through improved communication</w:t>
      </w:r>
      <w:r w:rsidR="008362A1" w:rsidRPr="0049430A">
        <w:rPr>
          <w:rFonts w:asciiTheme="minorHAnsi" w:hAnsiTheme="minorHAnsi" w:cstheme="minorHAnsi"/>
          <w:color w:val="000000"/>
        </w:rPr>
        <w:t>, information sharing</w:t>
      </w:r>
      <w:r w:rsidR="00184775" w:rsidRPr="0049430A">
        <w:rPr>
          <w:rFonts w:asciiTheme="minorHAnsi" w:hAnsiTheme="minorHAnsi" w:cstheme="minorHAnsi"/>
          <w:color w:val="000000"/>
        </w:rPr>
        <w:t xml:space="preserve"> and capacity building. These recommendations will be </w:t>
      </w:r>
      <w:r w:rsidR="00084187" w:rsidRPr="0049430A">
        <w:rPr>
          <w:rFonts w:asciiTheme="minorHAnsi" w:hAnsiTheme="minorHAnsi" w:cstheme="minorHAnsi"/>
          <w:color w:val="000000"/>
        </w:rPr>
        <w:t>included in the Oversight Panel’s report to SC63</w:t>
      </w:r>
      <w:r w:rsidR="007E4714" w:rsidRPr="0049430A">
        <w:rPr>
          <w:rFonts w:asciiTheme="minorHAnsi" w:hAnsiTheme="minorHAnsi" w:cstheme="minorHAnsi"/>
          <w:color w:val="000000"/>
        </w:rPr>
        <w:t xml:space="preserve"> and implemented during the current triennium</w:t>
      </w:r>
      <w:r w:rsidR="009A27E4" w:rsidRPr="0049430A">
        <w:rPr>
          <w:rFonts w:asciiTheme="minorHAnsi" w:hAnsiTheme="minorHAnsi" w:cstheme="minorHAnsi"/>
          <w:color w:val="000000"/>
        </w:rPr>
        <w:t>.</w:t>
      </w:r>
    </w:p>
    <w:p w14:paraId="30EE06E2" w14:textId="77777777" w:rsidR="0049430A" w:rsidRPr="0049430A" w:rsidRDefault="0049430A" w:rsidP="0049430A">
      <w:pPr>
        <w:ind w:left="426" w:hanging="426"/>
        <w:rPr>
          <w:rFonts w:asciiTheme="minorHAnsi" w:hAnsiTheme="minorHAnsi" w:cstheme="minorHAnsi"/>
          <w:color w:val="000000"/>
        </w:rPr>
      </w:pPr>
    </w:p>
    <w:p w14:paraId="5B0FD725" w14:textId="165AEF56" w:rsidR="00084187" w:rsidRDefault="0049430A" w:rsidP="0049430A">
      <w:pPr>
        <w:ind w:left="426" w:hanging="426"/>
        <w:rPr>
          <w:rFonts w:asciiTheme="minorHAnsi" w:hAnsiTheme="minorHAnsi" w:cstheme="minorHAnsi"/>
          <w:color w:val="000000"/>
        </w:rPr>
      </w:pPr>
      <w:r>
        <w:rPr>
          <w:rFonts w:asciiTheme="minorHAnsi" w:hAnsiTheme="minorHAnsi" w:cstheme="minorHAnsi"/>
          <w:color w:val="000000"/>
        </w:rPr>
        <w:t>ii.</w:t>
      </w:r>
      <w:r>
        <w:rPr>
          <w:rFonts w:asciiTheme="minorHAnsi" w:hAnsiTheme="minorHAnsi" w:cstheme="minorHAnsi"/>
          <w:color w:val="000000"/>
        </w:rPr>
        <w:tab/>
      </w:r>
      <w:r w:rsidR="009A27E4" w:rsidRPr="0049430A">
        <w:rPr>
          <w:rFonts w:asciiTheme="minorHAnsi" w:hAnsiTheme="minorHAnsi" w:cstheme="minorHAnsi"/>
          <w:color w:val="000000"/>
        </w:rPr>
        <w:t>A guide to r</w:t>
      </w:r>
      <w:r w:rsidR="00084187" w:rsidRPr="0049430A">
        <w:rPr>
          <w:rFonts w:asciiTheme="minorHAnsi" w:hAnsiTheme="minorHAnsi" w:cstheme="minorHAnsi"/>
          <w:color w:val="000000"/>
        </w:rPr>
        <w:t xml:space="preserve">oles </w:t>
      </w:r>
      <w:r w:rsidR="009A27E4" w:rsidRPr="0049430A">
        <w:rPr>
          <w:rFonts w:asciiTheme="minorHAnsi" w:hAnsiTheme="minorHAnsi" w:cstheme="minorHAnsi"/>
          <w:color w:val="000000"/>
        </w:rPr>
        <w:t xml:space="preserve">and </w:t>
      </w:r>
      <w:r w:rsidR="00084187" w:rsidRPr="0049430A">
        <w:rPr>
          <w:rFonts w:asciiTheme="minorHAnsi" w:hAnsiTheme="minorHAnsi" w:cstheme="minorHAnsi"/>
          <w:color w:val="000000"/>
        </w:rPr>
        <w:t xml:space="preserve">responsibilities for CEPA </w:t>
      </w:r>
      <w:r w:rsidR="009A27E4" w:rsidRPr="0049430A">
        <w:rPr>
          <w:rFonts w:asciiTheme="minorHAnsi" w:hAnsiTheme="minorHAnsi" w:cstheme="minorHAnsi"/>
          <w:color w:val="000000"/>
        </w:rPr>
        <w:t>Focal P</w:t>
      </w:r>
      <w:r w:rsidR="00084187" w:rsidRPr="0049430A">
        <w:rPr>
          <w:rFonts w:asciiTheme="minorHAnsi" w:hAnsiTheme="minorHAnsi" w:cstheme="minorHAnsi"/>
          <w:color w:val="000000"/>
        </w:rPr>
        <w:t xml:space="preserve">oints – The Secretariat in consultation with the Oversight Panel </w:t>
      </w:r>
      <w:r w:rsidR="009A27E4" w:rsidRPr="0049430A">
        <w:rPr>
          <w:rFonts w:asciiTheme="minorHAnsi" w:hAnsiTheme="minorHAnsi" w:cstheme="minorHAnsi"/>
          <w:color w:val="000000"/>
        </w:rPr>
        <w:t xml:space="preserve">will </w:t>
      </w:r>
      <w:r w:rsidR="00084187" w:rsidRPr="0049430A">
        <w:rPr>
          <w:rFonts w:asciiTheme="minorHAnsi" w:hAnsiTheme="minorHAnsi" w:cstheme="minorHAnsi"/>
          <w:color w:val="000000"/>
        </w:rPr>
        <w:t>produce a</w:t>
      </w:r>
      <w:r w:rsidR="00BF0F36" w:rsidRPr="0049430A">
        <w:rPr>
          <w:rFonts w:asciiTheme="minorHAnsi" w:hAnsiTheme="minorHAnsi" w:cstheme="minorHAnsi"/>
          <w:color w:val="000000"/>
        </w:rPr>
        <w:t xml:space="preserve"> digital b</w:t>
      </w:r>
      <w:r w:rsidR="00084187" w:rsidRPr="0049430A">
        <w:rPr>
          <w:rFonts w:asciiTheme="minorHAnsi" w:hAnsiTheme="minorHAnsi" w:cstheme="minorHAnsi"/>
          <w:color w:val="000000"/>
        </w:rPr>
        <w:t xml:space="preserve">rochure on the roles and responsibilities of CEPA Government and NGO Focal Points. </w:t>
      </w:r>
    </w:p>
    <w:p w14:paraId="399C770E" w14:textId="77777777" w:rsidR="0049430A" w:rsidRPr="0049430A" w:rsidRDefault="0049430A" w:rsidP="0049430A">
      <w:pPr>
        <w:ind w:left="426" w:hanging="426"/>
        <w:rPr>
          <w:rFonts w:asciiTheme="minorHAnsi" w:hAnsiTheme="minorHAnsi" w:cstheme="minorHAnsi"/>
          <w:color w:val="000000"/>
        </w:rPr>
      </w:pPr>
    </w:p>
    <w:p w14:paraId="09BD830E" w14:textId="0EA9681A" w:rsidR="008362A1" w:rsidRDefault="0049430A" w:rsidP="0049430A">
      <w:pPr>
        <w:ind w:left="426" w:hanging="426"/>
        <w:rPr>
          <w:rFonts w:asciiTheme="minorHAnsi" w:hAnsiTheme="minorHAnsi" w:cstheme="minorHAnsi"/>
          <w:color w:val="000000"/>
        </w:rPr>
      </w:pPr>
      <w:r>
        <w:rPr>
          <w:rFonts w:asciiTheme="minorHAnsi" w:hAnsiTheme="minorHAnsi" w:cstheme="minorHAnsi"/>
          <w:color w:val="000000"/>
        </w:rPr>
        <w:t>iii.</w:t>
      </w:r>
      <w:r>
        <w:rPr>
          <w:rFonts w:asciiTheme="minorHAnsi" w:hAnsiTheme="minorHAnsi" w:cstheme="minorHAnsi"/>
          <w:color w:val="000000"/>
        </w:rPr>
        <w:tab/>
      </w:r>
      <w:r w:rsidR="008362A1" w:rsidRPr="0049430A">
        <w:rPr>
          <w:rFonts w:asciiTheme="minorHAnsi" w:hAnsiTheme="minorHAnsi" w:cstheme="minorHAnsi"/>
          <w:color w:val="000000"/>
        </w:rPr>
        <w:t xml:space="preserve">Updated CEPA guidance – </w:t>
      </w:r>
      <w:r w:rsidR="00BF0F36" w:rsidRPr="0049430A">
        <w:rPr>
          <w:rFonts w:asciiTheme="minorHAnsi" w:hAnsiTheme="minorHAnsi" w:cstheme="minorHAnsi"/>
          <w:color w:val="000000"/>
        </w:rPr>
        <w:t xml:space="preserve">The Secretariat </w:t>
      </w:r>
      <w:r w:rsidR="0090704D" w:rsidRPr="0049430A">
        <w:rPr>
          <w:rFonts w:asciiTheme="minorHAnsi" w:hAnsiTheme="minorHAnsi" w:cstheme="minorHAnsi"/>
          <w:color w:val="000000"/>
        </w:rPr>
        <w:t xml:space="preserve">utilizing CEPA core budget funding </w:t>
      </w:r>
      <w:r w:rsidR="00BF0F36" w:rsidRPr="0049430A">
        <w:rPr>
          <w:rFonts w:asciiTheme="minorHAnsi" w:hAnsiTheme="minorHAnsi" w:cstheme="minorHAnsi"/>
          <w:color w:val="000000"/>
        </w:rPr>
        <w:t>to d</w:t>
      </w:r>
      <w:r w:rsidR="008362A1" w:rsidRPr="0049430A">
        <w:rPr>
          <w:rFonts w:asciiTheme="minorHAnsi" w:hAnsiTheme="minorHAnsi" w:cstheme="minorHAnsi"/>
          <w:color w:val="000000"/>
        </w:rPr>
        <w:t>evelop guidance</w:t>
      </w:r>
      <w:r w:rsidR="00D442AA" w:rsidRPr="0049430A">
        <w:rPr>
          <w:rFonts w:asciiTheme="minorHAnsi" w:hAnsiTheme="minorHAnsi" w:cstheme="minorHAnsi"/>
          <w:color w:val="000000"/>
        </w:rPr>
        <w:t xml:space="preserve"> for CEPA Focal Points</w:t>
      </w:r>
      <w:r w:rsidR="008362A1" w:rsidRPr="0049430A">
        <w:rPr>
          <w:rFonts w:asciiTheme="minorHAnsi" w:hAnsiTheme="minorHAnsi" w:cstheme="minorHAnsi"/>
          <w:color w:val="000000"/>
        </w:rPr>
        <w:t xml:space="preserve"> to replace the outdated 2010 Handbook on Wetland CEPA</w:t>
      </w:r>
      <w:r w:rsidR="009A27E4" w:rsidRPr="0049430A">
        <w:rPr>
          <w:rFonts w:asciiTheme="minorHAnsi" w:hAnsiTheme="minorHAnsi" w:cstheme="minorHAnsi"/>
          <w:color w:val="000000"/>
        </w:rPr>
        <w:t>.</w:t>
      </w:r>
    </w:p>
    <w:p w14:paraId="140B7382" w14:textId="77777777" w:rsidR="0049430A" w:rsidRPr="0049430A" w:rsidRDefault="0049430A" w:rsidP="0049430A">
      <w:pPr>
        <w:ind w:left="426" w:hanging="426"/>
        <w:rPr>
          <w:rFonts w:asciiTheme="minorHAnsi" w:hAnsiTheme="minorHAnsi" w:cstheme="minorHAnsi"/>
          <w:color w:val="000000"/>
        </w:rPr>
      </w:pPr>
    </w:p>
    <w:p w14:paraId="4659770B" w14:textId="0E35DB13" w:rsidR="00343F52" w:rsidRDefault="0049430A" w:rsidP="0049430A">
      <w:pPr>
        <w:ind w:left="426" w:hanging="426"/>
        <w:rPr>
          <w:rFonts w:asciiTheme="minorHAnsi" w:hAnsiTheme="minorHAnsi" w:cstheme="minorHAnsi"/>
          <w:color w:val="000000"/>
        </w:rPr>
      </w:pPr>
      <w:r>
        <w:rPr>
          <w:rFonts w:asciiTheme="minorHAnsi" w:hAnsiTheme="minorHAnsi" w:cstheme="minorHAnsi"/>
          <w:color w:val="000000"/>
        </w:rPr>
        <w:t>iv.</w:t>
      </w:r>
      <w:r>
        <w:rPr>
          <w:rFonts w:asciiTheme="minorHAnsi" w:hAnsiTheme="minorHAnsi" w:cstheme="minorHAnsi"/>
          <w:color w:val="000000"/>
        </w:rPr>
        <w:tab/>
      </w:r>
      <w:r w:rsidR="00D915F2" w:rsidRPr="0049430A">
        <w:rPr>
          <w:rFonts w:asciiTheme="minorHAnsi" w:hAnsiTheme="minorHAnsi" w:cstheme="minorHAnsi"/>
          <w:color w:val="000000"/>
        </w:rPr>
        <w:t xml:space="preserve">Training and information sharing for </w:t>
      </w:r>
      <w:r w:rsidR="009A27E4" w:rsidRPr="0049430A">
        <w:rPr>
          <w:rFonts w:asciiTheme="minorHAnsi" w:hAnsiTheme="minorHAnsi" w:cstheme="minorHAnsi"/>
          <w:color w:val="000000"/>
        </w:rPr>
        <w:t>G</w:t>
      </w:r>
      <w:r w:rsidR="00D915F2" w:rsidRPr="0049430A">
        <w:rPr>
          <w:rFonts w:asciiTheme="minorHAnsi" w:hAnsiTheme="minorHAnsi" w:cstheme="minorHAnsi"/>
          <w:color w:val="000000"/>
        </w:rPr>
        <w:t xml:space="preserve">overnment CEPA </w:t>
      </w:r>
      <w:r w:rsidR="00D442AA" w:rsidRPr="0049430A">
        <w:rPr>
          <w:rFonts w:asciiTheme="minorHAnsi" w:hAnsiTheme="minorHAnsi" w:cstheme="minorHAnsi"/>
          <w:color w:val="000000"/>
        </w:rPr>
        <w:t>F</w:t>
      </w:r>
      <w:r w:rsidR="00D915F2" w:rsidRPr="0049430A">
        <w:rPr>
          <w:rFonts w:asciiTheme="minorHAnsi" w:hAnsiTheme="minorHAnsi" w:cstheme="minorHAnsi"/>
          <w:color w:val="000000"/>
        </w:rPr>
        <w:t xml:space="preserve">ocal </w:t>
      </w:r>
      <w:r w:rsidR="00D442AA" w:rsidRPr="0049430A">
        <w:rPr>
          <w:rFonts w:asciiTheme="minorHAnsi" w:hAnsiTheme="minorHAnsi" w:cstheme="minorHAnsi"/>
          <w:color w:val="000000"/>
        </w:rPr>
        <w:t>P</w:t>
      </w:r>
      <w:r w:rsidR="00D915F2" w:rsidRPr="0049430A">
        <w:rPr>
          <w:rFonts w:asciiTheme="minorHAnsi" w:hAnsiTheme="minorHAnsi" w:cstheme="minorHAnsi"/>
          <w:color w:val="000000"/>
        </w:rPr>
        <w:t>oints</w:t>
      </w:r>
      <w:r w:rsidR="00084187" w:rsidRPr="0049430A">
        <w:rPr>
          <w:rFonts w:asciiTheme="minorHAnsi" w:hAnsiTheme="minorHAnsi" w:cstheme="minorHAnsi"/>
          <w:color w:val="000000"/>
        </w:rPr>
        <w:t xml:space="preserve"> – </w:t>
      </w:r>
      <w:r w:rsidR="009A27E4" w:rsidRPr="0049430A">
        <w:rPr>
          <w:rFonts w:asciiTheme="minorHAnsi" w:hAnsiTheme="minorHAnsi" w:cstheme="minorHAnsi"/>
          <w:color w:val="000000"/>
        </w:rPr>
        <w:t>T</w:t>
      </w:r>
      <w:r w:rsidR="00084187" w:rsidRPr="0049430A">
        <w:rPr>
          <w:rFonts w:asciiTheme="minorHAnsi" w:hAnsiTheme="minorHAnsi" w:cstheme="minorHAnsi"/>
          <w:color w:val="000000"/>
        </w:rPr>
        <w:t xml:space="preserve">he Secretariat in collaboration with the Oversight Panel </w:t>
      </w:r>
      <w:r w:rsidR="007E4714" w:rsidRPr="0049430A">
        <w:rPr>
          <w:rFonts w:asciiTheme="minorHAnsi" w:hAnsiTheme="minorHAnsi" w:cstheme="minorHAnsi"/>
          <w:color w:val="000000"/>
        </w:rPr>
        <w:t xml:space="preserve">will </w:t>
      </w:r>
      <w:r w:rsidR="00084187" w:rsidRPr="0049430A">
        <w:rPr>
          <w:rFonts w:asciiTheme="minorHAnsi" w:hAnsiTheme="minorHAnsi" w:cstheme="minorHAnsi"/>
          <w:color w:val="000000"/>
        </w:rPr>
        <w:t xml:space="preserve">prepare a training webinar for Government and NGO Focal Points. The webinar will be delivered in the official languages of the Convention with a recording </w:t>
      </w:r>
      <w:r w:rsidR="0058500E" w:rsidRPr="0049430A">
        <w:rPr>
          <w:rFonts w:asciiTheme="minorHAnsi" w:hAnsiTheme="minorHAnsi" w:cstheme="minorHAnsi"/>
          <w:color w:val="000000"/>
        </w:rPr>
        <w:t xml:space="preserve">of the webinar </w:t>
      </w:r>
      <w:r w:rsidR="00084187" w:rsidRPr="0049430A">
        <w:rPr>
          <w:rFonts w:asciiTheme="minorHAnsi" w:hAnsiTheme="minorHAnsi" w:cstheme="minorHAnsi"/>
          <w:color w:val="000000"/>
        </w:rPr>
        <w:t xml:space="preserve">available on the </w:t>
      </w:r>
      <w:r w:rsidR="0058500E" w:rsidRPr="0049430A">
        <w:rPr>
          <w:rFonts w:asciiTheme="minorHAnsi" w:hAnsiTheme="minorHAnsi" w:cstheme="minorHAnsi"/>
          <w:color w:val="000000"/>
        </w:rPr>
        <w:t xml:space="preserve">CEPA </w:t>
      </w:r>
      <w:r w:rsidR="009A27E4" w:rsidRPr="0049430A">
        <w:rPr>
          <w:rFonts w:asciiTheme="minorHAnsi" w:hAnsiTheme="minorHAnsi" w:cstheme="minorHAnsi"/>
          <w:color w:val="000000"/>
        </w:rPr>
        <w:t>section of the Convention website</w:t>
      </w:r>
      <w:r w:rsidR="00084187" w:rsidRPr="0049430A">
        <w:rPr>
          <w:rFonts w:asciiTheme="minorHAnsi" w:hAnsiTheme="minorHAnsi" w:cstheme="minorHAnsi"/>
          <w:color w:val="000000"/>
        </w:rPr>
        <w:t xml:space="preserve">.  </w:t>
      </w:r>
    </w:p>
    <w:p w14:paraId="43221C6D" w14:textId="77777777" w:rsidR="0049430A" w:rsidRPr="0049430A" w:rsidRDefault="0049430A" w:rsidP="0049430A">
      <w:pPr>
        <w:ind w:left="426" w:hanging="426"/>
        <w:rPr>
          <w:rFonts w:asciiTheme="minorHAnsi" w:hAnsiTheme="minorHAnsi" w:cstheme="minorHAnsi"/>
          <w:color w:val="000000"/>
        </w:rPr>
      </w:pPr>
    </w:p>
    <w:p w14:paraId="7138BB5B" w14:textId="42E070B0" w:rsidR="00D915F2" w:rsidRDefault="0049430A" w:rsidP="0049430A">
      <w:pPr>
        <w:ind w:left="426" w:hanging="426"/>
        <w:rPr>
          <w:rFonts w:asciiTheme="minorHAnsi" w:hAnsiTheme="minorHAnsi" w:cstheme="minorHAnsi"/>
          <w:color w:val="000000"/>
        </w:rPr>
      </w:pPr>
      <w:r>
        <w:rPr>
          <w:rFonts w:asciiTheme="minorHAnsi" w:hAnsiTheme="minorHAnsi" w:cstheme="minorHAnsi"/>
          <w:color w:val="000000"/>
        </w:rPr>
        <w:t>v.</w:t>
      </w:r>
      <w:r>
        <w:rPr>
          <w:rFonts w:asciiTheme="minorHAnsi" w:hAnsiTheme="minorHAnsi" w:cstheme="minorHAnsi"/>
          <w:color w:val="000000"/>
        </w:rPr>
        <w:tab/>
      </w:r>
      <w:r w:rsidR="00D915F2" w:rsidRPr="0049430A">
        <w:rPr>
          <w:rFonts w:asciiTheme="minorHAnsi" w:hAnsiTheme="minorHAnsi" w:cstheme="minorHAnsi"/>
          <w:color w:val="000000"/>
        </w:rPr>
        <w:t xml:space="preserve">Integration of CEPA into the Strategic Plan of the Convention </w:t>
      </w:r>
      <w:r w:rsidR="009C27AF" w:rsidRPr="0049430A">
        <w:rPr>
          <w:rFonts w:asciiTheme="minorHAnsi" w:hAnsiTheme="minorHAnsi" w:cstheme="minorHAnsi"/>
          <w:color w:val="000000"/>
        </w:rPr>
        <w:t>–</w:t>
      </w:r>
      <w:r w:rsidR="00084187" w:rsidRPr="0049430A">
        <w:rPr>
          <w:rFonts w:asciiTheme="minorHAnsi" w:hAnsiTheme="minorHAnsi" w:cstheme="minorHAnsi"/>
          <w:color w:val="000000"/>
        </w:rPr>
        <w:t xml:space="preserve"> </w:t>
      </w:r>
      <w:r w:rsidR="009C27AF" w:rsidRPr="0049430A">
        <w:rPr>
          <w:rFonts w:asciiTheme="minorHAnsi" w:hAnsiTheme="minorHAnsi" w:cstheme="minorHAnsi"/>
          <w:color w:val="000000"/>
        </w:rPr>
        <w:t xml:space="preserve">It is recommended that </w:t>
      </w:r>
      <w:r w:rsidR="009A27E4" w:rsidRPr="0049430A">
        <w:rPr>
          <w:rFonts w:asciiTheme="minorHAnsi" w:hAnsiTheme="minorHAnsi" w:cstheme="minorHAnsi"/>
          <w:color w:val="000000"/>
        </w:rPr>
        <w:t xml:space="preserve">the </w:t>
      </w:r>
      <w:r w:rsidR="009C27AF" w:rsidRPr="0049430A">
        <w:rPr>
          <w:rFonts w:asciiTheme="minorHAnsi" w:hAnsiTheme="minorHAnsi" w:cstheme="minorHAnsi"/>
          <w:color w:val="000000"/>
        </w:rPr>
        <w:t xml:space="preserve">Chair or </w:t>
      </w:r>
      <w:r w:rsidR="007835AE" w:rsidRPr="0049430A">
        <w:rPr>
          <w:rFonts w:asciiTheme="minorHAnsi" w:hAnsiTheme="minorHAnsi" w:cstheme="minorHAnsi"/>
          <w:color w:val="000000"/>
        </w:rPr>
        <w:t>Vice-Chair</w:t>
      </w:r>
      <w:r w:rsidR="009C27AF" w:rsidRPr="0049430A">
        <w:rPr>
          <w:rFonts w:asciiTheme="minorHAnsi" w:hAnsiTheme="minorHAnsi" w:cstheme="minorHAnsi"/>
          <w:color w:val="000000"/>
        </w:rPr>
        <w:t xml:space="preserve"> of the Oversight Panel participate as a member of the Strategic Plan Working Group to facilitate integration of CEPA into the new Strategic Plan and its targets and indicators.</w:t>
      </w:r>
    </w:p>
    <w:p w14:paraId="374FDF4A" w14:textId="77777777" w:rsidR="0049430A" w:rsidRPr="0049430A" w:rsidRDefault="0049430A" w:rsidP="0049430A">
      <w:pPr>
        <w:ind w:left="426" w:hanging="426"/>
        <w:rPr>
          <w:rFonts w:asciiTheme="minorHAnsi" w:hAnsiTheme="minorHAnsi" w:cstheme="minorHAnsi"/>
          <w:color w:val="000000"/>
        </w:rPr>
      </w:pPr>
    </w:p>
    <w:p w14:paraId="745D85BC" w14:textId="77777777" w:rsidR="0049430A" w:rsidRDefault="0049430A" w:rsidP="0049430A">
      <w:pPr>
        <w:ind w:left="426" w:hanging="426"/>
        <w:rPr>
          <w:rFonts w:asciiTheme="minorHAnsi" w:hAnsiTheme="minorHAnsi" w:cstheme="minorHAnsi"/>
          <w:color w:val="000000"/>
        </w:rPr>
      </w:pPr>
      <w:r>
        <w:rPr>
          <w:rFonts w:asciiTheme="minorHAnsi" w:hAnsiTheme="minorHAnsi" w:cstheme="minorHAnsi"/>
          <w:color w:val="000000"/>
        </w:rPr>
        <w:t>vi.</w:t>
      </w:r>
      <w:r>
        <w:rPr>
          <w:rFonts w:asciiTheme="minorHAnsi" w:hAnsiTheme="minorHAnsi" w:cstheme="minorHAnsi"/>
          <w:color w:val="000000"/>
        </w:rPr>
        <w:tab/>
      </w:r>
      <w:r w:rsidR="00D915F2" w:rsidRPr="0049430A">
        <w:rPr>
          <w:rFonts w:asciiTheme="minorHAnsi" w:hAnsiTheme="minorHAnsi" w:cstheme="minorHAnsi"/>
          <w:color w:val="000000"/>
        </w:rPr>
        <w:t xml:space="preserve">Reporting on select CEPA activities and achievements </w:t>
      </w:r>
      <w:r w:rsidR="009A27E4" w:rsidRPr="0049430A">
        <w:rPr>
          <w:rFonts w:asciiTheme="minorHAnsi" w:hAnsiTheme="minorHAnsi" w:cstheme="minorHAnsi"/>
          <w:color w:val="000000"/>
        </w:rPr>
        <w:t xml:space="preserve">identified </w:t>
      </w:r>
      <w:r w:rsidR="00D915F2" w:rsidRPr="0049430A">
        <w:rPr>
          <w:rFonts w:asciiTheme="minorHAnsi" w:hAnsiTheme="minorHAnsi" w:cstheme="minorHAnsi"/>
          <w:color w:val="000000"/>
        </w:rPr>
        <w:t>in</w:t>
      </w:r>
      <w:r w:rsidR="009A27E4" w:rsidRPr="0049430A">
        <w:rPr>
          <w:rFonts w:asciiTheme="minorHAnsi" w:hAnsiTheme="minorHAnsi" w:cstheme="minorHAnsi"/>
          <w:color w:val="000000"/>
        </w:rPr>
        <w:t xml:space="preserve"> the</w:t>
      </w:r>
      <w:r w:rsidR="00D915F2" w:rsidRPr="0049430A">
        <w:rPr>
          <w:rFonts w:asciiTheme="minorHAnsi" w:hAnsiTheme="minorHAnsi" w:cstheme="minorHAnsi"/>
          <w:color w:val="000000"/>
        </w:rPr>
        <w:t xml:space="preserve"> National Report</w:t>
      </w:r>
      <w:r w:rsidR="009A27E4" w:rsidRPr="0049430A">
        <w:rPr>
          <w:rFonts w:asciiTheme="minorHAnsi" w:hAnsiTheme="minorHAnsi" w:cstheme="minorHAnsi"/>
          <w:color w:val="000000"/>
        </w:rPr>
        <w:t xml:space="preserve"> f</w:t>
      </w:r>
      <w:r w:rsidR="00D915F2" w:rsidRPr="0049430A">
        <w:rPr>
          <w:rFonts w:asciiTheme="minorHAnsi" w:hAnsiTheme="minorHAnsi" w:cstheme="minorHAnsi"/>
          <w:color w:val="000000"/>
        </w:rPr>
        <w:t xml:space="preserve">orm </w:t>
      </w:r>
      <w:r w:rsidR="0058500E" w:rsidRPr="0049430A">
        <w:rPr>
          <w:rFonts w:asciiTheme="minorHAnsi" w:hAnsiTheme="minorHAnsi" w:cstheme="minorHAnsi"/>
          <w:color w:val="000000"/>
        </w:rPr>
        <w:t>–</w:t>
      </w:r>
      <w:r w:rsidR="009C27AF" w:rsidRPr="0049430A">
        <w:rPr>
          <w:rFonts w:asciiTheme="minorHAnsi" w:hAnsiTheme="minorHAnsi" w:cstheme="minorHAnsi"/>
          <w:color w:val="000000"/>
        </w:rPr>
        <w:t xml:space="preserve"> </w:t>
      </w:r>
      <w:r w:rsidR="0058500E" w:rsidRPr="0049430A">
        <w:rPr>
          <w:rFonts w:asciiTheme="minorHAnsi" w:hAnsiTheme="minorHAnsi" w:cstheme="minorHAnsi"/>
          <w:color w:val="000000"/>
        </w:rPr>
        <w:t xml:space="preserve">Inclusion in the new National Report </w:t>
      </w:r>
      <w:r w:rsidR="009A27E4" w:rsidRPr="0049430A">
        <w:rPr>
          <w:rFonts w:asciiTheme="minorHAnsi" w:hAnsiTheme="minorHAnsi" w:cstheme="minorHAnsi"/>
          <w:color w:val="000000"/>
        </w:rPr>
        <w:t>f</w:t>
      </w:r>
      <w:r w:rsidR="0058500E" w:rsidRPr="0049430A">
        <w:rPr>
          <w:rFonts w:asciiTheme="minorHAnsi" w:hAnsiTheme="minorHAnsi" w:cstheme="minorHAnsi"/>
          <w:color w:val="000000"/>
        </w:rPr>
        <w:t xml:space="preserve">orm to be developed following the adoption </w:t>
      </w:r>
      <w:r w:rsidR="009A27E4" w:rsidRPr="0049430A">
        <w:rPr>
          <w:rFonts w:asciiTheme="minorHAnsi" w:hAnsiTheme="minorHAnsi" w:cstheme="minorHAnsi"/>
          <w:color w:val="000000"/>
        </w:rPr>
        <w:t xml:space="preserve">in </w:t>
      </w:r>
      <w:r w:rsidR="0058500E" w:rsidRPr="0049430A">
        <w:rPr>
          <w:rFonts w:asciiTheme="minorHAnsi" w:hAnsiTheme="minorHAnsi" w:cstheme="minorHAnsi"/>
          <w:color w:val="000000"/>
        </w:rPr>
        <w:t xml:space="preserve">the </w:t>
      </w:r>
      <w:r w:rsidR="00AB76AB" w:rsidRPr="0049430A">
        <w:rPr>
          <w:rFonts w:asciiTheme="minorHAnsi" w:hAnsiTheme="minorHAnsi" w:cstheme="minorHAnsi"/>
          <w:color w:val="000000"/>
        </w:rPr>
        <w:t xml:space="preserve">Fifth </w:t>
      </w:r>
      <w:r w:rsidR="0058500E" w:rsidRPr="0049430A">
        <w:rPr>
          <w:rFonts w:asciiTheme="minorHAnsi" w:hAnsiTheme="minorHAnsi" w:cstheme="minorHAnsi"/>
          <w:color w:val="000000"/>
        </w:rPr>
        <w:t xml:space="preserve">Strategic Plan of a set of indicators to monitor and evaluate CEPA implementation at the national level. </w:t>
      </w:r>
    </w:p>
    <w:p w14:paraId="28789483" w14:textId="4197B73D" w:rsidR="00D915F2" w:rsidRPr="0049430A" w:rsidRDefault="0058500E" w:rsidP="0049430A">
      <w:pPr>
        <w:ind w:left="426" w:hanging="426"/>
        <w:rPr>
          <w:rFonts w:asciiTheme="minorHAnsi" w:hAnsiTheme="minorHAnsi" w:cstheme="minorHAnsi"/>
          <w:color w:val="000000"/>
        </w:rPr>
      </w:pPr>
      <w:r w:rsidRPr="0049430A">
        <w:rPr>
          <w:rFonts w:asciiTheme="minorHAnsi" w:hAnsiTheme="minorHAnsi" w:cstheme="minorHAnsi"/>
          <w:color w:val="000000"/>
        </w:rPr>
        <w:t xml:space="preserve"> </w:t>
      </w:r>
    </w:p>
    <w:p w14:paraId="02A5DA02" w14:textId="087BAB28" w:rsidR="00EC673C" w:rsidRPr="0049430A" w:rsidRDefault="0049430A" w:rsidP="0049430A">
      <w:pPr>
        <w:ind w:left="426" w:hanging="426"/>
        <w:rPr>
          <w:rFonts w:asciiTheme="minorHAnsi" w:hAnsiTheme="minorHAnsi" w:cstheme="minorHAnsi"/>
          <w:color w:val="000000"/>
        </w:rPr>
      </w:pPr>
      <w:r>
        <w:rPr>
          <w:rFonts w:asciiTheme="minorHAnsi" w:hAnsiTheme="minorHAnsi" w:cstheme="minorHAnsi"/>
          <w:color w:val="000000"/>
        </w:rPr>
        <w:t>vii.</w:t>
      </w:r>
      <w:r>
        <w:rPr>
          <w:rFonts w:asciiTheme="minorHAnsi" w:hAnsiTheme="minorHAnsi" w:cstheme="minorHAnsi"/>
          <w:color w:val="000000"/>
        </w:rPr>
        <w:tab/>
      </w:r>
      <w:r w:rsidR="0090704D" w:rsidRPr="0049430A">
        <w:rPr>
          <w:rFonts w:asciiTheme="minorHAnsi" w:hAnsiTheme="minorHAnsi" w:cstheme="minorHAnsi"/>
          <w:color w:val="000000"/>
        </w:rPr>
        <w:t>List</w:t>
      </w:r>
      <w:r w:rsidR="00D915F2" w:rsidRPr="0049430A">
        <w:rPr>
          <w:rFonts w:asciiTheme="minorHAnsi" w:hAnsiTheme="minorHAnsi" w:cstheme="minorHAnsi"/>
          <w:color w:val="000000"/>
        </w:rPr>
        <w:t xml:space="preserve"> of Convention resources that support CEPA implementation </w:t>
      </w:r>
      <w:r w:rsidR="009C27AF" w:rsidRPr="0049430A">
        <w:rPr>
          <w:rFonts w:asciiTheme="minorHAnsi" w:hAnsiTheme="minorHAnsi" w:cstheme="minorHAnsi"/>
          <w:color w:val="000000"/>
        </w:rPr>
        <w:t xml:space="preserve">– </w:t>
      </w:r>
      <w:r w:rsidR="0090704D">
        <w:t xml:space="preserve">Compile and publish in the CEPA section of the website a list of links to </w:t>
      </w:r>
      <w:r w:rsidR="0090704D" w:rsidRPr="0049430A">
        <w:rPr>
          <w:rFonts w:asciiTheme="minorHAnsi" w:hAnsiTheme="minorHAnsi" w:cstheme="minorHAnsi"/>
          <w:color w:val="000000"/>
        </w:rPr>
        <w:t>resources that support implementation of CEPA</w:t>
      </w:r>
      <w:r w:rsidR="0054343B">
        <w:rPr>
          <w:rFonts w:asciiTheme="minorHAnsi" w:hAnsiTheme="minorHAnsi" w:cstheme="minorHAnsi"/>
          <w:color w:val="000000"/>
        </w:rPr>
        <w:t>.</w:t>
      </w:r>
    </w:p>
    <w:sectPr w:rsidR="00EC673C" w:rsidRPr="0049430A" w:rsidSect="002137E0">
      <w:headerReference w:type="even"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E9AE" w14:textId="77777777" w:rsidR="00FB3B91" w:rsidRDefault="00FB3B91" w:rsidP="00DF2386">
      <w:r>
        <w:separator/>
      </w:r>
    </w:p>
  </w:endnote>
  <w:endnote w:type="continuationSeparator" w:id="0">
    <w:p w14:paraId="10BBB786" w14:textId="77777777" w:rsidR="00FB3B91" w:rsidRDefault="00FB3B91" w:rsidP="00DF2386">
      <w:r>
        <w:continuationSeparator/>
      </w:r>
    </w:p>
  </w:endnote>
  <w:endnote w:type="continuationNotice" w:id="1">
    <w:p w14:paraId="17039D61" w14:textId="77777777" w:rsidR="00FB3B91" w:rsidRDefault="00FB3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6963" w14:textId="77777777" w:rsidR="00D915F2" w:rsidRDefault="00D915F2" w:rsidP="002137E0">
    <w:pPr>
      <w:pStyle w:val="Header"/>
      <w:rPr>
        <w:noProof/>
      </w:rPr>
    </w:pPr>
    <w:r w:rsidRPr="00533848">
      <w:rPr>
        <w:sz w:val="20"/>
        <w:szCs w:val="20"/>
      </w:rPr>
      <w:t>SC</w:t>
    </w:r>
    <w:r>
      <w:rPr>
        <w:sz w:val="20"/>
        <w:szCs w:val="20"/>
      </w:rPr>
      <w:t>63 Doc.17.2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9</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CD29" w14:textId="77777777" w:rsidR="00FB3B91" w:rsidRDefault="00FB3B91" w:rsidP="00DF2386">
      <w:r>
        <w:separator/>
      </w:r>
    </w:p>
  </w:footnote>
  <w:footnote w:type="continuationSeparator" w:id="0">
    <w:p w14:paraId="2719B874" w14:textId="77777777" w:rsidR="00FB3B91" w:rsidRDefault="00FB3B91" w:rsidP="00DF2386">
      <w:r>
        <w:continuationSeparator/>
      </w:r>
    </w:p>
  </w:footnote>
  <w:footnote w:type="continuationNotice" w:id="1">
    <w:p w14:paraId="676FB315" w14:textId="77777777" w:rsidR="00FB3B91" w:rsidRDefault="00FB3B91"/>
  </w:footnote>
  <w:footnote w:id="2">
    <w:p w14:paraId="0F07CD5F" w14:textId="22C3E63C" w:rsidR="001E4F25" w:rsidRDefault="001E4F25" w:rsidP="001E4F25">
      <w:pPr>
        <w:pStyle w:val="FootnoteText"/>
        <w:ind w:left="0" w:firstLine="0"/>
      </w:pPr>
      <w:r>
        <w:rPr>
          <w:rStyle w:val="FootnoteReference"/>
        </w:rPr>
        <w:footnoteRef/>
      </w:r>
      <w:r>
        <w:t xml:space="preserve"> See </w:t>
      </w:r>
      <w:hyperlink r:id="rId1" w:history="1">
        <w:r w:rsidRPr="00EA19EC">
          <w:rPr>
            <w:rStyle w:val="Hyperlink"/>
          </w:rPr>
          <w:t>https://www.ramsar.org/document/cop13-doc10-report-implementation-cepa-programme-2016-2018-and-recommendations-future</w:t>
        </w:r>
      </w:hyperlink>
      <w:r>
        <w:t>.</w:t>
      </w:r>
    </w:p>
  </w:footnote>
  <w:footnote w:id="3">
    <w:p w14:paraId="6D6D0DCD" w14:textId="055750EE" w:rsidR="003F6B0A" w:rsidRDefault="003F6B0A" w:rsidP="003F6B0A">
      <w:pPr>
        <w:pStyle w:val="FootnoteText"/>
      </w:pPr>
      <w:r>
        <w:rPr>
          <w:rStyle w:val="FootnoteReference"/>
        </w:rPr>
        <w:footnoteRef/>
      </w:r>
      <w:r>
        <w:t xml:space="preserve"> See </w:t>
      </w:r>
      <w:hyperlink r:id="rId2" w:history="1">
        <w:r w:rsidRPr="00EA19EC">
          <w:rPr>
            <w:rStyle w:val="Hyperlink"/>
          </w:rPr>
          <w:t>https://www.ramsar.org/document/resolution-xiv8-new-cepa-approach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9ACA" w14:textId="77777777" w:rsidR="00D915F2" w:rsidRDefault="0001510E">
    <w:pPr>
      <w:pStyle w:val="Header"/>
    </w:pPr>
    <w:r>
      <w:rPr>
        <w:noProof/>
      </w:rPr>
      <w:pict w14:anchorId="07AD9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533C15"/>
    <w:multiLevelType w:val="hybridMultilevel"/>
    <w:tmpl w:val="63DC85C4"/>
    <w:lvl w:ilvl="0" w:tplc="08090019">
      <w:start w:val="1"/>
      <w:numFmt w:val="lowerLetter"/>
      <w:lvlText w:val="%1."/>
      <w:lvlJc w:val="left"/>
      <w:pPr>
        <w:ind w:left="785" w:hanging="360"/>
      </w:pPr>
    </w:lvl>
    <w:lvl w:ilvl="1" w:tplc="0E449272">
      <w:start w:val="1"/>
      <w:numFmt w:val="lowerRoman"/>
      <w:lvlText w:val="%2."/>
      <w:lvlJc w:val="left"/>
      <w:pPr>
        <w:ind w:left="1505" w:hanging="36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60083"/>
    <w:multiLevelType w:val="hybridMultilevel"/>
    <w:tmpl w:val="A950EE9A"/>
    <w:lvl w:ilvl="0" w:tplc="5F4663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EB5"/>
    <w:multiLevelType w:val="hybridMultilevel"/>
    <w:tmpl w:val="7818A1DE"/>
    <w:lvl w:ilvl="0" w:tplc="08090019">
      <w:start w:val="1"/>
      <w:numFmt w:val="lowerLetter"/>
      <w:lvlText w:val="%1."/>
      <w:lvlJc w:val="left"/>
      <w:pPr>
        <w:ind w:left="785" w:hanging="360"/>
      </w:pPr>
    </w:lvl>
    <w:lvl w:ilvl="1" w:tplc="D686566C">
      <w:start w:val="1"/>
      <w:numFmt w:val="lowerLetter"/>
      <w:lvlText w:val="%2."/>
      <w:lvlJc w:val="left"/>
      <w:pPr>
        <w:ind w:left="1505" w:hanging="36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CE5601D"/>
    <w:multiLevelType w:val="hybridMultilevel"/>
    <w:tmpl w:val="EB501FC2"/>
    <w:lvl w:ilvl="0" w:tplc="0E449272">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27B17"/>
    <w:multiLevelType w:val="hybridMultilevel"/>
    <w:tmpl w:val="2D081B08"/>
    <w:lvl w:ilvl="0" w:tplc="0809001B">
      <w:start w:val="1"/>
      <w:numFmt w:val="lowerRoman"/>
      <w:lvlText w:val="%1."/>
      <w:lvlJc w:val="righ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900B8"/>
    <w:multiLevelType w:val="hybridMultilevel"/>
    <w:tmpl w:val="7E7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50516"/>
    <w:multiLevelType w:val="hybridMultilevel"/>
    <w:tmpl w:val="148C9FF4"/>
    <w:lvl w:ilvl="0" w:tplc="0809001B">
      <w:start w:val="1"/>
      <w:numFmt w:val="lowerRoman"/>
      <w:lvlText w:val="%1."/>
      <w:lvlJc w:val="righ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1B5672"/>
    <w:multiLevelType w:val="hybridMultilevel"/>
    <w:tmpl w:val="0062E7A6"/>
    <w:lvl w:ilvl="0" w:tplc="ED26739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2"/>
  </w:num>
  <w:num w:numId="5">
    <w:abstractNumId w:val="5"/>
  </w:num>
  <w:num w:numId="6">
    <w:abstractNumId w:val="1"/>
  </w:num>
  <w:num w:numId="7">
    <w:abstractNumId w:val="8"/>
  </w:num>
  <w:num w:numId="8">
    <w:abstractNumId w:val="0"/>
  </w:num>
  <w:num w:numId="9">
    <w:abstractNumId w:val="10"/>
  </w:num>
  <w:num w:numId="10">
    <w:abstractNumId w:val="3"/>
  </w:num>
  <w:num w:numId="11">
    <w:abstractNumId w:val="13"/>
  </w:num>
  <w:num w:numId="12">
    <w:abstractNumId w:val="9"/>
  </w:num>
  <w:num w:numId="13">
    <w:abstractNumId w:val="4"/>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4564"/>
    <w:rsid w:val="0000603F"/>
    <w:rsid w:val="00014168"/>
    <w:rsid w:val="000142B6"/>
    <w:rsid w:val="0001510E"/>
    <w:rsid w:val="00017A16"/>
    <w:rsid w:val="00020F65"/>
    <w:rsid w:val="000217EF"/>
    <w:rsid w:val="00023125"/>
    <w:rsid w:val="00026E09"/>
    <w:rsid w:val="0003169F"/>
    <w:rsid w:val="00037CE0"/>
    <w:rsid w:val="00042981"/>
    <w:rsid w:val="0004527D"/>
    <w:rsid w:val="00050158"/>
    <w:rsid w:val="00053929"/>
    <w:rsid w:val="00054FB5"/>
    <w:rsid w:val="000710E1"/>
    <w:rsid w:val="0007175F"/>
    <w:rsid w:val="00074DE8"/>
    <w:rsid w:val="00084187"/>
    <w:rsid w:val="00090C81"/>
    <w:rsid w:val="00093844"/>
    <w:rsid w:val="00093A30"/>
    <w:rsid w:val="00096787"/>
    <w:rsid w:val="000A1C29"/>
    <w:rsid w:val="000A3E3E"/>
    <w:rsid w:val="000C2489"/>
    <w:rsid w:val="000C2BE5"/>
    <w:rsid w:val="000D5C76"/>
    <w:rsid w:val="000E2FA0"/>
    <w:rsid w:val="000E44D4"/>
    <w:rsid w:val="000E47E9"/>
    <w:rsid w:val="0010271F"/>
    <w:rsid w:val="00107C49"/>
    <w:rsid w:val="00116E09"/>
    <w:rsid w:val="0012096C"/>
    <w:rsid w:val="001251CA"/>
    <w:rsid w:val="00127828"/>
    <w:rsid w:val="00146012"/>
    <w:rsid w:val="001460FE"/>
    <w:rsid w:val="0014749C"/>
    <w:rsid w:val="001554FE"/>
    <w:rsid w:val="00161BDA"/>
    <w:rsid w:val="00162642"/>
    <w:rsid w:val="00170C33"/>
    <w:rsid w:val="00171618"/>
    <w:rsid w:val="001819B1"/>
    <w:rsid w:val="00184775"/>
    <w:rsid w:val="0019225B"/>
    <w:rsid w:val="00193FE4"/>
    <w:rsid w:val="00196532"/>
    <w:rsid w:val="001A05BE"/>
    <w:rsid w:val="001A123E"/>
    <w:rsid w:val="001A2D10"/>
    <w:rsid w:val="001A44B6"/>
    <w:rsid w:val="001A5E83"/>
    <w:rsid w:val="001A795F"/>
    <w:rsid w:val="001B64DE"/>
    <w:rsid w:val="001C5E41"/>
    <w:rsid w:val="001C77BC"/>
    <w:rsid w:val="001C7BC9"/>
    <w:rsid w:val="001D0052"/>
    <w:rsid w:val="001D48BB"/>
    <w:rsid w:val="001D4BF8"/>
    <w:rsid w:val="001D5ACC"/>
    <w:rsid w:val="001D6486"/>
    <w:rsid w:val="001E00E3"/>
    <w:rsid w:val="001E2E28"/>
    <w:rsid w:val="001E4F25"/>
    <w:rsid w:val="001E70A5"/>
    <w:rsid w:val="001F2349"/>
    <w:rsid w:val="002005D2"/>
    <w:rsid w:val="0020298B"/>
    <w:rsid w:val="002050C8"/>
    <w:rsid w:val="00205D7F"/>
    <w:rsid w:val="00206111"/>
    <w:rsid w:val="002137E0"/>
    <w:rsid w:val="002167B9"/>
    <w:rsid w:val="00221A6D"/>
    <w:rsid w:val="00221AC5"/>
    <w:rsid w:val="00225738"/>
    <w:rsid w:val="002279E3"/>
    <w:rsid w:val="0023393D"/>
    <w:rsid w:val="00234C53"/>
    <w:rsid w:val="0023536F"/>
    <w:rsid w:val="00255EB3"/>
    <w:rsid w:val="002741AC"/>
    <w:rsid w:val="00274FE5"/>
    <w:rsid w:val="00275F13"/>
    <w:rsid w:val="00276205"/>
    <w:rsid w:val="00277716"/>
    <w:rsid w:val="002819C0"/>
    <w:rsid w:val="002825B1"/>
    <w:rsid w:val="0028594D"/>
    <w:rsid w:val="00295556"/>
    <w:rsid w:val="00295BB5"/>
    <w:rsid w:val="002A4F73"/>
    <w:rsid w:val="002A5A4D"/>
    <w:rsid w:val="002B27CF"/>
    <w:rsid w:val="002B4262"/>
    <w:rsid w:val="002B6B21"/>
    <w:rsid w:val="002C274B"/>
    <w:rsid w:val="002C31C7"/>
    <w:rsid w:val="002D5A4D"/>
    <w:rsid w:val="002E0026"/>
    <w:rsid w:val="002E22AF"/>
    <w:rsid w:val="002F4E3F"/>
    <w:rsid w:val="002F6155"/>
    <w:rsid w:val="002F739F"/>
    <w:rsid w:val="00303113"/>
    <w:rsid w:val="00304865"/>
    <w:rsid w:val="00307215"/>
    <w:rsid w:val="00313561"/>
    <w:rsid w:val="003137A5"/>
    <w:rsid w:val="00313EAE"/>
    <w:rsid w:val="003209B0"/>
    <w:rsid w:val="00324398"/>
    <w:rsid w:val="00324F5F"/>
    <w:rsid w:val="0032782D"/>
    <w:rsid w:val="00330AF6"/>
    <w:rsid w:val="00343AF3"/>
    <w:rsid w:val="00343F52"/>
    <w:rsid w:val="0036636E"/>
    <w:rsid w:val="003678B2"/>
    <w:rsid w:val="00370C3C"/>
    <w:rsid w:val="00372E1B"/>
    <w:rsid w:val="003737D2"/>
    <w:rsid w:val="003742F2"/>
    <w:rsid w:val="003743F7"/>
    <w:rsid w:val="00376C19"/>
    <w:rsid w:val="00384FC3"/>
    <w:rsid w:val="003A3804"/>
    <w:rsid w:val="003A525D"/>
    <w:rsid w:val="003A52BE"/>
    <w:rsid w:val="003A5866"/>
    <w:rsid w:val="003A6E9F"/>
    <w:rsid w:val="003B4355"/>
    <w:rsid w:val="003B62F9"/>
    <w:rsid w:val="003C2D9F"/>
    <w:rsid w:val="003D3ECE"/>
    <w:rsid w:val="003D4CD6"/>
    <w:rsid w:val="003E656F"/>
    <w:rsid w:val="003F6B0A"/>
    <w:rsid w:val="00411D84"/>
    <w:rsid w:val="00415131"/>
    <w:rsid w:val="00420882"/>
    <w:rsid w:val="004228C7"/>
    <w:rsid w:val="004269AE"/>
    <w:rsid w:val="0042798B"/>
    <w:rsid w:val="0043294E"/>
    <w:rsid w:val="00434913"/>
    <w:rsid w:val="0044217A"/>
    <w:rsid w:val="004433B6"/>
    <w:rsid w:val="004474F8"/>
    <w:rsid w:val="004541BC"/>
    <w:rsid w:val="00477550"/>
    <w:rsid w:val="0047785E"/>
    <w:rsid w:val="00483903"/>
    <w:rsid w:val="004844A8"/>
    <w:rsid w:val="00490E47"/>
    <w:rsid w:val="00491089"/>
    <w:rsid w:val="004921A9"/>
    <w:rsid w:val="00493991"/>
    <w:rsid w:val="0049430A"/>
    <w:rsid w:val="00496803"/>
    <w:rsid w:val="004A2A09"/>
    <w:rsid w:val="004B6688"/>
    <w:rsid w:val="004B6C84"/>
    <w:rsid w:val="004B71D7"/>
    <w:rsid w:val="004C3718"/>
    <w:rsid w:val="004D1CCA"/>
    <w:rsid w:val="004D62AB"/>
    <w:rsid w:val="004D633A"/>
    <w:rsid w:val="004E172A"/>
    <w:rsid w:val="004E7FE1"/>
    <w:rsid w:val="004F23A6"/>
    <w:rsid w:val="004F376E"/>
    <w:rsid w:val="00502DCA"/>
    <w:rsid w:val="00506DC3"/>
    <w:rsid w:val="005209BF"/>
    <w:rsid w:val="005244A4"/>
    <w:rsid w:val="00527783"/>
    <w:rsid w:val="0053230D"/>
    <w:rsid w:val="00533848"/>
    <w:rsid w:val="0054343B"/>
    <w:rsid w:val="00551ABC"/>
    <w:rsid w:val="0057308E"/>
    <w:rsid w:val="005814B5"/>
    <w:rsid w:val="005824BD"/>
    <w:rsid w:val="00583B27"/>
    <w:rsid w:val="0058500E"/>
    <w:rsid w:val="00590E51"/>
    <w:rsid w:val="00592F6E"/>
    <w:rsid w:val="0059787B"/>
    <w:rsid w:val="00597B79"/>
    <w:rsid w:val="005A746A"/>
    <w:rsid w:val="005A7C2F"/>
    <w:rsid w:val="005C13B9"/>
    <w:rsid w:val="005C2079"/>
    <w:rsid w:val="005C67DF"/>
    <w:rsid w:val="005D18C3"/>
    <w:rsid w:val="005D262B"/>
    <w:rsid w:val="005D3E9D"/>
    <w:rsid w:val="005D559B"/>
    <w:rsid w:val="005D6030"/>
    <w:rsid w:val="005D725E"/>
    <w:rsid w:val="005D7A68"/>
    <w:rsid w:val="005D7AD1"/>
    <w:rsid w:val="005E7C7A"/>
    <w:rsid w:val="005F0B47"/>
    <w:rsid w:val="005F2A8B"/>
    <w:rsid w:val="005F4543"/>
    <w:rsid w:val="005F5BA5"/>
    <w:rsid w:val="006020B8"/>
    <w:rsid w:val="00610B09"/>
    <w:rsid w:val="00615F8C"/>
    <w:rsid w:val="006164EF"/>
    <w:rsid w:val="00621F90"/>
    <w:rsid w:val="00624A4C"/>
    <w:rsid w:val="006256D3"/>
    <w:rsid w:val="00627BB7"/>
    <w:rsid w:val="00631441"/>
    <w:rsid w:val="00635B36"/>
    <w:rsid w:val="00644A13"/>
    <w:rsid w:val="0065136E"/>
    <w:rsid w:val="006562C1"/>
    <w:rsid w:val="006624BF"/>
    <w:rsid w:val="00667549"/>
    <w:rsid w:val="00670C49"/>
    <w:rsid w:val="00670D71"/>
    <w:rsid w:val="00691305"/>
    <w:rsid w:val="00696775"/>
    <w:rsid w:val="006A1B0C"/>
    <w:rsid w:val="006A2401"/>
    <w:rsid w:val="006B36AC"/>
    <w:rsid w:val="006D1093"/>
    <w:rsid w:val="006D21DE"/>
    <w:rsid w:val="006D7318"/>
    <w:rsid w:val="006E7528"/>
    <w:rsid w:val="006E7DCE"/>
    <w:rsid w:val="006F0FD6"/>
    <w:rsid w:val="006F44D4"/>
    <w:rsid w:val="006F4BFB"/>
    <w:rsid w:val="00703B4D"/>
    <w:rsid w:val="007050B9"/>
    <w:rsid w:val="007050FF"/>
    <w:rsid w:val="00707493"/>
    <w:rsid w:val="00725BE7"/>
    <w:rsid w:val="00731276"/>
    <w:rsid w:val="00737C66"/>
    <w:rsid w:val="00752764"/>
    <w:rsid w:val="00754DB3"/>
    <w:rsid w:val="007637F8"/>
    <w:rsid w:val="00764452"/>
    <w:rsid w:val="00765652"/>
    <w:rsid w:val="00766962"/>
    <w:rsid w:val="00766BA8"/>
    <w:rsid w:val="00767BA9"/>
    <w:rsid w:val="00770FFD"/>
    <w:rsid w:val="00771677"/>
    <w:rsid w:val="00772753"/>
    <w:rsid w:val="00772BED"/>
    <w:rsid w:val="00775287"/>
    <w:rsid w:val="007753D3"/>
    <w:rsid w:val="00776FFB"/>
    <w:rsid w:val="007774F2"/>
    <w:rsid w:val="007810BB"/>
    <w:rsid w:val="007835AE"/>
    <w:rsid w:val="007844C4"/>
    <w:rsid w:val="00791692"/>
    <w:rsid w:val="00794652"/>
    <w:rsid w:val="00794E45"/>
    <w:rsid w:val="0079693F"/>
    <w:rsid w:val="007A1C92"/>
    <w:rsid w:val="007A5107"/>
    <w:rsid w:val="007B41D1"/>
    <w:rsid w:val="007D2BB6"/>
    <w:rsid w:val="007D33F4"/>
    <w:rsid w:val="007E136A"/>
    <w:rsid w:val="007E4714"/>
    <w:rsid w:val="007F3ABE"/>
    <w:rsid w:val="007F5813"/>
    <w:rsid w:val="00806797"/>
    <w:rsid w:val="00807057"/>
    <w:rsid w:val="00807DCF"/>
    <w:rsid w:val="00821433"/>
    <w:rsid w:val="00821A70"/>
    <w:rsid w:val="00822D08"/>
    <w:rsid w:val="008312CB"/>
    <w:rsid w:val="008328E9"/>
    <w:rsid w:val="00835BCB"/>
    <w:rsid w:val="00835CDC"/>
    <w:rsid w:val="008362A1"/>
    <w:rsid w:val="0083768D"/>
    <w:rsid w:val="00850B09"/>
    <w:rsid w:val="008562F1"/>
    <w:rsid w:val="008563F6"/>
    <w:rsid w:val="00863B9D"/>
    <w:rsid w:val="00863BE6"/>
    <w:rsid w:val="00873205"/>
    <w:rsid w:val="008733A1"/>
    <w:rsid w:val="008752D1"/>
    <w:rsid w:val="008775BB"/>
    <w:rsid w:val="008775BC"/>
    <w:rsid w:val="00882F1B"/>
    <w:rsid w:val="008836F4"/>
    <w:rsid w:val="00886E53"/>
    <w:rsid w:val="008A6505"/>
    <w:rsid w:val="008A70CE"/>
    <w:rsid w:val="008C0651"/>
    <w:rsid w:val="008C25E4"/>
    <w:rsid w:val="008C2DAE"/>
    <w:rsid w:val="008D0A75"/>
    <w:rsid w:val="008D12FA"/>
    <w:rsid w:val="008E054F"/>
    <w:rsid w:val="008E1456"/>
    <w:rsid w:val="008E16E3"/>
    <w:rsid w:val="008E28FF"/>
    <w:rsid w:val="008E4F79"/>
    <w:rsid w:val="008F377A"/>
    <w:rsid w:val="009059A9"/>
    <w:rsid w:val="00906705"/>
    <w:rsid w:val="00906B79"/>
    <w:rsid w:val="0090704D"/>
    <w:rsid w:val="00910FBD"/>
    <w:rsid w:val="0092149A"/>
    <w:rsid w:val="009215F7"/>
    <w:rsid w:val="0092515E"/>
    <w:rsid w:val="009342B4"/>
    <w:rsid w:val="009344D2"/>
    <w:rsid w:val="00941AA9"/>
    <w:rsid w:val="00942FBD"/>
    <w:rsid w:val="00944B04"/>
    <w:rsid w:val="0094770B"/>
    <w:rsid w:val="00956CCB"/>
    <w:rsid w:val="00960D15"/>
    <w:rsid w:val="00964154"/>
    <w:rsid w:val="00967BF0"/>
    <w:rsid w:val="00967C7C"/>
    <w:rsid w:val="009744DA"/>
    <w:rsid w:val="00976BFC"/>
    <w:rsid w:val="00977079"/>
    <w:rsid w:val="00993D54"/>
    <w:rsid w:val="009A27E4"/>
    <w:rsid w:val="009B16A3"/>
    <w:rsid w:val="009B2267"/>
    <w:rsid w:val="009B2288"/>
    <w:rsid w:val="009B7B70"/>
    <w:rsid w:val="009C0ABF"/>
    <w:rsid w:val="009C19BE"/>
    <w:rsid w:val="009C27AF"/>
    <w:rsid w:val="009C302C"/>
    <w:rsid w:val="009C5199"/>
    <w:rsid w:val="009D3DAF"/>
    <w:rsid w:val="009E0AE8"/>
    <w:rsid w:val="009E5374"/>
    <w:rsid w:val="009E7368"/>
    <w:rsid w:val="009F345D"/>
    <w:rsid w:val="009F6A76"/>
    <w:rsid w:val="009F7540"/>
    <w:rsid w:val="00A00C84"/>
    <w:rsid w:val="00A01EA6"/>
    <w:rsid w:val="00A02529"/>
    <w:rsid w:val="00A13218"/>
    <w:rsid w:val="00A20D3D"/>
    <w:rsid w:val="00A227A3"/>
    <w:rsid w:val="00A25E54"/>
    <w:rsid w:val="00A36200"/>
    <w:rsid w:val="00A5033C"/>
    <w:rsid w:val="00A51797"/>
    <w:rsid w:val="00A534EB"/>
    <w:rsid w:val="00A53A55"/>
    <w:rsid w:val="00A54D5B"/>
    <w:rsid w:val="00A60B73"/>
    <w:rsid w:val="00A706F0"/>
    <w:rsid w:val="00A777FF"/>
    <w:rsid w:val="00A80080"/>
    <w:rsid w:val="00A954C8"/>
    <w:rsid w:val="00A9552A"/>
    <w:rsid w:val="00A972E1"/>
    <w:rsid w:val="00AA3F7B"/>
    <w:rsid w:val="00AB4951"/>
    <w:rsid w:val="00AB6E08"/>
    <w:rsid w:val="00AB76AB"/>
    <w:rsid w:val="00AC61DA"/>
    <w:rsid w:val="00AD1091"/>
    <w:rsid w:val="00AE63F1"/>
    <w:rsid w:val="00AF4241"/>
    <w:rsid w:val="00AF424E"/>
    <w:rsid w:val="00AF4E5A"/>
    <w:rsid w:val="00B21744"/>
    <w:rsid w:val="00B23512"/>
    <w:rsid w:val="00B27FFC"/>
    <w:rsid w:val="00B315A0"/>
    <w:rsid w:val="00B34A18"/>
    <w:rsid w:val="00B42194"/>
    <w:rsid w:val="00B468CE"/>
    <w:rsid w:val="00B52B7F"/>
    <w:rsid w:val="00B5347D"/>
    <w:rsid w:val="00B5599F"/>
    <w:rsid w:val="00B579CB"/>
    <w:rsid w:val="00B626CD"/>
    <w:rsid w:val="00B70083"/>
    <w:rsid w:val="00B76C9A"/>
    <w:rsid w:val="00B827B6"/>
    <w:rsid w:val="00B83C2C"/>
    <w:rsid w:val="00B83EF9"/>
    <w:rsid w:val="00B851DC"/>
    <w:rsid w:val="00B928A3"/>
    <w:rsid w:val="00B94B55"/>
    <w:rsid w:val="00B95C2F"/>
    <w:rsid w:val="00B96479"/>
    <w:rsid w:val="00BA58DF"/>
    <w:rsid w:val="00BB23DD"/>
    <w:rsid w:val="00BB28F6"/>
    <w:rsid w:val="00BB564F"/>
    <w:rsid w:val="00BC0C3C"/>
    <w:rsid w:val="00BC2609"/>
    <w:rsid w:val="00BC7C4F"/>
    <w:rsid w:val="00BE1461"/>
    <w:rsid w:val="00BF0F36"/>
    <w:rsid w:val="00BF4697"/>
    <w:rsid w:val="00C0528F"/>
    <w:rsid w:val="00C0708D"/>
    <w:rsid w:val="00C13145"/>
    <w:rsid w:val="00C24992"/>
    <w:rsid w:val="00C31E16"/>
    <w:rsid w:val="00C63612"/>
    <w:rsid w:val="00C90BC1"/>
    <w:rsid w:val="00C965CD"/>
    <w:rsid w:val="00CA050D"/>
    <w:rsid w:val="00CA6757"/>
    <w:rsid w:val="00CA7E43"/>
    <w:rsid w:val="00CB74C2"/>
    <w:rsid w:val="00CC64BC"/>
    <w:rsid w:val="00CD05B5"/>
    <w:rsid w:val="00CE09D9"/>
    <w:rsid w:val="00CE750F"/>
    <w:rsid w:val="00CF23EE"/>
    <w:rsid w:val="00D0209C"/>
    <w:rsid w:val="00D10FF1"/>
    <w:rsid w:val="00D15243"/>
    <w:rsid w:val="00D160CB"/>
    <w:rsid w:val="00D245A1"/>
    <w:rsid w:val="00D276DF"/>
    <w:rsid w:val="00D331E2"/>
    <w:rsid w:val="00D375D7"/>
    <w:rsid w:val="00D415E2"/>
    <w:rsid w:val="00D42055"/>
    <w:rsid w:val="00D424FA"/>
    <w:rsid w:val="00D43113"/>
    <w:rsid w:val="00D442AA"/>
    <w:rsid w:val="00D4485D"/>
    <w:rsid w:val="00D4692D"/>
    <w:rsid w:val="00D470CF"/>
    <w:rsid w:val="00D47E02"/>
    <w:rsid w:val="00D52BBC"/>
    <w:rsid w:val="00D647C3"/>
    <w:rsid w:val="00D64F7B"/>
    <w:rsid w:val="00D851EF"/>
    <w:rsid w:val="00D915F2"/>
    <w:rsid w:val="00D9633A"/>
    <w:rsid w:val="00DA0EA2"/>
    <w:rsid w:val="00DA3C64"/>
    <w:rsid w:val="00DA565B"/>
    <w:rsid w:val="00DB3BE3"/>
    <w:rsid w:val="00DB54AC"/>
    <w:rsid w:val="00DC7DC6"/>
    <w:rsid w:val="00DE4EC9"/>
    <w:rsid w:val="00DE5579"/>
    <w:rsid w:val="00DF2386"/>
    <w:rsid w:val="00DF400A"/>
    <w:rsid w:val="00DF5550"/>
    <w:rsid w:val="00DF7FE7"/>
    <w:rsid w:val="00E21E46"/>
    <w:rsid w:val="00E36AC6"/>
    <w:rsid w:val="00E437CB"/>
    <w:rsid w:val="00E46367"/>
    <w:rsid w:val="00E5205F"/>
    <w:rsid w:val="00E558AF"/>
    <w:rsid w:val="00E63F0B"/>
    <w:rsid w:val="00E65A4C"/>
    <w:rsid w:val="00E73EE3"/>
    <w:rsid w:val="00E93AD1"/>
    <w:rsid w:val="00EA02DA"/>
    <w:rsid w:val="00EA2797"/>
    <w:rsid w:val="00EA3A7F"/>
    <w:rsid w:val="00EA3DBC"/>
    <w:rsid w:val="00EC673C"/>
    <w:rsid w:val="00ED2263"/>
    <w:rsid w:val="00EE0E86"/>
    <w:rsid w:val="00EF3827"/>
    <w:rsid w:val="00EF6C5F"/>
    <w:rsid w:val="00F078F1"/>
    <w:rsid w:val="00F163B4"/>
    <w:rsid w:val="00F32D03"/>
    <w:rsid w:val="00F344DE"/>
    <w:rsid w:val="00F37A4C"/>
    <w:rsid w:val="00F42C01"/>
    <w:rsid w:val="00F44ADA"/>
    <w:rsid w:val="00F56F30"/>
    <w:rsid w:val="00F6004D"/>
    <w:rsid w:val="00F711D3"/>
    <w:rsid w:val="00F73E71"/>
    <w:rsid w:val="00F82FB9"/>
    <w:rsid w:val="00F9333B"/>
    <w:rsid w:val="00FA409D"/>
    <w:rsid w:val="00FA50B5"/>
    <w:rsid w:val="00FA7A28"/>
    <w:rsid w:val="00FB14FC"/>
    <w:rsid w:val="00FB3B91"/>
    <w:rsid w:val="00FC17BF"/>
    <w:rsid w:val="00FD70AF"/>
    <w:rsid w:val="00FD76BF"/>
    <w:rsid w:val="00FD7EC9"/>
    <w:rsid w:val="00FF159E"/>
    <w:rsid w:val="00FF2952"/>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7302606"/>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UnresolvedMention">
    <w:name w:val="Unresolved Mention"/>
    <w:basedOn w:val="DefaultParagraphFont"/>
    <w:uiPriority w:val="99"/>
    <w:semiHidden/>
    <w:unhideWhenUsed/>
    <w:rsid w:val="001E4F25"/>
    <w:rPr>
      <w:color w:val="605E5C"/>
      <w:shd w:val="clear" w:color="auto" w:fill="E1DFDD"/>
    </w:rPr>
  </w:style>
  <w:style w:type="character" w:styleId="FollowedHyperlink">
    <w:name w:val="FollowedHyperlink"/>
    <w:basedOn w:val="DefaultParagraphFont"/>
    <w:uiPriority w:val="99"/>
    <w:semiHidden/>
    <w:unhideWhenUsed/>
    <w:rsid w:val="00783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current-standing-committee-2023-2025-memb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resolution-xiv8-new-cepa-approach" TargetMode="External"/><Relationship Id="rId1" Type="http://schemas.openxmlformats.org/officeDocument/2006/relationships/hyperlink" Target="https://www.ramsar.org/document/cop13-doc10-report-implementation-cepa-programme-2016-2018-and-recommendations-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7493-E3C0-4B88-A5E1-FEFB6738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043B-DECA-4653-B311-04E5D5B770BF}">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aedd258d-19a7-41ba-8260-b0918f25313d"/>
    <ds:schemaRef ds:uri="http://purl.org/dc/terms/"/>
    <ds:schemaRef ds:uri="8c0b6b05-eb82-4bda-97e8-cd82d0d6b45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4.xml><?xml version="1.0" encoding="utf-8"?>
<ds:datastoreItem xmlns:ds="http://schemas.openxmlformats.org/officeDocument/2006/customXml" ds:itemID="{1828C730-072C-4EFC-88AE-C6D7B17E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2272</Words>
  <Characters>12955</Characters>
  <Application>Microsoft Office Word</Application>
  <DocSecurity>0</DocSecurity>
  <Lines>107</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Ramsar CEPA OP-SC58-draft paper-comments</vt:lpstr>
      <vt:lpstr>Ramsar CEPA OP-SC58-draft paper-comments</vt:lpstr>
    </vt:vector>
  </TitlesOfParts>
  <Company>IUCN</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7</cp:revision>
  <cp:lastPrinted>2020-03-25T13:43:00Z</cp:lastPrinted>
  <dcterms:created xsi:type="dcterms:W3CDTF">2024-02-08T14:57:00Z</dcterms:created>
  <dcterms:modified xsi:type="dcterms:W3CDTF">2024-05-14T11:36:00Z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