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B3C6" w14:textId="56EC14EA" w:rsidR="001C5B02" w:rsidRPr="00F539F1" w:rsidRDefault="00F539F1" w:rsidP="001C5B0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noProof/>
          <w:sz w:val="22"/>
          <w:szCs w:val="22"/>
          <w:lang w:val="es-ES"/>
        </w:rPr>
      </w:pPr>
      <w:r w:rsidRPr="00F539F1">
        <w:rPr>
          <w:rFonts w:cstheme="minorHAnsi"/>
          <w:bCs/>
          <w:noProof/>
          <w:sz w:val="22"/>
          <w:szCs w:val="22"/>
          <w:lang w:val="es-ES"/>
        </w:rPr>
        <w:t>LA CONVENCIÓN SOBRE LOS HUMEDALES</w:t>
      </w:r>
    </w:p>
    <w:p w14:paraId="5AC29070" w14:textId="10625622" w:rsidR="001C5B02" w:rsidRPr="00F539F1" w:rsidRDefault="00F539F1" w:rsidP="001C5B0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noProof/>
          <w:sz w:val="22"/>
          <w:szCs w:val="22"/>
          <w:lang w:val="es-ES"/>
        </w:rPr>
      </w:pPr>
      <w:r w:rsidRPr="00F539F1">
        <w:rPr>
          <w:rFonts w:cstheme="minorHAnsi"/>
          <w:bCs/>
          <w:noProof/>
          <w:sz w:val="22"/>
          <w:szCs w:val="22"/>
          <w:lang w:val="es-ES"/>
        </w:rPr>
        <w:t>63</w:t>
      </w:r>
      <w:r w:rsidR="008A180F" w:rsidRPr="000E27A7">
        <w:rPr>
          <w:rFonts w:eastAsia="Times New Roman" w:cstheme="minorHAnsi"/>
          <w:noProof/>
          <w:sz w:val="22"/>
          <w:szCs w:val="22"/>
          <w:lang w:val="es-ES" w:eastAsia="fr-CA"/>
        </w:rPr>
        <w:t>ª</w:t>
      </w:r>
      <w:r w:rsidRPr="00F539F1">
        <w:rPr>
          <w:rFonts w:cstheme="minorHAnsi"/>
          <w:bCs/>
          <w:noProof/>
          <w:sz w:val="22"/>
          <w:szCs w:val="22"/>
          <w:lang w:val="es-ES"/>
        </w:rPr>
        <w:t xml:space="preserve"> reunión del Comité Permanente</w:t>
      </w:r>
    </w:p>
    <w:p w14:paraId="752C0CE6" w14:textId="37CBE0EB" w:rsidR="001C5B02" w:rsidRPr="00F539F1" w:rsidRDefault="001C5B02" w:rsidP="001C5B0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cstheme="minorHAnsi"/>
          <w:bCs/>
          <w:noProof/>
          <w:sz w:val="22"/>
          <w:szCs w:val="22"/>
          <w:lang w:val="es-ES"/>
        </w:rPr>
      </w:pPr>
      <w:r w:rsidRPr="00F539F1">
        <w:rPr>
          <w:rFonts w:cstheme="minorHAnsi"/>
          <w:bCs/>
          <w:noProof/>
          <w:sz w:val="22"/>
          <w:szCs w:val="22"/>
          <w:lang w:val="es-ES"/>
        </w:rPr>
        <w:t xml:space="preserve">Gland, </w:t>
      </w:r>
      <w:r w:rsidR="00F539F1">
        <w:rPr>
          <w:rFonts w:cstheme="minorHAnsi"/>
          <w:bCs/>
          <w:noProof/>
          <w:sz w:val="22"/>
          <w:szCs w:val="22"/>
          <w:lang w:val="es-ES"/>
        </w:rPr>
        <w:t>Suiza</w:t>
      </w:r>
      <w:r w:rsidRPr="00F539F1">
        <w:rPr>
          <w:rFonts w:cstheme="minorHAnsi"/>
          <w:bCs/>
          <w:noProof/>
          <w:sz w:val="22"/>
          <w:szCs w:val="22"/>
          <w:lang w:val="es-ES"/>
        </w:rPr>
        <w:t xml:space="preserve">, </w:t>
      </w:r>
      <w:r w:rsidR="00F539F1">
        <w:rPr>
          <w:rFonts w:cstheme="minorHAnsi"/>
          <w:bCs/>
          <w:noProof/>
          <w:sz w:val="22"/>
          <w:szCs w:val="22"/>
          <w:lang w:val="es-ES"/>
        </w:rPr>
        <w:t>3 a 7 de junio de</w:t>
      </w:r>
      <w:r w:rsidRPr="00F539F1">
        <w:rPr>
          <w:rFonts w:cstheme="minorHAnsi"/>
          <w:bCs/>
          <w:noProof/>
          <w:sz w:val="22"/>
          <w:szCs w:val="22"/>
          <w:lang w:val="es-ES"/>
        </w:rPr>
        <w:t xml:space="preserve"> 2024</w:t>
      </w:r>
    </w:p>
    <w:p w14:paraId="35F7C931" w14:textId="77777777" w:rsidR="006C4071" w:rsidRPr="00F539F1" w:rsidRDefault="006C4071" w:rsidP="006C4071">
      <w:pPr>
        <w:tabs>
          <w:tab w:val="left" w:pos="8789"/>
        </w:tabs>
        <w:ind w:right="4490"/>
        <w:rPr>
          <w:noProof/>
          <w:sz w:val="28"/>
          <w:szCs w:val="28"/>
          <w:lang w:val="es-ES"/>
        </w:rPr>
      </w:pPr>
    </w:p>
    <w:p w14:paraId="7DEE3D88" w14:textId="4B9D9F43" w:rsidR="006C4071" w:rsidRPr="00F539F1" w:rsidRDefault="006C4071" w:rsidP="006C4071">
      <w:pPr>
        <w:jc w:val="right"/>
        <w:rPr>
          <w:rFonts w:cstheme="minorHAnsi"/>
          <w:b/>
          <w:noProof/>
          <w:sz w:val="28"/>
          <w:szCs w:val="28"/>
          <w:lang w:val="es-ES"/>
        </w:rPr>
      </w:pPr>
      <w:r w:rsidRPr="00F539F1">
        <w:rPr>
          <w:rFonts w:cstheme="minorHAnsi"/>
          <w:b/>
          <w:noProof/>
          <w:sz w:val="28"/>
          <w:szCs w:val="28"/>
          <w:lang w:val="es-ES"/>
        </w:rPr>
        <w:t>SC6</w:t>
      </w:r>
      <w:r w:rsidR="00BF7857">
        <w:rPr>
          <w:rFonts w:cstheme="minorHAnsi"/>
          <w:b/>
          <w:noProof/>
          <w:sz w:val="28"/>
          <w:szCs w:val="28"/>
          <w:lang w:val="es-ES"/>
        </w:rPr>
        <w:t>3</w:t>
      </w:r>
      <w:bookmarkStart w:id="0" w:name="_GoBack"/>
      <w:bookmarkEnd w:id="0"/>
      <w:r w:rsidRPr="00F539F1">
        <w:rPr>
          <w:rFonts w:cstheme="minorHAnsi"/>
          <w:b/>
          <w:noProof/>
          <w:sz w:val="28"/>
          <w:szCs w:val="28"/>
          <w:lang w:val="es-ES"/>
        </w:rPr>
        <w:t xml:space="preserve"> Doc.1</w:t>
      </w:r>
      <w:r w:rsidR="00884E62" w:rsidRPr="00F539F1">
        <w:rPr>
          <w:rFonts w:cstheme="minorHAnsi"/>
          <w:b/>
          <w:noProof/>
          <w:sz w:val="28"/>
          <w:szCs w:val="28"/>
          <w:lang w:val="es-ES"/>
        </w:rPr>
        <w:t>7.</w:t>
      </w:r>
      <w:r w:rsidRPr="00F539F1">
        <w:rPr>
          <w:rFonts w:cstheme="minorHAnsi"/>
          <w:b/>
          <w:noProof/>
          <w:sz w:val="28"/>
          <w:szCs w:val="28"/>
          <w:lang w:val="es-ES"/>
        </w:rPr>
        <w:t>1</w:t>
      </w:r>
    </w:p>
    <w:p w14:paraId="37BB775A" w14:textId="77777777" w:rsidR="006C4071" w:rsidRPr="00F539F1" w:rsidRDefault="006C4071" w:rsidP="006C4071">
      <w:pPr>
        <w:jc w:val="center"/>
        <w:rPr>
          <w:rFonts w:cstheme="minorHAnsi"/>
          <w:bCs/>
          <w:noProof/>
          <w:sz w:val="28"/>
          <w:szCs w:val="28"/>
          <w:lang w:val="es-ES"/>
        </w:rPr>
      </w:pPr>
    </w:p>
    <w:p w14:paraId="38D51C16" w14:textId="62290C0D" w:rsidR="00F539F1" w:rsidRDefault="00F539F1" w:rsidP="006C4071">
      <w:pPr>
        <w:jc w:val="center"/>
        <w:rPr>
          <w:rFonts w:cstheme="minorHAnsi"/>
          <w:b/>
          <w:bCs/>
          <w:noProof/>
          <w:sz w:val="28"/>
          <w:szCs w:val="28"/>
          <w:lang w:val="es-ES"/>
        </w:rPr>
      </w:pPr>
      <w:r w:rsidRPr="00F539F1">
        <w:rPr>
          <w:rFonts w:cstheme="minorHAnsi"/>
          <w:b/>
          <w:bCs/>
          <w:noProof/>
          <w:sz w:val="28"/>
          <w:szCs w:val="28"/>
          <w:lang w:val="es-ES"/>
        </w:rPr>
        <w:t xml:space="preserve">Comunicación, </w:t>
      </w:r>
      <w:r>
        <w:rPr>
          <w:rFonts w:cstheme="minorHAnsi"/>
          <w:b/>
          <w:bCs/>
          <w:noProof/>
          <w:sz w:val="28"/>
          <w:szCs w:val="28"/>
          <w:lang w:val="es-ES"/>
        </w:rPr>
        <w:t>e</w:t>
      </w:r>
      <w:r w:rsidRPr="00F539F1">
        <w:rPr>
          <w:rFonts w:cstheme="minorHAnsi"/>
          <w:b/>
          <w:bCs/>
          <w:noProof/>
          <w:sz w:val="28"/>
          <w:szCs w:val="28"/>
          <w:lang w:val="es-ES"/>
        </w:rPr>
        <w:t xml:space="preserve">ducación, </w:t>
      </w:r>
      <w:r>
        <w:rPr>
          <w:rFonts w:cstheme="minorHAnsi"/>
          <w:b/>
          <w:bCs/>
          <w:noProof/>
          <w:sz w:val="28"/>
          <w:szCs w:val="28"/>
          <w:lang w:val="es-ES"/>
        </w:rPr>
        <w:t>c</w:t>
      </w:r>
      <w:r w:rsidRPr="00F539F1">
        <w:rPr>
          <w:rFonts w:cstheme="minorHAnsi"/>
          <w:b/>
          <w:bCs/>
          <w:noProof/>
          <w:sz w:val="28"/>
          <w:szCs w:val="28"/>
          <w:lang w:val="es-ES"/>
        </w:rPr>
        <w:t xml:space="preserve">oncienciación y </w:t>
      </w:r>
      <w:r>
        <w:rPr>
          <w:rFonts w:cstheme="minorHAnsi"/>
          <w:b/>
          <w:bCs/>
          <w:noProof/>
          <w:sz w:val="28"/>
          <w:szCs w:val="28"/>
          <w:lang w:val="es-ES"/>
        </w:rPr>
        <w:t>p</w:t>
      </w:r>
      <w:r w:rsidRPr="00F539F1">
        <w:rPr>
          <w:rFonts w:cstheme="minorHAnsi"/>
          <w:b/>
          <w:bCs/>
          <w:noProof/>
          <w:sz w:val="28"/>
          <w:szCs w:val="28"/>
          <w:lang w:val="es-ES"/>
        </w:rPr>
        <w:t>articipación</w:t>
      </w:r>
    </w:p>
    <w:p w14:paraId="2DDE95BB" w14:textId="1016E6B7" w:rsidR="006C4071" w:rsidRPr="00F539F1" w:rsidRDefault="006C4071" w:rsidP="006C4071">
      <w:pPr>
        <w:jc w:val="center"/>
        <w:rPr>
          <w:rFonts w:cstheme="minorHAnsi"/>
          <w:b/>
          <w:bCs/>
          <w:noProof/>
          <w:sz w:val="28"/>
          <w:szCs w:val="28"/>
          <w:lang w:val="es-ES"/>
        </w:rPr>
      </w:pPr>
      <w:r w:rsidRPr="00F539F1">
        <w:rPr>
          <w:rFonts w:cstheme="minorHAnsi"/>
          <w:b/>
          <w:bCs/>
          <w:noProof/>
          <w:sz w:val="28"/>
          <w:szCs w:val="28"/>
          <w:lang w:val="es-ES"/>
        </w:rPr>
        <w:t xml:space="preserve"> (CE</w:t>
      </w:r>
      <w:r w:rsidR="00F539F1">
        <w:rPr>
          <w:rFonts w:cstheme="minorHAnsi"/>
          <w:b/>
          <w:bCs/>
          <w:noProof/>
          <w:sz w:val="28"/>
          <w:szCs w:val="28"/>
          <w:lang w:val="es-ES"/>
        </w:rPr>
        <w:t>CoP</w:t>
      </w:r>
      <w:r w:rsidRPr="00F539F1">
        <w:rPr>
          <w:rFonts w:cstheme="minorHAnsi"/>
          <w:b/>
          <w:bCs/>
          <w:noProof/>
          <w:sz w:val="28"/>
          <w:szCs w:val="28"/>
          <w:lang w:val="es-ES"/>
        </w:rPr>
        <w:t>):</w:t>
      </w:r>
    </w:p>
    <w:p w14:paraId="4F22FF33" w14:textId="491CA2E7" w:rsidR="00CF5664" w:rsidRPr="00F539F1" w:rsidRDefault="00F539F1" w:rsidP="006C40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sz w:val="28"/>
          <w:szCs w:val="28"/>
          <w:lang w:val="es-ES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es-ES"/>
        </w:rPr>
        <w:t xml:space="preserve">Informe de la Presidencia del Grupo de supervisión de las actividades de CECoP </w:t>
      </w:r>
    </w:p>
    <w:p w14:paraId="0CA52052" w14:textId="77777777" w:rsidR="006C4071" w:rsidRPr="00F539F1" w:rsidRDefault="006C4071" w:rsidP="006C40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sz w:val="28"/>
          <w:szCs w:val="28"/>
          <w:lang w:val="es-ES"/>
        </w:rPr>
      </w:pPr>
    </w:p>
    <w:p w14:paraId="35D5A6A2" w14:textId="77777777" w:rsidR="002B57D1" w:rsidRPr="00F539F1" w:rsidRDefault="002B57D1" w:rsidP="006C407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sz w:val="2"/>
          <w:szCs w:val="2"/>
          <w:lang w:val="es-ES"/>
        </w:rPr>
      </w:pPr>
    </w:p>
    <w:p w14:paraId="60665B35" w14:textId="77777777" w:rsidR="006C4071" w:rsidRPr="00F539F1" w:rsidRDefault="001C5B02" w:rsidP="006C4071">
      <w:pPr>
        <w:rPr>
          <w:rFonts w:ascii="Calibri" w:eastAsia="Times New Roman" w:hAnsi="Calibri" w:cs="Calibri"/>
          <w:b/>
          <w:bCs/>
          <w:noProof/>
          <w:sz w:val="22"/>
          <w:szCs w:val="22"/>
          <w:lang w:val="es-ES" w:eastAsia="fr-CA"/>
        </w:rPr>
      </w:pPr>
      <w:r w:rsidRPr="00F539F1">
        <w:rPr>
          <w:noProof/>
          <w:lang w:val="es-ES" w:eastAsia="en-GB"/>
        </w:rPr>
        <mc:AlternateContent>
          <mc:Choice Requires="wps">
            <w:drawing>
              <wp:inline distT="0" distB="0" distL="0" distR="0" wp14:anchorId="18027CC3" wp14:editId="3D8B647D">
                <wp:extent cx="5731510" cy="1699146"/>
                <wp:effectExtent l="0" t="0" r="8890" b="158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9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6774" w14:textId="2BDADEB9" w:rsidR="001C5B02" w:rsidRPr="00F539F1" w:rsidRDefault="00B167A6" w:rsidP="001C5B02">
                            <w:pPr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 w:rsidRPr="00B167A6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>Acción solicitada</w:t>
                            </w:r>
                            <w:r w:rsidR="001C5B02" w:rsidRPr="00F539F1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 xml:space="preserve">: </w:t>
                            </w:r>
                          </w:p>
                          <w:p w14:paraId="3E51A16F" w14:textId="77777777" w:rsidR="001C5B02" w:rsidRPr="00F539F1" w:rsidRDefault="001C5B02" w:rsidP="001C5B02">
                            <w:pPr>
                              <w:pStyle w:val="ColorfulList-Accent11"/>
                              <w:ind w:left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0736FCBC" w14:textId="4F7CD9EF" w:rsidR="00F539F1" w:rsidRPr="00F539F1" w:rsidRDefault="00F539F1" w:rsidP="001C5B02">
                            <w:pPr>
                              <w:pStyle w:val="ColorfulList-Accent11"/>
                              <w:ind w:left="0" w:firstLine="0"/>
                              <w:rPr>
                                <w:noProof/>
                                <w:lang w:val="es-ES"/>
                              </w:rPr>
                            </w:pPr>
                            <w:r w:rsidRPr="00F539F1">
                              <w:rPr>
                                <w:noProof/>
                                <w:lang w:val="es-ES"/>
                              </w:rPr>
                              <w:t>Se invita al Comité Permanente a hacer lo siguiente:</w:t>
                            </w:r>
                          </w:p>
                          <w:p w14:paraId="28225B0A" w14:textId="77777777" w:rsidR="001C5B02" w:rsidRPr="00F539F1" w:rsidRDefault="001C5B02" w:rsidP="001C5B02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</w:p>
                          <w:p w14:paraId="0490FBA4" w14:textId="4C093882" w:rsidR="00F539F1" w:rsidRDefault="001C5B02" w:rsidP="001C5B02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  <w:r w:rsidRP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>i.</w:t>
                            </w:r>
                            <w:r w:rsidRP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ab/>
                            </w:r>
                            <w:r w:rsid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>tomar nota del presente informe de la Presidencia del Grupo de supervisión de las actividades de CECoP; y</w:t>
                            </w:r>
                          </w:p>
                          <w:p w14:paraId="558E5D4F" w14:textId="77777777" w:rsidR="001C5B02" w:rsidRPr="00F539F1" w:rsidRDefault="001C5B02" w:rsidP="001C5B02">
                            <w:pPr>
                              <w:pStyle w:val="ColorfulList-Accent11"/>
                              <w:ind w:left="425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44D61207" w14:textId="3689208E" w:rsidR="00F539F1" w:rsidRDefault="001C5B02" w:rsidP="001C5B02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  <w:r w:rsidRP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>ii.</w:t>
                            </w:r>
                            <w:r w:rsidRP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ab/>
                            </w:r>
                            <w:r w:rsidR="00F539F1">
                              <w:rPr>
                                <w:rFonts w:cs="Calibri"/>
                                <w:noProof/>
                                <w:lang w:val="es-ES"/>
                              </w:rPr>
                              <w:t>ofrecer orientaciones sobre el proceso de renovación del logotipo de la Convención sobre los Humedales.</w:t>
                            </w:r>
                          </w:p>
                          <w:p w14:paraId="49DFBB54" w14:textId="77777777" w:rsidR="001C5B02" w:rsidRPr="00F539F1" w:rsidRDefault="001C5B02" w:rsidP="001C5B02">
                            <w:pPr>
                              <w:pStyle w:val="ColorfulList-Accent11"/>
                              <w:ind w:left="0" w:firstLine="0"/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027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">
                <v:textbox>
                  <w:txbxContent>
                    <w:p w14:paraId="1E946774" w14:textId="2BDADEB9" w:rsidR="001C5B02" w:rsidRPr="00F539F1" w:rsidRDefault="00B167A6" w:rsidP="001C5B02">
                      <w:pPr>
                        <w:rPr>
                          <w:b/>
                          <w:bCs/>
                          <w:noProof/>
                          <w:lang w:val="es-ES"/>
                        </w:rPr>
                      </w:pPr>
                      <w:r w:rsidRPr="00B167A6">
                        <w:rPr>
                          <w:b/>
                          <w:bCs/>
                          <w:noProof/>
                          <w:lang w:val="es-ES"/>
                        </w:rPr>
                        <w:t>Acción solicitada</w:t>
                      </w:r>
                      <w:r w:rsidR="001C5B02" w:rsidRPr="00F539F1">
                        <w:rPr>
                          <w:b/>
                          <w:bCs/>
                          <w:noProof/>
                          <w:lang w:val="es-ES"/>
                        </w:rPr>
                        <w:t xml:space="preserve">: </w:t>
                      </w:r>
                    </w:p>
                    <w:p w14:paraId="3E51A16F" w14:textId="77777777" w:rsidR="001C5B02" w:rsidRPr="00F539F1" w:rsidRDefault="001C5B02" w:rsidP="001C5B02">
                      <w:pPr>
                        <w:pStyle w:val="ColorfulList-Accent11"/>
                        <w:ind w:left="0"/>
                        <w:rPr>
                          <w:noProof/>
                          <w:lang w:val="es-ES"/>
                        </w:rPr>
                      </w:pPr>
                    </w:p>
                    <w:p w14:paraId="0736FCBC" w14:textId="4F7CD9EF" w:rsidR="00F539F1" w:rsidRPr="00F539F1" w:rsidRDefault="00F539F1" w:rsidP="001C5B02">
                      <w:pPr>
                        <w:pStyle w:val="ColorfulList-Accent11"/>
                        <w:ind w:left="0" w:firstLine="0"/>
                        <w:rPr>
                          <w:noProof/>
                          <w:lang w:val="es-ES"/>
                        </w:rPr>
                      </w:pPr>
                      <w:r w:rsidRPr="00F539F1">
                        <w:rPr>
                          <w:noProof/>
                          <w:lang w:val="es-ES"/>
                        </w:rPr>
                        <w:t>Se invita al Comité Permanente a hacer lo siguiente:</w:t>
                      </w:r>
                    </w:p>
                    <w:p w14:paraId="28225B0A" w14:textId="77777777" w:rsidR="001C5B02" w:rsidRPr="00F539F1" w:rsidRDefault="001C5B02" w:rsidP="001C5B02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  <w:lang w:val="es-ES"/>
                        </w:rPr>
                      </w:pPr>
                    </w:p>
                    <w:p w14:paraId="0490FBA4" w14:textId="4C093882" w:rsidR="00F539F1" w:rsidRDefault="001C5B02" w:rsidP="001C5B02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  <w:lang w:val="es-ES"/>
                        </w:rPr>
                      </w:pPr>
                      <w:r w:rsidRPr="00F539F1">
                        <w:rPr>
                          <w:rFonts w:cs="Calibri"/>
                          <w:noProof/>
                          <w:lang w:val="es-ES"/>
                        </w:rPr>
                        <w:t>i.</w:t>
                      </w:r>
                      <w:r w:rsidRPr="00F539F1">
                        <w:rPr>
                          <w:rFonts w:cs="Calibri"/>
                          <w:noProof/>
                          <w:lang w:val="es-ES"/>
                        </w:rPr>
                        <w:tab/>
                      </w:r>
                      <w:r w:rsidR="00F539F1">
                        <w:rPr>
                          <w:rFonts w:cs="Calibri"/>
                          <w:noProof/>
                          <w:lang w:val="es-ES"/>
                        </w:rPr>
                        <w:t>tomar nota del presente informe de la Presidencia del Grupo de supervisión de las actividades de CECoP; y</w:t>
                      </w:r>
                    </w:p>
                    <w:p w14:paraId="558E5D4F" w14:textId="77777777" w:rsidR="001C5B02" w:rsidRPr="00F539F1" w:rsidRDefault="001C5B02" w:rsidP="001C5B02">
                      <w:pPr>
                        <w:pStyle w:val="ColorfulList-Accent11"/>
                        <w:ind w:left="425"/>
                        <w:rPr>
                          <w:noProof/>
                          <w:lang w:val="es-ES"/>
                        </w:rPr>
                      </w:pPr>
                    </w:p>
                    <w:p w14:paraId="44D61207" w14:textId="3689208E" w:rsidR="00F539F1" w:rsidRDefault="001C5B02" w:rsidP="001C5B02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  <w:lang w:val="es-ES"/>
                        </w:rPr>
                      </w:pPr>
                      <w:r w:rsidRPr="00F539F1">
                        <w:rPr>
                          <w:rFonts w:cs="Calibri"/>
                          <w:noProof/>
                          <w:lang w:val="es-ES"/>
                        </w:rPr>
                        <w:t>ii.</w:t>
                      </w:r>
                      <w:r w:rsidRPr="00F539F1">
                        <w:rPr>
                          <w:rFonts w:cs="Calibri"/>
                          <w:noProof/>
                          <w:lang w:val="es-ES"/>
                        </w:rPr>
                        <w:tab/>
                      </w:r>
                      <w:r w:rsidR="00F539F1">
                        <w:rPr>
                          <w:rFonts w:cs="Calibri"/>
                          <w:noProof/>
                          <w:lang w:val="es-ES"/>
                        </w:rPr>
                        <w:t>ofrecer orientaciones sobre el proceso de renovación del logotipo de la Convención sobre los Humedales.</w:t>
                      </w:r>
                    </w:p>
                    <w:p w14:paraId="49DFBB54" w14:textId="77777777" w:rsidR="001C5B02" w:rsidRPr="00F539F1" w:rsidRDefault="001C5B02" w:rsidP="001C5B02">
                      <w:pPr>
                        <w:pStyle w:val="ColorfulList-Accent11"/>
                        <w:ind w:left="0" w:firstLine="0"/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5EF99" w14:textId="77777777" w:rsidR="001C5B02" w:rsidRPr="00F539F1" w:rsidRDefault="001C5B02" w:rsidP="006C4071">
      <w:pPr>
        <w:rPr>
          <w:rFonts w:ascii="Calibri" w:eastAsia="Times New Roman" w:hAnsi="Calibri" w:cs="Calibri"/>
          <w:b/>
          <w:bCs/>
          <w:noProof/>
          <w:sz w:val="22"/>
          <w:szCs w:val="22"/>
          <w:lang w:val="es-ES" w:eastAsia="fr-CA"/>
        </w:rPr>
      </w:pPr>
    </w:p>
    <w:p w14:paraId="31859746" w14:textId="77777777" w:rsidR="001C5B02" w:rsidRPr="00F539F1" w:rsidRDefault="001C5B02" w:rsidP="006C4071">
      <w:pPr>
        <w:rPr>
          <w:rFonts w:ascii="Calibri" w:eastAsia="Times New Roman" w:hAnsi="Calibri" w:cs="Calibri"/>
          <w:b/>
          <w:bCs/>
          <w:noProof/>
          <w:sz w:val="22"/>
          <w:szCs w:val="22"/>
          <w:lang w:val="es-ES" w:eastAsia="fr-CA"/>
        </w:rPr>
      </w:pPr>
    </w:p>
    <w:p w14:paraId="6D093856" w14:textId="7107870F" w:rsidR="00CF5664" w:rsidRPr="00F539F1" w:rsidRDefault="00F539F1" w:rsidP="006C4071">
      <w:pPr>
        <w:rPr>
          <w:rFonts w:ascii="Calibri" w:eastAsia="Times New Roman" w:hAnsi="Calibri" w:cs="Calibri"/>
          <w:b/>
          <w:bCs/>
          <w:noProof/>
          <w:sz w:val="22"/>
          <w:szCs w:val="22"/>
          <w:lang w:val="es-ES" w:eastAsia="fr-CA"/>
        </w:rPr>
      </w:pPr>
      <w:r>
        <w:rPr>
          <w:rFonts w:ascii="Calibri" w:eastAsia="Times New Roman" w:hAnsi="Calibri" w:cs="Calibri"/>
          <w:b/>
          <w:bCs/>
          <w:noProof/>
          <w:sz w:val="22"/>
          <w:szCs w:val="22"/>
          <w:lang w:val="es-ES" w:eastAsia="fr-CA"/>
        </w:rPr>
        <w:t>Antecedentes</w:t>
      </w:r>
    </w:p>
    <w:p w14:paraId="15C32844" w14:textId="77777777" w:rsidR="006C4071" w:rsidRPr="00F539F1" w:rsidRDefault="006C4071" w:rsidP="006C4071">
      <w:pPr>
        <w:rPr>
          <w:rFonts w:eastAsia="Times New Roman" w:cstheme="minorHAnsi"/>
          <w:noProof/>
          <w:sz w:val="22"/>
          <w:szCs w:val="22"/>
          <w:lang w:val="es-ES" w:eastAsia="fr-CA"/>
        </w:rPr>
      </w:pPr>
    </w:p>
    <w:p w14:paraId="5910E28F" w14:textId="278068E5" w:rsidR="000E27A7" w:rsidRDefault="006C4071" w:rsidP="006C4071">
      <w:pPr>
        <w:pStyle w:val="Default"/>
        <w:ind w:left="426" w:hanging="426"/>
        <w:jc w:val="both"/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</w:pPr>
      <w:r w:rsidRPr="00F539F1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1.</w:t>
      </w:r>
      <w:r w:rsidRPr="00F539F1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ab/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Este informe de la Presidencia </w:t>
      </w:r>
      <w:r w:rsidR="00511E42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es una sinopsis </w:t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del trabajo </w:t>
      </w:r>
      <w:r w:rsidR="00511E42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que</w:t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 el Grupo de </w:t>
      </w:r>
      <w:r w:rsidR="008A180F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s</w:t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upervisión de la</w:t>
      </w:r>
      <w:r w:rsidR="008A180F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s actividades de</w:t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 CECoP </w:t>
      </w:r>
      <w:r w:rsidR="00511E42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 xml:space="preserve">ha realizado </w:t>
      </w:r>
      <w:r w:rsidR="000E27A7" w:rsidRPr="000E27A7">
        <w:rPr>
          <w:rFonts w:asciiTheme="minorHAnsi" w:eastAsia="Times New Roman" w:hAnsiTheme="minorHAnsi" w:cstheme="minorHAnsi"/>
          <w:noProof/>
          <w:sz w:val="22"/>
          <w:szCs w:val="22"/>
          <w:lang w:val="es-ES" w:eastAsia="fr-CA"/>
        </w:rPr>
        <w:t>desde la 62ª reunión del Comité Permanente.</w:t>
      </w:r>
    </w:p>
    <w:p w14:paraId="5CA85F3E" w14:textId="77777777" w:rsidR="006C4071" w:rsidRPr="00F539F1" w:rsidRDefault="006C4071" w:rsidP="006C4071">
      <w:pPr>
        <w:pStyle w:val="NormalWeb"/>
        <w:spacing w:before="0" w:beforeAutospacing="0" w:after="0" w:afterAutospacing="0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425AAAF6" w14:textId="1266640B" w:rsidR="00E33F55" w:rsidRPr="00F539F1" w:rsidRDefault="00F539F1" w:rsidP="006C407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Trabajo realizado por el Grupo</w:t>
      </w:r>
    </w:p>
    <w:p w14:paraId="2B5D6640" w14:textId="77777777" w:rsidR="006C4071" w:rsidRPr="00F539F1" w:rsidRDefault="006C4071" w:rsidP="006C4071">
      <w:pPr>
        <w:pStyle w:val="NormalWeb"/>
        <w:spacing w:before="0" w:beforeAutospacing="0" w:after="0" w:afterAutospacing="0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6F651A08" w14:textId="3F9DF568" w:rsidR="008A180F" w:rsidRDefault="00F1508F" w:rsidP="006C4071">
      <w:pPr>
        <w:ind w:left="426" w:hanging="426"/>
        <w:rPr>
          <w:rFonts w:eastAsia="Times New Roman" w:cstheme="minorHAnsi"/>
          <w:noProof/>
          <w:sz w:val="22"/>
          <w:szCs w:val="22"/>
          <w:lang w:val="es-ES" w:eastAsia="fr-CA"/>
        </w:rPr>
      </w:pPr>
      <w:r w:rsidRPr="00F539F1">
        <w:rPr>
          <w:rFonts w:eastAsia="Times New Roman" w:cstheme="minorHAnsi"/>
          <w:noProof/>
          <w:sz w:val="22"/>
          <w:szCs w:val="22"/>
          <w:lang w:val="es-ES" w:eastAsia="fr-CA"/>
        </w:rPr>
        <w:t>2</w:t>
      </w:r>
      <w:r w:rsidR="00625BC9" w:rsidRPr="00F539F1">
        <w:rPr>
          <w:rFonts w:eastAsia="Times New Roman" w:cstheme="minorHAnsi"/>
          <w:noProof/>
          <w:sz w:val="22"/>
          <w:szCs w:val="22"/>
          <w:lang w:val="es-ES" w:eastAsia="fr-CA"/>
        </w:rPr>
        <w:t>.</w:t>
      </w:r>
      <w:r w:rsidR="00625BC9" w:rsidRPr="00F539F1">
        <w:rPr>
          <w:rFonts w:eastAsia="Times New Roman" w:cstheme="minorHAnsi"/>
          <w:noProof/>
          <w:sz w:val="22"/>
          <w:szCs w:val="22"/>
          <w:lang w:val="es-ES" w:eastAsia="fr-CA"/>
        </w:rPr>
        <w:tab/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El 20 de septiembre de 2023 </w:t>
      </w:r>
      <w:r w:rsidR="00943A50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el </w:t>
      </w:r>
      <w:r w:rsidR="00511E42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Grupo de supervisión de las actividades de CECoP 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celebró una reunión virtual </w:t>
      </w:r>
      <w:r w:rsidR="00943A50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en la que 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se examinó </w:t>
      </w:r>
      <w:r w:rsidR="00F627BA">
        <w:rPr>
          <w:rFonts w:eastAsia="Times New Roman" w:cstheme="minorHAnsi"/>
          <w:noProof/>
          <w:sz w:val="22"/>
          <w:szCs w:val="22"/>
          <w:lang w:val="es-ES" w:eastAsia="fr-CA"/>
        </w:rPr>
        <w:t>el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plan de trabajo</w:t>
      </w:r>
      <w:r w:rsidR="00F627BA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del Grupo,</w:t>
      </w:r>
      <w:r w:rsidR="00511E42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aprobado 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>en la Decisión SC6</w:t>
      </w:r>
      <w:r w:rsidR="00943A50">
        <w:rPr>
          <w:rFonts w:eastAsia="Times New Roman" w:cstheme="minorHAnsi"/>
          <w:noProof/>
          <w:sz w:val="22"/>
          <w:szCs w:val="22"/>
          <w:lang w:val="es-ES" w:eastAsia="fr-CA"/>
        </w:rPr>
        <w:t>2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>-27</w:t>
      </w:r>
      <w:r w:rsidR="00511E42">
        <w:rPr>
          <w:rFonts w:eastAsia="Times New Roman" w:cstheme="minorHAnsi"/>
          <w:noProof/>
          <w:sz w:val="22"/>
          <w:szCs w:val="22"/>
          <w:lang w:val="es-ES" w:eastAsia="fr-CA"/>
        </w:rPr>
        <w:t>.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S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 </w:t>
      </w:r>
      <w:r w:rsidR="00731FE8">
        <w:rPr>
          <w:rFonts w:eastAsia="Times New Roman" w:cstheme="minorHAnsi"/>
          <w:noProof/>
          <w:sz w:val="22"/>
          <w:szCs w:val="22"/>
          <w:lang w:val="es-ES" w:eastAsia="fr-CA"/>
        </w:rPr>
        <w:t>adoptaron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las siguientes 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>medidas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>: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organización de un seminario a través de Internet 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>para crear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capacidad 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>entre los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profesionales de CECoP, 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elaboración de 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una encuesta para </w:t>
      </w:r>
      <w:r w:rsidR="00FB303F">
        <w:rPr>
          <w:rFonts w:eastAsia="Times New Roman" w:cstheme="minorHAnsi"/>
          <w:noProof/>
          <w:sz w:val="22"/>
          <w:szCs w:val="22"/>
          <w:lang w:val="es-ES" w:eastAsia="fr-CA"/>
        </w:rPr>
        <w:t>informar sobre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la 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>producción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de recursos de CECoP</w:t>
      </w:r>
      <w:r w:rsidR="006C08C7">
        <w:rPr>
          <w:rFonts w:eastAsia="Times New Roman" w:cstheme="minorHAnsi"/>
          <w:noProof/>
          <w:sz w:val="22"/>
          <w:szCs w:val="22"/>
          <w:lang w:val="es-ES" w:eastAsia="fr-CA"/>
        </w:rPr>
        <w:t>,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y 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>redacción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del documento “</w:t>
      </w:r>
      <w:r w:rsidR="00943A50">
        <w:rPr>
          <w:rFonts w:eastAsia="Times New Roman" w:cstheme="minorHAnsi"/>
          <w:noProof/>
          <w:sz w:val="22"/>
          <w:szCs w:val="22"/>
          <w:lang w:val="es-ES" w:eastAsia="fr-CA"/>
        </w:rPr>
        <w:t>Actividades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futuras del Grupo de supervisión de las actividades de CECoP” </w:t>
      </w:r>
      <w:r w:rsidR="007B6EBC">
        <w:rPr>
          <w:rFonts w:eastAsia="Times New Roman" w:cstheme="minorHAnsi"/>
          <w:noProof/>
          <w:sz w:val="22"/>
          <w:szCs w:val="22"/>
          <w:lang w:val="es-ES" w:eastAsia="fr-CA"/>
        </w:rPr>
        <w:t>con arreglo al</w:t>
      </w:r>
      <w:r w:rsidR="008A180F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párrafo 12 de la Resolución XIV.8.</w:t>
      </w:r>
    </w:p>
    <w:p w14:paraId="4F7167D0" w14:textId="77777777" w:rsidR="00943A50" w:rsidRDefault="00943A50" w:rsidP="006C4071">
      <w:pPr>
        <w:ind w:left="426" w:hanging="426"/>
        <w:rPr>
          <w:rFonts w:eastAsia="Times New Roman" w:cstheme="minorHAnsi"/>
          <w:noProof/>
          <w:sz w:val="22"/>
          <w:szCs w:val="22"/>
          <w:lang w:val="es-ES" w:eastAsia="fr-CA"/>
        </w:rPr>
      </w:pPr>
    </w:p>
    <w:p w14:paraId="285FF7EA" w14:textId="47EFABB9" w:rsidR="00943A50" w:rsidRDefault="00943A50" w:rsidP="006C4071">
      <w:pPr>
        <w:ind w:left="426" w:hanging="426"/>
        <w:rPr>
          <w:rFonts w:eastAsia="Times New Roman" w:cstheme="minorHAnsi"/>
          <w:noProof/>
          <w:sz w:val="22"/>
          <w:szCs w:val="22"/>
          <w:lang w:val="es-ES" w:eastAsia="fr-CA"/>
        </w:rPr>
      </w:pPr>
      <w:r>
        <w:rPr>
          <w:rFonts w:eastAsia="Times New Roman" w:cstheme="minorHAnsi"/>
          <w:noProof/>
          <w:sz w:val="22"/>
          <w:szCs w:val="22"/>
          <w:lang w:val="es-ES" w:eastAsia="fr-CA"/>
        </w:rPr>
        <w:t>3.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ab/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>El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6 de diciembre de 2023 se </w:t>
      </w:r>
      <w:r w:rsidR="00B233DD">
        <w:rPr>
          <w:rFonts w:eastAsia="Times New Roman" w:cstheme="minorHAnsi"/>
          <w:noProof/>
          <w:sz w:val="22"/>
          <w:szCs w:val="22"/>
          <w:lang w:val="es-ES" w:eastAsia="fr-CA"/>
        </w:rPr>
        <w:t>celebró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otra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reunión virtual en la que se examinó el plan de trabajo</w:t>
      </w:r>
      <w:r w:rsidR="00B233DD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, 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la Secretaría 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enumeró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l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a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s 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observaciones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</w:t>
      </w:r>
      <w:r w:rsidR="00B233DD">
        <w:rPr>
          <w:rFonts w:eastAsia="Times New Roman" w:cstheme="minorHAnsi"/>
          <w:noProof/>
          <w:sz w:val="22"/>
          <w:szCs w:val="22"/>
          <w:lang w:val="es-ES" w:eastAsia="fr-CA"/>
        </w:rPr>
        <w:t>del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Grupo de supervisión 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de las actividades de CECoP 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en relación con el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primer borrador 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del documento 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>sobre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las 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>a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>ctividades futuras del Grupo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, 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la Presidencia informó sobre los progresos realizados </w:t>
      </w:r>
      <w:r w:rsidR="00B233DD">
        <w:rPr>
          <w:rFonts w:eastAsia="Times New Roman" w:cstheme="minorHAnsi"/>
          <w:noProof/>
          <w:sz w:val="22"/>
          <w:szCs w:val="22"/>
          <w:lang w:val="es-ES" w:eastAsia="fr-CA"/>
        </w:rPr>
        <w:t>en</w:t>
      </w:r>
      <w:r w:rsidR="002E611A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otros elementos del plan de trabajo, </w:t>
      </w:r>
      <w:r w:rsidR="00B233DD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y 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>la Secretaría presentó</w:t>
      </w:r>
      <w:r w:rsidR="002907D5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el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material informativ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>o</w:t>
      </w:r>
      <w:r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para apoyar las actividades de divulgación del Día Mundial de los Humedales de 2024. </w:t>
      </w:r>
    </w:p>
    <w:p w14:paraId="4F93BD9C" w14:textId="77777777" w:rsidR="00EB3829" w:rsidRPr="00F539F1" w:rsidRDefault="00EB3829" w:rsidP="00EF09C7">
      <w:pPr>
        <w:rPr>
          <w:noProof/>
          <w:lang w:val="es-ES"/>
        </w:rPr>
      </w:pPr>
    </w:p>
    <w:p w14:paraId="6FC0C188" w14:textId="553F5709" w:rsidR="00EF09C7" w:rsidRDefault="00F1508F" w:rsidP="00EF09C7">
      <w:pPr>
        <w:ind w:left="426" w:hanging="426"/>
        <w:rPr>
          <w:noProof/>
          <w:sz w:val="22"/>
          <w:szCs w:val="22"/>
          <w:lang w:val="es-ES"/>
        </w:rPr>
      </w:pPr>
      <w:r w:rsidRPr="00F539F1">
        <w:rPr>
          <w:noProof/>
          <w:sz w:val="22"/>
          <w:szCs w:val="22"/>
          <w:lang w:val="es-ES"/>
        </w:rPr>
        <w:t>4</w:t>
      </w:r>
      <w:r w:rsidR="00EB3829" w:rsidRPr="00F539F1">
        <w:rPr>
          <w:noProof/>
          <w:sz w:val="22"/>
          <w:szCs w:val="22"/>
          <w:lang w:val="es-ES"/>
        </w:rPr>
        <w:t>.</w:t>
      </w:r>
      <w:r w:rsidR="00EB3829" w:rsidRPr="00F539F1">
        <w:rPr>
          <w:noProof/>
          <w:sz w:val="22"/>
          <w:szCs w:val="22"/>
          <w:lang w:val="es-ES"/>
        </w:rPr>
        <w:tab/>
      </w:r>
      <w:r w:rsidR="00F627BA">
        <w:rPr>
          <w:noProof/>
          <w:sz w:val="22"/>
          <w:szCs w:val="22"/>
          <w:lang w:val="es-ES"/>
        </w:rPr>
        <w:t>En el marco de</w:t>
      </w:r>
      <w:r w:rsidR="00EF09C7">
        <w:rPr>
          <w:noProof/>
          <w:sz w:val="22"/>
          <w:szCs w:val="22"/>
          <w:lang w:val="es-ES"/>
        </w:rPr>
        <w:t xml:space="preserve"> la reunión, el coordinador nacional de Austria presentó una propuesta de renovación del logotipo de la Convención sobre los Humedales. Tanto Austria como la Secretaría </w:t>
      </w:r>
      <w:r w:rsidR="00916CF6">
        <w:rPr>
          <w:noProof/>
          <w:sz w:val="22"/>
          <w:szCs w:val="22"/>
          <w:lang w:val="es-ES"/>
        </w:rPr>
        <w:t xml:space="preserve">destacaron </w:t>
      </w:r>
      <w:r w:rsidR="00EF09C7">
        <w:rPr>
          <w:noProof/>
          <w:sz w:val="22"/>
          <w:szCs w:val="22"/>
          <w:lang w:val="es-ES"/>
        </w:rPr>
        <w:t xml:space="preserve">que el logotipo existente posee limitaciones funcionales debido a su formato y tipo de letra. La apariencia óptica actual del logotipo se percibe como </w:t>
      </w:r>
      <w:r w:rsidR="00916CF6">
        <w:rPr>
          <w:noProof/>
          <w:sz w:val="22"/>
          <w:szCs w:val="22"/>
          <w:lang w:val="es-ES"/>
        </w:rPr>
        <w:t>obsoleta</w:t>
      </w:r>
      <w:r w:rsidR="00EF09C7">
        <w:rPr>
          <w:noProof/>
          <w:sz w:val="22"/>
          <w:szCs w:val="22"/>
          <w:lang w:val="es-ES"/>
        </w:rPr>
        <w:t xml:space="preserve">. Los </w:t>
      </w:r>
      <w:r w:rsidR="00EF09C7">
        <w:rPr>
          <w:noProof/>
          <w:sz w:val="22"/>
          <w:szCs w:val="22"/>
          <w:lang w:val="es-ES"/>
        </w:rPr>
        <w:lastRenderedPageBreak/>
        <w:t xml:space="preserve">miembros reconocieron que el 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Grupo de supervisión de las actividades de CECoP sería el </w:t>
      </w:r>
      <w:r w:rsidR="00916CF6">
        <w:rPr>
          <w:rFonts w:eastAsia="Times New Roman" w:cstheme="minorHAnsi"/>
          <w:noProof/>
          <w:sz w:val="22"/>
          <w:szCs w:val="22"/>
          <w:lang w:val="es-ES" w:eastAsia="fr-CA"/>
        </w:rPr>
        <w:t>organismo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más competente de la Convención para opinar sobre la utilidad de </w:t>
      </w:r>
      <w:r w:rsidR="00916CF6">
        <w:rPr>
          <w:rFonts w:eastAsia="Times New Roman" w:cstheme="minorHAnsi"/>
          <w:noProof/>
          <w:sz w:val="22"/>
          <w:szCs w:val="22"/>
          <w:lang w:val="es-ES" w:eastAsia="fr-CA"/>
        </w:rPr>
        <w:t>una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 renovación del logotipo. Se acordó que en su informe ante la reunión SC63</w:t>
      </w:r>
      <w:r w:rsidR="00EF09C7">
        <w:rPr>
          <w:noProof/>
          <w:sz w:val="22"/>
          <w:szCs w:val="22"/>
          <w:lang w:val="es-ES"/>
        </w:rPr>
        <w:t xml:space="preserve"> 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 xml:space="preserve">el Grupo de supervisión de las actividades de CECoP formularía una recomendación al Comité Permanente para </w:t>
      </w:r>
      <w:r w:rsidR="000065DE">
        <w:rPr>
          <w:rFonts w:eastAsia="Times New Roman" w:cstheme="minorHAnsi"/>
          <w:noProof/>
          <w:sz w:val="22"/>
          <w:szCs w:val="22"/>
          <w:lang w:val="es-ES" w:eastAsia="fr-CA"/>
        </w:rPr>
        <w:t>la renovación d</w:t>
      </w:r>
      <w:r w:rsidR="00EF09C7">
        <w:rPr>
          <w:rFonts w:eastAsia="Times New Roman" w:cstheme="minorHAnsi"/>
          <w:noProof/>
          <w:sz w:val="22"/>
          <w:szCs w:val="22"/>
          <w:lang w:val="es-ES" w:eastAsia="fr-CA"/>
        </w:rPr>
        <w:t>el logotipo de la Convención.</w:t>
      </w:r>
    </w:p>
    <w:p w14:paraId="6B760757" w14:textId="77777777" w:rsidR="0030364B" w:rsidRPr="00F539F1" w:rsidRDefault="0030364B" w:rsidP="0060138B">
      <w:pPr>
        <w:rPr>
          <w:rFonts w:eastAsia="Times New Roman" w:cstheme="minorHAnsi"/>
          <w:noProof/>
          <w:sz w:val="22"/>
          <w:szCs w:val="22"/>
          <w:lang w:val="es-ES" w:eastAsia="fr-CA"/>
        </w:rPr>
      </w:pPr>
    </w:p>
    <w:p w14:paraId="2F7C5D7D" w14:textId="53D8D0A9" w:rsidR="00FB303F" w:rsidRPr="00FB303F" w:rsidRDefault="00625BC9" w:rsidP="00581BB8">
      <w:pPr>
        <w:ind w:left="426" w:hanging="426"/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</w:pPr>
      <w:r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5.</w:t>
      </w:r>
      <w:r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ab/>
      </w:r>
      <w:r w:rsidR="0060138B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El 6 de febrero de 2024 el Grupo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se </w:t>
      </w:r>
      <w:r w:rsidR="0060138B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volvió a reunir para examinar la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ejecución del plan de trabajo y, en especial, analizar l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as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lecciones aprendidas y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los resultados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del Día Mundial de los Humedales de 2024. Los miembros del Grupo dieron a conocer sus diversas experiencias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y formularon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sugerencias para mejorar los resultados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de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dicho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evento en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los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próximos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años.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La Presidencia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543EC2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dio a conocer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que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el número de respuestas a la </w:t>
      </w:r>
      <w:r w:rsidR="00FB4E00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encuesta en línea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para informar </w:t>
      </w:r>
      <w:r w:rsidR="00FB4E00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sobre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la producción</w:t>
      </w:r>
      <w:r w:rsidR="00FB4E00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de</w:t>
      </w:r>
      <w:r w:rsidR="00FB4E00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recursos de CECoP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fue</w:t>
      </w:r>
      <w:r w:rsidR="00A70D34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decepcionante</w:t>
      </w:r>
      <w:r w:rsidR="008E1173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. Por lo anterior,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pidió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a los miembros del Grupo que 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adoptaran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medidas para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seguir distribuyendo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la encuesta y fomentar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su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respuesta. </w:t>
      </w:r>
      <w:r w:rsidR="008E1173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Luego, el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Grupo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deliberó sobre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la propuesta de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seminario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 través de Internet para la creación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de </w:t>
      </w:r>
      <w:r w:rsid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capacidad de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profesionales de CECoP y acordó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su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formato </w:t>
      </w:r>
      <w:r w:rsidR="008E1173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y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orden del día</w:t>
      </w:r>
      <w:r w:rsidR="008E1173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. </w:t>
      </w:r>
      <w:r w:rsidR="00463198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Asimismo, d</w:t>
      </w:r>
      <w:r w:rsidR="00AF7D55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eterminó</w:t>
      </w:r>
      <w:r w:rsidR="008E1173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que el seminario se llevaría a cabo el</w:t>
      </w:r>
      <w:r w:rsidR="00FB303F" w:rsidRPr="00FB303F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3 de abril de 2024.</w:t>
      </w:r>
    </w:p>
    <w:p w14:paraId="0CB69BFC" w14:textId="77777777" w:rsidR="006F5F2A" w:rsidRPr="00F539F1" w:rsidRDefault="006F5F2A" w:rsidP="00FB303F">
      <w:pPr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</w:pPr>
    </w:p>
    <w:p w14:paraId="27285BD5" w14:textId="204C4BAA" w:rsidR="00A70D34" w:rsidRDefault="006F5F2A" w:rsidP="004F76B3">
      <w:pPr>
        <w:ind w:left="426" w:hanging="426"/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</w:pPr>
      <w:r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6.</w:t>
      </w:r>
      <w:r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ab/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En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las reuniones</w:t>
      </w:r>
      <w:r w:rsidR="000065DE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,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el Grupo de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Exame</w:t>
      </w:r>
      <w:r w:rsidR="00FB4E00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n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Científic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o 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y Técnic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o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ha </w:t>
      </w:r>
      <w:r w:rsidR="00AF7D55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seguido participando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activamente</w:t>
      </w:r>
      <w:r w:rsidR="00AF7D55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en colaboración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con el Grupo de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upervisión de la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s actividades de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CECoP.</w:t>
      </w:r>
    </w:p>
    <w:p w14:paraId="6B06C3E9" w14:textId="77777777" w:rsidR="00E05D89" w:rsidRPr="00F539F1" w:rsidRDefault="00E05D89" w:rsidP="006C4071">
      <w:pPr>
        <w:ind w:left="426" w:hanging="426"/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</w:pPr>
    </w:p>
    <w:p w14:paraId="7D96A9F1" w14:textId="67A8C152" w:rsidR="004F76B3" w:rsidRPr="00F539F1" w:rsidRDefault="00B6499C" w:rsidP="00A70D34">
      <w:pPr>
        <w:ind w:left="426" w:hanging="426"/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</w:pPr>
      <w:r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7</w:t>
      </w:r>
      <w:r w:rsidR="00E05D89"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.</w:t>
      </w:r>
      <w:r w:rsidR="00E05D89" w:rsidRPr="00F539F1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ab/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En la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próxima reunión del Grupo,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 realizarse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el 18 de marzo de 2024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, 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se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finalizarán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los planes para el seminario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a través de Internet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y </w:t>
      </w:r>
      <w:r w:rsidR="00462F4D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continuarán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</w:t>
      </w:r>
      <w:r w:rsidR="00462F4D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las deliberaciones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sobre 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la </w:t>
      </w:r>
      <w:r w:rsidR="006C08C7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>producción</w:t>
      </w:r>
      <w:r w:rsid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de</w:t>
      </w:r>
      <w:r w:rsidR="00A70D34" w:rsidRPr="00A70D34">
        <w:rPr>
          <w:rFonts w:eastAsia="Times New Roman" w:cstheme="minorHAnsi"/>
          <w:noProof/>
          <w:spacing w:val="-2"/>
          <w:sz w:val="22"/>
          <w:szCs w:val="22"/>
          <w:lang w:val="es-ES" w:eastAsia="fr-CA"/>
        </w:rPr>
        <w:t xml:space="preserve"> recursos de CECoP.</w:t>
      </w:r>
    </w:p>
    <w:sectPr w:rsidR="004F76B3" w:rsidRPr="00F539F1" w:rsidSect="00E331C4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CE6F" w14:textId="77777777" w:rsidR="00E331C4" w:rsidRDefault="00E331C4" w:rsidP="00625BC9">
      <w:r>
        <w:separator/>
      </w:r>
    </w:p>
  </w:endnote>
  <w:endnote w:type="continuationSeparator" w:id="0">
    <w:p w14:paraId="7016D21F" w14:textId="77777777" w:rsidR="00E331C4" w:rsidRDefault="00E331C4" w:rsidP="006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8982" w14:textId="77777777" w:rsidR="00F30A19" w:rsidRPr="00F30A19" w:rsidRDefault="00F30A19">
    <w:pPr>
      <w:pStyle w:val="Footer"/>
      <w:rPr>
        <w:sz w:val="20"/>
        <w:szCs w:val="20"/>
        <w:lang w:val="en-GB"/>
      </w:rPr>
    </w:pPr>
    <w:r w:rsidRPr="00F30A19">
      <w:rPr>
        <w:sz w:val="20"/>
        <w:szCs w:val="20"/>
        <w:lang w:val="en-GB"/>
      </w:rPr>
      <w:t>SC6</w:t>
    </w:r>
    <w:r w:rsidR="00884E62">
      <w:rPr>
        <w:sz w:val="20"/>
        <w:szCs w:val="20"/>
        <w:lang w:val="en-GB"/>
      </w:rPr>
      <w:t>3</w:t>
    </w:r>
    <w:r w:rsidRPr="00F30A19">
      <w:rPr>
        <w:sz w:val="20"/>
        <w:szCs w:val="20"/>
        <w:lang w:val="en-GB"/>
      </w:rPr>
      <w:t xml:space="preserve"> Doc.1</w:t>
    </w:r>
    <w:r w:rsidR="00884E62">
      <w:rPr>
        <w:sz w:val="20"/>
        <w:szCs w:val="20"/>
        <w:lang w:val="en-GB"/>
      </w:rPr>
      <w:t>7</w:t>
    </w:r>
    <w:r w:rsidRPr="00F30A19">
      <w:rPr>
        <w:sz w:val="20"/>
        <w:szCs w:val="20"/>
        <w:lang w:val="en-GB"/>
      </w:rPr>
      <w:t>.1</w:t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tab/>
    </w:r>
    <w:r w:rsidRPr="00F30A19">
      <w:rPr>
        <w:sz w:val="20"/>
        <w:szCs w:val="20"/>
        <w:lang w:val="en-GB"/>
      </w:rPr>
      <w:fldChar w:fldCharType="begin"/>
    </w:r>
    <w:r w:rsidRPr="00F30A19">
      <w:rPr>
        <w:sz w:val="20"/>
        <w:szCs w:val="20"/>
        <w:lang w:val="en-GB"/>
      </w:rPr>
      <w:instrText xml:space="preserve"> PAGE   \* MERGEFORMAT </w:instrText>
    </w:r>
    <w:r w:rsidRPr="00F30A19">
      <w:rPr>
        <w:sz w:val="20"/>
        <w:szCs w:val="20"/>
        <w:lang w:val="en-GB"/>
      </w:rPr>
      <w:fldChar w:fldCharType="separate"/>
    </w:r>
    <w:r w:rsidR="004F78DE">
      <w:rPr>
        <w:noProof/>
        <w:sz w:val="20"/>
        <w:szCs w:val="20"/>
        <w:lang w:val="en-GB"/>
      </w:rPr>
      <w:t>2</w:t>
    </w:r>
    <w:r w:rsidRPr="00F30A19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EA64" w14:textId="77777777" w:rsidR="00E331C4" w:rsidRDefault="00E331C4" w:rsidP="00625BC9">
      <w:r>
        <w:separator/>
      </w:r>
    </w:p>
  </w:footnote>
  <w:footnote w:type="continuationSeparator" w:id="0">
    <w:p w14:paraId="5DD2E6EA" w14:textId="77777777" w:rsidR="00E331C4" w:rsidRDefault="00E331C4" w:rsidP="006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691"/>
    <w:multiLevelType w:val="multilevel"/>
    <w:tmpl w:val="20D6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5496A"/>
    <w:multiLevelType w:val="hybridMultilevel"/>
    <w:tmpl w:val="5C44F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28F"/>
    <w:multiLevelType w:val="hybridMultilevel"/>
    <w:tmpl w:val="8530FF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08C"/>
    <w:multiLevelType w:val="hybridMultilevel"/>
    <w:tmpl w:val="8B001278"/>
    <w:lvl w:ilvl="0" w:tplc="5248E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7D54"/>
    <w:multiLevelType w:val="multilevel"/>
    <w:tmpl w:val="BCE4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D7BB5"/>
    <w:multiLevelType w:val="hybridMultilevel"/>
    <w:tmpl w:val="CA99F6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7859F5"/>
    <w:multiLevelType w:val="hybridMultilevel"/>
    <w:tmpl w:val="BA0AC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9"/>
    <w:rsid w:val="000065DE"/>
    <w:rsid w:val="00044CF4"/>
    <w:rsid w:val="00045D24"/>
    <w:rsid w:val="0005454D"/>
    <w:rsid w:val="000A2846"/>
    <w:rsid w:val="000A3859"/>
    <w:rsid w:val="000C7AC5"/>
    <w:rsid w:val="000E27A7"/>
    <w:rsid w:val="000E5A83"/>
    <w:rsid w:val="000F6080"/>
    <w:rsid w:val="00152E04"/>
    <w:rsid w:val="001743A2"/>
    <w:rsid w:val="0017696B"/>
    <w:rsid w:val="001C5B02"/>
    <w:rsid w:val="001E3951"/>
    <w:rsid w:val="00253FA0"/>
    <w:rsid w:val="00260431"/>
    <w:rsid w:val="00263657"/>
    <w:rsid w:val="002907D5"/>
    <w:rsid w:val="002B57D1"/>
    <w:rsid w:val="002E3AC3"/>
    <w:rsid w:val="002E611A"/>
    <w:rsid w:val="002F1BB6"/>
    <w:rsid w:val="0030364B"/>
    <w:rsid w:val="00351428"/>
    <w:rsid w:val="00382CF8"/>
    <w:rsid w:val="003E2BB2"/>
    <w:rsid w:val="00462F4D"/>
    <w:rsid w:val="00463198"/>
    <w:rsid w:val="004C6F51"/>
    <w:rsid w:val="004F76B3"/>
    <w:rsid w:val="004F78DE"/>
    <w:rsid w:val="00511E42"/>
    <w:rsid w:val="00543EC2"/>
    <w:rsid w:val="005462C6"/>
    <w:rsid w:val="00581BB8"/>
    <w:rsid w:val="00582A42"/>
    <w:rsid w:val="005B4A54"/>
    <w:rsid w:val="0060138B"/>
    <w:rsid w:val="00625BC9"/>
    <w:rsid w:val="006C08C7"/>
    <w:rsid w:val="006C4071"/>
    <w:rsid w:val="006C73C3"/>
    <w:rsid w:val="006D31FA"/>
    <w:rsid w:val="006F5F2A"/>
    <w:rsid w:val="00731FE8"/>
    <w:rsid w:val="00732FB6"/>
    <w:rsid w:val="00756CF4"/>
    <w:rsid w:val="007A5383"/>
    <w:rsid w:val="007B6EBC"/>
    <w:rsid w:val="008066F5"/>
    <w:rsid w:val="00870095"/>
    <w:rsid w:val="00884E62"/>
    <w:rsid w:val="008866AE"/>
    <w:rsid w:val="00895ACA"/>
    <w:rsid w:val="008A180F"/>
    <w:rsid w:val="008E1173"/>
    <w:rsid w:val="008F3886"/>
    <w:rsid w:val="008F5A82"/>
    <w:rsid w:val="00916CF6"/>
    <w:rsid w:val="00920027"/>
    <w:rsid w:val="00943A50"/>
    <w:rsid w:val="009573C3"/>
    <w:rsid w:val="00983A36"/>
    <w:rsid w:val="00A32D44"/>
    <w:rsid w:val="00A628B5"/>
    <w:rsid w:val="00A70D34"/>
    <w:rsid w:val="00AF15CB"/>
    <w:rsid w:val="00AF6EFF"/>
    <w:rsid w:val="00AF7D55"/>
    <w:rsid w:val="00B05AAC"/>
    <w:rsid w:val="00B167A6"/>
    <w:rsid w:val="00B233DD"/>
    <w:rsid w:val="00B2670A"/>
    <w:rsid w:val="00B6499C"/>
    <w:rsid w:val="00B901A4"/>
    <w:rsid w:val="00BF0BC5"/>
    <w:rsid w:val="00BF7857"/>
    <w:rsid w:val="00C11830"/>
    <w:rsid w:val="00C43C55"/>
    <w:rsid w:val="00C55A68"/>
    <w:rsid w:val="00C70CEA"/>
    <w:rsid w:val="00CF5664"/>
    <w:rsid w:val="00CF629B"/>
    <w:rsid w:val="00D07033"/>
    <w:rsid w:val="00DD0AE8"/>
    <w:rsid w:val="00E05D89"/>
    <w:rsid w:val="00E26723"/>
    <w:rsid w:val="00E331C4"/>
    <w:rsid w:val="00E33F55"/>
    <w:rsid w:val="00E45FED"/>
    <w:rsid w:val="00E63036"/>
    <w:rsid w:val="00EB3829"/>
    <w:rsid w:val="00EF09C7"/>
    <w:rsid w:val="00F1508F"/>
    <w:rsid w:val="00F30A19"/>
    <w:rsid w:val="00F539F1"/>
    <w:rsid w:val="00F627BA"/>
    <w:rsid w:val="00FB303F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F6B7"/>
  <w14:defaultImageDpi w14:val="32767"/>
  <w15:chartTrackingRefBased/>
  <w15:docId w15:val="{9EBF7F79-7C6C-684C-AC0B-9998F9E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A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TableGrid">
    <w:name w:val="Table Grid"/>
    <w:basedOn w:val="TableNormal"/>
    <w:uiPriority w:val="39"/>
    <w:rsid w:val="00CF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44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E2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07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B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B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19"/>
  </w:style>
  <w:style w:type="paragraph" w:styleId="Footer">
    <w:name w:val="footer"/>
    <w:basedOn w:val="Normal"/>
    <w:link w:val="FooterChar"/>
    <w:uiPriority w:val="99"/>
    <w:unhideWhenUsed/>
    <w:rsid w:val="00F30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19"/>
  </w:style>
  <w:style w:type="character" w:customStyle="1" w:styleId="Heading1Char">
    <w:name w:val="Heading 1 Char"/>
    <w:basedOn w:val="DefaultParagraphFont"/>
    <w:link w:val="Heading1"/>
    <w:uiPriority w:val="9"/>
    <w:rsid w:val="0088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3829"/>
    <w:pPr>
      <w:ind w:left="720"/>
      <w:contextualSpacing/>
    </w:pPr>
    <w:rPr>
      <w:rFonts w:ascii="Calibri" w:hAnsi="Calibri" w:cs="Calibri"/>
      <w:sz w:val="22"/>
      <w:szCs w:val="22"/>
      <w:lang w:val="en-GB" w:eastAsia="en-GB"/>
      <w14:ligatures w14:val="standardContextual"/>
    </w:rPr>
  </w:style>
  <w:style w:type="paragraph" w:styleId="Revision">
    <w:name w:val="Revision"/>
    <w:hidden/>
    <w:uiPriority w:val="99"/>
    <w:semiHidden/>
    <w:rsid w:val="007A5383"/>
  </w:style>
  <w:style w:type="paragraph" w:customStyle="1" w:styleId="ColorfulList-Accent11">
    <w:name w:val="Colorful List - Accent 11"/>
    <w:basedOn w:val="Normal"/>
    <w:uiPriority w:val="34"/>
    <w:qFormat/>
    <w:rsid w:val="001C5B02"/>
    <w:pPr>
      <w:ind w:left="720" w:hanging="425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A107-DB5F-4F3F-9E04-194389CA272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aedd258d-19a7-41ba-8260-b0918f25313d"/>
    <ds:schemaRef ds:uri="8c0b6b05-eb82-4bda-97e8-cd82d0d6b453"/>
  </ds:schemaRefs>
</ds:datastoreItem>
</file>

<file path=customXml/itemProps2.xml><?xml version="1.0" encoding="utf-8"?>
<ds:datastoreItem xmlns:ds="http://schemas.openxmlformats.org/officeDocument/2006/customXml" ds:itemID="{313079A7-6DEE-487B-AADB-CC669B83C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36202-47A5-4C95-8B98-F8C480EA1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723B9-8288-420B-8045-4FBD5873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dcterms:created xsi:type="dcterms:W3CDTF">2024-03-04T08:52:00Z</dcterms:created>
  <dcterms:modified xsi:type="dcterms:W3CDTF">2024-03-04T09:40:00Z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