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9B3C6" w14:textId="77777777" w:rsidR="001C5B02" w:rsidRPr="00C43C55" w:rsidRDefault="001C5B02" w:rsidP="001C5B02">
      <w:pPr>
        <w:pBdr>
          <w:top w:val="single" w:sz="12" w:space="0" w:color="auto" w:shadow="1"/>
          <w:left w:val="single" w:sz="12" w:space="4" w:color="auto" w:shadow="1"/>
          <w:bottom w:val="single" w:sz="12" w:space="1" w:color="auto" w:shadow="1"/>
          <w:right w:val="single" w:sz="12" w:space="1" w:color="auto" w:shadow="1"/>
        </w:pBdr>
        <w:suppressAutoHyphens/>
        <w:ind w:right="4490"/>
        <w:rPr>
          <w:rFonts w:cstheme="minorHAnsi"/>
          <w:bCs/>
          <w:sz w:val="22"/>
          <w:szCs w:val="22"/>
        </w:rPr>
      </w:pPr>
      <w:r>
        <w:rPr>
          <w:sz w:val="22"/>
        </w:rPr>
        <w:t>CONVENTION SUR LES ZONES HUMIDES</w:t>
      </w:r>
    </w:p>
    <w:p w14:paraId="5AC29070" w14:textId="77777777" w:rsidR="001C5B02" w:rsidRPr="00C43C55" w:rsidRDefault="001C5B02" w:rsidP="001C5B02">
      <w:pPr>
        <w:pBdr>
          <w:top w:val="single" w:sz="12" w:space="0" w:color="auto" w:shadow="1"/>
          <w:left w:val="single" w:sz="12" w:space="4" w:color="auto" w:shadow="1"/>
          <w:bottom w:val="single" w:sz="12" w:space="1" w:color="auto" w:shadow="1"/>
          <w:right w:val="single" w:sz="12" w:space="1" w:color="auto" w:shadow="1"/>
        </w:pBdr>
        <w:suppressAutoHyphens/>
        <w:ind w:right="4490"/>
        <w:rPr>
          <w:rFonts w:cstheme="minorHAnsi"/>
          <w:bCs/>
          <w:sz w:val="22"/>
          <w:szCs w:val="22"/>
        </w:rPr>
      </w:pPr>
      <w:r>
        <w:rPr>
          <w:sz w:val="22"/>
        </w:rPr>
        <w:t>63</w:t>
      </w:r>
      <w:r>
        <w:rPr>
          <w:sz w:val="22"/>
          <w:vertAlign w:val="superscript"/>
        </w:rPr>
        <w:t>e</w:t>
      </w:r>
      <w:r>
        <w:rPr>
          <w:sz w:val="22"/>
        </w:rPr>
        <w:t> réunion du Comité permanent</w:t>
      </w:r>
    </w:p>
    <w:p w14:paraId="752C0CE6" w14:textId="77777777" w:rsidR="001C5B02" w:rsidRPr="00C43C55" w:rsidRDefault="001C5B02" w:rsidP="001C5B02">
      <w:pPr>
        <w:pBdr>
          <w:top w:val="single" w:sz="12" w:space="0" w:color="auto" w:shadow="1"/>
          <w:left w:val="single" w:sz="12" w:space="4" w:color="auto" w:shadow="1"/>
          <w:bottom w:val="single" w:sz="12" w:space="1" w:color="auto" w:shadow="1"/>
          <w:right w:val="single" w:sz="12" w:space="1" w:color="auto" w:shadow="1"/>
        </w:pBdr>
        <w:suppressAutoHyphens/>
        <w:ind w:right="4490"/>
        <w:rPr>
          <w:rFonts w:cstheme="minorHAnsi"/>
          <w:bCs/>
          <w:sz w:val="22"/>
          <w:szCs w:val="22"/>
        </w:rPr>
      </w:pPr>
      <w:r>
        <w:rPr>
          <w:sz w:val="22"/>
        </w:rPr>
        <w:t>Gland, Suisse, 3 au 7 juin 2024</w:t>
      </w:r>
    </w:p>
    <w:p w14:paraId="35F7C931" w14:textId="77777777" w:rsidR="006C4071" w:rsidRPr="002F6C37" w:rsidRDefault="006C4071" w:rsidP="006C4071">
      <w:pPr>
        <w:tabs>
          <w:tab w:val="left" w:pos="8789"/>
        </w:tabs>
        <w:ind w:right="4490"/>
        <w:rPr>
          <w:sz w:val="28"/>
          <w:szCs w:val="28"/>
        </w:rPr>
      </w:pPr>
    </w:p>
    <w:p w14:paraId="7DEE3D88" w14:textId="54C2B78C" w:rsidR="006C4071" w:rsidRPr="002F22EE" w:rsidRDefault="006C4071" w:rsidP="006C4071">
      <w:pPr>
        <w:jc w:val="right"/>
        <w:rPr>
          <w:rFonts w:cstheme="minorHAnsi"/>
          <w:b/>
          <w:sz w:val="28"/>
          <w:szCs w:val="28"/>
        </w:rPr>
      </w:pPr>
      <w:r>
        <w:rPr>
          <w:b/>
          <w:sz w:val="28"/>
        </w:rPr>
        <w:t>SC6</w:t>
      </w:r>
      <w:r w:rsidR="009E6B02">
        <w:rPr>
          <w:b/>
          <w:sz w:val="28"/>
        </w:rPr>
        <w:t>3</w:t>
      </w:r>
      <w:bookmarkStart w:id="0" w:name="_GoBack"/>
      <w:bookmarkEnd w:id="0"/>
      <w:r>
        <w:rPr>
          <w:b/>
          <w:sz w:val="28"/>
        </w:rPr>
        <w:t xml:space="preserve"> Doc.17.1</w:t>
      </w:r>
    </w:p>
    <w:p w14:paraId="37BB775A" w14:textId="77777777" w:rsidR="006C4071" w:rsidRPr="002F6C37" w:rsidRDefault="006C4071" w:rsidP="006C4071">
      <w:pPr>
        <w:jc w:val="center"/>
        <w:rPr>
          <w:rFonts w:cstheme="minorHAnsi"/>
          <w:bCs/>
          <w:sz w:val="28"/>
          <w:szCs w:val="28"/>
        </w:rPr>
      </w:pPr>
    </w:p>
    <w:p w14:paraId="2DDE95BB" w14:textId="3AFBCDA5" w:rsidR="006C4071" w:rsidRPr="006C4071" w:rsidRDefault="006C4071" w:rsidP="006C4071">
      <w:pPr>
        <w:jc w:val="center"/>
        <w:rPr>
          <w:rFonts w:cstheme="minorHAnsi"/>
          <w:b/>
          <w:bCs/>
          <w:sz w:val="28"/>
          <w:szCs w:val="28"/>
        </w:rPr>
      </w:pPr>
      <w:r>
        <w:rPr>
          <w:b/>
          <w:sz w:val="28"/>
        </w:rPr>
        <w:t xml:space="preserve">Communication, renforcement des capacités, éducation, </w:t>
      </w:r>
      <w:r w:rsidR="00196F8C">
        <w:rPr>
          <w:b/>
          <w:sz w:val="28"/>
        </w:rPr>
        <w:br/>
      </w:r>
      <w:r>
        <w:rPr>
          <w:b/>
          <w:sz w:val="28"/>
        </w:rPr>
        <w:t>sensibilisation et participation (CESP) :</w:t>
      </w:r>
    </w:p>
    <w:p w14:paraId="4F22FF33" w14:textId="77777777" w:rsidR="00CF5664" w:rsidRDefault="000C7AC5" w:rsidP="006C4071">
      <w:pPr>
        <w:pStyle w:val="NormalWeb"/>
        <w:spacing w:before="0" w:beforeAutospacing="0" w:after="0" w:afterAutospacing="0"/>
        <w:jc w:val="center"/>
        <w:rPr>
          <w:rFonts w:ascii="Calibri" w:hAnsi="Calibri" w:cs="Calibri"/>
          <w:b/>
          <w:bCs/>
          <w:sz w:val="28"/>
          <w:szCs w:val="28"/>
        </w:rPr>
      </w:pPr>
      <w:r>
        <w:rPr>
          <w:rFonts w:ascii="Calibri" w:hAnsi="Calibri"/>
          <w:b/>
          <w:sz w:val="28"/>
        </w:rPr>
        <w:t>Rapport du Président du Groupe de surveillance des activités de CESP</w:t>
      </w:r>
    </w:p>
    <w:p w14:paraId="0CA52052" w14:textId="77777777" w:rsidR="006C4071" w:rsidRPr="002F6C37" w:rsidRDefault="006C4071" w:rsidP="006C4071">
      <w:pPr>
        <w:pStyle w:val="NormalWeb"/>
        <w:spacing w:before="0" w:beforeAutospacing="0" w:after="0" w:afterAutospacing="0"/>
        <w:jc w:val="center"/>
        <w:rPr>
          <w:rFonts w:ascii="Calibri" w:hAnsi="Calibri" w:cs="Calibri"/>
          <w:b/>
          <w:bCs/>
          <w:sz w:val="28"/>
          <w:szCs w:val="28"/>
        </w:rPr>
      </w:pPr>
    </w:p>
    <w:p w14:paraId="35D5A6A2" w14:textId="77777777" w:rsidR="002B57D1" w:rsidRPr="002F6C37" w:rsidRDefault="002B57D1" w:rsidP="006C4071">
      <w:pPr>
        <w:pStyle w:val="NormalWeb"/>
        <w:spacing w:before="0" w:beforeAutospacing="0" w:after="0" w:afterAutospacing="0"/>
        <w:jc w:val="center"/>
        <w:rPr>
          <w:rFonts w:ascii="Calibri" w:hAnsi="Calibri" w:cs="Calibri"/>
          <w:b/>
          <w:bCs/>
          <w:sz w:val="2"/>
          <w:szCs w:val="2"/>
        </w:rPr>
      </w:pPr>
    </w:p>
    <w:p w14:paraId="60665B35" w14:textId="77777777" w:rsidR="006C4071" w:rsidRDefault="001C5B02" w:rsidP="006C4071">
      <w:pPr>
        <w:rPr>
          <w:rFonts w:ascii="Calibri" w:eastAsia="Times New Roman" w:hAnsi="Calibri" w:cs="Calibri"/>
          <w:b/>
          <w:bCs/>
          <w:sz w:val="22"/>
          <w:szCs w:val="22"/>
        </w:rPr>
      </w:pPr>
      <w:r>
        <w:rPr>
          <w:noProof/>
        </w:rPr>
        <mc:AlternateContent>
          <mc:Choice Requires="wps">
            <w:drawing>
              <wp:inline distT="0" distB="0" distL="0" distR="0" wp14:anchorId="18027CC3" wp14:editId="3E203B44">
                <wp:extent cx="5731510" cy="1722120"/>
                <wp:effectExtent l="0" t="0" r="21590"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722120"/>
                        </a:xfrm>
                        <a:prstGeom prst="rect">
                          <a:avLst/>
                        </a:prstGeom>
                        <a:solidFill>
                          <a:srgbClr val="FFFFFF"/>
                        </a:solidFill>
                        <a:ln w="9525">
                          <a:solidFill>
                            <a:srgbClr val="000000"/>
                          </a:solidFill>
                          <a:miter lim="800000"/>
                          <a:headEnd/>
                          <a:tailEnd/>
                        </a:ln>
                      </wps:spPr>
                      <wps:txbx>
                        <w:txbxContent>
                          <w:p w14:paraId="1E946774" w14:textId="64AE252B" w:rsidR="001C5B02" w:rsidRPr="001C5B02" w:rsidRDefault="001C5B02" w:rsidP="001C5B02">
                            <w:pPr>
                              <w:rPr>
                                <w:b/>
                                <w:bCs/>
                              </w:rPr>
                            </w:pPr>
                            <w:r>
                              <w:rPr>
                                <w:b/>
                              </w:rPr>
                              <w:t xml:space="preserve">Mesure requise : </w:t>
                            </w:r>
                          </w:p>
                          <w:p w14:paraId="3E51A16F" w14:textId="77777777" w:rsidR="001C5B02" w:rsidRDefault="001C5B02" w:rsidP="001C5B02">
                            <w:pPr>
                              <w:pStyle w:val="ColorfulList-Accent11"/>
                              <w:ind w:left="0"/>
                            </w:pPr>
                          </w:p>
                          <w:p w14:paraId="5CAB066D" w14:textId="77777777" w:rsidR="001C5B02" w:rsidRDefault="001C5B02" w:rsidP="001C5B02">
                            <w:pPr>
                              <w:pStyle w:val="ColorfulList-Accent11"/>
                              <w:ind w:left="0" w:firstLine="0"/>
                              <w:rPr>
                                <w:rFonts w:cs="Calibri"/>
                              </w:rPr>
                            </w:pPr>
                            <w:r>
                              <w:t>Le Comité permanent est invité à :</w:t>
                            </w:r>
                          </w:p>
                          <w:p w14:paraId="28225B0A" w14:textId="77777777" w:rsidR="001C5B02" w:rsidRDefault="001C5B02" w:rsidP="001C5B02">
                            <w:pPr>
                              <w:pStyle w:val="ColorfulList-Accent11"/>
                              <w:ind w:left="0" w:firstLine="0"/>
                              <w:rPr>
                                <w:rFonts w:cs="Calibri"/>
                              </w:rPr>
                            </w:pPr>
                          </w:p>
                          <w:p w14:paraId="490B677F" w14:textId="77777777" w:rsidR="001C5B02" w:rsidRPr="001C5B02" w:rsidRDefault="001C5B02" w:rsidP="001C5B02">
                            <w:pPr>
                              <w:pStyle w:val="ColorfulList-Accent11"/>
                              <w:ind w:left="425"/>
                              <w:rPr>
                                <w:rFonts w:cs="Calibri"/>
                              </w:rPr>
                            </w:pPr>
                            <w:r>
                              <w:t>i.</w:t>
                            </w:r>
                            <w:r>
                              <w:tab/>
                              <w:t>prendre note du présent rapport du Président du Groupe de surveillance des activités de CESP ; et</w:t>
                            </w:r>
                          </w:p>
                          <w:p w14:paraId="558E5D4F" w14:textId="77777777" w:rsidR="001C5B02" w:rsidRPr="00CD1946" w:rsidRDefault="001C5B02" w:rsidP="001C5B02">
                            <w:pPr>
                              <w:pStyle w:val="ColorfulList-Accent11"/>
                              <w:ind w:left="425"/>
                            </w:pPr>
                          </w:p>
                          <w:p w14:paraId="519E884C" w14:textId="77777777" w:rsidR="001C5B02" w:rsidRPr="00211A70" w:rsidRDefault="001C5B02" w:rsidP="001C5B02">
                            <w:pPr>
                              <w:pStyle w:val="ColorfulList-Accent11"/>
                              <w:ind w:left="425"/>
                              <w:rPr>
                                <w:rFonts w:cs="Calibri"/>
                              </w:rPr>
                            </w:pPr>
                            <w:r>
                              <w:t>ii.</w:t>
                            </w:r>
                            <w:r>
                              <w:tab/>
                              <w:t>donner des orientations sur le processus d’actualisation du logo de la Convention sur les zones humides.</w:t>
                            </w:r>
                          </w:p>
                          <w:p w14:paraId="49DFBB54" w14:textId="77777777" w:rsidR="001C5B02" w:rsidRDefault="001C5B02" w:rsidP="001C5B02">
                            <w:pPr>
                              <w:pStyle w:val="ColorfulList-Accent11"/>
                              <w:ind w:left="0" w:firstLine="0"/>
                            </w:pPr>
                          </w:p>
                        </w:txbxContent>
                      </wps:txbx>
                      <wps:bodyPr rot="0" vert="horz" wrap="square" lIns="91440" tIns="45720" rIns="91440" bIns="45720" anchor="t" anchorCtr="0" upright="1">
                        <a:noAutofit/>
                      </wps:bodyPr>
                    </wps:wsp>
                  </a:graphicData>
                </a:graphic>
              </wp:inline>
            </w:drawing>
          </mc:Choice>
          <mc:Fallback>
            <w:pict>
              <v:shapetype w14:anchorId="18027CC3" id="_x0000_t202" coordsize="21600,21600" o:spt="202" path="m,l,21600r21600,l21600,xe">
                <v:stroke joinstyle="miter"/>
                <v:path gradientshapeok="t" o:connecttype="rect"/>
              </v:shapetype>
              <v:shape id="Text Box 1" o:spid="_x0000_s1026" type="#_x0000_t202" style="width:451.3pt;height:13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">
                <v:textbox>
                  <w:txbxContent>
                    <w:p w14:paraId="1E946774" w14:textId="64AE252B" w:rsidR="001C5B02" w:rsidRPr="001C5B02" w:rsidRDefault="001C5B02" w:rsidP="001C5B02">
                      <w:pPr>
                        <w:rPr>
                          <w:b/>
                          <w:bCs/>
                        </w:rPr>
                      </w:pPr>
                      <w:r>
                        <w:rPr>
                          <w:b/>
                        </w:rPr>
                        <w:t xml:space="preserve">Mesure requise : </w:t>
                      </w:r>
                    </w:p>
                    <w:p w14:paraId="3E51A16F" w14:textId="77777777" w:rsidR="001C5B02" w:rsidRDefault="001C5B02" w:rsidP="001C5B02">
                      <w:pPr>
                        <w:pStyle w:val="ColorfulList-Accent11"/>
                        <w:ind w:left="0"/>
                      </w:pPr>
                    </w:p>
                    <w:p w14:paraId="5CAB066D" w14:textId="77777777" w:rsidR="001C5B02" w:rsidRDefault="001C5B02" w:rsidP="001C5B02">
                      <w:pPr>
                        <w:pStyle w:val="ColorfulList-Accent11"/>
                        <w:ind w:left="0" w:firstLine="0"/>
                        <w:rPr>
                          <w:rFonts w:cs="Calibri"/>
                        </w:rPr>
                      </w:pPr>
                      <w:r>
                        <w:t>Le Comité permanent est invité à :</w:t>
                      </w:r>
                    </w:p>
                    <w:p w14:paraId="28225B0A" w14:textId="77777777" w:rsidR="001C5B02" w:rsidRDefault="001C5B02" w:rsidP="001C5B02">
                      <w:pPr>
                        <w:pStyle w:val="ColorfulList-Accent11"/>
                        <w:ind w:left="0" w:firstLine="0"/>
                        <w:rPr>
                          <w:rFonts w:cs="Calibri"/>
                        </w:rPr>
                      </w:pPr>
                    </w:p>
                    <w:p w14:paraId="490B677F" w14:textId="77777777" w:rsidR="001C5B02" w:rsidRPr="001C5B02" w:rsidRDefault="001C5B02" w:rsidP="001C5B02">
                      <w:pPr>
                        <w:pStyle w:val="ColorfulList-Accent11"/>
                        <w:ind w:left="425"/>
                        <w:rPr>
                          <w:rFonts w:cs="Calibri"/>
                        </w:rPr>
                      </w:pPr>
                      <w:r>
                        <w:t>i.</w:t>
                      </w:r>
                      <w:r>
                        <w:tab/>
                        <w:t>prendre note du présent rapport du Président du Groupe de surveillance des activités de CESP ; et</w:t>
                      </w:r>
                    </w:p>
                    <w:p w14:paraId="558E5D4F" w14:textId="77777777" w:rsidR="001C5B02" w:rsidRPr="00CD1946" w:rsidRDefault="001C5B02" w:rsidP="001C5B02">
                      <w:pPr>
                        <w:pStyle w:val="ColorfulList-Accent11"/>
                        <w:ind w:left="425"/>
                      </w:pPr>
                    </w:p>
                    <w:p w14:paraId="519E884C" w14:textId="77777777" w:rsidR="001C5B02" w:rsidRPr="00211A70" w:rsidRDefault="001C5B02" w:rsidP="001C5B02">
                      <w:pPr>
                        <w:pStyle w:val="ColorfulList-Accent11"/>
                        <w:ind w:left="425"/>
                        <w:rPr>
                          <w:rFonts w:cs="Calibri"/>
                        </w:rPr>
                      </w:pPr>
                      <w:r>
                        <w:t>ii.</w:t>
                      </w:r>
                      <w:r>
                        <w:tab/>
                        <w:t>donner des orientations sur le processus d’actualisation du logo de la Convention sur les zones humides.</w:t>
                      </w:r>
                    </w:p>
                    <w:p w14:paraId="49DFBB54" w14:textId="77777777" w:rsidR="001C5B02" w:rsidRDefault="001C5B02" w:rsidP="001C5B02">
                      <w:pPr>
                        <w:pStyle w:val="ColorfulList-Accent11"/>
                        <w:ind w:left="0" w:firstLine="0"/>
                      </w:pPr>
                    </w:p>
                  </w:txbxContent>
                </v:textbox>
                <w10:anchorlock/>
              </v:shape>
            </w:pict>
          </mc:Fallback>
        </mc:AlternateContent>
      </w:r>
    </w:p>
    <w:p w14:paraId="51C5EF99" w14:textId="77777777" w:rsidR="001C5B02" w:rsidRDefault="001C5B02" w:rsidP="006C4071">
      <w:pPr>
        <w:rPr>
          <w:rFonts w:ascii="Calibri" w:eastAsia="Times New Roman" w:hAnsi="Calibri" w:cs="Calibri"/>
          <w:b/>
          <w:bCs/>
          <w:sz w:val="22"/>
          <w:szCs w:val="22"/>
          <w:lang w:val="en-US" w:eastAsia="fr-CA"/>
        </w:rPr>
      </w:pPr>
    </w:p>
    <w:p w14:paraId="31859746" w14:textId="77777777" w:rsidR="001C5B02" w:rsidRPr="00F30A19" w:rsidRDefault="001C5B02" w:rsidP="006C4071">
      <w:pPr>
        <w:rPr>
          <w:rFonts w:ascii="Calibri" w:eastAsia="Times New Roman" w:hAnsi="Calibri" w:cs="Calibri"/>
          <w:b/>
          <w:bCs/>
          <w:sz w:val="22"/>
          <w:szCs w:val="22"/>
          <w:lang w:val="en-US" w:eastAsia="fr-CA"/>
        </w:rPr>
      </w:pPr>
    </w:p>
    <w:p w14:paraId="6D093856" w14:textId="77777777" w:rsidR="00CF5664" w:rsidRPr="00F30A19" w:rsidRDefault="00CF5664" w:rsidP="006C4071">
      <w:pPr>
        <w:rPr>
          <w:rFonts w:ascii="Calibri" w:eastAsia="Times New Roman" w:hAnsi="Calibri" w:cs="Calibri"/>
          <w:b/>
          <w:bCs/>
          <w:sz w:val="22"/>
          <w:szCs w:val="22"/>
        </w:rPr>
      </w:pPr>
      <w:r>
        <w:rPr>
          <w:rFonts w:ascii="Calibri" w:hAnsi="Calibri"/>
          <w:b/>
          <w:sz w:val="22"/>
        </w:rPr>
        <w:t xml:space="preserve">Contexte </w:t>
      </w:r>
    </w:p>
    <w:p w14:paraId="15C32844" w14:textId="77777777" w:rsidR="006C4071" w:rsidRPr="002F6C37" w:rsidRDefault="006C4071" w:rsidP="006C4071">
      <w:pPr>
        <w:rPr>
          <w:rFonts w:eastAsia="Times New Roman" w:cstheme="minorHAnsi"/>
          <w:sz w:val="22"/>
          <w:szCs w:val="22"/>
          <w:lang w:eastAsia="fr-CA"/>
        </w:rPr>
      </w:pPr>
    </w:p>
    <w:p w14:paraId="7AEC7744" w14:textId="77777777" w:rsidR="00E33F55" w:rsidRPr="00F30A19" w:rsidRDefault="006C4071" w:rsidP="006C4071">
      <w:pPr>
        <w:pStyle w:val="Default"/>
        <w:ind w:left="426" w:hanging="426"/>
        <w:jc w:val="both"/>
        <w:rPr>
          <w:rFonts w:asciiTheme="minorHAnsi" w:hAnsiTheme="minorHAnsi" w:cstheme="minorHAnsi"/>
          <w:sz w:val="22"/>
          <w:szCs w:val="22"/>
        </w:rPr>
      </w:pPr>
      <w:r>
        <w:rPr>
          <w:rFonts w:asciiTheme="minorHAnsi" w:hAnsiTheme="minorHAnsi"/>
          <w:sz w:val="22"/>
        </w:rPr>
        <w:t>1.</w:t>
      </w:r>
      <w:r>
        <w:rPr>
          <w:rFonts w:asciiTheme="minorHAnsi" w:hAnsiTheme="minorHAnsi"/>
          <w:sz w:val="22"/>
        </w:rPr>
        <w:tab/>
        <w:t>Ce rapport du Président donne une vue d’ensemble des travaux menés par le Groupe de surveillance des activités de CESP depuis la 62</w:t>
      </w:r>
      <w:r>
        <w:rPr>
          <w:rFonts w:asciiTheme="minorHAnsi" w:hAnsiTheme="minorHAnsi"/>
          <w:sz w:val="22"/>
          <w:vertAlign w:val="superscript"/>
        </w:rPr>
        <w:t>e</w:t>
      </w:r>
      <w:r>
        <w:rPr>
          <w:rFonts w:asciiTheme="minorHAnsi" w:hAnsiTheme="minorHAnsi"/>
          <w:sz w:val="22"/>
        </w:rPr>
        <w:t xml:space="preserve"> réunion du Comité permanent. </w:t>
      </w:r>
    </w:p>
    <w:p w14:paraId="5CA85F3E" w14:textId="77777777" w:rsidR="006C4071" w:rsidRPr="002F6C37" w:rsidRDefault="006C4071" w:rsidP="006C4071">
      <w:pPr>
        <w:pStyle w:val="NormalWeb"/>
        <w:spacing w:before="0" w:beforeAutospacing="0" w:after="0" w:afterAutospacing="0"/>
        <w:rPr>
          <w:rFonts w:asciiTheme="minorHAnsi" w:hAnsiTheme="minorHAnsi" w:cstheme="minorHAnsi"/>
          <w:sz w:val="22"/>
          <w:szCs w:val="22"/>
        </w:rPr>
      </w:pPr>
    </w:p>
    <w:p w14:paraId="425AAAF6" w14:textId="77777777" w:rsidR="00E33F55" w:rsidRPr="00F30A19" w:rsidRDefault="00E33F55" w:rsidP="006C4071">
      <w:pPr>
        <w:pStyle w:val="NormalWeb"/>
        <w:spacing w:before="0" w:beforeAutospacing="0" w:after="0" w:afterAutospacing="0"/>
        <w:rPr>
          <w:rFonts w:asciiTheme="minorHAnsi" w:hAnsiTheme="minorHAnsi" w:cstheme="minorHAnsi"/>
          <w:b/>
          <w:bCs/>
          <w:sz w:val="22"/>
          <w:szCs w:val="22"/>
        </w:rPr>
      </w:pPr>
      <w:r>
        <w:rPr>
          <w:rFonts w:asciiTheme="minorHAnsi" w:hAnsiTheme="minorHAnsi"/>
          <w:b/>
          <w:sz w:val="22"/>
        </w:rPr>
        <w:t xml:space="preserve">Travaux menés par le Groupe de surveillance </w:t>
      </w:r>
    </w:p>
    <w:p w14:paraId="2B5D6640" w14:textId="77777777" w:rsidR="006C4071" w:rsidRPr="002F6C37" w:rsidRDefault="006C4071" w:rsidP="006C4071">
      <w:pPr>
        <w:pStyle w:val="NormalWeb"/>
        <w:spacing w:before="0" w:beforeAutospacing="0" w:after="0" w:afterAutospacing="0"/>
        <w:rPr>
          <w:rFonts w:asciiTheme="minorHAnsi" w:hAnsiTheme="minorHAnsi" w:cstheme="minorHAnsi"/>
          <w:sz w:val="22"/>
          <w:szCs w:val="22"/>
        </w:rPr>
      </w:pPr>
    </w:p>
    <w:p w14:paraId="392878A5" w14:textId="739720EB" w:rsidR="0030364B" w:rsidRPr="00F30A19" w:rsidRDefault="00F1508F" w:rsidP="006C4071">
      <w:pPr>
        <w:ind w:left="426" w:hanging="426"/>
        <w:rPr>
          <w:rFonts w:eastAsia="Times New Roman" w:cstheme="minorHAnsi"/>
          <w:sz w:val="22"/>
          <w:szCs w:val="22"/>
        </w:rPr>
      </w:pPr>
      <w:r>
        <w:rPr>
          <w:sz w:val="22"/>
        </w:rPr>
        <w:t>2.</w:t>
      </w:r>
      <w:r>
        <w:rPr>
          <w:sz w:val="22"/>
        </w:rPr>
        <w:tab/>
        <w:t xml:space="preserve">Le </w:t>
      </w:r>
      <w:r w:rsidR="00EF318E">
        <w:rPr>
          <w:sz w:val="22"/>
        </w:rPr>
        <w:t>G</w:t>
      </w:r>
      <w:r>
        <w:rPr>
          <w:sz w:val="22"/>
        </w:rPr>
        <w:t xml:space="preserve">roupe s’est réuni en ligne le 20 septembre 2023. Lors de cette réunion, il a examiné le plan de travail du Groupe de surveillance des activités de CESP, approuvé par la décision SC62-27, et a pris des mesures en vue d’organiser un webinaire de renforcement des capacités destiné aux praticiens de CESP, d’élaborer une enquête pour guider le développement des ressources de CESP, et de préparer le document sur les futures activités du Groupe de surveillance demandé dans le paragraphe 12 de la Résolution XIV.8.  </w:t>
      </w:r>
    </w:p>
    <w:p w14:paraId="60A93226" w14:textId="77777777" w:rsidR="0030364B" w:rsidRPr="002F6C37" w:rsidRDefault="0030364B" w:rsidP="006C4071">
      <w:pPr>
        <w:ind w:left="426" w:hanging="426"/>
        <w:rPr>
          <w:rFonts w:eastAsia="Times New Roman" w:cstheme="minorHAnsi"/>
          <w:sz w:val="22"/>
          <w:szCs w:val="22"/>
          <w:lang w:eastAsia="fr-CA"/>
        </w:rPr>
      </w:pPr>
    </w:p>
    <w:p w14:paraId="55F5BE56" w14:textId="4D341014" w:rsidR="00EB3829" w:rsidRDefault="00F1508F" w:rsidP="00EB3829">
      <w:pPr>
        <w:ind w:left="426" w:hanging="426"/>
        <w:rPr>
          <w:rFonts w:eastAsia="Times New Roman" w:cstheme="minorHAnsi"/>
          <w:sz w:val="22"/>
          <w:szCs w:val="22"/>
        </w:rPr>
      </w:pPr>
      <w:r>
        <w:rPr>
          <w:sz w:val="22"/>
        </w:rPr>
        <w:t>3.</w:t>
      </w:r>
      <w:r>
        <w:rPr>
          <w:sz w:val="22"/>
        </w:rPr>
        <w:tab/>
        <w:t>Une autre réunion virtuelle s’est tenue le 6 décembre 2023. Le plan de travail</w:t>
      </w:r>
      <w:r w:rsidR="00EF318E">
        <w:rPr>
          <w:sz w:val="22"/>
        </w:rPr>
        <w:t xml:space="preserve"> y</w:t>
      </w:r>
      <w:r>
        <w:rPr>
          <w:sz w:val="22"/>
        </w:rPr>
        <w:t xml:space="preserve"> a été réexaminé, le Secrétariat présentant les commentaires reçus du Groupe de surveillance sur le premier projet de document sur les futures activités du Groupe de surveillance des activités de CESP et le Président présentant l’état d’avancement d’autres aspects du plan de travail. Le Secrétariat a en outre présenté des supports de communication visant à appuyer les activités de sensibilisation lors de la Journée mondiale des zones humides 2024.</w:t>
      </w:r>
    </w:p>
    <w:p w14:paraId="4F93BD9C" w14:textId="77777777" w:rsidR="00EB3829" w:rsidRPr="002F6C37" w:rsidRDefault="00EB3829" w:rsidP="00EB3829">
      <w:pPr>
        <w:ind w:left="426" w:hanging="426"/>
      </w:pPr>
    </w:p>
    <w:p w14:paraId="71DDF7BD" w14:textId="77777777" w:rsidR="004F76B3" w:rsidRPr="004F76B3" w:rsidRDefault="00F1508F" w:rsidP="004F76B3">
      <w:pPr>
        <w:ind w:left="426" w:hanging="426"/>
        <w:rPr>
          <w:sz w:val="22"/>
          <w:szCs w:val="22"/>
        </w:rPr>
      </w:pPr>
      <w:r>
        <w:rPr>
          <w:sz w:val="22"/>
        </w:rPr>
        <w:t>4.</w:t>
      </w:r>
      <w:r>
        <w:rPr>
          <w:sz w:val="22"/>
        </w:rPr>
        <w:tab/>
        <w:t xml:space="preserve">Au cours de la réunion, le Correspondant national de l’Autriche a présenté une proposition suggérant d’actualiser le logo de la Convention sur les zones humides. L’Autriche et le Secrétariat ont souligné que le logo actuel était soumis à des contraintes fonctionnelles en raison de son format et de sa police de caractères. L’apparence actuelle du logo est considérée comme désuète. Les membres ont reconnu que le Groupe de surveillance des activités de CESP était l’organe le plus compétent au sein de la Convention pour se prononcer sur l’utilité d’une </w:t>
      </w:r>
      <w:r>
        <w:rPr>
          <w:sz w:val="22"/>
        </w:rPr>
        <w:lastRenderedPageBreak/>
        <w:t>actualisation du logo. Il a été convenu que, dans son rapport à la SC63, le Groupe de surveillance des activités de CESP recommanderait au Comité permanent d’actualiser le logo de la Convention.</w:t>
      </w:r>
    </w:p>
    <w:p w14:paraId="6B760757" w14:textId="77777777" w:rsidR="0030364B" w:rsidRPr="002F6C37" w:rsidRDefault="0030364B" w:rsidP="006C4071">
      <w:pPr>
        <w:ind w:left="426" w:hanging="426"/>
        <w:rPr>
          <w:rFonts w:eastAsia="Times New Roman" w:cstheme="minorHAnsi"/>
          <w:sz w:val="22"/>
          <w:szCs w:val="22"/>
          <w:lang w:eastAsia="fr-CA"/>
        </w:rPr>
      </w:pPr>
    </w:p>
    <w:p w14:paraId="2A049436" w14:textId="233157C1" w:rsidR="006F5F2A" w:rsidRDefault="00625BC9" w:rsidP="004F76B3">
      <w:pPr>
        <w:ind w:left="426" w:hanging="426"/>
        <w:rPr>
          <w:rFonts w:eastAsia="Times New Roman" w:cstheme="minorHAnsi"/>
          <w:spacing w:val="-2"/>
          <w:sz w:val="22"/>
          <w:szCs w:val="22"/>
        </w:rPr>
      </w:pPr>
      <w:r>
        <w:rPr>
          <w:sz w:val="22"/>
        </w:rPr>
        <w:t>5.</w:t>
      </w:r>
      <w:r>
        <w:rPr>
          <w:sz w:val="22"/>
        </w:rPr>
        <w:tab/>
        <w:t xml:space="preserve">Le Groupe s’est de nouveau réuni le 6 février 2024 pour examiner la mise en œuvre du plan de travail et, notamment, pour discuter des résultats et des enseignements tirés de la Journée mondiale des zones humides 2024. Les membres du Groupe ont fait part de leurs expériences et partagé leurs suggestions pour améliorer l’impact de cette manifestation dans les années à venir. Le Président a indiqué que le nombre de réponses reçues dans le cadre de l’enquête en ligne visant à guider le développement des ressources de CESP était décevant et a demandé aux membres du Groupe de prendre des mesures pour diffuser l’enquête davantage et stimuler la participation. Le Groupe a discuté du webinaire de renforcement des capacités proposé à l’intention des praticiens de CESP et a convenu du format, de l’ordre du jour et de la date, à savoir le 3 avril 2024. </w:t>
      </w:r>
    </w:p>
    <w:p w14:paraId="0CB69BFC" w14:textId="77777777" w:rsidR="006F5F2A" w:rsidRPr="002F6C37" w:rsidRDefault="006F5F2A" w:rsidP="004F76B3">
      <w:pPr>
        <w:ind w:left="426" w:hanging="426"/>
        <w:rPr>
          <w:rFonts w:eastAsia="Times New Roman" w:cstheme="minorHAnsi"/>
          <w:spacing w:val="-2"/>
          <w:sz w:val="22"/>
          <w:szCs w:val="22"/>
          <w:lang w:eastAsia="fr-CA"/>
        </w:rPr>
      </w:pPr>
    </w:p>
    <w:p w14:paraId="548AC725" w14:textId="22FC14AE" w:rsidR="004F76B3" w:rsidRDefault="006F5F2A" w:rsidP="004F76B3">
      <w:pPr>
        <w:ind w:left="426" w:hanging="426"/>
        <w:rPr>
          <w:rFonts w:eastAsia="Times New Roman" w:cstheme="minorHAnsi"/>
          <w:spacing w:val="-2"/>
          <w:sz w:val="22"/>
          <w:szCs w:val="22"/>
        </w:rPr>
      </w:pPr>
      <w:r>
        <w:rPr>
          <w:sz w:val="22"/>
        </w:rPr>
        <w:t>6.</w:t>
      </w:r>
      <w:r>
        <w:rPr>
          <w:sz w:val="22"/>
        </w:rPr>
        <w:tab/>
        <w:t>Tout au long de ces réunions, le Groupe d’évaluation scientifique et technique a continué à participer activement, en collaboration avec le Groupe de surveillance des activités de CESP.</w:t>
      </w:r>
    </w:p>
    <w:p w14:paraId="6B06C3E9" w14:textId="77777777" w:rsidR="00E05D89" w:rsidRPr="002F6C37" w:rsidRDefault="00E05D89" w:rsidP="006C4071">
      <w:pPr>
        <w:ind w:left="426" w:hanging="426"/>
        <w:rPr>
          <w:rFonts w:eastAsia="Times New Roman" w:cstheme="minorHAnsi"/>
          <w:spacing w:val="-2"/>
          <w:sz w:val="22"/>
          <w:szCs w:val="22"/>
          <w:lang w:eastAsia="fr-CA"/>
        </w:rPr>
      </w:pPr>
    </w:p>
    <w:p w14:paraId="7D96A9F1" w14:textId="39B54393" w:rsidR="004F76B3" w:rsidRPr="004F78DE" w:rsidRDefault="00B6499C" w:rsidP="004F76B3">
      <w:pPr>
        <w:ind w:left="426" w:hanging="426"/>
        <w:rPr>
          <w:rFonts w:eastAsia="Times New Roman" w:cstheme="minorHAnsi"/>
          <w:spacing w:val="-2"/>
          <w:sz w:val="22"/>
          <w:szCs w:val="22"/>
        </w:rPr>
      </w:pPr>
      <w:r>
        <w:rPr>
          <w:sz w:val="22"/>
        </w:rPr>
        <w:t>7.</w:t>
      </w:r>
      <w:r>
        <w:rPr>
          <w:sz w:val="22"/>
        </w:rPr>
        <w:tab/>
        <w:t xml:space="preserve">La prochaine réunion du Groupe est prévue pour le 18 mars 2024. Au cours de celle-ci, les plans du webinaire seront finalisés et d’autres discussions auront lieu sur le développement des ressources de CESP. </w:t>
      </w:r>
    </w:p>
    <w:sectPr w:rsidR="004F76B3" w:rsidRPr="004F78DE" w:rsidSect="00CE7A4E">
      <w:footerReference w:type="default" r:id="rId11"/>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0DFAA" w14:textId="77777777" w:rsidR="00CE7A4E" w:rsidRDefault="00CE7A4E" w:rsidP="00625BC9">
      <w:r>
        <w:separator/>
      </w:r>
    </w:p>
  </w:endnote>
  <w:endnote w:type="continuationSeparator" w:id="0">
    <w:p w14:paraId="6D51C999" w14:textId="77777777" w:rsidR="00CE7A4E" w:rsidRDefault="00CE7A4E" w:rsidP="0062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78982" w14:textId="77777777" w:rsidR="00F30A19" w:rsidRPr="00F30A19" w:rsidRDefault="00F30A19">
    <w:pPr>
      <w:pStyle w:val="Footer"/>
      <w:rPr>
        <w:sz w:val="20"/>
        <w:szCs w:val="20"/>
      </w:rPr>
    </w:pPr>
    <w:r>
      <w:rPr>
        <w:sz w:val="20"/>
      </w:rPr>
      <w:t>SC63 Doc.17.1</w:t>
    </w:r>
    <w:r>
      <w:rPr>
        <w:sz w:val="20"/>
      </w:rPr>
      <w:tab/>
    </w:r>
    <w:r>
      <w:rPr>
        <w:sz w:val="20"/>
      </w:rPr>
      <w:tab/>
    </w:r>
    <w:r w:rsidRPr="00F30A19">
      <w:rPr>
        <w:sz w:val="20"/>
      </w:rPr>
      <w:fldChar w:fldCharType="begin"/>
    </w:r>
    <w:r w:rsidRPr="00F30A19">
      <w:rPr>
        <w:sz w:val="20"/>
      </w:rPr>
      <w:instrText xml:space="preserve"> PAGE   \* MERGEFORMAT </w:instrText>
    </w:r>
    <w:r w:rsidRPr="00F30A19">
      <w:rPr>
        <w:sz w:val="20"/>
      </w:rPr>
      <w:fldChar w:fldCharType="separate"/>
    </w:r>
    <w:r w:rsidR="004F78DE">
      <w:rPr>
        <w:sz w:val="20"/>
      </w:rPr>
      <w:t>2</w:t>
    </w:r>
    <w:r w:rsidRPr="00F30A1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B124E" w14:textId="77777777" w:rsidR="00CE7A4E" w:rsidRDefault="00CE7A4E" w:rsidP="00625BC9">
      <w:r>
        <w:separator/>
      </w:r>
    </w:p>
  </w:footnote>
  <w:footnote w:type="continuationSeparator" w:id="0">
    <w:p w14:paraId="28F5EDE3" w14:textId="77777777" w:rsidR="00CE7A4E" w:rsidRDefault="00CE7A4E" w:rsidP="00625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691"/>
    <w:multiLevelType w:val="multilevel"/>
    <w:tmpl w:val="20D6F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5496A"/>
    <w:multiLevelType w:val="hybridMultilevel"/>
    <w:tmpl w:val="5C44F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87328F"/>
    <w:multiLevelType w:val="hybridMultilevel"/>
    <w:tmpl w:val="8530FF5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856408C"/>
    <w:multiLevelType w:val="hybridMultilevel"/>
    <w:tmpl w:val="8B001278"/>
    <w:lvl w:ilvl="0" w:tplc="5248EE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137D54"/>
    <w:multiLevelType w:val="multilevel"/>
    <w:tmpl w:val="BCE41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DD7BB5"/>
    <w:multiLevelType w:val="hybridMultilevel"/>
    <w:tmpl w:val="CA99F6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E7859F5"/>
    <w:multiLevelType w:val="hybridMultilevel"/>
    <w:tmpl w:val="BA0AC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59"/>
    <w:rsid w:val="00045D24"/>
    <w:rsid w:val="0005454D"/>
    <w:rsid w:val="000A2846"/>
    <w:rsid w:val="000A3859"/>
    <w:rsid w:val="000C7AC5"/>
    <w:rsid w:val="000E5A83"/>
    <w:rsid w:val="000F6080"/>
    <w:rsid w:val="001437A6"/>
    <w:rsid w:val="00152E04"/>
    <w:rsid w:val="001743A2"/>
    <w:rsid w:val="0017696B"/>
    <w:rsid w:val="00196F8C"/>
    <w:rsid w:val="001C5B02"/>
    <w:rsid w:val="00260431"/>
    <w:rsid w:val="00263657"/>
    <w:rsid w:val="002B57D1"/>
    <w:rsid w:val="002E3AC3"/>
    <w:rsid w:val="002F1BB6"/>
    <w:rsid w:val="002F6C37"/>
    <w:rsid w:val="0030364B"/>
    <w:rsid w:val="00351428"/>
    <w:rsid w:val="00382CF8"/>
    <w:rsid w:val="003E2BB2"/>
    <w:rsid w:val="004C6F51"/>
    <w:rsid w:val="004F76B3"/>
    <w:rsid w:val="004F78DE"/>
    <w:rsid w:val="005462C6"/>
    <w:rsid w:val="00582A42"/>
    <w:rsid w:val="005B4A54"/>
    <w:rsid w:val="00625BC9"/>
    <w:rsid w:val="006C4071"/>
    <w:rsid w:val="006C73C3"/>
    <w:rsid w:val="006D31FA"/>
    <w:rsid w:val="006F5F2A"/>
    <w:rsid w:val="00732FB6"/>
    <w:rsid w:val="007A5383"/>
    <w:rsid w:val="008066F5"/>
    <w:rsid w:val="00870095"/>
    <w:rsid w:val="00884E62"/>
    <w:rsid w:val="008866AE"/>
    <w:rsid w:val="00895ACA"/>
    <w:rsid w:val="008F3886"/>
    <w:rsid w:val="008F5A82"/>
    <w:rsid w:val="00920027"/>
    <w:rsid w:val="00983A36"/>
    <w:rsid w:val="009E6B02"/>
    <w:rsid w:val="00A32D44"/>
    <w:rsid w:val="00A628B5"/>
    <w:rsid w:val="00AF15CB"/>
    <w:rsid w:val="00B05AAC"/>
    <w:rsid w:val="00B2670A"/>
    <w:rsid w:val="00B6499C"/>
    <w:rsid w:val="00B901A4"/>
    <w:rsid w:val="00BF0BC5"/>
    <w:rsid w:val="00C11830"/>
    <w:rsid w:val="00C43C55"/>
    <w:rsid w:val="00C55A68"/>
    <w:rsid w:val="00C70CEA"/>
    <w:rsid w:val="00CE7A4E"/>
    <w:rsid w:val="00CF5664"/>
    <w:rsid w:val="00D07033"/>
    <w:rsid w:val="00DD0AE8"/>
    <w:rsid w:val="00DF276A"/>
    <w:rsid w:val="00E05D89"/>
    <w:rsid w:val="00E33F55"/>
    <w:rsid w:val="00E45FED"/>
    <w:rsid w:val="00E63036"/>
    <w:rsid w:val="00EB3829"/>
    <w:rsid w:val="00EF318E"/>
    <w:rsid w:val="00F1508F"/>
    <w:rsid w:val="00F30A19"/>
    <w:rsid w:val="00F75C5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F6B7"/>
  <w14:defaultImageDpi w14:val="32767"/>
  <w15:chartTrackingRefBased/>
  <w15:docId w15:val="{9EBF7F79-7C6C-684C-AC0B-9998F9E8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E6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7AC5"/>
    <w:pPr>
      <w:spacing w:before="100" w:beforeAutospacing="1" w:after="100" w:afterAutospacing="1"/>
    </w:pPr>
    <w:rPr>
      <w:rFonts w:ascii="Times New Roman" w:eastAsia="Times New Roman" w:hAnsi="Times New Roman" w:cs="Times New Roman"/>
      <w:lang w:eastAsia="fr-CA"/>
    </w:rPr>
  </w:style>
  <w:style w:type="table" w:styleId="TableGrid">
    <w:name w:val="Table Grid"/>
    <w:basedOn w:val="TableNormal"/>
    <w:uiPriority w:val="39"/>
    <w:rsid w:val="00CF5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2D44"/>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3E2BB2"/>
    <w:rPr>
      <w:sz w:val="16"/>
      <w:szCs w:val="16"/>
    </w:rPr>
  </w:style>
  <w:style w:type="paragraph" w:styleId="CommentText">
    <w:name w:val="annotation text"/>
    <w:basedOn w:val="Normal"/>
    <w:link w:val="CommentTextChar"/>
    <w:uiPriority w:val="99"/>
    <w:semiHidden/>
    <w:unhideWhenUsed/>
    <w:rsid w:val="003E2BB2"/>
    <w:rPr>
      <w:sz w:val="20"/>
      <w:szCs w:val="20"/>
    </w:rPr>
  </w:style>
  <w:style w:type="character" w:customStyle="1" w:styleId="CommentTextChar">
    <w:name w:val="Comment Text Char"/>
    <w:basedOn w:val="DefaultParagraphFont"/>
    <w:link w:val="CommentText"/>
    <w:uiPriority w:val="99"/>
    <w:semiHidden/>
    <w:rsid w:val="003E2BB2"/>
    <w:rPr>
      <w:sz w:val="20"/>
      <w:szCs w:val="20"/>
    </w:rPr>
  </w:style>
  <w:style w:type="paragraph" w:styleId="CommentSubject">
    <w:name w:val="annotation subject"/>
    <w:basedOn w:val="CommentText"/>
    <w:next w:val="CommentText"/>
    <w:link w:val="CommentSubjectChar"/>
    <w:uiPriority w:val="99"/>
    <w:semiHidden/>
    <w:unhideWhenUsed/>
    <w:rsid w:val="003E2BB2"/>
    <w:rPr>
      <w:b/>
      <w:bCs/>
    </w:rPr>
  </w:style>
  <w:style w:type="character" w:customStyle="1" w:styleId="CommentSubjectChar">
    <w:name w:val="Comment Subject Char"/>
    <w:basedOn w:val="CommentTextChar"/>
    <w:link w:val="CommentSubject"/>
    <w:uiPriority w:val="99"/>
    <w:semiHidden/>
    <w:rsid w:val="003E2BB2"/>
    <w:rPr>
      <w:b/>
      <w:bCs/>
      <w:sz w:val="20"/>
      <w:szCs w:val="20"/>
    </w:rPr>
  </w:style>
  <w:style w:type="paragraph" w:styleId="BalloonText">
    <w:name w:val="Balloon Text"/>
    <w:basedOn w:val="Normal"/>
    <w:link w:val="BalloonTextChar"/>
    <w:uiPriority w:val="99"/>
    <w:semiHidden/>
    <w:unhideWhenUsed/>
    <w:rsid w:val="003E2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B2"/>
    <w:rPr>
      <w:rFonts w:ascii="Segoe UI" w:hAnsi="Segoe UI" w:cs="Segoe UI"/>
      <w:sz w:val="18"/>
      <w:szCs w:val="18"/>
    </w:rPr>
  </w:style>
  <w:style w:type="character" w:styleId="Hyperlink">
    <w:name w:val="Hyperlink"/>
    <w:basedOn w:val="DefaultParagraphFont"/>
    <w:uiPriority w:val="99"/>
    <w:unhideWhenUsed/>
    <w:rsid w:val="00582A42"/>
    <w:rPr>
      <w:color w:val="0000FF"/>
      <w:u w:val="single"/>
    </w:rPr>
  </w:style>
  <w:style w:type="character" w:styleId="FollowedHyperlink">
    <w:name w:val="FollowedHyperlink"/>
    <w:basedOn w:val="DefaultParagraphFont"/>
    <w:uiPriority w:val="99"/>
    <w:semiHidden/>
    <w:unhideWhenUsed/>
    <w:rsid w:val="006C4071"/>
    <w:rPr>
      <w:color w:val="954F72" w:themeColor="followedHyperlink"/>
      <w:u w:val="single"/>
    </w:rPr>
  </w:style>
  <w:style w:type="paragraph" w:styleId="FootnoteText">
    <w:name w:val="footnote text"/>
    <w:basedOn w:val="Normal"/>
    <w:link w:val="FootnoteTextChar"/>
    <w:uiPriority w:val="99"/>
    <w:semiHidden/>
    <w:unhideWhenUsed/>
    <w:rsid w:val="00625BC9"/>
    <w:rPr>
      <w:sz w:val="20"/>
      <w:szCs w:val="20"/>
    </w:rPr>
  </w:style>
  <w:style w:type="character" w:customStyle="1" w:styleId="FootnoteTextChar">
    <w:name w:val="Footnote Text Char"/>
    <w:basedOn w:val="DefaultParagraphFont"/>
    <w:link w:val="FootnoteText"/>
    <w:uiPriority w:val="99"/>
    <w:semiHidden/>
    <w:rsid w:val="00625BC9"/>
    <w:rPr>
      <w:sz w:val="20"/>
      <w:szCs w:val="20"/>
    </w:rPr>
  </w:style>
  <w:style w:type="character" w:styleId="FootnoteReference">
    <w:name w:val="footnote reference"/>
    <w:basedOn w:val="DefaultParagraphFont"/>
    <w:uiPriority w:val="99"/>
    <w:semiHidden/>
    <w:unhideWhenUsed/>
    <w:rsid w:val="00625BC9"/>
    <w:rPr>
      <w:vertAlign w:val="superscript"/>
    </w:rPr>
  </w:style>
  <w:style w:type="paragraph" w:styleId="Header">
    <w:name w:val="header"/>
    <w:basedOn w:val="Normal"/>
    <w:link w:val="HeaderChar"/>
    <w:uiPriority w:val="99"/>
    <w:unhideWhenUsed/>
    <w:rsid w:val="00F30A19"/>
    <w:pPr>
      <w:tabs>
        <w:tab w:val="center" w:pos="4513"/>
        <w:tab w:val="right" w:pos="9026"/>
      </w:tabs>
    </w:pPr>
  </w:style>
  <w:style w:type="character" w:customStyle="1" w:styleId="HeaderChar">
    <w:name w:val="Header Char"/>
    <w:basedOn w:val="DefaultParagraphFont"/>
    <w:link w:val="Header"/>
    <w:uiPriority w:val="99"/>
    <w:rsid w:val="00F30A19"/>
  </w:style>
  <w:style w:type="paragraph" w:styleId="Footer">
    <w:name w:val="footer"/>
    <w:basedOn w:val="Normal"/>
    <w:link w:val="FooterChar"/>
    <w:uiPriority w:val="99"/>
    <w:unhideWhenUsed/>
    <w:rsid w:val="00F30A19"/>
    <w:pPr>
      <w:tabs>
        <w:tab w:val="center" w:pos="4513"/>
        <w:tab w:val="right" w:pos="9026"/>
      </w:tabs>
    </w:pPr>
  </w:style>
  <w:style w:type="character" w:customStyle="1" w:styleId="FooterChar">
    <w:name w:val="Footer Char"/>
    <w:basedOn w:val="DefaultParagraphFont"/>
    <w:link w:val="Footer"/>
    <w:uiPriority w:val="99"/>
    <w:rsid w:val="00F30A19"/>
  </w:style>
  <w:style w:type="character" w:customStyle="1" w:styleId="Heading1Char">
    <w:name w:val="Heading 1 Char"/>
    <w:basedOn w:val="DefaultParagraphFont"/>
    <w:link w:val="Heading1"/>
    <w:uiPriority w:val="9"/>
    <w:rsid w:val="00884E6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B3829"/>
    <w:pPr>
      <w:ind w:left="720"/>
      <w:contextualSpacing/>
    </w:pPr>
    <w:rPr>
      <w:rFonts w:ascii="Calibri" w:hAnsi="Calibri" w:cs="Calibri"/>
      <w:sz w:val="22"/>
      <w:szCs w:val="22"/>
      <w:lang w:eastAsia="en-GB"/>
      <w14:ligatures w14:val="standardContextual"/>
    </w:rPr>
  </w:style>
  <w:style w:type="paragraph" w:styleId="Revision">
    <w:name w:val="Revision"/>
    <w:hidden/>
    <w:uiPriority w:val="99"/>
    <w:semiHidden/>
    <w:rsid w:val="007A5383"/>
  </w:style>
  <w:style w:type="paragraph" w:customStyle="1" w:styleId="ColorfulList-Accent11">
    <w:name w:val="Colorful List - Accent 11"/>
    <w:basedOn w:val="Normal"/>
    <w:uiPriority w:val="34"/>
    <w:qFormat/>
    <w:rsid w:val="001C5B02"/>
    <w:pPr>
      <w:ind w:left="720" w:hanging="425"/>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63402">
      <w:bodyDiv w:val="1"/>
      <w:marLeft w:val="0"/>
      <w:marRight w:val="0"/>
      <w:marTop w:val="0"/>
      <w:marBottom w:val="0"/>
      <w:divBdr>
        <w:top w:val="none" w:sz="0" w:space="0" w:color="auto"/>
        <w:left w:val="none" w:sz="0" w:space="0" w:color="auto"/>
        <w:bottom w:val="none" w:sz="0" w:space="0" w:color="auto"/>
        <w:right w:val="none" w:sz="0" w:space="0" w:color="auto"/>
      </w:divBdr>
      <w:divsChild>
        <w:div w:id="1384871831">
          <w:marLeft w:val="0"/>
          <w:marRight w:val="0"/>
          <w:marTop w:val="0"/>
          <w:marBottom w:val="0"/>
          <w:divBdr>
            <w:top w:val="none" w:sz="0" w:space="0" w:color="auto"/>
            <w:left w:val="none" w:sz="0" w:space="0" w:color="auto"/>
            <w:bottom w:val="none" w:sz="0" w:space="0" w:color="auto"/>
            <w:right w:val="none" w:sz="0" w:space="0" w:color="auto"/>
          </w:divBdr>
          <w:divsChild>
            <w:div w:id="1082875315">
              <w:marLeft w:val="0"/>
              <w:marRight w:val="0"/>
              <w:marTop w:val="0"/>
              <w:marBottom w:val="0"/>
              <w:divBdr>
                <w:top w:val="none" w:sz="0" w:space="0" w:color="auto"/>
                <w:left w:val="none" w:sz="0" w:space="0" w:color="auto"/>
                <w:bottom w:val="none" w:sz="0" w:space="0" w:color="auto"/>
                <w:right w:val="none" w:sz="0" w:space="0" w:color="auto"/>
              </w:divBdr>
              <w:divsChild>
                <w:div w:id="3114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4081">
      <w:bodyDiv w:val="1"/>
      <w:marLeft w:val="0"/>
      <w:marRight w:val="0"/>
      <w:marTop w:val="0"/>
      <w:marBottom w:val="0"/>
      <w:divBdr>
        <w:top w:val="none" w:sz="0" w:space="0" w:color="auto"/>
        <w:left w:val="none" w:sz="0" w:space="0" w:color="auto"/>
        <w:bottom w:val="none" w:sz="0" w:space="0" w:color="auto"/>
        <w:right w:val="none" w:sz="0" w:space="0" w:color="auto"/>
      </w:divBdr>
      <w:divsChild>
        <w:div w:id="275596797">
          <w:marLeft w:val="0"/>
          <w:marRight w:val="0"/>
          <w:marTop w:val="0"/>
          <w:marBottom w:val="0"/>
          <w:divBdr>
            <w:top w:val="none" w:sz="0" w:space="0" w:color="auto"/>
            <w:left w:val="none" w:sz="0" w:space="0" w:color="auto"/>
            <w:bottom w:val="none" w:sz="0" w:space="0" w:color="auto"/>
            <w:right w:val="none" w:sz="0" w:space="0" w:color="auto"/>
          </w:divBdr>
          <w:divsChild>
            <w:div w:id="832792126">
              <w:marLeft w:val="0"/>
              <w:marRight w:val="0"/>
              <w:marTop w:val="0"/>
              <w:marBottom w:val="0"/>
              <w:divBdr>
                <w:top w:val="none" w:sz="0" w:space="0" w:color="auto"/>
                <w:left w:val="none" w:sz="0" w:space="0" w:color="auto"/>
                <w:bottom w:val="none" w:sz="0" w:space="0" w:color="auto"/>
                <w:right w:val="none" w:sz="0" w:space="0" w:color="auto"/>
              </w:divBdr>
              <w:divsChild>
                <w:div w:id="7965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81561">
      <w:bodyDiv w:val="1"/>
      <w:marLeft w:val="0"/>
      <w:marRight w:val="0"/>
      <w:marTop w:val="0"/>
      <w:marBottom w:val="0"/>
      <w:divBdr>
        <w:top w:val="none" w:sz="0" w:space="0" w:color="auto"/>
        <w:left w:val="none" w:sz="0" w:space="0" w:color="auto"/>
        <w:bottom w:val="none" w:sz="0" w:space="0" w:color="auto"/>
        <w:right w:val="none" w:sz="0" w:space="0" w:color="auto"/>
      </w:divBdr>
    </w:div>
    <w:div w:id="416481593">
      <w:bodyDiv w:val="1"/>
      <w:marLeft w:val="0"/>
      <w:marRight w:val="0"/>
      <w:marTop w:val="0"/>
      <w:marBottom w:val="0"/>
      <w:divBdr>
        <w:top w:val="none" w:sz="0" w:space="0" w:color="auto"/>
        <w:left w:val="none" w:sz="0" w:space="0" w:color="auto"/>
        <w:bottom w:val="none" w:sz="0" w:space="0" w:color="auto"/>
        <w:right w:val="none" w:sz="0" w:space="0" w:color="auto"/>
      </w:divBdr>
    </w:div>
    <w:div w:id="802430704">
      <w:bodyDiv w:val="1"/>
      <w:marLeft w:val="0"/>
      <w:marRight w:val="0"/>
      <w:marTop w:val="0"/>
      <w:marBottom w:val="0"/>
      <w:divBdr>
        <w:top w:val="none" w:sz="0" w:space="0" w:color="auto"/>
        <w:left w:val="none" w:sz="0" w:space="0" w:color="auto"/>
        <w:bottom w:val="none" w:sz="0" w:space="0" w:color="auto"/>
        <w:right w:val="none" w:sz="0" w:space="0" w:color="auto"/>
      </w:divBdr>
      <w:divsChild>
        <w:div w:id="165823888">
          <w:marLeft w:val="0"/>
          <w:marRight w:val="0"/>
          <w:marTop w:val="0"/>
          <w:marBottom w:val="0"/>
          <w:divBdr>
            <w:top w:val="none" w:sz="0" w:space="0" w:color="auto"/>
            <w:left w:val="none" w:sz="0" w:space="0" w:color="auto"/>
            <w:bottom w:val="none" w:sz="0" w:space="0" w:color="auto"/>
            <w:right w:val="none" w:sz="0" w:space="0" w:color="auto"/>
          </w:divBdr>
          <w:divsChild>
            <w:div w:id="174224085">
              <w:marLeft w:val="0"/>
              <w:marRight w:val="0"/>
              <w:marTop w:val="0"/>
              <w:marBottom w:val="0"/>
              <w:divBdr>
                <w:top w:val="none" w:sz="0" w:space="0" w:color="auto"/>
                <w:left w:val="none" w:sz="0" w:space="0" w:color="auto"/>
                <w:bottom w:val="none" w:sz="0" w:space="0" w:color="auto"/>
                <w:right w:val="none" w:sz="0" w:space="0" w:color="auto"/>
              </w:divBdr>
              <w:divsChild>
                <w:div w:id="7361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14940">
      <w:bodyDiv w:val="1"/>
      <w:marLeft w:val="0"/>
      <w:marRight w:val="0"/>
      <w:marTop w:val="0"/>
      <w:marBottom w:val="0"/>
      <w:divBdr>
        <w:top w:val="none" w:sz="0" w:space="0" w:color="auto"/>
        <w:left w:val="none" w:sz="0" w:space="0" w:color="auto"/>
        <w:bottom w:val="none" w:sz="0" w:space="0" w:color="auto"/>
        <w:right w:val="none" w:sz="0" w:space="0" w:color="auto"/>
      </w:divBdr>
      <w:divsChild>
        <w:div w:id="1385133933">
          <w:marLeft w:val="0"/>
          <w:marRight w:val="0"/>
          <w:marTop w:val="0"/>
          <w:marBottom w:val="0"/>
          <w:divBdr>
            <w:top w:val="none" w:sz="0" w:space="0" w:color="auto"/>
            <w:left w:val="none" w:sz="0" w:space="0" w:color="auto"/>
            <w:bottom w:val="none" w:sz="0" w:space="0" w:color="auto"/>
            <w:right w:val="none" w:sz="0" w:space="0" w:color="auto"/>
          </w:divBdr>
          <w:divsChild>
            <w:div w:id="604265123">
              <w:marLeft w:val="0"/>
              <w:marRight w:val="0"/>
              <w:marTop w:val="0"/>
              <w:marBottom w:val="0"/>
              <w:divBdr>
                <w:top w:val="none" w:sz="0" w:space="0" w:color="auto"/>
                <w:left w:val="none" w:sz="0" w:space="0" w:color="auto"/>
                <w:bottom w:val="none" w:sz="0" w:space="0" w:color="auto"/>
                <w:right w:val="none" w:sz="0" w:space="0" w:color="auto"/>
              </w:divBdr>
              <w:divsChild>
                <w:div w:id="17865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47410">
      <w:bodyDiv w:val="1"/>
      <w:marLeft w:val="0"/>
      <w:marRight w:val="0"/>
      <w:marTop w:val="0"/>
      <w:marBottom w:val="0"/>
      <w:divBdr>
        <w:top w:val="none" w:sz="0" w:space="0" w:color="auto"/>
        <w:left w:val="none" w:sz="0" w:space="0" w:color="auto"/>
        <w:bottom w:val="none" w:sz="0" w:space="0" w:color="auto"/>
        <w:right w:val="none" w:sz="0" w:space="0" w:color="auto"/>
      </w:divBdr>
      <w:divsChild>
        <w:div w:id="29038498">
          <w:marLeft w:val="0"/>
          <w:marRight w:val="0"/>
          <w:marTop w:val="0"/>
          <w:marBottom w:val="0"/>
          <w:divBdr>
            <w:top w:val="none" w:sz="0" w:space="0" w:color="auto"/>
            <w:left w:val="none" w:sz="0" w:space="0" w:color="auto"/>
            <w:bottom w:val="none" w:sz="0" w:space="0" w:color="auto"/>
            <w:right w:val="none" w:sz="0" w:space="0" w:color="auto"/>
          </w:divBdr>
          <w:divsChild>
            <w:div w:id="972440080">
              <w:marLeft w:val="0"/>
              <w:marRight w:val="0"/>
              <w:marTop w:val="0"/>
              <w:marBottom w:val="0"/>
              <w:divBdr>
                <w:top w:val="none" w:sz="0" w:space="0" w:color="auto"/>
                <w:left w:val="none" w:sz="0" w:space="0" w:color="auto"/>
                <w:bottom w:val="none" w:sz="0" w:space="0" w:color="auto"/>
                <w:right w:val="none" w:sz="0" w:space="0" w:color="auto"/>
              </w:divBdr>
              <w:divsChild>
                <w:div w:id="5491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5382">
      <w:bodyDiv w:val="1"/>
      <w:marLeft w:val="0"/>
      <w:marRight w:val="0"/>
      <w:marTop w:val="0"/>
      <w:marBottom w:val="0"/>
      <w:divBdr>
        <w:top w:val="none" w:sz="0" w:space="0" w:color="auto"/>
        <w:left w:val="none" w:sz="0" w:space="0" w:color="auto"/>
        <w:bottom w:val="none" w:sz="0" w:space="0" w:color="auto"/>
        <w:right w:val="none" w:sz="0" w:space="0" w:color="auto"/>
      </w:divBdr>
      <w:divsChild>
        <w:div w:id="729304512">
          <w:marLeft w:val="0"/>
          <w:marRight w:val="0"/>
          <w:marTop w:val="0"/>
          <w:marBottom w:val="0"/>
          <w:divBdr>
            <w:top w:val="none" w:sz="0" w:space="0" w:color="auto"/>
            <w:left w:val="none" w:sz="0" w:space="0" w:color="auto"/>
            <w:bottom w:val="none" w:sz="0" w:space="0" w:color="auto"/>
            <w:right w:val="none" w:sz="0" w:space="0" w:color="auto"/>
          </w:divBdr>
          <w:divsChild>
            <w:div w:id="331178809">
              <w:marLeft w:val="0"/>
              <w:marRight w:val="0"/>
              <w:marTop w:val="0"/>
              <w:marBottom w:val="0"/>
              <w:divBdr>
                <w:top w:val="none" w:sz="0" w:space="0" w:color="auto"/>
                <w:left w:val="none" w:sz="0" w:space="0" w:color="auto"/>
                <w:bottom w:val="none" w:sz="0" w:space="0" w:color="auto"/>
                <w:right w:val="none" w:sz="0" w:space="0" w:color="auto"/>
              </w:divBdr>
              <w:divsChild>
                <w:div w:id="17674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3462">
      <w:bodyDiv w:val="1"/>
      <w:marLeft w:val="0"/>
      <w:marRight w:val="0"/>
      <w:marTop w:val="0"/>
      <w:marBottom w:val="0"/>
      <w:divBdr>
        <w:top w:val="none" w:sz="0" w:space="0" w:color="auto"/>
        <w:left w:val="none" w:sz="0" w:space="0" w:color="auto"/>
        <w:bottom w:val="none" w:sz="0" w:space="0" w:color="auto"/>
        <w:right w:val="none" w:sz="0" w:space="0" w:color="auto"/>
      </w:divBdr>
      <w:divsChild>
        <w:div w:id="406536078">
          <w:marLeft w:val="0"/>
          <w:marRight w:val="0"/>
          <w:marTop w:val="0"/>
          <w:marBottom w:val="0"/>
          <w:divBdr>
            <w:top w:val="none" w:sz="0" w:space="0" w:color="auto"/>
            <w:left w:val="none" w:sz="0" w:space="0" w:color="auto"/>
            <w:bottom w:val="none" w:sz="0" w:space="0" w:color="auto"/>
            <w:right w:val="none" w:sz="0" w:space="0" w:color="auto"/>
          </w:divBdr>
          <w:divsChild>
            <w:div w:id="1567035727">
              <w:marLeft w:val="0"/>
              <w:marRight w:val="0"/>
              <w:marTop w:val="0"/>
              <w:marBottom w:val="0"/>
              <w:divBdr>
                <w:top w:val="none" w:sz="0" w:space="0" w:color="auto"/>
                <w:left w:val="none" w:sz="0" w:space="0" w:color="auto"/>
                <w:bottom w:val="none" w:sz="0" w:space="0" w:color="auto"/>
                <w:right w:val="none" w:sz="0" w:space="0" w:color="auto"/>
              </w:divBdr>
              <w:divsChild>
                <w:div w:id="817453852">
                  <w:marLeft w:val="0"/>
                  <w:marRight w:val="0"/>
                  <w:marTop w:val="0"/>
                  <w:marBottom w:val="0"/>
                  <w:divBdr>
                    <w:top w:val="none" w:sz="0" w:space="0" w:color="auto"/>
                    <w:left w:val="none" w:sz="0" w:space="0" w:color="auto"/>
                    <w:bottom w:val="none" w:sz="0" w:space="0" w:color="auto"/>
                    <w:right w:val="none" w:sz="0" w:space="0" w:color="auto"/>
                  </w:divBdr>
                  <w:divsChild>
                    <w:div w:id="8502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91609">
      <w:bodyDiv w:val="1"/>
      <w:marLeft w:val="0"/>
      <w:marRight w:val="0"/>
      <w:marTop w:val="0"/>
      <w:marBottom w:val="0"/>
      <w:divBdr>
        <w:top w:val="none" w:sz="0" w:space="0" w:color="auto"/>
        <w:left w:val="none" w:sz="0" w:space="0" w:color="auto"/>
        <w:bottom w:val="none" w:sz="0" w:space="0" w:color="auto"/>
        <w:right w:val="none" w:sz="0" w:space="0" w:color="auto"/>
      </w:divBdr>
      <w:divsChild>
        <w:div w:id="163013985">
          <w:marLeft w:val="0"/>
          <w:marRight w:val="0"/>
          <w:marTop w:val="0"/>
          <w:marBottom w:val="0"/>
          <w:divBdr>
            <w:top w:val="none" w:sz="0" w:space="0" w:color="auto"/>
            <w:left w:val="none" w:sz="0" w:space="0" w:color="auto"/>
            <w:bottom w:val="none" w:sz="0" w:space="0" w:color="auto"/>
            <w:right w:val="none" w:sz="0" w:space="0" w:color="auto"/>
          </w:divBdr>
          <w:divsChild>
            <w:div w:id="330989540">
              <w:marLeft w:val="0"/>
              <w:marRight w:val="0"/>
              <w:marTop w:val="0"/>
              <w:marBottom w:val="0"/>
              <w:divBdr>
                <w:top w:val="none" w:sz="0" w:space="0" w:color="auto"/>
                <w:left w:val="none" w:sz="0" w:space="0" w:color="auto"/>
                <w:bottom w:val="none" w:sz="0" w:space="0" w:color="auto"/>
                <w:right w:val="none" w:sz="0" w:space="0" w:color="auto"/>
              </w:divBdr>
              <w:divsChild>
                <w:div w:id="17188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49396">
      <w:bodyDiv w:val="1"/>
      <w:marLeft w:val="0"/>
      <w:marRight w:val="0"/>
      <w:marTop w:val="0"/>
      <w:marBottom w:val="0"/>
      <w:divBdr>
        <w:top w:val="none" w:sz="0" w:space="0" w:color="auto"/>
        <w:left w:val="none" w:sz="0" w:space="0" w:color="auto"/>
        <w:bottom w:val="none" w:sz="0" w:space="0" w:color="auto"/>
        <w:right w:val="none" w:sz="0" w:space="0" w:color="auto"/>
      </w:divBdr>
    </w:div>
    <w:div w:id="1973362551">
      <w:bodyDiv w:val="1"/>
      <w:marLeft w:val="0"/>
      <w:marRight w:val="0"/>
      <w:marTop w:val="0"/>
      <w:marBottom w:val="0"/>
      <w:divBdr>
        <w:top w:val="none" w:sz="0" w:space="0" w:color="auto"/>
        <w:left w:val="none" w:sz="0" w:space="0" w:color="auto"/>
        <w:bottom w:val="none" w:sz="0" w:space="0" w:color="auto"/>
        <w:right w:val="none" w:sz="0" w:space="0" w:color="auto"/>
      </w:divBdr>
      <w:divsChild>
        <w:div w:id="1407533991">
          <w:marLeft w:val="0"/>
          <w:marRight w:val="0"/>
          <w:marTop w:val="0"/>
          <w:marBottom w:val="0"/>
          <w:divBdr>
            <w:top w:val="none" w:sz="0" w:space="0" w:color="auto"/>
            <w:left w:val="none" w:sz="0" w:space="0" w:color="auto"/>
            <w:bottom w:val="none" w:sz="0" w:space="0" w:color="auto"/>
            <w:right w:val="none" w:sz="0" w:space="0" w:color="auto"/>
          </w:divBdr>
          <w:divsChild>
            <w:div w:id="914359895">
              <w:marLeft w:val="0"/>
              <w:marRight w:val="0"/>
              <w:marTop w:val="0"/>
              <w:marBottom w:val="0"/>
              <w:divBdr>
                <w:top w:val="none" w:sz="0" w:space="0" w:color="auto"/>
                <w:left w:val="none" w:sz="0" w:space="0" w:color="auto"/>
                <w:bottom w:val="none" w:sz="0" w:space="0" w:color="auto"/>
                <w:right w:val="none" w:sz="0" w:space="0" w:color="auto"/>
              </w:divBdr>
              <w:divsChild>
                <w:div w:id="1844934435">
                  <w:marLeft w:val="0"/>
                  <w:marRight w:val="0"/>
                  <w:marTop w:val="0"/>
                  <w:marBottom w:val="0"/>
                  <w:divBdr>
                    <w:top w:val="none" w:sz="0" w:space="0" w:color="auto"/>
                    <w:left w:val="none" w:sz="0" w:space="0" w:color="auto"/>
                    <w:bottom w:val="none" w:sz="0" w:space="0" w:color="auto"/>
                    <w:right w:val="none" w:sz="0" w:space="0" w:color="auto"/>
                  </w:divBdr>
                  <w:divsChild>
                    <w:div w:id="15868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079A7-6DEE-487B-AADB-CC669B83CA9C}">
  <ds:schemaRefs>
    <ds:schemaRef ds:uri="http://schemas.microsoft.com/sharepoint/v3/contenttype/forms"/>
  </ds:schemaRefs>
</ds:datastoreItem>
</file>

<file path=customXml/itemProps2.xml><?xml version="1.0" encoding="utf-8"?>
<ds:datastoreItem xmlns:ds="http://schemas.openxmlformats.org/officeDocument/2006/customXml" ds:itemID="{6EA2A107-DB5F-4F3F-9E04-194389CA2722}">
  <ds:schemaRef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aedd258d-19a7-41ba-8260-b0918f25313d"/>
    <ds:schemaRef ds:uri="http://schemas.microsoft.com/office/infopath/2007/PartnerControls"/>
    <ds:schemaRef ds:uri="http://schemas.openxmlformats.org/package/2006/metadata/core-properties"/>
    <ds:schemaRef ds:uri="8c0b6b05-eb82-4bda-97e8-cd82d0d6b453"/>
    <ds:schemaRef ds:uri="http://purl.org/dc/terms/"/>
  </ds:schemaRefs>
</ds:datastoreItem>
</file>

<file path=customXml/itemProps3.xml><?xml version="1.0" encoding="utf-8"?>
<ds:datastoreItem xmlns:ds="http://schemas.openxmlformats.org/officeDocument/2006/customXml" ds:itemID="{7AA36202-47A5-4C95-8B98-F8C480EA1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A8259-3C84-49C4-B691-F1540064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3046</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dcterms:created xsi:type="dcterms:W3CDTF">2024-03-04T08:52:00Z</dcterms:created>
  <dcterms:modified xsi:type="dcterms:W3CDTF">2024-03-04T09:40:00Z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