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ECE45" w14:textId="77777777" w:rsidR="00DD0695" w:rsidRPr="00AD7297" w:rsidRDefault="00DD0695" w:rsidP="00DD0695">
      <w:pPr>
        <w:pBdr>
          <w:top w:val="single" w:sz="12" w:space="0" w:color="auto" w:shadow="1"/>
          <w:left w:val="single" w:sz="12" w:space="4" w:color="auto" w:shadow="1"/>
          <w:bottom w:val="single" w:sz="12" w:space="1" w:color="auto" w:shadow="1"/>
          <w:right w:val="single" w:sz="12" w:space="7" w:color="auto" w:shadow="1"/>
        </w:pBdr>
        <w:ind w:right="4490"/>
        <w:rPr>
          <w:bCs/>
          <w:noProof/>
        </w:rPr>
      </w:pPr>
      <w:r w:rsidRPr="00AD7297">
        <w:rPr>
          <w:noProof/>
        </w:rPr>
        <w:t xml:space="preserve">LA CONVENCIÓN SOBRE LOS HUMEDALES </w:t>
      </w:r>
    </w:p>
    <w:p w14:paraId="6C0C271F" w14:textId="77777777" w:rsidR="00DD0695" w:rsidRPr="00AD7297" w:rsidRDefault="00DD0695" w:rsidP="00DD0695">
      <w:pPr>
        <w:pBdr>
          <w:top w:val="single" w:sz="12" w:space="0" w:color="auto" w:shadow="1"/>
          <w:left w:val="single" w:sz="12" w:space="4" w:color="auto" w:shadow="1"/>
          <w:bottom w:val="single" w:sz="12" w:space="1" w:color="auto" w:shadow="1"/>
          <w:right w:val="single" w:sz="12" w:space="7" w:color="auto" w:shadow="1"/>
        </w:pBdr>
        <w:ind w:right="4490"/>
        <w:rPr>
          <w:bCs/>
          <w:noProof/>
        </w:rPr>
      </w:pPr>
      <w:r w:rsidRPr="00AD7297">
        <w:rPr>
          <w:noProof/>
        </w:rPr>
        <w:t>6</w:t>
      </w:r>
      <w:r>
        <w:rPr>
          <w:noProof/>
        </w:rPr>
        <w:t>3</w:t>
      </w:r>
      <w:r w:rsidRPr="00AD7297">
        <w:rPr>
          <w:noProof/>
        </w:rPr>
        <w:t xml:space="preserve">ª </w:t>
      </w:r>
      <w:r>
        <w:rPr>
          <w:noProof/>
        </w:rPr>
        <w:t>r</w:t>
      </w:r>
      <w:r w:rsidRPr="00AD7297">
        <w:rPr>
          <w:noProof/>
        </w:rPr>
        <w:t>eunión del Comité Permanente</w:t>
      </w:r>
    </w:p>
    <w:p w14:paraId="2945CC6B" w14:textId="77777777" w:rsidR="00DD0695" w:rsidRPr="00AD7297" w:rsidRDefault="00DD0695" w:rsidP="00DD0695">
      <w:pPr>
        <w:pBdr>
          <w:top w:val="single" w:sz="12" w:space="0" w:color="auto" w:shadow="1"/>
          <w:left w:val="single" w:sz="12" w:space="4" w:color="auto" w:shadow="1"/>
          <w:bottom w:val="single" w:sz="12" w:space="1" w:color="auto" w:shadow="1"/>
          <w:right w:val="single" w:sz="12" w:space="7" w:color="auto" w:shadow="1"/>
        </w:pBdr>
        <w:ind w:right="4490"/>
        <w:rPr>
          <w:bCs/>
          <w:noProof/>
          <w:sz w:val="24"/>
          <w:szCs w:val="24"/>
        </w:rPr>
      </w:pPr>
      <w:r w:rsidRPr="00AD7297">
        <w:rPr>
          <w:noProof/>
        </w:rPr>
        <w:t xml:space="preserve">Gland, Suiza, </w:t>
      </w:r>
      <w:r>
        <w:rPr>
          <w:noProof/>
        </w:rPr>
        <w:t>3 a 7 de junio</w:t>
      </w:r>
      <w:r w:rsidRPr="00AD7297">
        <w:rPr>
          <w:noProof/>
        </w:rPr>
        <w:t xml:space="preserve"> de 202</w:t>
      </w:r>
      <w:r>
        <w:rPr>
          <w:noProof/>
        </w:rPr>
        <w:t>4</w:t>
      </w:r>
    </w:p>
    <w:p w14:paraId="6FC8552E" w14:textId="77777777" w:rsidR="00DF2386" w:rsidRPr="00DD0695" w:rsidRDefault="00DF2386" w:rsidP="00014168">
      <w:pPr>
        <w:outlineLvl w:val="0"/>
        <w:rPr>
          <w:b/>
        </w:rPr>
      </w:pPr>
    </w:p>
    <w:p w14:paraId="7378A82A" w14:textId="77777777" w:rsidR="00DF2386" w:rsidRPr="006562C1" w:rsidRDefault="0014749C" w:rsidP="0014749C">
      <w:pPr>
        <w:jc w:val="right"/>
        <w:rPr>
          <w:b/>
          <w:sz w:val="28"/>
        </w:rPr>
      </w:pPr>
      <w:r>
        <w:rPr>
          <w:b/>
          <w:sz w:val="28"/>
          <w:szCs w:val="28"/>
        </w:rPr>
        <w:t>SC63 Doc.13.1</w:t>
      </w:r>
    </w:p>
    <w:p w14:paraId="76D8472B" w14:textId="199F2772" w:rsidR="0014749C" w:rsidRDefault="0014749C" w:rsidP="00014168">
      <w:pPr>
        <w:jc w:val="center"/>
        <w:rPr>
          <w:rFonts w:cs="Arial"/>
          <w:b/>
          <w:sz w:val="28"/>
          <w:szCs w:val="28"/>
        </w:rPr>
      </w:pPr>
    </w:p>
    <w:p w14:paraId="09B8F026" w14:textId="7F952BA9" w:rsidR="00F01DB7" w:rsidRDefault="00F01DB7" w:rsidP="00014168">
      <w:pPr>
        <w:jc w:val="center"/>
        <w:rPr>
          <w:rFonts w:cs="Arial"/>
          <w:b/>
          <w:sz w:val="28"/>
          <w:szCs w:val="28"/>
        </w:rPr>
      </w:pPr>
      <w:r w:rsidRPr="00F01DB7">
        <w:rPr>
          <w:rFonts w:cs="Arial"/>
          <w:b/>
          <w:sz w:val="28"/>
          <w:szCs w:val="28"/>
        </w:rPr>
        <w:t>Informe de la Secretaría sobre la aplicación de la Resolución XIV.3</w:t>
      </w:r>
      <w:r>
        <w:rPr>
          <w:rFonts w:cs="Arial"/>
          <w:b/>
          <w:sz w:val="28"/>
          <w:szCs w:val="28"/>
        </w:rPr>
        <w:t>:</w:t>
      </w:r>
    </w:p>
    <w:p w14:paraId="622F3CD2" w14:textId="77777777" w:rsidR="00DF2386" w:rsidRDefault="005871DD" w:rsidP="00A9552A">
      <w:pPr>
        <w:jc w:val="center"/>
        <w:rPr>
          <w:rFonts w:cs="Arial"/>
          <w:b/>
          <w:sz w:val="28"/>
          <w:szCs w:val="28"/>
        </w:rPr>
      </w:pPr>
      <w:r>
        <w:rPr>
          <w:b/>
          <w:sz w:val="28"/>
          <w:szCs w:val="28"/>
        </w:rPr>
        <w:t>Estrategia de comunicación con las Partes Co</w:t>
      </w:r>
      <w:bookmarkStart w:id="0" w:name="_GoBack"/>
      <w:bookmarkEnd w:id="0"/>
      <w:r>
        <w:rPr>
          <w:b/>
          <w:sz w:val="28"/>
          <w:szCs w:val="28"/>
        </w:rPr>
        <w:t xml:space="preserve">ntratantes </w:t>
      </w:r>
    </w:p>
    <w:p w14:paraId="493D3C66" w14:textId="77777777" w:rsidR="00A9552A" w:rsidRDefault="00A9552A" w:rsidP="00A9552A">
      <w:pPr>
        <w:jc w:val="center"/>
        <w:rPr>
          <w:rFonts w:cs="Arial"/>
          <w:b/>
          <w:sz w:val="28"/>
          <w:szCs w:val="28"/>
        </w:rPr>
      </w:pPr>
    </w:p>
    <w:p w14:paraId="4D42F569" w14:textId="77777777" w:rsidR="00DF2386" w:rsidRDefault="00DF2386" w:rsidP="00014168">
      <w:pPr>
        <w:rPr>
          <w:rFonts w:ascii="Garamond" w:hAnsi="Garamond" w:cs="Arial"/>
        </w:rPr>
      </w:pPr>
    </w:p>
    <w:p w14:paraId="1CCDAD9D" w14:textId="77777777" w:rsidR="000C2489" w:rsidRDefault="000C2489" w:rsidP="00014168">
      <w:pPr>
        <w:autoSpaceDE w:val="0"/>
        <w:autoSpaceDN w:val="0"/>
        <w:adjustRightInd w:val="0"/>
        <w:rPr>
          <w:rFonts w:asciiTheme="minorHAnsi" w:eastAsiaTheme="minorHAnsi" w:hAnsiTheme="minorHAnsi" w:cs="Calibri-Bold"/>
          <w:b/>
          <w:bCs/>
        </w:rPr>
      </w:pPr>
      <w:r>
        <w:rPr>
          <w:noProof/>
        </w:rPr>
        <mc:AlternateContent>
          <mc:Choice Requires="wps">
            <w:drawing>
              <wp:inline distT="0" distB="0" distL="0" distR="0" wp14:anchorId="46974805" wp14:editId="34B2C733">
                <wp:extent cx="5867400" cy="1587260"/>
                <wp:effectExtent l="0" t="0" r="19050"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587260"/>
                        </a:xfrm>
                        <a:prstGeom prst="rect">
                          <a:avLst/>
                        </a:prstGeom>
                        <a:solidFill>
                          <a:srgbClr val="FFFFFF"/>
                        </a:solidFill>
                        <a:ln w="9525">
                          <a:solidFill>
                            <a:srgbClr val="000000"/>
                          </a:solidFill>
                          <a:miter lim="800000"/>
                          <a:headEnd/>
                          <a:tailEnd/>
                        </a:ln>
                      </wps:spPr>
                      <wps:txbx>
                        <w:txbxContent>
                          <w:p w14:paraId="5668527A" w14:textId="6D30D9FF" w:rsidR="000C2489" w:rsidRDefault="00DD0695" w:rsidP="000C2489">
                            <w:pPr>
                              <w:rPr>
                                <w:b/>
                                <w:bCs/>
                              </w:rPr>
                            </w:pPr>
                            <w:r>
                              <w:rPr>
                                <w:rFonts w:asciiTheme="minorHAnsi" w:hAnsiTheme="minorHAnsi"/>
                                <w:b/>
                              </w:rPr>
                              <w:t>Acción solicitada</w:t>
                            </w:r>
                            <w:r w:rsidR="000C2489">
                              <w:rPr>
                                <w:b/>
                                <w:bCs/>
                              </w:rPr>
                              <w:t xml:space="preserve">: </w:t>
                            </w:r>
                          </w:p>
                          <w:p w14:paraId="7B30F9CB" w14:textId="77777777" w:rsidR="000C2489" w:rsidRDefault="000C2489" w:rsidP="000C2489">
                            <w:pPr>
                              <w:pStyle w:val="ColorfulList-Accent11"/>
                              <w:ind w:left="0"/>
                            </w:pPr>
                          </w:p>
                          <w:p w14:paraId="20EBDB08" w14:textId="77777777" w:rsidR="000C2489" w:rsidRDefault="008A6505" w:rsidP="00275F13">
                            <w:pPr>
                              <w:pStyle w:val="ColorfulList-Accent11"/>
                              <w:ind w:left="0" w:firstLine="0"/>
                              <w:rPr>
                                <w:rFonts w:cs="Calibri"/>
                              </w:rPr>
                            </w:pPr>
                            <w:r>
                              <w:t>Se invita al Comité Permanente a:</w:t>
                            </w:r>
                          </w:p>
                          <w:p w14:paraId="133E862B" w14:textId="77777777" w:rsidR="000C2489" w:rsidRDefault="000C2489" w:rsidP="000C2489">
                            <w:pPr>
                              <w:pStyle w:val="ColorfulList-Accent11"/>
                              <w:ind w:left="0"/>
                              <w:rPr>
                                <w:rFonts w:cs="Calibri"/>
                              </w:rPr>
                            </w:pPr>
                          </w:p>
                          <w:p w14:paraId="60ADE54E" w14:textId="77777777" w:rsidR="004C4827" w:rsidRDefault="004C4827" w:rsidP="004C4827">
                            <w:pPr>
                              <w:pStyle w:val="ColorfulList-Accent11"/>
                              <w:ind w:left="426" w:hanging="426"/>
                              <w:rPr>
                                <w:rFonts w:cs="Calibri"/>
                              </w:rPr>
                            </w:pPr>
                            <w:r>
                              <w:t>i.</w:t>
                            </w:r>
                            <w:r>
                              <w:tab/>
                              <w:t>aprobar la propuesta de plan de comunicación con las Partes Contratantes; y</w:t>
                            </w:r>
                          </w:p>
                          <w:p w14:paraId="0A42B855" w14:textId="77777777" w:rsidR="004C4827" w:rsidRPr="004C4827" w:rsidRDefault="004C4827" w:rsidP="004C4827">
                            <w:pPr>
                              <w:pStyle w:val="ColorfulList-Accent11"/>
                              <w:ind w:left="426" w:hanging="426"/>
                              <w:rPr>
                                <w:rFonts w:cs="Calibri"/>
                              </w:rPr>
                            </w:pPr>
                          </w:p>
                          <w:p w14:paraId="3CA643EF" w14:textId="77777777" w:rsidR="00D930FA" w:rsidRDefault="004C4827" w:rsidP="004C4827">
                            <w:pPr>
                              <w:pStyle w:val="ColorfulList-Accent11"/>
                              <w:ind w:left="426" w:hanging="426"/>
                              <w:rPr>
                                <w:rFonts w:cs="Calibri"/>
                              </w:rPr>
                            </w:pPr>
                            <w:proofErr w:type="spellStart"/>
                            <w:r>
                              <w:t>ii</w:t>
                            </w:r>
                            <w:proofErr w:type="spellEnd"/>
                            <w:r>
                              <w:t>.</w:t>
                            </w:r>
                            <w:r>
                              <w:tab/>
                              <w:t>tomar nota de que la Secretaría aplicará las orientaciones de las Naciones Unidas para el empleo de un lenguaje inclusivo en cuanto al género en sus comunicaciones.</w:t>
                            </w:r>
                          </w:p>
                          <w:p w14:paraId="5189045C" w14:textId="77777777" w:rsidR="0083768D" w:rsidRDefault="00A20D3D" w:rsidP="00DE5579">
                            <w:pPr>
                              <w:pStyle w:val="ColorfulList-Accent11"/>
                              <w:ind w:left="425"/>
                              <w:rPr>
                                <w:rFonts w:cs="Calibri"/>
                              </w:rPr>
                            </w:pPr>
                            <w:r>
                              <w:t xml:space="preserve"> </w:t>
                            </w:r>
                          </w:p>
                        </w:txbxContent>
                      </wps:txbx>
                      <wps:bodyPr rot="0" vert="horz" wrap="square" lIns="91440" tIns="45720" rIns="91440" bIns="45720" anchor="t" anchorCtr="0" upright="1">
                        <a:noAutofit/>
                      </wps:bodyPr>
                    </wps:wsp>
                  </a:graphicData>
                </a:graphic>
              </wp:inline>
            </w:drawing>
          </mc:Choice>
          <mc:Fallback>
            <w:pict>
              <v:shapetype w14:anchorId="46974805" id="_x0000_t202" coordsize="21600,21600" o:spt="202" path="m,l,21600r21600,l21600,xe">
                <v:stroke joinstyle="miter"/>
                <v:path gradientshapeok="t" o:connecttype="rect"/>
              </v:shapetype>
              <v:shape id="Text Box 1" o:spid="_x0000_s1026" type="#_x0000_t202" style="width:462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">
                <v:textbox>
                  <w:txbxContent>
                    <w:p w14:paraId="5668527A" w14:textId="6D30D9FF" w:rsidR="000C2489" w:rsidRDefault="00DD0695" w:rsidP="000C2489">
                      <w:pPr>
                        <w:rPr>
                          <w:b/>
                          <w:bCs/>
                        </w:rPr>
                      </w:pPr>
                      <w:r>
                        <w:rPr>
                          <w:rFonts w:asciiTheme="minorHAnsi" w:hAnsiTheme="minorHAnsi"/>
                          <w:b/>
                        </w:rPr>
                        <w:t>Acción solicitada</w:t>
                      </w:r>
                      <w:r w:rsidR="000C2489">
                        <w:rPr>
                          <w:b/>
                          <w:bCs/>
                        </w:rPr>
                        <w:t xml:space="preserve">: </w:t>
                      </w:r>
                    </w:p>
                    <w:p w14:paraId="7B30F9CB" w14:textId="77777777" w:rsidR="000C2489" w:rsidRDefault="000C2489" w:rsidP="000C2489">
                      <w:pPr>
                        <w:pStyle w:val="ColorfulList-Accent11"/>
                        <w:ind w:left="0"/>
                      </w:pPr>
                    </w:p>
                    <w:p w14:paraId="20EBDB08" w14:textId="77777777" w:rsidR="000C2489" w:rsidRDefault="008A6505" w:rsidP="00275F13">
                      <w:pPr>
                        <w:pStyle w:val="ColorfulList-Accent11"/>
                        <w:ind w:left="0" w:firstLine="0"/>
                        <w:rPr>
                          <w:rFonts w:cs="Calibri"/>
                        </w:rPr>
                      </w:pPr>
                      <w:r>
                        <w:t>Se invita al Comité Permanente a:</w:t>
                      </w:r>
                    </w:p>
                    <w:p w14:paraId="133E862B" w14:textId="77777777" w:rsidR="000C2489" w:rsidRDefault="000C2489" w:rsidP="000C2489">
                      <w:pPr>
                        <w:pStyle w:val="ColorfulList-Accent11"/>
                        <w:ind w:left="0"/>
                        <w:rPr>
                          <w:rFonts w:cs="Calibri"/>
                        </w:rPr>
                      </w:pPr>
                    </w:p>
                    <w:p w14:paraId="60ADE54E" w14:textId="77777777" w:rsidR="004C4827" w:rsidRDefault="004C4827" w:rsidP="004C4827">
                      <w:pPr>
                        <w:pStyle w:val="ColorfulList-Accent11"/>
                        <w:ind w:left="426" w:hanging="426"/>
                        <w:rPr>
                          <w:rFonts w:cs="Calibri"/>
                        </w:rPr>
                      </w:pPr>
                      <w:r>
                        <w:t>i.</w:t>
                      </w:r>
                      <w:r>
                        <w:tab/>
                        <w:t>aprobar la propuesta de plan de comunicación con las Partes Contratantes; y</w:t>
                      </w:r>
                    </w:p>
                    <w:p w14:paraId="0A42B855" w14:textId="77777777" w:rsidR="004C4827" w:rsidRPr="004C4827" w:rsidRDefault="004C4827" w:rsidP="004C4827">
                      <w:pPr>
                        <w:pStyle w:val="ColorfulList-Accent11"/>
                        <w:ind w:left="426" w:hanging="426"/>
                        <w:rPr>
                          <w:rFonts w:cs="Calibri"/>
                        </w:rPr>
                      </w:pPr>
                    </w:p>
                    <w:p w14:paraId="3CA643EF" w14:textId="77777777" w:rsidR="00D930FA" w:rsidRDefault="004C4827" w:rsidP="004C4827">
                      <w:pPr>
                        <w:pStyle w:val="ColorfulList-Accent11"/>
                        <w:ind w:left="426" w:hanging="426"/>
                        <w:rPr>
                          <w:rFonts w:cs="Calibri"/>
                        </w:rPr>
                      </w:pPr>
                      <w:proofErr w:type="spellStart"/>
                      <w:r>
                        <w:t>ii</w:t>
                      </w:r>
                      <w:proofErr w:type="spellEnd"/>
                      <w:r>
                        <w:t>.</w:t>
                      </w:r>
                      <w:r>
                        <w:tab/>
                        <w:t>tomar nota de que la Secretaría aplicará las orientaciones de las Naciones Unidas para el empleo de un lenguaje inclusivo en cuanto al género en sus comunicaciones.</w:t>
                      </w:r>
                    </w:p>
                    <w:p w14:paraId="5189045C" w14:textId="77777777" w:rsidR="0083768D" w:rsidRDefault="00A20D3D" w:rsidP="00DE5579">
                      <w:pPr>
                        <w:pStyle w:val="ColorfulList-Accent11"/>
                        <w:ind w:left="425"/>
                        <w:rPr>
                          <w:rFonts w:cs="Calibri"/>
                        </w:rPr>
                      </w:pPr>
                      <w:r>
                        <w:t xml:space="preserve"> </w:t>
                      </w:r>
                    </w:p>
                  </w:txbxContent>
                </v:textbox>
                <w10:anchorlock/>
              </v:shape>
            </w:pict>
          </mc:Fallback>
        </mc:AlternateContent>
      </w:r>
    </w:p>
    <w:p w14:paraId="198A2C2A" w14:textId="77777777" w:rsidR="009E0AE8" w:rsidRDefault="009E0AE8" w:rsidP="006A2401">
      <w:pPr>
        <w:rPr>
          <w:rFonts w:cs="Arial"/>
          <w:b/>
        </w:rPr>
      </w:pPr>
    </w:p>
    <w:p w14:paraId="64CD0FB6" w14:textId="77777777" w:rsidR="00370C3C" w:rsidRDefault="00370C3C" w:rsidP="009C5199">
      <w:pPr>
        <w:rPr>
          <w:rFonts w:cs="Arial"/>
          <w:b/>
        </w:rPr>
      </w:pPr>
    </w:p>
    <w:p w14:paraId="29E0ABC2" w14:textId="77777777" w:rsidR="000C2489" w:rsidRPr="000C2489" w:rsidRDefault="004D1CCA" w:rsidP="0007175F">
      <w:pPr>
        <w:rPr>
          <w:rFonts w:cs="Arial"/>
          <w:b/>
        </w:rPr>
      </w:pPr>
      <w:r>
        <w:rPr>
          <w:b/>
        </w:rPr>
        <w:t>Antecedentes e introducción</w:t>
      </w:r>
    </w:p>
    <w:p w14:paraId="2B2A07DF" w14:textId="77777777" w:rsidR="004B6C84" w:rsidRPr="000C2489" w:rsidRDefault="004B6C84" w:rsidP="009C5199">
      <w:pPr>
        <w:rPr>
          <w:rFonts w:ascii="Garamond" w:hAnsi="Garamond" w:cs="Arial"/>
        </w:rPr>
      </w:pPr>
    </w:p>
    <w:p w14:paraId="067CBA0D" w14:textId="13A39EE2" w:rsidR="00A240F0" w:rsidRPr="004C4827" w:rsidRDefault="004C4827" w:rsidP="004C4827">
      <w:pPr>
        <w:ind w:left="426" w:hanging="426"/>
        <w:rPr>
          <w:rFonts w:asciiTheme="minorHAnsi" w:eastAsia="Times New Roman" w:hAnsiTheme="minorHAnsi" w:cstheme="minorBidi"/>
          <w:i/>
        </w:rPr>
      </w:pPr>
      <w:r>
        <w:t>1.</w:t>
      </w:r>
      <w:r>
        <w:tab/>
        <w:t>En la 14ª reunión de la Conferencia de las Partes (COP14) celebrada en 2022, las Partes aprobaron la Resolución XIV.3, en cuyo párrafo 11 se “</w:t>
      </w:r>
      <w:r>
        <w:rPr>
          <w:i/>
        </w:rPr>
        <w:t>encarga a la Secretaría que mejore su estrategia de comunicación hacia las Partes Contratantes</w:t>
      </w:r>
      <w:r>
        <w:rPr>
          <w:rFonts w:asciiTheme="minorHAnsi" w:hAnsiTheme="minorHAnsi"/>
          <w:i/>
        </w:rPr>
        <w:t>, incluyendo la formulación de recomendaciones y cualquier evaluación de costos a tal fin,</w:t>
      </w:r>
      <w:r>
        <w:rPr>
          <w:i/>
        </w:rPr>
        <w:t xml:space="preserve"> que continúe reforzando las herramientas de fomento de capacidades</w:t>
      </w:r>
      <w:r>
        <w:rPr>
          <w:rFonts w:asciiTheme="minorHAnsi" w:hAnsiTheme="minorHAnsi"/>
          <w:i/>
        </w:rPr>
        <w:t>, como los talleres virtuales y los materiales de formación, con miras a mejorar el apoyo a las Partes Contratantes; y que presente una estrategia de comunicación con las Partes en la 63ª reunión del Comité Permanente (SC63)”.</w:t>
      </w:r>
    </w:p>
    <w:p w14:paraId="79FA357F" w14:textId="77777777" w:rsidR="00C224A7" w:rsidRPr="00C224A7" w:rsidRDefault="00C224A7" w:rsidP="00C224A7">
      <w:pPr>
        <w:pStyle w:val="ListParagraph"/>
        <w:ind w:left="780" w:firstLine="0"/>
        <w:rPr>
          <w:rFonts w:asciiTheme="minorHAnsi" w:eastAsia="Times New Roman" w:hAnsiTheme="minorHAnsi" w:cstheme="minorBidi"/>
          <w:i/>
        </w:rPr>
      </w:pPr>
    </w:p>
    <w:p w14:paraId="0EE352DC" w14:textId="77777777" w:rsidR="00C224A7" w:rsidRPr="00C224A7" w:rsidRDefault="00605D48" w:rsidP="00C224A7">
      <w:pPr>
        <w:rPr>
          <w:rFonts w:cs="Arial"/>
          <w:b/>
        </w:rPr>
      </w:pPr>
      <w:r>
        <w:rPr>
          <w:b/>
        </w:rPr>
        <w:t>Plan de mejora de la comunicación</w:t>
      </w:r>
    </w:p>
    <w:p w14:paraId="41EE7001" w14:textId="77777777" w:rsidR="001A2D10" w:rsidRPr="00C224A7" w:rsidRDefault="001A2D10" w:rsidP="00C224A7">
      <w:pPr>
        <w:ind w:left="0" w:firstLine="0"/>
        <w:rPr>
          <w:rFonts w:cs="Arial"/>
        </w:rPr>
      </w:pPr>
    </w:p>
    <w:p w14:paraId="734BA509" w14:textId="77777777" w:rsidR="00C224A7" w:rsidRDefault="004C4827" w:rsidP="004C4827">
      <w:pPr>
        <w:ind w:left="426" w:hanging="426"/>
      </w:pPr>
      <w:r>
        <w:t>2.</w:t>
      </w:r>
      <w:r>
        <w:tab/>
        <w:t>En respuesta a este encargo, la Secretaría ha preparado un plan de mejora de la comunicación con las Partes Contratantes, que figura en el Anexo 1 del presente documento y que puede aplicarse en el trienio en curso. Las medidas y actividades del plan se organizan en tres categorías: 1) intercambio de información; 2) comunicaciones oficiales y gestión de reuniones virtuales; y 3) fomento de la capacidad. Cabe destacar que este plan puede ponerse en marcha con los recursos disponibles actualmente y sin necesidad de inversiones adicionales.</w:t>
      </w:r>
    </w:p>
    <w:p w14:paraId="38073FD5" w14:textId="77777777" w:rsidR="009E0C1F" w:rsidRDefault="009E0C1F" w:rsidP="009E0C1F"/>
    <w:p w14:paraId="0928A812" w14:textId="77777777" w:rsidR="004C4827" w:rsidRPr="004C4827" w:rsidRDefault="009E0C1F" w:rsidP="004C4827">
      <w:pPr>
        <w:ind w:left="0" w:firstLine="0"/>
        <w:rPr>
          <w:i/>
        </w:rPr>
      </w:pPr>
      <w:r>
        <w:rPr>
          <w:i/>
        </w:rPr>
        <w:t>Intercambio de información</w:t>
      </w:r>
    </w:p>
    <w:p w14:paraId="77C47E45" w14:textId="77777777" w:rsidR="004C4827" w:rsidRDefault="004C4827" w:rsidP="004C4827">
      <w:pPr>
        <w:ind w:left="426"/>
        <w:rPr>
          <w:u w:val="single"/>
        </w:rPr>
      </w:pPr>
    </w:p>
    <w:p w14:paraId="482D2510" w14:textId="77777777" w:rsidR="009E0C1F" w:rsidRDefault="004C4827" w:rsidP="004C4827">
      <w:pPr>
        <w:ind w:left="426"/>
      </w:pPr>
      <w:r>
        <w:t>3.</w:t>
      </w:r>
      <w:r>
        <w:tab/>
        <w:t xml:space="preserve">Las Partes Contratantes han expresado la necesidad de mejorar el intercambio de información entre la Secretaría y las Partes Contratantes. En las entrevistas y la encuesta en línea realizadas como parte de la labor del Grupo de Trabajo sobre Eficacia durante el trienio 2018-2022 se detectó una “aparente falta de comunicación en el período entre reuniones de la Conferencia de las Partes”, y esta carencia de información reduce la capacidad de las Partes Contratantes de participar de forma eficaz y adoptar decisiones. </w:t>
      </w:r>
    </w:p>
    <w:p w14:paraId="06F3A45E" w14:textId="77777777" w:rsidR="009B2CAC" w:rsidRDefault="009B2CAC" w:rsidP="009E0C1F">
      <w:pPr>
        <w:ind w:left="1865"/>
      </w:pPr>
    </w:p>
    <w:p w14:paraId="4BF55D8D" w14:textId="6B7B3798" w:rsidR="009B2CAC" w:rsidRPr="00BF45A4" w:rsidRDefault="004C4827" w:rsidP="004C4827">
      <w:pPr>
        <w:ind w:left="426"/>
      </w:pPr>
      <w:r>
        <w:lastRenderedPageBreak/>
        <w:t>4.</w:t>
      </w:r>
      <w:r>
        <w:tab/>
        <w:t xml:space="preserve">Desde la COP14, la Secretaría ha adoptado una serie de medidas para mejorar el intercambio de información con las Partes Contratantes, entre otras, la renovación del sitio web con una mejora de la funcionalidad para el acceso a la información, el aumento de la frecuencia de publicación de noticias en el sitio web, la elaboración de un boletín informativo y la redacción de cartas periódicas de la Secretaria General en las que informa de sus actividades a las Partes Contratantes. </w:t>
      </w:r>
    </w:p>
    <w:p w14:paraId="1F12B4EE" w14:textId="77777777" w:rsidR="004C4827" w:rsidRDefault="004C4827" w:rsidP="009E0C1F">
      <w:pPr>
        <w:ind w:left="1865"/>
        <w:rPr>
          <w:u w:val="single"/>
        </w:rPr>
      </w:pPr>
    </w:p>
    <w:p w14:paraId="2BB3C59C" w14:textId="77777777" w:rsidR="004C4827" w:rsidRPr="004C4827" w:rsidRDefault="00BF45A4" w:rsidP="004C4827">
      <w:pPr>
        <w:ind w:left="0" w:firstLine="0"/>
        <w:rPr>
          <w:i/>
        </w:rPr>
      </w:pPr>
      <w:r>
        <w:rPr>
          <w:i/>
        </w:rPr>
        <w:t>Comunicaciones oficiales y gestión de reuniones virtuales</w:t>
      </w:r>
    </w:p>
    <w:p w14:paraId="2AB0BF86" w14:textId="77777777" w:rsidR="004C4827" w:rsidRDefault="004C4827" w:rsidP="009E0C1F">
      <w:pPr>
        <w:ind w:left="1865"/>
        <w:rPr>
          <w:u w:val="single"/>
        </w:rPr>
      </w:pPr>
    </w:p>
    <w:p w14:paraId="59B046F4" w14:textId="66CDFB8A" w:rsidR="00BF45A4" w:rsidRDefault="004C4827" w:rsidP="004C4827">
      <w:pPr>
        <w:ind w:left="426"/>
      </w:pPr>
      <w:r>
        <w:t>5.</w:t>
      </w:r>
      <w:r>
        <w:tab/>
        <w:t xml:space="preserve">En el afán de mejorar la comunicación con las Partes, la Secretaría ha puesto en marcha diversas medidas orientadas a procesos con vistas a aumentar la coherencia, la claridad y la accesibilidad de las comunicaciones oficiales. Se ha establecido un procedimiento operativo estándar interno para orientar la preparación y distribución de comunicaciones oficiales a las Partes. </w:t>
      </w:r>
    </w:p>
    <w:p w14:paraId="5A9EDF39" w14:textId="77777777" w:rsidR="001434D2" w:rsidRDefault="001434D2" w:rsidP="004C4827">
      <w:pPr>
        <w:ind w:left="426"/>
      </w:pPr>
    </w:p>
    <w:p w14:paraId="1BE66CB8" w14:textId="77777777" w:rsidR="00605D48" w:rsidRDefault="004C4827" w:rsidP="004C4827">
      <w:pPr>
        <w:ind w:left="426"/>
        <w:rPr>
          <w:i/>
        </w:rPr>
      </w:pPr>
      <w:r>
        <w:t>6.</w:t>
      </w:r>
      <w:r>
        <w:tab/>
        <w:t xml:space="preserve">Asimismo, la Secretaría ha establecido un proceso y un procedimiento operativo estándar para la organización y gestión de las reuniones virtuales. La Secretaría ha utilizado Zoom como plataforma preferida y ha establecido prácticas estándar para las invitaciones y los recordatorios, la forma de designar a los participantes y el uso de diversas características de Zoom como la sala de espera y las reuniones con registro. </w:t>
      </w:r>
    </w:p>
    <w:p w14:paraId="71E58E9B" w14:textId="77777777" w:rsidR="00052D33" w:rsidRDefault="00052D33" w:rsidP="004C4827">
      <w:pPr>
        <w:ind w:left="426"/>
        <w:rPr>
          <w:i/>
        </w:rPr>
      </w:pPr>
    </w:p>
    <w:p w14:paraId="0E9CC041" w14:textId="77777777" w:rsidR="004C4827" w:rsidRPr="004C4827" w:rsidRDefault="00605D48" w:rsidP="004C4827">
      <w:pPr>
        <w:ind w:left="426"/>
        <w:rPr>
          <w:i/>
        </w:rPr>
      </w:pPr>
      <w:r>
        <w:rPr>
          <w:i/>
        </w:rPr>
        <w:t>Fomento de la capacidad</w:t>
      </w:r>
    </w:p>
    <w:p w14:paraId="2E883F7A" w14:textId="77777777" w:rsidR="004C4827" w:rsidRDefault="004C4827" w:rsidP="004C4827">
      <w:pPr>
        <w:ind w:left="426"/>
        <w:rPr>
          <w:bCs/>
        </w:rPr>
      </w:pPr>
    </w:p>
    <w:p w14:paraId="3BF7F833" w14:textId="77777777" w:rsidR="00C224A7" w:rsidRPr="00024607" w:rsidRDefault="004C4827" w:rsidP="004C4827">
      <w:pPr>
        <w:ind w:left="426"/>
        <w:rPr>
          <w:i/>
        </w:rPr>
      </w:pPr>
      <w:r>
        <w:t>7.</w:t>
      </w:r>
      <w:r>
        <w:tab/>
        <w:t xml:space="preserve">Las actividades de fomento de la capacidad recogidas en el plan de comunicación responden a las necesidades de las Partes Contratantes definidas en las Resoluciones y en las solicitudes formuladas a la Secretaría en relación con actividades específicas de fomento de la capacidad. </w:t>
      </w:r>
    </w:p>
    <w:p w14:paraId="32F97DF1" w14:textId="77777777" w:rsidR="00F929B6" w:rsidRDefault="00F929B6" w:rsidP="005871DD">
      <w:pPr>
        <w:contextualSpacing/>
        <w:rPr>
          <w:rFonts w:cstheme="minorHAnsi"/>
        </w:rPr>
      </w:pPr>
    </w:p>
    <w:p w14:paraId="28614FFB" w14:textId="77777777" w:rsidR="00F929B6" w:rsidRPr="00135C7C" w:rsidRDefault="004C4827" w:rsidP="005871DD">
      <w:pPr>
        <w:contextualSpacing/>
        <w:rPr>
          <w:rFonts w:cstheme="minorHAnsi"/>
        </w:rPr>
      </w:pPr>
      <w:r>
        <w:t xml:space="preserve">8. </w:t>
      </w:r>
      <w:r>
        <w:tab/>
        <w:t xml:space="preserve">La Secretaría considera que las actividades de comunicación que figuran en el plan de comunicación abordan en gran medida las inquietudes señaladas por el Grupo de Trabajo sobre Eficacia y acoge con satisfacción la aprobación del plan y las observaciones del Comité Permanente sobre cómo seguir mejorando la comunicación. </w:t>
      </w:r>
    </w:p>
    <w:p w14:paraId="38462A53" w14:textId="77777777" w:rsidR="00A65837" w:rsidRDefault="00A65837" w:rsidP="002B72AC">
      <w:pPr>
        <w:ind w:left="0" w:firstLine="0"/>
      </w:pPr>
    </w:p>
    <w:p w14:paraId="76D27955" w14:textId="77777777" w:rsidR="00A65837" w:rsidRPr="00D930FA" w:rsidRDefault="004C4827" w:rsidP="00F929B6">
      <w:r>
        <w:t>9.</w:t>
      </w:r>
      <w:r>
        <w:tab/>
        <w:t xml:space="preserve">La Secretaría velará </w:t>
      </w:r>
      <w:proofErr w:type="spellStart"/>
      <w:r>
        <w:t>por que</w:t>
      </w:r>
      <w:proofErr w:type="spellEnd"/>
      <w:r>
        <w:t xml:space="preserve"> sus comunicaciones con las Partes Contratantes y otros textos escritos en los tres idiomas oficiales de la Convención sean inclusivas en cuanto al género, respetando las orientaciones vigentes de las Naciones Unidas al respecto</w:t>
      </w:r>
      <w:r w:rsidR="00CF10DD">
        <w:rPr>
          <w:rStyle w:val="FootnoteReference"/>
        </w:rPr>
        <w:footnoteReference w:id="2"/>
      </w:r>
      <w:r>
        <w:t>.</w:t>
      </w:r>
    </w:p>
    <w:p w14:paraId="0385A127" w14:textId="77777777" w:rsidR="00493991" w:rsidRPr="00D930FA" w:rsidRDefault="00493991" w:rsidP="009C5199">
      <w:pPr>
        <w:pStyle w:val="NoSpacing"/>
      </w:pPr>
    </w:p>
    <w:p w14:paraId="3883FE9B" w14:textId="77777777" w:rsidR="00164682" w:rsidRPr="00D930FA" w:rsidRDefault="00164682" w:rsidP="00164682">
      <w:pPr>
        <w:pStyle w:val="NoSpacing"/>
        <w:ind w:left="0" w:firstLine="0"/>
        <w:rPr>
          <w:rFonts w:cs="Arial"/>
          <w:b/>
          <w:sz w:val="24"/>
          <w:szCs w:val="24"/>
        </w:rPr>
      </w:pPr>
      <w:r>
        <w:rPr>
          <w:b/>
          <w:sz w:val="24"/>
          <w:szCs w:val="24"/>
        </w:rPr>
        <w:t xml:space="preserve"> </w:t>
      </w:r>
    </w:p>
    <w:p w14:paraId="3ACB44F2" w14:textId="77777777" w:rsidR="002B72AC" w:rsidRPr="00D930FA" w:rsidRDefault="002B72AC">
      <w:pPr>
        <w:rPr>
          <w:rFonts w:cs="Arial"/>
          <w:b/>
          <w:sz w:val="24"/>
          <w:szCs w:val="24"/>
        </w:rPr>
      </w:pPr>
      <w:r>
        <w:br w:type="page"/>
      </w:r>
    </w:p>
    <w:p w14:paraId="2320BA14" w14:textId="5D70F1D3" w:rsidR="00EC673C" w:rsidRPr="003039B3" w:rsidRDefault="00EC673C" w:rsidP="00EC673C">
      <w:pPr>
        <w:ind w:left="0" w:firstLine="0"/>
        <w:rPr>
          <w:rFonts w:cs="Arial"/>
          <w:b/>
          <w:sz w:val="24"/>
          <w:szCs w:val="24"/>
        </w:rPr>
      </w:pPr>
      <w:r>
        <w:rPr>
          <w:b/>
          <w:sz w:val="24"/>
          <w:szCs w:val="24"/>
        </w:rPr>
        <w:lastRenderedPageBreak/>
        <w:t>Anexo</w:t>
      </w:r>
      <w:r w:rsidR="00D0184F">
        <w:rPr>
          <w:b/>
          <w:sz w:val="24"/>
          <w:szCs w:val="24"/>
        </w:rPr>
        <w:t xml:space="preserve"> </w:t>
      </w:r>
      <w:r>
        <w:rPr>
          <w:b/>
          <w:sz w:val="24"/>
          <w:szCs w:val="24"/>
        </w:rPr>
        <w:t>1</w:t>
      </w:r>
    </w:p>
    <w:p w14:paraId="398F53A7" w14:textId="77777777" w:rsidR="00BF45A4" w:rsidRDefault="00BF45A4" w:rsidP="00EC673C">
      <w:pPr>
        <w:ind w:left="0" w:firstLine="0"/>
        <w:rPr>
          <w:rFonts w:cs="Arial"/>
          <w:b/>
          <w:sz w:val="24"/>
          <w:szCs w:val="24"/>
        </w:rPr>
      </w:pPr>
      <w:r>
        <w:rPr>
          <w:b/>
          <w:sz w:val="24"/>
          <w:szCs w:val="24"/>
        </w:rPr>
        <w:t xml:space="preserve">Plan de mejora de la comunicación entre la Secretaría y las Partes Contratantes </w:t>
      </w:r>
    </w:p>
    <w:p w14:paraId="4A8904F6" w14:textId="77777777" w:rsidR="00605D48" w:rsidRDefault="00605D48" w:rsidP="00EC673C">
      <w:pPr>
        <w:ind w:left="0" w:firstLine="0"/>
        <w:rPr>
          <w:rFonts w:cs="Arial"/>
          <w:b/>
          <w:sz w:val="24"/>
          <w:szCs w:val="24"/>
        </w:rPr>
      </w:pPr>
    </w:p>
    <w:p w14:paraId="05901C4D" w14:textId="77777777" w:rsidR="002B72AC" w:rsidRPr="002B72AC" w:rsidRDefault="002B72AC" w:rsidP="00EC673C">
      <w:pPr>
        <w:ind w:left="0" w:firstLine="0"/>
        <w:rPr>
          <w:rFonts w:cs="Arial"/>
        </w:rPr>
      </w:pPr>
      <w:r>
        <w:t>En los cuadros a continuación se presentan las medidas y actividades encaminadas a mejorar la comunicación con las Partes Contratantes en el marco de las tres categorías siguientes: 1) intercambio de información; 2) comunicaciones oficiales y gestión de reuniones virtuales; y 3) fomento de la capacidad.</w:t>
      </w:r>
    </w:p>
    <w:p w14:paraId="049A5BAA" w14:textId="77777777" w:rsidR="00605D48" w:rsidRDefault="00605D48" w:rsidP="00EC673C">
      <w:pPr>
        <w:ind w:left="0" w:firstLine="0"/>
        <w:rPr>
          <w:rFonts w:cs="Arial"/>
          <w:b/>
          <w:sz w:val="24"/>
          <w:szCs w:val="24"/>
        </w:rPr>
      </w:pPr>
    </w:p>
    <w:p w14:paraId="30BB4A3F" w14:textId="77777777" w:rsidR="002869E4" w:rsidRDefault="002869E4" w:rsidP="00B44B62">
      <w:pPr>
        <w:ind w:left="0" w:firstLine="0"/>
        <w:rPr>
          <w:bCs/>
          <w:i/>
        </w:rPr>
      </w:pPr>
      <w:r>
        <w:rPr>
          <w:bCs/>
          <w:i/>
        </w:rPr>
        <w:t>Cuadro 1: Síntesis de las medidas dirigidas a mejorar el intercambio de información con las Partes Contratantes en el trienio 2023-2025</w:t>
      </w:r>
    </w:p>
    <w:p w14:paraId="1C1C234A" w14:textId="77777777" w:rsidR="00285898" w:rsidRPr="00B44B62" w:rsidRDefault="00285898" w:rsidP="00B44B62">
      <w:pPr>
        <w:ind w:left="0" w:firstLine="0"/>
        <w:rPr>
          <w:bCs/>
          <w:i/>
        </w:rPr>
      </w:pPr>
    </w:p>
    <w:tbl>
      <w:tblPr>
        <w:tblStyle w:val="GridTable1Light-Accent1"/>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559"/>
        <w:gridCol w:w="3119"/>
        <w:gridCol w:w="3260"/>
        <w:gridCol w:w="1276"/>
      </w:tblGrid>
      <w:tr w:rsidR="00EA0132" w:rsidRPr="00B44B62" w14:paraId="00AA50C1" w14:textId="77777777" w:rsidTr="00285898">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559" w:type="dxa"/>
            <w:tcBorders>
              <w:bottom w:val="single" w:sz="4" w:space="0" w:color="auto"/>
            </w:tcBorders>
            <w:vAlign w:val="center"/>
          </w:tcPr>
          <w:p w14:paraId="7E827D89" w14:textId="77777777" w:rsidR="00EA0132" w:rsidRPr="00B44B62" w:rsidRDefault="00B44B62" w:rsidP="00B44B62">
            <w:pPr>
              <w:jc w:val="center"/>
              <w:rPr>
                <w:rFonts w:asciiTheme="minorHAnsi" w:hAnsiTheme="minorHAnsi" w:cstheme="minorHAnsi"/>
                <w:b w:val="0"/>
              </w:rPr>
            </w:pPr>
            <w:r>
              <w:rPr>
                <w:rFonts w:asciiTheme="minorHAnsi" w:hAnsiTheme="minorHAnsi"/>
              </w:rPr>
              <w:t>Actividad</w:t>
            </w:r>
          </w:p>
        </w:tc>
        <w:tc>
          <w:tcPr>
            <w:tcW w:w="3119" w:type="dxa"/>
            <w:tcBorders>
              <w:bottom w:val="single" w:sz="4" w:space="0" w:color="auto"/>
            </w:tcBorders>
            <w:vAlign w:val="center"/>
          </w:tcPr>
          <w:p w14:paraId="6F16DEB0" w14:textId="77777777" w:rsidR="00EA0132" w:rsidRPr="00B44B62" w:rsidRDefault="002869E4"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Objetivo</w:t>
            </w:r>
          </w:p>
        </w:tc>
        <w:tc>
          <w:tcPr>
            <w:tcW w:w="3260" w:type="dxa"/>
            <w:tcBorders>
              <w:bottom w:val="single" w:sz="4" w:space="0" w:color="auto"/>
            </w:tcBorders>
            <w:vAlign w:val="center"/>
          </w:tcPr>
          <w:p w14:paraId="5B69F1C2" w14:textId="77777777" w:rsidR="00EA0132" w:rsidRPr="00B44B62" w:rsidRDefault="00EA0132"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Formato</w:t>
            </w:r>
          </w:p>
        </w:tc>
        <w:tc>
          <w:tcPr>
            <w:tcW w:w="1276" w:type="dxa"/>
            <w:tcBorders>
              <w:bottom w:val="single" w:sz="4" w:space="0" w:color="auto"/>
            </w:tcBorders>
            <w:vAlign w:val="center"/>
          </w:tcPr>
          <w:p w14:paraId="0A6C8801" w14:textId="77777777" w:rsidR="00EA0132" w:rsidRPr="00B44B62" w:rsidRDefault="00EA0132"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Calendario / estado</w:t>
            </w:r>
          </w:p>
        </w:tc>
      </w:tr>
      <w:tr w:rsidR="00EA0132" w:rsidRPr="00B44B62" w14:paraId="412D4D9C" w14:textId="77777777" w:rsidTr="00285898">
        <w:trPr>
          <w:cantSplit/>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auto"/>
            </w:tcBorders>
          </w:tcPr>
          <w:p w14:paraId="20E8AD0B" w14:textId="77777777" w:rsidR="00EA0132" w:rsidRPr="00B44B62" w:rsidRDefault="00731E33" w:rsidP="00B44B62">
            <w:pPr>
              <w:rPr>
                <w:rFonts w:asciiTheme="minorHAnsi" w:hAnsiTheme="minorHAnsi" w:cstheme="minorHAnsi"/>
              </w:rPr>
            </w:pPr>
            <w:r>
              <w:rPr>
                <w:rFonts w:asciiTheme="minorHAnsi" w:hAnsiTheme="minorHAnsi"/>
              </w:rPr>
              <w:t>Boletín informativo</w:t>
            </w:r>
          </w:p>
        </w:tc>
        <w:tc>
          <w:tcPr>
            <w:tcW w:w="3119" w:type="dxa"/>
            <w:tcBorders>
              <w:top w:val="single" w:sz="4" w:space="0" w:color="auto"/>
            </w:tcBorders>
          </w:tcPr>
          <w:p w14:paraId="194349EE" w14:textId="77777777" w:rsidR="00EA0132" w:rsidRPr="00B44B62" w:rsidRDefault="00F82AE1"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Comunicar a las Partes Contratantes información y noticias pertinentes de la Secretaría en materia de actividades y eventos recientes, nuevos Humedales de Importancia Internacional, nuevos miembros del personal de la Secretaría, etc.</w:t>
            </w:r>
          </w:p>
        </w:tc>
        <w:tc>
          <w:tcPr>
            <w:tcW w:w="3260" w:type="dxa"/>
            <w:tcBorders>
              <w:top w:val="single" w:sz="4" w:space="0" w:color="auto"/>
            </w:tcBorders>
          </w:tcPr>
          <w:p w14:paraId="4577E0A7" w14:textId="77777777" w:rsidR="00EA0132" w:rsidRPr="00B44B62" w:rsidRDefault="00731E3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Boletín informativo digital enviado cuatro veces por año a las Partes Contratantes en los idiomas oficiales de la Convención.</w:t>
            </w:r>
          </w:p>
        </w:tc>
        <w:tc>
          <w:tcPr>
            <w:tcW w:w="1276" w:type="dxa"/>
            <w:tcBorders>
              <w:top w:val="single" w:sz="4" w:space="0" w:color="auto"/>
            </w:tcBorders>
          </w:tcPr>
          <w:p w14:paraId="22F236CE" w14:textId="77777777" w:rsidR="00EA0132" w:rsidRPr="00D7492C" w:rsidRDefault="00731E3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En curso</w:t>
            </w:r>
          </w:p>
        </w:tc>
      </w:tr>
      <w:tr w:rsidR="00EA0132" w:rsidRPr="00B44B62" w14:paraId="21AF17C9"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02072C2C" w14:textId="77777777" w:rsidR="00EA0132" w:rsidRPr="00B44B62" w:rsidRDefault="00731E33" w:rsidP="00B44B62">
            <w:pPr>
              <w:rPr>
                <w:rFonts w:asciiTheme="minorHAnsi" w:hAnsiTheme="minorHAnsi" w:cstheme="minorHAnsi"/>
              </w:rPr>
            </w:pPr>
            <w:r>
              <w:rPr>
                <w:rFonts w:asciiTheme="minorHAnsi" w:hAnsiTheme="minorHAnsi"/>
              </w:rPr>
              <w:t xml:space="preserve">Carta de la Secretaria General </w:t>
            </w:r>
          </w:p>
        </w:tc>
        <w:tc>
          <w:tcPr>
            <w:tcW w:w="3119" w:type="dxa"/>
          </w:tcPr>
          <w:p w14:paraId="683646EF" w14:textId="77777777" w:rsidR="00EA0132" w:rsidRPr="00B44B62" w:rsidRDefault="00F82AE1"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rPr>
              <w:t>Informar a las Partes Contratantes de las actividades de la Secretaria General</w:t>
            </w:r>
          </w:p>
        </w:tc>
        <w:tc>
          <w:tcPr>
            <w:tcW w:w="3260" w:type="dxa"/>
          </w:tcPr>
          <w:p w14:paraId="054C2C73" w14:textId="77777777" w:rsidR="00EA0132" w:rsidRPr="00B44B62" w:rsidRDefault="00B2547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rPr>
              <w:t>Correo electrónico enviado de cuatro a seis veces por año a las Partes Contratantes en los idiomas oficiales de la Convención.</w:t>
            </w:r>
          </w:p>
        </w:tc>
        <w:tc>
          <w:tcPr>
            <w:tcW w:w="1276" w:type="dxa"/>
          </w:tcPr>
          <w:p w14:paraId="5651F84A" w14:textId="77777777" w:rsidR="00EA0132" w:rsidRPr="00D7492C" w:rsidRDefault="00731E3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En curso</w:t>
            </w:r>
          </w:p>
        </w:tc>
      </w:tr>
      <w:tr w:rsidR="002869E4" w:rsidRPr="00B44B62" w14:paraId="55D76C78"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553038E2" w14:textId="77777777" w:rsidR="002869E4" w:rsidRPr="00B44B62" w:rsidRDefault="002869E4" w:rsidP="00B44B62">
            <w:pPr>
              <w:rPr>
                <w:rFonts w:asciiTheme="minorHAnsi" w:hAnsiTheme="minorHAnsi" w:cstheme="minorHAnsi"/>
              </w:rPr>
            </w:pPr>
            <w:r>
              <w:rPr>
                <w:rFonts w:asciiTheme="minorHAnsi" w:hAnsiTheme="minorHAnsi"/>
              </w:rPr>
              <w:t>Renovación y mejora del sitio web</w:t>
            </w:r>
          </w:p>
        </w:tc>
        <w:tc>
          <w:tcPr>
            <w:tcW w:w="3119" w:type="dxa"/>
          </w:tcPr>
          <w:p w14:paraId="36031F27" w14:textId="502E4015" w:rsidR="002869E4" w:rsidRPr="00E13480" w:rsidRDefault="00CC383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 xml:space="preserve">Garantizar que la información enviada a todas las Partes Contratantes esté disponible posteriormente en el sitio web de la Convención </w:t>
            </w:r>
            <w:r w:rsidR="00D0184F">
              <w:rPr>
                <w:rFonts w:asciiTheme="minorHAnsi" w:hAnsiTheme="minorHAnsi"/>
              </w:rPr>
              <w:t>y sea de</w:t>
            </w:r>
            <w:r>
              <w:rPr>
                <w:rFonts w:asciiTheme="minorHAnsi" w:hAnsiTheme="minorHAnsi"/>
              </w:rPr>
              <w:t xml:space="preserve"> fácil acceso.</w:t>
            </w:r>
          </w:p>
        </w:tc>
        <w:tc>
          <w:tcPr>
            <w:tcW w:w="3260" w:type="dxa"/>
          </w:tcPr>
          <w:p w14:paraId="30CEE7F9" w14:textId="77777777" w:rsidR="002869E4" w:rsidRPr="00E13480" w:rsidRDefault="00392B24"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Publicar comunicaciones como notificaciones o noticias, según corresponda, y destacar las comunicaciones más recientes.</w:t>
            </w:r>
          </w:p>
        </w:tc>
        <w:tc>
          <w:tcPr>
            <w:tcW w:w="1276" w:type="dxa"/>
          </w:tcPr>
          <w:p w14:paraId="0CA5F5E8" w14:textId="77777777" w:rsidR="002869E4" w:rsidRPr="00D7492C" w:rsidRDefault="00392B24"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En curso</w:t>
            </w:r>
          </w:p>
        </w:tc>
      </w:tr>
      <w:tr w:rsidR="0040309F" w:rsidRPr="00B44B62" w14:paraId="06DE5BF4"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4469115C" w14:textId="77777777" w:rsidR="0040309F" w:rsidRPr="00B44B62" w:rsidRDefault="0040309F" w:rsidP="00B44B62">
            <w:pPr>
              <w:rPr>
                <w:rFonts w:asciiTheme="minorHAnsi" w:hAnsiTheme="minorHAnsi" w:cstheme="minorHAnsi"/>
              </w:rPr>
            </w:pPr>
            <w:r>
              <w:rPr>
                <w:rFonts w:asciiTheme="minorHAnsi" w:hAnsiTheme="minorHAnsi"/>
              </w:rPr>
              <w:t>Noticias del sitio web</w:t>
            </w:r>
          </w:p>
        </w:tc>
        <w:tc>
          <w:tcPr>
            <w:tcW w:w="3119" w:type="dxa"/>
          </w:tcPr>
          <w:p w14:paraId="0DCBC121" w14:textId="77777777" w:rsidR="0040309F" w:rsidRPr="00B44B62" w:rsidRDefault="004D4C7A"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 xml:space="preserve">Proporcionar información de actualidad sobre diversos temas, como eventos, nuevas publicaciones y noticias sobre cómo las Partes Contratantes aplican la Convención. </w:t>
            </w:r>
          </w:p>
        </w:tc>
        <w:tc>
          <w:tcPr>
            <w:tcW w:w="3260" w:type="dxa"/>
          </w:tcPr>
          <w:p w14:paraId="5CBCC622" w14:textId="28CEB67A" w:rsidR="0040309F" w:rsidRPr="00B44B62" w:rsidRDefault="004D4C7A"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Las noticias se publican semanalmente en la página de inicio del sitio web en los tres idiomas oficiales de la Convención.</w:t>
            </w:r>
          </w:p>
        </w:tc>
        <w:tc>
          <w:tcPr>
            <w:tcW w:w="1276" w:type="dxa"/>
          </w:tcPr>
          <w:p w14:paraId="5109FA91" w14:textId="77777777" w:rsidR="0040309F" w:rsidRPr="00D7492C"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En curso</w:t>
            </w:r>
          </w:p>
        </w:tc>
      </w:tr>
      <w:tr w:rsidR="0040309F" w:rsidRPr="00B44B62" w14:paraId="5DEEF366"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1B7A59DD" w14:textId="77777777" w:rsidR="0040309F" w:rsidRPr="00B44B62" w:rsidRDefault="0040309F" w:rsidP="00B44B62">
            <w:pPr>
              <w:rPr>
                <w:rFonts w:asciiTheme="minorHAnsi" w:hAnsiTheme="minorHAnsi" w:cstheme="minorHAnsi"/>
              </w:rPr>
            </w:pPr>
            <w:r>
              <w:rPr>
                <w:rFonts w:asciiTheme="minorHAnsi" w:hAnsiTheme="minorHAnsi"/>
              </w:rPr>
              <w:t>Medios sociales</w:t>
            </w:r>
          </w:p>
        </w:tc>
        <w:tc>
          <w:tcPr>
            <w:tcW w:w="3119" w:type="dxa"/>
          </w:tcPr>
          <w:p w14:paraId="3FD62BEE" w14:textId="77777777" w:rsidR="0040309F" w:rsidRPr="00B44B62" w:rsidRDefault="7C2D7A10"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Divulgar información sobre humedales de forma sistemática y promover noticias, a fin de llegar a un público más amplio que incluya a las Partes Contratantes y al público en general a través de diversos canales de medios sociales.</w:t>
            </w:r>
          </w:p>
        </w:tc>
        <w:tc>
          <w:tcPr>
            <w:tcW w:w="3260" w:type="dxa"/>
          </w:tcPr>
          <w:p w14:paraId="16602F97" w14:textId="77777777" w:rsidR="0040309F" w:rsidRPr="00B44B62" w:rsidRDefault="00A26E5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Publicaciones periódicas de la Convención en sus cuentas de X, Facebook, Instagram y LinkedIn. Publicaciones de la Secretaria General en su cuenta privada.</w:t>
            </w:r>
          </w:p>
        </w:tc>
        <w:tc>
          <w:tcPr>
            <w:tcW w:w="1276" w:type="dxa"/>
          </w:tcPr>
          <w:p w14:paraId="030E7D70" w14:textId="77777777" w:rsidR="0040309F" w:rsidRPr="00D7492C"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En curso</w:t>
            </w:r>
          </w:p>
        </w:tc>
      </w:tr>
      <w:tr w:rsidR="0040309F" w:rsidRPr="00B44B62" w14:paraId="60C6CB5C"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32FC755C" w14:textId="77777777" w:rsidR="0040309F" w:rsidRPr="00B44B62" w:rsidRDefault="0040309F" w:rsidP="00B44B62">
            <w:pPr>
              <w:rPr>
                <w:rFonts w:asciiTheme="minorHAnsi" w:hAnsiTheme="minorHAnsi" w:cstheme="minorHAnsi"/>
              </w:rPr>
            </w:pPr>
            <w:r>
              <w:rPr>
                <w:rFonts w:asciiTheme="minorHAnsi" w:hAnsiTheme="minorHAnsi"/>
              </w:rPr>
              <w:lastRenderedPageBreak/>
              <w:t>Anuncio de la designación de nuevos Humedales de Importancia Internacional</w:t>
            </w:r>
          </w:p>
        </w:tc>
        <w:tc>
          <w:tcPr>
            <w:tcW w:w="3119" w:type="dxa"/>
          </w:tcPr>
          <w:p w14:paraId="1A2F2B15" w14:textId="77777777" w:rsidR="0040309F" w:rsidRPr="00B44B62" w:rsidRDefault="001469EF"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Informar a todas las Partes Contratantes de los cambios realizados en la Lista de Humedales de Importancia Internacional de conformidad con el Artículo 8.2 de la Convención.</w:t>
            </w:r>
          </w:p>
        </w:tc>
        <w:tc>
          <w:tcPr>
            <w:tcW w:w="3260" w:type="dxa"/>
          </w:tcPr>
          <w:p w14:paraId="1E94843F" w14:textId="77777777" w:rsidR="0040309F" w:rsidRPr="00B44B62"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Todos los Sitios Ramsar nuevos o ampliados se anuncian en una noticia en el sitio web de la Convención en los tres idiomas oficiales, y se publica la versión actualizada de la Lista de Ramsar.</w:t>
            </w:r>
          </w:p>
        </w:tc>
        <w:tc>
          <w:tcPr>
            <w:tcW w:w="1276" w:type="dxa"/>
          </w:tcPr>
          <w:p w14:paraId="42A22088" w14:textId="77777777" w:rsidR="0040309F" w:rsidRPr="00D7492C"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En curso</w:t>
            </w:r>
          </w:p>
        </w:tc>
      </w:tr>
      <w:tr w:rsidR="002F33DD" w:rsidRPr="00B44B62" w14:paraId="0D99CA2B"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45746CFA" w14:textId="77777777" w:rsidR="002F33DD" w:rsidRPr="00B44B62" w:rsidRDefault="002F33DD" w:rsidP="00B44B62">
            <w:pPr>
              <w:rPr>
                <w:rFonts w:asciiTheme="minorHAnsi" w:hAnsiTheme="minorHAnsi" w:cstheme="minorHAnsi"/>
              </w:rPr>
            </w:pPr>
            <w:r>
              <w:rPr>
                <w:rFonts w:asciiTheme="minorHAnsi" w:hAnsiTheme="minorHAnsi"/>
              </w:rPr>
              <w:t>Vídeos</w:t>
            </w:r>
          </w:p>
        </w:tc>
        <w:tc>
          <w:tcPr>
            <w:tcW w:w="3119" w:type="dxa"/>
          </w:tcPr>
          <w:p w14:paraId="1E858385" w14:textId="77777777" w:rsidR="002F33DD" w:rsidRPr="00B44B62" w:rsidRDefault="0067066B"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 xml:space="preserve">Proporcionar información sobre los humedales y su valor en un formato fácil de entender para que la Secretaría y las Partes Contratantes la usen en sus medios sociales y otros canales. </w:t>
            </w:r>
          </w:p>
        </w:tc>
        <w:tc>
          <w:tcPr>
            <w:tcW w:w="3260" w:type="dxa"/>
          </w:tcPr>
          <w:p w14:paraId="031350D9" w14:textId="77777777" w:rsidR="002F33DD" w:rsidRPr="00B44B62" w:rsidRDefault="6977CC0F"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La Secretaría realiza una serie de vídeos, como vídeos de corta duración para medios sociales sobre temas relacionados con los humedales, vídeos de la Secretaria General sobre días internacionales y eventos importantes y vídeos sobre fomento de la capacidad. Estos vídeos se encuentran disponibles en el canal de YouTube de la Convención.</w:t>
            </w:r>
          </w:p>
        </w:tc>
        <w:tc>
          <w:tcPr>
            <w:tcW w:w="1276" w:type="dxa"/>
          </w:tcPr>
          <w:p w14:paraId="17114BE8" w14:textId="77777777" w:rsidR="002F33DD" w:rsidRPr="00D7492C"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En curso</w:t>
            </w:r>
          </w:p>
        </w:tc>
      </w:tr>
      <w:tr w:rsidR="002F33DD" w:rsidRPr="00B44B62" w14:paraId="031495BC"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5FED97A8" w14:textId="77777777" w:rsidR="002F33DD" w:rsidRPr="00B44B62" w:rsidRDefault="002F33DD" w:rsidP="00B44B62">
            <w:pPr>
              <w:rPr>
                <w:rFonts w:asciiTheme="minorHAnsi" w:hAnsiTheme="minorHAnsi" w:cstheme="minorHAnsi"/>
              </w:rPr>
            </w:pPr>
            <w:r>
              <w:rPr>
                <w:rFonts w:asciiTheme="minorHAnsi" w:hAnsiTheme="minorHAnsi"/>
              </w:rPr>
              <w:t>Productos de información</w:t>
            </w:r>
          </w:p>
        </w:tc>
        <w:tc>
          <w:tcPr>
            <w:tcW w:w="3119" w:type="dxa"/>
          </w:tcPr>
          <w:p w14:paraId="38DFDF2C" w14:textId="77777777" w:rsidR="002F33DD" w:rsidRPr="00B44B62" w:rsidRDefault="00A26E5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 xml:space="preserve">Proporcionar a las Partes Contratantes información de actualidad y de interés sobre los humedales. </w:t>
            </w:r>
          </w:p>
        </w:tc>
        <w:tc>
          <w:tcPr>
            <w:tcW w:w="3260" w:type="dxa"/>
          </w:tcPr>
          <w:p w14:paraId="7F817E56" w14:textId="0B51589D" w:rsidR="002F33DD" w:rsidRPr="00B44B62" w:rsidRDefault="6977CC0F" w:rsidP="6977CC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 xml:space="preserve">Publicar y </w:t>
            </w:r>
            <w:r w:rsidR="00D0184F">
              <w:rPr>
                <w:rFonts w:asciiTheme="minorHAnsi" w:hAnsiTheme="minorHAnsi"/>
              </w:rPr>
              <w:t>destacar</w:t>
            </w:r>
            <w:r>
              <w:rPr>
                <w:rFonts w:asciiTheme="minorHAnsi" w:hAnsiTheme="minorHAnsi"/>
              </w:rPr>
              <w:t xml:space="preserve"> publicaciones como hojas informativas, folletos y notas informativas.</w:t>
            </w:r>
          </w:p>
        </w:tc>
        <w:tc>
          <w:tcPr>
            <w:tcW w:w="1276" w:type="dxa"/>
          </w:tcPr>
          <w:p w14:paraId="25D8A3E7" w14:textId="77777777" w:rsidR="002F33DD" w:rsidRPr="00D7492C" w:rsidRDefault="00DF0C4E"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En curso – a solicitud de las Partes</w:t>
            </w:r>
          </w:p>
        </w:tc>
      </w:tr>
      <w:tr w:rsidR="002F33DD" w:rsidRPr="00B44B62" w14:paraId="3AB9E84A"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47C10558" w14:textId="77777777" w:rsidR="002F33DD" w:rsidRPr="00B44B62" w:rsidRDefault="002F33DD" w:rsidP="00B44B62">
            <w:pPr>
              <w:rPr>
                <w:rFonts w:asciiTheme="minorHAnsi" w:hAnsiTheme="minorHAnsi" w:cstheme="minorHAnsi"/>
              </w:rPr>
            </w:pPr>
            <w:r>
              <w:rPr>
                <w:rFonts w:asciiTheme="minorHAnsi" w:hAnsiTheme="minorHAnsi"/>
              </w:rPr>
              <w:t xml:space="preserve">Reuniones con las Misiones Permanentes en Ginebra </w:t>
            </w:r>
          </w:p>
        </w:tc>
        <w:tc>
          <w:tcPr>
            <w:tcW w:w="3119" w:type="dxa"/>
          </w:tcPr>
          <w:p w14:paraId="52F6D5B7" w14:textId="77777777" w:rsidR="002F33DD" w:rsidRPr="00B44B62" w:rsidRDefault="004D4C7A"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Mejorar la comprensión de la labor de la Convención entre los representantes de las misiones diplomáticas en Ginebra a fin de reforzar la colaboración y participación de las Partes Contratantes.</w:t>
            </w:r>
          </w:p>
        </w:tc>
        <w:tc>
          <w:tcPr>
            <w:tcW w:w="3260" w:type="dxa"/>
          </w:tcPr>
          <w:p w14:paraId="6271A8AB" w14:textId="77777777" w:rsidR="002F33DD" w:rsidRPr="00B44B62" w:rsidRDefault="006540D1"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 xml:space="preserve">Reuniones de la Secretaria General y los Asesores Superiores Regionales con los representantes de las Misiones Permanentes en Ginebra. </w:t>
            </w:r>
          </w:p>
        </w:tc>
        <w:tc>
          <w:tcPr>
            <w:tcW w:w="1276" w:type="dxa"/>
          </w:tcPr>
          <w:p w14:paraId="3D608422" w14:textId="77777777" w:rsidR="002F33DD" w:rsidRPr="00D7492C" w:rsidRDefault="00DF0C4E"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En curso</w:t>
            </w:r>
          </w:p>
        </w:tc>
      </w:tr>
      <w:tr w:rsidR="002F33DD" w:rsidRPr="00B44B62" w14:paraId="11FF5DC0"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091133DB" w14:textId="77777777" w:rsidR="002F33DD" w:rsidRPr="00B44B62" w:rsidRDefault="002F33DD" w:rsidP="00B44B62">
            <w:pPr>
              <w:rPr>
                <w:rFonts w:asciiTheme="minorHAnsi" w:hAnsiTheme="minorHAnsi" w:cstheme="minorHAnsi"/>
              </w:rPr>
            </w:pPr>
            <w:r>
              <w:rPr>
                <w:rFonts w:asciiTheme="minorHAnsi" w:hAnsiTheme="minorHAnsi"/>
              </w:rPr>
              <w:t>Informes de la Secretaria General al Comité Permanente y la COP</w:t>
            </w:r>
          </w:p>
        </w:tc>
        <w:tc>
          <w:tcPr>
            <w:tcW w:w="3119" w:type="dxa"/>
          </w:tcPr>
          <w:p w14:paraId="73FF0B48" w14:textId="77777777" w:rsidR="002F33DD" w:rsidRPr="00B44B62" w:rsidRDefault="006540D1"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Proporcionar un informe formal sobre las actividades y los logros de la Secretaría para su examen por los órganos rectores de la Convención.</w:t>
            </w:r>
          </w:p>
        </w:tc>
        <w:tc>
          <w:tcPr>
            <w:tcW w:w="3260" w:type="dxa"/>
          </w:tcPr>
          <w:p w14:paraId="1A60C83D" w14:textId="77777777" w:rsidR="002F33DD" w:rsidRPr="00B44B62"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La Secretaria General redacta un informe sobre las actividades y los logros de la Secretaría para cada reunión del Comité Permanente y la COP. Estos informes se publican en los idiomas oficiales de la Convención y en el sitio web de la Convención 90 días antes de cada reunión.</w:t>
            </w:r>
          </w:p>
        </w:tc>
        <w:tc>
          <w:tcPr>
            <w:tcW w:w="1276" w:type="dxa"/>
          </w:tcPr>
          <w:p w14:paraId="0DEE8209" w14:textId="77777777" w:rsidR="002F33DD" w:rsidRPr="00D7492C"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En curso</w:t>
            </w:r>
          </w:p>
        </w:tc>
      </w:tr>
    </w:tbl>
    <w:p w14:paraId="0CBC575C" w14:textId="77777777" w:rsidR="00EA0132" w:rsidRDefault="00EA0132" w:rsidP="00EC673C">
      <w:pPr>
        <w:ind w:left="0" w:firstLine="0"/>
        <w:rPr>
          <w:rFonts w:cs="Arial"/>
          <w:b/>
          <w:sz w:val="24"/>
          <w:szCs w:val="24"/>
        </w:rPr>
      </w:pPr>
    </w:p>
    <w:p w14:paraId="30701846" w14:textId="77777777" w:rsidR="00B44B62" w:rsidRDefault="00B44B62">
      <w:pPr>
        <w:rPr>
          <w:rFonts w:cs="Arial"/>
          <w:b/>
          <w:sz w:val="24"/>
          <w:szCs w:val="24"/>
        </w:rPr>
      </w:pPr>
      <w:r>
        <w:br w:type="page"/>
      </w:r>
    </w:p>
    <w:p w14:paraId="57600394" w14:textId="77777777" w:rsidR="002869E4" w:rsidRDefault="002869E4" w:rsidP="002869E4">
      <w:pPr>
        <w:pStyle w:val="ListParagraph"/>
        <w:ind w:left="0" w:firstLine="0"/>
        <w:rPr>
          <w:bCs/>
          <w:i/>
        </w:rPr>
      </w:pPr>
      <w:r>
        <w:rPr>
          <w:bCs/>
          <w:i/>
        </w:rPr>
        <w:lastRenderedPageBreak/>
        <w:t>Cuadro 2: Síntesis de las medidas dirigidas a mejorar las comunicaciones oficiales y la gestión de las reuniones virtuales en el trienio 2023-2025</w:t>
      </w:r>
    </w:p>
    <w:p w14:paraId="19762FEA" w14:textId="77777777" w:rsidR="00285898" w:rsidRPr="00B44B62" w:rsidRDefault="00285898" w:rsidP="002869E4">
      <w:pPr>
        <w:pStyle w:val="ListParagraph"/>
        <w:ind w:left="0" w:firstLine="0"/>
        <w:rPr>
          <w:bCs/>
          <w:i/>
        </w:rPr>
      </w:pPr>
    </w:p>
    <w:tbl>
      <w:tblPr>
        <w:tblStyle w:val="GridTable1Light-Accent1"/>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696"/>
        <w:gridCol w:w="2977"/>
        <w:gridCol w:w="3402"/>
        <w:gridCol w:w="1276"/>
      </w:tblGrid>
      <w:tr w:rsidR="00B44B62" w:rsidRPr="00B44B62" w14:paraId="2AD07DE4" w14:textId="77777777" w:rsidTr="00F03E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vAlign w:val="center"/>
          </w:tcPr>
          <w:p w14:paraId="6618F41B" w14:textId="77777777" w:rsidR="00B44B62" w:rsidRPr="00B44B62" w:rsidRDefault="00B44B62" w:rsidP="00B44B62">
            <w:pPr>
              <w:jc w:val="center"/>
              <w:rPr>
                <w:rFonts w:asciiTheme="minorHAnsi" w:hAnsiTheme="minorHAnsi" w:cstheme="minorHAnsi"/>
              </w:rPr>
            </w:pPr>
            <w:r>
              <w:rPr>
                <w:rFonts w:asciiTheme="minorHAnsi" w:hAnsiTheme="minorHAnsi"/>
              </w:rPr>
              <w:t>Actividad</w:t>
            </w:r>
          </w:p>
        </w:tc>
        <w:tc>
          <w:tcPr>
            <w:tcW w:w="2977" w:type="dxa"/>
            <w:tcBorders>
              <w:bottom w:val="single" w:sz="4" w:space="0" w:color="auto"/>
            </w:tcBorders>
            <w:vAlign w:val="center"/>
          </w:tcPr>
          <w:p w14:paraId="66599050" w14:textId="77777777" w:rsidR="00B44B62" w:rsidRPr="00B44B62" w:rsidRDefault="00B44B62"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Objetivo</w:t>
            </w:r>
          </w:p>
        </w:tc>
        <w:tc>
          <w:tcPr>
            <w:tcW w:w="3402" w:type="dxa"/>
            <w:tcBorders>
              <w:bottom w:val="single" w:sz="4" w:space="0" w:color="auto"/>
            </w:tcBorders>
            <w:vAlign w:val="center"/>
          </w:tcPr>
          <w:p w14:paraId="15024B78" w14:textId="77777777" w:rsidR="00B44B62" w:rsidRPr="00B44B62" w:rsidRDefault="00B44B62"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Formato</w:t>
            </w:r>
          </w:p>
        </w:tc>
        <w:tc>
          <w:tcPr>
            <w:tcW w:w="1276" w:type="dxa"/>
            <w:tcBorders>
              <w:bottom w:val="single" w:sz="4" w:space="0" w:color="auto"/>
            </w:tcBorders>
            <w:vAlign w:val="center"/>
          </w:tcPr>
          <w:p w14:paraId="1415FE7B" w14:textId="77777777" w:rsidR="00B44B62" w:rsidRPr="00B44B62" w:rsidRDefault="00B44B62"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Calendario / estado</w:t>
            </w:r>
          </w:p>
        </w:tc>
      </w:tr>
      <w:tr w:rsidR="00B44B62" w:rsidRPr="00B44B62" w14:paraId="458049E8" w14:textId="77777777" w:rsidTr="00F03E5A">
        <w:trPr>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cPr>
          <w:p w14:paraId="1B7A5910" w14:textId="77777777" w:rsidR="00B44B62" w:rsidRPr="00B44B62" w:rsidRDefault="00B44B62" w:rsidP="00B44B62">
            <w:pPr>
              <w:rPr>
                <w:rFonts w:asciiTheme="minorHAnsi" w:hAnsiTheme="minorHAnsi" w:cstheme="minorHAnsi"/>
              </w:rPr>
            </w:pPr>
            <w:r>
              <w:rPr>
                <w:rFonts w:asciiTheme="minorHAnsi" w:hAnsiTheme="minorHAnsi"/>
              </w:rPr>
              <w:t>Formato uniforme para las comunicaciones oficiales</w:t>
            </w:r>
          </w:p>
        </w:tc>
        <w:tc>
          <w:tcPr>
            <w:tcW w:w="2977" w:type="dxa"/>
            <w:tcBorders>
              <w:top w:val="single" w:sz="4" w:space="0" w:color="auto"/>
            </w:tcBorders>
          </w:tcPr>
          <w:p w14:paraId="3FB78E5C" w14:textId="77777777" w:rsidR="00B44B62" w:rsidRPr="00B44B62" w:rsidRDefault="00B44B62"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Utilizar un formato uniforme y fácil de entender en las comunicaciones oficiales.</w:t>
            </w:r>
          </w:p>
        </w:tc>
        <w:tc>
          <w:tcPr>
            <w:tcW w:w="3402" w:type="dxa"/>
            <w:tcBorders>
              <w:top w:val="single" w:sz="4" w:space="0" w:color="auto"/>
            </w:tcBorders>
          </w:tcPr>
          <w:p w14:paraId="7FDD2733" w14:textId="77777777"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Establecimiento de un procedimiento operativo estándar para mantener la coherencia en la forma de dirigirse a los destinatarios, uso de modelos para las comunicaciones oficiales y aplicación de medidas de control de calidad para velar por la coherencia lingüística y de estilo.</w:t>
            </w:r>
          </w:p>
        </w:tc>
        <w:tc>
          <w:tcPr>
            <w:tcW w:w="1276" w:type="dxa"/>
            <w:tcBorders>
              <w:top w:val="single" w:sz="4" w:space="0" w:color="auto"/>
            </w:tcBorders>
          </w:tcPr>
          <w:p w14:paraId="6235D02D" w14:textId="77777777"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En curso</w:t>
            </w:r>
          </w:p>
        </w:tc>
      </w:tr>
      <w:tr w:rsidR="00B44B62" w:rsidRPr="00B44B62" w14:paraId="16E6056B" w14:textId="77777777" w:rsidTr="00F03E5A">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65A010E9" w14:textId="77777777" w:rsidR="00B44B62" w:rsidRPr="00B44B62" w:rsidRDefault="00B44B62" w:rsidP="00B44B62">
            <w:pPr>
              <w:rPr>
                <w:rFonts w:asciiTheme="minorHAnsi" w:hAnsiTheme="minorHAnsi" w:cstheme="minorHAnsi"/>
              </w:rPr>
            </w:pPr>
            <w:r>
              <w:rPr>
                <w:rFonts w:asciiTheme="minorHAnsi" w:hAnsiTheme="minorHAnsi"/>
              </w:rPr>
              <w:t>Plazo de respuesta visible</w:t>
            </w:r>
          </w:p>
        </w:tc>
        <w:tc>
          <w:tcPr>
            <w:tcW w:w="2977" w:type="dxa"/>
          </w:tcPr>
          <w:p w14:paraId="48B5AD5C" w14:textId="77777777" w:rsidR="00B44B62" w:rsidRPr="00B44B62" w:rsidRDefault="00B44B62"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Definir claramente los plazos de respuesta de las Partes Contratantes.</w:t>
            </w:r>
          </w:p>
        </w:tc>
        <w:tc>
          <w:tcPr>
            <w:tcW w:w="3402" w:type="dxa"/>
          </w:tcPr>
          <w:p w14:paraId="7CC87FC7" w14:textId="77777777"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 xml:space="preserve">Los plazos que figuran en las comunicaciones están resaltados y se indican, por lo general, en un párrafo aparte. </w:t>
            </w:r>
          </w:p>
        </w:tc>
        <w:tc>
          <w:tcPr>
            <w:tcW w:w="1276" w:type="dxa"/>
          </w:tcPr>
          <w:p w14:paraId="32DB01EF" w14:textId="77777777"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En curso</w:t>
            </w:r>
          </w:p>
        </w:tc>
      </w:tr>
      <w:tr w:rsidR="00B44B62" w:rsidRPr="00B44B62" w14:paraId="61820E31" w14:textId="77777777" w:rsidTr="00F03E5A">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116A9A50" w14:textId="77777777" w:rsidR="00B44B62" w:rsidRPr="00B44B62" w:rsidRDefault="00B44B62" w:rsidP="00B44B62">
            <w:pPr>
              <w:rPr>
                <w:rFonts w:asciiTheme="minorHAnsi" w:hAnsiTheme="minorHAnsi" w:cstheme="minorHAnsi"/>
              </w:rPr>
            </w:pPr>
            <w:r>
              <w:rPr>
                <w:rFonts w:asciiTheme="minorHAnsi" w:hAnsiTheme="minorHAnsi"/>
              </w:rPr>
              <w:t>Direcciones de correo electrónico específicas para los grupos de trabajo</w:t>
            </w:r>
          </w:p>
        </w:tc>
        <w:tc>
          <w:tcPr>
            <w:tcW w:w="2977" w:type="dxa"/>
          </w:tcPr>
          <w:p w14:paraId="41AEAAA1" w14:textId="77777777" w:rsidR="00B44B62" w:rsidRPr="00B44B62" w:rsidRDefault="00B44B62"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 xml:space="preserve">Facilitar la identificación de las comunicaciones por correo electrónico relacionadas con un grupo de trabajo en particular. </w:t>
            </w:r>
          </w:p>
        </w:tc>
        <w:tc>
          <w:tcPr>
            <w:tcW w:w="3402" w:type="dxa"/>
          </w:tcPr>
          <w:p w14:paraId="64D4CBD6" w14:textId="77777777"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 xml:space="preserve">Las direcciones de correo electrónico específicas para los grupos de trabajo se asignan a petición de dichos grupos. </w:t>
            </w:r>
          </w:p>
        </w:tc>
        <w:tc>
          <w:tcPr>
            <w:tcW w:w="1276" w:type="dxa"/>
          </w:tcPr>
          <w:p w14:paraId="529CB96B" w14:textId="77777777"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En curso</w:t>
            </w:r>
          </w:p>
        </w:tc>
      </w:tr>
      <w:tr w:rsidR="00B44B62" w:rsidRPr="00B44B62" w14:paraId="15313F41" w14:textId="77777777" w:rsidTr="00F03E5A">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55676336" w14:textId="77777777" w:rsidR="00B44B62" w:rsidRPr="00B44B62" w:rsidRDefault="00B44B62" w:rsidP="00B44B62">
            <w:pPr>
              <w:rPr>
                <w:rFonts w:asciiTheme="minorHAnsi" w:hAnsiTheme="minorHAnsi" w:cstheme="minorHAnsi"/>
              </w:rPr>
            </w:pPr>
            <w:r>
              <w:rPr>
                <w:rFonts w:asciiTheme="minorHAnsi" w:hAnsiTheme="minorHAnsi"/>
              </w:rPr>
              <w:t xml:space="preserve">Mejora de las notas diplomáticas </w:t>
            </w:r>
          </w:p>
        </w:tc>
        <w:tc>
          <w:tcPr>
            <w:tcW w:w="2977" w:type="dxa"/>
          </w:tcPr>
          <w:p w14:paraId="7A5600A8" w14:textId="77777777" w:rsidR="00B44B62" w:rsidRPr="00B44B62" w:rsidRDefault="001A4900"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Aumentar la transparencia y accesibilidad de las comunicaciones a fin de facilitar la divulgación de información oficial.</w:t>
            </w:r>
          </w:p>
        </w:tc>
        <w:tc>
          <w:tcPr>
            <w:tcW w:w="3402" w:type="dxa"/>
          </w:tcPr>
          <w:p w14:paraId="50641867" w14:textId="42E254BE" w:rsidR="00B44B62" w:rsidRPr="00B44B62" w:rsidRDefault="00697DCF"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7DCF">
              <w:rPr>
                <w:rFonts w:asciiTheme="minorHAnsi" w:hAnsiTheme="minorHAnsi"/>
              </w:rPr>
              <w:t>El texto completo de las notas diplomáticas se envía con un PDF adjunto y se publica en el sitio web de la Convención como documento o notificación.</w:t>
            </w:r>
          </w:p>
        </w:tc>
        <w:tc>
          <w:tcPr>
            <w:tcW w:w="1276" w:type="dxa"/>
          </w:tcPr>
          <w:p w14:paraId="2B090C7F" w14:textId="77777777"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En curso</w:t>
            </w:r>
          </w:p>
        </w:tc>
      </w:tr>
      <w:tr w:rsidR="00B44B62" w:rsidRPr="00B44B62" w14:paraId="0E2C5EDD" w14:textId="77777777" w:rsidTr="00F03E5A">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1D544F4C" w14:textId="77777777" w:rsidR="00B44B62" w:rsidRPr="00B44B62" w:rsidRDefault="00B44B62" w:rsidP="00B44B62">
            <w:pPr>
              <w:rPr>
                <w:rFonts w:asciiTheme="minorHAnsi" w:hAnsiTheme="minorHAnsi" w:cstheme="minorHAnsi"/>
              </w:rPr>
            </w:pPr>
            <w:r>
              <w:rPr>
                <w:rFonts w:asciiTheme="minorHAnsi" w:hAnsiTheme="minorHAnsi"/>
              </w:rPr>
              <w:t>Uso normalizado de Zoom para las reuniones virtuales</w:t>
            </w:r>
          </w:p>
        </w:tc>
        <w:tc>
          <w:tcPr>
            <w:tcW w:w="2977" w:type="dxa"/>
          </w:tcPr>
          <w:p w14:paraId="4672D04E" w14:textId="77777777" w:rsidR="00B44B62" w:rsidRPr="00B44B62" w:rsidRDefault="00B44B62"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Establecer un proceso bien gestionado para la celebración de reuniones virtuales que facilite la participación inclusiva de los participantes en la reunión.</w:t>
            </w:r>
          </w:p>
        </w:tc>
        <w:tc>
          <w:tcPr>
            <w:tcW w:w="3402" w:type="dxa"/>
          </w:tcPr>
          <w:p w14:paraId="3DAE14EE" w14:textId="00EB0455" w:rsidR="00B44B62" w:rsidRPr="00B44B62" w:rsidRDefault="00C82A98"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Se utiliza</w:t>
            </w:r>
            <w:r w:rsidR="00B44B62">
              <w:rPr>
                <w:rFonts w:asciiTheme="minorHAnsi" w:hAnsiTheme="minorHAnsi"/>
              </w:rPr>
              <w:t xml:space="preserve"> Zoom como plataforma preferida para la celebración de reuniones virtuales con un procedimiento operativo estándar interno que permit</w:t>
            </w:r>
            <w:r>
              <w:rPr>
                <w:rFonts w:asciiTheme="minorHAnsi" w:hAnsiTheme="minorHAnsi"/>
              </w:rPr>
              <w:t>e</w:t>
            </w:r>
            <w:r w:rsidR="00B44B62">
              <w:rPr>
                <w:rFonts w:asciiTheme="minorHAnsi" w:hAnsiTheme="minorHAnsi"/>
              </w:rPr>
              <w:t xml:space="preserve"> dar apoyo a las reuniones en línea, entre otras cosas, para establecer la forma de designar a los participantes en la reunión a fin de identificarlos claramente. Se envían recordatorios de la reunión un día antes de su celebración. </w:t>
            </w:r>
            <w:r>
              <w:rPr>
                <w:rFonts w:asciiTheme="minorHAnsi" w:hAnsiTheme="minorHAnsi"/>
              </w:rPr>
              <w:t>Se hace uso de</w:t>
            </w:r>
            <w:r w:rsidR="00B44B62">
              <w:rPr>
                <w:rFonts w:asciiTheme="minorHAnsi" w:hAnsiTheme="minorHAnsi"/>
              </w:rPr>
              <w:t xml:space="preserve"> una sala de espera para facilitar los debates previos a la reunión entre quienes presiden la reunión, los consultores y la Secretaría. </w:t>
            </w:r>
            <w:r>
              <w:rPr>
                <w:rFonts w:asciiTheme="minorHAnsi" w:hAnsiTheme="minorHAnsi"/>
              </w:rPr>
              <w:t>Existe la opción</w:t>
            </w:r>
            <w:r w:rsidR="00B44B62">
              <w:rPr>
                <w:rFonts w:asciiTheme="minorHAnsi" w:hAnsiTheme="minorHAnsi"/>
              </w:rPr>
              <w:t xml:space="preserve"> de registrarse para una reunión de Zoom, a fin de hacer un seguimiento de los asistentes.</w:t>
            </w:r>
          </w:p>
        </w:tc>
        <w:tc>
          <w:tcPr>
            <w:tcW w:w="1276" w:type="dxa"/>
          </w:tcPr>
          <w:p w14:paraId="5A65CB12" w14:textId="77777777"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En curso</w:t>
            </w:r>
          </w:p>
        </w:tc>
      </w:tr>
    </w:tbl>
    <w:p w14:paraId="573FF849" w14:textId="77777777" w:rsidR="00A65837" w:rsidRDefault="00A65837" w:rsidP="00A65837">
      <w:pPr>
        <w:ind w:left="0" w:firstLine="0"/>
        <w:rPr>
          <w:rFonts w:cs="Arial"/>
          <w:b/>
          <w:sz w:val="24"/>
          <w:szCs w:val="24"/>
        </w:rPr>
      </w:pPr>
    </w:p>
    <w:p w14:paraId="4C24E49B" w14:textId="77777777" w:rsidR="00B44B62" w:rsidRDefault="00B44B62">
      <w:pPr>
        <w:rPr>
          <w:rFonts w:cs="Arial"/>
          <w:b/>
          <w:sz w:val="24"/>
          <w:szCs w:val="24"/>
        </w:rPr>
      </w:pPr>
      <w:r>
        <w:br w:type="page"/>
      </w:r>
    </w:p>
    <w:p w14:paraId="3E62F137" w14:textId="77777777" w:rsidR="006A7F28" w:rsidRPr="009726B3" w:rsidRDefault="006A7F28" w:rsidP="006A7F28">
      <w:pPr>
        <w:rPr>
          <w:bCs/>
          <w:i/>
        </w:rPr>
      </w:pPr>
      <w:r>
        <w:rPr>
          <w:bCs/>
          <w:i/>
        </w:rPr>
        <w:lastRenderedPageBreak/>
        <w:t>Cuadro 3: Síntesis de las actividades de fomento de la capacidad para el trienio 2023-2025</w:t>
      </w:r>
    </w:p>
    <w:p w14:paraId="74CC9BD3" w14:textId="77777777" w:rsidR="006A7F28" w:rsidRDefault="006A7F28" w:rsidP="006A7F28">
      <w:pPr>
        <w:rPr>
          <w:bCs/>
        </w:rPr>
      </w:pPr>
    </w:p>
    <w:tbl>
      <w:tblPr>
        <w:tblStyle w:val="GridTable1Light-Accent1"/>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696"/>
        <w:gridCol w:w="3119"/>
        <w:gridCol w:w="3260"/>
        <w:gridCol w:w="1276"/>
      </w:tblGrid>
      <w:tr w:rsidR="006A7F28" w:rsidRPr="00745275" w14:paraId="37401E0E" w14:textId="77777777" w:rsidTr="00285898">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vAlign w:val="center"/>
          </w:tcPr>
          <w:p w14:paraId="6882ED7A" w14:textId="77777777" w:rsidR="006A7F28" w:rsidRPr="00745275" w:rsidRDefault="00745275">
            <w:pPr>
              <w:jc w:val="center"/>
              <w:rPr>
                <w:rFonts w:asciiTheme="minorHAnsi" w:hAnsiTheme="minorHAnsi" w:cstheme="minorHAnsi"/>
                <w:b w:val="0"/>
              </w:rPr>
            </w:pPr>
            <w:r>
              <w:rPr>
                <w:rFonts w:asciiTheme="minorHAnsi" w:hAnsiTheme="minorHAnsi"/>
              </w:rPr>
              <w:t>Actividad</w:t>
            </w:r>
          </w:p>
        </w:tc>
        <w:tc>
          <w:tcPr>
            <w:tcW w:w="3119" w:type="dxa"/>
            <w:tcBorders>
              <w:bottom w:val="single" w:sz="4" w:space="0" w:color="auto"/>
            </w:tcBorders>
            <w:vAlign w:val="center"/>
          </w:tcPr>
          <w:p w14:paraId="01DD5D08" w14:textId="77777777" w:rsidR="006A7F28" w:rsidRPr="00745275" w:rsidRDefault="002869E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Objetivo</w:t>
            </w:r>
          </w:p>
        </w:tc>
        <w:tc>
          <w:tcPr>
            <w:tcW w:w="3260" w:type="dxa"/>
            <w:tcBorders>
              <w:bottom w:val="single" w:sz="4" w:space="0" w:color="auto"/>
            </w:tcBorders>
            <w:vAlign w:val="center"/>
          </w:tcPr>
          <w:p w14:paraId="2446AB1D" w14:textId="77777777" w:rsidR="006A7F28" w:rsidRPr="00745275" w:rsidRDefault="006A7F2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Formato</w:t>
            </w:r>
          </w:p>
        </w:tc>
        <w:tc>
          <w:tcPr>
            <w:tcW w:w="1276" w:type="dxa"/>
            <w:tcBorders>
              <w:bottom w:val="single" w:sz="4" w:space="0" w:color="auto"/>
            </w:tcBorders>
            <w:vAlign w:val="center"/>
          </w:tcPr>
          <w:p w14:paraId="461F3BA6" w14:textId="77777777" w:rsidR="006A7F28" w:rsidRPr="00745275" w:rsidRDefault="006A7F2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Calendario / estado</w:t>
            </w:r>
          </w:p>
        </w:tc>
      </w:tr>
      <w:tr w:rsidR="006A7F28" w:rsidRPr="00745275" w14:paraId="23008A1B" w14:textId="77777777" w:rsidTr="00285898">
        <w:trPr>
          <w:cantSplit/>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cPr>
          <w:p w14:paraId="31CDD541" w14:textId="77777777" w:rsidR="006A7F28" w:rsidRPr="00745275" w:rsidRDefault="006A7F28" w:rsidP="00745275">
            <w:pPr>
              <w:rPr>
                <w:rFonts w:asciiTheme="minorHAnsi" w:hAnsiTheme="minorHAnsi" w:cstheme="minorHAnsi"/>
              </w:rPr>
            </w:pPr>
            <w:r>
              <w:rPr>
                <w:rFonts w:asciiTheme="minorHAnsi" w:hAnsiTheme="minorHAnsi"/>
              </w:rPr>
              <w:t>Curso introductorio sobre la Convención sobre los Humedales</w:t>
            </w:r>
          </w:p>
        </w:tc>
        <w:tc>
          <w:tcPr>
            <w:tcW w:w="3119" w:type="dxa"/>
            <w:tcBorders>
              <w:top w:val="single" w:sz="4" w:space="0" w:color="auto"/>
            </w:tcBorders>
          </w:tcPr>
          <w:p w14:paraId="407AF41B" w14:textId="77777777" w:rsidR="006A7F28" w:rsidRPr="00D7492C" w:rsidRDefault="20E84BCF"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Brindar información básica sobre la Convención a los coordinadores de las Partes Contratantes y otras personas relacionadas con la aplicación de la Convención.</w:t>
            </w:r>
          </w:p>
        </w:tc>
        <w:tc>
          <w:tcPr>
            <w:tcW w:w="3260" w:type="dxa"/>
            <w:tcBorders>
              <w:top w:val="single" w:sz="4" w:space="0" w:color="auto"/>
            </w:tcBorders>
          </w:tcPr>
          <w:p w14:paraId="47F39350" w14:textId="77777777"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 xml:space="preserve">Formación en línea interactiva, independiente y a un ritmo personalizado. Organizada por </w:t>
            </w:r>
            <w:proofErr w:type="spellStart"/>
            <w:r>
              <w:rPr>
                <w:rFonts w:asciiTheme="minorHAnsi" w:hAnsiTheme="minorHAnsi"/>
              </w:rPr>
              <w:t>InforMEA</w:t>
            </w:r>
            <w:proofErr w:type="spellEnd"/>
            <w:r>
              <w:rPr>
                <w:rFonts w:asciiTheme="minorHAnsi" w:hAnsiTheme="minorHAnsi"/>
              </w:rPr>
              <w:t xml:space="preserve"> y disponible en el sitio web de la Convención.</w:t>
            </w:r>
          </w:p>
        </w:tc>
        <w:tc>
          <w:tcPr>
            <w:tcW w:w="1276" w:type="dxa"/>
            <w:tcBorders>
              <w:top w:val="single" w:sz="4" w:space="0" w:color="auto"/>
            </w:tcBorders>
          </w:tcPr>
          <w:p w14:paraId="6667464B" w14:textId="77777777"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Finalizado</w:t>
            </w:r>
          </w:p>
        </w:tc>
      </w:tr>
      <w:tr w:rsidR="006A7F28" w:rsidRPr="00745275" w14:paraId="244AD51C"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14:paraId="66BF05FF" w14:textId="38BA6FB6" w:rsidR="006A7F28" w:rsidRPr="00745275" w:rsidRDefault="006A7F28" w:rsidP="00745275">
            <w:pPr>
              <w:rPr>
                <w:rFonts w:asciiTheme="minorHAnsi" w:hAnsiTheme="minorHAnsi" w:cstheme="minorHAnsi"/>
              </w:rPr>
            </w:pPr>
            <w:r>
              <w:rPr>
                <w:rFonts w:asciiTheme="minorHAnsi" w:hAnsiTheme="minorHAnsi"/>
              </w:rPr>
              <w:t>Formación para los miembros y coordinadores del Grupo de Examen Científico y Técnico</w:t>
            </w:r>
          </w:p>
        </w:tc>
        <w:tc>
          <w:tcPr>
            <w:tcW w:w="3119" w:type="dxa"/>
          </w:tcPr>
          <w:p w14:paraId="4955FFD2" w14:textId="77777777" w:rsidR="006A7F28" w:rsidRPr="00D7492C" w:rsidRDefault="006A7F28"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rPr>
            </w:pPr>
            <w:r>
              <w:rPr>
                <w:rFonts w:asciiTheme="minorHAnsi" w:hAnsiTheme="minorHAnsi"/>
              </w:rPr>
              <w:t>Fomentar una mayor participación de los coordinadores nacionales del Grupo de Examen Científico y Técnico en los procedimientos de dicho Grupo, reforzar el sentido de pertenencia, la aceptación y la aplicación mediante un mayor conocimiento del mandato, las funciones, las responsabilidades, el lugar de trabajo, etc. del Grupo de Examen Científico y Técnico.</w:t>
            </w:r>
          </w:p>
        </w:tc>
        <w:tc>
          <w:tcPr>
            <w:tcW w:w="3260" w:type="dxa"/>
          </w:tcPr>
          <w:p w14:paraId="0344029F" w14:textId="77777777"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rPr>
            </w:pPr>
            <w:r>
              <w:rPr>
                <w:rFonts w:asciiTheme="minorHAnsi" w:hAnsiTheme="minorHAnsi"/>
              </w:rPr>
              <w:t xml:space="preserve">Formación en línea interactiva, independiente y a un ritmo personalizado. Organizada por </w:t>
            </w:r>
            <w:proofErr w:type="spellStart"/>
            <w:r>
              <w:rPr>
                <w:rFonts w:asciiTheme="minorHAnsi" w:hAnsiTheme="minorHAnsi"/>
              </w:rPr>
              <w:t>InforMEA</w:t>
            </w:r>
            <w:proofErr w:type="spellEnd"/>
            <w:r>
              <w:rPr>
                <w:rFonts w:asciiTheme="minorHAnsi" w:hAnsiTheme="minorHAnsi"/>
              </w:rPr>
              <w:t xml:space="preserve"> y disponible en el sitio web de la Convención.</w:t>
            </w:r>
          </w:p>
        </w:tc>
        <w:tc>
          <w:tcPr>
            <w:tcW w:w="1276" w:type="dxa"/>
          </w:tcPr>
          <w:p w14:paraId="63252D61" w14:textId="77777777"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Finalizado</w:t>
            </w:r>
          </w:p>
        </w:tc>
      </w:tr>
      <w:tr w:rsidR="006A7F28" w:rsidRPr="00745275" w14:paraId="2A90548E"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14:paraId="65DE48BE" w14:textId="77777777" w:rsidR="006A7F28" w:rsidRPr="00745275" w:rsidRDefault="006A7F28" w:rsidP="00745275">
            <w:pPr>
              <w:rPr>
                <w:rFonts w:asciiTheme="minorHAnsi" w:hAnsiTheme="minorHAnsi" w:cstheme="minorHAnsi"/>
              </w:rPr>
            </w:pPr>
            <w:r>
              <w:rPr>
                <w:rFonts w:asciiTheme="minorHAnsi" w:hAnsiTheme="minorHAnsi"/>
              </w:rPr>
              <w:t>Paquete de bienvenida para los coordinadores nacionales</w:t>
            </w:r>
          </w:p>
        </w:tc>
        <w:tc>
          <w:tcPr>
            <w:tcW w:w="3119" w:type="dxa"/>
          </w:tcPr>
          <w:p w14:paraId="1B999C5C" w14:textId="77777777" w:rsidR="006A7F28" w:rsidRPr="00D7492C" w:rsidRDefault="0E447EEE"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Apoyar el período de iniciación de los coordinadores nacionales recientemente designados, ofreciéndoles todos los conocimientos y herramientas necesarios para aplicar la Convención en sus países.</w:t>
            </w:r>
          </w:p>
        </w:tc>
        <w:tc>
          <w:tcPr>
            <w:tcW w:w="3260" w:type="dxa"/>
          </w:tcPr>
          <w:p w14:paraId="6F102825" w14:textId="77777777" w:rsidR="006A7F28" w:rsidRPr="00D7492C" w:rsidRDefault="00D5728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 xml:space="preserve">Se comparten páginas web específicas con materiales pertinentes entre los coordinadores nacionales recientemente designados. </w:t>
            </w:r>
          </w:p>
        </w:tc>
        <w:tc>
          <w:tcPr>
            <w:tcW w:w="1276" w:type="dxa"/>
          </w:tcPr>
          <w:p w14:paraId="59E11285" w14:textId="77777777" w:rsidR="006A7F28" w:rsidRPr="00D7492C" w:rsidRDefault="002954E7"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Finalizado</w:t>
            </w:r>
          </w:p>
        </w:tc>
      </w:tr>
      <w:tr w:rsidR="006A7F28" w:rsidRPr="00745275" w14:paraId="3B8C2AEF"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14:paraId="7E089610" w14:textId="38091F4F" w:rsidR="006A7F28" w:rsidRPr="00745275" w:rsidRDefault="00D57288" w:rsidP="00745275">
            <w:pPr>
              <w:rPr>
                <w:rFonts w:asciiTheme="minorHAnsi" w:hAnsiTheme="minorHAnsi" w:cstheme="minorHAnsi"/>
              </w:rPr>
            </w:pPr>
            <w:r>
              <w:rPr>
                <w:rFonts w:asciiTheme="minorHAnsi" w:hAnsiTheme="minorHAnsi"/>
              </w:rPr>
              <w:t>Renova</w:t>
            </w:r>
            <w:r w:rsidR="00C82A98">
              <w:rPr>
                <w:rFonts w:asciiTheme="minorHAnsi" w:hAnsiTheme="minorHAnsi"/>
              </w:rPr>
              <w:t>ción de</w:t>
            </w:r>
            <w:r>
              <w:rPr>
                <w:rFonts w:asciiTheme="minorHAnsi" w:hAnsiTheme="minorHAnsi"/>
              </w:rPr>
              <w:t xml:space="preserve"> la sección específica sobre fomento de la capacidad en el sitio web de la Convención</w:t>
            </w:r>
          </w:p>
        </w:tc>
        <w:tc>
          <w:tcPr>
            <w:tcW w:w="3119" w:type="dxa"/>
          </w:tcPr>
          <w:p w14:paraId="2A71D2C8" w14:textId="77777777" w:rsidR="006A7F28" w:rsidRPr="00D7492C" w:rsidRDefault="4B127D4D"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 xml:space="preserve">Depósito centralizado de todos los materiales y recursos en materia de fomento de la capacidad.  </w:t>
            </w:r>
          </w:p>
        </w:tc>
        <w:tc>
          <w:tcPr>
            <w:tcW w:w="3260" w:type="dxa"/>
          </w:tcPr>
          <w:p w14:paraId="6BB01CF1" w14:textId="77777777" w:rsidR="006A7F28" w:rsidRPr="00D7492C" w:rsidRDefault="00D5728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Publicación de la sección actualizada en el sitio web de la Convención.</w:t>
            </w:r>
          </w:p>
        </w:tc>
        <w:tc>
          <w:tcPr>
            <w:tcW w:w="1276" w:type="dxa"/>
          </w:tcPr>
          <w:p w14:paraId="5E534508" w14:textId="77777777" w:rsidR="006A7F28" w:rsidRPr="00D7492C" w:rsidRDefault="002954E7"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Finalizado</w:t>
            </w:r>
          </w:p>
        </w:tc>
      </w:tr>
      <w:tr w:rsidR="006A7F28" w:rsidRPr="00745275" w14:paraId="1B2C3B16"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14:paraId="0B57E34D" w14:textId="77777777" w:rsidR="006A7F28" w:rsidRPr="00745275" w:rsidRDefault="006A7F28" w:rsidP="00745275">
            <w:pPr>
              <w:rPr>
                <w:rFonts w:asciiTheme="minorHAnsi" w:hAnsiTheme="minorHAnsi" w:cstheme="minorHAnsi"/>
                <w:b w:val="0"/>
                <w:bCs w:val="0"/>
              </w:rPr>
            </w:pPr>
            <w:r>
              <w:rPr>
                <w:rFonts w:asciiTheme="minorHAnsi" w:hAnsiTheme="minorHAnsi"/>
              </w:rPr>
              <w:t>Formación regional para administradores de humedales: un manual para las iniciativas regionales de Ramsar</w:t>
            </w:r>
          </w:p>
          <w:p w14:paraId="45B7B798" w14:textId="77777777" w:rsidR="006A7F28" w:rsidRPr="00745275" w:rsidRDefault="006A7F28" w:rsidP="00745275">
            <w:pPr>
              <w:rPr>
                <w:rFonts w:asciiTheme="minorHAnsi" w:hAnsiTheme="minorHAnsi" w:cstheme="minorHAnsi"/>
                <w:i/>
              </w:rPr>
            </w:pPr>
          </w:p>
        </w:tc>
        <w:tc>
          <w:tcPr>
            <w:tcW w:w="3119" w:type="dxa"/>
          </w:tcPr>
          <w:p w14:paraId="340B2C05" w14:textId="3AFCC80F" w:rsidR="006A7F28" w:rsidRPr="00D7492C" w:rsidRDefault="006A7F28"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 xml:space="preserve">Aumentar la capacidad de las iniciativas regionales de Ramsar </w:t>
            </w:r>
            <w:r w:rsidR="00C82A98">
              <w:rPr>
                <w:rFonts w:asciiTheme="minorHAnsi" w:hAnsiTheme="minorHAnsi"/>
              </w:rPr>
              <w:t>para</w:t>
            </w:r>
            <w:r>
              <w:rPr>
                <w:rFonts w:asciiTheme="minorHAnsi" w:hAnsiTheme="minorHAnsi"/>
              </w:rPr>
              <w:t xml:space="preserve"> apoyar la aplicación de la Convención, basándose en materiales y actividades de formación exitosos en materia de iniciativas regionales de Ramsar con miras a orientar otras iniciativas de esta índole.</w:t>
            </w:r>
          </w:p>
        </w:tc>
        <w:tc>
          <w:tcPr>
            <w:tcW w:w="3260" w:type="dxa"/>
          </w:tcPr>
          <w:p w14:paraId="2BA48194" w14:textId="77777777"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Manual de formación</w:t>
            </w:r>
          </w:p>
        </w:tc>
        <w:tc>
          <w:tcPr>
            <w:tcW w:w="1276" w:type="dxa"/>
          </w:tcPr>
          <w:p w14:paraId="610BC25C" w14:textId="0E360EA3" w:rsidR="006A7F28" w:rsidRPr="00D7492C" w:rsidRDefault="00C82A9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En fase</w:t>
            </w:r>
            <w:r w:rsidR="006A7F28">
              <w:rPr>
                <w:rFonts w:asciiTheme="minorHAnsi" w:hAnsiTheme="minorHAnsi"/>
              </w:rPr>
              <w:t xml:space="preserve"> de planificación</w:t>
            </w:r>
          </w:p>
        </w:tc>
      </w:tr>
      <w:tr w:rsidR="006A7F28" w:rsidRPr="00745275" w14:paraId="1CFA1144"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14:paraId="0AE3718B" w14:textId="30078996" w:rsidR="006A7F28" w:rsidRPr="00745275" w:rsidRDefault="3F3A2B10" w:rsidP="00745275">
            <w:pPr>
              <w:rPr>
                <w:rFonts w:asciiTheme="minorHAnsi" w:hAnsiTheme="minorHAnsi" w:cstheme="minorBidi"/>
              </w:rPr>
            </w:pPr>
            <w:r>
              <w:rPr>
                <w:rFonts w:asciiTheme="minorHAnsi" w:hAnsiTheme="minorHAnsi"/>
              </w:rPr>
              <w:lastRenderedPageBreak/>
              <w:t xml:space="preserve">Formación </w:t>
            </w:r>
            <w:r w:rsidR="00D25FFE">
              <w:rPr>
                <w:rFonts w:asciiTheme="minorHAnsi" w:hAnsiTheme="minorHAnsi"/>
              </w:rPr>
              <w:t xml:space="preserve">a nivel </w:t>
            </w:r>
            <w:r>
              <w:rPr>
                <w:rFonts w:asciiTheme="minorHAnsi" w:hAnsiTheme="minorHAnsi"/>
              </w:rPr>
              <w:t>mundial sobre inventarios nacionales de humedales</w:t>
            </w:r>
          </w:p>
        </w:tc>
        <w:tc>
          <w:tcPr>
            <w:tcW w:w="3119" w:type="dxa"/>
          </w:tcPr>
          <w:p w14:paraId="52879DF6" w14:textId="77777777" w:rsidR="006A7F28" w:rsidRPr="00D7492C" w:rsidRDefault="00E076DE"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 xml:space="preserve">Proporcionar a las Partes Contratantes información y conocimientos para llevar a cabo y gestionar inventarios nacionales de humedales. </w:t>
            </w:r>
          </w:p>
        </w:tc>
        <w:tc>
          <w:tcPr>
            <w:tcW w:w="3260" w:type="dxa"/>
          </w:tcPr>
          <w:p w14:paraId="37C3D69C" w14:textId="77777777" w:rsidR="006A7F28" w:rsidRPr="00D7492C" w:rsidRDefault="4C724475"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 xml:space="preserve">Formación in situ en tres módulos. El primer módulo titulado “Introducción a los inventarios nacionales de humedales” se llevará a cabo en Corea del Sur en 2024 con el apoyo de la Oficina de las Naciones Unidas para el Desarrollo Sostenible. Los módulos segundo y tercero (sobre Técnicas de observación y Gestión y actualización de los inventarios nacionales de humedales, respectivamente) se realizarán previsiblemente en 2025 y 2026. </w:t>
            </w:r>
          </w:p>
        </w:tc>
        <w:tc>
          <w:tcPr>
            <w:tcW w:w="1276" w:type="dxa"/>
          </w:tcPr>
          <w:p w14:paraId="6F0CFC41" w14:textId="5D6BB97B" w:rsidR="006A7F28" w:rsidRPr="00D7492C" w:rsidRDefault="58CF2BCC" w:rsidP="4DAB62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 xml:space="preserve">En </w:t>
            </w:r>
            <w:r w:rsidR="008E7E2C">
              <w:rPr>
                <w:rFonts w:asciiTheme="minorHAnsi" w:hAnsiTheme="minorHAnsi"/>
              </w:rPr>
              <w:t xml:space="preserve">fase de </w:t>
            </w:r>
            <w:r>
              <w:rPr>
                <w:rFonts w:asciiTheme="minorHAnsi" w:hAnsiTheme="minorHAnsi"/>
              </w:rPr>
              <w:t>desarrollo</w:t>
            </w:r>
          </w:p>
          <w:p w14:paraId="603644CB" w14:textId="77777777"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r>
      <w:tr w:rsidR="006A7F28" w:rsidRPr="00745275" w14:paraId="5C40C34F"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14:paraId="4075184C" w14:textId="02996C62" w:rsidR="006A7F28" w:rsidRPr="00745275" w:rsidRDefault="006A7F28" w:rsidP="00745275">
            <w:pPr>
              <w:rPr>
                <w:rFonts w:asciiTheme="minorHAnsi" w:hAnsiTheme="minorHAnsi" w:cstheme="minorHAnsi"/>
              </w:rPr>
            </w:pPr>
            <w:r>
              <w:rPr>
                <w:rFonts w:asciiTheme="minorHAnsi" w:hAnsiTheme="minorHAnsi"/>
              </w:rPr>
              <w:t>Formación para los encargados de recopilar las Fichas Informativas de Ramsar (FIR) sobre cómo utilizar el Servicio de Información sobre Sitios Ramsar (SIRS)</w:t>
            </w:r>
          </w:p>
        </w:tc>
        <w:tc>
          <w:tcPr>
            <w:tcW w:w="3119" w:type="dxa"/>
          </w:tcPr>
          <w:p w14:paraId="6731F718" w14:textId="77777777" w:rsidR="006A7F28" w:rsidRPr="00D7492C" w:rsidRDefault="00E076DE"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 xml:space="preserve">Dotar a los encargados de preparar las FIR de conocimientos y competencias para hacer un uso eficaz del SIRS y actualizar las FIR. </w:t>
            </w:r>
          </w:p>
        </w:tc>
        <w:tc>
          <w:tcPr>
            <w:tcW w:w="3260" w:type="dxa"/>
          </w:tcPr>
          <w:p w14:paraId="02E14B9C" w14:textId="652093E2"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Formación en línea interactiva, independiente y a un ritmo personalizado. Organizad</w:t>
            </w:r>
            <w:r w:rsidR="008E7E2C">
              <w:rPr>
                <w:rFonts w:asciiTheme="minorHAnsi" w:hAnsiTheme="minorHAnsi"/>
              </w:rPr>
              <w:t>a</w:t>
            </w:r>
            <w:r>
              <w:rPr>
                <w:rFonts w:asciiTheme="minorHAnsi" w:hAnsiTheme="minorHAnsi"/>
              </w:rPr>
              <w:t xml:space="preserve"> por </w:t>
            </w:r>
            <w:proofErr w:type="spellStart"/>
            <w:r>
              <w:rPr>
                <w:rFonts w:asciiTheme="minorHAnsi" w:hAnsiTheme="minorHAnsi"/>
              </w:rPr>
              <w:t>InforMEA</w:t>
            </w:r>
            <w:proofErr w:type="spellEnd"/>
          </w:p>
        </w:tc>
        <w:tc>
          <w:tcPr>
            <w:tcW w:w="1276" w:type="dxa"/>
          </w:tcPr>
          <w:p w14:paraId="181E44C4" w14:textId="77777777"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Propuesta</w:t>
            </w:r>
          </w:p>
        </w:tc>
      </w:tr>
      <w:tr w:rsidR="006A7F28" w:rsidRPr="00745275" w14:paraId="48682F95"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3B918FB5" w14:textId="77777777" w:rsidR="006A7F28" w:rsidRPr="00745275" w:rsidRDefault="006A7F28" w:rsidP="00745275">
            <w:pPr>
              <w:rPr>
                <w:rFonts w:asciiTheme="minorHAnsi" w:hAnsiTheme="minorHAnsi" w:cstheme="minorHAnsi"/>
              </w:rPr>
            </w:pPr>
            <w:r>
              <w:rPr>
                <w:rFonts w:asciiTheme="minorHAnsi" w:hAnsiTheme="minorHAnsi"/>
              </w:rPr>
              <w:t>Seminario web de formación</w:t>
            </w:r>
          </w:p>
        </w:tc>
        <w:tc>
          <w:tcPr>
            <w:tcW w:w="3119" w:type="dxa"/>
          </w:tcPr>
          <w:p w14:paraId="5A42DCB5" w14:textId="77777777"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 xml:space="preserve">Aplicación del nuevo enfoque de </w:t>
            </w:r>
            <w:proofErr w:type="spellStart"/>
            <w:r>
              <w:rPr>
                <w:rFonts w:asciiTheme="minorHAnsi" w:hAnsiTheme="minorHAnsi"/>
              </w:rPr>
              <w:t>CECoP</w:t>
            </w:r>
            <w:proofErr w:type="spellEnd"/>
            <w:r>
              <w:rPr>
                <w:rFonts w:asciiTheme="minorHAnsi" w:hAnsiTheme="minorHAnsi"/>
              </w:rPr>
              <w:t xml:space="preserve"> </w:t>
            </w:r>
          </w:p>
        </w:tc>
        <w:tc>
          <w:tcPr>
            <w:tcW w:w="3260" w:type="dxa"/>
          </w:tcPr>
          <w:p w14:paraId="5219F04F" w14:textId="77777777"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Seminario web</w:t>
            </w:r>
          </w:p>
        </w:tc>
        <w:tc>
          <w:tcPr>
            <w:tcW w:w="1276" w:type="dxa"/>
          </w:tcPr>
          <w:p w14:paraId="4824D766" w14:textId="77777777" w:rsidR="006A7F28" w:rsidRPr="00D7492C" w:rsidRDefault="002954E7"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Primer trimestre de 2024</w:t>
            </w:r>
          </w:p>
        </w:tc>
      </w:tr>
      <w:tr w:rsidR="006A7F28" w:rsidRPr="00745275" w14:paraId="25AB82E1"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5FF64490" w14:textId="77777777" w:rsidR="006A7F28" w:rsidRPr="00745275" w:rsidRDefault="006A7F28" w:rsidP="00745275">
            <w:pPr>
              <w:rPr>
                <w:rFonts w:asciiTheme="minorHAnsi" w:hAnsiTheme="minorHAnsi" w:cstheme="minorHAnsi"/>
              </w:rPr>
            </w:pPr>
          </w:p>
        </w:tc>
        <w:tc>
          <w:tcPr>
            <w:tcW w:w="3119" w:type="dxa"/>
          </w:tcPr>
          <w:p w14:paraId="05B13590" w14:textId="77777777"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Presentación de nuevos productos del SIRS</w:t>
            </w:r>
          </w:p>
        </w:tc>
        <w:tc>
          <w:tcPr>
            <w:tcW w:w="3260" w:type="dxa"/>
          </w:tcPr>
          <w:p w14:paraId="7A608257" w14:textId="77777777"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Seminario web</w:t>
            </w:r>
          </w:p>
        </w:tc>
        <w:tc>
          <w:tcPr>
            <w:tcW w:w="1276" w:type="dxa"/>
          </w:tcPr>
          <w:p w14:paraId="63754A2D" w14:textId="77777777" w:rsidR="006A7F28" w:rsidRPr="00D7492C" w:rsidRDefault="007A7B24" w:rsidP="00D5728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2024/2025</w:t>
            </w:r>
          </w:p>
        </w:tc>
      </w:tr>
      <w:tr w:rsidR="0064233F" w:rsidRPr="00745275" w14:paraId="35CDA4AA"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3FC8C61C" w14:textId="77777777" w:rsidR="0064233F" w:rsidRPr="00745275" w:rsidRDefault="0064233F" w:rsidP="00745275">
            <w:pPr>
              <w:rPr>
                <w:rFonts w:asciiTheme="minorHAnsi" w:hAnsiTheme="minorHAnsi" w:cstheme="minorHAnsi"/>
              </w:rPr>
            </w:pPr>
          </w:p>
        </w:tc>
        <w:tc>
          <w:tcPr>
            <w:tcW w:w="3119" w:type="dxa"/>
          </w:tcPr>
          <w:p w14:paraId="1464E7E2" w14:textId="77777777" w:rsidR="0064233F" w:rsidRPr="00D7492C" w:rsidRDefault="006E71E4"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Presentación de informes nacionales a la COP</w:t>
            </w:r>
          </w:p>
        </w:tc>
        <w:tc>
          <w:tcPr>
            <w:tcW w:w="3260" w:type="dxa"/>
          </w:tcPr>
          <w:p w14:paraId="7E20760E" w14:textId="77777777" w:rsidR="0064233F" w:rsidRPr="00D7492C" w:rsidRDefault="006E71E4"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Seminario web</w:t>
            </w:r>
          </w:p>
        </w:tc>
        <w:tc>
          <w:tcPr>
            <w:tcW w:w="1276" w:type="dxa"/>
          </w:tcPr>
          <w:p w14:paraId="3E5DF6B0" w14:textId="77777777" w:rsidR="0064233F" w:rsidRPr="00D7492C" w:rsidRDefault="007A7B24" w:rsidP="00D5728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2024</w:t>
            </w:r>
          </w:p>
        </w:tc>
      </w:tr>
      <w:tr w:rsidR="00285898" w:rsidRPr="00745275" w14:paraId="7D1E9024"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2D32E8B9" w14:textId="77777777" w:rsidR="00285898" w:rsidRPr="00745275" w:rsidRDefault="00285898" w:rsidP="00285898">
            <w:pPr>
              <w:rPr>
                <w:rFonts w:asciiTheme="minorHAnsi" w:hAnsiTheme="minorHAnsi" w:cstheme="minorHAnsi"/>
              </w:rPr>
            </w:pPr>
          </w:p>
        </w:tc>
        <w:tc>
          <w:tcPr>
            <w:tcW w:w="3119" w:type="dxa"/>
          </w:tcPr>
          <w:p w14:paraId="1516C851" w14:textId="77777777" w:rsidR="00285898" w:rsidRPr="00285898" w:rsidRDefault="00285898"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Inventarios nacionales</w:t>
            </w:r>
          </w:p>
        </w:tc>
        <w:tc>
          <w:tcPr>
            <w:tcW w:w="3260" w:type="dxa"/>
          </w:tcPr>
          <w:p w14:paraId="260F8D5D" w14:textId="77777777" w:rsidR="00285898" w:rsidRPr="00D7492C" w:rsidRDefault="00285898"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Seminario web</w:t>
            </w:r>
          </w:p>
        </w:tc>
        <w:tc>
          <w:tcPr>
            <w:tcW w:w="1276" w:type="dxa"/>
          </w:tcPr>
          <w:p w14:paraId="3DAEFCA1" w14:textId="77777777" w:rsidR="00285898" w:rsidRPr="00285898" w:rsidRDefault="00285898"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2024/2025</w:t>
            </w:r>
          </w:p>
        </w:tc>
      </w:tr>
      <w:tr w:rsidR="00285898" w:rsidRPr="00745275" w14:paraId="4DFC8DCB"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188CA540" w14:textId="77777777" w:rsidR="00285898" w:rsidRPr="00745275" w:rsidRDefault="00285898" w:rsidP="00285898">
            <w:pPr>
              <w:rPr>
                <w:rFonts w:asciiTheme="minorHAnsi" w:hAnsiTheme="minorHAnsi" w:cstheme="minorHAnsi"/>
              </w:rPr>
            </w:pPr>
          </w:p>
        </w:tc>
        <w:tc>
          <w:tcPr>
            <w:tcW w:w="3119" w:type="dxa"/>
          </w:tcPr>
          <w:p w14:paraId="66AC3894" w14:textId="77777777" w:rsidR="00285898" w:rsidRPr="00D7492C" w:rsidRDefault="00285898"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SIRS</w:t>
            </w:r>
          </w:p>
        </w:tc>
        <w:tc>
          <w:tcPr>
            <w:tcW w:w="3260" w:type="dxa"/>
          </w:tcPr>
          <w:p w14:paraId="780365AC" w14:textId="77777777" w:rsidR="00285898" w:rsidRPr="00D7492C" w:rsidRDefault="00285898"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Seminario web</w:t>
            </w:r>
          </w:p>
        </w:tc>
        <w:tc>
          <w:tcPr>
            <w:tcW w:w="1276" w:type="dxa"/>
          </w:tcPr>
          <w:p w14:paraId="35606482" w14:textId="77777777" w:rsidR="00285898" w:rsidRPr="00D7492C" w:rsidRDefault="00285898"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2024/2025</w:t>
            </w:r>
          </w:p>
        </w:tc>
      </w:tr>
    </w:tbl>
    <w:p w14:paraId="6CD871EB" w14:textId="77777777" w:rsidR="00605D48" w:rsidRPr="008E1456" w:rsidRDefault="00605D48" w:rsidP="00745275">
      <w:pPr>
        <w:ind w:left="0" w:firstLine="0"/>
        <w:rPr>
          <w:rFonts w:cs="Arial"/>
          <w:b/>
          <w:sz w:val="24"/>
          <w:szCs w:val="24"/>
        </w:rPr>
      </w:pPr>
    </w:p>
    <w:sectPr w:rsidR="00605D48" w:rsidRPr="008E1456" w:rsidSect="002137E0">
      <w:headerReference w:type="even"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B0C53" w14:textId="77777777" w:rsidR="00885EF4" w:rsidRDefault="00885EF4" w:rsidP="00DF2386">
      <w:r>
        <w:separator/>
      </w:r>
    </w:p>
  </w:endnote>
  <w:endnote w:type="continuationSeparator" w:id="0">
    <w:p w14:paraId="58C52E1A" w14:textId="77777777" w:rsidR="00885EF4" w:rsidRDefault="00885EF4" w:rsidP="00DF2386">
      <w:r>
        <w:continuationSeparator/>
      </w:r>
    </w:p>
  </w:endnote>
  <w:endnote w:type="continuationNotice" w:id="1">
    <w:p w14:paraId="07731EFC" w14:textId="77777777" w:rsidR="00885EF4" w:rsidRDefault="00885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altName w:val="Calibri"/>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5364" w14:textId="77777777" w:rsidR="00F73E71" w:rsidRDefault="001A05BE" w:rsidP="002137E0">
    <w:pPr>
      <w:pStyle w:val="Header"/>
      <w:rPr>
        <w:noProof/>
      </w:rPr>
    </w:pPr>
    <w:r>
      <w:rPr>
        <w:sz w:val="20"/>
        <w:szCs w:val="20"/>
      </w:rPr>
      <w:t>SC63 Doc.13.1</w:t>
    </w:r>
    <w:r>
      <w:tab/>
    </w:r>
    <w:r>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FC17BF">
          <w:rPr>
            <w:sz w:val="20"/>
            <w:szCs w:val="20"/>
          </w:rPr>
          <w:t>9</w:t>
        </w:r>
        <w:r w:rsidR="00F73E71" w:rsidRPr="00F344DE">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A3DB0" w14:textId="77777777" w:rsidR="00885EF4" w:rsidRDefault="00885EF4" w:rsidP="00DF2386">
      <w:r>
        <w:separator/>
      </w:r>
    </w:p>
  </w:footnote>
  <w:footnote w:type="continuationSeparator" w:id="0">
    <w:p w14:paraId="45AD4229" w14:textId="77777777" w:rsidR="00885EF4" w:rsidRDefault="00885EF4" w:rsidP="00DF2386">
      <w:r>
        <w:continuationSeparator/>
      </w:r>
    </w:p>
  </w:footnote>
  <w:footnote w:type="continuationNotice" w:id="1">
    <w:p w14:paraId="1EEADCF4" w14:textId="77777777" w:rsidR="00885EF4" w:rsidRDefault="00885EF4"/>
  </w:footnote>
  <w:footnote w:id="2">
    <w:p w14:paraId="62B3966F" w14:textId="438DF04F" w:rsidR="00CF10DD" w:rsidRPr="00F03E5A" w:rsidRDefault="00CF10DD" w:rsidP="00CF10DD">
      <w:pPr>
        <w:pStyle w:val="FootnoteText"/>
        <w:ind w:left="0" w:firstLine="0"/>
        <w:rPr>
          <w:lang w:val="fr-FR"/>
        </w:rPr>
      </w:pPr>
      <w:r>
        <w:rPr>
          <w:rStyle w:val="FootnoteReference"/>
        </w:rPr>
        <w:footnoteRef/>
      </w:r>
      <w:r w:rsidRPr="00F03E5A">
        <w:rPr>
          <w:lang w:val="fr-FR"/>
        </w:rPr>
        <w:t xml:space="preserve"> Véase: </w:t>
      </w:r>
      <w:hyperlink r:id="rId1" w:history="1">
        <w:r w:rsidRPr="00F03E5A">
          <w:rPr>
            <w:rStyle w:val="Hyperlink"/>
            <w:lang w:val="fr-FR"/>
          </w:rPr>
          <w:t>https://www.un.org/es/gender-inclusive-language/guidelines.shtml</w:t>
        </w:r>
      </w:hyperlink>
      <w:r w:rsidRPr="00F03E5A">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146CD" w14:textId="77777777" w:rsidR="0023536F" w:rsidRDefault="00DD0695">
    <w:pPr>
      <w:pStyle w:val="Header"/>
    </w:pPr>
    <w:r>
      <w:pict w14:anchorId="778C7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1204" o:spid="_x0000_s2050" type="#_x0000_t136" style="position:absolute;left:0;text-align:left;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A0"/>
    <w:multiLevelType w:val="hybridMultilevel"/>
    <w:tmpl w:val="12743B06"/>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33655"/>
    <w:multiLevelType w:val="hybridMultilevel"/>
    <w:tmpl w:val="38569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F78A1"/>
    <w:multiLevelType w:val="hybridMultilevel"/>
    <w:tmpl w:val="5874EBF6"/>
    <w:lvl w:ilvl="0" w:tplc="921E2F9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321307"/>
    <w:multiLevelType w:val="hybridMultilevel"/>
    <w:tmpl w:val="388C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D0D22"/>
    <w:multiLevelType w:val="hybridMultilevel"/>
    <w:tmpl w:val="F38CF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4221063"/>
    <w:multiLevelType w:val="hybridMultilevel"/>
    <w:tmpl w:val="143A5C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1D613DDB"/>
    <w:multiLevelType w:val="hybridMultilevel"/>
    <w:tmpl w:val="1834E9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880394"/>
    <w:multiLevelType w:val="hybridMultilevel"/>
    <w:tmpl w:val="D820ED6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8"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9"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D54A2"/>
    <w:multiLevelType w:val="hybridMultilevel"/>
    <w:tmpl w:val="BD4ED7BE"/>
    <w:lvl w:ilvl="0" w:tplc="7968EE18">
      <w:start w:val="1"/>
      <w:numFmt w:val="decimal"/>
      <w:lvlText w:val="%1."/>
      <w:lvlJc w:val="left"/>
      <w:pPr>
        <w:ind w:left="780" w:hanging="420"/>
      </w:pPr>
      <w:rPr>
        <w:rFonts w:ascii="Calibri" w:eastAsia="Calibri" w:hAnsi="Calibri" w:cs="Arial"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4E6FE4"/>
    <w:multiLevelType w:val="hybridMultilevel"/>
    <w:tmpl w:val="6686A1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C4C4664"/>
    <w:multiLevelType w:val="hybridMultilevel"/>
    <w:tmpl w:val="6F6611EE"/>
    <w:lvl w:ilvl="0" w:tplc="15DA8912">
      <w:start w:val="1"/>
      <w:numFmt w:val="bullet"/>
      <w:lvlText w:val="-"/>
      <w:lvlJc w:val="left"/>
      <w:pPr>
        <w:ind w:left="720" w:hanging="360"/>
      </w:pPr>
      <w:rPr>
        <w:rFonts w:ascii="Calibri" w:eastAsia="Calibr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2"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4" w15:restartNumberingAfterBreak="0">
    <w:nsid w:val="657574E5"/>
    <w:multiLevelType w:val="hybridMultilevel"/>
    <w:tmpl w:val="83EC93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7"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0CF0CA7"/>
    <w:multiLevelType w:val="hybridMultilevel"/>
    <w:tmpl w:val="35068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EA60685"/>
    <w:multiLevelType w:val="hybridMultilevel"/>
    <w:tmpl w:val="0E2C0BBC"/>
    <w:lvl w:ilvl="0" w:tplc="D3FE43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5"/>
  </w:num>
  <w:num w:numId="7">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0"/>
  </w:num>
  <w:num w:numId="13">
    <w:abstractNumId w:val="24"/>
  </w:num>
  <w:num w:numId="14">
    <w:abstractNumId w:val="19"/>
  </w:num>
  <w:num w:numId="15">
    <w:abstractNumId w:val="4"/>
  </w:num>
  <w:num w:numId="16">
    <w:abstractNumId w:val="21"/>
  </w:num>
  <w:num w:numId="17">
    <w:abstractNumId w:val="29"/>
  </w:num>
  <w:num w:numId="18">
    <w:abstractNumId w:val="42"/>
  </w:num>
  <w:num w:numId="19">
    <w:abstractNumId w:val="37"/>
  </w:num>
  <w:num w:numId="20">
    <w:abstractNumId w:val="31"/>
  </w:num>
  <w:num w:numId="21">
    <w:abstractNumId w:val="33"/>
  </w:num>
  <w:num w:numId="22">
    <w:abstractNumId w:val="22"/>
  </w:num>
  <w:num w:numId="23">
    <w:abstractNumId w:val="30"/>
  </w:num>
  <w:num w:numId="24">
    <w:abstractNumId w:val="27"/>
  </w:num>
  <w:num w:numId="25">
    <w:abstractNumId w:val="36"/>
  </w:num>
  <w:num w:numId="26">
    <w:abstractNumId w:val="15"/>
  </w:num>
  <w:num w:numId="27">
    <w:abstractNumId w:val="2"/>
  </w:num>
  <w:num w:numId="28">
    <w:abstractNumId w:val="18"/>
  </w:num>
  <w:num w:numId="29">
    <w:abstractNumId w:val="5"/>
  </w:num>
  <w:num w:numId="30">
    <w:abstractNumId w:val="16"/>
  </w:num>
  <w:num w:numId="31">
    <w:abstractNumId w:val="1"/>
  </w:num>
  <w:num w:numId="32">
    <w:abstractNumId w:val="12"/>
  </w:num>
  <w:num w:numId="33">
    <w:abstractNumId w:val="26"/>
  </w:num>
  <w:num w:numId="34">
    <w:abstractNumId w:val="40"/>
  </w:num>
  <w:num w:numId="35">
    <w:abstractNumId w:val="38"/>
  </w:num>
  <w:num w:numId="36">
    <w:abstractNumId w:val="28"/>
  </w:num>
  <w:num w:numId="37">
    <w:abstractNumId w:val="9"/>
  </w:num>
  <w:num w:numId="38">
    <w:abstractNumId w:val="8"/>
  </w:num>
  <w:num w:numId="39">
    <w:abstractNumId w:val="0"/>
  </w:num>
  <w:num w:numId="40">
    <w:abstractNumId w:val="6"/>
  </w:num>
  <w:num w:numId="41">
    <w:abstractNumId w:val="34"/>
  </w:num>
  <w:num w:numId="42">
    <w:abstractNumId w:val="8"/>
  </w:num>
  <w:num w:numId="43">
    <w:abstractNumId w:val="25"/>
  </w:num>
  <w:num w:numId="44">
    <w:abstractNumId w:val="7"/>
  </w:num>
  <w:num w:numId="45">
    <w:abstractNumId w:val="3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603F"/>
    <w:rsid w:val="00014168"/>
    <w:rsid w:val="000142B6"/>
    <w:rsid w:val="00017A16"/>
    <w:rsid w:val="00020F65"/>
    <w:rsid w:val="000217EF"/>
    <w:rsid w:val="00023125"/>
    <w:rsid w:val="00024607"/>
    <w:rsid w:val="00026E09"/>
    <w:rsid w:val="0003169F"/>
    <w:rsid w:val="0003480C"/>
    <w:rsid w:val="00035189"/>
    <w:rsid w:val="00037CE0"/>
    <w:rsid w:val="00042981"/>
    <w:rsid w:val="0004527D"/>
    <w:rsid w:val="00050158"/>
    <w:rsid w:val="00052D33"/>
    <w:rsid w:val="00053929"/>
    <w:rsid w:val="00057001"/>
    <w:rsid w:val="0005742F"/>
    <w:rsid w:val="000710E1"/>
    <w:rsid w:val="0007175F"/>
    <w:rsid w:val="00074DE8"/>
    <w:rsid w:val="0007637C"/>
    <w:rsid w:val="0007680D"/>
    <w:rsid w:val="00086EB0"/>
    <w:rsid w:val="00093844"/>
    <w:rsid w:val="00096787"/>
    <w:rsid w:val="000A3E3E"/>
    <w:rsid w:val="000A51D8"/>
    <w:rsid w:val="000B73C2"/>
    <w:rsid w:val="000C2489"/>
    <w:rsid w:val="000C2BE5"/>
    <w:rsid w:val="000D5C76"/>
    <w:rsid w:val="000E2FA0"/>
    <w:rsid w:val="000E373A"/>
    <w:rsid w:val="000E47E9"/>
    <w:rsid w:val="000E56EF"/>
    <w:rsid w:val="000F0AD0"/>
    <w:rsid w:val="000F2325"/>
    <w:rsid w:val="000F315E"/>
    <w:rsid w:val="0010271F"/>
    <w:rsid w:val="00107C49"/>
    <w:rsid w:val="001138B9"/>
    <w:rsid w:val="00116E09"/>
    <w:rsid w:val="0012096C"/>
    <w:rsid w:val="001247D5"/>
    <w:rsid w:val="001251CA"/>
    <w:rsid w:val="00127828"/>
    <w:rsid w:val="001279AA"/>
    <w:rsid w:val="00131687"/>
    <w:rsid w:val="001434D2"/>
    <w:rsid w:val="00146012"/>
    <w:rsid w:val="001469EF"/>
    <w:rsid w:val="0014749C"/>
    <w:rsid w:val="00151206"/>
    <w:rsid w:val="00156FDC"/>
    <w:rsid w:val="00161BDA"/>
    <w:rsid w:val="00162642"/>
    <w:rsid w:val="00164682"/>
    <w:rsid w:val="00171618"/>
    <w:rsid w:val="001803FF"/>
    <w:rsid w:val="001819B1"/>
    <w:rsid w:val="0019225B"/>
    <w:rsid w:val="001954F7"/>
    <w:rsid w:val="001A05BE"/>
    <w:rsid w:val="001A2D10"/>
    <w:rsid w:val="001A44B6"/>
    <w:rsid w:val="001A4900"/>
    <w:rsid w:val="001B0245"/>
    <w:rsid w:val="001B64DE"/>
    <w:rsid w:val="001C0CF8"/>
    <w:rsid w:val="001C0EDA"/>
    <w:rsid w:val="001C5E41"/>
    <w:rsid w:val="001C7045"/>
    <w:rsid w:val="001C77BC"/>
    <w:rsid w:val="001C7BC9"/>
    <w:rsid w:val="001D0052"/>
    <w:rsid w:val="001D48BB"/>
    <w:rsid w:val="001D4BF8"/>
    <w:rsid w:val="001D5ACC"/>
    <w:rsid w:val="001D6486"/>
    <w:rsid w:val="001E00E3"/>
    <w:rsid w:val="001E2E28"/>
    <w:rsid w:val="001E441F"/>
    <w:rsid w:val="001E497A"/>
    <w:rsid w:val="001F2349"/>
    <w:rsid w:val="001F462F"/>
    <w:rsid w:val="001F7174"/>
    <w:rsid w:val="002005D2"/>
    <w:rsid w:val="00200D24"/>
    <w:rsid w:val="0020298B"/>
    <w:rsid w:val="002050C8"/>
    <w:rsid w:val="00205D7F"/>
    <w:rsid w:val="00206111"/>
    <w:rsid w:val="002137E0"/>
    <w:rsid w:val="00216875"/>
    <w:rsid w:val="00223A4C"/>
    <w:rsid w:val="00225738"/>
    <w:rsid w:val="002279E3"/>
    <w:rsid w:val="0023536F"/>
    <w:rsid w:val="00235841"/>
    <w:rsid w:val="00255EB3"/>
    <w:rsid w:val="00255ED0"/>
    <w:rsid w:val="00265331"/>
    <w:rsid w:val="002741AC"/>
    <w:rsid w:val="00275F13"/>
    <w:rsid w:val="00276205"/>
    <w:rsid w:val="00277716"/>
    <w:rsid w:val="00277FE2"/>
    <w:rsid w:val="002819C0"/>
    <w:rsid w:val="00283883"/>
    <w:rsid w:val="00283C1B"/>
    <w:rsid w:val="0028512F"/>
    <w:rsid w:val="00285776"/>
    <w:rsid w:val="00285898"/>
    <w:rsid w:val="0028594D"/>
    <w:rsid w:val="002869E4"/>
    <w:rsid w:val="0028772C"/>
    <w:rsid w:val="002954E7"/>
    <w:rsid w:val="00295556"/>
    <w:rsid w:val="00295BB5"/>
    <w:rsid w:val="002A1981"/>
    <w:rsid w:val="002A447C"/>
    <w:rsid w:val="002A5A4D"/>
    <w:rsid w:val="002B4262"/>
    <w:rsid w:val="002B6B21"/>
    <w:rsid w:val="002B72AC"/>
    <w:rsid w:val="002C274B"/>
    <w:rsid w:val="002C31C7"/>
    <w:rsid w:val="002D5A4D"/>
    <w:rsid w:val="002E0026"/>
    <w:rsid w:val="002E22AF"/>
    <w:rsid w:val="002F025C"/>
    <w:rsid w:val="002F1438"/>
    <w:rsid w:val="002F33DD"/>
    <w:rsid w:val="002F4E3F"/>
    <w:rsid w:val="002F6155"/>
    <w:rsid w:val="002F61FA"/>
    <w:rsid w:val="002F739F"/>
    <w:rsid w:val="00303113"/>
    <w:rsid w:val="003039B3"/>
    <w:rsid w:val="00304865"/>
    <w:rsid w:val="00307E02"/>
    <w:rsid w:val="00313561"/>
    <w:rsid w:val="003209B0"/>
    <w:rsid w:val="00324398"/>
    <w:rsid w:val="003358A4"/>
    <w:rsid w:val="00337E8F"/>
    <w:rsid w:val="00343AF3"/>
    <w:rsid w:val="00345BA2"/>
    <w:rsid w:val="00352C68"/>
    <w:rsid w:val="0036636E"/>
    <w:rsid w:val="003678B2"/>
    <w:rsid w:val="00370C3C"/>
    <w:rsid w:val="00372E1B"/>
    <w:rsid w:val="003737D2"/>
    <w:rsid w:val="003742F2"/>
    <w:rsid w:val="00376C19"/>
    <w:rsid w:val="003824A1"/>
    <w:rsid w:val="00384FC3"/>
    <w:rsid w:val="00387448"/>
    <w:rsid w:val="00392B24"/>
    <w:rsid w:val="003A3804"/>
    <w:rsid w:val="003A525D"/>
    <w:rsid w:val="003A52BE"/>
    <w:rsid w:val="003A5866"/>
    <w:rsid w:val="003A6E80"/>
    <w:rsid w:val="003A6E9F"/>
    <w:rsid w:val="003B4355"/>
    <w:rsid w:val="003B7C2F"/>
    <w:rsid w:val="003C056B"/>
    <w:rsid w:val="003C2D9F"/>
    <w:rsid w:val="003C55D8"/>
    <w:rsid w:val="003C5A18"/>
    <w:rsid w:val="003D3ECE"/>
    <w:rsid w:val="003D4CD6"/>
    <w:rsid w:val="003E656F"/>
    <w:rsid w:val="0040309F"/>
    <w:rsid w:val="00415131"/>
    <w:rsid w:val="00417CD6"/>
    <w:rsid w:val="00420882"/>
    <w:rsid w:val="004228C7"/>
    <w:rsid w:val="00423807"/>
    <w:rsid w:val="00425E5A"/>
    <w:rsid w:val="004269AE"/>
    <w:rsid w:val="0042798B"/>
    <w:rsid w:val="0043164F"/>
    <w:rsid w:val="0043294E"/>
    <w:rsid w:val="00434913"/>
    <w:rsid w:val="0044217A"/>
    <w:rsid w:val="004433B6"/>
    <w:rsid w:val="004474F8"/>
    <w:rsid w:val="004507B5"/>
    <w:rsid w:val="004541BC"/>
    <w:rsid w:val="004555A0"/>
    <w:rsid w:val="0046542D"/>
    <w:rsid w:val="00465ED5"/>
    <w:rsid w:val="00477550"/>
    <w:rsid w:val="0047785E"/>
    <w:rsid w:val="00483903"/>
    <w:rsid w:val="004844A8"/>
    <w:rsid w:val="00491089"/>
    <w:rsid w:val="00492FBC"/>
    <w:rsid w:val="00493991"/>
    <w:rsid w:val="00495C06"/>
    <w:rsid w:val="00496803"/>
    <w:rsid w:val="004B6688"/>
    <w:rsid w:val="004B6C84"/>
    <w:rsid w:val="004B71D7"/>
    <w:rsid w:val="004C3718"/>
    <w:rsid w:val="004C4827"/>
    <w:rsid w:val="004D06FC"/>
    <w:rsid w:val="004D1CCA"/>
    <w:rsid w:val="004D4C7A"/>
    <w:rsid w:val="004D633A"/>
    <w:rsid w:val="004E172A"/>
    <w:rsid w:val="004F0EAF"/>
    <w:rsid w:val="004F23D2"/>
    <w:rsid w:val="004F376E"/>
    <w:rsid w:val="004F7951"/>
    <w:rsid w:val="00506DC3"/>
    <w:rsid w:val="005209BF"/>
    <w:rsid w:val="005244A4"/>
    <w:rsid w:val="00527783"/>
    <w:rsid w:val="0053230D"/>
    <w:rsid w:val="00533848"/>
    <w:rsid w:val="00551534"/>
    <w:rsid w:val="00551ABC"/>
    <w:rsid w:val="00572B35"/>
    <w:rsid w:val="0058054F"/>
    <w:rsid w:val="00580B07"/>
    <w:rsid w:val="005814B5"/>
    <w:rsid w:val="005824BD"/>
    <w:rsid w:val="00582730"/>
    <w:rsid w:val="00583A2C"/>
    <w:rsid w:val="005871DD"/>
    <w:rsid w:val="00592F6E"/>
    <w:rsid w:val="0059787B"/>
    <w:rsid w:val="005A0A7E"/>
    <w:rsid w:val="005A746A"/>
    <w:rsid w:val="005A7C2F"/>
    <w:rsid w:val="005B36DE"/>
    <w:rsid w:val="005B6597"/>
    <w:rsid w:val="005B7DBC"/>
    <w:rsid w:val="005C249F"/>
    <w:rsid w:val="005C67DF"/>
    <w:rsid w:val="005D18C3"/>
    <w:rsid w:val="005D3E9D"/>
    <w:rsid w:val="005D559B"/>
    <w:rsid w:val="005D6030"/>
    <w:rsid w:val="005D6845"/>
    <w:rsid w:val="005D6A95"/>
    <w:rsid w:val="005D725E"/>
    <w:rsid w:val="005D7A68"/>
    <w:rsid w:val="005D7AD1"/>
    <w:rsid w:val="005E7C7A"/>
    <w:rsid w:val="005F29B5"/>
    <w:rsid w:val="005F4543"/>
    <w:rsid w:val="005F64D4"/>
    <w:rsid w:val="006020B8"/>
    <w:rsid w:val="00602136"/>
    <w:rsid w:val="00605D48"/>
    <w:rsid w:val="00606024"/>
    <w:rsid w:val="00610B09"/>
    <w:rsid w:val="00611245"/>
    <w:rsid w:val="00615F8C"/>
    <w:rsid w:val="006164EF"/>
    <w:rsid w:val="00621F90"/>
    <w:rsid w:val="00624758"/>
    <w:rsid w:val="00624A4C"/>
    <w:rsid w:val="006256D3"/>
    <w:rsid w:val="00627BB7"/>
    <w:rsid w:val="00635B36"/>
    <w:rsid w:val="0064233F"/>
    <w:rsid w:val="00644A13"/>
    <w:rsid w:val="0065136E"/>
    <w:rsid w:val="006540D1"/>
    <w:rsid w:val="006562C1"/>
    <w:rsid w:val="006624BF"/>
    <w:rsid w:val="00667549"/>
    <w:rsid w:val="0067066B"/>
    <w:rsid w:val="00670C49"/>
    <w:rsid w:val="00670D71"/>
    <w:rsid w:val="00696101"/>
    <w:rsid w:val="00697DCF"/>
    <w:rsid w:val="006A1B0C"/>
    <w:rsid w:val="006A2401"/>
    <w:rsid w:val="006A6A86"/>
    <w:rsid w:val="006A7F28"/>
    <w:rsid w:val="006C5D87"/>
    <w:rsid w:val="006D1093"/>
    <w:rsid w:val="006D7318"/>
    <w:rsid w:val="006E610A"/>
    <w:rsid w:val="006E71E4"/>
    <w:rsid w:val="006E7528"/>
    <w:rsid w:val="006E7DCE"/>
    <w:rsid w:val="006F0FD6"/>
    <w:rsid w:val="006F44D4"/>
    <w:rsid w:val="00704FE7"/>
    <w:rsid w:val="007050B9"/>
    <w:rsid w:val="007050FF"/>
    <w:rsid w:val="00713AD6"/>
    <w:rsid w:val="00715737"/>
    <w:rsid w:val="00725BE7"/>
    <w:rsid w:val="00731E33"/>
    <w:rsid w:val="0073527C"/>
    <w:rsid w:val="00737C66"/>
    <w:rsid w:val="007408E1"/>
    <w:rsid w:val="00745275"/>
    <w:rsid w:val="00745B20"/>
    <w:rsid w:val="00752764"/>
    <w:rsid w:val="00754DB3"/>
    <w:rsid w:val="007641BB"/>
    <w:rsid w:val="00764452"/>
    <w:rsid w:val="00765652"/>
    <w:rsid w:val="00765854"/>
    <w:rsid w:val="00766962"/>
    <w:rsid w:val="00766BA8"/>
    <w:rsid w:val="00767BA9"/>
    <w:rsid w:val="00770FFD"/>
    <w:rsid w:val="00771054"/>
    <w:rsid w:val="00771677"/>
    <w:rsid w:val="00772753"/>
    <w:rsid w:val="007745BA"/>
    <w:rsid w:val="00775287"/>
    <w:rsid w:val="00776FFB"/>
    <w:rsid w:val="007774F2"/>
    <w:rsid w:val="00777C27"/>
    <w:rsid w:val="007810BB"/>
    <w:rsid w:val="007844C4"/>
    <w:rsid w:val="007907F1"/>
    <w:rsid w:val="00794652"/>
    <w:rsid w:val="00794E45"/>
    <w:rsid w:val="0079693F"/>
    <w:rsid w:val="007A07B2"/>
    <w:rsid w:val="007A1C92"/>
    <w:rsid w:val="007A5107"/>
    <w:rsid w:val="007A7B24"/>
    <w:rsid w:val="007C4093"/>
    <w:rsid w:val="007C4FB4"/>
    <w:rsid w:val="007D2BB6"/>
    <w:rsid w:val="007D33F4"/>
    <w:rsid w:val="007E1236"/>
    <w:rsid w:val="007E136A"/>
    <w:rsid w:val="007E46D6"/>
    <w:rsid w:val="007F3ABE"/>
    <w:rsid w:val="007F5813"/>
    <w:rsid w:val="007F62F4"/>
    <w:rsid w:val="00807057"/>
    <w:rsid w:val="00821433"/>
    <w:rsid w:val="00821A70"/>
    <w:rsid w:val="00822D08"/>
    <w:rsid w:val="008312CB"/>
    <w:rsid w:val="008328E9"/>
    <w:rsid w:val="00832C0D"/>
    <w:rsid w:val="00835BCB"/>
    <w:rsid w:val="00835CDC"/>
    <w:rsid w:val="0083768D"/>
    <w:rsid w:val="00847483"/>
    <w:rsid w:val="008506C8"/>
    <w:rsid w:val="00850B09"/>
    <w:rsid w:val="00863B9D"/>
    <w:rsid w:val="00863BE6"/>
    <w:rsid w:val="008650E9"/>
    <w:rsid w:val="00866265"/>
    <w:rsid w:val="00873205"/>
    <w:rsid w:val="008733A1"/>
    <w:rsid w:val="008752D1"/>
    <w:rsid w:val="008775BB"/>
    <w:rsid w:val="008775BC"/>
    <w:rsid w:val="00882F1B"/>
    <w:rsid w:val="00885EF4"/>
    <w:rsid w:val="00886921"/>
    <w:rsid w:val="00897F56"/>
    <w:rsid w:val="008A6505"/>
    <w:rsid w:val="008A70CE"/>
    <w:rsid w:val="008B5BBA"/>
    <w:rsid w:val="008C0651"/>
    <w:rsid w:val="008C25E4"/>
    <w:rsid w:val="008C2DAE"/>
    <w:rsid w:val="008C5139"/>
    <w:rsid w:val="008D0A75"/>
    <w:rsid w:val="008D12FA"/>
    <w:rsid w:val="008D75D4"/>
    <w:rsid w:val="008E1456"/>
    <w:rsid w:val="008E28FF"/>
    <w:rsid w:val="008E4F79"/>
    <w:rsid w:val="008E7E2C"/>
    <w:rsid w:val="008F377A"/>
    <w:rsid w:val="008F50F9"/>
    <w:rsid w:val="009059A9"/>
    <w:rsid w:val="00910FBD"/>
    <w:rsid w:val="00915849"/>
    <w:rsid w:val="0092149A"/>
    <w:rsid w:val="009215F7"/>
    <w:rsid w:val="00921DFC"/>
    <w:rsid w:val="0092515E"/>
    <w:rsid w:val="00925AC0"/>
    <w:rsid w:val="00926805"/>
    <w:rsid w:val="00926F0C"/>
    <w:rsid w:val="00936F27"/>
    <w:rsid w:val="009413EC"/>
    <w:rsid w:val="00941AA9"/>
    <w:rsid w:val="00942FBD"/>
    <w:rsid w:val="00944B04"/>
    <w:rsid w:val="00946509"/>
    <w:rsid w:val="0094770B"/>
    <w:rsid w:val="00960D15"/>
    <w:rsid w:val="00964154"/>
    <w:rsid w:val="00965527"/>
    <w:rsid w:val="00967BF0"/>
    <w:rsid w:val="00970968"/>
    <w:rsid w:val="009726B3"/>
    <w:rsid w:val="009744DA"/>
    <w:rsid w:val="00976BFC"/>
    <w:rsid w:val="00977079"/>
    <w:rsid w:val="00984745"/>
    <w:rsid w:val="00990126"/>
    <w:rsid w:val="009915F5"/>
    <w:rsid w:val="00993D54"/>
    <w:rsid w:val="009A1BCE"/>
    <w:rsid w:val="009B2267"/>
    <w:rsid w:val="009B2288"/>
    <w:rsid w:val="009B2CAC"/>
    <w:rsid w:val="009B738E"/>
    <w:rsid w:val="009B7B70"/>
    <w:rsid w:val="009C0ABF"/>
    <w:rsid w:val="009C19BE"/>
    <w:rsid w:val="009C5199"/>
    <w:rsid w:val="009C56A3"/>
    <w:rsid w:val="009D3DAF"/>
    <w:rsid w:val="009E0AE8"/>
    <w:rsid w:val="009E0C1F"/>
    <w:rsid w:val="009E5374"/>
    <w:rsid w:val="009E6D58"/>
    <w:rsid w:val="009E7368"/>
    <w:rsid w:val="009F345D"/>
    <w:rsid w:val="009F6A76"/>
    <w:rsid w:val="00A00C84"/>
    <w:rsid w:val="00A01EA6"/>
    <w:rsid w:val="00A02529"/>
    <w:rsid w:val="00A0476B"/>
    <w:rsid w:val="00A13218"/>
    <w:rsid w:val="00A13296"/>
    <w:rsid w:val="00A2039A"/>
    <w:rsid w:val="00A20D3D"/>
    <w:rsid w:val="00A215E7"/>
    <w:rsid w:val="00A227A3"/>
    <w:rsid w:val="00A240F0"/>
    <w:rsid w:val="00A25E54"/>
    <w:rsid w:val="00A26E53"/>
    <w:rsid w:val="00A347E8"/>
    <w:rsid w:val="00A36200"/>
    <w:rsid w:val="00A43F61"/>
    <w:rsid w:val="00A44B12"/>
    <w:rsid w:val="00A5033C"/>
    <w:rsid w:val="00A534EB"/>
    <w:rsid w:val="00A53A55"/>
    <w:rsid w:val="00A545B3"/>
    <w:rsid w:val="00A54D5B"/>
    <w:rsid w:val="00A60B73"/>
    <w:rsid w:val="00A63133"/>
    <w:rsid w:val="00A65837"/>
    <w:rsid w:val="00A706F0"/>
    <w:rsid w:val="00A7554F"/>
    <w:rsid w:val="00A80080"/>
    <w:rsid w:val="00A93ACF"/>
    <w:rsid w:val="00A9552A"/>
    <w:rsid w:val="00A97A5B"/>
    <w:rsid w:val="00AA4FFD"/>
    <w:rsid w:val="00AA5766"/>
    <w:rsid w:val="00AA58D9"/>
    <w:rsid w:val="00AB10AC"/>
    <w:rsid w:val="00AB4951"/>
    <w:rsid w:val="00AB6E08"/>
    <w:rsid w:val="00AC14DC"/>
    <w:rsid w:val="00AC61DA"/>
    <w:rsid w:val="00AE4DD8"/>
    <w:rsid w:val="00AE5D0F"/>
    <w:rsid w:val="00AE63F1"/>
    <w:rsid w:val="00AF3B16"/>
    <w:rsid w:val="00AF4241"/>
    <w:rsid w:val="00AF424E"/>
    <w:rsid w:val="00AF4E5A"/>
    <w:rsid w:val="00B03230"/>
    <w:rsid w:val="00B05853"/>
    <w:rsid w:val="00B23512"/>
    <w:rsid w:val="00B2547D"/>
    <w:rsid w:val="00B27FFC"/>
    <w:rsid w:val="00B315A0"/>
    <w:rsid w:val="00B349E9"/>
    <w:rsid w:val="00B34A18"/>
    <w:rsid w:val="00B357FA"/>
    <w:rsid w:val="00B42194"/>
    <w:rsid w:val="00B44B62"/>
    <w:rsid w:val="00B468CE"/>
    <w:rsid w:val="00B500C2"/>
    <w:rsid w:val="00B52B7F"/>
    <w:rsid w:val="00B53A08"/>
    <w:rsid w:val="00B555BA"/>
    <w:rsid w:val="00B5599F"/>
    <w:rsid w:val="00B579CB"/>
    <w:rsid w:val="00B626CD"/>
    <w:rsid w:val="00B665FC"/>
    <w:rsid w:val="00B70083"/>
    <w:rsid w:val="00B73C19"/>
    <w:rsid w:val="00B76C9A"/>
    <w:rsid w:val="00B827B6"/>
    <w:rsid w:val="00B83C2C"/>
    <w:rsid w:val="00B83EF9"/>
    <w:rsid w:val="00B928A3"/>
    <w:rsid w:val="00B94B55"/>
    <w:rsid w:val="00B95C2F"/>
    <w:rsid w:val="00B96479"/>
    <w:rsid w:val="00BA58DF"/>
    <w:rsid w:val="00BB0975"/>
    <w:rsid w:val="00BB0D91"/>
    <w:rsid w:val="00BB23DD"/>
    <w:rsid w:val="00BB28F6"/>
    <w:rsid w:val="00BC0C3C"/>
    <w:rsid w:val="00BC2609"/>
    <w:rsid w:val="00BC7C4F"/>
    <w:rsid w:val="00BE0D20"/>
    <w:rsid w:val="00BF1573"/>
    <w:rsid w:val="00BF45A4"/>
    <w:rsid w:val="00BF4697"/>
    <w:rsid w:val="00C0528F"/>
    <w:rsid w:val="00C05EE4"/>
    <w:rsid w:val="00C0708D"/>
    <w:rsid w:val="00C0746D"/>
    <w:rsid w:val="00C07A56"/>
    <w:rsid w:val="00C13145"/>
    <w:rsid w:val="00C1350C"/>
    <w:rsid w:val="00C224A7"/>
    <w:rsid w:val="00C24992"/>
    <w:rsid w:val="00C2619E"/>
    <w:rsid w:val="00C3056D"/>
    <w:rsid w:val="00C31E16"/>
    <w:rsid w:val="00C32383"/>
    <w:rsid w:val="00C63612"/>
    <w:rsid w:val="00C7295A"/>
    <w:rsid w:val="00C748CB"/>
    <w:rsid w:val="00C82A98"/>
    <w:rsid w:val="00C86882"/>
    <w:rsid w:val="00C90BC1"/>
    <w:rsid w:val="00C965CD"/>
    <w:rsid w:val="00CA6521"/>
    <w:rsid w:val="00CA6757"/>
    <w:rsid w:val="00CB2AC8"/>
    <w:rsid w:val="00CB3B07"/>
    <w:rsid w:val="00CB74C2"/>
    <w:rsid w:val="00CC3833"/>
    <w:rsid w:val="00CC64BC"/>
    <w:rsid w:val="00CD05B5"/>
    <w:rsid w:val="00CE295B"/>
    <w:rsid w:val="00CE750F"/>
    <w:rsid w:val="00CF10DD"/>
    <w:rsid w:val="00CF23EE"/>
    <w:rsid w:val="00D0184F"/>
    <w:rsid w:val="00D0209C"/>
    <w:rsid w:val="00D10FF1"/>
    <w:rsid w:val="00D12807"/>
    <w:rsid w:val="00D15243"/>
    <w:rsid w:val="00D160CB"/>
    <w:rsid w:val="00D245A1"/>
    <w:rsid w:val="00D25FFE"/>
    <w:rsid w:val="00D27B75"/>
    <w:rsid w:val="00D375D7"/>
    <w:rsid w:val="00D41172"/>
    <w:rsid w:val="00D415E2"/>
    <w:rsid w:val="00D42055"/>
    <w:rsid w:val="00D424FA"/>
    <w:rsid w:val="00D43113"/>
    <w:rsid w:val="00D4692D"/>
    <w:rsid w:val="00D470CF"/>
    <w:rsid w:val="00D57288"/>
    <w:rsid w:val="00D647C3"/>
    <w:rsid w:val="00D64F7B"/>
    <w:rsid w:val="00D66B5C"/>
    <w:rsid w:val="00D73C15"/>
    <w:rsid w:val="00D7492C"/>
    <w:rsid w:val="00D75D32"/>
    <w:rsid w:val="00D851EF"/>
    <w:rsid w:val="00D87691"/>
    <w:rsid w:val="00D930FA"/>
    <w:rsid w:val="00D9633A"/>
    <w:rsid w:val="00DA0EA2"/>
    <w:rsid w:val="00DA3C64"/>
    <w:rsid w:val="00DA565B"/>
    <w:rsid w:val="00DB54AC"/>
    <w:rsid w:val="00DC7DC6"/>
    <w:rsid w:val="00DD0695"/>
    <w:rsid w:val="00DD3FB5"/>
    <w:rsid w:val="00DE4EC9"/>
    <w:rsid w:val="00DE5579"/>
    <w:rsid w:val="00DF0C4E"/>
    <w:rsid w:val="00DF2386"/>
    <w:rsid w:val="00DF5550"/>
    <w:rsid w:val="00DF7FE7"/>
    <w:rsid w:val="00E076DE"/>
    <w:rsid w:val="00E117C4"/>
    <w:rsid w:val="00E13480"/>
    <w:rsid w:val="00E13B32"/>
    <w:rsid w:val="00E20FFC"/>
    <w:rsid w:val="00E21E46"/>
    <w:rsid w:val="00E269C5"/>
    <w:rsid w:val="00E33534"/>
    <w:rsid w:val="00E364A6"/>
    <w:rsid w:val="00E437CB"/>
    <w:rsid w:val="00E45284"/>
    <w:rsid w:val="00E46367"/>
    <w:rsid w:val="00E5205F"/>
    <w:rsid w:val="00E55401"/>
    <w:rsid w:val="00E558AF"/>
    <w:rsid w:val="00E602CA"/>
    <w:rsid w:val="00E61DB6"/>
    <w:rsid w:val="00E63E73"/>
    <w:rsid w:val="00E63F0B"/>
    <w:rsid w:val="00E87CBF"/>
    <w:rsid w:val="00E93AD1"/>
    <w:rsid w:val="00EA0132"/>
    <w:rsid w:val="00EA02DA"/>
    <w:rsid w:val="00EA2797"/>
    <w:rsid w:val="00EA3A7F"/>
    <w:rsid w:val="00EA3C6F"/>
    <w:rsid w:val="00EA3DBC"/>
    <w:rsid w:val="00EA4F56"/>
    <w:rsid w:val="00EA5284"/>
    <w:rsid w:val="00EB1B88"/>
    <w:rsid w:val="00EC673C"/>
    <w:rsid w:val="00ED2263"/>
    <w:rsid w:val="00ED3619"/>
    <w:rsid w:val="00ED6CF5"/>
    <w:rsid w:val="00EE0DC3"/>
    <w:rsid w:val="00EE0E86"/>
    <w:rsid w:val="00EF1D96"/>
    <w:rsid w:val="00EF3827"/>
    <w:rsid w:val="00F01DB7"/>
    <w:rsid w:val="00F03E5A"/>
    <w:rsid w:val="00F078F1"/>
    <w:rsid w:val="00F311B6"/>
    <w:rsid w:val="00F326A2"/>
    <w:rsid w:val="00F32D03"/>
    <w:rsid w:val="00F344DE"/>
    <w:rsid w:val="00F369B0"/>
    <w:rsid w:val="00F37A4C"/>
    <w:rsid w:val="00F42C01"/>
    <w:rsid w:val="00F44ADA"/>
    <w:rsid w:val="00F6004D"/>
    <w:rsid w:val="00F6098E"/>
    <w:rsid w:val="00F661AE"/>
    <w:rsid w:val="00F711D3"/>
    <w:rsid w:val="00F73E71"/>
    <w:rsid w:val="00F7510D"/>
    <w:rsid w:val="00F82AE1"/>
    <w:rsid w:val="00F82FB9"/>
    <w:rsid w:val="00F876F9"/>
    <w:rsid w:val="00F929B6"/>
    <w:rsid w:val="00FA0B01"/>
    <w:rsid w:val="00FA50B5"/>
    <w:rsid w:val="00FA5434"/>
    <w:rsid w:val="00FA7A28"/>
    <w:rsid w:val="00FB14FC"/>
    <w:rsid w:val="00FC17BF"/>
    <w:rsid w:val="00FC3440"/>
    <w:rsid w:val="00FD65CD"/>
    <w:rsid w:val="00FD76BF"/>
    <w:rsid w:val="00FD7EC9"/>
    <w:rsid w:val="00FF159E"/>
    <w:rsid w:val="00FF526B"/>
    <w:rsid w:val="01A2B96E"/>
    <w:rsid w:val="02AF088A"/>
    <w:rsid w:val="05250EF5"/>
    <w:rsid w:val="084FDF7B"/>
    <w:rsid w:val="0A75BAF8"/>
    <w:rsid w:val="0B6F1152"/>
    <w:rsid w:val="0BBCF5CA"/>
    <w:rsid w:val="0E447EEE"/>
    <w:rsid w:val="1108ABB2"/>
    <w:rsid w:val="1174145E"/>
    <w:rsid w:val="12E4856C"/>
    <w:rsid w:val="1674B5D4"/>
    <w:rsid w:val="1806C52C"/>
    <w:rsid w:val="182FA2DF"/>
    <w:rsid w:val="1BE81509"/>
    <w:rsid w:val="1E1BE6F1"/>
    <w:rsid w:val="1EF2EB1A"/>
    <w:rsid w:val="20E84BCF"/>
    <w:rsid w:val="2201896E"/>
    <w:rsid w:val="233CEF9F"/>
    <w:rsid w:val="23CC1DB9"/>
    <w:rsid w:val="24FD1CE6"/>
    <w:rsid w:val="2807F2F7"/>
    <w:rsid w:val="2D1D32E0"/>
    <w:rsid w:val="2E28BC6F"/>
    <w:rsid w:val="2ECA0C42"/>
    <w:rsid w:val="312BD7CB"/>
    <w:rsid w:val="33673197"/>
    <w:rsid w:val="365BF447"/>
    <w:rsid w:val="366A4CF3"/>
    <w:rsid w:val="377378A2"/>
    <w:rsid w:val="38BF074F"/>
    <w:rsid w:val="3BC7147C"/>
    <w:rsid w:val="3D3B4430"/>
    <w:rsid w:val="3F3A2B10"/>
    <w:rsid w:val="411B2531"/>
    <w:rsid w:val="4193DBF9"/>
    <w:rsid w:val="421D2DA3"/>
    <w:rsid w:val="422D07B4"/>
    <w:rsid w:val="42450121"/>
    <w:rsid w:val="447FC375"/>
    <w:rsid w:val="4684EC95"/>
    <w:rsid w:val="49EB9AC6"/>
    <w:rsid w:val="4B127D4D"/>
    <w:rsid w:val="4B3A54DC"/>
    <w:rsid w:val="4C724475"/>
    <w:rsid w:val="4D311C60"/>
    <w:rsid w:val="4DAB62FE"/>
    <w:rsid w:val="4E86CE26"/>
    <w:rsid w:val="533B80FD"/>
    <w:rsid w:val="535E6EE1"/>
    <w:rsid w:val="5486D777"/>
    <w:rsid w:val="549B1143"/>
    <w:rsid w:val="550F9665"/>
    <w:rsid w:val="5740D79C"/>
    <w:rsid w:val="58CF2BCC"/>
    <w:rsid w:val="597ECFE7"/>
    <w:rsid w:val="5BC9C325"/>
    <w:rsid w:val="5D3172C7"/>
    <w:rsid w:val="5D828B6A"/>
    <w:rsid w:val="5D91C6BF"/>
    <w:rsid w:val="5F3EA021"/>
    <w:rsid w:val="5F5CF282"/>
    <w:rsid w:val="5FEC0A64"/>
    <w:rsid w:val="62F6162C"/>
    <w:rsid w:val="652AE433"/>
    <w:rsid w:val="6890E438"/>
    <w:rsid w:val="6977CC0F"/>
    <w:rsid w:val="69BBD3AA"/>
    <w:rsid w:val="706CBC56"/>
    <w:rsid w:val="70CF4C93"/>
    <w:rsid w:val="71ADDB2C"/>
    <w:rsid w:val="74530781"/>
    <w:rsid w:val="758B5BC1"/>
    <w:rsid w:val="79FAEC1C"/>
    <w:rsid w:val="7C2D7A10"/>
    <w:rsid w:val="7CE61F13"/>
    <w:rsid w:val="7EAF7366"/>
    <w:rsid w:val="7FD3FF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9B859C5"/>
  <w15:docId w15:val="{B0A5B9CA-394F-4215-A323-A10B5E0B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Olstomnmnande1">
    <w:name w:val="Olöst omnämnande1"/>
    <w:basedOn w:val="DefaultParagraphFont"/>
    <w:uiPriority w:val="99"/>
    <w:semiHidden/>
    <w:unhideWhenUsed/>
    <w:rsid w:val="00533848"/>
    <w:rPr>
      <w:color w:val="605E5C"/>
      <w:shd w:val="clear" w:color="auto" w:fill="E1DFDD"/>
    </w:rPr>
  </w:style>
  <w:style w:type="table" w:styleId="GridTable1Light-Accent1">
    <w:name w:val="Grid Table 1 Light Accent 1"/>
    <w:basedOn w:val="TableNormal"/>
    <w:uiPriority w:val="46"/>
    <w:rsid w:val="006A7F28"/>
    <w:pPr>
      <w:ind w:left="0" w:firstLine="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F10DD"/>
    <w:rPr>
      <w:color w:val="605E5C"/>
      <w:shd w:val="clear" w:color="auto" w:fill="E1DFDD"/>
    </w:rPr>
  </w:style>
  <w:style w:type="character" w:styleId="FollowedHyperlink">
    <w:name w:val="FollowedHyperlink"/>
    <w:basedOn w:val="DefaultParagraphFont"/>
    <w:uiPriority w:val="99"/>
    <w:semiHidden/>
    <w:unhideWhenUsed/>
    <w:rsid w:val="007408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907568133">
      <w:bodyDiv w:val="1"/>
      <w:marLeft w:val="0"/>
      <w:marRight w:val="0"/>
      <w:marTop w:val="0"/>
      <w:marBottom w:val="0"/>
      <w:divBdr>
        <w:top w:val="none" w:sz="0" w:space="0" w:color="auto"/>
        <w:left w:val="none" w:sz="0" w:space="0" w:color="auto"/>
        <w:bottom w:val="none" w:sz="0" w:space="0" w:color="auto"/>
        <w:right w:val="none" w:sz="0" w:space="0" w:color="auto"/>
      </w:divBdr>
    </w:div>
    <w:div w:id="15157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gender-inclusive-language/guideli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90329-BF95-4B93-84ED-8ADF833F1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23000-B0F0-4B32-89CC-CA939D8EBCE5}">
  <ds:schemaRefs>
    <ds:schemaRef ds:uri="http://schemas.microsoft.com/sharepoint/v3/contenttype/forms"/>
  </ds:schemaRefs>
</ds:datastoreItem>
</file>

<file path=customXml/itemProps3.xml><?xml version="1.0" encoding="utf-8"?>
<ds:datastoreItem xmlns:ds="http://schemas.openxmlformats.org/officeDocument/2006/customXml" ds:itemID="{7052043B-DECA-4653-B311-04E5D5B770BF}">
  <ds:schemaRefs>
    <ds:schemaRef ds:uri="http://purl.org/dc/elements/1.1/"/>
    <ds:schemaRef ds:uri="http://schemas.microsoft.com/office/2006/metadata/properties"/>
    <ds:schemaRef ds:uri="http://purl.org/dc/dcmitype/"/>
    <ds:schemaRef ds:uri="8c0b6b05-eb82-4bda-97e8-cd82d0d6b453"/>
    <ds:schemaRef ds:uri="http://schemas.microsoft.com/office/2006/documentManagement/types"/>
    <ds:schemaRef ds:uri="http://schemas.openxmlformats.org/package/2006/metadata/core-properties"/>
    <ds:schemaRef ds:uri="aedd258d-19a7-41ba-8260-b0918f25313d"/>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7A96D68D-D160-4241-8E3D-7872FE1A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2186</Words>
  <Characters>12462</Characters>
  <Application>Microsoft Office Word</Application>
  <DocSecurity>0</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Ramsar CEPA OP-SC58-draft paper-comments</vt:lpstr>
      <vt:lpstr>Ramsar CEPA OP-SC58-draft paper-comments</vt:lpstr>
    </vt:vector>
  </TitlesOfParts>
  <Company>IUCN</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CEPA OP-SC58-draft paper-comments</dc:title>
  <dc:subject/>
  <dc:creator>Convention on Wetlands</dc:creator>
  <cp:keywords/>
  <dc:description/>
  <cp:lastModifiedBy>BRACE Poppy</cp:lastModifiedBy>
  <cp:revision>5</cp:revision>
  <cp:lastPrinted>2020-03-25T13:43:00Z</cp:lastPrinted>
  <dcterms:created xsi:type="dcterms:W3CDTF">2024-02-12T15:45:00Z</dcterms:created>
  <dcterms:modified xsi:type="dcterms:W3CDTF">2024-03-01T09:27:00Z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RecordPoint_ActiveItemUniqueId">
    <vt:lpwstr>{ba23b4a7-a3b4-4400-9e15-4575457f7a85}</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RecordNumberSubmitted">
    <vt:lpwstr>003233512</vt:lpwstr>
  </property>
  <property fmtid="{D5CDD505-2E9C-101B-9397-08002B2CF9AE}" pid="9" name="IconOverlay">
    <vt:lpwstr/>
  </property>
  <property fmtid="{D5CDD505-2E9C-101B-9397-08002B2CF9AE}" pid="10" name="RecordPoint_SubmissionCompleted">
    <vt:lpwstr>2020-01-12T03:24:16.5965765+11:00</vt:lpwstr>
  </property>
  <property fmtid="{D5CDD505-2E9C-101B-9397-08002B2CF9AE}" pid="11" name="MSIP_Label_1665d9ee-429a-4d5f-97cc-cfb56e044a6e_Enabled">
    <vt:lpwstr>True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Owner">
    <vt:lpwstr>KoyamaKA@state.gov</vt:lpwstr>
  </property>
  <property fmtid="{D5CDD505-2E9C-101B-9397-08002B2CF9AE}" pid="14" name="MSIP_Label_1665d9ee-429a-4d5f-97cc-cfb56e044a6e_SetDate">
    <vt:lpwstr>2020-02-04T17:57:08.4987929Z</vt:lpwstr>
  </property>
  <property fmtid="{D5CDD505-2E9C-101B-9397-08002B2CF9AE}" pid="15" name="MSIP_Label_1665d9ee-429a-4d5f-97cc-cfb56e044a6e_Name">
    <vt:lpwstr>Unclassified</vt:lpwstr>
  </property>
  <property fmtid="{D5CDD505-2E9C-101B-9397-08002B2CF9AE}" pid="16" name="MSIP_Label_1665d9ee-429a-4d5f-97cc-cfb56e044a6e_Application">
    <vt:lpwstr>Microsoft Azure Information Protection</vt:lpwstr>
  </property>
  <property fmtid="{D5CDD505-2E9C-101B-9397-08002B2CF9AE}" pid="17" name="MSIP_Label_1665d9ee-429a-4d5f-97cc-cfb56e044a6e_ActionId">
    <vt:lpwstr>8baf58fb-5d23-48a0-96cc-c8572b323041</vt:lpwstr>
  </property>
  <property fmtid="{D5CDD505-2E9C-101B-9397-08002B2CF9AE}" pid="18" name="MSIP_Label_1665d9ee-429a-4d5f-97cc-cfb56e044a6e_Extended_MSFT_Method">
    <vt:lpwstr>Manual</vt:lpwstr>
  </property>
  <property fmtid="{D5CDD505-2E9C-101B-9397-08002B2CF9AE}" pid="19" name="Sensitivity">
    <vt:lpwstr>Unclassified</vt:lpwstr>
  </property>
</Properties>
</file>