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4C725" w14:textId="77777777" w:rsidR="00B77484" w:rsidRPr="00A30E3F" w:rsidRDefault="00B77484" w:rsidP="00B77484">
      <w:pPr>
        <w:pBdr>
          <w:top w:val="single" w:sz="12" w:space="0" w:color="auto" w:shadow="1"/>
          <w:left w:val="single" w:sz="12" w:space="4" w:color="auto" w:shadow="1"/>
          <w:bottom w:val="single" w:sz="12" w:space="1" w:color="auto" w:shadow="1"/>
          <w:right w:val="single" w:sz="12" w:space="7" w:color="auto" w:shadow="1"/>
        </w:pBdr>
        <w:ind w:right="4490"/>
        <w:rPr>
          <w:bCs/>
        </w:rPr>
      </w:pPr>
      <w:r w:rsidRPr="00A30E3F">
        <w:rPr>
          <w:bCs/>
        </w:rPr>
        <w:t>CONVENTION SUR LES ZONES HUMIDES</w:t>
      </w:r>
    </w:p>
    <w:p w14:paraId="03889370" w14:textId="77777777" w:rsidR="00B77484" w:rsidRPr="00492FE7" w:rsidRDefault="00B77484" w:rsidP="00B77484">
      <w:pPr>
        <w:pBdr>
          <w:top w:val="single" w:sz="12" w:space="0" w:color="auto" w:shadow="1"/>
          <w:left w:val="single" w:sz="12" w:space="4" w:color="auto" w:shadow="1"/>
          <w:bottom w:val="single" w:sz="12" w:space="1" w:color="auto" w:shadow="1"/>
          <w:right w:val="single" w:sz="12" w:space="7" w:color="auto" w:shadow="1"/>
        </w:pBdr>
        <w:ind w:right="4490"/>
        <w:rPr>
          <w:bCs/>
        </w:rPr>
      </w:pPr>
      <w:r w:rsidRPr="00492FE7">
        <w:rPr>
          <w:bCs/>
        </w:rPr>
        <w:t>63</w:t>
      </w:r>
      <w:r w:rsidRPr="00492FE7">
        <w:rPr>
          <w:bCs/>
          <w:vertAlign w:val="superscript"/>
        </w:rPr>
        <w:t>e</w:t>
      </w:r>
      <w:r w:rsidRPr="00492FE7">
        <w:rPr>
          <w:bCs/>
        </w:rPr>
        <w:t> Réunion du Comité permanent</w:t>
      </w:r>
    </w:p>
    <w:p w14:paraId="298CDD9F" w14:textId="77777777" w:rsidR="00B77484" w:rsidRPr="00A30E3F" w:rsidRDefault="00B77484" w:rsidP="00B77484">
      <w:pPr>
        <w:pBdr>
          <w:top w:val="single" w:sz="12" w:space="0" w:color="auto" w:shadow="1"/>
          <w:left w:val="single" w:sz="12" w:space="4" w:color="auto" w:shadow="1"/>
          <w:bottom w:val="single" w:sz="12" w:space="1" w:color="auto" w:shadow="1"/>
          <w:right w:val="single" w:sz="12" w:space="7" w:color="auto" w:shadow="1"/>
        </w:pBdr>
        <w:ind w:right="4490"/>
        <w:rPr>
          <w:bCs/>
          <w:sz w:val="24"/>
          <w:szCs w:val="24"/>
        </w:rPr>
      </w:pPr>
      <w:r w:rsidRPr="00492FE7">
        <w:rPr>
          <w:bCs/>
        </w:rPr>
        <w:t>Gland, Suisse, 3 au 7 juin 2024</w:t>
      </w:r>
    </w:p>
    <w:p w14:paraId="73689397" w14:textId="77777777" w:rsidR="00DF2386" w:rsidRPr="00011BB4" w:rsidRDefault="00DF2386" w:rsidP="00014168">
      <w:pPr>
        <w:outlineLvl w:val="0"/>
        <w:rPr>
          <w:b/>
        </w:rPr>
      </w:pPr>
    </w:p>
    <w:p w14:paraId="0DF30D88" w14:textId="77777777" w:rsidR="00DF2386" w:rsidRPr="00011BB4" w:rsidRDefault="0014749C" w:rsidP="0014749C">
      <w:pPr>
        <w:jc w:val="right"/>
        <w:rPr>
          <w:b/>
          <w:sz w:val="28"/>
        </w:rPr>
      </w:pPr>
      <w:r w:rsidRPr="00011BB4">
        <w:rPr>
          <w:b/>
          <w:sz w:val="28"/>
        </w:rPr>
        <w:t>SC63 Doc.13.1</w:t>
      </w:r>
    </w:p>
    <w:p w14:paraId="405ACFAE" w14:textId="77777777" w:rsidR="0014749C" w:rsidRPr="00011BB4" w:rsidRDefault="0014749C" w:rsidP="00014168">
      <w:pPr>
        <w:jc w:val="center"/>
        <w:rPr>
          <w:rFonts w:cs="Arial"/>
          <w:b/>
          <w:sz w:val="28"/>
          <w:szCs w:val="28"/>
        </w:rPr>
      </w:pPr>
    </w:p>
    <w:p w14:paraId="41FF01D4" w14:textId="77777777" w:rsidR="00BE226A" w:rsidRDefault="00BE226A" w:rsidP="00A9552A">
      <w:pPr>
        <w:jc w:val="center"/>
        <w:rPr>
          <w:b/>
          <w:sz w:val="28"/>
        </w:rPr>
      </w:pPr>
      <w:r w:rsidRPr="00BE226A">
        <w:rPr>
          <w:b/>
          <w:sz w:val="28"/>
        </w:rPr>
        <w:t>Rapport du Secrétariat sur la mise en œuvre de la Résolution XIV.3</w:t>
      </w:r>
      <w:r>
        <w:rPr>
          <w:b/>
          <w:sz w:val="28"/>
        </w:rPr>
        <w:t> :</w:t>
      </w:r>
    </w:p>
    <w:p w14:paraId="76DE25AB" w14:textId="439B9063" w:rsidR="00DF2386" w:rsidRPr="00011BB4" w:rsidRDefault="005871DD" w:rsidP="00A9552A">
      <w:pPr>
        <w:jc w:val="center"/>
        <w:rPr>
          <w:rFonts w:cs="Arial"/>
          <w:b/>
          <w:sz w:val="28"/>
          <w:szCs w:val="28"/>
        </w:rPr>
      </w:pPr>
      <w:r w:rsidRPr="00011BB4">
        <w:rPr>
          <w:b/>
          <w:sz w:val="28"/>
        </w:rPr>
        <w:t>Stratégie de communication avec les Parties c</w:t>
      </w:r>
      <w:bookmarkStart w:id="0" w:name="_GoBack"/>
      <w:bookmarkEnd w:id="0"/>
      <w:r w:rsidRPr="00011BB4">
        <w:rPr>
          <w:b/>
          <w:sz w:val="28"/>
        </w:rPr>
        <w:t>ontractantes</w:t>
      </w:r>
    </w:p>
    <w:p w14:paraId="4357FAB2" w14:textId="77777777" w:rsidR="00A9552A" w:rsidRPr="00011BB4" w:rsidRDefault="00A9552A" w:rsidP="00A9552A">
      <w:pPr>
        <w:jc w:val="center"/>
        <w:rPr>
          <w:rFonts w:cs="Arial"/>
          <w:b/>
          <w:sz w:val="28"/>
          <w:szCs w:val="28"/>
        </w:rPr>
      </w:pPr>
    </w:p>
    <w:p w14:paraId="213955F5" w14:textId="77777777" w:rsidR="00DF2386" w:rsidRPr="00011BB4" w:rsidRDefault="00DF2386" w:rsidP="00014168">
      <w:pPr>
        <w:rPr>
          <w:rFonts w:ascii="Garamond" w:hAnsi="Garamond" w:cs="Arial"/>
        </w:rPr>
      </w:pPr>
    </w:p>
    <w:p w14:paraId="2FA362EF" w14:textId="77777777" w:rsidR="000C2489" w:rsidRPr="00011BB4" w:rsidRDefault="000C2489" w:rsidP="00014168">
      <w:pPr>
        <w:autoSpaceDE w:val="0"/>
        <w:autoSpaceDN w:val="0"/>
        <w:adjustRightInd w:val="0"/>
        <w:rPr>
          <w:rFonts w:asciiTheme="minorHAnsi" w:eastAsiaTheme="minorHAnsi" w:hAnsiTheme="minorHAnsi" w:cs="Calibri-Bold"/>
          <w:b/>
          <w:bCs/>
        </w:rPr>
      </w:pPr>
      <w:r w:rsidRPr="00011BB4">
        <w:rPr>
          <w:noProof/>
        </w:rPr>
        <mc:AlternateContent>
          <mc:Choice Requires="wps">
            <w:drawing>
              <wp:inline distT="0" distB="0" distL="0" distR="0" wp14:anchorId="206F05BB" wp14:editId="5E3BAC47">
                <wp:extent cx="5867400" cy="1587260"/>
                <wp:effectExtent l="0" t="0" r="1905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87260"/>
                        </a:xfrm>
                        <a:prstGeom prst="rect">
                          <a:avLst/>
                        </a:prstGeom>
                        <a:solidFill>
                          <a:srgbClr val="FFFFFF"/>
                        </a:solidFill>
                        <a:ln w="9525">
                          <a:solidFill>
                            <a:srgbClr val="000000"/>
                          </a:solidFill>
                          <a:miter lim="800000"/>
                          <a:headEnd/>
                          <a:tailEnd/>
                        </a:ln>
                      </wps:spPr>
                      <wps:txbx>
                        <w:txbxContent>
                          <w:p w14:paraId="758E1425" w14:textId="6D64DA1A" w:rsidR="000C2489" w:rsidRDefault="000C2489" w:rsidP="000C2489">
                            <w:pPr>
                              <w:rPr>
                                <w:b/>
                                <w:bCs/>
                              </w:rPr>
                            </w:pPr>
                            <w:r>
                              <w:rPr>
                                <w:b/>
                              </w:rPr>
                              <w:t xml:space="preserve">Mesure requise : </w:t>
                            </w:r>
                          </w:p>
                          <w:p w14:paraId="66A7C321" w14:textId="77777777" w:rsidR="000C2489" w:rsidRDefault="000C2489" w:rsidP="000C2489">
                            <w:pPr>
                              <w:pStyle w:val="ColorfulList-Accent11"/>
                              <w:ind w:left="0"/>
                            </w:pPr>
                          </w:p>
                          <w:p w14:paraId="4CF5B436" w14:textId="77777777" w:rsidR="000C2489" w:rsidRDefault="008A6505" w:rsidP="00275F13">
                            <w:pPr>
                              <w:pStyle w:val="ColorfulList-Accent11"/>
                              <w:ind w:left="0" w:firstLine="0"/>
                              <w:rPr>
                                <w:rFonts w:cs="Calibri"/>
                              </w:rPr>
                            </w:pPr>
                            <w:r>
                              <w:t>Le Comité permanent est invité à :</w:t>
                            </w:r>
                          </w:p>
                          <w:p w14:paraId="090F52B0" w14:textId="77777777" w:rsidR="000C2489" w:rsidRDefault="000C2489" w:rsidP="000C2489">
                            <w:pPr>
                              <w:pStyle w:val="ColorfulList-Accent11"/>
                              <w:ind w:left="0"/>
                              <w:rPr>
                                <w:rFonts w:cs="Calibri"/>
                              </w:rPr>
                            </w:pPr>
                          </w:p>
                          <w:p w14:paraId="2BE3DFF6" w14:textId="77777777" w:rsidR="004C4827" w:rsidRDefault="004C4827" w:rsidP="004C4827">
                            <w:pPr>
                              <w:pStyle w:val="ColorfulList-Accent11"/>
                              <w:ind w:left="426" w:hanging="426"/>
                              <w:rPr>
                                <w:rFonts w:cs="Calibri"/>
                              </w:rPr>
                            </w:pPr>
                            <w:r>
                              <w:t>i.</w:t>
                            </w:r>
                            <w:r>
                              <w:tab/>
                              <w:t>approuver la proposition de plan de communication avec les Parties contractantes ; et</w:t>
                            </w:r>
                          </w:p>
                          <w:p w14:paraId="6013B8C8" w14:textId="77777777" w:rsidR="004C4827" w:rsidRPr="004C4827" w:rsidRDefault="004C4827" w:rsidP="004C4827">
                            <w:pPr>
                              <w:pStyle w:val="ColorfulList-Accent11"/>
                              <w:ind w:left="426" w:hanging="426"/>
                              <w:rPr>
                                <w:rFonts w:cs="Calibri"/>
                              </w:rPr>
                            </w:pPr>
                          </w:p>
                          <w:p w14:paraId="6FA4B761" w14:textId="682FD43B" w:rsidR="00D930FA" w:rsidRDefault="004C4827" w:rsidP="004C4827">
                            <w:pPr>
                              <w:pStyle w:val="ColorfulList-Accent11"/>
                              <w:ind w:left="426" w:hanging="426"/>
                              <w:rPr>
                                <w:rFonts w:cs="Calibri"/>
                              </w:rPr>
                            </w:pPr>
                            <w:r>
                              <w:t>ii.</w:t>
                            </w:r>
                            <w:r>
                              <w:tab/>
                            </w:r>
                            <w:r w:rsidR="00D8452C">
                              <w:t>p</w:t>
                            </w:r>
                            <w:r>
                              <w:t xml:space="preserve">rendre note de l’application par le Secrétariat des orientations des Nations </w:t>
                            </w:r>
                            <w:r w:rsidR="002D5C60">
                              <w:t>U</w:t>
                            </w:r>
                            <w:r>
                              <w:t>nies pour un langage inclusif dans ses communications.</w:t>
                            </w:r>
                          </w:p>
                          <w:p w14:paraId="1D1C0591" w14:textId="77777777" w:rsidR="0083768D" w:rsidRDefault="00A20D3D" w:rsidP="00DE5579">
                            <w:pPr>
                              <w:pStyle w:val="ColorfulList-Accent11"/>
                              <w:ind w:left="425"/>
                              <w:rPr>
                                <w:rFonts w:cs="Calibri"/>
                              </w:rPr>
                            </w:pPr>
                            <w:r>
                              <w:t xml:space="preserve"> </w:t>
                            </w:r>
                          </w:p>
                        </w:txbxContent>
                      </wps:txbx>
                      <wps:bodyPr rot="0" vert="horz" wrap="square" lIns="91440" tIns="45720" rIns="91440" bIns="45720" anchor="t" anchorCtr="0" upright="1">
                        <a:noAutofit/>
                      </wps:bodyPr>
                    </wps:wsp>
                  </a:graphicData>
                </a:graphic>
              </wp:inline>
            </w:drawing>
          </mc:Choice>
          <mc:Fallback>
            <w:pict>
              <v:shapetype w14:anchorId="206F05BB" id="_x0000_t202" coordsize="21600,21600" o:spt="202" path="m,l,21600r21600,l21600,xe">
                <v:stroke joinstyle="miter"/>
                <v:path gradientshapeok="t" o:connecttype="rect"/>
              </v:shapetype>
              <v:shape id="Text Box 1" o:spid="_x0000_s1026" type="#_x0000_t202" style="width:462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">
                <v:textbox>
                  <w:txbxContent>
                    <w:p w14:paraId="758E1425" w14:textId="6D64DA1A" w:rsidR="000C2489" w:rsidRDefault="000C2489" w:rsidP="000C2489">
                      <w:pPr>
                        <w:rPr>
                          <w:b/>
                          <w:bCs/>
                        </w:rPr>
                      </w:pPr>
                      <w:r>
                        <w:rPr>
                          <w:b/>
                        </w:rPr>
                        <w:t xml:space="preserve">Mesure requise : </w:t>
                      </w:r>
                    </w:p>
                    <w:p w14:paraId="66A7C321" w14:textId="77777777" w:rsidR="000C2489" w:rsidRDefault="000C2489" w:rsidP="000C2489">
                      <w:pPr>
                        <w:pStyle w:val="ColorfulList-Accent11"/>
                        <w:ind w:left="0"/>
                      </w:pPr>
                    </w:p>
                    <w:p w14:paraId="4CF5B436" w14:textId="77777777" w:rsidR="000C2489" w:rsidRDefault="008A6505" w:rsidP="00275F13">
                      <w:pPr>
                        <w:pStyle w:val="ColorfulList-Accent11"/>
                        <w:ind w:left="0" w:firstLine="0"/>
                        <w:rPr>
                          <w:rFonts w:cs="Calibri"/>
                        </w:rPr>
                      </w:pPr>
                      <w:r>
                        <w:t>Le Comité permanent est invité à :</w:t>
                      </w:r>
                    </w:p>
                    <w:p w14:paraId="090F52B0" w14:textId="77777777" w:rsidR="000C2489" w:rsidRDefault="000C2489" w:rsidP="000C2489">
                      <w:pPr>
                        <w:pStyle w:val="ColorfulList-Accent11"/>
                        <w:ind w:left="0"/>
                        <w:rPr>
                          <w:rFonts w:cs="Calibri"/>
                        </w:rPr>
                      </w:pPr>
                    </w:p>
                    <w:p w14:paraId="2BE3DFF6" w14:textId="77777777" w:rsidR="004C4827" w:rsidRDefault="004C4827" w:rsidP="004C4827">
                      <w:pPr>
                        <w:pStyle w:val="ColorfulList-Accent11"/>
                        <w:ind w:left="426" w:hanging="426"/>
                        <w:rPr>
                          <w:rFonts w:cs="Calibri"/>
                        </w:rPr>
                      </w:pPr>
                      <w:r>
                        <w:t>i.</w:t>
                      </w:r>
                      <w:r>
                        <w:tab/>
                        <w:t>approuver la proposition de plan de communication avec les Parties contractantes ; et</w:t>
                      </w:r>
                    </w:p>
                    <w:p w14:paraId="6013B8C8" w14:textId="77777777" w:rsidR="004C4827" w:rsidRPr="004C4827" w:rsidRDefault="004C4827" w:rsidP="004C4827">
                      <w:pPr>
                        <w:pStyle w:val="ColorfulList-Accent11"/>
                        <w:ind w:left="426" w:hanging="426"/>
                        <w:rPr>
                          <w:rFonts w:cs="Calibri"/>
                        </w:rPr>
                      </w:pPr>
                    </w:p>
                    <w:p w14:paraId="6FA4B761" w14:textId="682FD43B" w:rsidR="00D930FA" w:rsidRDefault="004C4827" w:rsidP="004C4827">
                      <w:pPr>
                        <w:pStyle w:val="ColorfulList-Accent11"/>
                        <w:ind w:left="426" w:hanging="426"/>
                        <w:rPr>
                          <w:rFonts w:cs="Calibri"/>
                        </w:rPr>
                      </w:pPr>
                      <w:r>
                        <w:t>ii.</w:t>
                      </w:r>
                      <w:r>
                        <w:tab/>
                      </w:r>
                      <w:r w:rsidR="00D8452C">
                        <w:t>p</w:t>
                      </w:r>
                      <w:r>
                        <w:t xml:space="preserve">rendre note de l’application par le Secrétariat des orientations des Nations </w:t>
                      </w:r>
                      <w:r w:rsidR="002D5C60">
                        <w:t>U</w:t>
                      </w:r>
                      <w:r>
                        <w:t>nies pour un langage inclusif dans ses communications.</w:t>
                      </w:r>
                    </w:p>
                    <w:p w14:paraId="1D1C0591" w14:textId="77777777" w:rsidR="0083768D" w:rsidRDefault="00A20D3D" w:rsidP="00DE5579">
                      <w:pPr>
                        <w:pStyle w:val="ColorfulList-Accent11"/>
                        <w:ind w:left="425"/>
                        <w:rPr>
                          <w:rFonts w:cs="Calibri"/>
                        </w:rPr>
                      </w:pPr>
                      <w:r>
                        <w:t xml:space="preserve"> </w:t>
                      </w:r>
                    </w:p>
                  </w:txbxContent>
                </v:textbox>
                <w10:anchorlock/>
              </v:shape>
            </w:pict>
          </mc:Fallback>
        </mc:AlternateContent>
      </w:r>
    </w:p>
    <w:p w14:paraId="2A1736E1" w14:textId="77777777" w:rsidR="009E0AE8" w:rsidRPr="00011BB4" w:rsidRDefault="009E0AE8" w:rsidP="006A2401">
      <w:pPr>
        <w:rPr>
          <w:rFonts w:cs="Arial"/>
          <w:b/>
        </w:rPr>
      </w:pPr>
    </w:p>
    <w:p w14:paraId="57A11739" w14:textId="77777777" w:rsidR="00370C3C" w:rsidRPr="00011BB4" w:rsidRDefault="00370C3C" w:rsidP="009C5199">
      <w:pPr>
        <w:rPr>
          <w:rFonts w:cs="Arial"/>
          <w:b/>
        </w:rPr>
      </w:pPr>
    </w:p>
    <w:p w14:paraId="5A04DC78" w14:textId="77777777" w:rsidR="000C2489" w:rsidRPr="00011BB4" w:rsidRDefault="004D1CCA" w:rsidP="0007175F">
      <w:pPr>
        <w:rPr>
          <w:rFonts w:cs="Arial"/>
          <w:b/>
        </w:rPr>
      </w:pPr>
      <w:r w:rsidRPr="00011BB4">
        <w:rPr>
          <w:b/>
        </w:rPr>
        <w:t>Contexte et introduction</w:t>
      </w:r>
    </w:p>
    <w:p w14:paraId="078ABD9D" w14:textId="77777777" w:rsidR="004B6C84" w:rsidRPr="00011BB4" w:rsidRDefault="004B6C84" w:rsidP="009C5199">
      <w:pPr>
        <w:rPr>
          <w:rFonts w:ascii="Garamond" w:hAnsi="Garamond" w:cs="Arial"/>
        </w:rPr>
      </w:pPr>
    </w:p>
    <w:p w14:paraId="7098F797" w14:textId="7B4DC44B" w:rsidR="00A240F0" w:rsidRPr="00011BB4" w:rsidRDefault="004C4827" w:rsidP="004C4827">
      <w:pPr>
        <w:ind w:left="426" w:hanging="426"/>
        <w:rPr>
          <w:rFonts w:asciiTheme="minorHAnsi" w:eastAsia="Times New Roman" w:hAnsiTheme="minorHAnsi" w:cstheme="minorBidi"/>
          <w:i/>
        </w:rPr>
      </w:pPr>
      <w:r w:rsidRPr="00011BB4">
        <w:t>1.</w:t>
      </w:r>
      <w:r w:rsidRPr="00011BB4">
        <w:tab/>
      </w:r>
      <w:r w:rsidR="00D77339" w:rsidRPr="00D77339">
        <w:t>À</w:t>
      </w:r>
      <w:r w:rsidRPr="00011BB4">
        <w:t xml:space="preserve"> la 14</w:t>
      </w:r>
      <w:r w:rsidR="00D77339" w:rsidRPr="00D77339">
        <w:rPr>
          <w:vertAlign w:val="superscript"/>
        </w:rPr>
        <w:t>e</w:t>
      </w:r>
      <w:r w:rsidRPr="00011BB4">
        <w:t xml:space="preserve"> </w:t>
      </w:r>
      <w:r w:rsidR="00116F63">
        <w:t>S</w:t>
      </w:r>
      <w:r w:rsidRPr="00011BB4">
        <w:t>ession de la Conférence des Parties contractantes (COP14) en 2022, les Parties ont adopté la Résolution XIV.3 qui, au paragraphe 11, « </w:t>
      </w:r>
      <w:r w:rsidRPr="00011BB4">
        <w:rPr>
          <w:i/>
        </w:rPr>
        <w:t xml:space="preserve">CHARGE </w:t>
      </w:r>
      <w:r w:rsidRPr="00011BB4">
        <w:rPr>
          <w:rFonts w:asciiTheme="minorHAnsi" w:hAnsiTheme="minorHAnsi"/>
          <w:i/>
        </w:rPr>
        <w:t>le Secrétariat d’améliorer son approche en matière de communication avec les Parties contractantes, y compris en formulant des recommandations et en fournissant une évaluation des coûts qui y seraient associés,</w:t>
      </w:r>
      <w:r w:rsidRPr="00011BB4">
        <w:rPr>
          <w:i/>
        </w:rPr>
        <w:t xml:space="preserve"> </w:t>
      </w:r>
      <w:r w:rsidRPr="00011BB4">
        <w:rPr>
          <w:rFonts w:asciiTheme="minorHAnsi" w:hAnsiTheme="minorHAnsi"/>
          <w:i/>
        </w:rPr>
        <w:t>de continuer à améliorer les outils de renforcement des capacités tels que les ateliers virtuels et les matériels de formation, dans le but de renforcer l’appui aux Parties contractantes ; et de soumettre une stratégie de communication avec les Parties, actualisée, pour examen à la 63</w:t>
      </w:r>
      <w:r w:rsidR="00151986" w:rsidRPr="00151986">
        <w:rPr>
          <w:rFonts w:asciiTheme="minorHAnsi" w:hAnsiTheme="minorHAnsi"/>
          <w:i/>
          <w:vertAlign w:val="superscript"/>
        </w:rPr>
        <w:t>e</w:t>
      </w:r>
      <w:r w:rsidRPr="00011BB4">
        <w:rPr>
          <w:rFonts w:asciiTheme="minorHAnsi" w:hAnsiTheme="minorHAnsi"/>
          <w:i/>
        </w:rPr>
        <w:t xml:space="preserve"> Réunion du Comité permanent. »</w:t>
      </w:r>
    </w:p>
    <w:p w14:paraId="375F479A" w14:textId="77777777" w:rsidR="00C224A7" w:rsidRPr="00011BB4" w:rsidRDefault="00C224A7" w:rsidP="00C224A7">
      <w:pPr>
        <w:pStyle w:val="ListParagraph"/>
        <w:ind w:left="780" w:firstLine="0"/>
        <w:rPr>
          <w:rFonts w:asciiTheme="minorHAnsi" w:eastAsia="Times New Roman" w:hAnsiTheme="minorHAnsi" w:cstheme="minorBidi"/>
          <w:i/>
        </w:rPr>
      </w:pPr>
    </w:p>
    <w:p w14:paraId="5D4AC093" w14:textId="77777777" w:rsidR="00C224A7" w:rsidRPr="00011BB4" w:rsidRDefault="00605D48" w:rsidP="00C224A7">
      <w:pPr>
        <w:rPr>
          <w:rFonts w:cs="Arial"/>
          <w:b/>
        </w:rPr>
      </w:pPr>
      <w:r w:rsidRPr="00011BB4">
        <w:rPr>
          <w:b/>
        </w:rPr>
        <w:t>Plan pour une meilleure communication</w:t>
      </w:r>
    </w:p>
    <w:p w14:paraId="17CABB3F" w14:textId="77777777" w:rsidR="001A2D10" w:rsidRPr="00011BB4" w:rsidRDefault="001A2D10" w:rsidP="00C224A7">
      <w:pPr>
        <w:ind w:left="0" w:firstLine="0"/>
        <w:rPr>
          <w:rFonts w:cs="Arial"/>
        </w:rPr>
      </w:pPr>
    </w:p>
    <w:p w14:paraId="577E0C51" w14:textId="0DEDD8A4" w:rsidR="00C224A7" w:rsidRPr="00011BB4" w:rsidRDefault="004C4827" w:rsidP="004C4827">
      <w:pPr>
        <w:ind w:left="426" w:hanging="426"/>
      </w:pPr>
      <w:r w:rsidRPr="00011BB4">
        <w:t>2.</w:t>
      </w:r>
      <w:r w:rsidRPr="00011BB4">
        <w:tab/>
        <w:t xml:space="preserve">Conformément à ces instructions, le Secrétariat a élaboré un plan figurant </w:t>
      </w:r>
      <w:r w:rsidR="00133384">
        <w:t>à l’</w:t>
      </w:r>
      <w:r w:rsidRPr="00011BB4">
        <w:t xml:space="preserve">annexe 1 </w:t>
      </w:r>
      <w:r w:rsidR="00133384">
        <w:t>du</w:t>
      </w:r>
      <w:r w:rsidRPr="00011BB4">
        <w:t xml:space="preserve"> présent document pour l’amélioration de son approche en matière de communication avec les Parties contractantes, et qui pourra être mis en œuvre pendant cette période triennale. Les mesures et activités énoncées dans ce plan sont réparties en trois catégories : 1) Partage d'informations ; 2) Communications officielles et gestion des réunions virtuelles ; et 3) Renforcement des capacités</w:t>
      </w:r>
      <w:r w:rsidR="00D8452C">
        <w:t>.</w:t>
      </w:r>
      <w:r w:rsidRPr="00011BB4">
        <w:t xml:space="preserve"> Il convient de noter que ce plan peut être mis en œuvre à l’aide des ressources actuelles disponibles et ne nécessite aucun investissement supplémentaire.</w:t>
      </w:r>
    </w:p>
    <w:p w14:paraId="19AB749E" w14:textId="77777777" w:rsidR="009E0C1F" w:rsidRPr="00011BB4" w:rsidRDefault="009E0C1F" w:rsidP="009E0C1F"/>
    <w:p w14:paraId="61A5882B" w14:textId="77777777" w:rsidR="004C4827" w:rsidRPr="00011BB4" w:rsidRDefault="009E0C1F" w:rsidP="004C4827">
      <w:pPr>
        <w:ind w:left="0" w:firstLine="0"/>
        <w:rPr>
          <w:i/>
        </w:rPr>
      </w:pPr>
      <w:r w:rsidRPr="00011BB4">
        <w:rPr>
          <w:i/>
        </w:rPr>
        <w:t>Partage d'informations</w:t>
      </w:r>
    </w:p>
    <w:p w14:paraId="2665D15C" w14:textId="77777777" w:rsidR="004C4827" w:rsidRPr="00011BB4" w:rsidRDefault="004C4827" w:rsidP="004C4827">
      <w:pPr>
        <w:ind w:left="426"/>
        <w:rPr>
          <w:u w:val="single"/>
        </w:rPr>
      </w:pPr>
    </w:p>
    <w:p w14:paraId="2B1D73F1" w14:textId="789CD30E" w:rsidR="009E0C1F" w:rsidRPr="00011BB4" w:rsidRDefault="004C4827" w:rsidP="004C4827">
      <w:pPr>
        <w:ind w:left="426"/>
      </w:pPr>
      <w:r w:rsidRPr="00011BB4">
        <w:t>3.</w:t>
      </w:r>
      <w:r w:rsidRPr="00011BB4">
        <w:tab/>
        <w:t>Les Parties contractantes ont indiqué avoir besoin d’un meilleur partage d'informations entre le Secrétariat et les Parties contractantes. Les entretiens et sondages réalisés en ligne dans le cadre des travaux du Groupe de travail sur l’efficacité pendant la période triennale 2018-2022 ont révélé le « sentiment d'un manque de communication entre les COP »</w:t>
      </w:r>
      <w:r w:rsidR="00E03864">
        <w:t xml:space="preserve"> qui diminue </w:t>
      </w:r>
      <w:r w:rsidRPr="00011BB4">
        <w:t xml:space="preserve">la </w:t>
      </w:r>
      <w:r w:rsidRPr="00011BB4">
        <w:lastRenderedPageBreak/>
        <w:t>capacité des Parties contractantes à participer efficacement de même qu’à prendre des décisions.</w:t>
      </w:r>
    </w:p>
    <w:p w14:paraId="23F59CE6" w14:textId="77777777" w:rsidR="009B2CAC" w:rsidRPr="00011BB4" w:rsidRDefault="009B2CAC" w:rsidP="009E0C1F">
      <w:pPr>
        <w:ind w:left="1865"/>
      </w:pPr>
    </w:p>
    <w:p w14:paraId="2090EDD0" w14:textId="0D739D8E" w:rsidR="009B2CAC" w:rsidRPr="00011BB4" w:rsidRDefault="004C4827" w:rsidP="004C4827">
      <w:pPr>
        <w:ind w:left="426"/>
      </w:pPr>
      <w:r w:rsidRPr="00011BB4">
        <w:t>4.</w:t>
      </w:r>
      <w:r w:rsidRPr="00011BB4">
        <w:tab/>
        <w:t xml:space="preserve">Depuis la COP14, le Secrétariat a entrepris un certain nombre d’actions pour améliorer le partage d’informations entre le Secrétariat et les Parties contractantes, y compris la refonte de son site internet </w:t>
      </w:r>
      <w:r w:rsidR="008F5991">
        <w:t>pour une meilleure facilité d’accès</w:t>
      </w:r>
      <w:r w:rsidRPr="00011BB4">
        <w:t xml:space="preserve"> aux informations, l’augmentation de la fréquence des actualités publiées sur le site internet, une lettre d'information ainsi que des messages réguliers de la part de la Secrétaire générale pour informer les Parties contractantes de ses activités.</w:t>
      </w:r>
    </w:p>
    <w:p w14:paraId="72FFF843" w14:textId="77777777" w:rsidR="004C4827" w:rsidRPr="00011BB4" w:rsidRDefault="004C4827" w:rsidP="009E0C1F">
      <w:pPr>
        <w:ind w:left="1865"/>
        <w:rPr>
          <w:u w:val="single"/>
        </w:rPr>
      </w:pPr>
    </w:p>
    <w:p w14:paraId="60E408EA" w14:textId="77777777" w:rsidR="004C4827" w:rsidRPr="00011BB4" w:rsidRDefault="00BF45A4" w:rsidP="004C4827">
      <w:pPr>
        <w:ind w:left="0" w:firstLine="0"/>
        <w:rPr>
          <w:i/>
        </w:rPr>
      </w:pPr>
      <w:r w:rsidRPr="00011BB4">
        <w:rPr>
          <w:i/>
        </w:rPr>
        <w:t>Communications officielles et gestion des réunions virtuelles</w:t>
      </w:r>
    </w:p>
    <w:p w14:paraId="2736EC79" w14:textId="77777777" w:rsidR="004C4827" w:rsidRPr="00011BB4" w:rsidRDefault="004C4827" w:rsidP="009E0C1F">
      <w:pPr>
        <w:ind w:left="1865"/>
        <w:rPr>
          <w:u w:val="single"/>
        </w:rPr>
      </w:pPr>
    </w:p>
    <w:p w14:paraId="011AB447" w14:textId="51DD8442" w:rsidR="00BF45A4" w:rsidRPr="00011BB4" w:rsidRDefault="004C4827" w:rsidP="004C4827">
      <w:pPr>
        <w:ind w:left="426"/>
      </w:pPr>
      <w:r w:rsidRPr="00011BB4">
        <w:t>5.</w:t>
      </w:r>
      <w:r w:rsidRPr="00011BB4">
        <w:tab/>
      </w:r>
      <w:r w:rsidR="00EB7A12">
        <w:t>En vue</w:t>
      </w:r>
      <w:r w:rsidRPr="00011BB4">
        <w:t xml:space="preserve"> d’amélior</w:t>
      </w:r>
      <w:r w:rsidR="00EB7A12">
        <w:t>er</w:t>
      </w:r>
      <w:r w:rsidRPr="00011BB4">
        <w:t xml:space="preserve"> sa communication avec les Parties, le Secrétariat a mis en œuvre plusieurs </w:t>
      </w:r>
      <w:r w:rsidR="00C03869">
        <w:t>mesures</w:t>
      </w:r>
      <w:r w:rsidRPr="00011BB4">
        <w:t xml:space="preserve"> </w:t>
      </w:r>
      <w:r w:rsidR="00867FD2">
        <w:t>axées sur les</w:t>
      </w:r>
      <w:r w:rsidRPr="00011BB4">
        <w:t xml:space="preserve"> processus </w:t>
      </w:r>
      <w:r w:rsidR="0058117E">
        <w:t>visant à</w:t>
      </w:r>
      <w:r w:rsidRPr="00011BB4">
        <w:t xml:space="preserve"> </w:t>
      </w:r>
      <w:r w:rsidR="0058117E">
        <w:t>renforcer la</w:t>
      </w:r>
      <w:r w:rsidRPr="00011BB4">
        <w:t xml:space="preserve"> cohérence, la clarté et l’accessibilité des communications officielles. Un mode opératoire normalisé (MON) a été mis en place en interne pour orienter la préparation et la diffusion des communications officielles auprès des Parties.</w:t>
      </w:r>
    </w:p>
    <w:p w14:paraId="7882C4DB" w14:textId="77777777" w:rsidR="001434D2" w:rsidRPr="00011BB4" w:rsidRDefault="001434D2" w:rsidP="004C4827">
      <w:pPr>
        <w:ind w:left="426"/>
      </w:pPr>
    </w:p>
    <w:p w14:paraId="4BC7072F" w14:textId="44314EDE" w:rsidR="00605D48" w:rsidRPr="00011BB4" w:rsidRDefault="004C4827" w:rsidP="004C4827">
      <w:pPr>
        <w:ind w:left="426"/>
        <w:rPr>
          <w:i/>
        </w:rPr>
      </w:pPr>
      <w:r w:rsidRPr="00011BB4">
        <w:t>6.</w:t>
      </w:r>
      <w:r w:rsidRPr="00011BB4">
        <w:tab/>
        <w:t xml:space="preserve">Le Secrétariat a en outre </w:t>
      </w:r>
      <w:r w:rsidR="000D6329">
        <w:t>mis au point une procédure</w:t>
      </w:r>
      <w:r w:rsidRPr="00011BB4">
        <w:t xml:space="preserve"> ainsi qu'un MON pour l'organisation et la gestion des réunions virtuelles. </w:t>
      </w:r>
      <w:r w:rsidR="002C4F88">
        <w:t>Privilégiant la plateforme Zoom, le</w:t>
      </w:r>
      <w:r w:rsidRPr="00011BB4">
        <w:t xml:space="preserve"> Secrétariat a instauré des pratiques pour les invitations et les rappels de réunion ainsi que </w:t>
      </w:r>
      <w:r w:rsidR="00315CC2">
        <w:t xml:space="preserve">pour </w:t>
      </w:r>
      <w:r w:rsidRPr="00011BB4">
        <w:t>l</w:t>
      </w:r>
      <w:r w:rsidR="00E336CB">
        <w:t xml:space="preserve">’uniformisation </w:t>
      </w:r>
      <w:r w:rsidRPr="00011BB4">
        <w:t xml:space="preserve">des </w:t>
      </w:r>
      <w:r w:rsidR="007814B0">
        <w:t>noms</w:t>
      </w:r>
      <w:r w:rsidR="00315CC2">
        <w:t xml:space="preserve"> des</w:t>
      </w:r>
      <w:r w:rsidRPr="00011BB4">
        <w:t xml:space="preserve"> participants et l’utilisation des différentes fonctionnalités de Zoom </w:t>
      </w:r>
      <w:r w:rsidR="00315CC2">
        <w:t xml:space="preserve">(p. ex. </w:t>
      </w:r>
      <w:r w:rsidRPr="00011BB4">
        <w:t>la salle d’attente et l’inscription aux réunions</w:t>
      </w:r>
      <w:r w:rsidR="00315CC2">
        <w:t>)</w:t>
      </w:r>
      <w:r w:rsidRPr="00011BB4">
        <w:t>.</w:t>
      </w:r>
    </w:p>
    <w:p w14:paraId="2D6B8498" w14:textId="77777777" w:rsidR="00052D33" w:rsidRPr="00011BB4" w:rsidRDefault="00052D33" w:rsidP="004C4827">
      <w:pPr>
        <w:ind w:left="426"/>
        <w:rPr>
          <w:i/>
        </w:rPr>
      </w:pPr>
    </w:p>
    <w:p w14:paraId="10CA91FD" w14:textId="77777777" w:rsidR="004C4827" w:rsidRPr="00011BB4" w:rsidRDefault="00605D48" w:rsidP="004C4827">
      <w:pPr>
        <w:ind w:left="426"/>
        <w:rPr>
          <w:i/>
        </w:rPr>
      </w:pPr>
      <w:r w:rsidRPr="00011BB4">
        <w:rPr>
          <w:i/>
        </w:rPr>
        <w:t>Renforcement des capacités</w:t>
      </w:r>
    </w:p>
    <w:p w14:paraId="464F576C" w14:textId="77777777" w:rsidR="004C4827" w:rsidRPr="00011BB4" w:rsidRDefault="004C4827" w:rsidP="004C4827">
      <w:pPr>
        <w:ind w:left="426"/>
        <w:rPr>
          <w:bCs/>
        </w:rPr>
      </w:pPr>
    </w:p>
    <w:p w14:paraId="6CD9B322" w14:textId="3359CB3B" w:rsidR="00C224A7" w:rsidRPr="00011BB4" w:rsidRDefault="004C4827" w:rsidP="004C4827">
      <w:pPr>
        <w:ind w:left="426"/>
        <w:rPr>
          <w:i/>
        </w:rPr>
      </w:pPr>
      <w:r w:rsidRPr="00011BB4">
        <w:t>7.</w:t>
      </w:r>
      <w:r w:rsidRPr="00011BB4">
        <w:tab/>
        <w:t>Les activités de renforcement des capacités figurant dans le plan de communication répondent aux besoins des Parties contractantes identifiés au travers des résolutions et demandes envoyées au Secrétariat concernant certaines activités spécifiques de renforcement des capacités.</w:t>
      </w:r>
    </w:p>
    <w:p w14:paraId="76BA0494" w14:textId="77777777" w:rsidR="00F929B6" w:rsidRPr="00011BB4" w:rsidRDefault="00F929B6" w:rsidP="005871DD">
      <w:pPr>
        <w:contextualSpacing/>
        <w:rPr>
          <w:rFonts w:cstheme="minorHAnsi"/>
        </w:rPr>
      </w:pPr>
    </w:p>
    <w:p w14:paraId="594E8AE4" w14:textId="1C525B9F" w:rsidR="00F929B6" w:rsidRPr="00011BB4" w:rsidRDefault="004C4827" w:rsidP="005871DD">
      <w:pPr>
        <w:contextualSpacing/>
        <w:rPr>
          <w:rFonts w:cstheme="minorHAnsi"/>
        </w:rPr>
      </w:pPr>
      <w:r w:rsidRPr="00011BB4">
        <w:t xml:space="preserve">8. </w:t>
      </w:r>
      <w:r w:rsidRPr="00011BB4">
        <w:tab/>
        <w:t xml:space="preserve">Le Secrétariat estime que les activités de communication </w:t>
      </w:r>
      <w:r w:rsidR="0038252A">
        <w:t>énoncées</w:t>
      </w:r>
      <w:r w:rsidRPr="00011BB4">
        <w:t xml:space="preserve"> dans le plan de communication permettent de répondre </w:t>
      </w:r>
      <w:r w:rsidR="00985016">
        <w:t xml:space="preserve">en grande partie </w:t>
      </w:r>
      <w:r w:rsidRPr="00011BB4">
        <w:t xml:space="preserve">aux inquiétudes </w:t>
      </w:r>
      <w:r w:rsidR="00A44BF5">
        <w:t>soulevées</w:t>
      </w:r>
      <w:r w:rsidRPr="00011BB4">
        <w:t xml:space="preserve"> par le Groupe de travail sur l’efficacité, et </w:t>
      </w:r>
      <w:r w:rsidR="00886DAE">
        <w:t xml:space="preserve">se réjouit de </w:t>
      </w:r>
      <w:r w:rsidRPr="00011BB4">
        <w:t xml:space="preserve">l’approbation </w:t>
      </w:r>
      <w:r w:rsidR="00886DAE">
        <w:t>de ce plan par le Comité permanent ainsi que</w:t>
      </w:r>
      <w:r w:rsidRPr="00011BB4">
        <w:t xml:space="preserve"> </w:t>
      </w:r>
      <w:r w:rsidR="00886DAE">
        <w:t>des</w:t>
      </w:r>
      <w:r w:rsidRPr="00011BB4">
        <w:t xml:space="preserve"> commentaires </w:t>
      </w:r>
      <w:r w:rsidR="00886DAE">
        <w:t>de ce</w:t>
      </w:r>
      <w:r w:rsidRPr="00011BB4">
        <w:t xml:space="preserve"> </w:t>
      </w:r>
      <w:r w:rsidR="00886DAE">
        <w:t xml:space="preserve">dernier </w:t>
      </w:r>
      <w:r w:rsidR="0082143C">
        <w:t xml:space="preserve">sur </w:t>
      </w:r>
      <w:r w:rsidRPr="00011BB4">
        <w:t xml:space="preserve">la façon dont </w:t>
      </w:r>
      <w:r w:rsidR="00677083">
        <w:t>la communication peut encore être améliorée.</w:t>
      </w:r>
    </w:p>
    <w:p w14:paraId="353320AD" w14:textId="77777777" w:rsidR="00A65837" w:rsidRPr="00011BB4" w:rsidRDefault="00A65837" w:rsidP="002B72AC">
      <w:pPr>
        <w:ind w:left="0" w:firstLine="0"/>
      </w:pPr>
    </w:p>
    <w:p w14:paraId="05794A25" w14:textId="7D1A9615" w:rsidR="00A65837" w:rsidRPr="00011BB4" w:rsidRDefault="004C4827" w:rsidP="00F929B6">
      <w:r w:rsidRPr="00011BB4">
        <w:t>9.</w:t>
      </w:r>
      <w:r w:rsidRPr="00011BB4">
        <w:tab/>
        <w:t xml:space="preserve">Le Secrétariat s’assurera que ses communications avec les Parties contractantes </w:t>
      </w:r>
      <w:r w:rsidR="00E43359">
        <w:t>et</w:t>
      </w:r>
      <w:r w:rsidRPr="00011BB4">
        <w:t xml:space="preserve"> </w:t>
      </w:r>
      <w:r w:rsidR="00E43359">
        <w:t>tout autre</w:t>
      </w:r>
      <w:r w:rsidRPr="00011BB4">
        <w:t xml:space="preserve"> document écrit dans les trois langues officielles de la Convention </w:t>
      </w:r>
      <w:r w:rsidR="00E43359">
        <w:t>emploient</w:t>
      </w:r>
      <w:r w:rsidRPr="00011BB4">
        <w:t xml:space="preserve"> un langage inclusif, conformément aux orientations des Nations Unies.</w:t>
      </w:r>
      <w:r w:rsidR="00CF10DD" w:rsidRPr="00011BB4">
        <w:rPr>
          <w:rStyle w:val="FootnoteReference"/>
        </w:rPr>
        <w:footnoteReference w:id="2"/>
      </w:r>
    </w:p>
    <w:p w14:paraId="191E10E3" w14:textId="77777777" w:rsidR="00493991" w:rsidRPr="00011BB4" w:rsidRDefault="00493991" w:rsidP="009C5199">
      <w:pPr>
        <w:pStyle w:val="NoSpacing"/>
      </w:pPr>
    </w:p>
    <w:p w14:paraId="317A84B8" w14:textId="77777777" w:rsidR="00164682" w:rsidRPr="00011BB4" w:rsidRDefault="00164682" w:rsidP="00164682">
      <w:pPr>
        <w:pStyle w:val="NoSpacing"/>
        <w:ind w:left="0" w:firstLine="0"/>
        <w:rPr>
          <w:rFonts w:cs="Arial"/>
          <w:b/>
          <w:sz w:val="24"/>
          <w:szCs w:val="24"/>
        </w:rPr>
      </w:pPr>
      <w:r w:rsidRPr="00011BB4">
        <w:rPr>
          <w:b/>
          <w:sz w:val="24"/>
        </w:rPr>
        <w:t xml:space="preserve"> </w:t>
      </w:r>
    </w:p>
    <w:p w14:paraId="44425FC9" w14:textId="77777777" w:rsidR="002B72AC" w:rsidRPr="00011BB4" w:rsidRDefault="002B72AC">
      <w:pPr>
        <w:rPr>
          <w:rFonts w:cs="Arial"/>
          <w:b/>
          <w:sz w:val="24"/>
          <w:szCs w:val="24"/>
        </w:rPr>
      </w:pPr>
      <w:r w:rsidRPr="00011BB4">
        <w:br w:type="page"/>
      </w:r>
    </w:p>
    <w:p w14:paraId="41616CCC" w14:textId="77777777" w:rsidR="00EC673C" w:rsidRPr="00011BB4" w:rsidRDefault="00EC673C" w:rsidP="00EC673C">
      <w:pPr>
        <w:ind w:left="0" w:firstLine="0"/>
        <w:rPr>
          <w:rFonts w:cs="Arial"/>
          <w:b/>
          <w:sz w:val="24"/>
          <w:szCs w:val="24"/>
        </w:rPr>
      </w:pPr>
      <w:r w:rsidRPr="00011BB4">
        <w:rPr>
          <w:b/>
          <w:sz w:val="24"/>
        </w:rPr>
        <w:lastRenderedPageBreak/>
        <w:t>Annexe 1</w:t>
      </w:r>
    </w:p>
    <w:p w14:paraId="5197B296" w14:textId="32CB97A3" w:rsidR="00BF45A4" w:rsidRPr="00011BB4" w:rsidRDefault="00BF45A4" w:rsidP="00EC673C">
      <w:pPr>
        <w:ind w:left="0" w:firstLine="0"/>
        <w:rPr>
          <w:rFonts w:cs="Arial"/>
          <w:b/>
          <w:sz w:val="24"/>
          <w:szCs w:val="24"/>
        </w:rPr>
      </w:pPr>
      <w:r w:rsidRPr="00011BB4">
        <w:rPr>
          <w:b/>
          <w:sz w:val="24"/>
        </w:rPr>
        <w:t>Plan du Secrétariat pour une meilleure communication avec les Parties contractantes</w:t>
      </w:r>
    </w:p>
    <w:p w14:paraId="43AB1496" w14:textId="77777777" w:rsidR="00605D48" w:rsidRPr="00011BB4" w:rsidRDefault="00605D48" w:rsidP="00EC673C">
      <w:pPr>
        <w:ind w:left="0" w:firstLine="0"/>
        <w:rPr>
          <w:rFonts w:cs="Arial"/>
          <w:b/>
          <w:sz w:val="24"/>
          <w:szCs w:val="24"/>
        </w:rPr>
      </w:pPr>
    </w:p>
    <w:p w14:paraId="15418E25" w14:textId="6D4A62D2" w:rsidR="002B72AC" w:rsidRPr="00011BB4" w:rsidRDefault="002B72AC" w:rsidP="00EC673C">
      <w:pPr>
        <w:ind w:left="0" w:firstLine="0"/>
        <w:rPr>
          <w:rFonts w:cs="Arial"/>
        </w:rPr>
      </w:pPr>
      <w:r w:rsidRPr="00011BB4">
        <w:t xml:space="preserve">Les tableaux ci-dessous </w:t>
      </w:r>
      <w:r w:rsidR="00DD24D8">
        <w:t xml:space="preserve">recensent </w:t>
      </w:r>
      <w:r w:rsidRPr="00011BB4">
        <w:t xml:space="preserve">les </w:t>
      </w:r>
      <w:r w:rsidR="00DD24D8">
        <w:t xml:space="preserve">diverses </w:t>
      </w:r>
      <w:r w:rsidRPr="00011BB4">
        <w:t xml:space="preserve">actions et activités </w:t>
      </w:r>
      <w:r w:rsidR="00DD24D8">
        <w:t>au titre des trois catégories suivantes</w:t>
      </w:r>
      <w:r w:rsidRPr="00011BB4">
        <w:t xml:space="preserve"> : 1) Partage d'informations ; 2) Communications officielles et gestion des réunions virtuelles ; et 3) Renforcement des capacités.</w:t>
      </w:r>
    </w:p>
    <w:p w14:paraId="0EF6D824" w14:textId="77777777" w:rsidR="00605D48" w:rsidRPr="00011BB4" w:rsidRDefault="00605D48" w:rsidP="00EC673C">
      <w:pPr>
        <w:ind w:left="0" w:firstLine="0"/>
        <w:rPr>
          <w:rFonts w:cs="Arial"/>
          <w:b/>
          <w:sz w:val="24"/>
          <w:szCs w:val="24"/>
        </w:rPr>
      </w:pPr>
    </w:p>
    <w:p w14:paraId="2ECEA77C" w14:textId="77777777" w:rsidR="002869E4" w:rsidRPr="00011BB4" w:rsidRDefault="002869E4" w:rsidP="00B44B62">
      <w:pPr>
        <w:ind w:left="0" w:firstLine="0"/>
        <w:rPr>
          <w:bCs/>
          <w:i/>
        </w:rPr>
      </w:pPr>
      <w:r w:rsidRPr="00011BB4">
        <w:rPr>
          <w:i/>
        </w:rPr>
        <w:t>Tableau 1 : Synthèse des mesures pour améliorer le partage d'informations avec les Parties contractantes pendant la période triennale 2023-2025</w:t>
      </w:r>
    </w:p>
    <w:p w14:paraId="48FC01AF" w14:textId="77777777" w:rsidR="00285898" w:rsidRPr="00011BB4" w:rsidRDefault="00285898" w:rsidP="00B44B62">
      <w:pPr>
        <w:ind w:left="0" w:firstLine="0"/>
        <w:rPr>
          <w:bCs/>
          <w:i/>
        </w:rPr>
      </w:pPr>
    </w:p>
    <w:tbl>
      <w:tblPr>
        <w:tblStyle w:val="GridTable1Light-Accent1"/>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559"/>
        <w:gridCol w:w="3119"/>
        <w:gridCol w:w="3260"/>
        <w:gridCol w:w="1276"/>
      </w:tblGrid>
      <w:tr w:rsidR="00EA0132" w:rsidRPr="00011BB4" w14:paraId="74063560" w14:textId="77777777" w:rsidTr="0028589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559" w:type="dxa"/>
            <w:tcBorders>
              <w:bottom w:val="single" w:sz="4" w:space="0" w:color="auto"/>
            </w:tcBorders>
            <w:vAlign w:val="center"/>
          </w:tcPr>
          <w:p w14:paraId="06D974EA" w14:textId="77777777" w:rsidR="00EA0132" w:rsidRPr="00011BB4" w:rsidRDefault="00B44B62" w:rsidP="00B44B62">
            <w:pPr>
              <w:jc w:val="center"/>
              <w:rPr>
                <w:rFonts w:asciiTheme="minorHAnsi" w:hAnsiTheme="minorHAnsi" w:cstheme="minorHAnsi"/>
                <w:b w:val="0"/>
              </w:rPr>
            </w:pPr>
            <w:r w:rsidRPr="00011BB4">
              <w:rPr>
                <w:rFonts w:asciiTheme="minorHAnsi" w:hAnsiTheme="minorHAnsi"/>
              </w:rPr>
              <w:t>Activité</w:t>
            </w:r>
          </w:p>
        </w:tc>
        <w:tc>
          <w:tcPr>
            <w:tcW w:w="3119" w:type="dxa"/>
            <w:tcBorders>
              <w:bottom w:val="single" w:sz="4" w:space="0" w:color="auto"/>
            </w:tcBorders>
            <w:vAlign w:val="center"/>
          </w:tcPr>
          <w:p w14:paraId="5F66DC6B" w14:textId="77777777" w:rsidR="00EA0132" w:rsidRPr="00011BB4" w:rsidRDefault="002869E4"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Objectif</w:t>
            </w:r>
          </w:p>
        </w:tc>
        <w:tc>
          <w:tcPr>
            <w:tcW w:w="3260" w:type="dxa"/>
            <w:tcBorders>
              <w:bottom w:val="single" w:sz="4" w:space="0" w:color="auto"/>
            </w:tcBorders>
            <w:vAlign w:val="center"/>
          </w:tcPr>
          <w:p w14:paraId="0822E38B" w14:textId="77777777" w:rsidR="00EA0132" w:rsidRPr="00011BB4" w:rsidRDefault="00EA013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Format</w:t>
            </w:r>
          </w:p>
        </w:tc>
        <w:tc>
          <w:tcPr>
            <w:tcW w:w="1276" w:type="dxa"/>
            <w:tcBorders>
              <w:bottom w:val="single" w:sz="4" w:space="0" w:color="auto"/>
            </w:tcBorders>
            <w:vAlign w:val="center"/>
          </w:tcPr>
          <w:p w14:paraId="11AA0524" w14:textId="77777777" w:rsidR="00330267" w:rsidRDefault="00EA013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011BB4">
              <w:rPr>
                <w:rFonts w:asciiTheme="minorHAnsi" w:hAnsiTheme="minorHAnsi"/>
              </w:rPr>
              <w:t>Échéance/</w:t>
            </w:r>
          </w:p>
          <w:p w14:paraId="3D8009D6" w14:textId="4CD139FA" w:rsidR="00EA0132" w:rsidRPr="00011BB4" w:rsidRDefault="00EA013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Statut</w:t>
            </w:r>
          </w:p>
        </w:tc>
      </w:tr>
      <w:tr w:rsidR="00EA0132" w:rsidRPr="00011BB4" w14:paraId="4D33B55D" w14:textId="77777777" w:rsidTr="00285898">
        <w:trPr>
          <w:cantSplit/>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tcBorders>
          </w:tcPr>
          <w:p w14:paraId="2D3A8D86" w14:textId="2B9B9396" w:rsidR="00EA0132" w:rsidRPr="00011BB4" w:rsidRDefault="00731E33" w:rsidP="00B44B62">
            <w:pPr>
              <w:rPr>
                <w:rFonts w:asciiTheme="minorHAnsi" w:hAnsiTheme="minorHAnsi" w:cstheme="minorHAnsi"/>
              </w:rPr>
            </w:pPr>
            <w:r w:rsidRPr="00011BB4">
              <w:rPr>
                <w:rFonts w:asciiTheme="minorHAnsi" w:hAnsiTheme="minorHAnsi"/>
              </w:rPr>
              <w:t>Lettre d’information</w:t>
            </w:r>
          </w:p>
        </w:tc>
        <w:tc>
          <w:tcPr>
            <w:tcW w:w="3119" w:type="dxa"/>
            <w:tcBorders>
              <w:top w:val="single" w:sz="4" w:space="0" w:color="auto"/>
            </w:tcBorders>
          </w:tcPr>
          <w:p w14:paraId="3A542C04" w14:textId="77777777" w:rsidR="00EA0132" w:rsidRPr="00011BB4" w:rsidRDefault="00F82AE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Communiquer aux Parties contractantes les informations et actualités pertinentes du Secrétariat en rapport avec les activités et événements récents, les nouvelles zones humides d'importance internationale, l’arrivée d'un nouveau membre du personnel, etc.</w:t>
            </w:r>
          </w:p>
        </w:tc>
        <w:tc>
          <w:tcPr>
            <w:tcW w:w="3260" w:type="dxa"/>
            <w:tcBorders>
              <w:top w:val="single" w:sz="4" w:space="0" w:color="auto"/>
            </w:tcBorders>
          </w:tcPr>
          <w:p w14:paraId="4A29633A" w14:textId="77777777" w:rsidR="00EA0132" w:rsidRPr="00011BB4" w:rsidRDefault="00731E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Lettre d'information électronique envoyée quatre fois par an aux Parties contractantes dans les langues officielles de la Convention.</w:t>
            </w:r>
          </w:p>
        </w:tc>
        <w:tc>
          <w:tcPr>
            <w:tcW w:w="1276" w:type="dxa"/>
            <w:tcBorders>
              <w:top w:val="single" w:sz="4" w:space="0" w:color="auto"/>
            </w:tcBorders>
          </w:tcPr>
          <w:p w14:paraId="30D096BE" w14:textId="77777777" w:rsidR="00EA0132" w:rsidRPr="00011BB4" w:rsidRDefault="00731E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EA0132" w:rsidRPr="00011BB4" w14:paraId="2C52B2F1"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53C18F6B" w14:textId="77777777" w:rsidR="00EA0132" w:rsidRPr="00011BB4" w:rsidRDefault="00731E33" w:rsidP="00B44B62">
            <w:pPr>
              <w:rPr>
                <w:rFonts w:asciiTheme="minorHAnsi" w:hAnsiTheme="minorHAnsi" w:cstheme="minorHAnsi"/>
              </w:rPr>
            </w:pPr>
            <w:r w:rsidRPr="00011BB4">
              <w:rPr>
                <w:rFonts w:asciiTheme="minorHAnsi" w:hAnsiTheme="minorHAnsi"/>
              </w:rPr>
              <w:t xml:space="preserve">Message de la Secrétaire générale </w:t>
            </w:r>
          </w:p>
        </w:tc>
        <w:tc>
          <w:tcPr>
            <w:tcW w:w="3119" w:type="dxa"/>
          </w:tcPr>
          <w:p w14:paraId="43A7E585" w14:textId="77777777" w:rsidR="00EA0132" w:rsidRPr="00011BB4" w:rsidRDefault="00F82AE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011BB4">
              <w:rPr>
                <w:rFonts w:asciiTheme="minorHAnsi" w:hAnsiTheme="minorHAnsi"/>
              </w:rPr>
              <w:t>Informer les Parties contractantes des activités de la Secrétaire générale.</w:t>
            </w:r>
          </w:p>
        </w:tc>
        <w:tc>
          <w:tcPr>
            <w:tcW w:w="3260" w:type="dxa"/>
          </w:tcPr>
          <w:p w14:paraId="1B1CFD81" w14:textId="77777777" w:rsidR="00EA0132" w:rsidRPr="00011BB4" w:rsidRDefault="00B2547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011BB4">
              <w:rPr>
                <w:rFonts w:asciiTheme="minorHAnsi" w:hAnsiTheme="minorHAnsi"/>
              </w:rPr>
              <w:t>Courrier électronique envoyé quatre à six fois par an aux Parties contractantes dans les langues officielles de la Convention.</w:t>
            </w:r>
          </w:p>
        </w:tc>
        <w:tc>
          <w:tcPr>
            <w:tcW w:w="1276" w:type="dxa"/>
          </w:tcPr>
          <w:p w14:paraId="4235FDB4" w14:textId="77777777" w:rsidR="00EA0132" w:rsidRPr="00011BB4" w:rsidRDefault="00731E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2869E4" w:rsidRPr="00011BB4" w14:paraId="70078D1D"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7BA78523" w14:textId="77777777" w:rsidR="002869E4" w:rsidRPr="00011BB4" w:rsidRDefault="002869E4" w:rsidP="00B44B62">
            <w:pPr>
              <w:rPr>
                <w:rFonts w:asciiTheme="minorHAnsi" w:hAnsiTheme="minorHAnsi" w:cstheme="minorHAnsi"/>
              </w:rPr>
            </w:pPr>
            <w:r w:rsidRPr="00011BB4">
              <w:rPr>
                <w:rFonts w:asciiTheme="minorHAnsi" w:hAnsiTheme="minorHAnsi"/>
              </w:rPr>
              <w:t>Refonte et amélioration du site internet</w:t>
            </w:r>
          </w:p>
        </w:tc>
        <w:tc>
          <w:tcPr>
            <w:tcW w:w="3119" w:type="dxa"/>
          </w:tcPr>
          <w:p w14:paraId="64AB9BC1" w14:textId="77777777" w:rsidR="002869E4" w:rsidRPr="00011BB4" w:rsidRDefault="00CC38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Veiller à ce que les informations envoyées à toutes les Parties contractantes soient par la suite disponibles facilement sur le site internet de la Convention</w:t>
            </w:r>
          </w:p>
        </w:tc>
        <w:tc>
          <w:tcPr>
            <w:tcW w:w="3260" w:type="dxa"/>
          </w:tcPr>
          <w:p w14:paraId="268327B0" w14:textId="11E7C4E7" w:rsidR="002869E4" w:rsidRPr="00011BB4" w:rsidRDefault="00F258E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 xml:space="preserve">Publication </w:t>
            </w:r>
            <w:r w:rsidR="00463125">
              <w:rPr>
                <w:rFonts w:asciiTheme="minorHAnsi" w:hAnsiTheme="minorHAnsi"/>
              </w:rPr>
              <w:t>des</w:t>
            </w:r>
            <w:r w:rsidR="00392B24" w:rsidRPr="00011BB4">
              <w:rPr>
                <w:rFonts w:asciiTheme="minorHAnsi" w:hAnsiTheme="minorHAnsi"/>
              </w:rPr>
              <w:t xml:space="preserve"> communications dans la catégorie Notifications ou Nouvelles selon qu’il convient, et mettre en avant les dernières communications.</w:t>
            </w:r>
          </w:p>
        </w:tc>
        <w:tc>
          <w:tcPr>
            <w:tcW w:w="1276" w:type="dxa"/>
          </w:tcPr>
          <w:p w14:paraId="109645FC" w14:textId="77777777" w:rsidR="002869E4" w:rsidRPr="00011BB4" w:rsidRDefault="00392B24"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40309F" w:rsidRPr="00011BB4" w14:paraId="46561A7E"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6CBD970E" w14:textId="77777777" w:rsidR="0040309F" w:rsidRPr="00011BB4" w:rsidRDefault="0040309F" w:rsidP="00B44B62">
            <w:pPr>
              <w:rPr>
                <w:rFonts w:asciiTheme="minorHAnsi" w:hAnsiTheme="minorHAnsi" w:cstheme="minorHAnsi"/>
              </w:rPr>
            </w:pPr>
            <w:r w:rsidRPr="00011BB4">
              <w:rPr>
                <w:rFonts w:asciiTheme="minorHAnsi" w:hAnsiTheme="minorHAnsi"/>
              </w:rPr>
              <w:t>Actualités publiées sur le site</w:t>
            </w:r>
          </w:p>
        </w:tc>
        <w:tc>
          <w:tcPr>
            <w:tcW w:w="3119" w:type="dxa"/>
          </w:tcPr>
          <w:p w14:paraId="4058E84D" w14:textId="16D655C0" w:rsidR="0040309F" w:rsidRPr="00011BB4" w:rsidRDefault="004D4C7A"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Communiquer sur un certain nombre de sujets</w:t>
            </w:r>
            <w:r w:rsidR="00D8452C">
              <w:rPr>
                <w:rFonts w:asciiTheme="minorHAnsi" w:hAnsiTheme="minorHAnsi"/>
              </w:rPr>
              <w:t>,</w:t>
            </w:r>
            <w:r w:rsidRPr="00011BB4">
              <w:rPr>
                <w:rFonts w:asciiTheme="minorHAnsi" w:hAnsiTheme="minorHAnsi"/>
              </w:rPr>
              <w:t xml:space="preserve"> dont les événements, les nouvelles publications et les articles décrivant comment les Parties contractantes mettent en œuvre la Convention.</w:t>
            </w:r>
          </w:p>
        </w:tc>
        <w:tc>
          <w:tcPr>
            <w:tcW w:w="3260" w:type="dxa"/>
          </w:tcPr>
          <w:p w14:paraId="2DD4A153" w14:textId="1A9427B3" w:rsidR="0040309F" w:rsidRPr="00011BB4" w:rsidRDefault="004D4C7A"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Nouvelles publiées toutes les semaines sur la page d’accueil du site de la Convention, dans les trois langues officielles.</w:t>
            </w:r>
          </w:p>
        </w:tc>
        <w:tc>
          <w:tcPr>
            <w:tcW w:w="1276" w:type="dxa"/>
          </w:tcPr>
          <w:p w14:paraId="513DAE57" w14:textId="77777777" w:rsidR="0040309F" w:rsidRPr="00011BB4"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40309F" w:rsidRPr="00011BB4" w14:paraId="571B4E46"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70433A46" w14:textId="77777777" w:rsidR="0040309F" w:rsidRPr="00011BB4" w:rsidRDefault="0040309F" w:rsidP="00B44B62">
            <w:pPr>
              <w:rPr>
                <w:rFonts w:asciiTheme="minorHAnsi" w:hAnsiTheme="minorHAnsi" w:cstheme="minorHAnsi"/>
              </w:rPr>
            </w:pPr>
            <w:r w:rsidRPr="00011BB4">
              <w:rPr>
                <w:rFonts w:asciiTheme="minorHAnsi" w:hAnsiTheme="minorHAnsi"/>
              </w:rPr>
              <w:t>Réseaux sociaux</w:t>
            </w:r>
          </w:p>
        </w:tc>
        <w:tc>
          <w:tcPr>
            <w:tcW w:w="3119" w:type="dxa"/>
          </w:tcPr>
          <w:p w14:paraId="5E1F7BD9" w14:textId="37A46CE2" w:rsidR="0040309F" w:rsidRPr="00011BB4" w:rsidRDefault="7C2D7A10"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Diffuser régulièrement des informations sur les zones humides et mettre en avant les articles d’actualité pour toucher un public plus large, à savoir les Parties contractantes</w:t>
            </w:r>
            <w:r w:rsidR="00D8452C">
              <w:rPr>
                <w:rFonts w:asciiTheme="minorHAnsi" w:hAnsiTheme="minorHAnsi"/>
              </w:rPr>
              <w:t>,</w:t>
            </w:r>
            <w:r w:rsidRPr="00011BB4">
              <w:rPr>
                <w:rFonts w:asciiTheme="minorHAnsi" w:hAnsiTheme="minorHAnsi"/>
              </w:rPr>
              <w:t xml:space="preserve"> mais aussi les utilisateurs des différents réseaux sociaux.</w:t>
            </w:r>
          </w:p>
        </w:tc>
        <w:tc>
          <w:tcPr>
            <w:tcW w:w="3260" w:type="dxa"/>
          </w:tcPr>
          <w:p w14:paraId="78DF2DBD" w14:textId="77777777" w:rsidR="0040309F" w:rsidRPr="00011BB4" w:rsidRDefault="00A26E5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Publications régulières sur les comptes X, Facebook, Instagram et LinkedIn de la Convention. La Secrétaire générale fait des publications sur son compte privé.</w:t>
            </w:r>
          </w:p>
        </w:tc>
        <w:tc>
          <w:tcPr>
            <w:tcW w:w="1276" w:type="dxa"/>
          </w:tcPr>
          <w:p w14:paraId="24EA99CF" w14:textId="77777777" w:rsidR="0040309F" w:rsidRPr="00011BB4"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40309F" w:rsidRPr="00011BB4" w14:paraId="0A76016B"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4D96B67C" w14:textId="77777777" w:rsidR="0040309F" w:rsidRPr="00011BB4" w:rsidRDefault="0040309F" w:rsidP="00B44B62">
            <w:pPr>
              <w:rPr>
                <w:rFonts w:asciiTheme="minorHAnsi" w:hAnsiTheme="minorHAnsi" w:cstheme="minorHAnsi"/>
              </w:rPr>
            </w:pPr>
            <w:r w:rsidRPr="00011BB4">
              <w:rPr>
                <w:rFonts w:asciiTheme="minorHAnsi" w:hAnsiTheme="minorHAnsi"/>
              </w:rPr>
              <w:lastRenderedPageBreak/>
              <w:t>Annonce des nouvelles zones humides d'importance internationale</w:t>
            </w:r>
          </w:p>
        </w:tc>
        <w:tc>
          <w:tcPr>
            <w:tcW w:w="3119" w:type="dxa"/>
          </w:tcPr>
          <w:p w14:paraId="29E391D5" w14:textId="1F4EEE30" w:rsidR="0040309F" w:rsidRPr="00011BB4" w:rsidRDefault="001469EF"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Informer toutes les Parties contractantes des changements effectués sur la Liste des zones humides d'importance internationale, conformément à l’</w:t>
            </w:r>
            <w:r w:rsidR="00B92AF4">
              <w:rPr>
                <w:rFonts w:asciiTheme="minorHAnsi" w:hAnsiTheme="minorHAnsi"/>
              </w:rPr>
              <w:t>A</w:t>
            </w:r>
            <w:r w:rsidRPr="00011BB4">
              <w:rPr>
                <w:rFonts w:asciiTheme="minorHAnsi" w:hAnsiTheme="minorHAnsi"/>
              </w:rPr>
              <w:t>rticle 8.2 de la Convention.</w:t>
            </w:r>
          </w:p>
        </w:tc>
        <w:tc>
          <w:tcPr>
            <w:tcW w:w="3260" w:type="dxa"/>
          </w:tcPr>
          <w:p w14:paraId="1A5E699B" w14:textId="60CBAAED" w:rsidR="0040309F" w:rsidRPr="00011BB4"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 xml:space="preserve">Toutes les additions et extensions relatives aux Sites Ramsar sont annoncées sur le site internet de la Convention à l’onglet Nouvelles dans les trois langues officielles de la Convention. La </w:t>
            </w:r>
            <w:r w:rsidR="00BF2725">
              <w:rPr>
                <w:rFonts w:asciiTheme="minorHAnsi" w:hAnsiTheme="minorHAnsi"/>
              </w:rPr>
              <w:t>L</w:t>
            </w:r>
            <w:r w:rsidRPr="00011BB4">
              <w:rPr>
                <w:rFonts w:asciiTheme="minorHAnsi" w:hAnsiTheme="minorHAnsi"/>
              </w:rPr>
              <w:t>iste de</w:t>
            </w:r>
            <w:r w:rsidR="00AA6440">
              <w:rPr>
                <w:rFonts w:asciiTheme="minorHAnsi" w:hAnsiTheme="minorHAnsi"/>
              </w:rPr>
              <w:t xml:space="preserve"> </w:t>
            </w:r>
            <w:r w:rsidRPr="00011BB4">
              <w:rPr>
                <w:rFonts w:asciiTheme="minorHAnsi" w:hAnsiTheme="minorHAnsi"/>
              </w:rPr>
              <w:t>Ramsar actualisée est également publiée.</w:t>
            </w:r>
          </w:p>
        </w:tc>
        <w:tc>
          <w:tcPr>
            <w:tcW w:w="1276" w:type="dxa"/>
          </w:tcPr>
          <w:p w14:paraId="33060EE4" w14:textId="77777777" w:rsidR="0040309F" w:rsidRPr="00011BB4"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2F33DD" w:rsidRPr="00011BB4" w14:paraId="04E425FF"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6C212F60" w14:textId="77777777" w:rsidR="002F33DD" w:rsidRPr="00011BB4" w:rsidRDefault="002F33DD" w:rsidP="00B44B62">
            <w:pPr>
              <w:rPr>
                <w:rFonts w:asciiTheme="minorHAnsi" w:hAnsiTheme="minorHAnsi" w:cstheme="minorHAnsi"/>
              </w:rPr>
            </w:pPr>
            <w:r w:rsidRPr="00011BB4">
              <w:rPr>
                <w:rFonts w:asciiTheme="minorHAnsi" w:hAnsiTheme="minorHAnsi"/>
              </w:rPr>
              <w:t>Vidéos</w:t>
            </w:r>
          </w:p>
        </w:tc>
        <w:tc>
          <w:tcPr>
            <w:tcW w:w="3119" w:type="dxa"/>
          </w:tcPr>
          <w:p w14:paraId="502356FB" w14:textId="77777777" w:rsidR="002F33DD" w:rsidRPr="00011BB4" w:rsidRDefault="0067066B"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 xml:space="preserve">Diffuser des informations sur les zones humides et leur valeur dans un format facile à assimiler qui sera utilisé par le Secrétariat sur les réseaux sociaux et d’autres canaux ainsi que par les Parties contractantes. </w:t>
            </w:r>
          </w:p>
        </w:tc>
        <w:tc>
          <w:tcPr>
            <w:tcW w:w="3260" w:type="dxa"/>
          </w:tcPr>
          <w:p w14:paraId="76CCC49B" w14:textId="39F1F48A" w:rsidR="002F33DD" w:rsidRPr="00011BB4" w:rsidRDefault="6977CC0F"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Le Secrétariat produit beaucoup de vidéos</w:t>
            </w:r>
            <w:r w:rsidR="00D8452C">
              <w:rPr>
                <w:rFonts w:asciiTheme="minorHAnsi" w:hAnsiTheme="minorHAnsi"/>
              </w:rPr>
              <w:t>,</w:t>
            </w:r>
            <w:r w:rsidRPr="00011BB4">
              <w:rPr>
                <w:rFonts w:asciiTheme="minorHAnsi" w:hAnsiTheme="minorHAnsi"/>
              </w:rPr>
              <w:t xml:space="preserve"> dont des formats courts sur les zones humides pour les réseaux sociaux, des vidéos de la Secrétaire générale à l'occasion des journées internationales et événements d'importance, ainsi que des vidéos pour le renforcement des capacités. Ces vidéos sont disponibles sur la chaîne </w:t>
            </w:r>
            <w:r w:rsidR="00966DB7" w:rsidRPr="00011BB4">
              <w:rPr>
                <w:rFonts w:asciiTheme="minorHAnsi" w:hAnsiTheme="minorHAnsi"/>
              </w:rPr>
              <w:t>YouTube</w:t>
            </w:r>
            <w:r w:rsidRPr="00011BB4">
              <w:rPr>
                <w:rFonts w:asciiTheme="minorHAnsi" w:hAnsiTheme="minorHAnsi"/>
              </w:rPr>
              <w:t xml:space="preserve"> de la Convention.</w:t>
            </w:r>
          </w:p>
        </w:tc>
        <w:tc>
          <w:tcPr>
            <w:tcW w:w="1276" w:type="dxa"/>
          </w:tcPr>
          <w:p w14:paraId="289F5DF4" w14:textId="77777777" w:rsidR="002F33DD" w:rsidRPr="00011BB4"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2F33DD" w:rsidRPr="00011BB4" w14:paraId="4B20E6B7"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3F925EA2" w14:textId="77777777" w:rsidR="002F33DD" w:rsidRPr="00011BB4" w:rsidRDefault="002F33DD" w:rsidP="00B44B62">
            <w:pPr>
              <w:rPr>
                <w:rFonts w:asciiTheme="minorHAnsi" w:hAnsiTheme="minorHAnsi" w:cstheme="minorHAnsi"/>
              </w:rPr>
            </w:pPr>
            <w:r w:rsidRPr="00011BB4">
              <w:rPr>
                <w:rFonts w:asciiTheme="minorHAnsi" w:hAnsiTheme="minorHAnsi"/>
              </w:rPr>
              <w:t>Documents d'information</w:t>
            </w:r>
          </w:p>
        </w:tc>
        <w:tc>
          <w:tcPr>
            <w:tcW w:w="3119" w:type="dxa"/>
          </w:tcPr>
          <w:p w14:paraId="6D455320" w14:textId="77777777" w:rsidR="002F33DD" w:rsidRPr="00011BB4" w:rsidRDefault="00A26E5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 xml:space="preserve">Fournir aux Parties contractantes des informations thématiques pertinentes sur les zones humides. </w:t>
            </w:r>
          </w:p>
        </w:tc>
        <w:tc>
          <w:tcPr>
            <w:tcW w:w="3260" w:type="dxa"/>
          </w:tcPr>
          <w:p w14:paraId="1792F082" w14:textId="23931E2D" w:rsidR="002F33DD" w:rsidRPr="00011BB4" w:rsidRDefault="00D8452C" w:rsidP="6977CC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Diffusion</w:t>
            </w:r>
            <w:r w:rsidR="6977CC0F" w:rsidRPr="00011BB4">
              <w:rPr>
                <w:rFonts w:asciiTheme="minorHAnsi" w:hAnsiTheme="minorHAnsi"/>
              </w:rPr>
              <w:t xml:space="preserve"> et mise en avant des publications</w:t>
            </w:r>
            <w:r>
              <w:rPr>
                <w:rFonts w:asciiTheme="minorHAnsi" w:hAnsiTheme="minorHAnsi"/>
              </w:rPr>
              <w:t>,</w:t>
            </w:r>
            <w:r w:rsidR="6977CC0F" w:rsidRPr="00011BB4">
              <w:rPr>
                <w:rFonts w:asciiTheme="minorHAnsi" w:hAnsiTheme="minorHAnsi"/>
              </w:rPr>
              <w:t xml:space="preserve"> dont les fiches techniques, les brochures et les notes d'information.</w:t>
            </w:r>
          </w:p>
        </w:tc>
        <w:tc>
          <w:tcPr>
            <w:tcW w:w="1276" w:type="dxa"/>
          </w:tcPr>
          <w:p w14:paraId="7B2164B1" w14:textId="5DF96B87" w:rsidR="002F33DD" w:rsidRPr="00011BB4" w:rsidRDefault="00DF0C4E"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 -</w:t>
            </w:r>
            <w:r w:rsidR="00D8452C">
              <w:rPr>
                <w:rFonts w:asciiTheme="minorHAnsi" w:hAnsiTheme="minorHAnsi"/>
              </w:rPr>
              <w:t xml:space="preserve"> </w:t>
            </w:r>
            <w:r w:rsidRPr="00011BB4">
              <w:rPr>
                <w:rFonts w:asciiTheme="minorHAnsi" w:hAnsiTheme="minorHAnsi"/>
              </w:rPr>
              <w:t>à la demande des Parties</w:t>
            </w:r>
          </w:p>
        </w:tc>
      </w:tr>
      <w:tr w:rsidR="002F33DD" w:rsidRPr="00011BB4" w14:paraId="764942EA"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483FE39B" w14:textId="77777777" w:rsidR="002F33DD" w:rsidRPr="00011BB4" w:rsidRDefault="002F33DD" w:rsidP="00B44B62">
            <w:pPr>
              <w:rPr>
                <w:rFonts w:asciiTheme="minorHAnsi" w:hAnsiTheme="minorHAnsi" w:cstheme="minorHAnsi"/>
              </w:rPr>
            </w:pPr>
            <w:r w:rsidRPr="00011BB4">
              <w:rPr>
                <w:rFonts w:asciiTheme="minorHAnsi" w:hAnsiTheme="minorHAnsi"/>
              </w:rPr>
              <w:t xml:space="preserve">Réunions avec les Missions permanentes à Genève </w:t>
            </w:r>
          </w:p>
        </w:tc>
        <w:tc>
          <w:tcPr>
            <w:tcW w:w="3119" w:type="dxa"/>
          </w:tcPr>
          <w:p w14:paraId="560B8514" w14:textId="77777777" w:rsidR="002F33DD" w:rsidRPr="00011BB4" w:rsidRDefault="004D4C7A"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Mieux faire comprendre les travaux de la Convention avec les représentants des missions diplomatiques à Genève afin de renforcer l’engagement et la participation des Parties contractantes.</w:t>
            </w:r>
          </w:p>
        </w:tc>
        <w:tc>
          <w:tcPr>
            <w:tcW w:w="3260" w:type="dxa"/>
          </w:tcPr>
          <w:p w14:paraId="12FD2CF4" w14:textId="4B72FC4B" w:rsidR="002F33DD" w:rsidRPr="00011BB4" w:rsidRDefault="006540D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 xml:space="preserve">Réunions entre la Secrétaire générale et les Conseillers régionaux principaux en présence de représentants des Missions permanentes </w:t>
            </w:r>
            <w:r w:rsidR="005C06A3">
              <w:rPr>
                <w:rFonts w:asciiTheme="minorHAnsi" w:hAnsiTheme="minorHAnsi"/>
              </w:rPr>
              <w:t>à</w:t>
            </w:r>
            <w:r w:rsidRPr="00011BB4">
              <w:rPr>
                <w:rFonts w:asciiTheme="minorHAnsi" w:hAnsiTheme="minorHAnsi"/>
              </w:rPr>
              <w:t xml:space="preserve"> Genève.</w:t>
            </w:r>
          </w:p>
        </w:tc>
        <w:tc>
          <w:tcPr>
            <w:tcW w:w="1276" w:type="dxa"/>
          </w:tcPr>
          <w:p w14:paraId="15B25A92" w14:textId="77777777" w:rsidR="002F33DD" w:rsidRPr="00011BB4" w:rsidRDefault="00DF0C4E"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2F33DD" w:rsidRPr="00011BB4" w14:paraId="0265AC00"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14:paraId="73990DD4" w14:textId="77777777" w:rsidR="002F33DD" w:rsidRPr="00011BB4" w:rsidRDefault="002F33DD" w:rsidP="00B44B62">
            <w:pPr>
              <w:rPr>
                <w:rFonts w:asciiTheme="minorHAnsi" w:hAnsiTheme="minorHAnsi" w:cstheme="minorHAnsi"/>
              </w:rPr>
            </w:pPr>
            <w:r w:rsidRPr="00011BB4">
              <w:rPr>
                <w:rFonts w:asciiTheme="minorHAnsi" w:hAnsiTheme="minorHAnsi"/>
              </w:rPr>
              <w:t>Rapports de la Secrétaire générale auprès du Comité permanent et de la COP</w:t>
            </w:r>
          </w:p>
        </w:tc>
        <w:tc>
          <w:tcPr>
            <w:tcW w:w="3119" w:type="dxa"/>
          </w:tcPr>
          <w:p w14:paraId="51B483E9" w14:textId="564E1F71" w:rsidR="002F33DD" w:rsidRPr="00011BB4" w:rsidRDefault="006540D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Produire un rapport officiel détaillant les activités et accomplissements du Secrétariat pour examen par les organes d</w:t>
            </w:r>
            <w:r w:rsidR="00800A86">
              <w:rPr>
                <w:rFonts w:asciiTheme="minorHAnsi" w:hAnsiTheme="minorHAnsi"/>
              </w:rPr>
              <w:t xml:space="preserve">irecteurs </w:t>
            </w:r>
            <w:r w:rsidRPr="00011BB4">
              <w:rPr>
                <w:rFonts w:asciiTheme="minorHAnsi" w:hAnsiTheme="minorHAnsi"/>
              </w:rPr>
              <w:t>de la Convention.</w:t>
            </w:r>
          </w:p>
        </w:tc>
        <w:tc>
          <w:tcPr>
            <w:tcW w:w="3260" w:type="dxa"/>
          </w:tcPr>
          <w:p w14:paraId="15357244" w14:textId="449F0950" w:rsidR="002F33DD" w:rsidRPr="00011BB4"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La Secrétaire général</w:t>
            </w:r>
            <w:r w:rsidR="00D8452C">
              <w:rPr>
                <w:rFonts w:asciiTheme="minorHAnsi" w:hAnsiTheme="minorHAnsi"/>
              </w:rPr>
              <w:t>e</w:t>
            </w:r>
            <w:r w:rsidRPr="00011BB4">
              <w:rPr>
                <w:rFonts w:asciiTheme="minorHAnsi" w:hAnsiTheme="minorHAnsi"/>
              </w:rPr>
              <w:t xml:space="preserve"> produit un rapport sur les activités et accomplissements du Secrétariat en amont de chaque réunion du Comité permanent et </w:t>
            </w:r>
            <w:r w:rsidR="00570538">
              <w:rPr>
                <w:rFonts w:asciiTheme="minorHAnsi" w:hAnsiTheme="minorHAnsi"/>
              </w:rPr>
              <w:t xml:space="preserve">de </w:t>
            </w:r>
            <w:r w:rsidRPr="00011BB4">
              <w:rPr>
                <w:rFonts w:asciiTheme="minorHAnsi" w:hAnsiTheme="minorHAnsi"/>
              </w:rPr>
              <w:t>chaque session de la COP. Ces rapports sont publiés dans les langues officielles de la Convention et diffusés sur le site internet de la Convention 90 jours avant chaque réunion.</w:t>
            </w:r>
          </w:p>
        </w:tc>
        <w:tc>
          <w:tcPr>
            <w:tcW w:w="1276" w:type="dxa"/>
          </w:tcPr>
          <w:p w14:paraId="3E6D4E67" w14:textId="77777777" w:rsidR="002F33DD" w:rsidRPr="00011BB4"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bl>
    <w:p w14:paraId="118422AB" w14:textId="77777777" w:rsidR="00EA0132" w:rsidRPr="00011BB4" w:rsidRDefault="00EA0132" w:rsidP="00EC673C">
      <w:pPr>
        <w:ind w:left="0" w:firstLine="0"/>
        <w:rPr>
          <w:rFonts w:cs="Arial"/>
          <w:b/>
          <w:sz w:val="24"/>
          <w:szCs w:val="24"/>
        </w:rPr>
      </w:pPr>
    </w:p>
    <w:p w14:paraId="1532A31D" w14:textId="77777777" w:rsidR="00B44B62" w:rsidRPr="00011BB4" w:rsidRDefault="00B44B62">
      <w:pPr>
        <w:rPr>
          <w:rFonts w:cs="Arial"/>
          <w:b/>
          <w:sz w:val="24"/>
          <w:szCs w:val="24"/>
        </w:rPr>
      </w:pPr>
      <w:r w:rsidRPr="00011BB4">
        <w:br w:type="page"/>
      </w:r>
    </w:p>
    <w:p w14:paraId="52A8415D" w14:textId="5D068FC9" w:rsidR="002869E4" w:rsidRPr="00011BB4" w:rsidRDefault="002869E4" w:rsidP="002869E4">
      <w:pPr>
        <w:pStyle w:val="ListParagraph"/>
        <w:ind w:left="0" w:firstLine="0"/>
        <w:rPr>
          <w:bCs/>
          <w:i/>
        </w:rPr>
      </w:pPr>
      <w:r w:rsidRPr="00011BB4">
        <w:rPr>
          <w:i/>
        </w:rPr>
        <w:lastRenderedPageBreak/>
        <w:t xml:space="preserve">Tableau 2 : Synthèse des mesures </w:t>
      </w:r>
      <w:r w:rsidR="008969FA">
        <w:rPr>
          <w:i/>
        </w:rPr>
        <w:t>visant à</w:t>
      </w:r>
      <w:r w:rsidRPr="00011BB4">
        <w:rPr>
          <w:i/>
        </w:rPr>
        <w:t xml:space="preserve"> améliorer les communications officielles et la gestion des réunions virtuelles pendant la période triennale 2023-2025</w:t>
      </w:r>
    </w:p>
    <w:p w14:paraId="1BE05E9C" w14:textId="77777777" w:rsidR="00285898" w:rsidRPr="00011BB4" w:rsidRDefault="00285898" w:rsidP="002869E4">
      <w:pPr>
        <w:pStyle w:val="ListParagraph"/>
        <w:ind w:left="0" w:firstLine="0"/>
        <w:rPr>
          <w:bCs/>
          <w:i/>
        </w:rPr>
      </w:pPr>
    </w:p>
    <w:tbl>
      <w:tblPr>
        <w:tblStyle w:val="GridTable1Light-Accent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96"/>
        <w:gridCol w:w="3119"/>
        <w:gridCol w:w="3260"/>
        <w:gridCol w:w="1276"/>
      </w:tblGrid>
      <w:tr w:rsidR="00B44B62" w:rsidRPr="00011BB4" w14:paraId="157D6004" w14:textId="77777777" w:rsidTr="002858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vAlign w:val="center"/>
          </w:tcPr>
          <w:p w14:paraId="099A47A3" w14:textId="77777777" w:rsidR="00B44B62" w:rsidRPr="00011BB4" w:rsidRDefault="00B44B62" w:rsidP="00B44B62">
            <w:pPr>
              <w:jc w:val="center"/>
              <w:rPr>
                <w:rFonts w:asciiTheme="minorHAnsi" w:hAnsiTheme="minorHAnsi" w:cstheme="minorHAnsi"/>
              </w:rPr>
            </w:pPr>
            <w:r w:rsidRPr="00011BB4">
              <w:rPr>
                <w:rFonts w:asciiTheme="minorHAnsi" w:hAnsiTheme="minorHAnsi"/>
              </w:rPr>
              <w:t>Activité</w:t>
            </w:r>
          </w:p>
        </w:tc>
        <w:tc>
          <w:tcPr>
            <w:tcW w:w="3119" w:type="dxa"/>
            <w:tcBorders>
              <w:bottom w:val="single" w:sz="4" w:space="0" w:color="auto"/>
            </w:tcBorders>
            <w:vAlign w:val="center"/>
          </w:tcPr>
          <w:p w14:paraId="7EBAFE32" w14:textId="77777777" w:rsidR="00B44B62" w:rsidRPr="00011BB4" w:rsidRDefault="00B44B6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Objectif</w:t>
            </w:r>
          </w:p>
        </w:tc>
        <w:tc>
          <w:tcPr>
            <w:tcW w:w="3260" w:type="dxa"/>
            <w:tcBorders>
              <w:bottom w:val="single" w:sz="4" w:space="0" w:color="auto"/>
            </w:tcBorders>
            <w:vAlign w:val="center"/>
          </w:tcPr>
          <w:p w14:paraId="66B6B707" w14:textId="77777777" w:rsidR="00B44B62" w:rsidRPr="00011BB4" w:rsidRDefault="00B44B6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Format</w:t>
            </w:r>
          </w:p>
        </w:tc>
        <w:tc>
          <w:tcPr>
            <w:tcW w:w="1276" w:type="dxa"/>
            <w:tcBorders>
              <w:bottom w:val="single" w:sz="4" w:space="0" w:color="auto"/>
            </w:tcBorders>
            <w:vAlign w:val="center"/>
          </w:tcPr>
          <w:p w14:paraId="55BA2BED" w14:textId="77777777" w:rsidR="00C24807" w:rsidRDefault="00B44B6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011BB4">
              <w:rPr>
                <w:rFonts w:asciiTheme="minorHAnsi" w:hAnsiTheme="minorHAnsi"/>
              </w:rPr>
              <w:t>Échéance/</w:t>
            </w:r>
          </w:p>
          <w:p w14:paraId="0A9872EB" w14:textId="677A3117" w:rsidR="00B44B62" w:rsidRPr="00011BB4" w:rsidRDefault="00B44B6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Statut</w:t>
            </w:r>
          </w:p>
        </w:tc>
      </w:tr>
      <w:tr w:rsidR="00B44B62" w:rsidRPr="00011BB4" w14:paraId="34B8AED5" w14:textId="77777777" w:rsidTr="00285898">
        <w:trPr>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14:paraId="05D9273D" w14:textId="4CE1824F" w:rsidR="00B44B62" w:rsidRPr="00011BB4" w:rsidRDefault="002709DE" w:rsidP="00B44B62">
            <w:pPr>
              <w:rPr>
                <w:rFonts w:asciiTheme="minorHAnsi" w:hAnsiTheme="minorHAnsi" w:cstheme="minorHAnsi"/>
              </w:rPr>
            </w:pPr>
            <w:r>
              <w:rPr>
                <w:rFonts w:asciiTheme="minorHAnsi" w:hAnsiTheme="minorHAnsi"/>
              </w:rPr>
              <w:t>Uniformisation des</w:t>
            </w:r>
            <w:r w:rsidR="00B44B62" w:rsidRPr="00011BB4">
              <w:rPr>
                <w:rFonts w:asciiTheme="minorHAnsi" w:hAnsiTheme="minorHAnsi"/>
              </w:rPr>
              <w:t xml:space="preserve"> communications officielles</w:t>
            </w:r>
          </w:p>
        </w:tc>
        <w:tc>
          <w:tcPr>
            <w:tcW w:w="3119" w:type="dxa"/>
            <w:tcBorders>
              <w:top w:val="single" w:sz="4" w:space="0" w:color="auto"/>
            </w:tcBorders>
          </w:tcPr>
          <w:p w14:paraId="76C301F5" w14:textId="77777777" w:rsidR="00B44B62" w:rsidRPr="00011BB4"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Format cohérent et facile à comprendre pour les communications officielles</w:t>
            </w:r>
          </w:p>
        </w:tc>
        <w:tc>
          <w:tcPr>
            <w:tcW w:w="3260" w:type="dxa"/>
            <w:tcBorders>
              <w:top w:val="single" w:sz="4" w:space="0" w:color="auto"/>
            </w:tcBorders>
          </w:tcPr>
          <w:p w14:paraId="322F1A0D" w14:textId="77777777" w:rsidR="00B44B62" w:rsidRPr="00011BB4"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MON interne mis en place pour garantir une cohérence dans la façon de s’adresser aux destinataires, utilisation de modèles pour les communications officielles et mise en œuvre de mesures pour contrôler la qualité du langage et la cohérence du style.</w:t>
            </w:r>
          </w:p>
        </w:tc>
        <w:tc>
          <w:tcPr>
            <w:tcW w:w="1276" w:type="dxa"/>
            <w:tcBorders>
              <w:top w:val="single" w:sz="4" w:space="0" w:color="auto"/>
            </w:tcBorders>
          </w:tcPr>
          <w:p w14:paraId="54073CEA" w14:textId="77777777" w:rsidR="00B44B62" w:rsidRPr="00011BB4"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B44B62" w:rsidRPr="00011BB4" w14:paraId="7064A0E8" w14:textId="77777777" w:rsidTr="5D828B6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C17E258" w14:textId="77777777" w:rsidR="00B44B62" w:rsidRPr="00011BB4" w:rsidRDefault="00B44B62" w:rsidP="00B44B62">
            <w:pPr>
              <w:rPr>
                <w:rFonts w:asciiTheme="minorHAnsi" w:hAnsiTheme="minorHAnsi" w:cstheme="minorHAnsi"/>
              </w:rPr>
            </w:pPr>
            <w:r w:rsidRPr="00011BB4">
              <w:rPr>
                <w:rFonts w:asciiTheme="minorHAnsi" w:hAnsiTheme="minorHAnsi"/>
              </w:rPr>
              <w:t>Visibilité du délai de réponse</w:t>
            </w:r>
          </w:p>
        </w:tc>
        <w:tc>
          <w:tcPr>
            <w:tcW w:w="3119" w:type="dxa"/>
          </w:tcPr>
          <w:p w14:paraId="2B530FF4" w14:textId="77777777" w:rsidR="00B44B62" w:rsidRPr="00011BB4"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Identification précise des dates limites pour aider les Parties contractantes à répondre dans les temps.</w:t>
            </w:r>
          </w:p>
        </w:tc>
        <w:tc>
          <w:tcPr>
            <w:tcW w:w="3260" w:type="dxa"/>
          </w:tcPr>
          <w:p w14:paraId="2C97D025" w14:textId="22F8300D" w:rsidR="00B44B62" w:rsidRPr="00011BB4"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 xml:space="preserve">Les dates limites sont rédigées en gras dans les communications et se trouvent </w:t>
            </w:r>
            <w:r w:rsidR="0007618D">
              <w:rPr>
                <w:rFonts w:asciiTheme="minorHAnsi" w:hAnsiTheme="minorHAnsi"/>
              </w:rPr>
              <w:t xml:space="preserve">généralement </w:t>
            </w:r>
            <w:r w:rsidRPr="00011BB4">
              <w:rPr>
                <w:rFonts w:asciiTheme="minorHAnsi" w:hAnsiTheme="minorHAnsi"/>
              </w:rPr>
              <w:t xml:space="preserve">dans un paragraphe </w:t>
            </w:r>
            <w:r w:rsidR="00D8452C">
              <w:rPr>
                <w:rFonts w:asciiTheme="minorHAnsi" w:hAnsiTheme="minorHAnsi"/>
              </w:rPr>
              <w:t>séparé</w:t>
            </w:r>
            <w:r w:rsidRPr="00011BB4">
              <w:rPr>
                <w:rFonts w:asciiTheme="minorHAnsi" w:hAnsiTheme="minorHAnsi"/>
              </w:rPr>
              <w:t>.</w:t>
            </w:r>
          </w:p>
        </w:tc>
        <w:tc>
          <w:tcPr>
            <w:tcW w:w="1276" w:type="dxa"/>
          </w:tcPr>
          <w:p w14:paraId="5718E060" w14:textId="77777777" w:rsidR="00B44B62" w:rsidRPr="00011BB4"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B44B62" w:rsidRPr="00011BB4" w14:paraId="25F67155" w14:textId="77777777" w:rsidTr="5D828B6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5F7DE2E9" w14:textId="77777777" w:rsidR="00B44B62" w:rsidRPr="00011BB4" w:rsidRDefault="00B44B62" w:rsidP="00B44B62">
            <w:pPr>
              <w:rPr>
                <w:rFonts w:asciiTheme="minorHAnsi" w:hAnsiTheme="minorHAnsi" w:cstheme="minorHAnsi"/>
              </w:rPr>
            </w:pPr>
            <w:r w:rsidRPr="00011BB4">
              <w:rPr>
                <w:rFonts w:asciiTheme="minorHAnsi" w:hAnsiTheme="minorHAnsi"/>
              </w:rPr>
              <w:t>Adresses de courriers électroniques spécifiques pour les Groupes de travail</w:t>
            </w:r>
          </w:p>
        </w:tc>
        <w:tc>
          <w:tcPr>
            <w:tcW w:w="3119" w:type="dxa"/>
          </w:tcPr>
          <w:p w14:paraId="7B76DD95" w14:textId="6F179662" w:rsidR="00B44B62" w:rsidRPr="00011BB4"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Faciliter l’identification des communications électroniques associées à des Groupes de travail en particulier.</w:t>
            </w:r>
          </w:p>
        </w:tc>
        <w:tc>
          <w:tcPr>
            <w:tcW w:w="3260" w:type="dxa"/>
          </w:tcPr>
          <w:p w14:paraId="1A1F8E46" w14:textId="77777777" w:rsidR="00B44B62" w:rsidRPr="00011BB4"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 xml:space="preserve">Adresses de courriers électroniques spécifiques pour les Groupes de travail, sur demande des Groupes de travail. </w:t>
            </w:r>
          </w:p>
        </w:tc>
        <w:tc>
          <w:tcPr>
            <w:tcW w:w="1276" w:type="dxa"/>
          </w:tcPr>
          <w:p w14:paraId="47A1D1B2" w14:textId="77777777" w:rsidR="00B44B62" w:rsidRPr="00011BB4"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B44B62" w:rsidRPr="00011BB4" w14:paraId="0E700B4C" w14:textId="77777777" w:rsidTr="5D828B6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7A669148" w14:textId="49AAF41A" w:rsidR="00B44B62" w:rsidRPr="00011BB4" w:rsidRDefault="00B44B62" w:rsidP="00B44B62">
            <w:pPr>
              <w:rPr>
                <w:rFonts w:asciiTheme="minorHAnsi" w:hAnsiTheme="minorHAnsi" w:cstheme="minorHAnsi"/>
              </w:rPr>
            </w:pPr>
            <w:r w:rsidRPr="00011BB4">
              <w:rPr>
                <w:rFonts w:asciiTheme="minorHAnsi" w:hAnsiTheme="minorHAnsi"/>
              </w:rPr>
              <w:t xml:space="preserve">Amélioration des </w:t>
            </w:r>
            <w:r w:rsidR="005A4FD4">
              <w:rPr>
                <w:rFonts w:asciiTheme="minorHAnsi" w:hAnsiTheme="minorHAnsi"/>
              </w:rPr>
              <w:t>n</w:t>
            </w:r>
            <w:r w:rsidRPr="00011BB4">
              <w:rPr>
                <w:rFonts w:asciiTheme="minorHAnsi" w:hAnsiTheme="minorHAnsi"/>
              </w:rPr>
              <w:t xml:space="preserve">otes diplomatiques </w:t>
            </w:r>
          </w:p>
        </w:tc>
        <w:tc>
          <w:tcPr>
            <w:tcW w:w="3119" w:type="dxa"/>
          </w:tcPr>
          <w:p w14:paraId="4BE07B54" w14:textId="77777777" w:rsidR="00B44B62" w:rsidRPr="00011BB4" w:rsidRDefault="001A4900"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Communication transparente et accessibilité pour faciliter la diffusion des informations officielles.</w:t>
            </w:r>
          </w:p>
        </w:tc>
        <w:tc>
          <w:tcPr>
            <w:tcW w:w="3260" w:type="dxa"/>
          </w:tcPr>
          <w:p w14:paraId="7DE82F3C" w14:textId="08F33778" w:rsidR="00B44B62" w:rsidRPr="00011BB4"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 xml:space="preserve">Les </w:t>
            </w:r>
            <w:r w:rsidR="007979DD">
              <w:rPr>
                <w:rFonts w:asciiTheme="minorHAnsi" w:hAnsiTheme="minorHAnsi"/>
              </w:rPr>
              <w:t>n</w:t>
            </w:r>
            <w:r w:rsidRPr="00011BB4">
              <w:rPr>
                <w:rFonts w:asciiTheme="minorHAnsi" w:hAnsiTheme="minorHAnsi"/>
              </w:rPr>
              <w:t>otes diplomatiques sont envoyées dans leur intégralité, disposent d'une version PDF et sont publiées sur le site internet de la Convention dans les catégories Documents et Notifications.</w:t>
            </w:r>
          </w:p>
        </w:tc>
        <w:tc>
          <w:tcPr>
            <w:tcW w:w="1276" w:type="dxa"/>
          </w:tcPr>
          <w:p w14:paraId="4F691C50" w14:textId="77777777" w:rsidR="00B44B62" w:rsidRPr="00011BB4"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r w:rsidR="00B44B62" w:rsidRPr="00011BB4" w14:paraId="3835F846" w14:textId="77777777" w:rsidTr="5D828B6A">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7B6E1B1A" w14:textId="77777777" w:rsidR="00B44B62" w:rsidRPr="00011BB4" w:rsidRDefault="00B44B62" w:rsidP="00B44B62">
            <w:pPr>
              <w:rPr>
                <w:rFonts w:asciiTheme="minorHAnsi" w:hAnsiTheme="minorHAnsi" w:cstheme="minorHAnsi"/>
              </w:rPr>
            </w:pPr>
            <w:r w:rsidRPr="00011BB4">
              <w:rPr>
                <w:rFonts w:asciiTheme="minorHAnsi" w:hAnsiTheme="minorHAnsi"/>
              </w:rPr>
              <w:t>Utilisation standardisée de Zoom pour les réunions virtuelles</w:t>
            </w:r>
          </w:p>
        </w:tc>
        <w:tc>
          <w:tcPr>
            <w:tcW w:w="3119" w:type="dxa"/>
          </w:tcPr>
          <w:p w14:paraId="4A12B300" w14:textId="77777777" w:rsidR="00B44B62" w:rsidRPr="00011BB4"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Un processus bien géré pour l’organisation des réunions virtuelles qui améliore la participation inclusive et l’engagement des participants.</w:t>
            </w:r>
          </w:p>
        </w:tc>
        <w:tc>
          <w:tcPr>
            <w:tcW w:w="3260" w:type="dxa"/>
          </w:tcPr>
          <w:p w14:paraId="4A69D8E5" w14:textId="5E0034EF" w:rsidR="00B44B62" w:rsidRPr="00011BB4"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Utilisation de Zoom comme plateforme privilégiée pour les réunions virtuelles et bénéficiant d’un MON interne décrivant comment organiser des réunions en ligne, y compris l</w:t>
            </w:r>
            <w:r w:rsidR="000D19CC">
              <w:rPr>
                <w:rFonts w:asciiTheme="minorHAnsi" w:hAnsiTheme="minorHAnsi"/>
              </w:rPr>
              <w:t xml:space="preserve">’uniformisation des noms </w:t>
            </w:r>
            <w:r w:rsidRPr="00011BB4">
              <w:rPr>
                <w:rFonts w:asciiTheme="minorHAnsi" w:hAnsiTheme="minorHAnsi"/>
              </w:rPr>
              <w:t xml:space="preserve">des participants afin que chacun d’entre eux soit clairement identifié. Des rappels de réunion sont envoyés un jour </w:t>
            </w:r>
            <w:r w:rsidR="00F31A84">
              <w:rPr>
                <w:rFonts w:asciiTheme="minorHAnsi" w:hAnsiTheme="minorHAnsi"/>
              </w:rPr>
              <w:t>à l’</w:t>
            </w:r>
            <w:r w:rsidRPr="00011BB4">
              <w:rPr>
                <w:rFonts w:asciiTheme="minorHAnsi" w:hAnsiTheme="minorHAnsi"/>
              </w:rPr>
              <w:t xml:space="preserve">avance. Utilisation de la salle d’attente </w:t>
            </w:r>
            <w:r w:rsidR="0054006B">
              <w:rPr>
                <w:rFonts w:asciiTheme="minorHAnsi" w:hAnsiTheme="minorHAnsi"/>
              </w:rPr>
              <w:t>en vue de</w:t>
            </w:r>
            <w:r w:rsidRPr="00011BB4">
              <w:rPr>
                <w:rFonts w:asciiTheme="minorHAnsi" w:hAnsiTheme="minorHAnsi"/>
              </w:rPr>
              <w:t xml:space="preserve"> faciliter les échanges </w:t>
            </w:r>
            <w:r w:rsidR="0054006B">
              <w:rPr>
                <w:rFonts w:asciiTheme="minorHAnsi" w:hAnsiTheme="minorHAnsi"/>
              </w:rPr>
              <w:t>préalables pour les responsables</w:t>
            </w:r>
            <w:r w:rsidRPr="00011BB4">
              <w:rPr>
                <w:rFonts w:asciiTheme="minorHAnsi" w:hAnsiTheme="minorHAnsi"/>
              </w:rPr>
              <w:t xml:space="preserve">, les consultants et le Secrétariat. Option d’inscription à la réunion Zoom pour </w:t>
            </w:r>
            <w:r w:rsidR="003B1B96">
              <w:rPr>
                <w:rFonts w:asciiTheme="minorHAnsi" w:hAnsiTheme="minorHAnsi"/>
              </w:rPr>
              <w:t>assurer un meilleur suivi de la participation</w:t>
            </w:r>
            <w:r w:rsidRPr="00011BB4">
              <w:rPr>
                <w:rFonts w:asciiTheme="minorHAnsi" w:hAnsiTheme="minorHAnsi"/>
              </w:rPr>
              <w:t>.</w:t>
            </w:r>
          </w:p>
        </w:tc>
        <w:tc>
          <w:tcPr>
            <w:tcW w:w="1276" w:type="dxa"/>
          </w:tcPr>
          <w:p w14:paraId="59B2B77C" w14:textId="77777777" w:rsidR="00B44B62" w:rsidRPr="00011BB4"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cours</w:t>
            </w:r>
          </w:p>
        </w:tc>
      </w:tr>
    </w:tbl>
    <w:p w14:paraId="0982624F" w14:textId="77777777" w:rsidR="00A65837" w:rsidRPr="00011BB4" w:rsidRDefault="00A65837" w:rsidP="00A65837">
      <w:pPr>
        <w:ind w:left="0" w:firstLine="0"/>
        <w:rPr>
          <w:rFonts w:cs="Arial"/>
          <w:b/>
          <w:sz w:val="24"/>
          <w:szCs w:val="24"/>
        </w:rPr>
      </w:pPr>
    </w:p>
    <w:p w14:paraId="6A02321C" w14:textId="77777777" w:rsidR="00B44B62" w:rsidRPr="00011BB4" w:rsidRDefault="00B44B62">
      <w:pPr>
        <w:rPr>
          <w:rFonts w:cs="Arial"/>
          <w:b/>
          <w:sz w:val="24"/>
          <w:szCs w:val="24"/>
        </w:rPr>
      </w:pPr>
      <w:r w:rsidRPr="00011BB4">
        <w:br w:type="page"/>
      </w:r>
    </w:p>
    <w:p w14:paraId="71494BF6" w14:textId="77777777" w:rsidR="006A7F28" w:rsidRPr="00011BB4" w:rsidRDefault="006A7F28" w:rsidP="006A7F28">
      <w:pPr>
        <w:rPr>
          <w:bCs/>
          <w:i/>
        </w:rPr>
      </w:pPr>
      <w:r w:rsidRPr="00011BB4">
        <w:rPr>
          <w:i/>
        </w:rPr>
        <w:lastRenderedPageBreak/>
        <w:t>Tableau 3 : Synthèse des activités de renforcement des capacités pour la période triennale 2023-2025</w:t>
      </w:r>
    </w:p>
    <w:p w14:paraId="23F41CDF" w14:textId="77777777" w:rsidR="006A7F28" w:rsidRPr="00011BB4" w:rsidRDefault="006A7F28" w:rsidP="006A7F28">
      <w:pPr>
        <w:rPr>
          <w:bCs/>
        </w:rPr>
      </w:pPr>
    </w:p>
    <w:tbl>
      <w:tblPr>
        <w:tblStyle w:val="GridTable1Light-Accent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96"/>
        <w:gridCol w:w="3119"/>
        <w:gridCol w:w="3260"/>
        <w:gridCol w:w="1276"/>
      </w:tblGrid>
      <w:tr w:rsidR="006A7F28" w:rsidRPr="00011BB4" w14:paraId="10CB832B" w14:textId="77777777" w:rsidTr="0028589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vAlign w:val="center"/>
          </w:tcPr>
          <w:p w14:paraId="67045E44" w14:textId="77777777" w:rsidR="006A7F28" w:rsidRPr="00011BB4" w:rsidRDefault="00745275">
            <w:pPr>
              <w:jc w:val="center"/>
              <w:rPr>
                <w:rFonts w:asciiTheme="minorHAnsi" w:hAnsiTheme="minorHAnsi" w:cstheme="minorHAnsi"/>
                <w:b w:val="0"/>
              </w:rPr>
            </w:pPr>
            <w:r w:rsidRPr="00011BB4">
              <w:rPr>
                <w:rFonts w:asciiTheme="minorHAnsi" w:hAnsiTheme="minorHAnsi"/>
              </w:rPr>
              <w:t>Activité</w:t>
            </w:r>
          </w:p>
        </w:tc>
        <w:tc>
          <w:tcPr>
            <w:tcW w:w="3119" w:type="dxa"/>
            <w:tcBorders>
              <w:bottom w:val="single" w:sz="4" w:space="0" w:color="auto"/>
            </w:tcBorders>
            <w:vAlign w:val="center"/>
          </w:tcPr>
          <w:p w14:paraId="2DA14CF1" w14:textId="77777777" w:rsidR="006A7F28" w:rsidRPr="00011BB4" w:rsidRDefault="002869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Objectif</w:t>
            </w:r>
          </w:p>
        </w:tc>
        <w:tc>
          <w:tcPr>
            <w:tcW w:w="3260" w:type="dxa"/>
            <w:tcBorders>
              <w:bottom w:val="single" w:sz="4" w:space="0" w:color="auto"/>
            </w:tcBorders>
            <w:vAlign w:val="center"/>
          </w:tcPr>
          <w:p w14:paraId="20118528" w14:textId="77777777" w:rsidR="006A7F28" w:rsidRPr="00011BB4" w:rsidRDefault="006A7F2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Format</w:t>
            </w:r>
          </w:p>
        </w:tc>
        <w:tc>
          <w:tcPr>
            <w:tcW w:w="1276" w:type="dxa"/>
            <w:tcBorders>
              <w:bottom w:val="single" w:sz="4" w:space="0" w:color="auto"/>
            </w:tcBorders>
            <w:vAlign w:val="center"/>
          </w:tcPr>
          <w:p w14:paraId="1C7BE6EF" w14:textId="77777777" w:rsidR="001D1618" w:rsidRDefault="006A7F2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011BB4">
              <w:rPr>
                <w:rFonts w:asciiTheme="minorHAnsi" w:hAnsiTheme="minorHAnsi"/>
              </w:rPr>
              <w:t>Échéance/</w:t>
            </w:r>
          </w:p>
          <w:p w14:paraId="5B2E0D92" w14:textId="3D8E706D" w:rsidR="006A7F28" w:rsidRPr="00011BB4" w:rsidRDefault="006A7F2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Statut</w:t>
            </w:r>
          </w:p>
        </w:tc>
      </w:tr>
      <w:tr w:rsidR="006A7F28" w:rsidRPr="00011BB4" w14:paraId="683AC938" w14:textId="77777777" w:rsidTr="00285898">
        <w:trPr>
          <w:cantSplit/>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14:paraId="6A73B606" w14:textId="77777777" w:rsidR="006A7F28" w:rsidRPr="00011BB4" w:rsidRDefault="006A7F28" w:rsidP="00745275">
            <w:pPr>
              <w:rPr>
                <w:rFonts w:asciiTheme="minorHAnsi" w:hAnsiTheme="minorHAnsi" w:cstheme="minorHAnsi"/>
              </w:rPr>
            </w:pPr>
            <w:r w:rsidRPr="00011BB4">
              <w:rPr>
                <w:rFonts w:asciiTheme="minorHAnsi" w:hAnsiTheme="minorHAnsi"/>
              </w:rPr>
              <w:t>Cours d'introduction à la Convention sur les zones humides</w:t>
            </w:r>
          </w:p>
        </w:tc>
        <w:tc>
          <w:tcPr>
            <w:tcW w:w="3119" w:type="dxa"/>
            <w:tcBorders>
              <w:top w:val="single" w:sz="4" w:space="0" w:color="auto"/>
            </w:tcBorders>
          </w:tcPr>
          <w:p w14:paraId="741B073A" w14:textId="7BE215F4" w:rsidR="006A7F28" w:rsidRPr="00011BB4" w:rsidRDefault="20E84BCF"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 xml:space="preserve">Fournir les informations essentielles sur la Convention aux nouveaux </w:t>
            </w:r>
            <w:r w:rsidR="003C432D">
              <w:rPr>
                <w:rFonts w:asciiTheme="minorHAnsi" w:hAnsiTheme="minorHAnsi"/>
              </w:rPr>
              <w:t>C</w:t>
            </w:r>
            <w:r w:rsidRPr="00011BB4">
              <w:rPr>
                <w:rFonts w:asciiTheme="minorHAnsi" w:hAnsiTheme="minorHAnsi"/>
              </w:rPr>
              <w:t>orrespondants nationaux des Parties contractantes et toute personne concernée par l’application de la Convention.</w:t>
            </w:r>
          </w:p>
        </w:tc>
        <w:tc>
          <w:tcPr>
            <w:tcW w:w="3260" w:type="dxa"/>
            <w:tcBorders>
              <w:top w:val="single" w:sz="4" w:space="0" w:color="auto"/>
            </w:tcBorders>
          </w:tcPr>
          <w:p w14:paraId="4BF1305C" w14:textId="7564686D"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 xml:space="preserve">Cours en ligne interactifs pour se former en autonomie et à son propre rythme. </w:t>
            </w:r>
            <w:r w:rsidR="00D04FE9">
              <w:rPr>
                <w:rFonts w:asciiTheme="minorHAnsi" w:hAnsiTheme="minorHAnsi"/>
              </w:rPr>
              <w:t>Hébergés sur</w:t>
            </w:r>
            <w:r w:rsidRPr="00011BB4">
              <w:rPr>
                <w:rFonts w:asciiTheme="minorHAnsi" w:hAnsiTheme="minorHAnsi"/>
              </w:rPr>
              <w:t xml:space="preserve"> </w:t>
            </w:r>
            <w:r w:rsidR="00D04FE9">
              <w:rPr>
                <w:rFonts w:asciiTheme="minorHAnsi" w:hAnsiTheme="minorHAnsi"/>
              </w:rPr>
              <w:t>la plateforme</w:t>
            </w:r>
            <w:r w:rsidRPr="00011BB4">
              <w:rPr>
                <w:rFonts w:asciiTheme="minorHAnsi" w:hAnsiTheme="minorHAnsi"/>
              </w:rPr>
              <w:t xml:space="preserve"> </w:t>
            </w:r>
            <w:proofErr w:type="spellStart"/>
            <w:r w:rsidRPr="00011BB4">
              <w:rPr>
                <w:rFonts w:asciiTheme="minorHAnsi" w:hAnsiTheme="minorHAnsi"/>
              </w:rPr>
              <w:t>InforMEA</w:t>
            </w:r>
            <w:proofErr w:type="spellEnd"/>
            <w:r w:rsidRPr="00011BB4">
              <w:rPr>
                <w:rFonts w:asciiTheme="minorHAnsi" w:hAnsiTheme="minorHAnsi"/>
              </w:rPr>
              <w:t xml:space="preserve"> et disponibles sur le site internet de la Convention.</w:t>
            </w:r>
          </w:p>
        </w:tc>
        <w:tc>
          <w:tcPr>
            <w:tcW w:w="1276" w:type="dxa"/>
            <w:tcBorders>
              <w:top w:val="single" w:sz="4" w:space="0" w:color="auto"/>
            </w:tcBorders>
          </w:tcPr>
          <w:p w14:paraId="7ED90FA9" w14:textId="77777777"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Terminé</w:t>
            </w:r>
          </w:p>
        </w:tc>
      </w:tr>
      <w:tr w:rsidR="006A7F28" w:rsidRPr="00011BB4" w14:paraId="4DD9011D"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324648E1" w14:textId="2E0D68E0" w:rsidR="006A7F28" w:rsidRPr="00011BB4" w:rsidRDefault="006A7F28" w:rsidP="00745275">
            <w:pPr>
              <w:rPr>
                <w:rFonts w:asciiTheme="minorHAnsi" w:hAnsiTheme="minorHAnsi" w:cstheme="minorHAnsi"/>
              </w:rPr>
            </w:pPr>
            <w:r w:rsidRPr="00011BB4">
              <w:rPr>
                <w:rFonts w:asciiTheme="minorHAnsi" w:hAnsiTheme="minorHAnsi"/>
              </w:rPr>
              <w:t xml:space="preserve">Formation destinée aux membres du Groupe d’évaluation scientifique et technique ainsi qu’aux </w:t>
            </w:r>
            <w:r w:rsidR="00A65CF6">
              <w:rPr>
                <w:rFonts w:asciiTheme="minorHAnsi" w:hAnsiTheme="minorHAnsi"/>
              </w:rPr>
              <w:t>C</w:t>
            </w:r>
            <w:r w:rsidRPr="00011BB4">
              <w:rPr>
                <w:rFonts w:asciiTheme="minorHAnsi" w:hAnsiTheme="minorHAnsi"/>
              </w:rPr>
              <w:t>orrespondants nationaux</w:t>
            </w:r>
          </w:p>
        </w:tc>
        <w:tc>
          <w:tcPr>
            <w:tcW w:w="3119" w:type="dxa"/>
          </w:tcPr>
          <w:p w14:paraId="4D66A9EB" w14:textId="158E7813" w:rsidR="006A7F28" w:rsidRPr="00011BB4" w:rsidRDefault="006A7F28"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rPr>
            </w:pPr>
            <w:r w:rsidRPr="00011BB4">
              <w:rPr>
                <w:rFonts w:asciiTheme="minorHAnsi" w:hAnsiTheme="minorHAnsi"/>
              </w:rPr>
              <w:t xml:space="preserve">Faire en sorte que les </w:t>
            </w:r>
            <w:r w:rsidR="002938D3">
              <w:rPr>
                <w:rFonts w:asciiTheme="minorHAnsi" w:hAnsiTheme="minorHAnsi"/>
              </w:rPr>
              <w:t>C</w:t>
            </w:r>
            <w:r w:rsidRPr="00011BB4">
              <w:rPr>
                <w:rFonts w:asciiTheme="minorHAnsi" w:hAnsiTheme="minorHAnsi"/>
              </w:rPr>
              <w:t>orrespondants nationaux du GEST soient plus engagés de même qu’ils s’approprient, aient recours et mettent davantage en œuvre les travaux du GEST en améliorant leurs connaissances du mandat du GEST, de ses fonctions, de ses rôles, de ses responsabilités et de son espace de travail.</w:t>
            </w:r>
          </w:p>
        </w:tc>
        <w:tc>
          <w:tcPr>
            <w:tcW w:w="3260" w:type="dxa"/>
          </w:tcPr>
          <w:p w14:paraId="76916F77" w14:textId="787A5C2E"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rPr>
            </w:pPr>
            <w:r w:rsidRPr="00011BB4">
              <w:rPr>
                <w:rFonts w:asciiTheme="minorHAnsi" w:hAnsiTheme="minorHAnsi"/>
              </w:rPr>
              <w:t xml:space="preserve">Cours en ligne interactifs pour se former en autonomie et à son propre rythme. </w:t>
            </w:r>
            <w:r w:rsidR="00037D35">
              <w:rPr>
                <w:rFonts w:asciiTheme="minorHAnsi" w:hAnsiTheme="minorHAnsi"/>
              </w:rPr>
              <w:t>Hébergés sur la plateforme</w:t>
            </w:r>
            <w:r w:rsidRPr="00011BB4">
              <w:rPr>
                <w:rFonts w:asciiTheme="minorHAnsi" w:hAnsiTheme="minorHAnsi"/>
              </w:rPr>
              <w:t xml:space="preserve"> </w:t>
            </w:r>
            <w:proofErr w:type="spellStart"/>
            <w:r w:rsidRPr="00011BB4">
              <w:rPr>
                <w:rFonts w:asciiTheme="minorHAnsi" w:hAnsiTheme="minorHAnsi"/>
              </w:rPr>
              <w:t>InforMEA</w:t>
            </w:r>
            <w:proofErr w:type="spellEnd"/>
            <w:r w:rsidRPr="00011BB4">
              <w:rPr>
                <w:rFonts w:asciiTheme="minorHAnsi" w:hAnsiTheme="minorHAnsi"/>
              </w:rPr>
              <w:t xml:space="preserve"> et disponibles sur le site internet de la Convention.</w:t>
            </w:r>
          </w:p>
        </w:tc>
        <w:tc>
          <w:tcPr>
            <w:tcW w:w="1276" w:type="dxa"/>
          </w:tcPr>
          <w:p w14:paraId="446E12EE" w14:textId="77777777"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Terminé</w:t>
            </w:r>
          </w:p>
        </w:tc>
      </w:tr>
      <w:tr w:rsidR="006A7F28" w:rsidRPr="00011BB4" w14:paraId="54D6BEC1"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190C8869" w14:textId="77777777" w:rsidR="006A7F28" w:rsidRPr="00011BB4" w:rsidRDefault="006A7F28" w:rsidP="00745275">
            <w:pPr>
              <w:rPr>
                <w:rFonts w:asciiTheme="minorHAnsi" w:hAnsiTheme="minorHAnsi" w:cstheme="minorHAnsi"/>
              </w:rPr>
            </w:pPr>
            <w:r w:rsidRPr="00011BB4">
              <w:rPr>
                <w:rFonts w:asciiTheme="minorHAnsi" w:hAnsiTheme="minorHAnsi"/>
              </w:rPr>
              <w:t>Dossier de bienvenue des Correspondants nationaux</w:t>
            </w:r>
          </w:p>
        </w:tc>
        <w:tc>
          <w:tcPr>
            <w:tcW w:w="3119" w:type="dxa"/>
          </w:tcPr>
          <w:p w14:paraId="10D9D394" w14:textId="1F29F3BE" w:rsidR="006A7F28" w:rsidRPr="00011BB4" w:rsidRDefault="009D749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rPr>
              <w:t>Soutenir</w:t>
            </w:r>
            <w:r w:rsidR="0E447EEE" w:rsidRPr="00011BB4">
              <w:rPr>
                <w:rFonts w:asciiTheme="minorHAnsi" w:hAnsiTheme="minorHAnsi"/>
              </w:rPr>
              <w:t xml:space="preserve"> l’initiation des nouveaux Correspondants nationaux en partageant</w:t>
            </w:r>
            <w:r w:rsidR="00D8452C">
              <w:rPr>
                <w:rFonts w:asciiTheme="minorHAnsi" w:hAnsiTheme="minorHAnsi"/>
              </w:rPr>
              <w:t xml:space="preserve"> avec eux</w:t>
            </w:r>
            <w:r w:rsidR="0E447EEE" w:rsidRPr="00011BB4">
              <w:rPr>
                <w:rFonts w:asciiTheme="minorHAnsi" w:hAnsiTheme="minorHAnsi"/>
              </w:rPr>
              <w:t xml:space="preserve"> les connaissances et outils nécessaires à la mise en œuvre de la Convention dans leurs pays.</w:t>
            </w:r>
          </w:p>
        </w:tc>
        <w:tc>
          <w:tcPr>
            <w:tcW w:w="3260" w:type="dxa"/>
          </w:tcPr>
          <w:p w14:paraId="0F96876C" w14:textId="325A42CB" w:rsidR="006A7F28" w:rsidRPr="00011BB4" w:rsidRDefault="00D5728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 xml:space="preserve">Les pages dédiées du site qui contiennent des ressources pertinentes sont partagées avec les </w:t>
            </w:r>
            <w:r w:rsidR="004906A9">
              <w:rPr>
                <w:rFonts w:asciiTheme="minorHAnsi" w:hAnsiTheme="minorHAnsi"/>
              </w:rPr>
              <w:t>C</w:t>
            </w:r>
            <w:r w:rsidRPr="00011BB4">
              <w:rPr>
                <w:rFonts w:asciiTheme="minorHAnsi" w:hAnsiTheme="minorHAnsi"/>
              </w:rPr>
              <w:t xml:space="preserve">orrespondants nationaux récemment nommés. </w:t>
            </w:r>
          </w:p>
        </w:tc>
        <w:tc>
          <w:tcPr>
            <w:tcW w:w="1276" w:type="dxa"/>
          </w:tcPr>
          <w:p w14:paraId="1CD5E59F" w14:textId="77777777" w:rsidR="006A7F28" w:rsidRPr="00011BB4" w:rsidRDefault="002954E7"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Terminé</w:t>
            </w:r>
          </w:p>
        </w:tc>
      </w:tr>
      <w:tr w:rsidR="006A7F28" w:rsidRPr="00011BB4" w14:paraId="68A80E56"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4D60E295" w14:textId="77777777" w:rsidR="006A7F28" w:rsidRPr="00011BB4" w:rsidRDefault="00D57288" w:rsidP="00745275">
            <w:pPr>
              <w:rPr>
                <w:rFonts w:asciiTheme="minorHAnsi" w:hAnsiTheme="minorHAnsi" w:cstheme="minorHAnsi"/>
              </w:rPr>
            </w:pPr>
            <w:r w:rsidRPr="00011BB4">
              <w:rPr>
                <w:rFonts w:asciiTheme="minorHAnsi" w:hAnsiTheme="minorHAnsi"/>
              </w:rPr>
              <w:t>Refonte de l’espace dédié au renforcement des capacités sur le site internet de la Convention.</w:t>
            </w:r>
          </w:p>
        </w:tc>
        <w:tc>
          <w:tcPr>
            <w:tcW w:w="3119" w:type="dxa"/>
          </w:tcPr>
          <w:p w14:paraId="18E13A42" w14:textId="3DFAD0F4" w:rsidR="006A7F28" w:rsidRPr="00011BB4" w:rsidRDefault="4B127D4D"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Section centralisée pour les matériaux et ressources sur le renforcement des capacités.</w:t>
            </w:r>
          </w:p>
        </w:tc>
        <w:tc>
          <w:tcPr>
            <w:tcW w:w="3260" w:type="dxa"/>
          </w:tcPr>
          <w:p w14:paraId="1384BE6F" w14:textId="77777777" w:rsidR="006A7F28" w:rsidRPr="00011BB4" w:rsidRDefault="00D5728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Actualiser cette section du site internet de la Convention.</w:t>
            </w:r>
          </w:p>
        </w:tc>
        <w:tc>
          <w:tcPr>
            <w:tcW w:w="1276" w:type="dxa"/>
          </w:tcPr>
          <w:p w14:paraId="668A7499" w14:textId="77777777" w:rsidR="006A7F28" w:rsidRPr="00011BB4" w:rsidRDefault="002954E7"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Terminé</w:t>
            </w:r>
          </w:p>
        </w:tc>
      </w:tr>
      <w:tr w:rsidR="006A7F28" w:rsidRPr="00011BB4" w14:paraId="1AEF61B4"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123AE3A5" w14:textId="77777777" w:rsidR="006A7F28" w:rsidRPr="00011BB4" w:rsidRDefault="006A7F28" w:rsidP="00745275">
            <w:pPr>
              <w:rPr>
                <w:rFonts w:asciiTheme="minorHAnsi" w:hAnsiTheme="minorHAnsi" w:cstheme="minorHAnsi"/>
                <w:b w:val="0"/>
                <w:bCs w:val="0"/>
              </w:rPr>
            </w:pPr>
            <w:r w:rsidRPr="00011BB4">
              <w:rPr>
                <w:rFonts w:asciiTheme="minorHAnsi" w:hAnsiTheme="minorHAnsi"/>
              </w:rPr>
              <w:t>Formation régionale pour les gestionnaires de zones humides - Un manuel pour les Initiatives régionales Ramsar</w:t>
            </w:r>
          </w:p>
          <w:p w14:paraId="783BE1B7" w14:textId="77777777" w:rsidR="006A7F28" w:rsidRPr="00011BB4" w:rsidRDefault="006A7F28" w:rsidP="00745275">
            <w:pPr>
              <w:rPr>
                <w:rFonts w:asciiTheme="minorHAnsi" w:hAnsiTheme="minorHAnsi" w:cstheme="minorHAnsi"/>
                <w:i/>
              </w:rPr>
            </w:pPr>
          </w:p>
        </w:tc>
        <w:tc>
          <w:tcPr>
            <w:tcW w:w="3119" w:type="dxa"/>
          </w:tcPr>
          <w:p w14:paraId="2C4F3333" w14:textId="7D234634" w:rsidR="006A7F28" w:rsidRPr="00011BB4" w:rsidRDefault="006A7F28"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 xml:space="preserve">Pour renforcer la capacité des IRR à soutenir la mise en </w:t>
            </w:r>
            <w:r w:rsidR="00365585" w:rsidRPr="00011BB4">
              <w:rPr>
                <w:rFonts w:asciiTheme="minorHAnsi" w:hAnsiTheme="minorHAnsi"/>
              </w:rPr>
              <w:t>œuvre</w:t>
            </w:r>
            <w:r w:rsidRPr="00011BB4">
              <w:rPr>
                <w:rFonts w:asciiTheme="minorHAnsi" w:hAnsiTheme="minorHAnsi"/>
              </w:rPr>
              <w:t xml:space="preserve"> de la Convention, s’inspirer des ressources et activités </w:t>
            </w:r>
            <w:r w:rsidR="00365585">
              <w:rPr>
                <w:rFonts w:asciiTheme="minorHAnsi" w:hAnsiTheme="minorHAnsi"/>
              </w:rPr>
              <w:t xml:space="preserve">des </w:t>
            </w:r>
            <w:r w:rsidRPr="00011BB4">
              <w:rPr>
                <w:rFonts w:asciiTheme="minorHAnsi" w:hAnsiTheme="minorHAnsi"/>
              </w:rPr>
              <w:t xml:space="preserve">IRR ayant </w:t>
            </w:r>
            <w:r w:rsidR="00787E66">
              <w:rPr>
                <w:rFonts w:asciiTheme="minorHAnsi" w:hAnsiTheme="minorHAnsi"/>
              </w:rPr>
              <w:t>eu</w:t>
            </w:r>
            <w:r w:rsidRPr="00011BB4">
              <w:rPr>
                <w:rFonts w:asciiTheme="minorHAnsi" w:hAnsiTheme="minorHAnsi"/>
              </w:rPr>
              <w:t xml:space="preserve"> du succès et fournir des orientations pour les autres IRR.</w:t>
            </w:r>
          </w:p>
        </w:tc>
        <w:tc>
          <w:tcPr>
            <w:tcW w:w="3260" w:type="dxa"/>
          </w:tcPr>
          <w:p w14:paraId="756BFFF8" w14:textId="77777777"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Manuel de formation</w:t>
            </w:r>
          </w:p>
        </w:tc>
        <w:tc>
          <w:tcPr>
            <w:tcW w:w="1276" w:type="dxa"/>
          </w:tcPr>
          <w:p w14:paraId="4B47C222" w14:textId="77777777"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En phase de planification</w:t>
            </w:r>
          </w:p>
        </w:tc>
      </w:tr>
      <w:tr w:rsidR="006A7F28" w:rsidRPr="00011BB4" w14:paraId="4A84A39C"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6C83F793" w14:textId="692093A1" w:rsidR="006A7F28" w:rsidRPr="00011BB4" w:rsidRDefault="3F3A2B10" w:rsidP="00745275">
            <w:pPr>
              <w:rPr>
                <w:rFonts w:asciiTheme="minorHAnsi" w:hAnsiTheme="minorHAnsi" w:cstheme="minorBidi"/>
              </w:rPr>
            </w:pPr>
            <w:r w:rsidRPr="00011BB4">
              <w:rPr>
                <w:rFonts w:asciiTheme="minorHAnsi" w:hAnsiTheme="minorHAnsi"/>
              </w:rPr>
              <w:lastRenderedPageBreak/>
              <w:t xml:space="preserve">Formation </w:t>
            </w:r>
            <w:r w:rsidR="00F673E8">
              <w:rPr>
                <w:rFonts w:asciiTheme="minorHAnsi" w:hAnsiTheme="minorHAnsi"/>
              </w:rPr>
              <w:t>mondiale</w:t>
            </w:r>
            <w:r w:rsidRPr="00011BB4">
              <w:rPr>
                <w:rFonts w:asciiTheme="minorHAnsi" w:hAnsiTheme="minorHAnsi"/>
              </w:rPr>
              <w:t xml:space="preserve"> sur les inventaires nationaux des zones humides</w:t>
            </w:r>
          </w:p>
        </w:tc>
        <w:tc>
          <w:tcPr>
            <w:tcW w:w="3119" w:type="dxa"/>
          </w:tcPr>
          <w:p w14:paraId="1DBDC3A8" w14:textId="77777777" w:rsidR="006A7F28" w:rsidRPr="00011BB4" w:rsidRDefault="00E076DE"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 xml:space="preserve">Fournir aux Parties contractantes des informations et connaissances pour entreprendre et gérer des inventaires nationaux des zones humides. </w:t>
            </w:r>
          </w:p>
        </w:tc>
        <w:tc>
          <w:tcPr>
            <w:tcW w:w="3260" w:type="dxa"/>
          </w:tcPr>
          <w:p w14:paraId="1407C43F" w14:textId="2778747A" w:rsidR="006A7F28" w:rsidRPr="00011BB4" w:rsidRDefault="4C724475"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 xml:space="preserve">Formation sur le terrain répartie en trois modules. Le premier module « Introduction aux inventaires nationaux des zones humides » se tiendra courant 2024 en Corée du </w:t>
            </w:r>
            <w:r w:rsidR="00387796">
              <w:rPr>
                <w:rFonts w:asciiTheme="minorHAnsi" w:hAnsiTheme="minorHAnsi"/>
              </w:rPr>
              <w:t>S</w:t>
            </w:r>
            <w:r w:rsidRPr="00011BB4">
              <w:rPr>
                <w:rFonts w:asciiTheme="minorHAnsi" w:hAnsiTheme="minorHAnsi"/>
              </w:rPr>
              <w:t>ud, avec le soutien de l’UNOSD. Les deuxième et troisième module</w:t>
            </w:r>
            <w:r w:rsidR="00D8452C">
              <w:rPr>
                <w:rFonts w:asciiTheme="minorHAnsi" w:hAnsiTheme="minorHAnsi"/>
              </w:rPr>
              <w:t>s</w:t>
            </w:r>
            <w:r w:rsidRPr="00011BB4">
              <w:rPr>
                <w:rFonts w:asciiTheme="minorHAnsi" w:hAnsiTheme="minorHAnsi"/>
              </w:rPr>
              <w:t xml:space="preserve"> (respectivement sur les techniques d’observation de la Terre et sur la gestion et l’actualisation des inventaires nationaux des zones humides) seront proposés en 2025 et 2026.</w:t>
            </w:r>
          </w:p>
        </w:tc>
        <w:tc>
          <w:tcPr>
            <w:tcW w:w="1276" w:type="dxa"/>
          </w:tcPr>
          <w:p w14:paraId="090071EB" w14:textId="77777777" w:rsidR="006A7F28" w:rsidRPr="00011BB4" w:rsidRDefault="58CF2BCC" w:rsidP="4DAB62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11BB4">
              <w:rPr>
                <w:rFonts w:asciiTheme="minorHAnsi" w:hAnsiTheme="minorHAnsi"/>
              </w:rPr>
              <w:t>En cours de développement</w:t>
            </w:r>
          </w:p>
          <w:p w14:paraId="711EED5B" w14:textId="77777777"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6A7F28" w:rsidRPr="00011BB4" w14:paraId="4EDF258D"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14:paraId="5D8572B5" w14:textId="77777777" w:rsidR="006A7F28" w:rsidRPr="00011BB4" w:rsidRDefault="006A7F28" w:rsidP="00745275">
            <w:pPr>
              <w:rPr>
                <w:rFonts w:asciiTheme="minorHAnsi" w:hAnsiTheme="minorHAnsi" w:cstheme="minorHAnsi"/>
              </w:rPr>
            </w:pPr>
            <w:r w:rsidRPr="00011BB4">
              <w:rPr>
                <w:rFonts w:asciiTheme="minorHAnsi" w:hAnsiTheme="minorHAnsi"/>
              </w:rPr>
              <w:t>Formation pour les compilateurs de FDR sur l’utilisation du SISR</w:t>
            </w:r>
          </w:p>
        </w:tc>
        <w:tc>
          <w:tcPr>
            <w:tcW w:w="3119" w:type="dxa"/>
          </w:tcPr>
          <w:p w14:paraId="638E7E31" w14:textId="5545E962" w:rsidR="006A7F28" w:rsidRPr="00011BB4" w:rsidRDefault="00E076DE"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Fournir aux compilateurs de Fiche descriptive Ramsar (FDR) les connaissances et compétences requises pour utiliser efficacement le SISR et mettre à jour les FDR.</w:t>
            </w:r>
          </w:p>
        </w:tc>
        <w:tc>
          <w:tcPr>
            <w:tcW w:w="3260" w:type="dxa"/>
          </w:tcPr>
          <w:p w14:paraId="6C8C01FA" w14:textId="226D5183"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 xml:space="preserve">Cours en ligne interactifs pour se former en autonomie et à son propre rythme. </w:t>
            </w:r>
            <w:r w:rsidR="001351D2">
              <w:rPr>
                <w:rFonts w:asciiTheme="minorHAnsi" w:hAnsiTheme="minorHAnsi"/>
              </w:rPr>
              <w:t xml:space="preserve">Hébergés </w:t>
            </w:r>
            <w:r w:rsidR="00663BB3">
              <w:rPr>
                <w:rFonts w:asciiTheme="minorHAnsi" w:hAnsiTheme="minorHAnsi"/>
              </w:rPr>
              <w:t>sur</w:t>
            </w:r>
            <w:r w:rsidR="001351D2">
              <w:rPr>
                <w:rFonts w:asciiTheme="minorHAnsi" w:hAnsiTheme="minorHAnsi"/>
              </w:rPr>
              <w:t xml:space="preserve"> la plateforme</w:t>
            </w:r>
            <w:r w:rsidRPr="00011BB4">
              <w:rPr>
                <w:rFonts w:asciiTheme="minorHAnsi" w:hAnsiTheme="minorHAnsi"/>
              </w:rPr>
              <w:t xml:space="preserve"> </w:t>
            </w:r>
            <w:proofErr w:type="spellStart"/>
            <w:r w:rsidRPr="00011BB4">
              <w:rPr>
                <w:rFonts w:asciiTheme="minorHAnsi" w:hAnsiTheme="minorHAnsi"/>
              </w:rPr>
              <w:t>InforMEA</w:t>
            </w:r>
            <w:proofErr w:type="spellEnd"/>
            <w:r w:rsidRPr="00011BB4">
              <w:rPr>
                <w:rFonts w:asciiTheme="minorHAnsi" w:hAnsiTheme="minorHAnsi"/>
              </w:rPr>
              <w:t>.</w:t>
            </w:r>
          </w:p>
        </w:tc>
        <w:tc>
          <w:tcPr>
            <w:tcW w:w="1276" w:type="dxa"/>
          </w:tcPr>
          <w:p w14:paraId="5234CE67" w14:textId="313615A5" w:rsidR="006A7F28" w:rsidRPr="00011BB4" w:rsidRDefault="002E19FB"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Proposition</w:t>
            </w:r>
            <w:r w:rsidR="006A7F28" w:rsidRPr="00011BB4">
              <w:rPr>
                <w:rFonts w:asciiTheme="minorHAnsi" w:hAnsiTheme="minorHAnsi"/>
              </w:rPr>
              <w:t xml:space="preserve"> envoyée</w:t>
            </w:r>
          </w:p>
        </w:tc>
      </w:tr>
      <w:tr w:rsidR="006A7F28" w:rsidRPr="00011BB4" w14:paraId="7F4A513E"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61B06DC9" w14:textId="77777777" w:rsidR="006A7F28" w:rsidRPr="00011BB4" w:rsidRDefault="006A7F28" w:rsidP="00745275">
            <w:pPr>
              <w:rPr>
                <w:rFonts w:asciiTheme="minorHAnsi" w:hAnsiTheme="minorHAnsi" w:cstheme="minorHAnsi"/>
              </w:rPr>
            </w:pPr>
            <w:r w:rsidRPr="00011BB4">
              <w:rPr>
                <w:rFonts w:asciiTheme="minorHAnsi" w:hAnsiTheme="minorHAnsi"/>
              </w:rPr>
              <w:t>Webinaires de formation</w:t>
            </w:r>
          </w:p>
        </w:tc>
        <w:tc>
          <w:tcPr>
            <w:tcW w:w="3119" w:type="dxa"/>
          </w:tcPr>
          <w:p w14:paraId="48709082" w14:textId="77777777"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 xml:space="preserve">Mise en œuvre la nouvelle approche de CESP </w:t>
            </w:r>
          </w:p>
        </w:tc>
        <w:tc>
          <w:tcPr>
            <w:tcW w:w="3260" w:type="dxa"/>
          </w:tcPr>
          <w:p w14:paraId="2164B8EC" w14:textId="77777777"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Webinaire</w:t>
            </w:r>
          </w:p>
        </w:tc>
        <w:tc>
          <w:tcPr>
            <w:tcW w:w="1276" w:type="dxa"/>
          </w:tcPr>
          <w:p w14:paraId="30170C94" w14:textId="77777777" w:rsidR="006A7F28" w:rsidRPr="00011BB4" w:rsidRDefault="002954E7"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Q1 2024</w:t>
            </w:r>
          </w:p>
        </w:tc>
      </w:tr>
      <w:tr w:rsidR="006A7F28" w:rsidRPr="00011BB4" w14:paraId="1E285321"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611BC2AA" w14:textId="77777777" w:rsidR="006A7F28" w:rsidRPr="00011BB4" w:rsidRDefault="006A7F28" w:rsidP="00745275">
            <w:pPr>
              <w:rPr>
                <w:rFonts w:asciiTheme="minorHAnsi" w:hAnsiTheme="minorHAnsi" w:cstheme="minorHAnsi"/>
              </w:rPr>
            </w:pPr>
          </w:p>
        </w:tc>
        <w:tc>
          <w:tcPr>
            <w:tcW w:w="3119" w:type="dxa"/>
          </w:tcPr>
          <w:p w14:paraId="0107D971" w14:textId="78956372"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Publication des nouveaux documents d</w:t>
            </w:r>
            <w:r w:rsidR="004D4961">
              <w:rPr>
                <w:rFonts w:asciiTheme="minorHAnsi" w:hAnsiTheme="minorHAnsi"/>
              </w:rPr>
              <w:t>u GEST</w:t>
            </w:r>
          </w:p>
        </w:tc>
        <w:tc>
          <w:tcPr>
            <w:tcW w:w="3260" w:type="dxa"/>
          </w:tcPr>
          <w:p w14:paraId="252D63D3" w14:textId="77777777" w:rsidR="006A7F28" w:rsidRPr="00011BB4"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Webinaire</w:t>
            </w:r>
          </w:p>
        </w:tc>
        <w:tc>
          <w:tcPr>
            <w:tcW w:w="1276" w:type="dxa"/>
          </w:tcPr>
          <w:p w14:paraId="595B49BA" w14:textId="77777777" w:rsidR="006A7F28" w:rsidRPr="00011BB4" w:rsidRDefault="007A7B24" w:rsidP="00D5728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2024/2025</w:t>
            </w:r>
          </w:p>
        </w:tc>
      </w:tr>
      <w:tr w:rsidR="0064233F" w:rsidRPr="00011BB4" w14:paraId="19F96FE7"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0C09E006" w14:textId="77777777" w:rsidR="0064233F" w:rsidRPr="00011BB4" w:rsidRDefault="0064233F" w:rsidP="00745275">
            <w:pPr>
              <w:rPr>
                <w:rFonts w:asciiTheme="minorHAnsi" w:hAnsiTheme="minorHAnsi" w:cstheme="minorHAnsi"/>
              </w:rPr>
            </w:pPr>
          </w:p>
        </w:tc>
        <w:tc>
          <w:tcPr>
            <w:tcW w:w="3119" w:type="dxa"/>
          </w:tcPr>
          <w:p w14:paraId="71E40125" w14:textId="77777777" w:rsidR="0064233F" w:rsidRPr="00011BB4" w:rsidRDefault="006E71E4"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Soumission des Rapports nationaux à la COP</w:t>
            </w:r>
          </w:p>
        </w:tc>
        <w:tc>
          <w:tcPr>
            <w:tcW w:w="3260" w:type="dxa"/>
          </w:tcPr>
          <w:p w14:paraId="530CE6C5" w14:textId="77777777" w:rsidR="0064233F" w:rsidRPr="00011BB4" w:rsidRDefault="006E71E4"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Webinaire</w:t>
            </w:r>
          </w:p>
        </w:tc>
        <w:tc>
          <w:tcPr>
            <w:tcW w:w="1276" w:type="dxa"/>
          </w:tcPr>
          <w:p w14:paraId="30FDF6FF" w14:textId="77777777" w:rsidR="0064233F" w:rsidRPr="00011BB4" w:rsidRDefault="007A7B24" w:rsidP="00D5728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2024</w:t>
            </w:r>
          </w:p>
        </w:tc>
      </w:tr>
      <w:tr w:rsidR="00285898" w:rsidRPr="00011BB4" w14:paraId="06EBCB2D"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1146AD8A" w14:textId="77777777" w:rsidR="00285898" w:rsidRPr="00011BB4" w:rsidRDefault="00285898" w:rsidP="00285898">
            <w:pPr>
              <w:rPr>
                <w:rFonts w:asciiTheme="minorHAnsi" w:hAnsiTheme="minorHAnsi" w:cstheme="minorHAnsi"/>
              </w:rPr>
            </w:pPr>
          </w:p>
        </w:tc>
        <w:tc>
          <w:tcPr>
            <w:tcW w:w="3119" w:type="dxa"/>
          </w:tcPr>
          <w:p w14:paraId="5F7C3895" w14:textId="77777777" w:rsidR="00285898" w:rsidRPr="00011BB4"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Inventaires nationaux</w:t>
            </w:r>
          </w:p>
        </w:tc>
        <w:tc>
          <w:tcPr>
            <w:tcW w:w="3260" w:type="dxa"/>
          </w:tcPr>
          <w:p w14:paraId="3B93A7D6" w14:textId="77777777" w:rsidR="00285898" w:rsidRPr="00011BB4"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Webinaire</w:t>
            </w:r>
          </w:p>
        </w:tc>
        <w:tc>
          <w:tcPr>
            <w:tcW w:w="1276" w:type="dxa"/>
          </w:tcPr>
          <w:p w14:paraId="2A9A9250" w14:textId="77777777" w:rsidR="00285898" w:rsidRPr="00011BB4"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2024/2025</w:t>
            </w:r>
          </w:p>
        </w:tc>
      </w:tr>
      <w:tr w:rsidR="00285898" w:rsidRPr="00011BB4" w14:paraId="7F0F03FD" w14:textId="77777777"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14:paraId="1EDE3519" w14:textId="77777777" w:rsidR="00285898" w:rsidRPr="00011BB4" w:rsidRDefault="00285898" w:rsidP="00285898">
            <w:pPr>
              <w:rPr>
                <w:rFonts w:asciiTheme="minorHAnsi" w:hAnsiTheme="minorHAnsi" w:cstheme="minorHAnsi"/>
              </w:rPr>
            </w:pPr>
          </w:p>
        </w:tc>
        <w:tc>
          <w:tcPr>
            <w:tcW w:w="3119" w:type="dxa"/>
          </w:tcPr>
          <w:p w14:paraId="4DA7B8F4" w14:textId="105B6509" w:rsidR="00285898" w:rsidRPr="00011BB4" w:rsidRDefault="00A94C37"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SISR</w:t>
            </w:r>
          </w:p>
        </w:tc>
        <w:tc>
          <w:tcPr>
            <w:tcW w:w="3260" w:type="dxa"/>
          </w:tcPr>
          <w:p w14:paraId="366F3D4F" w14:textId="77777777" w:rsidR="00285898" w:rsidRPr="00011BB4"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Webinaire</w:t>
            </w:r>
          </w:p>
        </w:tc>
        <w:tc>
          <w:tcPr>
            <w:tcW w:w="1276" w:type="dxa"/>
          </w:tcPr>
          <w:p w14:paraId="648FE347" w14:textId="77777777" w:rsidR="00285898" w:rsidRPr="00011BB4"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1BB4">
              <w:rPr>
                <w:rFonts w:asciiTheme="minorHAnsi" w:hAnsiTheme="minorHAnsi"/>
              </w:rPr>
              <w:t>2024/2025</w:t>
            </w:r>
          </w:p>
        </w:tc>
      </w:tr>
    </w:tbl>
    <w:p w14:paraId="7E190202" w14:textId="77777777" w:rsidR="00605D48" w:rsidRPr="00011BB4" w:rsidRDefault="00605D48" w:rsidP="00745275">
      <w:pPr>
        <w:ind w:left="0" w:firstLine="0"/>
        <w:rPr>
          <w:rFonts w:cs="Arial"/>
          <w:b/>
          <w:sz w:val="24"/>
          <w:szCs w:val="24"/>
        </w:rPr>
      </w:pPr>
    </w:p>
    <w:sectPr w:rsidR="00605D48" w:rsidRPr="00011BB4" w:rsidSect="00E82C1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C34DA" w14:textId="77777777" w:rsidR="00E82C19" w:rsidRDefault="00E82C19" w:rsidP="00DF2386">
      <w:r>
        <w:separator/>
      </w:r>
    </w:p>
  </w:endnote>
  <w:endnote w:type="continuationSeparator" w:id="0">
    <w:p w14:paraId="636B043E" w14:textId="77777777" w:rsidR="00E82C19" w:rsidRDefault="00E82C19" w:rsidP="00DF2386">
      <w:r>
        <w:continuationSeparator/>
      </w:r>
    </w:p>
  </w:endnote>
  <w:endnote w:type="continuationNotice" w:id="1">
    <w:p w14:paraId="4D6020F1" w14:textId="77777777" w:rsidR="00E82C19" w:rsidRDefault="00E82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2868" w14:textId="77777777" w:rsidR="00D8452C" w:rsidRDefault="00D84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61B7" w14:textId="77777777" w:rsidR="00F73E71" w:rsidRDefault="001A05BE" w:rsidP="002137E0">
    <w:pPr>
      <w:pStyle w:val="Header"/>
      <w:rPr>
        <w:noProof/>
      </w:rPr>
    </w:pPr>
    <w:r>
      <w:rPr>
        <w:sz w:val="20"/>
      </w:rPr>
      <w:t>SC63 Doc.13.1</w:t>
    </w:r>
    <w:r>
      <w:tab/>
    </w:r>
    <w:r>
      <w:tab/>
    </w:r>
    <w:sdt>
      <w:sdtPr>
        <w:id w:val="-1790969534"/>
        <w:docPartObj>
          <w:docPartGallery w:val="Page Numbers (Top of Page)"/>
          <w:docPartUnique/>
        </w:docPartObj>
      </w:sdtPr>
      <w:sdtEndPr>
        <w:rPr>
          <w:noProof/>
        </w:rPr>
      </w:sdtEndPr>
      <w:sdtContent>
        <w:r w:rsidR="00F73E71" w:rsidRPr="00F344DE">
          <w:rPr>
            <w:sz w:val="20"/>
          </w:rPr>
          <w:fldChar w:fldCharType="begin"/>
        </w:r>
        <w:r w:rsidR="00F73E71" w:rsidRPr="00F344DE">
          <w:rPr>
            <w:sz w:val="20"/>
          </w:rPr>
          <w:instrText xml:space="preserve"> PAGE   \* MERGEFORMAT </w:instrText>
        </w:r>
        <w:r w:rsidR="00F73E71" w:rsidRPr="00F344DE">
          <w:rPr>
            <w:sz w:val="20"/>
          </w:rPr>
          <w:fldChar w:fldCharType="separate"/>
        </w:r>
        <w:r w:rsidR="00FC17BF">
          <w:rPr>
            <w:sz w:val="20"/>
          </w:rPr>
          <w:t>9</w:t>
        </w:r>
        <w:r w:rsidR="00F73E71" w:rsidRPr="00F344DE">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C551" w14:textId="77777777" w:rsidR="00D8452C" w:rsidRDefault="00D84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30547" w14:textId="77777777" w:rsidR="00E82C19" w:rsidRDefault="00E82C19" w:rsidP="00DF2386">
      <w:r>
        <w:separator/>
      </w:r>
    </w:p>
  </w:footnote>
  <w:footnote w:type="continuationSeparator" w:id="0">
    <w:p w14:paraId="2D6892E8" w14:textId="77777777" w:rsidR="00E82C19" w:rsidRDefault="00E82C19" w:rsidP="00DF2386">
      <w:r>
        <w:continuationSeparator/>
      </w:r>
    </w:p>
  </w:footnote>
  <w:footnote w:type="continuationNotice" w:id="1">
    <w:p w14:paraId="52A5C23D" w14:textId="77777777" w:rsidR="00E82C19" w:rsidRDefault="00E82C19"/>
  </w:footnote>
  <w:footnote w:id="2">
    <w:p w14:paraId="09D6D68C" w14:textId="3138159B" w:rsidR="00CF10DD" w:rsidRDefault="00CF10DD" w:rsidP="00CF10DD">
      <w:pPr>
        <w:pStyle w:val="FootnoteText"/>
        <w:ind w:left="0" w:firstLine="0"/>
      </w:pPr>
      <w:r>
        <w:rPr>
          <w:rStyle w:val="FootnoteReference"/>
        </w:rPr>
        <w:footnoteRef/>
      </w:r>
      <w:r>
        <w:t xml:space="preserve">Voir : </w:t>
      </w:r>
      <w:hyperlink r:id="rId1" w:history="1">
        <w:r>
          <w:rPr>
            <w:rStyle w:val="Hyperlink"/>
          </w:rPr>
          <w:t>https://www.un.org/fr/gender-inclusive-language/guidelines.shtml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A2C4" w14:textId="77777777" w:rsidR="0023536F" w:rsidRDefault="00B77484">
    <w:pPr>
      <w:pStyle w:val="Header"/>
    </w:pPr>
    <w:r>
      <w:pict w14:anchorId="666D4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1026"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5139" w14:textId="77777777" w:rsidR="00D8452C" w:rsidRDefault="00D84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58BE4" w14:textId="77777777" w:rsidR="00D8452C" w:rsidRDefault="00D8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321307"/>
    <w:multiLevelType w:val="hybridMultilevel"/>
    <w:tmpl w:val="388C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D54A2"/>
    <w:multiLevelType w:val="hybridMultilevel"/>
    <w:tmpl w:val="BD4ED7BE"/>
    <w:lvl w:ilvl="0" w:tplc="7968EE18">
      <w:start w:val="1"/>
      <w:numFmt w:val="decimal"/>
      <w:lvlText w:val="%1."/>
      <w:lvlJc w:val="left"/>
      <w:pPr>
        <w:ind w:left="780" w:hanging="420"/>
      </w:pPr>
      <w:rPr>
        <w:rFonts w:ascii="Calibri" w:eastAsia="Calibri" w:hAnsi="Calibri" w:cs="Arial"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4"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0CF0CA7"/>
    <w:multiLevelType w:val="hybridMultilevel"/>
    <w:tmpl w:val="3506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EA60685"/>
    <w:multiLevelType w:val="hybridMultilevel"/>
    <w:tmpl w:val="0E2C0BBC"/>
    <w:lvl w:ilvl="0" w:tplc="D3FE4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5"/>
  </w:num>
  <w:num w:numId="7">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0"/>
  </w:num>
  <w:num w:numId="13">
    <w:abstractNumId w:val="24"/>
  </w:num>
  <w:num w:numId="14">
    <w:abstractNumId w:val="19"/>
  </w:num>
  <w:num w:numId="15">
    <w:abstractNumId w:val="4"/>
  </w:num>
  <w:num w:numId="16">
    <w:abstractNumId w:val="21"/>
  </w:num>
  <w:num w:numId="17">
    <w:abstractNumId w:val="29"/>
  </w:num>
  <w:num w:numId="18">
    <w:abstractNumId w:val="42"/>
  </w:num>
  <w:num w:numId="19">
    <w:abstractNumId w:val="37"/>
  </w:num>
  <w:num w:numId="20">
    <w:abstractNumId w:val="31"/>
  </w:num>
  <w:num w:numId="21">
    <w:abstractNumId w:val="33"/>
  </w:num>
  <w:num w:numId="22">
    <w:abstractNumId w:val="22"/>
  </w:num>
  <w:num w:numId="23">
    <w:abstractNumId w:val="30"/>
  </w:num>
  <w:num w:numId="24">
    <w:abstractNumId w:val="27"/>
  </w:num>
  <w:num w:numId="25">
    <w:abstractNumId w:val="36"/>
  </w:num>
  <w:num w:numId="26">
    <w:abstractNumId w:val="15"/>
  </w:num>
  <w:num w:numId="27">
    <w:abstractNumId w:val="2"/>
  </w:num>
  <w:num w:numId="28">
    <w:abstractNumId w:val="18"/>
  </w:num>
  <w:num w:numId="29">
    <w:abstractNumId w:val="5"/>
  </w:num>
  <w:num w:numId="30">
    <w:abstractNumId w:val="16"/>
  </w:num>
  <w:num w:numId="31">
    <w:abstractNumId w:val="1"/>
  </w:num>
  <w:num w:numId="32">
    <w:abstractNumId w:val="12"/>
  </w:num>
  <w:num w:numId="33">
    <w:abstractNumId w:val="26"/>
  </w:num>
  <w:num w:numId="34">
    <w:abstractNumId w:val="40"/>
  </w:num>
  <w:num w:numId="35">
    <w:abstractNumId w:val="38"/>
  </w:num>
  <w:num w:numId="36">
    <w:abstractNumId w:val="28"/>
  </w:num>
  <w:num w:numId="37">
    <w:abstractNumId w:val="9"/>
  </w:num>
  <w:num w:numId="38">
    <w:abstractNumId w:val="8"/>
  </w:num>
  <w:num w:numId="39">
    <w:abstractNumId w:val="0"/>
  </w:num>
  <w:num w:numId="40">
    <w:abstractNumId w:val="6"/>
  </w:num>
  <w:num w:numId="41">
    <w:abstractNumId w:val="34"/>
  </w:num>
  <w:num w:numId="42">
    <w:abstractNumId w:val="8"/>
  </w:num>
  <w:num w:numId="43">
    <w:abstractNumId w:val="25"/>
  </w:num>
  <w:num w:numId="44">
    <w:abstractNumId w:val="7"/>
  </w:num>
  <w:num w:numId="45">
    <w:abstractNumId w:val="3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603F"/>
    <w:rsid w:val="00011BB4"/>
    <w:rsid w:val="00014168"/>
    <w:rsid w:val="000142B6"/>
    <w:rsid w:val="00017A16"/>
    <w:rsid w:val="00020F65"/>
    <w:rsid w:val="000217EF"/>
    <w:rsid w:val="00023125"/>
    <w:rsid w:val="00024607"/>
    <w:rsid w:val="00026E09"/>
    <w:rsid w:val="0003169F"/>
    <w:rsid w:val="0003480C"/>
    <w:rsid w:val="00035189"/>
    <w:rsid w:val="00037CE0"/>
    <w:rsid w:val="00037D35"/>
    <w:rsid w:val="00042981"/>
    <w:rsid w:val="0004527D"/>
    <w:rsid w:val="00050158"/>
    <w:rsid w:val="00052D33"/>
    <w:rsid w:val="00053929"/>
    <w:rsid w:val="00057001"/>
    <w:rsid w:val="0005742F"/>
    <w:rsid w:val="000710E1"/>
    <w:rsid w:val="0007175F"/>
    <w:rsid w:val="00074DE8"/>
    <w:rsid w:val="0007618D"/>
    <w:rsid w:val="0007637C"/>
    <w:rsid w:val="0007680D"/>
    <w:rsid w:val="00086EB0"/>
    <w:rsid w:val="00091EC0"/>
    <w:rsid w:val="00093844"/>
    <w:rsid w:val="00096787"/>
    <w:rsid w:val="000A3E3E"/>
    <w:rsid w:val="000A51D8"/>
    <w:rsid w:val="000B73C2"/>
    <w:rsid w:val="000C2489"/>
    <w:rsid w:val="000C2BE5"/>
    <w:rsid w:val="000D19CC"/>
    <w:rsid w:val="000D5C76"/>
    <w:rsid w:val="000D6329"/>
    <w:rsid w:val="000E2FA0"/>
    <w:rsid w:val="000E373A"/>
    <w:rsid w:val="000E47E9"/>
    <w:rsid w:val="000E56EF"/>
    <w:rsid w:val="000F0AD0"/>
    <w:rsid w:val="000F2325"/>
    <w:rsid w:val="000F315E"/>
    <w:rsid w:val="0010271F"/>
    <w:rsid w:val="00107C49"/>
    <w:rsid w:val="001138B9"/>
    <w:rsid w:val="00116E09"/>
    <w:rsid w:val="00116F63"/>
    <w:rsid w:val="0012096C"/>
    <w:rsid w:val="001251CA"/>
    <w:rsid w:val="00127828"/>
    <w:rsid w:val="001279AA"/>
    <w:rsid w:val="00131687"/>
    <w:rsid w:val="00133384"/>
    <w:rsid w:val="00133AFD"/>
    <w:rsid w:val="001351D2"/>
    <w:rsid w:val="001434D2"/>
    <w:rsid w:val="00146012"/>
    <w:rsid w:val="001469EF"/>
    <w:rsid w:val="0014749C"/>
    <w:rsid w:val="00151206"/>
    <w:rsid w:val="00151986"/>
    <w:rsid w:val="0015681E"/>
    <w:rsid w:val="00156FDC"/>
    <w:rsid w:val="00161BDA"/>
    <w:rsid w:val="00162642"/>
    <w:rsid w:val="00164682"/>
    <w:rsid w:val="00171618"/>
    <w:rsid w:val="001803FF"/>
    <w:rsid w:val="001819B1"/>
    <w:rsid w:val="0019225B"/>
    <w:rsid w:val="001954F7"/>
    <w:rsid w:val="00197139"/>
    <w:rsid w:val="001A05BE"/>
    <w:rsid w:val="001A2272"/>
    <w:rsid w:val="001A2D10"/>
    <w:rsid w:val="001A44B6"/>
    <w:rsid w:val="001A4900"/>
    <w:rsid w:val="001B0245"/>
    <w:rsid w:val="001B64DE"/>
    <w:rsid w:val="001C0CF8"/>
    <w:rsid w:val="001C0EDA"/>
    <w:rsid w:val="001C5E41"/>
    <w:rsid w:val="001C7045"/>
    <w:rsid w:val="001C77BC"/>
    <w:rsid w:val="001C7B26"/>
    <w:rsid w:val="001C7BC9"/>
    <w:rsid w:val="001D0052"/>
    <w:rsid w:val="001D1618"/>
    <w:rsid w:val="001D48BB"/>
    <w:rsid w:val="001D4BF8"/>
    <w:rsid w:val="001D5ACC"/>
    <w:rsid w:val="001D6486"/>
    <w:rsid w:val="001E00E3"/>
    <w:rsid w:val="001E2E28"/>
    <w:rsid w:val="001E441F"/>
    <w:rsid w:val="001E497A"/>
    <w:rsid w:val="001F2349"/>
    <w:rsid w:val="001F462F"/>
    <w:rsid w:val="001F7174"/>
    <w:rsid w:val="002005D2"/>
    <w:rsid w:val="0020298B"/>
    <w:rsid w:val="002050C8"/>
    <w:rsid w:val="00205D7F"/>
    <w:rsid w:val="00206111"/>
    <w:rsid w:val="002137E0"/>
    <w:rsid w:val="00216875"/>
    <w:rsid w:val="00223A4C"/>
    <w:rsid w:val="00225738"/>
    <w:rsid w:val="002279E3"/>
    <w:rsid w:val="00232E67"/>
    <w:rsid w:val="0023536F"/>
    <w:rsid w:val="00235841"/>
    <w:rsid w:val="00246D11"/>
    <w:rsid w:val="00255EB3"/>
    <w:rsid w:val="00255ED0"/>
    <w:rsid w:val="00265331"/>
    <w:rsid w:val="002709DE"/>
    <w:rsid w:val="002741AC"/>
    <w:rsid w:val="00275F13"/>
    <w:rsid w:val="00276205"/>
    <w:rsid w:val="00277716"/>
    <w:rsid w:val="00277FE2"/>
    <w:rsid w:val="002819C0"/>
    <w:rsid w:val="00283883"/>
    <w:rsid w:val="00283C1B"/>
    <w:rsid w:val="0028512F"/>
    <w:rsid w:val="00285776"/>
    <w:rsid w:val="00285898"/>
    <w:rsid w:val="0028594D"/>
    <w:rsid w:val="002869E4"/>
    <w:rsid w:val="0028772C"/>
    <w:rsid w:val="002938D3"/>
    <w:rsid w:val="002954E7"/>
    <w:rsid w:val="00295556"/>
    <w:rsid w:val="00295BB5"/>
    <w:rsid w:val="002A1981"/>
    <w:rsid w:val="002A447C"/>
    <w:rsid w:val="002A5A4D"/>
    <w:rsid w:val="002B4262"/>
    <w:rsid w:val="002B6B21"/>
    <w:rsid w:val="002B72AC"/>
    <w:rsid w:val="002C274B"/>
    <w:rsid w:val="002C31C7"/>
    <w:rsid w:val="002C4F88"/>
    <w:rsid w:val="002D5A4D"/>
    <w:rsid w:val="002D5C60"/>
    <w:rsid w:val="002E0026"/>
    <w:rsid w:val="002E138D"/>
    <w:rsid w:val="002E19FB"/>
    <w:rsid w:val="002E22AF"/>
    <w:rsid w:val="002F025C"/>
    <w:rsid w:val="002F1438"/>
    <w:rsid w:val="002F33DD"/>
    <w:rsid w:val="002F4E3F"/>
    <w:rsid w:val="002F6155"/>
    <w:rsid w:val="002F61FA"/>
    <w:rsid w:val="002F739F"/>
    <w:rsid w:val="00303113"/>
    <w:rsid w:val="003039B3"/>
    <w:rsid w:val="00304865"/>
    <w:rsid w:val="00307E02"/>
    <w:rsid w:val="00313561"/>
    <w:rsid w:val="00315CC2"/>
    <w:rsid w:val="003209B0"/>
    <w:rsid w:val="00324398"/>
    <w:rsid w:val="00330267"/>
    <w:rsid w:val="003358A4"/>
    <w:rsid w:val="00343AF3"/>
    <w:rsid w:val="00345BA2"/>
    <w:rsid w:val="00352C68"/>
    <w:rsid w:val="00355C06"/>
    <w:rsid w:val="00365585"/>
    <w:rsid w:val="0036636E"/>
    <w:rsid w:val="003678B2"/>
    <w:rsid w:val="00370C3C"/>
    <w:rsid w:val="00372E1B"/>
    <w:rsid w:val="003737D2"/>
    <w:rsid w:val="003742F2"/>
    <w:rsid w:val="00376C19"/>
    <w:rsid w:val="003824A1"/>
    <w:rsid w:val="0038252A"/>
    <w:rsid w:val="00384FC3"/>
    <w:rsid w:val="00387448"/>
    <w:rsid w:val="00387796"/>
    <w:rsid w:val="00392B24"/>
    <w:rsid w:val="003A3503"/>
    <w:rsid w:val="003A3804"/>
    <w:rsid w:val="003A525D"/>
    <w:rsid w:val="003A52BE"/>
    <w:rsid w:val="003A5866"/>
    <w:rsid w:val="003A6E80"/>
    <w:rsid w:val="003A6E9F"/>
    <w:rsid w:val="003B1B96"/>
    <w:rsid w:val="003B4355"/>
    <w:rsid w:val="003B7C2F"/>
    <w:rsid w:val="003C056B"/>
    <w:rsid w:val="003C2D9F"/>
    <w:rsid w:val="003C432D"/>
    <w:rsid w:val="003C55D8"/>
    <w:rsid w:val="003C5A18"/>
    <w:rsid w:val="003C5A85"/>
    <w:rsid w:val="003D3ECE"/>
    <w:rsid w:val="003D4CD6"/>
    <w:rsid w:val="003E656F"/>
    <w:rsid w:val="003F0534"/>
    <w:rsid w:val="003F7162"/>
    <w:rsid w:val="0040309F"/>
    <w:rsid w:val="00415131"/>
    <w:rsid w:val="00417CD6"/>
    <w:rsid w:val="00420882"/>
    <w:rsid w:val="00422508"/>
    <w:rsid w:val="004228C7"/>
    <w:rsid w:val="00423807"/>
    <w:rsid w:val="00425E5A"/>
    <w:rsid w:val="004269AE"/>
    <w:rsid w:val="0042798B"/>
    <w:rsid w:val="0043164F"/>
    <w:rsid w:val="0043294E"/>
    <w:rsid w:val="00434913"/>
    <w:rsid w:val="0044217A"/>
    <w:rsid w:val="004433B6"/>
    <w:rsid w:val="004474F8"/>
    <w:rsid w:val="004507B5"/>
    <w:rsid w:val="0045177D"/>
    <w:rsid w:val="004541BC"/>
    <w:rsid w:val="004555A0"/>
    <w:rsid w:val="00463125"/>
    <w:rsid w:val="0046542D"/>
    <w:rsid w:val="00465ED5"/>
    <w:rsid w:val="0047068A"/>
    <w:rsid w:val="00477550"/>
    <w:rsid w:val="0047785E"/>
    <w:rsid w:val="00483903"/>
    <w:rsid w:val="004844A8"/>
    <w:rsid w:val="004906A9"/>
    <w:rsid w:val="00491089"/>
    <w:rsid w:val="004910C2"/>
    <w:rsid w:val="00492FBC"/>
    <w:rsid w:val="00493991"/>
    <w:rsid w:val="00495AB7"/>
    <w:rsid w:val="00495C06"/>
    <w:rsid w:val="00496803"/>
    <w:rsid w:val="004B6688"/>
    <w:rsid w:val="004B6C84"/>
    <w:rsid w:val="004B71D7"/>
    <w:rsid w:val="004C3718"/>
    <w:rsid w:val="004C4827"/>
    <w:rsid w:val="004D06FC"/>
    <w:rsid w:val="004D1CCA"/>
    <w:rsid w:val="004D4961"/>
    <w:rsid w:val="004D4C7A"/>
    <w:rsid w:val="004D633A"/>
    <w:rsid w:val="004E172A"/>
    <w:rsid w:val="004F0EAF"/>
    <w:rsid w:val="004F23D2"/>
    <w:rsid w:val="004F376E"/>
    <w:rsid w:val="004F7951"/>
    <w:rsid w:val="00506DC3"/>
    <w:rsid w:val="005172F8"/>
    <w:rsid w:val="005209BF"/>
    <w:rsid w:val="005244A4"/>
    <w:rsid w:val="00527783"/>
    <w:rsid w:val="0053230D"/>
    <w:rsid w:val="00533848"/>
    <w:rsid w:val="0054006B"/>
    <w:rsid w:val="00551534"/>
    <w:rsid w:val="00551ABC"/>
    <w:rsid w:val="00552F22"/>
    <w:rsid w:val="00570538"/>
    <w:rsid w:val="00572B35"/>
    <w:rsid w:val="0058054F"/>
    <w:rsid w:val="00580B07"/>
    <w:rsid w:val="0058117E"/>
    <w:rsid w:val="005814B5"/>
    <w:rsid w:val="005824BD"/>
    <w:rsid w:val="00582730"/>
    <w:rsid w:val="00583A2C"/>
    <w:rsid w:val="005871DD"/>
    <w:rsid w:val="00592F6E"/>
    <w:rsid w:val="0059787B"/>
    <w:rsid w:val="005A0A7E"/>
    <w:rsid w:val="005A0D44"/>
    <w:rsid w:val="005A4FD4"/>
    <w:rsid w:val="005A746A"/>
    <w:rsid w:val="005A7C2F"/>
    <w:rsid w:val="005B2AAD"/>
    <w:rsid w:val="005B36DE"/>
    <w:rsid w:val="005B6597"/>
    <w:rsid w:val="005B7DBC"/>
    <w:rsid w:val="005C06A3"/>
    <w:rsid w:val="005C249F"/>
    <w:rsid w:val="005C67DF"/>
    <w:rsid w:val="005D18C3"/>
    <w:rsid w:val="005D3E9D"/>
    <w:rsid w:val="005D559B"/>
    <w:rsid w:val="005D6030"/>
    <w:rsid w:val="005D6845"/>
    <w:rsid w:val="005D6A95"/>
    <w:rsid w:val="005D725E"/>
    <w:rsid w:val="005D7A68"/>
    <w:rsid w:val="005D7AD1"/>
    <w:rsid w:val="005E7C7A"/>
    <w:rsid w:val="005F29B5"/>
    <w:rsid w:val="005F4543"/>
    <w:rsid w:val="005F64D4"/>
    <w:rsid w:val="006020B8"/>
    <w:rsid w:val="00602136"/>
    <w:rsid w:val="00605D48"/>
    <w:rsid w:val="00606024"/>
    <w:rsid w:val="00610B09"/>
    <w:rsid w:val="00611245"/>
    <w:rsid w:val="00615F8C"/>
    <w:rsid w:val="006164EF"/>
    <w:rsid w:val="00621F90"/>
    <w:rsid w:val="006241C9"/>
    <w:rsid w:val="00624758"/>
    <w:rsid w:val="00624A4C"/>
    <w:rsid w:val="006256D3"/>
    <w:rsid w:val="00627BB7"/>
    <w:rsid w:val="00634DA1"/>
    <w:rsid w:val="00635B36"/>
    <w:rsid w:val="0064233F"/>
    <w:rsid w:val="00644A13"/>
    <w:rsid w:val="0065136E"/>
    <w:rsid w:val="006540D1"/>
    <w:rsid w:val="006562C1"/>
    <w:rsid w:val="006624BF"/>
    <w:rsid w:val="00663BB3"/>
    <w:rsid w:val="00667549"/>
    <w:rsid w:val="0067066B"/>
    <w:rsid w:val="00670C49"/>
    <w:rsid w:val="00670D71"/>
    <w:rsid w:val="00677083"/>
    <w:rsid w:val="00696101"/>
    <w:rsid w:val="006A1B0C"/>
    <w:rsid w:val="006A2401"/>
    <w:rsid w:val="006A6A86"/>
    <w:rsid w:val="006A7F28"/>
    <w:rsid w:val="006C5D87"/>
    <w:rsid w:val="006D1093"/>
    <w:rsid w:val="006D7318"/>
    <w:rsid w:val="006E610A"/>
    <w:rsid w:val="006E71E4"/>
    <w:rsid w:val="006E7528"/>
    <w:rsid w:val="006E7DCE"/>
    <w:rsid w:val="006F0FD6"/>
    <w:rsid w:val="006F44D4"/>
    <w:rsid w:val="00704FE7"/>
    <w:rsid w:val="007050B9"/>
    <w:rsid w:val="007050FF"/>
    <w:rsid w:val="00713AD6"/>
    <w:rsid w:val="00715737"/>
    <w:rsid w:val="00725BE7"/>
    <w:rsid w:val="00731E33"/>
    <w:rsid w:val="0073527C"/>
    <w:rsid w:val="00737C66"/>
    <w:rsid w:val="00745275"/>
    <w:rsid w:val="00745B20"/>
    <w:rsid w:val="00752764"/>
    <w:rsid w:val="00754DB3"/>
    <w:rsid w:val="00757B1A"/>
    <w:rsid w:val="007641BB"/>
    <w:rsid w:val="00764452"/>
    <w:rsid w:val="00765652"/>
    <w:rsid w:val="00765854"/>
    <w:rsid w:val="00766962"/>
    <w:rsid w:val="00766BA8"/>
    <w:rsid w:val="00767BA9"/>
    <w:rsid w:val="00770FFD"/>
    <w:rsid w:val="00771054"/>
    <w:rsid w:val="00771677"/>
    <w:rsid w:val="00772753"/>
    <w:rsid w:val="007745BA"/>
    <w:rsid w:val="00775287"/>
    <w:rsid w:val="00776FFB"/>
    <w:rsid w:val="007774F2"/>
    <w:rsid w:val="00777C27"/>
    <w:rsid w:val="007810BB"/>
    <w:rsid w:val="007814B0"/>
    <w:rsid w:val="007844C4"/>
    <w:rsid w:val="00787E66"/>
    <w:rsid w:val="007907F1"/>
    <w:rsid w:val="00794652"/>
    <w:rsid w:val="00794E45"/>
    <w:rsid w:val="0079693F"/>
    <w:rsid w:val="007979DD"/>
    <w:rsid w:val="007A07B2"/>
    <w:rsid w:val="007A1C92"/>
    <w:rsid w:val="007A5107"/>
    <w:rsid w:val="007A7B24"/>
    <w:rsid w:val="007B2448"/>
    <w:rsid w:val="007C4093"/>
    <w:rsid w:val="007C4FB4"/>
    <w:rsid w:val="007D2BB6"/>
    <w:rsid w:val="007D33F4"/>
    <w:rsid w:val="007E1236"/>
    <w:rsid w:val="007E136A"/>
    <w:rsid w:val="007E46D6"/>
    <w:rsid w:val="007F3ABE"/>
    <w:rsid w:val="007F5813"/>
    <w:rsid w:val="007F62F4"/>
    <w:rsid w:val="00800A86"/>
    <w:rsid w:val="00807057"/>
    <w:rsid w:val="00821433"/>
    <w:rsid w:val="0082143C"/>
    <w:rsid w:val="00821A70"/>
    <w:rsid w:val="00822D08"/>
    <w:rsid w:val="008312CB"/>
    <w:rsid w:val="008328E9"/>
    <w:rsid w:val="00832C0D"/>
    <w:rsid w:val="00835BCB"/>
    <w:rsid w:val="00835CDC"/>
    <w:rsid w:val="0083768D"/>
    <w:rsid w:val="00847483"/>
    <w:rsid w:val="008506C8"/>
    <w:rsid w:val="00850B09"/>
    <w:rsid w:val="00863B9D"/>
    <w:rsid w:val="00863BE6"/>
    <w:rsid w:val="008650E9"/>
    <w:rsid w:val="00866265"/>
    <w:rsid w:val="00867FD2"/>
    <w:rsid w:val="00873205"/>
    <w:rsid w:val="008733A1"/>
    <w:rsid w:val="008752D1"/>
    <w:rsid w:val="008775BB"/>
    <w:rsid w:val="008775BC"/>
    <w:rsid w:val="00882F1B"/>
    <w:rsid w:val="00885EF4"/>
    <w:rsid w:val="00886921"/>
    <w:rsid w:val="00886DAE"/>
    <w:rsid w:val="00887299"/>
    <w:rsid w:val="008969FA"/>
    <w:rsid w:val="00897F56"/>
    <w:rsid w:val="008A6505"/>
    <w:rsid w:val="008A70CE"/>
    <w:rsid w:val="008B5BBA"/>
    <w:rsid w:val="008C0651"/>
    <w:rsid w:val="008C25E4"/>
    <w:rsid w:val="008C2DAE"/>
    <w:rsid w:val="008C5139"/>
    <w:rsid w:val="008D0A75"/>
    <w:rsid w:val="008D12FA"/>
    <w:rsid w:val="008D75D4"/>
    <w:rsid w:val="008E1456"/>
    <w:rsid w:val="008E28FF"/>
    <w:rsid w:val="008E4F79"/>
    <w:rsid w:val="008F377A"/>
    <w:rsid w:val="008F50F9"/>
    <w:rsid w:val="008F5991"/>
    <w:rsid w:val="00903BD9"/>
    <w:rsid w:val="009059A9"/>
    <w:rsid w:val="00910FBD"/>
    <w:rsid w:val="00915849"/>
    <w:rsid w:val="0092149A"/>
    <w:rsid w:val="009215F7"/>
    <w:rsid w:val="00921DFC"/>
    <w:rsid w:val="0092515E"/>
    <w:rsid w:val="00925AC0"/>
    <w:rsid w:val="00926805"/>
    <w:rsid w:val="00926F0C"/>
    <w:rsid w:val="00936F27"/>
    <w:rsid w:val="009413EC"/>
    <w:rsid w:val="00941AA9"/>
    <w:rsid w:val="00942FBD"/>
    <w:rsid w:val="00944B04"/>
    <w:rsid w:val="00946509"/>
    <w:rsid w:val="0094770B"/>
    <w:rsid w:val="00951B7B"/>
    <w:rsid w:val="00960D15"/>
    <w:rsid w:val="00964154"/>
    <w:rsid w:val="00965527"/>
    <w:rsid w:val="00966DB7"/>
    <w:rsid w:val="00967BF0"/>
    <w:rsid w:val="00970968"/>
    <w:rsid w:val="009726B3"/>
    <w:rsid w:val="009744DA"/>
    <w:rsid w:val="00976BFC"/>
    <w:rsid w:val="00977079"/>
    <w:rsid w:val="00984745"/>
    <w:rsid w:val="00985016"/>
    <w:rsid w:val="00990126"/>
    <w:rsid w:val="009915F5"/>
    <w:rsid w:val="00993D54"/>
    <w:rsid w:val="009A1BCE"/>
    <w:rsid w:val="009B2267"/>
    <w:rsid w:val="009B2288"/>
    <w:rsid w:val="009B2573"/>
    <w:rsid w:val="009B2CAC"/>
    <w:rsid w:val="009B738E"/>
    <w:rsid w:val="009B7B70"/>
    <w:rsid w:val="009C0ABF"/>
    <w:rsid w:val="009C19BE"/>
    <w:rsid w:val="009C5199"/>
    <w:rsid w:val="009C56A3"/>
    <w:rsid w:val="009D3DAF"/>
    <w:rsid w:val="009D7492"/>
    <w:rsid w:val="009E0AE8"/>
    <w:rsid w:val="009E0C1F"/>
    <w:rsid w:val="009E5374"/>
    <w:rsid w:val="009E7368"/>
    <w:rsid w:val="009F345D"/>
    <w:rsid w:val="009F6A76"/>
    <w:rsid w:val="00A00C84"/>
    <w:rsid w:val="00A01EA6"/>
    <w:rsid w:val="00A02529"/>
    <w:rsid w:val="00A0476B"/>
    <w:rsid w:val="00A13218"/>
    <w:rsid w:val="00A13296"/>
    <w:rsid w:val="00A2039A"/>
    <w:rsid w:val="00A20D3D"/>
    <w:rsid w:val="00A215E7"/>
    <w:rsid w:val="00A227A3"/>
    <w:rsid w:val="00A240F0"/>
    <w:rsid w:val="00A25E54"/>
    <w:rsid w:val="00A26E53"/>
    <w:rsid w:val="00A347E8"/>
    <w:rsid w:val="00A36200"/>
    <w:rsid w:val="00A43F61"/>
    <w:rsid w:val="00A44B12"/>
    <w:rsid w:val="00A44BF5"/>
    <w:rsid w:val="00A5033C"/>
    <w:rsid w:val="00A534EB"/>
    <w:rsid w:val="00A53A55"/>
    <w:rsid w:val="00A545B3"/>
    <w:rsid w:val="00A54D5B"/>
    <w:rsid w:val="00A60B73"/>
    <w:rsid w:val="00A63133"/>
    <w:rsid w:val="00A65837"/>
    <w:rsid w:val="00A65CF6"/>
    <w:rsid w:val="00A706F0"/>
    <w:rsid w:val="00A70795"/>
    <w:rsid w:val="00A7554F"/>
    <w:rsid w:val="00A80080"/>
    <w:rsid w:val="00A93ACF"/>
    <w:rsid w:val="00A94C37"/>
    <w:rsid w:val="00A9552A"/>
    <w:rsid w:val="00A97A5B"/>
    <w:rsid w:val="00AA4FFD"/>
    <w:rsid w:val="00AA5766"/>
    <w:rsid w:val="00AA58D9"/>
    <w:rsid w:val="00AA6440"/>
    <w:rsid w:val="00AB10AC"/>
    <w:rsid w:val="00AB4951"/>
    <w:rsid w:val="00AB6E08"/>
    <w:rsid w:val="00AC61DA"/>
    <w:rsid w:val="00AE4DD8"/>
    <w:rsid w:val="00AE5D0F"/>
    <w:rsid w:val="00AE63F1"/>
    <w:rsid w:val="00AF3B16"/>
    <w:rsid w:val="00AF4241"/>
    <w:rsid w:val="00AF424E"/>
    <w:rsid w:val="00AF4E5A"/>
    <w:rsid w:val="00B03230"/>
    <w:rsid w:val="00B05853"/>
    <w:rsid w:val="00B23512"/>
    <w:rsid w:val="00B2547D"/>
    <w:rsid w:val="00B27FFC"/>
    <w:rsid w:val="00B315A0"/>
    <w:rsid w:val="00B349E9"/>
    <w:rsid w:val="00B34A18"/>
    <w:rsid w:val="00B357FA"/>
    <w:rsid w:val="00B37575"/>
    <w:rsid w:val="00B42194"/>
    <w:rsid w:val="00B44B62"/>
    <w:rsid w:val="00B468CE"/>
    <w:rsid w:val="00B500C2"/>
    <w:rsid w:val="00B52B7F"/>
    <w:rsid w:val="00B53A08"/>
    <w:rsid w:val="00B555BA"/>
    <w:rsid w:val="00B5599F"/>
    <w:rsid w:val="00B579CB"/>
    <w:rsid w:val="00B57E14"/>
    <w:rsid w:val="00B626CD"/>
    <w:rsid w:val="00B665FC"/>
    <w:rsid w:val="00B70083"/>
    <w:rsid w:val="00B73C19"/>
    <w:rsid w:val="00B76C9A"/>
    <w:rsid w:val="00B77484"/>
    <w:rsid w:val="00B827B6"/>
    <w:rsid w:val="00B83C2C"/>
    <w:rsid w:val="00B83EF9"/>
    <w:rsid w:val="00B928A3"/>
    <w:rsid w:val="00B92AF4"/>
    <w:rsid w:val="00B94B55"/>
    <w:rsid w:val="00B95C2F"/>
    <w:rsid w:val="00B96479"/>
    <w:rsid w:val="00BA58DF"/>
    <w:rsid w:val="00BB0975"/>
    <w:rsid w:val="00BB0D91"/>
    <w:rsid w:val="00BB14FD"/>
    <w:rsid w:val="00BB23DD"/>
    <w:rsid w:val="00BB28F6"/>
    <w:rsid w:val="00BC0C3C"/>
    <w:rsid w:val="00BC2609"/>
    <w:rsid w:val="00BC7C4F"/>
    <w:rsid w:val="00BE0D20"/>
    <w:rsid w:val="00BE226A"/>
    <w:rsid w:val="00BF1573"/>
    <w:rsid w:val="00BF2725"/>
    <w:rsid w:val="00BF45A4"/>
    <w:rsid w:val="00BF4697"/>
    <w:rsid w:val="00C00C89"/>
    <w:rsid w:val="00C03869"/>
    <w:rsid w:val="00C0528F"/>
    <w:rsid w:val="00C05EE4"/>
    <w:rsid w:val="00C0708D"/>
    <w:rsid w:val="00C0746D"/>
    <w:rsid w:val="00C07A56"/>
    <w:rsid w:val="00C13145"/>
    <w:rsid w:val="00C1350C"/>
    <w:rsid w:val="00C224A7"/>
    <w:rsid w:val="00C24807"/>
    <w:rsid w:val="00C24992"/>
    <w:rsid w:val="00C2619E"/>
    <w:rsid w:val="00C3056D"/>
    <w:rsid w:val="00C31E16"/>
    <w:rsid w:val="00C32383"/>
    <w:rsid w:val="00C327C8"/>
    <w:rsid w:val="00C61599"/>
    <w:rsid w:val="00C63612"/>
    <w:rsid w:val="00C7295A"/>
    <w:rsid w:val="00C748CB"/>
    <w:rsid w:val="00C86882"/>
    <w:rsid w:val="00C90BC1"/>
    <w:rsid w:val="00C94D9C"/>
    <w:rsid w:val="00C965CD"/>
    <w:rsid w:val="00CA6521"/>
    <w:rsid w:val="00CA6757"/>
    <w:rsid w:val="00CA6F14"/>
    <w:rsid w:val="00CB2AC8"/>
    <w:rsid w:val="00CB3B07"/>
    <w:rsid w:val="00CB74C2"/>
    <w:rsid w:val="00CC3833"/>
    <w:rsid w:val="00CC64BC"/>
    <w:rsid w:val="00CD05B5"/>
    <w:rsid w:val="00CE295B"/>
    <w:rsid w:val="00CE750F"/>
    <w:rsid w:val="00CF10DD"/>
    <w:rsid w:val="00CF23EE"/>
    <w:rsid w:val="00CF53C8"/>
    <w:rsid w:val="00D01FCF"/>
    <w:rsid w:val="00D0209C"/>
    <w:rsid w:val="00D04FE9"/>
    <w:rsid w:val="00D10FF1"/>
    <w:rsid w:val="00D12807"/>
    <w:rsid w:val="00D15243"/>
    <w:rsid w:val="00D160CB"/>
    <w:rsid w:val="00D245A1"/>
    <w:rsid w:val="00D27B75"/>
    <w:rsid w:val="00D375D7"/>
    <w:rsid w:val="00D41172"/>
    <w:rsid w:val="00D415E2"/>
    <w:rsid w:val="00D42055"/>
    <w:rsid w:val="00D424FA"/>
    <w:rsid w:val="00D43113"/>
    <w:rsid w:val="00D464F9"/>
    <w:rsid w:val="00D4692D"/>
    <w:rsid w:val="00D470CF"/>
    <w:rsid w:val="00D57288"/>
    <w:rsid w:val="00D647C3"/>
    <w:rsid w:val="00D64F7B"/>
    <w:rsid w:val="00D66B5C"/>
    <w:rsid w:val="00D73C15"/>
    <w:rsid w:val="00D7492C"/>
    <w:rsid w:val="00D75D32"/>
    <w:rsid w:val="00D77339"/>
    <w:rsid w:val="00D8452C"/>
    <w:rsid w:val="00D851EF"/>
    <w:rsid w:val="00D873CE"/>
    <w:rsid w:val="00D87691"/>
    <w:rsid w:val="00D930FA"/>
    <w:rsid w:val="00D9633A"/>
    <w:rsid w:val="00DA0EA2"/>
    <w:rsid w:val="00DA3C64"/>
    <w:rsid w:val="00DA565B"/>
    <w:rsid w:val="00DA6911"/>
    <w:rsid w:val="00DB54AC"/>
    <w:rsid w:val="00DC7DC6"/>
    <w:rsid w:val="00DD24D8"/>
    <w:rsid w:val="00DD3FB5"/>
    <w:rsid w:val="00DE4EC9"/>
    <w:rsid w:val="00DE5579"/>
    <w:rsid w:val="00DF0C4E"/>
    <w:rsid w:val="00DF2386"/>
    <w:rsid w:val="00DF54C1"/>
    <w:rsid w:val="00DF5550"/>
    <w:rsid w:val="00DF7FE7"/>
    <w:rsid w:val="00E03864"/>
    <w:rsid w:val="00E076DE"/>
    <w:rsid w:val="00E117C4"/>
    <w:rsid w:val="00E13480"/>
    <w:rsid w:val="00E13B32"/>
    <w:rsid w:val="00E20696"/>
    <w:rsid w:val="00E20FFC"/>
    <w:rsid w:val="00E21E46"/>
    <w:rsid w:val="00E269C5"/>
    <w:rsid w:val="00E30DD3"/>
    <w:rsid w:val="00E33534"/>
    <w:rsid w:val="00E336CB"/>
    <w:rsid w:val="00E364A6"/>
    <w:rsid w:val="00E43359"/>
    <w:rsid w:val="00E437CB"/>
    <w:rsid w:val="00E45284"/>
    <w:rsid w:val="00E46367"/>
    <w:rsid w:val="00E5205F"/>
    <w:rsid w:val="00E55401"/>
    <w:rsid w:val="00E558AF"/>
    <w:rsid w:val="00E602CA"/>
    <w:rsid w:val="00E61DB6"/>
    <w:rsid w:val="00E63E73"/>
    <w:rsid w:val="00E63F0B"/>
    <w:rsid w:val="00E6722A"/>
    <w:rsid w:val="00E80F31"/>
    <w:rsid w:val="00E82C19"/>
    <w:rsid w:val="00E87CBF"/>
    <w:rsid w:val="00E93AD1"/>
    <w:rsid w:val="00EA0132"/>
    <w:rsid w:val="00EA02DA"/>
    <w:rsid w:val="00EA2797"/>
    <w:rsid w:val="00EA3A7F"/>
    <w:rsid w:val="00EA3C6F"/>
    <w:rsid w:val="00EA3DBC"/>
    <w:rsid w:val="00EA4AE1"/>
    <w:rsid w:val="00EA4F56"/>
    <w:rsid w:val="00EA5284"/>
    <w:rsid w:val="00EB1B88"/>
    <w:rsid w:val="00EB7A12"/>
    <w:rsid w:val="00EC673C"/>
    <w:rsid w:val="00ED2263"/>
    <w:rsid w:val="00ED3619"/>
    <w:rsid w:val="00ED6CF5"/>
    <w:rsid w:val="00EE0DC3"/>
    <w:rsid w:val="00EE0E86"/>
    <w:rsid w:val="00EF1D96"/>
    <w:rsid w:val="00EF3827"/>
    <w:rsid w:val="00F05691"/>
    <w:rsid w:val="00F078F1"/>
    <w:rsid w:val="00F258E1"/>
    <w:rsid w:val="00F311B6"/>
    <w:rsid w:val="00F31A84"/>
    <w:rsid w:val="00F326A2"/>
    <w:rsid w:val="00F32D03"/>
    <w:rsid w:val="00F344DE"/>
    <w:rsid w:val="00F369B0"/>
    <w:rsid w:val="00F37A4C"/>
    <w:rsid w:val="00F42C01"/>
    <w:rsid w:val="00F44ADA"/>
    <w:rsid w:val="00F6004D"/>
    <w:rsid w:val="00F6098E"/>
    <w:rsid w:val="00F661AE"/>
    <w:rsid w:val="00F673E8"/>
    <w:rsid w:val="00F711D3"/>
    <w:rsid w:val="00F73E71"/>
    <w:rsid w:val="00F7510D"/>
    <w:rsid w:val="00F756F4"/>
    <w:rsid w:val="00F82AE1"/>
    <w:rsid w:val="00F82FB9"/>
    <w:rsid w:val="00F876F9"/>
    <w:rsid w:val="00F929B6"/>
    <w:rsid w:val="00FA0B01"/>
    <w:rsid w:val="00FA50B5"/>
    <w:rsid w:val="00FA5434"/>
    <w:rsid w:val="00FA7A28"/>
    <w:rsid w:val="00FB14FC"/>
    <w:rsid w:val="00FC17BF"/>
    <w:rsid w:val="00FC3440"/>
    <w:rsid w:val="00FC7389"/>
    <w:rsid w:val="00FD65CD"/>
    <w:rsid w:val="00FD76BF"/>
    <w:rsid w:val="00FD7EC9"/>
    <w:rsid w:val="00FF159E"/>
    <w:rsid w:val="00FF526B"/>
    <w:rsid w:val="01A2B96E"/>
    <w:rsid w:val="02AF088A"/>
    <w:rsid w:val="05250EF5"/>
    <w:rsid w:val="084FDF7B"/>
    <w:rsid w:val="0A75BAF8"/>
    <w:rsid w:val="0B6F1152"/>
    <w:rsid w:val="0BBCF5CA"/>
    <w:rsid w:val="0E447EEE"/>
    <w:rsid w:val="1108ABB2"/>
    <w:rsid w:val="1174145E"/>
    <w:rsid w:val="12E4856C"/>
    <w:rsid w:val="1674B5D4"/>
    <w:rsid w:val="1806C52C"/>
    <w:rsid w:val="182FA2DF"/>
    <w:rsid w:val="1BE81509"/>
    <w:rsid w:val="1E1BE6F1"/>
    <w:rsid w:val="1EF2EB1A"/>
    <w:rsid w:val="20E84BCF"/>
    <w:rsid w:val="2201896E"/>
    <w:rsid w:val="233CEF9F"/>
    <w:rsid w:val="23CC1DB9"/>
    <w:rsid w:val="24FD1CE6"/>
    <w:rsid w:val="2807F2F7"/>
    <w:rsid w:val="2D1D32E0"/>
    <w:rsid w:val="2E28BC6F"/>
    <w:rsid w:val="2ECA0C42"/>
    <w:rsid w:val="312BD7CB"/>
    <w:rsid w:val="33673197"/>
    <w:rsid w:val="365BF447"/>
    <w:rsid w:val="366A4CF3"/>
    <w:rsid w:val="377378A2"/>
    <w:rsid w:val="38BF074F"/>
    <w:rsid w:val="3BC7147C"/>
    <w:rsid w:val="3D3B4430"/>
    <w:rsid w:val="3F3A2B10"/>
    <w:rsid w:val="411B2531"/>
    <w:rsid w:val="4193DBF9"/>
    <w:rsid w:val="421D2DA3"/>
    <w:rsid w:val="422D07B4"/>
    <w:rsid w:val="42450121"/>
    <w:rsid w:val="447FC375"/>
    <w:rsid w:val="4684EC95"/>
    <w:rsid w:val="49EB9AC6"/>
    <w:rsid w:val="4B127D4D"/>
    <w:rsid w:val="4B3A54DC"/>
    <w:rsid w:val="4C724475"/>
    <w:rsid w:val="4D311C60"/>
    <w:rsid w:val="4DAB62FE"/>
    <w:rsid w:val="4E86CE26"/>
    <w:rsid w:val="533B80FD"/>
    <w:rsid w:val="535E6EE1"/>
    <w:rsid w:val="5486D777"/>
    <w:rsid w:val="549B1143"/>
    <w:rsid w:val="550F9665"/>
    <w:rsid w:val="5740D79C"/>
    <w:rsid w:val="58CF2BCC"/>
    <w:rsid w:val="597ECFE7"/>
    <w:rsid w:val="5BC9C325"/>
    <w:rsid w:val="5D3172C7"/>
    <w:rsid w:val="5D828B6A"/>
    <w:rsid w:val="5D91C6BF"/>
    <w:rsid w:val="5F3EA021"/>
    <w:rsid w:val="5F5CF282"/>
    <w:rsid w:val="5FEC0A64"/>
    <w:rsid w:val="62F6162C"/>
    <w:rsid w:val="652AE433"/>
    <w:rsid w:val="6890E438"/>
    <w:rsid w:val="6977CC0F"/>
    <w:rsid w:val="69BBD3AA"/>
    <w:rsid w:val="706CBC56"/>
    <w:rsid w:val="70CF4C93"/>
    <w:rsid w:val="71ADDB2C"/>
    <w:rsid w:val="74530781"/>
    <w:rsid w:val="758B5BC1"/>
    <w:rsid w:val="79FAEC1C"/>
    <w:rsid w:val="7C2D7A10"/>
    <w:rsid w:val="7CE61F13"/>
    <w:rsid w:val="7EAF7366"/>
    <w:rsid w:val="7FD3FF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A2A4E4"/>
  <w15:docId w15:val="{B0A5B9CA-394F-4215-A323-A10B5E0B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table" w:styleId="GridTable1Light-Accent1">
    <w:name w:val="Grid Table 1 Light Accent 1"/>
    <w:basedOn w:val="TableNormal"/>
    <w:uiPriority w:val="46"/>
    <w:rsid w:val="006A7F28"/>
    <w:pPr>
      <w:ind w:left="0" w:firstLine="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F1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fr/gender-inclusive-language/guideli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2043B-DECA-4653-B311-04E5D5B770BF}">
  <ds:schemaRefs>
    <ds:schemaRef ds:uri="aedd258d-19a7-41ba-8260-b0918f25313d"/>
    <ds:schemaRef ds:uri="http://schemas.microsoft.com/office/2006/documentManagement/types"/>
    <ds:schemaRef ds:uri="8c0b6b05-eb82-4bda-97e8-cd82d0d6b453"/>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C590329-BF95-4B93-84ED-8ADF833F1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4.xml><?xml version="1.0" encoding="utf-8"?>
<ds:datastoreItem xmlns:ds="http://schemas.openxmlformats.org/officeDocument/2006/customXml" ds:itemID="{B9F3E227-4B7E-409C-BED6-178A9585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Ramsar CEPA OP-SC58-draft paper-comments</vt:lpstr>
    </vt:vector>
  </TitlesOfParts>
  <Company>IUCN</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Convention on Wetlands</dc:creator>
  <cp:keywords/>
  <dc:description/>
  <cp:lastModifiedBy>BRACE Poppy</cp:lastModifiedBy>
  <cp:revision>4</cp:revision>
  <cp:lastPrinted>2020-03-25T13:43:00Z</cp:lastPrinted>
  <dcterms:created xsi:type="dcterms:W3CDTF">2024-02-12T16:57:00Z</dcterms:created>
  <dcterms:modified xsi:type="dcterms:W3CDTF">2024-03-01T09:23:00Z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