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77C3" w14:textId="77777777" w:rsidR="00F64584" w:rsidRPr="001552C6" w:rsidRDefault="007C601C" w:rsidP="00EA7E4F">
      <w:pPr>
        <w:pBdr>
          <w:top w:val="single" w:sz="12" w:space="0" w:color="000000"/>
          <w:left w:val="single" w:sz="12" w:space="4" w:color="000000"/>
          <w:bottom w:val="single" w:sz="12" w:space="0" w:color="000000"/>
          <w:right w:val="single" w:sz="12" w:space="7" w:color="000000"/>
        </w:pBdr>
        <w:ind w:right="4491"/>
        <w:rPr>
          <w:rFonts w:asciiTheme="majorHAnsi" w:eastAsia="Calibri" w:hAnsiTheme="majorHAnsi" w:cstheme="majorHAnsi"/>
          <w:sz w:val="22"/>
          <w:szCs w:val="22"/>
        </w:rPr>
      </w:pPr>
      <w:bookmarkStart w:id="0" w:name="bookmark=id.30j0zll" w:colFirst="0" w:colLast="0"/>
      <w:bookmarkStart w:id="1" w:name="bookmark=id.gjdgxs" w:colFirst="0" w:colLast="0"/>
      <w:bookmarkEnd w:id="0"/>
      <w:bookmarkEnd w:id="1"/>
      <w:r w:rsidRPr="001552C6">
        <w:rPr>
          <w:rFonts w:asciiTheme="majorHAnsi" w:eastAsia="Calibri" w:hAnsiTheme="majorHAnsi" w:cstheme="majorHAnsi"/>
          <w:sz w:val="22"/>
          <w:szCs w:val="22"/>
        </w:rPr>
        <w:t xml:space="preserve">THE </w:t>
      </w:r>
      <w:r w:rsidR="007C3F48" w:rsidRPr="001552C6">
        <w:rPr>
          <w:rFonts w:asciiTheme="majorHAnsi" w:eastAsia="Calibri" w:hAnsiTheme="majorHAnsi" w:cstheme="majorHAnsi"/>
          <w:sz w:val="22"/>
          <w:szCs w:val="22"/>
        </w:rPr>
        <w:t>CONVENTION ON WETLANDS</w:t>
      </w:r>
    </w:p>
    <w:p w14:paraId="3AA966B5" w14:textId="77777777" w:rsidR="00F64584" w:rsidRPr="001552C6" w:rsidRDefault="007C601C" w:rsidP="00EA7E4F">
      <w:pPr>
        <w:pBdr>
          <w:top w:val="single" w:sz="12" w:space="0" w:color="000000"/>
          <w:left w:val="single" w:sz="12" w:space="4" w:color="000000"/>
          <w:bottom w:val="single" w:sz="12" w:space="0" w:color="000000"/>
          <w:right w:val="single" w:sz="12" w:space="7" w:color="000000"/>
        </w:pBdr>
        <w:ind w:right="4491"/>
        <w:rPr>
          <w:rFonts w:asciiTheme="majorHAnsi" w:eastAsia="Calibri" w:hAnsiTheme="majorHAnsi" w:cstheme="majorHAnsi"/>
          <w:sz w:val="22"/>
          <w:szCs w:val="22"/>
        </w:rPr>
      </w:pPr>
      <w:r w:rsidRPr="001552C6">
        <w:rPr>
          <w:rFonts w:asciiTheme="majorHAnsi" w:eastAsia="Calibri" w:hAnsiTheme="majorHAnsi" w:cstheme="majorHAnsi"/>
          <w:sz w:val="22"/>
          <w:szCs w:val="22"/>
        </w:rPr>
        <w:t>6</w:t>
      </w:r>
      <w:r w:rsidR="00C45FD6" w:rsidRPr="001552C6">
        <w:rPr>
          <w:rFonts w:asciiTheme="majorHAnsi" w:eastAsia="Calibri" w:hAnsiTheme="majorHAnsi" w:cstheme="majorHAnsi"/>
          <w:sz w:val="22"/>
          <w:szCs w:val="22"/>
        </w:rPr>
        <w:t>3rd</w:t>
      </w:r>
      <w:r w:rsidRPr="001552C6">
        <w:rPr>
          <w:rFonts w:asciiTheme="majorHAnsi" w:eastAsia="Calibri" w:hAnsiTheme="majorHAnsi" w:cstheme="majorHAnsi"/>
          <w:sz w:val="22"/>
          <w:szCs w:val="22"/>
        </w:rPr>
        <w:t xml:space="preserve"> </w:t>
      </w:r>
      <w:r w:rsidR="0073312E" w:rsidRPr="001552C6">
        <w:rPr>
          <w:rFonts w:asciiTheme="majorHAnsi" w:eastAsia="Calibri" w:hAnsiTheme="majorHAnsi" w:cstheme="majorHAnsi"/>
          <w:sz w:val="22"/>
          <w:szCs w:val="22"/>
        </w:rPr>
        <w:t xml:space="preserve">meeting </w:t>
      </w:r>
      <w:r w:rsidRPr="001552C6">
        <w:rPr>
          <w:rFonts w:asciiTheme="majorHAnsi" w:eastAsia="Calibri" w:hAnsiTheme="majorHAnsi" w:cstheme="majorHAnsi"/>
          <w:sz w:val="22"/>
          <w:szCs w:val="22"/>
        </w:rPr>
        <w:t>of the Standing Committee</w:t>
      </w:r>
    </w:p>
    <w:p w14:paraId="0FD5F2B1" w14:textId="77777777" w:rsidR="00F64584" w:rsidRPr="001552C6" w:rsidRDefault="007C601C" w:rsidP="00EA7E4F">
      <w:pPr>
        <w:pBdr>
          <w:top w:val="single" w:sz="12" w:space="0" w:color="000000"/>
          <w:left w:val="single" w:sz="12" w:space="4" w:color="000000"/>
          <w:bottom w:val="single" w:sz="12" w:space="0" w:color="000000"/>
          <w:right w:val="single" w:sz="12" w:space="7" w:color="000000"/>
        </w:pBdr>
        <w:ind w:right="4491"/>
        <w:rPr>
          <w:rFonts w:asciiTheme="majorHAnsi" w:eastAsia="Calibri" w:hAnsiTheme="majorHAnsi" w:cstheme="majorHAnsi"/>
          <w:sz w:val="22"/>
          <w:szCs w:val="22"/>
        </w:rPr>
      </w:pPr>
      <w:r w:rsidRPr="001552C6">
        <w:rPr>
          <w:rFonts w:asciiTheme="majorHAnsi" w:eastAsia="Calibri" w:hAnsiTheme="majorHAnsi" w:cstheme="majorHAnsi"/>
          <w:sz w:val="22"/>
          <w:szCs w:val="22"/>
        </w:rPr>
        <w:t xml:space="preserve">Gland, Switzerland, </w:t>
      </w:r>
      <w:r w:rsidR="003B4B90" w:rsidRPr="001552C6">
        <w:rPr>
          <w:rFonts w:asciiTheme="majorHAnsi" w:eastAsia="Calibri" w:hAnsiTheme="majorHAnsi" w:cstheme="majorHAnsi"/>
          <w:sz w:val="22"/>
          <w:szCs w:val="22"/>
        </w:rPr>
        <w:t>3-7 June 2024</w:t>
      </w:r>
    </w:p>
    <w:p w14:paraId="1DCC27FA" w14:textId="77777777" w:rsidR="00F64584" w:rsidRPr="001552C6" w:rsidRDefault="00F64584">
      <w:pPr>
        <w:keepNext/>
        <w:rPr>
          <w:rFonts w:asciiTheme="majorHAnsi" w:eastAsia="Calibri" w:hAnsiTheme="majorHAnsi" w:cstheme="majorHAnsi"/>
          <w:b/>
        </w:rPr>
      </w:pPr>
    </w:p>
    <w:p w14:paraId="3C2653B9" w14:textId="0F4D8431" w:rsidR="00F64584" w:rsidRPr="001552C6" w:rsidRDefault="007C601C">
      <w:pPr>
        <w:jc w:val="right"/>
        <w:rPr>
          <w:rFonts w:asciiTheme="majorHAnsi" w:eastAsia="Calibri" w:hAnsiTheme="majorHAnsi" w:cstheme="majorHAnsi"/>
          <w:b/>
          <w:sz w:val="28"/>
          <w:szCs w:val="28"/>
        </w:rPr>
      </w:pPr>
      <w:r w:rsidRPr="001552C6">
        <w:rPr>
          <w:rFonts w:asciiTheme="majorHAnsi" w:eastAsia="Calibri" w:hAnsiTheme="majorHAnsi" w:cstheme="majorHAnsi"/>
          <w:b/>
          <w:sz w:val="28"/>
          <w:szCs w:val="28"/>
        </w:rPr>
        <w:t>SC6</w:t>
      </w:r>
      <w:r w:rsidR="007000D6" w:rsidRPr="001552C6">
        <w:rPr>
          <w:rFonts w:asciiTheme="majorHAnsi" w:eastAsia="Calibri" w:hAnsiTheme="majorHAnsi" w:cstheme="majorHAnsi"/>
          <w:b/>
          <w:sz w:val="28"/>
          <w:szCs w:val="28"/>
        </w:rPr>
        <w:t>3</w:t>
      </w:r>
      <w:r w:rsidR="0073312E" w:rsidRPr="001552C6">
        <w:rPr>
          <w:rFonts w:asciiTheme="majorHAnsi" w:eastAsia="Calibri" w:hAnsiTheme="majorHAnsi" w:cstheme="majorHAnsi"/>
          <w:b/>
          <w:sz w:val="28"/>
          <w:szCs w:val="28"/>
        </w:rPr>
        <w:t xml:space="preserve"> </w:t>
      </w:r>
      <w:r w:rsidR="00C768CA">
        <w:rPr>
          <w:rFonts w:asciiTheme="majorHAnsi" w:eastAsia="Calibri" w:hAnsiTheme="majorHAnsi" w:cstheme="majorHAnsi"/>
          <w:b/>
          <w:sz w:val="28"/>
          <w:szCs w:val="28"/>
        </w:rPr>
        <w:t>Inf.3</w:t>
      </w:r>
    </w:p>
    <w:p w14:paraId="2566B900" w14:textId="77777777" w:rsidR="00F64584" w:rsidRPr="001552C6" w:rsidRDefault="00F64584">
      <w:pPr>
        <w:jc w:val="center"/>
        <w:rPr>
          <w:rFonts w:asciiTheme="majorHAnsi" w:eastAsia="Calibri" w:hAnsiTheme="majorHAnsi" w:cstheme="majorHAnsi"/>
          <w:b/>
          <w:sz w:val="28"/>
          <w:szCs w:val="28"/>
        </w:rPr>
      </w:pPr>
    </w:p>
    <w:p w14:paraId="70D3F1D7" w14:textId="0133D148" w:rsidR="00F64584" w:rsidRPr="001552C6" w:rsidRDefault="00D50B9E" w:rsidP="00D50B9E">
      <w:pPr>
        <w:jc w:val="center"/>
        <w:rPr>
          <w:rFonts w:asciiTheme="majorHAnsi" w:eastAsia="Calibri" w:hAnsiTheme="majorHAnsi" w:cstheme="majorHAnsi"/>
          <w:b/>
          <w:sz w:val="28"/>
          <w:szCs w:val="28"/>
        </w:rPr>
      </w:pPr>
      <w:r w:rsidRPr="001552C6">
        <w:rPr>
          <w:rFonts w:asciiTheme="majorHAnsi" w:eastAsia="Calibri" w:hAnsiTheme="majorHAnsi" w:cstheme="majorHAnsi"/>
          <w:b/>
          <w:sz w:val="28"/>
          <w:szCs w:val="28"/>
        </w:rPr>
        <w:t xml:space="preserve">Submission from the Convention on Wetlands to the 6th meeting </w:t>
      </w:r>
      <w:r w:rsidRPr="001552C6">
        <w:rPr>
          <w:rFonts w:asciiTheme="majorHAnsi" w:eastAsia="Calibri" w:hAnsiTheme="majorHAnsi" w:cstheme="majorHAnsi"/>
          <w:b/>
          <w:sz w:val="28"/>
          <w:szCs w:val="28"/>
        </w:rPr>
        <w:br/>
        <w:t>of the Ad Hoc Technical Expert Group on Indicators on the effective consideration of wetlands in the KMGBF Monitoring Framework</w:t>
      </w:r>
    </w:p>
    <w:p w14:paraId="0DF1B1D4" w14:textId="77777777" w:rsidR="00F64584" w:rsidRPr="001552C6" w:rsidRDefault="00F64584">
      <w:pPr>
        <w:jc w:val="center"/>
        <w:rPr>
          <w:rFonts w:asciiTheme="majorHAnsi" w:eastAsia="Calibri" w:hAnsiTheme="majorHAnsi" w:cstheme="majorHAnsi"/>
          <w:b/>
          <w:sz w:val="28"/>
          <w:szCs w:val="28"/>
        </w:rPr>
      </w:pPr>
    </w:p>
    <w:p w14:paraId="0C3FDB13" w14:textId="77777777" w:rsidR="008200BC" w:rsidRPr="001552C6" w:rsidRDefault="008200BC" w:rsidP="008200BC">
      <w:pPr>
        <w:rPr>
          <w:rFonts w:asciiTheme="majorHAnsi" w:hAnsiTheme="majorHAnsi" w:cstheme="majorHAnsi"/>
          <w:sz w:val="22"/>
          <w:szCs w:val="22"/>
        </w:rPr>
      </w:pPr>
    </w:p>
    <w:p w14:paraId="08C41F34" w14:textId="77777777" w:rsidR="008200BC" w:rsidRPr="001552C6" w:rsidRDefault="007C601C" w:rsidP="008200BC">
      <w:pPr>
        <w:autoSpaceDE w:val="0"/>
        <w:autoSpaceDN w:val="0"/>
        <w:adjustRightInd w:val="0"/>
        <w:rPr>
          <w:rFonts w:asciiTheme="majorHAnsi" w:eastAsiaTheme="minorHAnsi" w:hAnsiTheme="majorHAnsi" w:cstheme="majorHAnsi"/>
          <w:b/>
          <w:bCs/>
          <w:sz w:val="22"/>
          <w:szCs w:val="22"/>
        </w:rPr>
      </w:pPr>
      <w:r w:rsidRPr="001552C6">
        <w:rPr>
          <w:rFonts w:asciiTheme="majorHAnsi" w:hAnsiTheme="majorHAnsi" w:cstheme="majorHAnsi"/>
          <w:noProof/>
          <w:sz w:val="22"/>
          <w:szCs w:val="22"/>
          <w:lang w:eastAsia="en-GB"/>
        </w:rPr>
        <mc:AlternateContent>
          <mc:Choice Requires="wps">
            <w:drawing>
              <wp:inline distT="0" distB="0" distL="0" distR="0" wp14:anchorId="4851A4DD" wp14:editId="7A95B377">
                <wp:extent cx="5731510" cy="1036320"/>
                <wp:effectExtent l="0" t="0" r="21590"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36320"/>
                        </a:xfrm>
                        <a:prstGeom prst="rect">
                          <a:avLst/>
                        </a:prstGeom>
                        <a:solidFill>
                          <a:srgbClr val="FFFFFF"/>
                        </a:solidFill>
                        <a:ln w="9525">
                          <a:solidFill>
                            <a:srgbClr val="000000"/>
                          </a:solidFill>
                          <a:miter lim="800000"/>
                          <a:headEnd/>
                          <a:tailEnd/>
                        </a:ln>
                      </wps:spPr>
                      <wps:txbx>
                        <w:txbxContent>
                          <w:p w14:paraId="304B2491" w14:textId="77777777" w:rsidR="008200BC" w:rsidRPr="00A21D4A" w:rsidRDefault="007C601C" w:rsidP="008200BC">
                            <w:pPr>
                              <w:rPr>
                                <w:rFonts w:asciiTheme="majorHAnsi" w:hAnsiTheme="majorHAnsi" w:cstheme="majorHAnsi"/>
                                <w:b/>
                                <w:bCs/>
                                <w:sz w:val="22"/>
                                <w:szCs w:val="22"/>
                              </w:rPr>
                            </w:pPr>
                            <w:r w:rsidRPr="00A21D4A">
                              <w:rPr>
                                <w:rFonts w:asciiTheme="majorHAnsi" w:hAnsiTheme="majorHAnsi" w:cstheme="majorHAnsi"/>
                                <w:b/>
                                <w:bCs/>
                                <w:sz w:val="22"/>
                                <w:szCs w:val="22"/>
                              </w:rPr>
                              <w:t xml:space="preserve">Actions requested: </w:t>
                            </w:r>
                          </w:p>
                          <w:p w14:paraId="4DC6A3F2" w14:textId="77777777" w:rsidR="008200BC" w:rsidRPr="00A21D4A" w:rsidRDefault="008200BC" w:rsidP="008200BC">
                            <w:pPr>
                              <w:pStyle w:val="ColorfulList-Accent11"/>
                              <w:ind w:left="0"/>
                              <w:rPr>
                                <w:rFonts w:asciiTheme="majorHAnsi" w:hAnsiTheme="majorHAnsi" w:cstheme="majorHAnsi"/>
                              </w:rPr>
                            </w:pPr>
                          </w:p>
                          <w:p w14:paraId="68377F9A" w14:textId="6C00E44B" w:rsidR="008200BC" w:rsidRPr="00A21D4A" w:rsidRDefault="007C601C" w:rsidP="00835EF0">
                            <w:pPr>
                              <w:pStyle w:val="ColorfulList-Accent11"/>
                              <w:ind w:left="270" w:firstLine="0"/>
                              <w:rPr>
                                <w:rFonts w:asciiTheme="majorHAnsi" w:hAnsiTheme="majorHAnsi" w:cstheme="majorHAnsi"/>
                              </w:rPr>
                            </w:pPr>
                            <w:r w:rsidRPr="00A21D4A">
                              <w:rPr>
                                <w:rFonts w:asciiTheme="majorHAnsi" w:hAnsiTheme="majorHAnsi" w:cstheme="majorHAnsi"/>
                              </w:rPr>
                              <w:t>Standing Committee is invited to</w:t>
                            </w:r>
                            <w:r w:rsidR="00DF5461" w:rsidRPr="00DF5461">
                              <w:rPr>
                                <w:rFonts w:asciiTheme="majorHAnsi" w:hAnsiTheme="majorHAnsi" w:cstheme="majorHAnsi"/>
                              </w:rPr>
                              <w:t xml:space="preserve"> note the </w:t>
                            </w:r>
                            <w:r w:rsidR="00ED1476">
                              <w:rPr>
                                <w:rFonts w:asciiTheme="majorHAnsi" w:hAnsiTheme="majorHAnsi" w:cstheme="majorHAnsi"/>
                              </w:rPr>
                              <w:t>s</w:t>
                            </w:r>
                            <w:r w:rsidR="00ED1476" w:rsidRPr="00ED1476">
                              <w:rPr>
                                <w:rFonts w:asciiTheme="majorHAnsi" w:hAnsiTheme="majorHAnsi" w:cstheme="majorHAnsi"/>
                              </w:rPr>
                              <w:t xml:space="preserve">ubmission from the </w:t>
                            </w:r>
                            <w:r w:rsidR="00ED1476">
                              <w:rPr>
                                <w:rFonts w:asciiTheme="majorHAnsi" w:hAnsiTheme="majorHAnsi" w:cstheme="majorHAnsi"/>
                              </w:rPr>
                              <w:t>Scientific and Technical Review Panel (STRP)</w:t>
                            </w:r>
                            <w:r w:rsidR="00ED1476" w:rsidRPr="00ED1476">
                              <w:rPr>
                                <w:rFonts w:asciiTheme="majorHAnsi" w:hAnsiTheme="majorHAnsi" w:cstheme="majorHAnsi"/>
                              </w:rPr>
                              <w:t xml:space="preserve"> to the Ad Hoc Technical Expert Group </w:t>
                            </w:r>
                            <w:r w:rsidR="005E1D5E">
                              <w:rPr>
                                <w:rFonts w:asciiTheme="majorHAnsi" w:hAnsiTheme="majorHAnsi" w:cstheme="majorHAnsi"/>
                              </w:rPr>
                              <w:t xml:space="preserve">(AHTEG) </w:t>
                            </w:r>
                            <w:r w:rsidR="00ED1476" w:rsidRPr="00ED1476">
                              <w:rPr>
                                <w:rFonts w:asciiTheme="majorHAnsi" w:hAnsiTheme="majorHAnsi" w:cstheme="majorHAnsi"/>
                              </w:rPr>
                              <w:t xml:space="preserve">on Indicators on the effective consideration of wetlands in the </w:t>
                            </w:r>
                            <w:r w:rsidR="00DC7C6C" w:rsidRPr="00DC7C6C">
                              <w:rPr>
                                <w:rFonts w:asciiTheme="majorHAnsi" w:hAnsiTheme="majorHAnsi" w:cstheme="majorHAnsi"/>
                              </w:rPr>
                              <w:t>Kunming-Montreal Global Biodiversity Framework (KMGBF)</w:t>
                            </w:r>
                            <w:r w:rsidR="00DF5461" w:rsidRPr="00DF5461">
                              <w:rPr>
                                <w:rFonts w:asciiTheme="majorHAnsi" w:hAnsiTheme="majorHAnsi" w:cstheme="majorHAnsi"/>
                              </w:rPr>
                              <w:t>.</w:t>
                            </w:r>
                          </w:p>
                        </w:txbxContent>
                      </wps:txbx>
                      <wps:bodyPr rot="0" vert="horz" wrap="square" lIns="91440" tIns="45720" rIns="91440" bIns="45720" anchor="t" anchorCtr="0" upright="1"/>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51A4DD" id="_x0000_t202" coordsize="21600,21600" o:spt="202" path="m,l,21600r21600,l21600,xe">
                <v:stroke joinstyle="miter"/>
                <v:path gradientshapeok="t" o:connecttype="rect"/>
              </v:shapetype>
              <v:shape id="Text Box 1" o:spid="_x0000_s1026" type="#_x0000_t202" style="width:451.3pt;height: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">
                <v:textbox>
                  <w:txbxContent>
                    <w:p w14:paraId="304B2491" w14:textId="77777777" w:rsidR="008200BC" w:rsidRPr="00A21D4A" w:rsidRDefault="007C601C" w:rsidP="008200BC">
                      <w:pPr>
                        <w:rPr>
                          <w:rFonts w:asciiTheme="majorHAnsi" w:hAnsiTheme="majorHAnsi" w:cstheme="majorHAnsi"/>
                          <w:b/>
                          <w:bCs/>
                          <w:sz w:val="22"/>
                          <w:szCs w:val="22"/>
                        </w:rPr>
                      </w:pPr>
                      <w:r w:rsidRPr="00A21D4A">
                        <w:rPr>
                          <w:rFonts w:asciiTheme="majorHAnsi" w:hAnsiTheme="majorHAnsi" w:cstheme="majorHAnsi"/>
                          <w:b/>
                          <w:bCs/>
                          <w:sz w:val="22"/>
                          <w:szCs w:val="22"/>
                        </w:rPr>
                        <w:t xml:space="preserve">Actions requested: </w:t>
                      </w:r>
                    </w:p>
                    <w:p w14:paraId="4DC6A3F2" w14:textId="77777777" w:rsidR="008200BC" w:rsidRPr="00A21D4A" w:rsidRDefault="008200BC" w:rsidP="008200BC">
                      <w:pPr>
                        <w:pStyle w:val="ColorfulList-Accent11"/>
                        <w:ind w:left="0"/>
                        <w:rPr>
                          <w:rFonts w:asciiTheme="majorHAnsi" w:hAnsiTheme="majorHAnsi" w:cstheme="majorHAnsi"/>
                        </w:rPr>
                      </w:pPr>
                    </w:p>
                    <w:p w14:paraId="68377F9A" w14:textId="6C00E44B" w:rsidR="008200BC" w:rsidRPr="00A21D4A" w:rsidRDefault="007C601C" w:rsidP="00835EF0">
                      <w:pPr>
                        <w:pStyle w:val="ColorfulList-Accent11"/>
                        <w:ind w:left="270" w:firstLine="0"/>
                        <w:rPr>
                          <w:rFonts w:asciiTheme="majorHAnsi" w:hAnsiTheme="majorHAnsi" w:cstheme="majorHAnsi"/>
                        </w:rPr>
                      </w:pPr>
                      <w:r w:rsidRPr="00A21D4A">
                        <w:rPr>
                          <w:rFonts w:asciiTheme="majorHAnsi" w:hAnsiTheme="majorHAnsi" w:cstheme="majorHAnsi"/>
                        </w:rPr>
                        <w:t>Standing Committee is invited to</w:t>
                      </w:r>
                      <w:r w:rsidR="00DF5461" w:rsidRPr="00DF5461">
                        <w:rPr>
                          <w:rFonts w:asciiTheme="majorHAnsi" w:hAnsiTheme="majorHAnsi" w:cstheme="majorHAnsi"/>
                        </w:rPr>
                        <w:t xml:space="preserve"> note the </w:t>
                      </w:r>
                      <w:r w:rsidR="00ED1476">
                        <w:rPr>
                          <w:rFonts w:asciiTheme="majorHAnsi" w:hAnsiTheme="majorHAnsi" w:cstheme="majorHAnsi"/>
                        </w:rPr>
                        <w:t>s</w:t>
                      </w:r>
                      <w:r w:rsidR="00ED1476" w:rsidRPr="00ED1476">
                        <w:rPr>
                          <w:rFonts w:asciiTheme="majorHAnsi" w:hAnsiTheme="majorHAnsi" w:cstheme="majorHAnsi"/>
                        </w:rPr>
                        <w:t xml:space="preserve">ubmission from the </w:t>
                      </w:r>
                      <w:r w:rsidR="00ED1476">
                        <w:rPr>
                          <w:rFonts w:asciiTheme="majorHAnsi" w:hAnsiTheme="majorHAnsi" w:cstheme="majorHAnsi"/>
                        </w:rPr>
                        <w:t>Scientific and Technical Review Panel (STRP)</w:t>
                      </w:r>
                      <w:r w:rsidR="00ED1476" w:rsidRPr="00ED1476">
                        <w:rPr>
                          <w:rFonts w:asciiTheme="majorHAnsi" w:hAnsiTheme="majorHAnsi" w:cstheme="majorHAnsi"/>
                        </w:rPr>
                        <w:t xml:space="preserve"> to the Ad Hoc Technical Expert Group </w:t>
                      </w:r>
                      <w:r w:rsidR="005E1D5E">
                        <w:rPr>
                          <w:rFonts w:asciiTheme="majorHAnsi" w:hAnsiTheme="majorHAnsi" w:cstheme="majorHAnsi"/>
                        </w:rPr>
                        <w:t xml:space="preserve">(AHTEG) </w:t>
                      </w:r>
                      <w:r w:rsidR="00ED1476" w:rsidRPr="00ED1476">
                        <w:rPr>
                          <w:rFonts w:asciiTheme="majorHAnsi" w:hAnsiTheme="majorHAnsi" w:cstheme="majorHAnsi"/>
                        </w:rPr>
                        <w:t xml:space="preserve">on Indicators on the effective consideration of wetlands in the </w:t>
                      </w:r>
                      <w:r w:rsidR="00DC7C6C" w:rsidRPr="00DC7C6C">
                        <w:rPr>
                          <w:rFonts w:asciiTheme="majorHAnsi" w:hAnsiTheme="majorHAnsi" w:cstheme="majorHAnsi"/>
                        </w:rPr>
                        <w:t>Kunming-Montreal Global Biodiversity Framework (KMGBF)</w:t>
                      </w:r>
                      <w:r w:rsidR="00DF5461" w:rsidRPr="00DF5461">
                        <w:rPr>
                          <w:rFonts w:asciiTheme="majorHAnsi" w:hAnsiTheme="majorHAnsi" w:cstheme="majorHAnsi"/>
                        </w:rPr>
                        <w:t>.</w:t>
                      </w:r>
                    </w:p>
                  </w:txbxContent>
                </v:textbox>
                <w10:anchorlock/>
              </v:shape>
            </w:pict>
          </mc:Fallback>
        </mc:AlternateContent>
      </w:r>
    </w:p>
    <w:p w14:paraId="66EDC350" w14:textId="77777777" w:rsidR="008200BC" w:rsidRPr="001552C6" w:rsidRDefault="008200BC" w:rsidP="00414CA7">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F634D9B" w14:textId="77777777" w:rsidR="00414CA7" w:rsidRPr="001552C6" w:rsidRDefault="00414CA7" w:rsidP="00414CA7">
      <w:pPr>
        <w:keepNext/>
        <w:ind w:left="425" w:hanging="425"/>
        <w:rPr>
          <w:rFonts w:asciiTheme="majorHAnsi" w:eastAsia="Calibri" w:hAnsiTheme="majorHAnsi" w:cstheme="majorHAnsi"/>
          <w:b/>
          <w:sz w:val="22"/>
          <w:szCs w:val="22"/>
        </w:rPr>
      </w:pPr>
      <w:r w:rsidRPr="001552C6">
        <w:rPr>
          <w:rFonts w:asciiTheme="majorHAnsi" w:eastAsia="Calibri" w:hAnsiTheme="majorHAnsi" w:cstheme="majorHAnsi"/>
          <w:b/>
          <w:sz w:val="22"/>
          <w:szCs w:val="22"/>
        </w:rPr>
        <w:t>Summary</w:t>
      </w:r>
    </w:p>
    <w:p w14:paraId="2002C16B" w14:textId="77777777" w:rsidR="00414CA7" w:rsidRPr="001552C6" w:rsidRDefault="00414CA7" w:rsidP="00414CA7">
      <w:pPr>
        <w:pBdr>
          <w:top w:val="nil"/>
          <w:left w:val="nil"/>
          <w:bottom w:val="nil"/>
          <w:right w:val="nil"/>
          <w:between w:val="nil"/>
        </w:pBdr>
        <w:ind w:left="425" w:hanging="425"/>
        <w:rPr>
          <w:rFonts w:asciiTheme="majorHAnsi" w:eastAsia="Calibri" w:hAnsiTheme="majorHAnsi" w:cstheme="majorHAnsi"/>
          <w:color w:val="000000"/>
          <w:sz w:val="22"/>
          <w:szCs w:val="22"/>
        </w:rPr>
      </w:pPr>
    </w:p>
    <w:p w14:paraId="0FA510AC" w14:textId="426F0BA9" w:rsidR="00414CA7" w:rsidRPr="001552C6" w:rsidRDefault="00414CA7" w:rsidP="00414CA7">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1.</w:t>
      </w:r>
      <w:r w:rsidRPr="001552C6">
        <w:rPr>
          <w:rFonts w:asciiTheme="majorHAnsi" w:eastAsia="Calibri" w:hAnsiTheme="majorHAnsi" w:cstheme="majorHAnsi"/>
          <w:color w:val="000000"/>
          <w:sz w:val="22"/>
          <w:szCs w:val="22"/>
        </w:rPr>
        <w:tab/>
        <w:t>Healthy wetlands are critical to achieving the vision and mission of the Kunming-Montreal Global Biodiversity Framework (KMGBF) and as such all 4 goals and all 23 targets of the Framework are of relevance to wetlands. The Scientific and Technical Review Panel (STRP) of the Convention on Wetlands has prepared this scientific and technical submission for the consideration of the Sixth meeting of the Ad Hoc Technical Expert Group on Indicators (AHTEG) of the Convention on Biological Diversity (CBD).</w:t>
      </w:r>
    </w:p>
    <w:p w14:paraId="2528EE82" w14:textId="77777777" w:rsidR="00414CA7" w:rsidRPr="001552C6" w:rsidRDefault="00414CA7" w:rsidP="00414CA7">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A7D5666" w14:textId="1D677864" w:rsidR="00414CA7" w:rsidRPr="001552C6" w:rsidRDefault="00414CA7" w:rsidP="00414CA7">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2.</w:t>
      </w:r>
      <w:r w:rsidRPr="001552C6">
        <w:rPr>
          <w:rFonts w:asciiTheme="majorHAnsi" w:eastAsia="Calibri" w:hAnsiTheme="majorHAnsi" w:cstheme="majorHAnsi"/>
          <w:color w:val="000000"/>
          <w:sz w:val="22"/>
          <w:szCs w:val="22"/>
        </w:rPr>
        <w:tab/>
        <w:t xml:space="preserve">The STRP review of the KMGBF indicator framework was identified as a high priority task, recognising the importance of enhancing synergies between the CBD and the Convention on Wetlands for the global assessment of and reporting on wetlands. </w:t>
      </w:r>
    </w:p>
    <w:p w14:paraId="363FDFA3" w14:textId="77777777" w:rsidR="00414CA7" w:rsidRPr="001552C6" w:rsidRDefault="00414CA7" w:rsidP="00414CA7">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5685E92" w14:textId="51A8588A" w:rsidR="00414CA7" w:rsidRPr="001552C6" w:rsidRDefault="00414CA7" w:rsidP="00414CA7">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3.</w:t>
      </w:r>
      <w:r w:rsidRPr="001552C6">
        <w:rPr>
          <w:rFonts w:asciiTheme="majorHAnsi" w:eastAsia="Calibri" w:hAnsiTheme="majorHAnsi" w:cstheme="majorHAnsi"/>
          <w:color w:val="000000"/>
          <w:sz w:val="22"/>
          <w:szCs w:val="22"/>
        </w:rPr>
        <w:tab/>
        <w:t>The submission is focused in particular on: (1) KMGBF goals and targets where the headline indicators do not provide sufficient consideration of wetlands, and/or there is a lack of clarity on relevant data flows related to wetlands; and (2) KMGBF goals and targets that have major implications for wetlands. In line with this, the indicators related to the following goal and targets were reviewed: Goal A, Targets 2, 3, 5, 7, 9, 10, 11 and 12. The STRP has provided comments and suggestions on these.</w:t>
      </w:r>
    </w:p>
    <w:p w14:paraId="20433464" w14:textId="77777777" w:rsidR="00414CA7" w:rsidRPr="001552C6" w:rsidRDefault="00414CA7" w:rsidP="00414CA7">
      <w:pPr>
        <w:pBdr>
          <w:top w:val="nil"/>
          <w:left w:val="nil"/>
          <w:bottom w:val="nil"/>
          <w:right w:val="nil"/>
          <w:between w:val="nil"/>
        </w:pBdr>
        <w:ind w:left="425" w:hanging="425"/>
        <w:rPr>
          <w:rFonts w:asciiTheme="majorHAnsi" w:eastAsia="Calibri" w:hAnsiTheme="majorHAnsi" w:cstheme="majorHAnsi"/>
          <w:color w:val="000000"/>
          <w:sz w:val="22"/>
          <w:szCs w:val="22"/>
        </w:rPr>
      </w:pPr>
    </w:p>
    <w:p w14:paraId="5000E6DF" w14:textId="58DF67F3" w:rsidR="00414CA7" w:rsidRPr="001552C6" w:rsidRDefault="00414CA7" w:rsidP="00414CA7">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4.</w:t>
      </w:r>
      <w:r w:rsidRPr="001552C6">
        <w:rPr>
          <w:rFonts w:asciiTheme="majorHAnsi" w:eastAsia="Calibri" w:hAnsiTheme="majorHAnsi" w:cstheme="majorHAnsi"/>
          <w:color w:val="000000"/>
          <w:sz w:val="22"/>
          <w:szCs w:val="22"/>
        </w:rPr>
        <w:tab/>
        <w:t>To provide actionable advice to the AHTEG, this submission is divided into two parts. Part I provides general and cross-cutting observations and recommendations; and Part II provides the following information for the goal and indicators listed above:</w:t>
      </w:r>
    </w:p>
    <w:p w14:paraId="4DA5DF10" w14:textId="55F71223" w:rsidR="00414CA7" w:rsidRPr="001552C6" w:rsidRDefault="00414CA7" w:rsidP="00DA59A8">
      <w:pPr>
        <w:pStyle w:val="ListParagraph"/>
        <w:numPr>
          <w:ilvl w:val="0"/>
          <w:numId w:val="4"/>
        </w:numPr>
        <w:ind w:left="850" w:hanging="425"/>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The sufficiency of the headline indicators (as well as component and complimentary indicators) for inland waters, coastal and marine ecosystems (‘wetlands’ defined under the Convention on Wetlands);</w:t>
      </w:r>
    </w:p>
    <w:p w14:paraId="6F6B51C9" w14:textId="790FAAC7" w:rsidR="00414CA7" w:rsidRPr="001552C6" w:rsidRDefault="00414CA7" w:rsidP="00DA59A8">
      <w:pPr>
        <w:pStyle w:val="ListParagraph"/>
        <w:numPr>
          <w:ilvl w:val="0"/>
          <w:numId w:val="4"/>
        </w:numPr>
        <w:ind w:left="850" w:hanging="425"/>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Any potential data flows or sources for wetlands that might address these gaps; and</w:t>
      </w:r>
    </w:p>
    <w:p w14:paraId="032D7838" w14:textId="45027EEB" w:rsidR="00414CA7" w:rsidRPr="001552C6" w:rsidRDefault="00414CA7" w:rsidP="00DA59A8">
      <w:pPr>
        <w:pStyle w:val="ListParagraph"/>
        <w:numPr>
          <w:ilvl w:val="0"/>
          <w:numId w:val="4"/>
        </w:numPr>
        <w:ind w:left="850" w:hanging="425"/>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 xml:space="preserve">Highlighting which of the currently listed component or complimentary indicators are particularly important for wetlands. </w:t>
      </w:r>
    </w:p>
    <w:p w14:paraId="274D8605" w14:textId="77777777" w:rsidR="00414CA7" w:rsidRPr="001552C6" w:rsidRDefault="00414CA7" w:rsidP="00414CA7">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br w:type="page"/>
      </w:r>
    </w:p>
    <w:p w14:paraId="0269BAEA" w14:textId="368BABE0" w:rsidR="00414CA7" w:rsidRPr="001552C6" w:rsidRDefault="00414CA7" w:rsidP="00414CA7">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lastRenderedPageBreak/>
        <w:t>5.</w:t>
      </w:r>
      <w:r w:rsidRPr="001552C6">
        <w:rPr>
          <w:rFonts w:asciiTheme="majorHAnsi" w:eastAsia="Calibri" w:hAnsiTheme="majorHAnsi" w:cstheme="majorHAnsi"/>
          <w:color w:val="000000"/>
          <w:sz w:val="22"/>
          <w:szCs w:val="22"/>
        </w:rPr>
        <w:tab/>
        <w:t>Summary of the recommendations:</w:t>
      </w:r>
    </w:p>
    <w:p w14:paraId="2D3449D3" w14:textId="061C5BE2" w:rsidR="00414CA7" w:rsidRPr="001552C6" w:rsidRDefault="00414CA7" w:rsidP="00DA59A8">
      <w:pPr>
        <w:pStyle w:val="ListParagraph"/>
        <w:numPr>
          <w:ilvl w:val="0"/>
          <w:numId w:val="1"/>
        </w:numPr>
        <w:pBdr>
          <w:top w:val="nil"/>
          <w:left w:val="nil"/>
          <w:bottom w:val="nil"/>
          <w:right w:val="nil"/>
          <w:between w:val="nil"/>
        </w:pBdr>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The STRP recommends that indicators are disaggregated by ecosystem type, where this is appropriate, including for inland waters and coastal ecosystems (which is inclusive of the shallow marine habitat types under the Convention on Wetlands’ wetland typology) and in particular where inland waters and coasts are explicitly identified in the language of the target (i.e. Targets 2 and 3);</w:t>
      </w:r>
    </w:p>
    <w:p w14:paraId="4A00F193" w14:textId="5ED4F208" w:rsidR="00414CA7" w:rsidRPr="001552C6" w:rsidRDefault="00414CA7" w:rsidP="00DA59A8">
      <w:pPr>
        <w:pStyle w:val="ListParagraph"/>
        <w:numPr>
          <w:ilvl w:val="0"/>
          <w:numId w:val="1"/>
        </w:numPr>
        <w:pBdr>
          <w:top w:val="nil"/>
          <w:left w:val="nil"/>
          <w:bottom w:val="nil"/>
          <w:right w:val="nil"/>
          <w:between w:val="nil"/>
        </w:pBdr>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 xml:space="preserve">The STRP strongly recommends using a consistent ecosystem typology and that the ecosystem typology applied should include disaggregation by inland waters and coastal ecosystems (‘wetlands’ as defined by the Convention, refer to the </w:t>
      </w:r>
      <w:hyperlink r:id="rId12" w:history="1">
        <w:r w:rsidRPr="001552C6">
          <w:rPr>
            <w:rStyle w:val="Hyperlink"/>
            <w:rFonts w:asciiTheme="majorHAnsi" w:eastAsia="Calibri" w:hAnsiTheme="majorHAnsi" w:cstheme="majorHAnsi"/>
            <w:szCs w:val="22"/>
          </w:rPr>
          <w:t>wetlands classification</w:t>
        </w:r>
      </w:hyperlink>
      <w:r w:rsidRPr="001552C6">
        <w:rPr>
          <w:rFonts w:asciiTheme="majorHAnsi" w:eastAsia="Calibri" w:hAnsiTheme="majorHAnsi" w:cstheme="majorHAnsi"/>
          <w:color w:val="000000"/>
          <w:szCs w:val="22"/>
        </w:rPr>
        <w:t xml:space="preserve"> of the Convention on Wetlands) to enhance global reporting for the CBD, Convention on Wetlands and SDGs;</w:t>
      </w:r>
    </w:p>
    <w:p w14:paraId="21406301" w14:textId="0558DBEA" w:rsidR="00414CA7" w:rsidRPr="001552C6" w:rsidRDefault="00414CA7" w:rsidP="00DA59A8">
      <w:pPr>
        <w:pStyle w:val="ListParagraph"/>
        <w:numPr>
          <w:ilvl w:val="0"/>
          <w:numId w:val="1"/>
        </w:numPr>
        <w:pBdr>
          <w:top w:val="nil"/>
          <w:left w:val="nil"/>
          <w:bottom w:val="nil"/>
          <w:right w:val="nil"/>
          <w:between w:val="nil"/>
        </w:pBdr>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 xml:space="preserve">Part II of this submission shows that there are still important gaps in the sufficiency of the headline indicators that will need to be reviewed to ensure effective consideration of wetlands; </w:t>
      </w:r>
    </w:p>
    <w:p w14:paraId="3E22E598" w14:textId="561F5991" w:rsidR="00414CA7" w:rsidRPr="001552C6" w:rsidRDefault="00414CA7" w:rsidP="00DA59A8">
      <w:pPr>
        <w:pStyle w:val="ListParagraph"/>
        <w:numPr>
          <w:ilvl w:val="0"/>
          <w:numId w:val="1"/>
        </w:numPr>
        <w:pBdr>
          <w:top w:val="nil"/>
          <w:left w:val="nil"/>
          <w:bottom w:val="nil"/>
          <w:right w:val="nil"/>
          <w:between w:val="nil"/>
        </w:pBdr>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There are component and complementary indicators already listed in the KMGBF monitoring framework, related to inland waters and coastal wetlands that could help to fill some of these gaps in the short term. It is recommended that these should be highlighted (and this could also be done for other ecosystem types). We also offer a number of additional indicators/ data flows to be considered for inclusion in the final indicator set;</w:t>
      </w:r>
    </w:p>
    <w:p w14:paraId="5BCED5F4" w14:textId="7DB3FA1A" w:rsidR="00414CA7" w:rsidRPr="001552C6" w:rsidRDefault="00414CA7" w:rsidP="00DA59A8">
      <w:pPr>
        <w:pStyle w:val="ListParagraph"/>
        <w:numPr>
          <w:ilvl w:val="0"/>
          <w:numId w:val="1"/>
        </w:numPr>
        <w:pBdr>
          <w:top w:val="nil"/>
          <w:left w:val="nil"/>
          <w:bottom w:val="nil"/>
          <w:right w:val="nil"/>
          <w:between w:val="nil"/>
        </w:pBdr>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A review of the list of component and complementary indicators presented in the KMGBF monitoring framework and development of basic metadata would be helpful to ensure that Contracting Parties to the CBD are provided with a robust set of indicators. Furthermore, it is recommended that it would be beneficial to develop further guidance to Parties for the selection of appropriate component and complementary indicators. In this submission we have identified specific component and complementary indicators that would help Parties in reporting on wetlands elements – and thereby meet reporting obligations under the Convention on Wetlands and the CBD.</w:t>
      </w:r>
    </w:p>
    <w:p w14:paraId="6D4E9729" w14:textId="77777777" w:rsidR="00414CA7" w:rsidRPr="001552C6" w:rsidRDefault="00414CA7" w:rsidP="00414CA7">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951C4FE" w14:textId="1F8931F7" w:rsidR="00AB7CDD" w:rsidRPr="001552C6" w:rsidRDefault="00414CA7" w:rsidP="00414CA7">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6.</w:t>
      </w:r>
      <w:r w:rsidRPr="001552C6">
        <w:rPr>
          <w:rFonts w:asciiTheme="majorHAnsi" w:eastAsia="Calibri" w:hAnsiTheme="majorHAnsi" w:cstheme="majorHAnsi"/>
          <w:color w:val="000000"/>
          <w:sz w:val="22"/>
          <w:szCs w:val="22"/>
        </w:rPr>
        <w:tab/>
        <w:t>The STRP wishes to express its support and appreciation for the work of the AHTEG in developing a set of indicators that can measure progress towards the goals and targets of the Kunming-Montreal Global Biodiversity Framework. There is considerable potential for the indicator framework to align with the targets and indicators under review for the 5th Strategic Plan of the Convention on Wetlands and we look forward to continued collaboration with the CBD and Parties to find synergies to support continued actions to address wetland conservation and wise use.</w:t>
      </w:r>
    </w:p>
    <w:p w14:paraId="345DC54C" w14:textId="77777777" w:rsidR="00ED6607" w:rsidRPr="001552C6" w:rsidRDefault="00ED6607" w:rsidP="002E5B0A">
      <w:pPr>
        <w:rPr>
          <w:rFonts w:asciiTheme="majorHAnsi" w:eastAsia="Calibri" w:hAnsiTheme="majorHAnsi" w:cstheme="majorHAnsi"/>
          <w:sz w:val="22"/>
          <w:szCs w:val="22"/>
        </w:rPr>
      </w:pPr>
    </w:p>
    <w:p w14:paraId="381C42E3" w14:textId="77777777" w:rsidR="00771299" w:rsidRPr="001552C6" w:rsidRDefault="00771299" w:rsidP="00771299">
      <w:pPr>
        <w:keepNext/>
        <w:ind w:left="425" w:hanging="425"/>
        <w:rPr>
          <w:rFonts w:asciiTheme="majorHAnsi" w:eastAsia="Calibri" w:hAnsiTheme="majorHAnsi" w:cstheme="majorHAnsi"/>
          <w:b/>
          <w:sz w:val="22"/>
          <w:szCs w:val="22"/>
        </w:rPr>
      </w:pPr>
      <w:r w:rsidRPr="001552C6">
        <w:rPr>
          <w:rFonts w:asciiTheme="majorHAnsi" w:eastAsia="Calibri" w:hAnsiTheme="majorHAnsi" w:cstheme="majorHAnsi"/>
          <w:b/>
          <w:sz w:val="22"/>
          <w:szCs w:val="22"/>
        </w:rPr>
        <w:t>Introduction</w:t>
      </w:r>
    </w:p>
    <w:p w14:paraId="2F3EE258" w14:textId="77777777" w:rsidR="00771299" w:rsidRPr="001552C6" w:rsidRDefault="0077129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1A7E28AE" w14:textId="77777777" w:rsidR="00771299" w:rsidRPr="001552C6" w:rsidRDefault="00771299" w:rsidP="00771299">
      <w:pPr>
        <w:keepNext/>
        <w:rPr>
          <w:rFonts w:asciiTheme="majorHAnsi" w:eastAsia="Calibri" w:hAnsiTheme="majorHAnsi" w:cstheme="majorHAnsi"/>
          <w:sz w:val="22"/>
          <w:szCs w:val="22"/>
          <w:u w:val="single"/>
        </w:rPr>
      </w:pPr>
      <w:r w:rsidRPr="001552C6">
        <w:rPr>
          <w:rFonts w:asciiTheme="majorHAnsi" w:eastAsia="Calibri" w:hAnsiTheme="majorHAnsi" w:cstheme="majorHAnsi"/>
          <w:sz w:val="22"/>
          <w:szCs w:val="22"/>
          <w:u w:val="single"/>
        </w:rPr>
        <w:t>Purpose</w:t>
      </w:r>
    </w:p>
    <w:p w14:paraId="248ADEC7" w14:textId="77777777" w:rsidR="00771299" w:rsidRPr="001552C6" w:rsidRDefault="0077129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74EB6576" w14:textId="435299A4" w:rsidR="00771299" w:rsidRPr="001552C6" w:rsidRDefault="0077129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7.</w:t>
      </w:r>
      <w:r w:rsidRPr="001552C6">
        <w:rPr>
          <w:rFonts w:asciiTheme="majorHAnsi" w:eastAsia="Calibri" w:hAnsiTheme="majorHAnsi" w:cstheme="majorHAnsi"/>
          <w:color w:val="000000"/>
          <w:sz w:val="22"/>
          <w:szCs w:val="22"/>
        </w:rPr>
        <w:tab/>
        <w:t xml:space="preserve">This document provides observations and recommendations concerning the importance of effective consideration of wetlands within the KMGBF monitoring framework, as adopted through </w:t>
      </w:r>
      <w:hyperlink r:id="rId13" w:history="1">
        <w:r w:rsidRPr="001552C6">
          <w:rPr>
            <w:rStyle w:val="Hyperlink"/>
            <w:rFonts w:asciiTheme="majorHAnsi" w:eastAsia="Calibri" w:hAnsiTheme="majorHAnsi" w:cstheme="majorHAnsi"/>
            <w:sz w:val="22"/>
            <w:szCs w:val="22"/>
          </w:rPr>
          <w:t>CBD Decision 15/5</w:t>
        </w:r>
      </w:hyperlink>
      <w:r w:rsidRPr="001552C6">
        <w:rPr>
          <w:rFonts w:asciiTheme="majorHAnsi" w:eastAsia="Calibri" w:hAnsiTheme="majorHAnsi" w:cstheme="majorHAnsi"/>
          <w:color w:val="000000"/>
          <w:sz w:val="22"/>
          <w:szCs w:val="22"/>
        </w:rPr>
        <w:t xml:space="preserve">. It provides: </w:t>
      </w:r>
    </w:p>
    <w:p w14:paraId="05A0604C" w14:textId="10E3ABF9" w:rsidR="00771299" w:rsidRPr="001552C6" w:rsidRDefault="00771299" w:rsidP="00DA59A8">
      <w:pPr>
        <w:pStyle w:val="ListParagraph"/>
        <w:numPr>
          <w:ilvl w:val="0"/>
          <w:numId w:val="26"/>
        </w:numPr>
        <w:pBdr>
          <w:top w:val="nil"/>
          <w:left w:val="nil"/>
          <w:bottom w:val="nil"/>
          <w:right w:val="nil"/>
          <w:between w:val="nil"/>
        </w:pBdr>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general observations concerning the overall visibility of wetlands within the monitoring framework; and</w:t>
      </w:r>
    </w:p>
    <w:p w14:paraId="749B03F8" w14:textId="56C4742B" w:rsidR="00771299" w:rsidRPr="001552C6" w:rsidRDefault="00771299" w:rsidP="00DA59A8">
      <w:pPr>
        <w:pStyle w:val="ListParagraph"/>
        <w:numPr>
          <w:ilvl w:val="0"/>
          <w:numId w:val="26"/>
        </w:numPr>
        <w:pBdr>
          <w:top w:val="nil"/>
          <w:left w:val="nil"/>
          <w:bottom w:val="nil"/>
          <w:right w:val="nil"/>
          <w:between w:val="nil"/>
        </w:pBdr>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an assessment of the adequacy of the identified indicators for these ecosystems (including constituent biological or functional components of wetlands e.g. wetland species; ecosystem services etc., where relevant) to ensure that an assessment of wetlands or data related to wetlands can be included within the KMGBF monitoring framework and through the associated national implementation via the NBSAPs.</w:t>
      </w:r>
    </w:p>
    <w:p w14:paraId="54E7FE32" w14:textId="77777777" w:rsidR="00771299" w:rsidRPr="001552C6" w:rsidRDefault="0077129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79F4426B" w14:textId="35C44E2D" w:rsidR="00771299" w:rsidRPr="001552C6" w:rsidRDefault="0077129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lastRenderedPageBreak/>
        <w:t>8.</w:t>
      </w:r>
      <w:r w:rsidRPr="001552C6">
        <w:rPr>
          <w:rFonts w:asciiTheme="majorHAnsi" w:eastAsia="Calibri" w:hAnsiTheme="majorHAnsi" w:cstheme="majorHAnsi"/>
          <w:color w:val="000000"/>
          <w:sz w:val="22"/>
          <w:szCs w:val="22"/>
        </w:rPr>
        <w:tab/>
        <w:t>Recommendations are provided relating to strengthening the indicator metadata, where there are gaps in the sufficiency of indicators, preventing tracking progress for wetlands, and where possible where those gaps may be filled.</w:t>
      </w:r>
    </w:p>
    <w:p w14:paraId="310932A5" w14:textId="77777777" w:rsidR="00771299" w:rsidRPr="001552C6" w:rsidRDefault="0077129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AA4F07E" w14:textId="77777777" w:rsidR="00771299" w:rsidRPr="001552C6" w:rsidRDefault="00771299" w:rsidP="00771299">
      <w:pPr>
        <w:keepNext/>
        <w:rPr>
          <w:rFonts w:asciiTheme="majorHAnsi" w:eastAsia="Calibri" w:hAnsiTheme="majorHAnsi" w:cstheme="majorHAnsi"/>
          <w:sz w:val="22"/>
          <w:szCs w:val="22"/>
          <w:u w:val="single"/>
        </w:rPr>
      </w:pPr>
      <w:r w:rsidRPr="001552C6">
        <w:rPr>
          <w:rFonts w:asciiTheme="majorHAnsi" w:eastAsia="Calibri" w:hAnsiTheme="majorHAnsi" w:cstheme="majorHAnsi"/>
          <w:sz w:val="22"/>
          <w:szCs w:val="22"/>
          <w:u w:val="single"/>
        </w:rPr>
        <w:t>Target audience</w:t>
      </w:r>
    </w:p>
    <w:p w14:paraId="7730BD9F" w14:textId="77777777" w:rsidR="00771299" w:rsidRPr="001552C6" w:rsidRDefault="0077129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14AAE1BA" w14:textId="365F8A38" w:rsidR="00771299" w:rsidRPr="001552C6" w:rsidRDefault="0077129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9.</w:t>
      </w:r>
      <w:r w:rsidRPr="001552C6">
        <w:rPr>
          <w:rFonts w:asciiTheme="majorHAnsi" w:eastAsia="Calibri" w:hAnsiTheme="majorHAnsi" w:cstheme="majorHAnsi"/>
          <w:color w:val="000000"/>
          <w:sz w:val="22"/>
          <w:szCs w:val="22"/>
        </w:rPr>
        <w:tab/>
        <w:t>The CBD Ad Hoc Technical Expert Group on Indicators (AHTEG) for the KMGBF monitoring framework.</w:t>
      </w:r>
    </w:p>
    <w:p w14:paraId="483E1B40" w14:textId="77777777" w:rsidR="00771299" w:rsidRPr="001552C6" w:rsidRDefault="0077129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7AA248C6" w14:textId="77777777" w:rsidR="00771299" w:rsidRPr="001552C6" w:rsidRDefault="00771299" w:rsidP="00771299">
      <w:pPr>
        <w:keepNext/>
        <w:rPr>
          <w:rFonts w:asciiTheme="majorHAnsi" w:eastAsia="Calibri" w:hAnsiTheme="majorHAnsi" w:cstheme="majorHAnsi"/>
          <w:sz w:val="22"/>
          <w:szCs w:val="22"/>
          <w:u w:val="single"/>
        </w:rPr>
      </w:pPr>
      <w:r w:rsidRPr="001552C6">
        <w:rPr>
          <w:rFonts w:asciiTheme="majorHAnsi" w:eastAsia="Calibri" w:hAnsiTheme="majorHAnsi" w:cstheme="majorHAnsi"/>
          <w:sz w:val="22"/>
          <w:szCs w:val="22"/>
          <w:u w:val="single"/>
        </w:rPr>
        <w:t>Basis of this submission and other related work</w:t>
      </w:r>
    </w:p>
    <w:p w14:paraId="754DE8C5" w14:textId="77777777" w:rsidR="00771299" w:rsidRPr="001552C6" w:rsidRDefault="0077129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3ECEDA94" w14:textId="7B57B20A" w:rsidR="00771299" w:rsidRPr="001552C6" w:rsidRDefault="0077129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10.</w:t>
      </w:r>
      <w:r w:rsidRPr="001552C6">
        <w:rPr>
          <w:rFonts w:asciiTheme="majorHAnsi" w:eastAsia="Calibri" w:hAnsiTheme="majorHAnsi" w:cstheme="majorHAnsi"/>
          <w:color w:val="000000"/>
          <w:sz w:val="22"/>
          <w:szCs w:val="22"/>
        </w:rPr>
        <w:tab/>
        <w:t xml:space="preserve">This submission has been prepared by the Scientific and Technical Review Panel (STRP) of the Convention of Wetlands, at its 26th Meeting, 5 to 8 February 2024. The </w:t>
      </w:r>
      <w:hyperlink r:id="rId14" w:history="1">
        <w:r w:rsidRPr="001552C6">
          <w:rPr>
            <w:rStyle w:val="Hyperlink"/>
            <w:rFonts w:asciiTheme="majorHAnsi" w:eastAsia="Calibri" w:hAnsiTheme="majorHAnsi" w:cstheme="majorHAnsi"/>
            <w:sz w:val="22"/>
            <w:szCs w:val="22"/>
          </w:rPr>
          <w:t>STRP 2023-2025 triennium work plan</w:t>
        </w:r>
      </w:hyperlink>
      <w:r w:rsidRPr="001552C6">
        <w:rPr>
          <w:rFonts w:asciiTheme="majorHAnsi" w:eastAsia="Calibri" w:hAnsiTheme="majorHAnsi" w:cstheme="majorHAnsi"/>
          <w:color w:val="000000"/>
          <w:sz w:val="22"/>
          <w:szCs w:val="22"/>
        </w:rPr>
        <w:t xml:space="preserve"> contains 5 thematic work areas. Task 5.2</w:t>
      </w:r>
      <w:r w:rsidR="005460D4" w:rsidRPr="001552C6">
        <w:rPr>
          <w:rStyle w:val="FootnoteReference"/>
          <w:rFonts w:asciiTheme="majorHAnsi" w:eastAsia="Calibri" w:hAnsiTheme="majorHAnsi" w:cstheme="majorHAnsi"/>
          <w:color w:val="000000"/>
          <w:sz w:val="22"/>
          <w:szCs w:val="22"/>
        </w:rPr>
        <w:footnoteReference w:id="2"/>
      </w:r>
      <w:r w:rsidRPr="001552C6">
        <w:rPr>
          <w:rFonts w:asciiTheme="majorHAnsi" w:eastAsia="Calibri" w:hAnsiTheme="majorHAnsi" w:cstheme="majorHAnsi"/>
          <w:color w:val="000000"/>
          <w:sz w:val="22"/>
          <w:szCs w:val="22"/>
        </w:rPr>
        <w:t xml:space="preserve"> focuses exclusively on developing synergies between CBD’s KMGBF and the Convention of Wetlands including “on [the] appropriate application of wetland measures within the indicators and monitoring framework of the GBF”, through “a submission on wetland indicators to be made to the Ad Hoc Technical Expert Group (AHTEG)”. A Convention on Wetlands </w:t>
      </w:r>
      <w:hyperlink r:id="rId15" w:history="1">
        <w:r w:rsidRPr="001552C6">
          <w:rPr>
            <w:rStyle w:val="Hyperlink"/>
            <w:rFonts w:asciiTheme="majorHAnsi" w:eastAsia="Calibri" w:hAnsiTheme="majorHAnsi" w:cstheme="majorHAnsi"/>
            <w:sz w:val="22"/>
            <w:szCs w:val="22"/>
          </w:rPr>
          <w:t>policy briefing</w:t>
        </w:r>
      </w:hyperlink>
      <w:r w:rsidR="00C300AB" w:rsidRPr="001552C6">
        <w:rPr>
          <w:rStyle w:val="FootnoteReference"/>
          <w:rFonts w:asciiTheme="majorHAnsi" w:eastAsia="Calibri" w:hAnsiTheme="majorHAnsi" w:cstheme="majorHAnsi"/>
          <w:color w:val="000000"/>
          <w:sz w:val="22"/>
          <w:szCs w:val="22"/>
        </w:rPr>
        <w:footnoteReference w:id="3"/>
      </w:r>
      <w:r w:rsidRPr="001552C6">
        <w:rPr>
          <w:rFonts w:asciiTheme="majorHAnsi" w:eastAsia="Calibri" w:hAnsiTheme="majorHAnsi" w:cstheme="majorHAnsi"/>
          <w:color w:val="000000"/>
          <w:sz w:val="22"/>
          <w:szCs w:val="22"/>
        </w:rPr>
        <w:t xml:space="preserve"> has already been made available to the Contracting Parties of the Convention on Wetlands and other Multilateral Environmental Agreements (MEAs). The policy briefing provides guidance on how to integrate wetland interests into NBSAPs. The STRP has also recently completed a joint CBD-Convention on Wetlands survey on National Focal Point linkages between the two Conventions and the outcomes will be made available to inform improved synergies. </w:t>
      </w:r>
    </w:p>
    <w:p w14:paraId="70E7291C" w14:textId="77777777" w:rsidR="00771299" w:rsidRPr="001552C6" w:rsidRDefault="0077129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0A422FB" w14:textId="6E151041" w:rsidR="00771299" w:rsidRPr="001552C6" w:rsidRDefault="005C032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11.</w:t>
      </w:r>
      <w:r w:rsidRPr="001552C6">
        <w:rPr>
          <w:rFonts w:asciiTheme="majorHAnsi" w:eastAsia="Calibri" w:hAnsiTheme="majorHAnsi" w:cstheme="majorHAnsi"/>
          <w:color w:val="000000"/>
          <w:sz w:val="22"/>
          <w:szCs w:val="22"/>
        </w:rPr>
        <w:tab/>
      </w:r>
      <w:r w:rsidR="00771299" w:rsidRPr="001552C6">
        <w:rPr>
          <w:rFonts w:asciiTheme="majorHAnsi" w:eastAsia="Calibri" w:hAnsiTheme="majorHAnsi" w:cstheme="majorHAnsi"/>
          <w:color w:val="000000"/>
          <w:sz w:val="22"/>
          <w:szCs w:val="22"/>
        </w:rPr>
        <w:t xml:space="preserve">One activity of task 5.2 is to evaluate the opportunities to adequately reflect wetland interests in the KMGBF monitoring framework, including in supporting the identification and selection of appropriate indicators. This document is a deliverable of this task. It responds to the invitation to all MEAs to contribute to the implementation of the KMGBF, as set out in </w:t>
      </w:r>
      <w:hyperlink r:id="rId16" w:history="1">
        <w:r w:rsidR="00771299" w:rsidRPr="001552C6">
          <w:rPr>
            <w:rStyle w:val="Hyperlink"/>
            <w:rFonts w:asciiTheme="majorHAnsi" w:eastAsia="Calibri" w:hAnsiTheme="majorHAnsi" w:cstheme="majorHAnsi"/>
            <w:sz w:val="22"/>
            <w:szCs w:val="22"/>
          </w:rPr>
          <w:t>CBD COP Decision 15/13</w:t>
        </w:r>
      </w:hyperlink>
      <w:r w:rsidR="00771299" w:rsidRPr="001552C6">
        <w:rPr>
          <w:rFonts w:asciiTheme="majorHAnsi" w:eastAsia="Calibri" w:hAnsiTheme="majorHAnsi" w:cstheme="majorHAnsi"/>
          <w:color w:val="000000"/>
          <w:sz w:val="22"/>
          <w:szCs w:val="22"/>
        </w:rPr>
        <w:t xml:space="preserve"> and to the on-going commitment to the Bern process.</w:t>
      </w:r>
      <w:r w:rsidR="00A73D28" w:rsidRPr="001552C6">
        <w:rPr>
          <w:rStyle w:val="FootnoteReference"/>
          <w:rFonts w:asciiTheme="majorHAnsi" w:eastAsia="Calibri" w:hAnsiTheme="majorHAnsi" w:cstheme="majorHAnsi"/>
          <w:color w:val="000000"/>
          <w:sz w:val="22"/>
          <w:szCs w:val="22"/>
        </w:rPr>
        <w:footnoteReference w:id="4"/>
      </w:r>
      <w:r w:rsidR="00771299" w:rsidRPr="001552C6">
        <w:rPr>
          <w:rFonts w:asciiTheme="majorHAnsi" w:eastAsia="Calibri" w:hAnsiTheme="majorHAnsi" w:cstheme="majorHAnsi"/>
          <w:color w:val="000000"/>
          <w:sz w:val="22"/>
          <w:szCs w:val="22"/>
        </w:rPr>
        <w:t xml:space="preserve"> The spirit of this submission is also made noting the important and long-standing cooperation between the Convention on Wetlands and the CBD. This cooperation is set out through </w:t>
      </w:r>
      <w:hyperlink r:id="rId17" w:history="1">
        <w:r w:rsidR="00771299" w:rsidRPr="001552C6">
          <w:rPr>
            <w:rStyle w:val="Hyperlink"/>
            <w:rFonts w:asciiTheme="majorHAnsi" w:eastAsia="Calibri" w:hAnsiTheme="majorHAnsi" w:cstheme="majorHAnsi"/>
            <w:sz w:val="22"/>
            <w:szCs w:val="22"/>
          </w:rPr>
          <w:t>CBD Decision 3/21</w:t>
        </w:r>
      </w:hyperlink>
      <w:r w:rsidR="00771299" w:rsidRPr="001552C6">
        <w:rPr>
          <w:rFonts w:asciiTheme="majorHAnsi" w:eastAsia="Calibri" w:hAnsiTheme="majorHAnsi" w:cstheme="majorHAnsi"/>
          <w:color w:val="000000"/>
          <w:sz w:val="22"/>
          <w:szCs w:val="22"/>
        </w:rPr>
        <w:t xml:space="preserve">, where the Convention on Wetlands is recognised as having a lead role for inland waters through the CBD. </w:t>
      </w:r>
    </w:p>
    <w:p w14:paraId="7FBEAA2B" w14:textId="77777777" w:rsidR="005C0329" w:rsidRPr="001552C6" w:rsidRDefault="005C032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53DEA809" w14:textId="487C07AE" w:rsidR="00771299" w:rsidRPr="001552C6" w:rsidRDefault="005C032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12.</w:t>
      </w:r>
      <w:r w:rsidRPr="001552C6">
        <w:rPr>
          <w:rFonts w:asciiTheme="majorHAnsi" w:eastAsia="Calibri" w:hAnsiTheme="majorHAnsi" w:cstheme="majorHAnsi"/>
          <w:color w:val="000000"/>
          <w:sz w:val="22"/>
          <w:szCs w:val="22"/>
        </w:rPr>
        <w:tab/>
      </w:r>
      <w:r w:rsidR="00771299" w:rsidRPr="001552C6">
        <w:rPr>
          <w:rFonts w:asciiTheme="majorHAnsi" w:eastAsia="Calibri" w:hAnsiTheme="majorHAnsi" w:cstheme="majorHAnsi"/>
          <w:color w:val="000000"/>
          <w:sz w:val="22"/>
          <w:szCs w:val="22"/>
        </w:rPr>
        <w:t xml:space="preserve">The collaboration between both the Conventions is guided through a Joint Work Plan. The Sixth Joint Work Plan between the CBD and the Convention on Wetlands for 2024-2030 is currently under development and due to be considered by the relevant subsidiary bodies in 2024. This work plan seeks to enhance the conservation, restoration, and sustainable/wise use of wetlands by aligning objectives and actions under the two Conventions, towards the full achievement of the KMGBF, notably with the aim to “align the objectives of both Conventions, enhance synergies, and maximize the impact of their actions in addressing the interconnected challenges of biodiversity conservation and wetland management”. This contribution from the STRP is a pre-emptive response to this spirit and working objectives of this draft. Furthermore, it is noted the considerable potential for the KMGBF indicator framework to align with the targets and indicators currently under review for the 5th Strategic Plan of the Convention on Wetlands. </w:t>
      </w:r>
    </w:p>
    <w:p w14:paraId="384F4D63" w14:textId="77777777" w:rsidR="005C0329" w:rsidRPr="001552C6" w:rsidRDefault="005C032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1FE14B98" w14:textId="77777777" w:rsidR="00771299" w:rsidRPr="001552C6" w:rsidRDefault="00771299" w:rsidP="005C0329">
      <w:pPr>
        <w:keepNext/>
        <w:rPr>
          <w:rFonts w:asciiTheme="majorHAnsi" w:eastAsia="Calibri" w:hAnsiTheme="majorHAnsi" w:cstheme="majorHAnsi"/>
          <w:sz w:val="22"/>
          <w:szCs w:val="22"/>
          <w:u w:val="single"/>
        </w:rPr>
      </w:pPr>
      <w:r w:rsidRPr="001552C6">
        <w:rPr>
          <w:rFonts w:asciiTheme="majorHAnsi" w:eastAsia="Calibri" w:hAnsiTheme="majorHAnsi" w:cstheme="majorHAnsi"/>
          <w:sz w:val="22"/>
          <w:szCs w:val="22"/>
          <w:u w:val="single"/>
        </w:rPr>
        <w:t>Sources of information</w:t>
      </w:r>
    </w:p>
    <w:p w14:paraId="5A4853FF" w14:textId="77777777" w:rsidR="005C0329" w:rsidRPr="001552C6" w:rsidRDefault="005C032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11DD665" w14:textId="01B7ED86" w:rsidR="00771299" w:rsidRPr="001552C6" w:rsidRDefault="005C032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13.</w:t>
      </w:r>
      <w:r w:rsidRPr="001552C6">
        <w:rPr>
          <w:rFonts w:asciiTheme="majorHAnsi" w:eastAsia="Calibri" w:hAnsiTheme="majorHAnsi" w:cstheme="majorHAnsi"/>
          <w:color w:val="000000"/>
          <w:sz w:val="22"/>
          <w:szCs w:val="22"/>
        </w:rPr>
        <w:tab/>
      </w:r>
      <w:r w:rsidR="00771299" w:rsidRPr="001552C6">
        <w:rPr>
          <w:rFonts w:asciiTheme="majorHAnsi" w:eastAsia="Calibri" w:hAnsiTheme="majorHAnsi" w:cstheme="majorHAnsi"/>
          <w:color w:val="000000"/>
          <w:sz w:val="22"/>
          <w:szCs w:val="22"/>
        </w:rPr>
        <w:t xml:space="preserve">The STRP recognises that since the Fifteenth meeting of the Conference of the Parties to the CBD (COP15), the AHTEG on Indicators has been progressing work to develop binary indicators, metadata for the headline indicators and considering the sufficiency of existing headline indicators to track progress against the different elements within the targets. It is also recognised that the most recent developments are not yet publicly available and may not have been considered. This submission has been developed on the basis of the monitoring framework as published in CBD Decision 15/5 and the information relating to headline, component and complementary indicators provided on the </w:t>
      </w:r>
      <w:hyperlink r:id="rId18" w:history="1">
        <w:r w:rsidR="00771299" w:rsidRPr="001552C6">
          <w:rPr>
            <w:rStyle w:val="Hyperlink"/>
            <w:rFonts w:asciiTheme="majorHAnsi" w:eastAsia="Calibri" w:hAnsiTheme="majorHAnsi" w:cstheme="majorHAnsi"/>
            <w:sz w:val="22"/>
            <w:szCs w:val="22"/>
          </w:rPr>
          <w:t>Post-2020 indicator portal</w:t>
        </w:r>
      </w:hyperlink>
      <w:r w:rsidR="00771299" w:rsidRPr="001552C6">
        <w:rPr>
          <w:rFonts w:asciiTheme="majorHAnsi" w:eastAsia="Calibri" w:hAnsiTheme="majorHAnsi" w:cstheme="majorHAnsi"/>
          <w:color w:val="000000"/>
          <w:sz w:val="22"/>
          <w:szCs w:val="22"/>
        </w:rPr>
        <w:t>.</w:t>
      </w:r>
    </w:p>
    <w:p w14:paraId="26696E11" w14:textId="77777777" w:rsidR="005C0329" w:rsidRPr="001552C6" w:rsidRDefault="005C032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10B6A1CF" w14:textId="77777777" w:rsidR="00771299" w:rsidRPr="001552C6" w:rsidRDefault="00771299" w:rsidP="005C0329">
      <w:pPr>
        <w:keepNext/>
        <w:rPr>
          <w:rFonts w:asciiTheme="majorHAnsi" w:eastAsia="Calibri" w:hAnsiTheme="majorHAnsi" w:cstheme="majorHAnsi"/>
          <w:sz w:val="22"/>
          <w:szCs w:val="22"/>
          <w:u w:val="single"/>
        </w:rPr>
      </w:pPr>
      <w:r w:rsidRPr="001552C6">
        <w:rPr>
          <w:rFonts w:asciiTheme="majorHAnsi" w:eastAsia="Calibri" w:hAnsiTheme="majorHAnsi" w:cstheme="majorHAnsi"/>
          <w:sz w:val="22"/>
          <w:szCs w:val="22"/>
          <w:u w:val="single"/>
        </w:rPr>
        <w:t>Structure of the submission</w:t>
      </w:r>
    </w:p>
    <w:p w14:paraId="317D2F36" w14:textId="77777777" w:rsidR="005C0329" w:rsidRPr="001552C6" w:rsidRDefault="005C032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96A2FC1" w14:textId="2B9FD250" w:rsidR="00771299" w:rsidRPr="001552C6" w:rsidRDefault="005C0329" w:rsidP="00771299">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14.</w:t>
      </w:r>
      <w:r w:rsidRPr="001552C6">
        <w:rPr>
          <w:rFonts w:asciiTheme="majorHAnsi" w:eastAsia="Calibri" w:hAnsiTheme="majorHAnsi" w:cstheme="majorHAnsi"/>
          <w:color w:val="000000"/>
          <w:sz w:val="22"/>
          <w:szCs w:val="22"/>
        </w:rPr>
        <w:tab/>
      </w:r>
      <w:r w:rsidR="00771299" w:rsidRPr="001552C6">
        <w:rPr>
          <w:rFonts w:asciiTheme="majorHAnsi" w:eastAsia="Calibri" w:hAnsiTheme="majorHAnsi" w:cstheme="majorHAnsi"/>
          <w:color w:val="000000"/>
          <w:sz w:val="22"/>
          <w:szCs w:val="22"/>
        </w:rPr>
        <w:t>This submission is divided into two parts:</w:t>
      </w:r>
    </w:p>
    <w:p w14:paraId="09B6E9BD" w14:textId="1B28171E" w:rsidR="00771299" w:rsidRPr="001552C6" w:rsidRDefault="00771299" w:rsidP="00DA59A8">
      <w:pPr>
        <w:pStyle w:val="ListParagraph"/>
        <w:numPr>
          <w:ilvl w:val="0"/>
          <w:numId w:val="4"/>
        </w:numPr>
        <w:ind w:left="850" w:hanging="425"/>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Part I: general and cross cutting observations and recommendations;</w:t>
      </w:r>
    </w:p>
    <w:p w14:paraId="37F242C7" w14:textId="12C56758" w:rsidR="008766C6" w:rsidRPr="001552C6" w:rsidRDefault="00771299" w:rsidP="00DA59A8">
      <w:pPr>
        <w:pStyle w:val="ListParagraph"/>
        <w:numPr>
          <w:ilvl w:val="0"/>
          <w:numId w:val="4"/>
        </w:numPr>
        <w:ind w:left="850" w:hanging="425"/>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Part II: observations and recommendations by goal/indicator for Goal A and Targets 2, 3, 5, 7, 9, 10, 11 and 12.</w:t>
      </w:r>
    </w:p>
    <w:p w14:paraId="540D4367" w14:textId="77777777" w:rsidR="008766C6" w:rsidRPr="001552C6" w:rsidRDefault="008766C6" w:rsidP="002E5B0A">
      <w:pPr>
        <w:rPr>
          <w:rFonts w:asciiTheme="majorHAnsi" w:eastAsia="Calibri" w:hAnsiTheme="majorHAnsi" w:cstheme="majorHAnsi"/>
          <w:sz w:val="22"/>
          <w:szCs w:val="22"/>
        </w:rPr>
      </w:pPr>
    </w:p>
    <w:p w14:paraId="719B7D5A" w14:textId="77777777" w:rsidR="00031771" w:rsidRPr="001552C6" w:rsidRDefault="00031771" w:rsidP="00031771">
      <w:pPr>
        <w:keepNext/>
        <w:ind w:left="425" w:hanging="425"/>
        <w:rPr>
          <w:rFonts w:asciiTheme="majorHAnsi" w:eastAsia="Calibri" w:hAnsiTheme="majorHAnsi" w:cstheme="majorHAnsi"/>
          <w:b/>
          <w:sz w:val="22"/>
          <w:szCs w:val="22"/>
        </w:rPr>
      </w:pPr>
      <w:r w:rsidRPr="001552C6">
        <w:rPr>
          <w:rFonts w:asciiTheme="majorHAnsi" w:eastAsia="Calibri" w:hAnsiTheme="majorHAnsi" w:cstheme="majorHAnsi"/>
          <w:b/>
          <w:sz w:val="22"/>
          <w:szCs w:val="22"/>
        </w:rPr>
        <w:t>Part I: General observations and recommendations</w:t>
      </w:r>
    </w:p>
    <w:p w14:paraId="7524D496" w14:textId="77777777" w:rsidR="00031771" w:rsidRPr="001552C6" w:rsidRDefault="00031771" w:rsidP="00031771">
      <w:pPr>
        <w:rPr>
          <w:rFonts w:asciiTheme="majorHAnsi" w:eastAsia="Calibri" w:hAnsiTheme="majorHAnsi" w:cstheme="majorHAnsi"/>
          <w:sz w:val="22"/>
          <w:szCs w:val="22"/>
        </w:rPr>
      </w:pPr>
    </w:p>
    <w:p w14:paraId="20FC781A" w14:textId="77777777" w:rsidR="00031771" w:rsidRPr="001552C6" w:rsidRDefault="00031771" w:rsidP="00031771">
      <w:pPr>
        <w:keepNext/>
        <w:rPr>
          <w:rFonts w:asciiTheme="majorHAnsi" w:eastAsia="Calibri" w:hAnsiTheme="majorHAnsi" w:cstheme="majorHAnsi"/>
          <w:sz w:val="22"/>
          <w:szCs w:val="22"/>
          <w:u w:val="single"/>
        </w:rPr>
      </w:pPr>
      <w:r w:rsidRPr="001552C6">
        <w:rPr>
          <w:rFonts w:asciiTheme="majorHAnsi" w:eastAsia="Calibri" w:hAnsiTheme="majorHAnsi" w:cstheme="majorHAnsi"/>
          <w:sz w:val="22"/>
          <w:szCs w:val="22"/>
          <w:u w:val="single"/>
        </w:rPr>
        <w:t>Definitions</w:t>
      </w:r>
    </w:p>
    <w:p w14:paraId="2D931B2B" w14:textId="77777777" w:rsidR="00031771" w:rsidRPr="001552C6" w:rsidRDefault="00031771" w:rsidP="00031771">
      <w:pPr>
        <w:rPr>
          <w:rFonts w:asciiTheme="majorHAnsi" w:eastAsia="Calibri" w:hAnsiTheme="majorHAnsi" w:cstheme="majorHAnsi"/>
          <w:sz w:val="22"/>
          <w:szCs w:val="22"/>
        </w:rPr>
      </w:pPr>
    </w:p>
    <w:p w14:paraId="10984FCB" w14:textId="31BBD073" w:rsidR="00031771" w:rsidRPr="001552C6" w:rsidRDefault="00031771" w:rsidP="00031771">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15.</w:t>
      </w:r>
      <w:r w:rsidRPr="001552C6">
        <w:rPr>
          <w:rFonts w:asciiTheme="majorHAnsi" w:eastAsia="Calibri" w:hAnsiTheme="majorHAnsi" w:cstheme="majorHAnsi"/>
          <w:color w:val="000000"/>
          <w:sz w:val="22"/>
          <w:szCs w:val="22"/>
        </w:rPr>
        <w:tab/>
        <w:t xml:space="preserve">The Convention on Wetlands takes a broad approach in its definition of wetlands, defined in </w:t>
      </w:r>
      <w:hyperlink r:id="rId19" w:history="1">
        <w:r w:rsidRPr="001552C6">
          <w:rPr>
            <w:rStyle w:val="Hyperlink"/>
            <w:rFonts w:asciiTheme="majorHAnsi" w:eastAsia="Calibri" w:hAnsiTheme="majorHAnsi" w:cstheme="majorHAnsi"/>
            <w:sz w:val="22"/>
            <w:szCs w:val="22"/>
          </w:rPr>
          <w:t>Article 1.1</w:t>
        </w:r>
      </w:hyperlink>
      <w:r w:rsidRPr="001552C6">
        <w:rPr>
          <w:rFonts w:asciiTheme="majorHAnsi" w:eastAsia="Calibri" w:hAnsiTheme="majorHAnsi" w:cstheme="majorHAnsi"/>
          <w:color w:val="000000"/>
          <w:sz w:val="22"/>
          <w:szCs w:val="22"/>
        </w:rPr>
        <w:t xml:space="preserve"> of the Convention text as:</w:t>
      </w:r>
    </w:p>
    <w:p w14:paraId="4E848F1C" w14:textId="77777777" w:rsidR="002D6E3F" w:rsidRPr="001552C6" w:rsidRDefault="002D6E3F" w:rsidP="002D6E3F">
      <w:pPr>
        <w:pBdr>
          <w:top w:val="nil"/>
          <w:left w:val="nil"/>
          <w:bottom w:val="nil"/>
          <w:right w:val="nil"/>
          <w:between w:val="nil"/>
        </w:pBdr>
        <w:ind w:left="425"/>
        <w:rPr>
          <w:rFonts w:asciiTheme="majorHAnsi" w:eastAsia="Calibri" w:hAnsiTheme="majorHAnsi" w:cstheme="majorHAnsi"/>
          <w:color w:val="000000"/>
          <w:sz w:val="22"/>
          <w:szCs w:val="22"/>
        </w:rPr>
      </w:pPr>
    </w:p>
    <w:p w14:paraId="3E39EA20" w14:textId="0D3893A3" w:rsidR="00031771" w:rsidRPr="001552C6" w:rsidRDefault="00031771" w:rsidP="002D6E3F">
      <w:pPr>
        <w:pBdr>
          <w:top w:val="nil"/>
          <w:left w:val="nil"/>
          <w:bottom w:val="nil"/>
          <w:right w:val="nil"/>
          <w:between w:val="nil"/>
        </w:pBdr>
        <w:ind w:left="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w:t>
      </w:r>
      <w:r w:rsidRPr="001552C6">
        <w:rPr>
          <w:rFonts w:asciiTheme="majorHAnsi" w:eastAsia="Calibri" w:hAnsiTheme="majorHAnsi" w:cstheme="majorHAnsi"/>
          <w:i/>
          <w:iCs/>
          <w:color w:val="000000"/>
          <w:sz w:val="22"/>
          <w:szCs w:val="22"/>
        </w:rPr>
        <w:t>areas of marsh, fen, peatland or water, whether natural or artificial, permanent or temporary, with water that is static or flowing, fresh, brackish or salt, including areas of marine water the depth of which at low tide does not exceed six metres</w:t>
      </w:r>
      <w:r w:rsidRPr="001552C6">
        <w:rPr>
          <w:rFonts w:asciiTheme="majorHAnsi" w:eastAsia="Calibri" w:hAnsiTheme="majorHAnsi" w:cstheme="majorHAnsi"/>
          <w:color w:val="000000"/>
          <w:sz w:val="22"/>
          <w:szCs w:val="22"/>
        </w:rPr>
        <w:t>”.</w:t>
      </w:r>
    </w:p>
    <w:p w14:paraId="7178FD5B" w14:textId="77777777" w:rsidR="00031771" w:rsidRPr="001552C6" w:rsidRDefault="00031771" w:rsidP="00031771">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ED79D20" w14:textId="0C6EE094" w:rsidR="00031771" w:rsidRPr="001552C6" w:rsidRDefault="00031771" w:rsidP="00031771">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16.</w:t>
      </w:r>
      <w:r w:rsidRPr="001552C6">
        <w:rPr>
          <w:rFonts w:asciiTheme="majorHAnsi" w:eastAsia="Calibri" w:hAnsiTheme="majorHAnsi" w:cstheme="majorHAnsi"/>
          <w:color w:val="000000"/>
          <w:sz w:val="22"/>
          <w:szCs w:val="22"/>
        </w:rPr>
        <w:tab/>
        <w:t>The Convention has been designated as the lead implementing partner on inland waters for the CBD since the Third meeting of the Conference of the Parties to the CBD (COP3) in 1996 (</w:t>
      </w:r>
      <w:hyperlink r:id="rId20" w:history="1">
        <w:r w:rsidRPr="001552C6">
          <w:rPr>
            <w:rStyle w:val="Hyperlink"/>
            <w:rFonts w:asciiTheme="majorHAnsi" w:eastAsia="Calibri" w:hAnsiTheme="majorHAnsi" w:cstheme="majorHAnsi"/>
            <w:sz w:val="22"/>
            <w:szCs w:val="22"/>
          </w:rPr>
          <w:t>CBD Decision III/21 §7a</w:t>
        </w:r>
      </w:hyperlink>
      <w:r w:rsidRPr="001552C6">
        <w:rPr>
          <w:rFonts w:asciiTheme="majorHAnsi" w:eastAsia="Calibri" w:hAnsiTheme="majorHAnsi" w:cstheme="majorHAnsi"/>
          <w:color w:val="000000"/>
          <w:sz w:val="22"/>
          <w:szCs w:val="22"/>
        </w:rPr>
        <w:t xml:space="preserve">). In addition, the CBD has adopted the Convention on Wetlands definition of ‘wetland’ in respect of its programme of work on </w:t>
      </w:r>
      <w:hyperlink r:id="rId21" w:history="1">
        <w:r w:rsidRPr="001552C6">
          <w:rPr>
            <w:rStyle w:val="Hyperlink"/>
            <w:rFonts w:asciiTheme="majorHAnsi" w:eastAsia="Calibri" w:hAnsiTheme="majorHAnsi" w:cstheme="majorHAnsi"/>
            <w:sz w:val="22"/>
            <w:szCs w:val="22"/>
          </w:rPr>
          <w:t>Inland Waters Biodiversity</w:t>
        </w:r>
      </w:hyperlink>
      <w:r w:rsidRPr="001552C6">
        <w:rPr>
          <w:rFonts w:asciiTheme="majorHAnsi" w:eastAsia="Calibri" w:hAnsiTheme="majorHAnsi" w:cstheme="majorHAnsi"/>
          <w:color w:val="000000"/>
          <w:sz w:val="22"/>
          <w:szCs w:val="22"/>
        </w:rPr>
        <w:t xml:space="preserve">. </w:t>
      </w:r>
    </w:p>
    <w:p w14:paraId="276EC8ED" w14:textId="77777777" w:rsidR="00031771" w:rsidRPr="001552C6" w:rsidRDefault="00031771" w:rsidP="00031771">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0B3A3C0" w14:textId="2BBBF3ED" w:rsidR="00031771" w:rsidRPr="001552C6" w:rsidRDefault="00031771" w:rsidP="00031771">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17.</w:t>
      </w:r>
      <w:r w:rsidRPr="001552C6">
        <w:rPr>
          <w:rFonts w:asciiTheme="majorHAnsi" w:eastAsia="Calibri" w:hAnsiTheme="majorHAnsi" w:cstheme="majorHAnsi"/>
          <w:color w:val="000000"/>
          <w:sz w:val="22"/>
          <w:szCs w:val="22"/>
        </w:rPr>
        <w:tab/>
        <w:t xml:space="preserve">In this submission the terms ‘inland waters’ and ‘coastal wetlands’ are used to describe wetlands in accordance with this definition, noting that wetlands under the Convention includes shallow marine waters. </w:t>
      </w:r>
    </w:p>
    <w:p w14:paraId="0B678C74" w14:textId="77777777" w:rsidR="00031771" w:rsidRPr="001552C6" w:rsidRDefault="00031771" w:rsidP="00031771">
      <w:pPr>
        <w:pBdr>
          <w:top w:val="nil"/>
          <w:left w:val="nil"/>
          <w:bottom w:val="nil"/>
          <w:right w:val="nil"/>
          <w:between w:val="nil"/>
        </w:pBdr>
        <w:ind w:left="425" w:hanging="425"/>
        <w:rPr>
          <w:rFonts w:asciiTheme="majorHAnsi" w:eastAsia="Calibri" w:hAnsiTheme="majorHAnsi" w:cstheme="majorHAnsi"/>
          <w:color w:val="000000"/>
          <w:sz w:val="22"/>
          <w:szCs w:val="22"/>
        </w:rPr>
      </w:pPr>
    </w:p>
    <w:p w14:paraId="469DCF65" w14:textId="77777777" w:rsidR="00031771" w:rsidRPr="001552C6" w:rsidRDefault="00031771" w:rsidP="005F428B">
      <w:pPr>
        <w:keepNext/>
        <w:rPr>
          <w:rFonts w:asciiTheme="majorHAnsi" w:eastAsia="Calibri" w:hAnsiTheme="majorHAnsi" w:cstheme="majorHAnsi"/>
          <w:sz w:val="22"/>
          <w:szCs w:val="22"/>
          <w:u w:val="single"/>
        </w:rPr>
      </w:pPr>
      <w:r w:rsidRPr="001552C6">
        <w:rPr>
          <w:rFonts w:asciiTheme="majorHAnsi" w:eastAsia="Calibri" w:hAnsiTheme="majorHAnsi" w:cstheme="majorHAnsi"/>
          <w:sz w:val="22"/>
          <w:szCs w:val="22"/>
          <w:u w:val="single"/>
        </w:rPr>
        <w:t xml:space="preserve">Disaggregation of indicators, wetland classification and use of an ecosystem typology </w:t>
      </w:r>
    </w:p>
    <w:p w14:paraId="5FA5A667" w14:textId="77777777" w:rsidR="005F428B" w:rsidRPr="001552C6" w:rsidRDefault="005F428B" w:rsidP="00031771">
      <w:pPr>
        <w:pBdr>
          <w:top w:val="nil"/>
          <w:left w:val="nil"/>
          <w:bottom w:val="nil"/>
          <w:right w:val="nil"/>
          <w:between w:val="nil"/>
        </w:pBdr>
        <w:ind w:left="425" w:hanging="425"/>
        <w:rPr>
          <w:rFonts w:asciiTheme="majorHAnsi" w:eastAsia="Calibri" w:hAnsiTheme="majorHAnsi" w:cstheme="majorHAnsi"/>
          <w:color w:val="000000"/>
          <w:sz w:val="22"/>
          <w:szCs w:val="22"/>
        </w:rPr>
      </w:pPr>
    </w:p>
    <w:p w14:paraId="2F2A3CF2" w14:textId="524C6FDF" w:rsidR="00031771" w:rsidRPr="001552C6" w:rsidRDefault="00031771" w:rsidP="00DA59A8">
      <w:pPr>
        <w:pStyle w:val="ListParagraph"/>
        <w:numPr>
          <w:ilvl w:val="0"/>
          <w:numId w:val="4"/>
        </w:numPr>
        <w:ind w:left="850" w:hanging="425"/>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 xml:space="preserve">The ability to disaggregate indicators by ecosystem type is important to be able to see trends for inland waters and coastal wetlands. </w:t>
      </w:r>
    </w:p>
    <w:p w14:paraId="0270CEEF" w14:textId="36271693" w:rsidR="00031771" w:rsidRPr="001552C6" w:rsidRDefault="00031771" w:rsidP="00DA59A8">
      <w:pPr>
        <w:pStyle w:val="ListParagraph"/>
        <w:numPr>
          <w:ilvl w:val="0"/>
          <w:numId w:val="4"/>
        </w:numPr>
        <w:ind w:left="850" w:hanging="425"/>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 xml:space="preserve">The Convention on Wetlands is currently considering reviewing its current wetlands classification system. Advice on whether a review would be beneficial and what any such revision could look like will be provided from the STRP to the 63rd meeting of the Convention on Wetlands’ Standing Committee, 3-7 June 2024. This advice will take into account developments such as the IUCN Global Ecosystem Typology (GET), and any key links across to the assessment and reporting against the CBD GBF goals and targets via the monitoring framework indicator suite. </w:t>
      </w:r>
    </w:p>
    <w:p w14:paraId="3CBF5116" w14:textId="6D97A4E2" w:rsidR="00031771" w:rsidRPr="001552C6" w:rsidRDefault="00031771" w:rsidP="00DA59A8">
      <w:pPr>
        <w:pStyle w:val="ListParagraph"/>
        <w:numPr>
          <w:ilvl w:val="0"/>
          <w:numId w:val="4"/>
        </w:numPr>
        <w:ind w:left="850" w:hanging="425"/>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lastRenderedPageBreak/>
        <w:t xml:space="preserve">The STRP would support the consideration of AHTEG on the use of an ecosystem typology that allows for adequate disaggregation by ecosystem, particularly for inland waters and coastal wetlands, as a means for enabling effective reporting under the KMGBF, and for the Convention. An initial review has shown that the GET may align with the current Convention on Wetlands habitat classification and, if suitable, this would help increase the visibility of and functional reporting for inland waters and coastal wetlands in the application of the KMGBF monitoring framework. </w:t>
      </w:r>
    </w:p>
    <w:p w14:paraId="4A933EF7" w14:textId="77777777" w:rsidR="005F428B" w:rsidRPr="001552C6" w:rsidRDefault="005F428B" w:rsidP="005F428B">
      <w:pPr>
        <w:pStyle w:val="ListParagraph"/>
        <w:ind w:left="850"/>
        <w:rPr>
          <w:rFonts w:asciiTheme="majorHAnsi" w:eastAsia="Calibri" w:hAnsiTheme="majorHAnsi" w:cstheme="majorHAnsi"/>
          <w:color w:val="000000"/>
          <w:szCs w:val="22"/>
        </w:rPr>
      </w:pPr>
    </w:p>
    <w:p w14:paraId="12967D8F" w14:textId="77777777" w:rsidR="00031771" w:rsidRPr="001552C6" w:rsidRDefault="00031771" w:rsidP="00C41F64">
      <w:pPr>
        <w:keepNext/>
        <w:rPr>
          <w:rFonts w:asciiTheme="majorHAnsi" w:eastAsia="Calibri" w:hAnsiTheme="majorHAnsi" w:cstheme="majorHAnsi"/>
          <w:sz w:val="22"/>
          <w:szCs w:val="22"/>
          <w:u w:val="single"/>
        </w:rPr>
      </w:pPr>
      <w:r w:rsidRPr="001552C6">
        <w:rPr>
          <w:rFonts w:asciiTheme="majorHAnsi" w:eastAsia="Calibri" w:hAnsiTheme="majorHAnsi" w:cstheme="majorHAnsi"/>
          <w:sz w:val="22"/>
          <w:szCs w:val="22"/>
          <w:u w:val="single"/>
        </w:rPr>
        <w:t>Convention on Wetlands’ 5th Strategic Plan – synergies with the KMGBF monitoring framework</w:t>
      </w:r>
    </w:p>
    <w:p w14:paraId="669AF347" w14:textId="77777777" w:rsidR="005F428B" w:rsidRPr="001552C6" w:rsidRDefault="005F428B" w:rsidP="00031771">
      <w:pPr>
        <w:pBdr>
          <w:top w:val="nil"/>
          <w:left w:val="nil"/>
          <w:bottom w:val="nil"/>
          <w:right w:val="nil"/>
          <w:between w:val="nil"/>
        </w:pBdr>
        <w:ind w:left="425" w:hanging="425"/>
        <w:rPr>
          <w:rFonts w:asciiTheme="majorHAnsi" w:eastAsia="Calibri" w:hAnsiTheme="majorHAnsi" w:cstheme="majorHAnsi"/>
          <w:color w:val="000000"/>
          <w:sz w:val="22"/>
          <w:szCs w:val="22"/>
        </w:rPr>
      </w:pPr>
    </w:p>
    <w:p w14:paraId="325B82C9" w14:textId="582F5A4C" w:rsidR="00031771" w:rsidRPr="001552C6" w:rsidRDefault="00031771" w:rsidP="00DA59A8">
      <w:pPr>
        <w:pStyle w:val="ListParagraph"/>
        <w:numPr>
          <w:ilvl w:val="0"/>
          <w:numId w:val="4"/>
        </w:numPr>
        <w:ind w:left="850" w:hanging="425"/>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This submission will, in parallel, inform the ongoing development of the 5th Strategic Plan (2025-2030) under the Convention on Wetlands which will be considered for adoption during its Fifteenth meeting of the Conference of the Parties (COP15) in 2025. One of the key issues is working to ensure that there is strong alignment, wherever appropriate, between the GBF monitoring and indicator framework and the indicator framework to be developed through the Convention on Wetland’s review and revision its 5th Strategic Plan, to maximise synergies between the two Conventions in this aspect. This should also be considered as a process that should be regularly revisited, as better options are developed to improve the monitoring and reporting of wetlands to achieve positive conservation outcomes, and to reduce of technical and reporting needs on Parties to the CBD and the Convention on Wetlands. To achieve this, dialogue between the two Conventions, and other MEAs where relevant, needs to continue following the conclusion of the business of the AHTEG.</w:t>
      </w:r>
    </w:p>
    <w:p w14:paraId="0575A45C" w14:textId="77777777" w:rsidR="00C41F64" w:rsidRPr="001552C6" w:rsidRDefault="00C41F64" w:rsidP="00031771">
      <w:pPr>
        <w:pBdr>
          <w:top w:val="nil"/>
          <w:left w:val="nil"/>
          <w:bottom w:val="nil"/>
          <w:right w:val="nil"/>
          <w:between w:val="nil"/>
        </w:pBdr>
        <w:ind w:left="425" w:hanging="425"/>
        <w:rPr>
          <w:rFonts w:asciiTheme="majorHAnsi" w:eastAsia="Calibri" w:hAnsiTheme="majorHAnsi" w:cstheme="majorHAnsi"/>
          <w:color w:val="000000"/>
          <w:sz w:val="22"/>
          <w:szCs w:val="22"/>
        </w:rPr>
      </w:pPr>
    </w:p>
    <w:p w14:paraId="7BB51675" w14:textId="77777777" w:rsidR="00031771" w:rsidRPr="001552C6" w:rsidRDefault="00031771" w:rsidP="00C41F64">
      <w:pPr>
        <w:keepNext/>
        <w:rPr>
          <w:rFonts w:asciiTheme="majorHAnsi" w:eastAsia="Calibri" w:hAnsiTheme="majorHAnsi" w:cstheme="majorHAnsi"/>
          <w:sz w:val="22"/>
          <w:szCs w:val="22"/>
          <w:u w:val="single"/>
        </w:rPr>
      </w:pPr>
      <w:r w:rsidRPr="001552C6">
        <w:rPr>
          <w:rFonts w:asciiTheme="majorHAnsi" w:eastAsia="Calibri" w:hAnsiTheme="majorHAnsi" w:cstheme="majorHAnsi"/>
          <w:sz w:val="22"/>
          <w:szCs w:val="22"/>
          <w:u w:val="single"/>
        </w:rPr>
        <w:t>Guidance to Contracting Parties etc. on relevant indicators for inland waters and coastal wetlands</w:t>
      </w:r>
    </w:p>
    <w:p w14:paraId="624ED1B9" w14:textId="77777777" w:rsidR="00C41F64" w:rsidRPr="001552C6" w:rsidRDefault="00C41F64" w:rsidP="00031771">
      <w:pPr>
        <w:pBdr>
          <w:top w:val="nil"/>
          <w:left w:val="nil"/>
          <w:bottom w:val="nil"/>
          <w:right w:val="nil"/>
          <w:between w:val="nil"/>
        </w:pBdr>
        <w:ind w:left="425" w:hanging="425"/>
        <w:rPr>
          <w:rFonts w:asciiTheme="majorHAnsi" w:eastAsia="Calibri" w:hAnsiTheme="majorHAnsi" w:cstheme="majorHAnsi"/>
          <w:color w:val="000000"/>
          <w:sz w:val="22"/>
          <w:szCs w:val="22"/>
        </w:rPr>
      </w:pPr>
    </w:p>
    <w:p w14:paraId="5FEF1F84" w14:textId="1F09110C" w:rsidR="001C1377" w:rsidRPr="001552C6" w:rsidRDefault="00031771" w:rsidP="00DA59A8">
      <w:pPr>
        <w:pStyle w:val="ListParagraph"/>
        <w:numPr>
          <w:ilvl w:val="0"/>
          <w:numId w:val="4"/>
        </w:numPr>
        <w:ind w:left="850" w:hanging="425"/>
        <w:rPr>
          <w:rFonts w:asciiTheme="majorHAnsi" w:eastAsia="Calibri" w:hAnsiTheme="majorHAnsi" w:cstheme="majorHAnsi"/>
          <w:color w:val="000000"/>
          <w:szCs w:val="22"/>
        </w:rPr>
      </w:pPr>
      <w:r w:rsidRPr="001552C6">
        <w:rPr>
          <w:rFonts w:asciiTheme="majorHAnsi" w:eastAsia="Calibri" w:hAnsiTheme="majorHAnsi" w:cstheme="majorHAnsi"/>
          <w:color w:val="000000"/>
          <w:szCs w:val="22"/>
        </w:rPr>
        <w:t>Guidance or direction from the AHTEG on the selection of (suggested) specific component and complementary indictors most relevant for different purposes under each goal and target (e.g. those most relevant for reporting on different ecosystem types through different global data flows) could be prudent. Otherwise, given the high number of component and complementary indictors for some goals/targets, there is a risk that the information submitted across Contracting Parties will be potentially very different between Parties and difficult to detect any regional or global patterns over time. Directing consistency in the choice of complementary and component indictors adopted by, and assessed across, Contracting Parties will improve the accuracy and relevance of the assessments through time, including for inland waters and coastal wetlands relevant to the Convention on Wetlands.</w:t>
      </w:r>
    </w:p>
    <w:p w14:paraId="4F87A3A3" w14:textId="77777777" w:rsidR="001C1377" w:rsidRPr="001552C6" w:rsidRDefault="001C1377" w:rsidP="002E5B0A">
      <w:pPr>
        <w:rPr>
          <w:rFonts w:asciiTheme="majorHAnsi" w:eastAsia="Calibri" w:hAnsiTheme="majorHAnsi" w:cstheme="majorHAnsi"/>
          <w:sz w:val="22"/>
          <w:szCs w:val="22"/>
        </w:rPr>
      </w:pPr>
    </w:p>
    <w:p w14:paraId="7D57CA00" w14:textId="77777777" w:rsidR="005F125F" w:rsidRPr="001552C6" w:rsidRDefault="005F125F" w:rsidP="005F125F">
      <w:pPr>
        <w:keepNext/>
        <w:ind w:left="425" w:hanging="425"/>
        <w:rPr>
          <w:rFonts w:asciiTheme="majorHAnsi" w:eastAsia="Calibri" w:hAnsiTheme="majorHAnsi" w:cstheme="majorHAnsi"/>
          <w:b/>
          <w:sz w:val="22"/>
          <w:szCs w:val="22"/>
        </w:rPr>
      </w:pPr>
      <w:r w:rsidRPr="001552C6">
        <w:rPr>
          <w:rFonts w:asciiTheme="majorHAnsi" w:eastAsia="Calibri" w:hAnsiTheme="majorHAnsi" w:cstheme="majorHAnsi"/>
          <w:b/>
          <w:sz w:val="22"/>
          <w:szCs w:val="22"/>
        </w:rPr>
        <w:t>Part II: Indicator specific observations and recommendations by Goal/Target</w:t>
      </w:r>
    </w:p>
    <w:p w14:paraId="2BED704A" w14:textId="77777777" w:rsidR="005F125F" w:rsidRPr="001552C6" w:rsidRDefault="005F125F" w:rsidP="005F125F">
      <w:pPr>
        <w:rPr>
          <w:rFonts w:asciiTheme="majorHAnsi" w:eastAsia="Calibri" w:hAnsiTheme="majorHAnsi" w:cstheme="majorHAnsi"/>
          <w:sz w:val="22"/>
          <w:szCs w:val="22"/>
        </w:rPr>
      </w:pPr>
    </w:p>
    <w:p w14:paraId="4EF99E53" w14:textId="230CDE40" w:rsidR="005F125F" w:rsidRPr="001552C6" w:rsidRDefault="00680812" w:rsidP="00680812">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18.</w:t>
      </w:r>
      <w:r w:rsidRPr="001552C6">
        <w:rPr>
          <w:rFonts w:asciiTheme="majorHAnsi" w:eastAsia="Calibri" w:hAnsiTheme="majorHAnsi" w:cstheme="majorHAnsi"/>
          <w:color w:val="000000"/>
          <w:sz w:val="22"/>
          <w:szCs w:val="22"/>
        </w:rPr>
        <w:tab/>
      </w:r>
      <w:r w:rsidR="005F125F" w:rsidRPr="001552C6">
        <w:rPr>
          <w:rFonts w:asciiTheme="majorHAnsi" w:eastAsia="Calibri" w:hAnsiTheme="majorHAnsi" w:cstheme="majorHAnsi"/>
          <w:color w:val="000000"/>
          <w:sz w:val="22"/>
          <w:szCs w:val="22"/>
        </w:rPr>
        <w:t>Part II provides information relating to the sufficiency of the headline indicators (and component and complementary indicators) for wetlands (i.e., inland waters and coastal wetlands); recommendations for filling these gaps; and identification of relevant future work. This information is provided for Goal A, Targets 2, 3, 5, 7, 9, 10, 11 and 12.</w:t>
      </w:r>
    </w:p>
    <w:p w14:paraId="6B03E14C" w14:textId="77777777" w:rsidR="00680812" w:rsidRPr="001552C6" w:rsidRDefault="00680812" w:rsidP="00680812">
      <w:pPr>
        <w:pBdr>
          <w:top w:val="nil"/>
          <w:left w:val="nil"/>
          <w:bottom w:val="nil"/>
          <w:right w:val="nil"/>
          <w:between w:val="nil"/>
        </w:pBdr>
        <w:ind w:left="425" w:hanging="425"/>
        <w:rPr>
          <w:rFonts w:asciiTheme="majorHAnsi" w:eastAsia="Calibri" w:hAnsiTheme="majorHAnsi" w:cstheme="majorHAnsi"/>
          <w:color w:val="000000"/>
          <w:sz w:val="22"/>
          <w:szCs w:val="22"/>
        </w:rPr>
      </w:pPr>
    </w:p>
    <w:p w14:paraId="593BAF04" w14:textId="72D335C7" w:rsidR="005F125F" w:rsidRPr="001552C6" w:rsidRDefault="00680812" w:rsidP="00680812">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19.</w:t>
      </w:r>
      <w:r w:rsidRPr="001552C6">
        <w:rPr>
          <w:rFonts w:asciiTheme="majorHAnsi" w:eastAsia="Calibri" w:hAnsiTheme="majorHAnsi" w:cstheme="majorHAnsi"/>
          <w:color w:val="000000"/>
          <w:sz w:val="22"/>
          <w:szCs w:val="22"/>
        </w:rPr>
        <w:tab/>
      </w:r>
      <w:r w:rsidR="005F125F" w:rsidRPr="001552C6">
        <w:rPr>
          <w:rFonts w:asciiTheme="majorHAnsi" w:eastAsia="Calibri" w:hAnsiTheme="majorHAnsi" w:cstheme="majorHAnsi"/>
          <w:b/>
          <w:bCs/>
          <w:color w:val="000000"/>
          <w:sz w:val="22"/>
          <w:szCs w:val="22"/>
        </w:rPr>
        <w:t>Note</w:t>
      </w:r>
      <w:r w:rsidR="005F125F" w:rsidRPr="001552C6">
        <w:rPr>
          <w:rFonts w:asciiTheme="majorHAnsi" w:eastAsia="Calibri" w:hAnsiTheme="majorHAnsi" w:cstheme="majorHAnsi"/>
          <w:color w:val="000000"/>
          <w:sz w:val="22"/>
          <w:szCs w:val="22"/>
        </w:rPr>
        <w:t xml:space="preserve">: where ID numbers are indicated these are the ID numbers provided on the </w:t>
      </w:r>
      <w:hyperlink r:id="rId22" w:history="1">
        <w:r w:rsidR="005F125F" w:rsidRPr="001552C6">
          <w:rPr>
            <w:rStyle w:val="Hyperlink"/>
            <w:rFonts w:asciiTheme="majorHAnsi" w:eastAsia="Calibri" w:hAnsiTheme="majorHAnsi" w:cstheme="majorHAnsi"/>
            <w:sz w:val="22"/>
            <w:szCs w:val="22"/>
          </w:rPr>
          <w:t>UNEP-WCMC Post-2020 indicator portal</w:t>
        </w:r>
      </w:hyperlink>
      <w:r w:rsidR="005F125F" w:rsidRPr="001552C6">
        <w:rPr>
          <w:rFonts w:asciiTheme="majorHAnsi" w:eastAsia="Calibri" w:hAnsiTheme="majorHAnsi" w:cstheme="majorHAnsi"/>
          <w:color w:val="000000"/>
          <w:sz w:val="22"/>
          <w:szCs w:val="22"/>
        </w:rPr>
        <w:t xml:space="preserve"> as of February 2024.</w:t>
      </w:r>
    </w:p>
    <w:p w14:paraId="1B5B2AAC" w14:textId="77777777" w:rsidR="00680812" w:rsidRPr="001552C6" w:rsidRDefault="00680812" w:rsidP="00680812">
      <w:pPr>
        <w:pBdr>
          <w:top w:val="nil"/>
          <w:left w:val="nil"/>
          <w:bottom w:val="nil"/>
          <w:right w:val="nil"/>
          <w:between w:val="nil"/>
        </w:pBdr>
        <w:ind w:left="425" w:hanging="425"/>
        <w:rPr>
          <w:rFonts w:asciiTheme="majorHAnsi" w:eastAsia="Calibri" w:hAnsiTheme="majorHAnsi" w:cstheme="majorHAnsi"/>
          <w:color w:val="000000"/>
          <w:sz w:val="22"/>
          <w:szCs w:val="22"/>
        </w:rPr>
      </w:pPr>
    </w:p>
    <w:p w14:paraId="31C03358" w14:textId="70D90199" w:rsidR="001C1377" w:rsidRPr="001552C6" w:rsidRDefault="00680812" w:rsidP="00680812">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20.</w:t>
      </w:r>
      <w:r w:rsidRPr="001552C6">
        <w:rPr>
          <w:rFonts w:asciiTheme="majorHAnsi" w:eastAsia="Calibri" w:hAnsiTheme="majorHAnsi" w:cstheme="majorHAnsi"/>
          <w:color w:val="000000"/>
          <w:sz w:val="22"/>
          <w:szCs w:val="22"/>
        </w:rPr>
        <w:tab/>
      </w:r>
      <w:r w:rsidR="005F125F" w:rsidRPr="001552C6">
        <w:rPr>
          <w:rFonts w:asciiTheme="majorHAnsi" w:eastAsia="Calibri" w:hAnsiTheme="majorHAnsi" w:cstheme="majorHAnsi"/>
          <w:b/>
          <w:bCs/>
          <w:color w:val="000000"/>
          <w:sz w:val="22"/>
          <w:szCs w:val="22"/>
        </w:rPr>
        <w:t>Goal A</w:t>
      </w:r>
      <w:r w:rsidR="005F125F" w:rsidRPr="001552C6">
        <w:rPr>
          <w:rFonts w:asciiTheme="majorHAnsi" w:eastAsia="Calibri" w:hAnsiTheme="majorHAnsi" w:cstheme="majorHAnsi"/>
          <w:color w:val="000000"/>
          <w:sz w:val="22"/>
          <w:szCs w:val="22"/>
        </w:rPr>
        <w:t xml:space="preserve">: </w:t>
      </w:r>
      <w:r w:rsidR="005F125F" w:rsidRPr="001552C6">
        <w:rPr>
          <w:rFonts w:asciiTheme="majorHAnsi" w:eastAsia="Calibri" w:hAnsiTheme="majorHAnsi" w:cstheme="majorHAnsi"/>
          <w:i/>
          <w:iCs/>
          <w:color w:val="000000"/>
          <w:sz w:val="22"/>
          <w:szCs w:val="22"/>
        </w:rPr>
        <w:t xml:space="preserve">The integrity, connectivity and resilience of all ecosystems are maintained, enhanced, or restored, substantially increasing the area of natural ecosystems by 2050; Human induced extinction of known threatened species is halted, and, by 2050, the extinction rate and risk of all </w:t>
      </w:r>
      <w:r w:rsidR="005F125F" w:rsidRPr="001552C6">
        <w:rPr>
          <w:rFonts w:asciiTheme="majorHAnsi" w:eastAsia="Calibri" w:hAnsiTheme="majorHAnsi" w:cstheme="majorHAnsi"/>
          <w:i/>
          <w:iCs/>
          <w:color w:val="000000"/>
          <w:sz w:val="22"/>
          <w:szCs w:val="22"/>
        </w:rPr>
        <w:lastRenderedPageBreak/>
        <w:t>species are reduced tenfold and the abundance of native wild species is increased to healthy and resilient levels; The genetic diversity within populations of wild and domesticated species, is maintained, safeguarding their adaptive potential</w:t>
      </w:r>
      <w:r w:rsidR="005F125F" w:rsidRPr="001552C6">
        <w:rPr>
          <w:rFonts w:asciiTheme="majorHAnsi" w:eastAsia="Calibri" w:hAnsiTheme="majorHAnsi" w:cstheme="majorHAnsi"/>
          <w:color w:val="000000"/>
          <w:sz w:val="22"/>
          <w:szCs w:val="22"/>
        </w:rPr>
        <w:t>.</w:t>
      </w:r>
    </w:p>
    <w:p w14:paraId="61BAE114" w14:textId="77777777" w:rsidR="00B106C9" w:rsidRPr="001552C6" w:rsidRDefault="00B106C9" w:rsidP="00DA59A8">
      <w:pPr>
        <w:pBdr>
          <w:top w:val="nil"/>
          <w:left w:val="nil"/>
          <w:bottom w:val="nil"/>
          <w:right w:val="nil"/>
          <w:between w:val="nil"/>
        </w:pBdr>
        <w:ind w:left="425" w:hanging="425"/>
        <w:rPr>
          <w:rFonts w:asciiTheme="majorHAnsi" w:eastAsia="Calibri" w:hAnsiTheme="majorHAnsi" w:cstheme="majorHAnsi"/>
          <w:color w:val="000000"/>
        </w:rPr>
      </w:pPr>
    </w:p>
    <w:tbl>
      <w:tblPr>
        <w:tblStyle w:val="TableGrid"/>
        <w:tblW w:w="0" w:type="auto"/>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2268"/>
        <w:gridCol w:w="6738"/>
      </w:tblGrid>
      <w:tr w:rsidR="00B106C9" w:rsidRPr="001552C6" w14:paraId="6573D737" w14:textId="77777777" w:rsidTr="00072BDF">
        <w:trPr>
          <w:trHeight w:val="603"/>
        </w:trPr>
        <w:tc>
          <w:tcPr>
            <w:tcW w:w="2268" w:type="dxa"/>
          </w:tcPr>
          <w:p w14:paraId="59599DE5"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Cs/>
                <w:sz w:val="20"/>
                <w:szCs w:val="20"/>
              </w:rPr>
              <w:t xml:space="preserve">Headline indicator </w:t>
            </w:r>
          </w:p>
        </w:tc>
        <w:tc>
          <w:tcPr>
            <w:tcW w:w="6738" w:type="dxa"/>
            <w:hideMark/>
          </w:tcPr>
          <w:p w14:paraId="5E0B4E07" w14:textId="77777777" w:rsidR="00B106C9" w:rsidRPr="001552C6" w:rsidRDefault="00B106C9" w:rsidP="00072BDF">
            <w:pPr>
              <w:spacing w:before="60" w:after="60"/>
              <w:rPr>
                <w:rFonts w:asciiTheme="majorHAnsi" w:hAnsiTheme="majorHAnsi" w:cstheme="majorHAnsi"/>
                <w:b w:val="0"/>
                <w:bCs/>
                <w:sz w:val="20"/>
                <w:szCs w:val="20"/>
              </w:rPr>
            </w:pPr>
            <w:r w:rsidRPr="001552C6">
              <w:rPr>
                <w:rStyle w:val="normaltextrun"/>
                <w:rFonts w:asciiTheme="majorHAnsi" w:hAnsiTheme="majorHAnsi" w:cstheme="majorHAnsi"/>
                <w:b w:val="0"/>
                <w:bCs/>
                <w:color w:val="000000"/>
                <w:position w:val="1"/>
                <w:sz w:val="20"/>
                <w:szCs w:val="20"/>
                <w:lang w:val="en-US"/>
              </w:rPr>
              <w:t xml:space="preserve">The STRP has provided comments </w:t>
            </w:r>
            <w:r w:rsidRPr="001552C6">
              <w:rPr>
                <w:rFonts w:asciiTheme="majorHAnsi" w:hAnsiTheme="majorHAnsi" w:cstheme="majorHAnsi"/>
                <w:b w:val="0"/>
                <w:bCs/>
                <w:sz w:val="20"/>
                <w:szCs w:val="20"/>
              </w:rPr>
              <w:t xml:space="preserve">focused on A.2 Extent of natural ecosystems and A.4 </w:t>
            </w:r>
            <w:r w:rsidRPr="001552C6">
              <w:rPr>
                <w:rFonts w:asciiTheme="majorHAnsi" w:hAnsiTheme="majorHAnsi" w:cstheme="majorHAnsi"/>
                <w:b w:val="0"/>
                <w:bCs/>
                <w:color w:val="242424"/>
                <w:sz w:val="20"/>
                <w:szCs w:val="20"/>
                <w:shd w:val="clear" w:color="auto" w:fill="FFFFFF"/>
              </w:rPr>
              <w:t>The proportion of populations within species with an effective population size &gt; 500.</w:t>
            </w:r>
          </w:p>
          <w:p w14:paraId="72BD5BB3"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 w:val="0"/>
                <w:bCs/>
                <w:sz w:val="20"/>
                <w:szCs w:val="20"/>
              </w:rPr>
              <w:t xml:space="preserve">Whilst indicators A.1 and A.3 are highly relevant to inland waters and coastal wetlands, it is felt that these are sufficient and will serve their purpose. </w:t>
            </w:r>
          </w:p>
        </w:tc>
      </w:tr>
      <w:tr w:rsidR="00B106C9" w:rsidRPr="001552C6" w14:paraId="10294E62" w14:textId="77777777" w:rsidTr="00072BDF">
        <w:tc>
          <w:tcPr>
            <w:tcW w:w="2268" w:type="dxa"/>
            <w:hideMark/>
          </w:tcPr>
          <w:p w14:paraId="2814361E"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Cs/>
                <w:sz w:val="20"/>
                <w:szCs w:val="20"/>
              </w:rPr>
              <w:t xml:space="preserve">Sufficiency of </w:t>
            </w:r>
            <w:r w:rsidRPr="001552C6">
              <w:rPr>
                <w:rFonts w:asciiTheme="majorHAnsi" w:hAnsiTheme="majorHAnsi" w:cstheme="majorHAnsi"/>
                <w:bCs/>
                <w:sz w:val="20"/>
                <w:szCs w:val="20"/>
              </w:rPr>
              <w:br/>
              <w:t xml:space="preserve">the indicator </w:t>
            </w:r>
            <w:r w:rsidRPr="001552C6">
              <w:rPr>
                <w:rFonts w:asciiTheme="majorHAnsi" w:hAnsiTheme="majorHAnsi" w:cstheme="majorHAnsi"/>
                <w:bCs/>
                <w:sz w:val="20"/>
                <w:szCs w:val="20"/>
              </w:rPr>
              <w:br/>
              <w:t>for wetlands</w:t>
            </w:r>
          </w:p>
        </w:tc>
        <w:tc>
          <w:tcPr>
            <w:tcW w:w="6738" w:type="dxa"/>
          </w:tcPr>
          <w:p w14:paraId="2A6CEE46"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 w:val="0"/>
                <w:bCs/>
                <w:sz w:val="20"/>
                <w:szCs w:val="20"/>
              </w:rPr>
              <w:t>The current headline indicator A.2 on extent of natural ecosystems, can provide information that contributes to understanding progress to Goal A, but is not sufficient on its own to understand integrity, connectivity, and resilience of an ecosystem.</w:t>
            </w:r>
          </w:p>
          <w:p w14:paraId="2FFDB0F2"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 w:val="0"/>
                <w:bCs/>
                <w:sz w:val="20"/>
                <w:szCs w:val="20"/>
              </w:rPr>
              <w:t xml:space="preserve">For water-related ecosystems, the change in extent is measured through </w:t>
            </w:r>
            <w:hyperlink r:id="rId23" w:history="1">
              <w:r w:rsidRPr="001552C6">
                <w:rPr>
                  <w:rStyle w:val="Hyperlink"/>
                  <w:rFonts w:asciiTheme="majorHAnsi" w:hAnsiTheme="majorHAnsi" w:cstheme="majorHAnsi"/>
                  <w:b w:val="0"/>
                  <w:bCs/>
                  <w:sz w:val="20"/>
                  <w:szCs w:val="20"/>
                </w:rPr>
                <w:t>SDG indicator 6.6.1</w:t>
              </w:r>
            </w:hyperlink>
            <w:r w:rsidRPr="001552C6">
              <w:rPr>
                <w:rFonts w:asciiTheme="majorHAnsi" w:hAnsiTheme="majorHAnsi" w:cstheme="majorHAnsi"/>
                <w:b w:val="0"/>
                <w:bCs/>
                <w:sz w:val="20"/>
                <w:szCs w:val="20"/>
              </w:rPr>
              <w:t xml:space="preserve">, co-managed by the Convention on Wetlands and UNEP (see </w:t>
            </w:r>
            <w:hyperlink r:id="rId24" w:history="1">
              <w:r w:rsidRPr="001552C6">
                <w:rPr>
                  <w:rStyle w:val="Hyperlink"/>
                  <w:rFonts w:asciiTheme="majorHAnsi" w:hAnsiTheme="majorHAnsi" w:cstheme="majorHAnsi"/>
                  <w:b w:val="0"/>
                  <w:bCs/>
                  <w:sz w:val="20"/>
                  <w:szCs w:val="20"/>
                </w:rPr>
                <w:t>metadata</w:t>
              </w:r>
            </w:hyperlink>
            <w:r w:rsidRPr="001552C6">
              <w:rPr>
                <w:rFonts w:asciiTheme="majorHAnsi" w:hAnsiTheme="majorHAnsi" w:cstheme="majorHAnsi"/>
                <w:b w:val="0"/>
                <w:bCs/>
                <w:sz w:val="20"/>
                <w:szCs w:val="20"/>
              </w:rPr>
              <w:t xml:space="preserve">; see </w:t>
            </w:r>
            <w:hyperlink r:id="rId25" w:history="1">
              <w:r w:rsidRPr="001552C6">
                <w:rPr>
                  <w:rStyle w:val="Hyperlink"/>
                  <w:rFonts w:asciiTheme="majorHAnsi" w:hAnsiTheme="majorHAnsi" w:cstheme="majorHAnsi"/>
                  <w:b w:val="0"/>
                  <w:bCs/>
                  <w:sz w:val="20"/>
                  <w:szCs w:val="20"/>
                </w:rPr>
                <w:t>data portal</w:t>
              </w:r>
            </w:hyperlink>
            <w:r w:rsidRPr="001552C6">
              <w:rPr>
                <w:rFonts w:asciiTheme="majorHAnsi" w:hAnsiTheme="majorHAnsi" w:cstheme="majorHAnsi"/>
                <w:b w:val="0"/>
                <w:bCs/>
                <w:sz w:val="20"/>
                <w:szCs w:val="20"/>
              </w:rPr>
              <w:t xml:space="preserve">). Whilst this indicator is identified as a </w:t>
            </w:r>
            <w:hyperlink r:id="rId26" w:history="1">
              <w:r w:rsidRPr="001552C6">
                <w:rPr>
                  <w:rStyle w:val="Hyperlink"/>
                  <w:rFonts w:asciiTheme="majorHAnsi" w:hAnsiTheme="majorHAnsi" w:cstheme="majorHAnsi"/>
                  <w:b w:val="0"/>
                  <w:bCs/>
                  <w:sz w:val="20"/>
                  <w:szCs w:val="20"/>
                </w:rPr>
                <w:t>component indicator</w:t>
              </w:r>
            </w:hyperlink>
            <w:r w:rsidRPr="001552C6">
              <w:rPr>
                <w:rFonts w:asciiTheme="majorHAnsi" w:hAnsiTheme="majorHAnsi" w:cstheme="majorHAnsi"/>
                <w:b w:val="0"/>
                <w:bCs/>
                <w:sz w:val="20"/>
                <w:szCs w:val="20"/>
              </w:rPr>
              <w:t xml:space="preserve"> (ID 317), the STRP recommends that this component indicator is highlighted to Parties as vital to understand the extent, and the change in extent through time, of inland waters. </w:t>
            </w:r>
          </w:p>
          <w:p w14:paraId="327A12A0"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 w:val="0"/>
                <w:bCs/>
                <w:sz w:val="20"/>
                <w:szCs w:val="20"/>
              </w:rPr>
              <w:t xml:space="preserve">As regards headline indicator A.4 on species populations, the STRP recognise the importance of genetic diversity for maintaining healthy wetlands and welcome the inclusion of a headline indicator to measure this component of the goal. However, A.4 as currently articulated does not sufficiently represent wetland species. The STRP recommends that the indicator should be based on a representative set of species that includes freshwater and coastal species. </w:t>
            </w:r>
          </w:p>
        </w:tc>
      </w:tr>
      <w:tr w:rsidR="00B106C9" w:rsidRPr="001552C6" w14:paraId="50F8DF40" w14:textId="77777777" w:rsidTr="00072BDF">
        <w:tc>
          <w:tcPr>
            <w:tcW w:w="2268" w:type="dxa"/>
            <w:hideMark/>
          </w:tcPr>
          <w:p w14:paraId="1BB0B94E"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Cs/>
                <w:sz w:val="20"/>
                <w:szCs w:val="20"/>
              </w:rPr>
              <w:t>Recommendations on headline indicator metadata</w:t>
            </w:r>
          </w:p>
        </w:tc>
        <w:tc>
          <w:tcPr>
            <w:tcW w:w="6738" w:type="dxa"/>
            <w:hideMark/>
          </w:tcPr>
          <w:p w14:paraId="65C1A58C"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 w:val="0"/>
                <w:bCs/>
                <w:sz w:val="20"/>
                <w:szCs w:val="20"/>
              </w:rPr>
              <w:t xml:space="preserve">The STRP strongly supports disaggregation of this headline indicator by ecosystem type and in principle supports the use of the IUCN Global Ecosystem Typology, contingent on its alignment with SDG 6.6.1 and ability to sufficiently disaggregate wetland ecosystems (inland waters, coastal and shallow marine wetlands) as defined by the Convention on Wetlands. </w:t>
            </w:r>
          </w:p>
        </w:tc>
      </w:tr>
      <w:tr w:rsidR="00B106C9" w:rsidRPr="001552C6" w14:paraId="7F1D5B7A" w14:textId="77777777" w:rsidTr="00072BDF">
        <w:tc>
          <w:tcPr>
            <w:tcW w:w="2268" w:type="dxa"/>
            <w:hideMark/>
          </w:tcPr>
          <w:p w14:paraId="76996999"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Cs/>
                <w:sz w:val="20"/>
                <w:szCs w:val="20"/>
              </w:rPr>
              <w:t>Recommendations on data flows / sources to fill the gap</w:t>
            </w:r>
          </w:p>
        </w:tc>
        <w:tc>
          <w:tcPr>
            <w:tcW w:w="6738" w:type="dxa"/>
            <w:hideMark/>
          </w:tcPr>
          <w:p w14:paraId="7674FA21" w14:textId="77777777" w:rsidR="00B106C9" w:rsidRPr="001552C6" w:rsidRDefault="00B106C9" w:rsidP="00DA59A8">
            <w:pPr>
              <w:pStyle w:val="ListParagraph"/>
              <w:numPr>
                <w:ilvl w:val="0"/>
                <w:numId w:val="28"/>
              </w:numPr>
              <w:spacing w:before="60" w:after="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See above – it is recommended to make use of existing data flows derived from (and currently used for reporting against) SDG indicator 6.6.1.</w:t>
            </w:r>
          </w:p>
          <w:p w14:paraId="00ACC565" w14:textId="77777777" w:rsidR="00B106C9" w:rsidRPr="001552C6" w:rsidRDefault="00B106C9" w:rsidP="00DA59A8">
            <w:pPr>
              <w:pStyle w:val="ListParagraph"/>
              <w:numPr>
                <w:ilvl w:val="0"/>
                <w:numId w:val="28"/>
              </w:numPr>
              <w:spacing w:before="60" w:after="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It is also proposed to conduct a cross walk to see if SDG 6.6.1 can contribute to headline indicator A.2, based on the approach described in the metadata.</w:t>
            </w:r>
          </w:p>
        </w:tc>
      </w:tr>
      <w:tr w:rsidR="00B106C9" w:rsidRPr="001552C6" w14:paraId="5604A3E4" w14:textId="77777777" w:rsidTr="00072BDF">
        <w:tc>
          <w:tcPr>
            <w:tcW w:w="2268" w:type="dxa"/>
            <w:hideMark/>
          </w:tcPr>
          <w:p w14:paraId="244B4279"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Cs/>
                <w:sz w:val="20"/>
                <w:szCs w:val="20"/>
              </w:rPr>
              <w:t xml:space="preserve">Identification </w:t>
            </w:r>
            <w:r w:rsidRPr="001552C6">
              <w:rPr>
                <w:rFonts w:asciiTheme="majorHAnsi" w:hAnsiTheme="majorHAnsi" w:cstheme="majorHAnsi"/>
                <w:bCs/>
                <w:sz w:val="20"/>
                <w:szCs w:val="20"/>
              </w:rPr>
              <w:br/>
              <w:t xml:space="preserve">of future tools </w:t>
            </w:r>
            <w:r w:rsidRPr="001552C6">
              <w:rPr>
                <w:rFonts w:asciiTheme="majorHAnsi" w:hAnsiTheme="majorHAnsi" w:cstheme="majorHAnsi"/>
                <w:bCs/>
                <w:sz w:val="20"/>
                <w:szCs w:val="20"/>
              </w:rPr>
              <w:br/>
              <w:t>to fill gaps</w:t>
            </w:r>
          </w:p>
        </w:tc>
        <w:tc>
          <w:tcPr>
            <w:tcW w:w="6738" w:type="dxa"/>
            <w:hideMark/>
          </w:tcPr>
          <w:p w14:paraId="7641D13A" w14:textId="77777777" w:rsidR="00B106C9" w:rsidRPr="001552C6" w:rsidRDefault="00B106C9" w:rsidP="00072BDF">
            <w:pPr>
              <w:spacing w:before="60" w:after="60"/>
              <w:rPr>
                <w:rFonts w:asciiTheme="majorHAnsi" w:hAnsiTheme="majorHAnsi" w:cstheme="majorHAnsi"/>
                <w:b w:val="0"/>
                <w:bCs/>
                <w:color w:val="333333"/>
                <w:sz w:val="20"/>
                <w:szCs w:val="20"/>
                <w:shd w:val="clear" w:color="auto" w:fill="FFFFFF"/>
              </w:rPr>
            </w:pPr>
            <w:r w:rsidRPr="001552C6">
              <w:rPr>
                <w:rFonts w:asciiTheme="majorHAnsi" w:hAnsiTheme="majorHAnsi" w:cstheme="majorHAnsi"/>
                <w:b w:val="0"/>
                <w:bCs/>
                <w:sz w:val="20"/>
                <w:szCs w:val="20"/>
                <w:shd w:val="clear" w:color="auto" w:fill="FFFFFF"/>
              </w:rPr>
              <w:t>The</w:t>
            </w:r>
            <w:r w:rsidRPr="001552C6">
              <w:rPr>
                <w:rFonts w:asciiTheme="majorHAnsi" w:hAnsiTheme="majorHAnsi" w:cstheme="majorHAnsi"/>
                <w:b w:val="0"/>
                <w:bCs/>
                <w:color w:val="333333"/>
                <w:sz w:val="20"/>
                <w:szCs w:val="20"/>
                <w:shd w:val="clear" w:color="auto" w:fill="FFFFFF"/>
              </w:rPr>
              <w:t xml:space="preserve"> </w:t>
            </w:r>
            <w:hyperlink r:id="rId27" w:history="1">
              <w:r w:rsidRPr="001552C6">
                <w:rPr>
                  <w:rStyle w:val="Hyperlink"/>
                  <w:rFonts w:asciiTheme="majorHAnsi" w:hAnsiTheme="majorHAnsi" w:cstheme="majorHAnsi"/>
                  <w:b w:val="0"/>
                  <w:bCs/>
                  <w:sz w:val="20"/>
                  <w:szCs w:val="20"/>
                  <w:shd w:val="clear" w:color="auto" w:fill="FFFFFF"/>
                </w:rPr>
                <w:t>Global Partnership on Ecological Connectivity</w:t>
              </w:r>
            </w:hyperlink>
            <w:r w:rsidRPr="001552C6">
              <w:rPr>
                <w:rFonts w:asciiTheme="majorHAnsi" w:hAnsiTheme="majorHAnsi" w:cstheme="majorHAnsi"/>
                <w:b w:val="0"/>
                <w:bCs/>
                <w:color w:val="333333"/>
                <w:sz w:val="20"/>
                <w:szCs w:val="20"/>
                <w:shd w:val="clear" w:color="auto" w:fill="FFFFFF"/>
              </w:rPr>
              <w:t xml:space="preserve"> (GPEC) </w:t>
            </w:r>
            <w:r w:rsidRPr="001552C6">
              <w:rPr>
                <w:rFonts w:asciiTheme="majorHAnsi" w:hAnsiTheme="majorHAnsi" w:cstheme="majorHAnsi"/>
                <w:b w:val="0"/>
                <w:bCs/>
                <w:sz w:val="20"/>
                <w:szCs w:val="20"/>
                <w:shd w:val="clear" w:color="auto" w:fill="FFFFFF"/>
              </w:rPr>
              <w:t xml:space="preserve">is a mechanism launched in February 2024 at the Convention on Migratory Species (CMS) COP14. Its activities include the development of connectivity indices, which will be vital for understanding ecological integrity and relevant to Goal A, Targets 2 and 3 and 12. The Convention on Wetlands is a partner. It will be important that indicators should be disaggregated by ecosystem type to be able to detect meaningful signals, including for inland waters and coastal wetlands. </w:t>
            </w:r>
          </w:p>
        </w:tc>
      </w:tr>
      <w:tr w:rsidR="00B106C9" w:rsidRPr="001552C6" w14:paraId="73D2D561" w14:textId="77777777" w:rsidTr="00072BDF">
        <w:tc>
          <w:tcPr>
            <w:tcW w:w="2268" w:type="dxa"/>
            <w:hideMark/>
          </w:tcPr>
          <w:p w14:paraId="0B104B8E"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Cs/>
                <w:sz w:val="20"/>
                <w:szCs w:val="20"/>
              </w:rPr>
              <w:t>Recommendations component / complementary indicators important for wetlands</w:t>
            </w:r>
          </w:p>
        </w:tc>
        <w:tc>
          <w:tcPr>
            <w:tcW w:w="6738" w:type="dxa"/>
          </w:tcPr>
          <w:p w14:paraId="0B2F4561" w14:textId="77777777" w:rsidR="00B106C9" w:rsidRPr="001552C6" w:rsidRDefault="00B106C9" w:rsidP="00DA59A8">
            <w:pPr>
              <w:pStyle w:val="ListParagraph"/>
              <w:numPr>
                <w:ilvl w:val="0"/>
                <w:numId w:val="28"/>
              </w:numPr>
              <w:spacing w:before="60" w:after="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The list of component and complementary indicators for Goal A is extensive. Without guidance or any proposal for prioritisation for selecting component and complementary indictors for different purposes, there is a risk that the information submitted will be very fragmented and difficult to detect any regional or global patterns over time unless there is consistency in the choice of indictors being adopted and assessed across Parties.</w:t>
            </w:r>
          </w:p>
          <w:p w14:paraId="2F8555F5" w14:textId="77777777" w:rsidR="00B106C9" w:rsidRPr="001552C6" w:rsidRDefault="00B106C9" w:rsidP="00DA59A8">
            <w:pPr>
              <w:pStyle w:val="ListParagraph"/>
              <w:numPr>
                <w:ilvl w:val="0"/>
                <w:numId w:val="28"/>
              </w:numPr>
              <w:spacing w:before="60" w:after="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The STRP supports the inclusion of global indicators as complementary indicators to measure the extent of inland waters and coastal wetland ecosystems and encourage the further development of such indicators for different wetland habitats including:</w:t>
            </w:r>
          </w:p>
          <w:p w14:paraId="293F68EE"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lang w:val="en-US"/>
              </w:rPr>
            </w:pPr>
            <w:r w:rsidRPr="001552C6">
              <w:rPr>
                <w:rFonts w:asciiTheme="majorHAnsi" w:hAnsiTheme="majorHAnsi" w:cstheme="majorHAnsi"/>
                <w:b w:val="0"/>
                <w:bCs/>
                <w:sz w:val="20"/>
                <w:szCs w:val="20"/>
              </w:rPr>
              <w:t>Peatland extent and condition</w:t>
            </w:r>
            <w:r w:rsidRPr="001552C6">
              <w:rPr>
                <w:rFonts w:asciiTheme="majorHAnsi" w:hAnsiTheme="majorHAnsi" w:cstheme="majorHAnsi"/>
                <w:b w:val="0"/>
                <w:bCs/>
                <w:sz w:val="20"/>
                <w:szCs w:val="20"/>
                <w:lang w:val="en-US"/>
              </w:rPr>
              <w:t xml:space="preserve"> (ID 946)</w:t>
            </w:r>
          </w:p>
          <w:p w14:paraId="00A92C89"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rPr>
            </w:pPr>
            <w:r w:rsidRPr="001552C6">
              <w:rPr>
                <w:rFonts w:asciiTheme="majorHAnsi" w:hAnsiTheme="majorHAnsi" w:cstheme="majorHAnsi"/>
                <w:b w:val="0"/>
                <w:bCs/>
                <w:sz w:val="20"/>
                <w:szCs w:val="20"/>
              </w:rPr>
              <w:lastRenderedPageBreak/>
              <w:t>Trends in mangrove extent (ID 950)</w:t>
            </w:r>
          </w:p>
          <w:p w14:paraId="751E2E7A"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rPr>
            </w:pPr>
            <w:r w:rsidRPr="001552C6">
              <w:rPr>
                <w:rFonts w:asciiTheme="majorHAnsi" w:hAnsiTheme="majorHAnsi" w:cstheme="majorHAnsi"/>
                <w:b w:val="0"/>
                <w:bCs/>
                <w:sz w:val="20"/>
                <w:szCs w:val="20"/>
              </w:rPr>
              <w:t>Hard coral cover and composition (ID 952)</w:t>
            </w:r>
          </w:p>
          <w:p w14:paraId="21E9ECB1"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rPr>
            </w:pPr>
            <w:r w:rsidRPr="001552C6">
              <w:rPr>
                <w:rFonts w:asciiTheme="majorHAnsi" w:hAnsiTheme="majorHAnsi" w:cstheme="majorHAnsi"/>
                <w:b w:val="0"/>
                <w:bCs/>
                <w:sz w:val="20"/>
                <w:szCs w:val="20"/>
              </w:rPr>
              <w:t>Global coral reef extent (ID 953)</w:t>
            </w:r>
          </w:p>
          <w:p w14:paraId="262A16BF"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rPr>
            </w:pPr>
            <w:r w:rsidRPr="001552C6">
              <w:rPr>
                <w:rFonts w:asciiTheme="majorHAnsi" w:hAnsiTheme="majorHAnsi" w:cstheme="majorHAnsi"/>
                <w:b w:val="0"/>
                <w:bCs/>
                <w:sz w:val="20"/>
                <w:szCs w:val="20"/>
              </w:rPr>
              <w:t>Global seagrass extent (seagrass cover and composition) ((ID 954)</w:t>
            </w:r>
          </w:p>
          <w:p w14:paraId="37B76C10"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rPr>
            </w:pPr>
            <w:r w:rsidRPr="001552C6">
              <w:rPr>
                <w:rFonts w:asciiTheme="majorHAnsi" w:hAnsiTheme="majorHAnsi" w:cstheme="majorHAnsi"/>
                <w:b w:val="0"/>
                <w:bCs/>
                <w:sz w:val="20"/>
                <w:szCs w:val="20"/>
              </w:rPr>
              <w:t>Global saltmarsh extent (ID 955)</w:t>
            </w:r>
          </w:p>
          <w:p w14:paraId="12B97104"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rPr>
            </w:pPr>
            <w:r w:rsidRPr="001552C6">
              <w:rPr>
                <w:rFonts w:asciiTheme="majorHAnsi" w:hAnsiTheme="majorHAnsi" w:cstheme="majorHAnsi"/>
                <w:b w:val="0"/>
                <w:bCs/>
                <w:sz w:val="20"/>
                <w:szCs w:val="20"/>
              </w:rPr>
              <w:t>Wetland Extent Trends Index (ID 960 note – this appears to be a duplicate of SDG 6.6.1 correctly named below)</w:t>
            </w:r>
          </w:p>
          <w:p w14:paraId="6F3159B4"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rPr>
            </w:pPr>
            <w:r w:rsidRPr="001552C6">
              <w:rPr>
                <w:rFonts w:asciiTheme="majorHAnsi" w:hAnsiTheme="majorHAnsi" w:cstheme="majorHAnsi"/>
                <w:b w:val="0"/>
                <w:bCs/>
                <w:sz w:val="20"/>
                <w:szCs w:val="20"/>
              </w:rPr>
              <w:t>Change in the extent of inland water ecosystems over time (ID 317 and the same as ID 960)</w:t>
            </w:r>
          </w:p>
          <w:p w14:paraId="534B3185" w14:textId="77777777" w:rsidR="00B106C9" w:rsidRPr="001552C6" w:rsidRDefault="00B106C9" w:rsidP="00DA59A8">
            <w:pPr>
              <w:pStyle w:val="ListParagraph"/>
              <w:numPr>
                <w:ilvl w:val="0"/>
                <w:numId w:val="28"/>
              </w:numPr>
              <w:spacing w:before="60" w:after="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The STRP also supports the inclusion of complementary indicators providing information on connectivity:</w:t>
            </w:r>
          </w:p>
          <w:p w14:paraId="06B7A126"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rPr>
            </w:pPr>
            <w:r w:rsidRPr="001552C6">
              <w:rPr>
                <w:rFonts w:asciiTheme="majorHAnsi" w:hAnsiTheme="majorHAnsi" w:cstheme="majorHAnsi"/>
                <w:b w:val="0"/>
                <w:bCs/>
                <w:sz w:val="20"/>
                <w:szCs w:val="20"/>
              </w:rPr>
              <w:t>Continuous global mangrove forest cover (ID 948)</w:t>
            </w:r>
          </w:p>
          <w:p w14:paraId="4DADDC83"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rPr>
            </w:pPr>
            <w:r w:rsidRPr="001552C6">
              <w:rPr>
                <w:rFonts w:asciiTheme="majorHAnsi" w:hAnsiTheme="majorHAnsi" w:cstheme="majorHAnsi"/>
                <w:b w:val="0"/>
                <w:bCs/>
                <w:sz w:val="20"/>
                <w:szCs w:val="20"/>
              </w:rPr>
              <w:t>Trends in mangrove forest fragmentation (ID 949)</w:t>
            </w:r>
          </w:p>
          <w:p w14:paraId="21F15FCA"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rPr>
            </w:pPr>
            <w:r w:rsidRPr="001552C6">
              <w:rPr>
                <w:rFonts w:asciiTheme="majorHAnsi" w:hAnsiTheme="majorHAnsi" w:cstheme="majorHAnsi"/>
                <w:b w:val="0"/>
                <w:bCs/>
                <w:sz w:val="20"/>
                <w:szCs w:val="20"/>
              </w:rPr>
              <w:t>River Fragmentation Index (ID 973 – but question if this is the same as ID 949?)</w:t>
            </w:r>
          </w:p>
          <w:p w14:paraId="43F485D3"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rPr>
            </w:pPr>
            <w:r w:rsidRPr="001552C6">
              <w:rPr>
                <w:rFonts w:asciiTheme="majorHAnsi" w:hAnsiTheme="majorHAnsi" w:cstheme="majorHAnsi"/>
                <w:b w:val="0"/>
                <w:bCs/>
                <w:sz w:val="20"/>
                <w:szCs w:val="20"/>
              </w:rPr>
              <w:t>Dendritic Connectivity Index</w:t>
            </w:r>
          </w:p>
          <w:p w14:paraId="16BEC765"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rPr>
            </w:pPr>
            <w:r w:rsidRPr="001552C6">
              <w:rPr>
                <w:rFonts w:asciiTheme="majorHAnsi" w:hAnsiTheme="majorHAnsi" w:cstheme="majorHAnsi"/>
                <w:b w:val="0"/>
                <w:bCs/>
                <w:sz w:val="20"/>
                <w:szCs w:val="20"/>
              </w:rPr>
              <w:t>CMS Connectivity Indicator (ID 989)</w:t>
            </w:r>
          </w:p>
          <w:p w14:paraId="2FF43C11" w14:textId="77777777" w:rsidR="00B106C9" w:rsidRPr="001552C6" w:rsidRDefault="00B106C9" w:rsidP="00DA59A8">
            <w:pPr>
              <w:pStyle w:val="ListParagraph"/>
              <w:numPr>
                <w:ilvl w:val="1"/>
                <w:numId w:val="27"/>
              </w:numPr>
              <w:spacing w:before="60" w:after="60"/>
              <w:ind w:left="670"/>
              <w:rPr>
                <w:rFonts w:asciiTheme="majorHAnsi" w:hAnsiTheme="majorHAnsi" w:cstheme="majorHAnsi"/>
                <w:b w:val="0"/>
                <w:bCs/>
                <w:sz w:val="20"/>
                <w:szCs w:val="20"/>
              </w:rPr>
            </w:pPr>
            <w:r w:rsidRPr="001552C6">
              <w:rPr>
                <w:rFonts w:asciiTheme="majorHAnsi" w:hAnsiTheme="majorHAnsi" w:cstheme="majorHAnsi"/>
                <w:b w:val="0"/>
                <w:bCs/>
                <w:sz w:val="20"/>
                <w:szCs w:val="20"/>
              </w:rPr>
              <w:t xml:space="preserve">Free flowing rivers (ID 949 and ID 1060 – may also be a replicate of ID 973) correctly referred to as the </w:t>
            </w:r>
            <w:hyperlink r:id="rId28" w:history="1">
              <w:r w:rsidRPr="001552C6">
                <w:rPr>
                  <w:rStyle w:val="Hyperlink"/>
                  <w:rFonts w:asciiTheme="majorHAnsi" w:hAnsiTheme="majorHAnsi" w:cstheme="majorHAnsi"/>
                  <w:b w:val="0"/>
                  <w:bCs/>
                  <w:sz w:val="20"/>
                  <w:szCs w:val="20"/>
                </w:rPr>
                <w:t>River connectivity status index</w:t>
              </w:r>
            </w:hyperlink>
          </w:p>
          <w:p w14:paraId="47B131DD" w14:textId="77777777" w:rsidR="00B106C9" w:rsidRPr="001552C6" w:rsidRDefault="00B106C9" w:rsidP="00DA59A8">
            <w:pPr>
              <w:pStyle w:val="ListParagraph"/>
              <w:numPr>
                <w:ilvl w:val="0"/>
                <w:numId w:val="28"/>
              </w:numPr>
              <w:spacing w:before="60" w:after="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 xml:space="preserve">The STRP notes the lack of component/ complementary indicators to help track the genetic diversity aspect of the goal. </w:t>
            </w:r>
          </w:p>
        </w:tc>
      </w:tr>
    </w:tbl>
    <w:p w14:paraId="7A50F23B" w14:textId="4C2B81C0" w:rsidR="00B106C9" w:rsidRPr="001552C6" w:rsidRDefault="00B106C9" w:rsidP="002E2339">
      <w:pPr>
        <w:pBdr>
          <w:top w:val="nil"/>
          <w:left w:val="nil"/>
          <w:bottom w:val="nil"/>
          <w:right w:val="nil"/>
          <w:between w:val="nil"/>
        </w:pBdr>
        <w:ind w:left="425" w:hanging="425"/>
        <w:rPr>
          <w:rFonts w:asciiTheme="majorHAnsi" w:eastAsia="Calibri" w:hAnsiTheme="majorHAnsi" w:cstheme="majorHAnsi"/>
          <w:color w:val="000000"/>
          <w:sz w:val="22"/>
          <w:szCs w:val="22"/>
        </w:rPr>
      </w:pPr>
    </w:p>
    <w:p w14:paraId="0E69B55A" w14:textId="58EAE409" w:rsidR="00B106C9" w:rsidRPr="001552C6" w:rsidRDefault="002E2339" w:rsidP="002E2339">
      <w:pPr>
        <w:pBdr>
          <w:top w:val="nil"/>
          <w:left w:val="nil"/>
          <w:bottom w:val="nil"/>
          <w:right w:val="nil"/>
          <w:between w:val="nil"/>
        </w:pBdr>
        <w:ind w:left="425" w:hanging="425"/>
        <w:rPr>
          <w:rFonts w:asciiTheme="majorHAnsi" w:eastAsia="Calibri" w:hAnsiTheme="majorHAnsi" w:cstheme="majorHAnsi"/>
          <w:color w:val="000000"/>
          <w:sz w:val="22"/>
          <w:szCs w:val="22"/>
        </w:rPr>
      </w:pPr>
      <w:r w:rsidRPr="001552C6">
        <w:rPr>
          <w:rFonts w:asciiTheme="majorHAnsi" w:eastAsia="Calibri" w:hAnsiTheme="majorHAnsi" w:cstheme="majorHAnsi"/>
          <w:color w:val="000000"/>
          <w:sz w:val="22"/>
          <w:szCs w:val="22"/>
        </w:rPr>
        <w:t>21.</w:t>
      </w:r>
      <w:r w:rsidRPr="001552C6">
        <w:rPr>
          <w:rFonts w:asciiTheme="majorHAnsi" w:eastAsia="Calibri" w:hAnsiTheme="majorHAnsi" w:cstheme="majorHAnsi"/>
          <w:color w:val="000000"/>
          <w:sz w:val="22"/>
          <w:szCs w:val="22"/>
        </w:rPr>
        <w:tab/>
      </w:r>
      <w:r w:rsidR="00B106C9" w:rsidRPr="001552C6">
        <w:rPr>
          <w:rFonts w:asciiTheme="majorHAnsi" w:eastAsia="Calibri" w:hAnsiTheme="majorHAnsi" w:cstheme="majorHAnsi"/>
          <w:b/>
          <w:bCs/>
          <w:color w:val="000000"/>
          <w:sz w:val="22"/>
          <w:szCs w:val="22"/>
        </w:rPr>
        <w:t>Target 2</w:t>
      </w:r>
      <w:r w:rsidR="00B106C9" w:rsidRPr="001552C6">
        <w:rPr>
          <w:rFonts w:asciiTheme="majorHAnsi" w:eastAsia="Calibri" w:hAnsiTheme="majorHAnsi" w:cstheme="majorHAnsi"/>
          <w:color w:val="000000"/>
          <w:sz w:val="22"/>
          <w:szCs w:val="22"/>
        </w:rPr>
        <w:t xml:space="preserve">: </w:t>
      </w:r>
      <w:r w:rsidR="00B106C9" w:rsidRPr="001552C6">
        <w:rPr>
          <w:rFonts w:asciiTheme="majorHAnsi" w:eastAsia="Calibri" w:hAnsiTheme="majorHAnsi" w:cstheme="majorHAnsi"/>
          <w:i/>
          <w:iCs/>
          <w:color w:val="000000"/>
          <w:sz w:val="22"/>
          <w:szCs w:val="22"/>
        </w:rPr>
        <w:t>Ensure that by 2030 at least 30 per cent of areas of degraded terrestrial, inland water, and coastal and marine ecosystems are under effective restoration, in order to enhance biodiversity and ecosystem functions and services, ecological integrity and connectivit</w:t>
      </w:r>
      <w:r w:rsidR="00B106C9" w:rsidRPr="001552C6">
        <w:rPr>
          <w:rFonts w:asciiTheme="majorHAnsi" w:eastAsia="Calibri" w:hAnsiTheme="majorHAnsi" w:cstheme="majorHAnsi"/>
          <w:color w:val="000000"/>
          <w:sz w:val="22"/>
          <w:szCs w:val="22"/>
        </w:rPr>
        <w:t>y.</w:t>
      </w:r>
    </w:p>
    <w:p w14:paraId="1229EC5D" w14:textId="77777777" w:rsidR="002E2339" w:rsidRPr="001552C6" w:rsidRDefault="002E2339" w:rsidP="002E2339">
      <w:pPr>
        <w:pBdr>
          <w:top w:val="nil"/>
          <w:left w:val="nil"/>
          <w:bottom w:val="nil"/>
          <w:right w:val="nil"/>
          <w:between w:val="nil"/>
        </w:pBdr>
        <w:ind w:left="425" w:hanging="425"/>
        <w:rPr>
          <w:rFonts w:asciiTheme="majorHAnsi" w:eastAsia="Calibri" w:hAnsiTheme="majorHAnsi" w:cstheme="majorHAnsi"/>
          <w:color w:val="000000"/>
          <w:sz w:val="22"/>
          <w:szCs w:val="22"/>
        </w:rPr>
      </w:pPr>
    </w:p>
    <w:tbl>
      <w:tblPr>
        <w:tblStyle w:val="TableGrid"/>
        <w:tblW w:w="0" w:type="auto"/>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1929"/>
        <w:gridCol w:w="7077"/>
      </w:tblGrid>
      <w:tr w:rsidR="00B106C9" w:rsidRPr="001552C6" w14:paraId="4C41646C" w14:textId="77777777" w:rsidTr="00072BDF">
        <w:trPr>
          <w:trHeight w:val="603"/>
        </w:trPr>
        <w:tc>
          <w:tcPr>
            <w:tcW w:w="1929" w:type="dxa"/>
            <w:hideMark/>
          </w:tcPr>
          <w:p w14:paraId="085EF12D"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Cs/>
                <w:sz w:val="20"/>
                <w:szCs w:val="20"/>
              </w:rPr>
              <w:t>Headline indicator</w:t>
            </w:r>
          </w:p>
        </w:tc>
        <w:tc>
          <w:tcPr>
            <w:tcW w:w="7077" w:type="dxa"/>
            <w:hideMark/>
          </w:tcPr>
          <w:p w14:paraId="3D56F6A8" w14:textId="77777777" w:rsidR="00B106C9" w:rsidRPr="001552C6" w:rsidRDefault="00B106C9" w:rsidP="00072BDF">
            <w:pPr>
              <w:spacing w:before="60" w:after="60"/>
              <w:rPr>
                <w:rFonts w:asciiTheme="majorHAnsi" w:hAnsiTheme="majorHAnsi" w:cstheme="majorHAnsi"/>
                <w:b w:val="0"/>
                <w:bCs/>
                <w:sz w:val="20"/>
                <w:szCs w:val="20"/>
              </w:rPr>
            </w:pPr>
            <w:r w:rsidRPr="001552C6">
              <w:rPr>
                <w:rStyle w:val="normaltextrun"/>
                <w:rFonts w:asciiTheme="majorHAnsi" w:hAnsiTheme="majorHAnsi" w:cstheme="majorHAnsi"/>
                <w:b w:val="0"/>
                <w:bCs/>
                <w:position w:val="1"/>
                <w:sz w:val="20"/>
                <w:szCs w:val="20"/>
                <w:lang w:val="en-US"/>
              </w:rPr>
              <w:t xml:space="preserve">2.2 </w:t>
            </w:r>
            <w:r w:rsidRPr="001552C6">
              <w:rPr>
                <w:rStyle w:val="normaltextrun"/>
                <w:rFonts w:asciiTheme="majorHAnsi" w:hAnsiTheme="majorHAnsi" w:cstheme="majorHAnsi"/>
                <w:b w:val="0"/>
                <w:bCs/>
                <w:position w:val="1"/>
                <w:sz w:val="20"/>
                <w:szCs w:val="20"/>
              </w:rPr>
              <w:t>Area under restoration (under development)</w:t>
            </w:r>
          </w:p>
        </w:tc>
      </w:tr>
      <w:tr w:rsidR="00B106C9" w:rsidRPr="001552C6" w14:paraId="1BD98100" w14:textId="77777777" w:rsidTr="00072BDF">
        <w:tc>
          <w:tcPr>
            <w:tcW w:w="1929" w:type="dxa"/>
            <w:hideMark/>
          </w:tcPr>
          <w:p w14:paraId="03B65177"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Cs/>
                <w:sz w:val="20"/>
                <w:szCs w:val="20"/>
              </w:rPr>
              <w:t xml:space="preserve">Sufficiency of </w:t>
            </w:r>
            <w:r w:rsidRPr="001552C6">
              <w:rPr>
                <w:rFonts w:asciiTheme="majorHAnsi" w:hAnsiTheme="majorHAnsi" w:cstheme="majorHAnsi"/>
                <w:bCs/>
                <w:sz w:val="20"/>
                <w:szCs w:val="20"/>
              </w:rPr>
              <w:br/>
              <w:t xml:space="preserve">the indicator </w:t>
            </w:r>
            <w:r w:rsidRPr="001552C6">
              <w:rPr>
                <w:rFonts w:asciiTheme="majorHAnsi" w:hAnsiTheme="majorHAnsi" w:cstheme="majorHAnsi"/>
                <w:bCs/>
                <w:sz w:val="20"/>
                <w:szCs w:val="20"/>
              </w:rPr>
              <w:br/>
              <w:t>for wetlands</w:t>
            </w:r>
          </w:p>
        </w:tc>
        <w:tc>
          <w:tcPr>
            <w:tcW w:w="7077" w:type="dxa"/>
          </w:tcPr>
          <w:p w14:paraId="045FE7A0"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 w:val="0"/>
                <w:bCs/>
                <w:sz w:val="20"/>
                <w:szCs w:val="20"/>
              </w:rPr>
              <w:t xml:space="preserve">The specific articulation of inland waters and coastal ecosystems (thus including coastal wetlands) in the language of Target 2 is welcomed. It is noted that the methodology and metadata are still in development. </w:t>
            </w:r>
          </w:p>
          <w:p w14:paraId="6E458ABD"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 w:val="0"/>
                <w:bCs/>
                <w:sz w:val="20"/>
                <w:szCs w:val="20"/>
              </w:rPr>
              <w:t>It is critical to ensure that inland waters and coastal wetlands can be recognised through appropriate disaggregation.</w:t>
            </w:r>
          </w:p>
          <w:p w14:paraId="7CE8558A"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 w:val="0"/>
                <w:bCs/>
                <w:sz w:val="20"/>
                <w:szCs w:val="20"/>
              </w:rPr>
              <w:t>The current headline indicator can only measure partial aspects of the target. There is no headline indicator for assessing progress in restoration outcomes. Filling this gap will be critical to track meaningful progress.</w:t>
            </w:r>
          </w:p>
          <w:p w14:paraId="78268A16" w14:textId="77777777" w:rsidR="00B106C9" w:rsidRPr="001552C6" w:rsidRDefault="00B106C9" w:rsidP="00072BDF">
            <w:pPr>
              <w:spacing w:before="60" w:after="60"/>
              <w:rPr>
                <w:rStyle w:val="eop"/>
                <w:rFonts w:asciiTheme="majorHAnsi" w:hAnsiTheme="majorHAnsi" w:cstheme="majorHAnsi"/>
                <w:b w:val="0"/>
                <w:bCs/>
                <w:sz w:val="20"/>
                <w:szCs w:val="20"/>
              </w:rPr>
            </w:pPr>
            <w:r w:rsidRPr="001552C6">
              <w:rPr>
                <w:rStyle w:val="eop"/>
                <w:rFonts w:asciiTheme="majorHAnsi" w:hAnsiTheme="majorHAnsi" w:cstheme="majorHAnsi"/>
                <w:b w:val="0"/>
                <w:bCs/>
                <w:sz w:val="20"/>
                <w:szCs w:val="20"/>
              </w:rPr>
              <w:t xml:space="preserve">It is recognised that the method for the headline indicator is being developed under the UN Decade of Restoration through the monitoring task force. The inclusion of a sub-task force for aquatic and transitional waters is welcomed in helping to ensure the suitability of this metric. </w:t>
            </w:r>
          </w:p>
          <w:p w14:paraId="798C710A"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 w:val="0"/>
                <w:bCs/>
                <w:sz w:val="20"/>
                <w:szCs w:val="20"/>
              </w:rPr>
              <w:t>It would help if information was provided regarding the methodology that is being developed by the UN Decade on Ecosystem Restoration monitoring task force, on the expected data flows and how the data will be processed, and if the intention is to achieve 30% for each of the identified ecosystem types and whether this will be needed at a national, regional or global scale?</w:t>
            </w:r>
          </w:p>
        </w:tc>
      </w:tr>
      <w:tr w:rsidR="00B106C9" w:rsidRPr="001552C6" w14:paraId="6661DE4E" w14:textId="77777777" w:rsidTr="00072BDF">
        <w:tc>
          <w:tcPr>
            <w:tcW w:w="1929" w:type="dxa"/>
            <w:hideMark/>
          </w:tcPr>
          <w:p w14:paraId="023693ED"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Cs/>
                <w:sz w:val="20"/>
                <w:szCs w:val="20"/>
              </w:rPr>
              <w:t>Recommendation on headline indicator metadata</w:t>
            </w:r>
          </w:p>
        </w:tc>
        <w:tc>
          <w:tcPr>
            <w:tcW w:w="7077" w:type="dxa"/>
          </w:tcPr>
          <w:p w14:paraId="02D5A40C" w14:textId="77777777" w:rsidR="00B106C9" w:rsidRPr="001552C6" w:rsidRDefault="00B106C9" w:rsidP="00072BDF">
            <w:pPr>
              <w:spacing w:before="60" w:after="60"/>
              <w:rPr>
                <w:rStyle w:val="eop"/>
                <w:rFonts w:asciiTheme="majorHAnsi" w:hAnsiTheme="majorHAnsi" w:cstheme="majorHAnsi"/>
                <w:b w:val="0"/>
                <w:bCs/>
                <w:sz w:val="20"/>
                <w:szCs w:val="20"/>
              </w:rPr>
            </w:pPr>
            <w:r w:rsidRPr="001552C6">
              <w:rPr>
                <w:rFonts w:asciiTheme="majorHAnsi" w:hAnsiTheme="majorHAnsi" w:cstheme="majorHAnsi"/>
                <w:b w:val="0"/>
                <w:bCs/>
                <w:sz w:val="20"/>
                <w:szCs w:val="20"/>
              </w:rPr>
              <w:t xml:space="preserve">To ensure the visibility of wetlands data in this indicator, </w:t>
            </w:r>
            <w:r w:rsidRPr="001552C6">
              <w:rPr>
                <w:rStyle w:val="normaltextrun"/>
                <w:rFonts w:asciiTheme="majorHAnsi" w:hAnsiTheme="majorHAnsi" w:cstheme="majorHAnsi"/>
                <w:b w:val="0"/>
                <w:bCs/>
                <w:position w:val="1"/>
                <w:sz w:val="20"/>
                <w:szCs w:val="20"/>
                <w:lang w:val="en-US"/>
              </w:rPr>
              <w:t>disaggregation is required by ecosystem type (including Inland water/ coastal ecosystems).</w:t>
            </w:r>
          </w:p>
          <w:p w14:paraId="590315A2" w14:textId="77777777" w:rsidR="00B106C9" w:rsidRPr="001552C6" w:rsidRDefault="00B106C9" w:rsidP="00072BDF">
            <w:pPr>
              <w:spacing w:before="60" w:after="60"/>
              <w:rPr>
                <w:rFonts w:asciiTheme="majorHAnsi" w:hAnsiTheme="majorHAnsi" w:cstheme="majorHAnsi"/>
                <w:b w:val="0"/>
                <w:bCs/>
                <w:sz w:val="20"/>
                <w:szCs w:val="20"/>
              </w:rPr>
            </w:pPr>
            <w:r w:rsidRPr="001552C6">
              <w:rPr>
                <w:rStyle w:val="normaltextrun"/>
                <w:rFonts w:asciiTheme="majorHAnsi" w:hAnsiTheme="majorHAnsi" w:cstheme="majorHAnsi"/>
                <w:b w:val="0"/>
                <w:bCs/>
                <w:sz w:val="20"/>
                <w:szCs w:val="20"/>
              </w:rPr>
              <w:t xml:space="preserve">In order to be able to capture progress in the restoration of rivers, the STRP recommends the indicator method should provide for measuring in length (km) as well as by area. </w:t>
            </w:r>
          </w:p>
        </w:tc>
      </w:tr>
      <w:tr w:rsidR="00B106C9" w:rsidRPr="001552C6" w14:paraId="316A425C" w14:textId="77777777" w:rsidTr="00072BDF">
        <w:tc>
          <w:tcPr>
            <w:tcW w:w="1929" w:type="dxa"/>
            <w:hideMark/>
          </w:tcPr>
          <w:p w14:paraId="539A5590"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Cs/>
                <w:sz w:val="20"/>
                <w:szCs w:val="20"/>
              </w:rPr>
              <w:lastRenderedPageBreak/>
              <w:t>Recommendations on data flows / sources to fill the gap</w:t>
            </w:r>
          </w:p>
        </w:tc>
        <w:tc>
          <w:tcPr>
            <w:tcW w:w="7077" w:type="dxa"/>
          </w:tcPr>
          <w:p w14:paraId="62D15F7C"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 w:val="0"/>
                <w:bCs/>
                <w:sz w:val="20"/>
                <w:szCs w:val="20"/>
              </w:rPr>
              <w:t>The two component indicators that are identified could help address the gap in understanding restoration outcomes but are not yet defined. Recommendations for operationalising these indicators from an inland/ coastal perspective are provided:</w:t>
            </w:r>
          </w:p>
          <w:p w14:paraId="154900A6"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 w:val="0"/>
                <w:bCs/>
                <w:sz w:val="20"/>
                <w:szCs w:val="20"/>
              </w:rPr>
              <w:t>Extent of natural ecosystems by type (ID 323)</w:t>
            </w:r>
          </w:p>
          <w:p w14:paraId="2CAAA9A9" w14:textId="77777777" w:rsidR="00B106C9" w:rsidRPr="001552C6" w:rsidRDefault="00C768CA" w:rsidP="00DA59A8">
            <w:pPr>
              <w:pStyle w:val="ListParagraph"/>
              <w:numPr>
                <w:ilvl w:val="0"/>
                <w:numId w:val="28"/>
              </w:numPr>
              <w:spacing w:before="60" w:after="60"/>
              <w:ind w:left="320" w:hanging="320"/>
              <w:rPr>
                <w:rFonts w:asciiTheme="majorHAnsi" w:hAnsiTheme="majorHAnsi" w:cstheme="majorHAnsi"/>
                <w:b w:val="0"/>
                <w:bCs/>
                <w:sz w:val="20"/>
                <w:szCs w:val="20"/>
              </w:rPr>
            </w:pPr>
            <w:hyperlink r:id="rId29" w:history="1">
              <w:r w:rsidR="00B106C9" w:rsidRPr="001552C6">
                <w:rPr>
                  <w:rStyle w:val="Hyperlink"/>
                  <w:rFonts w:asciiTheme="majorHAnsi" w:eastAsia="Times New Roman" w:hAnsiTheme="majorHAnsi" w:cstheme="majorHAnsi"/>
                  <w:b w:val="0"/>
                  <w:bCs/>
                  <w:sz w:val="20"/>
                  <w:szCs w:val="20"/>
                  <w:lang w:eastAsia="en-GB"/>
                </w:rPr>
                <w:t>Freshwater Ecosystem Explorer</w:t>
              </w:r>
            </w:hyperlink>
            <w:r w:rsidR="00B106C9" w:rsidRPr="001552C6">
              <w:rPr>
                <w:rFonts w:asciiTheme="majorHAnsi" w:eastAsia="Times New Roman" w:hAnsiTheme="majorHAnsi" w:cstheme="majorHAnsi"/>
                <w:b w:val="0"/>
                <w:bCs/>
                <w:sz w:val="20"/>
                <w:szCs w:val="20"/>
                <w:lang w:eastAsia="en-GB"/>
              </w:rPr>
              <w:t xml:space="preserve"> </w:t>
            </w:r>
            <w:r w:rsidR="00B106C9" w:rsidRPr="001552C6">
              <w:rPr>
                <w:rFonts w:asciiTheme="majorHAnsi" w:hAnsiTheme="majorHAnsi" w:cstheme="majorHAnsi"/>
                <w:b w:val="0"/>
                <w:bCs/>
                <w:sz w:val="20"/>
                <w:szCs w:val="20"/>
              </w:rPr>
              <w:t>platform</w:t>
            </w:r>
            <w:r w:rsidR="00B106C9" w:rsidRPr="001552C6">
              <w:rPr>
                <w:rFonts w:asciiTheme="majorHAnsi" w:eastAsia="Times New Roman" w:hAnsiTheme="majorHAnsi" w:cstheme="majorHAnsi"/>
                <w:b w:val="0"/>
                <w:bCs/>
                <w:sz w:val="20"/>
                <w:szCs w:val="20"/>
                <w:lang w:eastAsia="en-GB"/>
              </w:rPr>
              <w:t xml:space="preserve"> which provides data on wetland quantity, quality and flow data.</w:t>
            </w:r>
          </w:p>
          <w:p w14:paraId="2A3B8B91" w14:textId="77777777" w:rsidR="00B106C9" w:rsidRPr="001552C6" w:rsidRDefault="00C768CA" w:rsidP="00DA59A8">
            <w:pPr>
              <w:pStyle w:val="ListParagraph"/>
              <w:numPr>
                <w:ilvl w:val="0"/>
                <w:numId w:val="28"/>
              </w:numPr>
              <w:spacing w:before="60" w:after="60"/>
              <w:ind w:left="320" w:hanging="320"/>
              <w:rPr>
                <w:rFonts w:asciiTheme="majorHAnsi" w:hAnsiTheme="majorHAnsi" w:cstheme="majorHAnsi"/>
                <w:b w:val="0"/>
                <w:bCs/>
                <w:sz w:val="20"/>
                <w:szCs w:val="20"/>
              </w:rPr>
            </w:pPr>
            <w:hyperlink r:id="rId30" w:history="1">
              <w:r w:rsidR="00B106C9" w:rsidRPr="001552C6">
                <w:rPr>
                  <w:rStyle w:val="Hyperlink"/>
                  <w:rFonts w:asciiTheme="majorHAnsi" w:hAnsiTheme="majorHAnsi" w:cstheme="majorHAnsi"/>
                  <w:b w:val="0"/>
                  <w:bCs/>
                  <w:sz w:val="20"/>
                  <w:szCs w:val="20"/>
                </w:rPr>
                <w:t>Global Mangrove Watch</w:t>
              </w:r>
            </w:hyperlink>
            <w:r w:rsidR="00B106C9" w:rsidRPr="001552C6">
              <w:rPr>
                <w:rFonts w:asciiTheme="majorHAnsi" w:hAnsiTheme="majorHAnsi" w:cstheme="majorHAnsi"/>
                <w:b w:val="0"/>
                <w:bCs/>
                <w:sz w:val="20"/>
                <w:szCs w:val="20"/>
              </w:rPr>
              <w:t xml:space="preserve"> data could provide information that could be helpful as a complementary indicator to provide information on outcome. This can be disaggregated by country (already listed as a complementary indicator ID 950).</w:t>
            </w:r>
          </w:p>
          <w:p w14:paraId="496604FA" w14:textId="77777777" w:rsidR="00B106C9" w:rsidRPr="001552C6" w:rsidRDefault="00B106C9" w:rsidP="00072BDF">
            <w:pPr>
              <w:spacing w:before="60" w:after="60"/>
              <w:rPr>
                <w:rFonts w:asciiTheme="majorHAnsi" w:hAnsiTheme="majorHAnsi" w:cstheme="majorHAnsi"/>
                <w:b w:val="0"/>
                <w:bCs/>
                <w:color w:val="242424"/>
                <w:sz w:val="20"/>
                <w:szCs w:val="20"/>
                <w:shd w:val="clear" w:color="auto" w:fill="FFFFFF"/>
              </w:rPr>
            </w:pPr>
            <w:r w:rsidRPr="001552C6">
              <w:rPr>
                <w:rFonts w:asciiTheme="majorHAnsi" w:hAnsiTheme="majorHAnsi" w:cstheme="majorHAnsi"/>
                <w:b w:val="0"/>
                <w:bCs/>
                <w:color w:val="242424"/>
                <w:sz w:val="20"/>
                <w:szCs w:val="20"/>
                <w:shd w:val="clear" w:color="auto" w:fill="FFFFFF"/>
              </w:rPr>
              <w:t>Maintenance and restoration of connectivity of natural ecosystems (ID 324)</w:t>
            </w:r>
          </w:p>
          <w:p w14:paraId="69D9D9B6" w14:textId="77777777" w:rsidR="00B106C9" w:rsidRPr="001552C6" w:rsidRDefault="00B106C9" w:rsidP="00DA59A8">
            <w:pPr>
              <w:pStyle w:val="ListParagraph"/>
              <w:numPr>
                <w:ilvl w:val="0"/>
                <w:numId w:val="28"/>
              </w:numPr>
              <w:spacing w:before="60" w:after="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Restoring</w:t>
            </w:r>
            <w:r w:rsidRPr="001552C6">
              <w:rPr>
                <w:rStyle w:val="normaltextrun"/>
                <w:rFonts w:asciiTheme="majorHAnsi" w:hAnsiTheme="majorHAnsi" w:cstheme="majorHAnsi"/>
                <w:b w:val="0"/>
                <w:bCs/>
                <w:sz w:val="20"/>
                <w:szCs w:val="20"/>
              </w:rPr>
              <w:t xml:space="preserve"> the connectivity of natural ecosystems would be a helpful </w:t>
            </w:r>
            <w:r w:rsidRPr="001552C6">
              <w:rPr>
                <w:rFonts w:asciiTheme="majorHAnsi" w:hAnsiTheme="majorHAnsi" w:cstheme="majorHAnsi"/>
                <w:b w:val="0"/>
                <w:bCs/>
                <w:sz w:val="20"/>
                <w:szCs w:val="20"/>
              </w:rPr>
              <w:t>component</w:t>
            </w:r>
            <w:r w:rsidRPr="001552C6">
              <w:rPr>
                <w:rStyle w:val="normaltextrun"/>
                <w:rFonts w:asciiTheme="majorHAnsi" w:hAnsiTheme="majorHAnsi" w:cstheme="majorHAnsi"/>
                <w:b w:val="0"/>
                <w:bCs/>
                <w:sz w:val="20"/>
                <w:szCs w:val="20"/>
              </w:rPr>
              <w:t xml:space="preserve"> or complementary metric. It is viable to construct for rivers at a global or river basin scale. Guidance would be needed to help Parties, but this is feasible using </w:t>
            </w:r>
            <w:r w:rsidRPr="001552C6">
              <w:rPr>
                <w:rFonts w:asciiTheme="majorHAnsi" w:hAnsiTheme="majorHAnsi" w:cstheme="majorHAnsi"/>
                <w:b w:val="0"/>
                <w:bCs/>
                <w:sz w:val="20"/>
                <w:szCs w:val="20"/>
              </w:rPr>
              <w:t xml:space="preserve">the Free flowing rivers indicator (ID 1060) – correctly referred to as the </w:t>
            </w:r>
            <w:hyperlink r:id="rId31" w:history="1">
              <w:r w:rsidRPr="001552C6">
                <w:rPr>
                  <w:rStyle w:val="Hyperlink"/>
                  <w:rFonts w:asciiTheme="majorHAnsi" w:hAnsiTheme="majorHAnsi" w:cstheme="majorHAnsi"/>
                  <w:b w:val="0"/>
                  <w:bCs/>
                  <w:sz w:val="20"/>
                  <w:szCs w:val="20"/>
                </w:rPr>
                <w:t>River connectivity status index</w:t>
              </w:r>
            </w:hyperlink>
            <w:r w:rsidRPr="001552C6">
              <w:rPr>
                <w:rFonts w:asciiTheme="majorHAnsi" w:hAnsiTheme="majorHAnsi" w:cstheme="majorHAnsi"/>
                <w:b w:val="0"/>
                <w:bCs/>
                <w:sz w:val="20"/>
                <w:szCs w:val="20"/>
              </w:rPr>
              <w:t xml:space="preserve"> –</w:t>
            </w:r>
          </w:p>
          <w:p w14:paraId="658214B9"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 w:val="0"/>
                <w:bCs/>
                <w:sz w:val="20"/>
                <w:szCs w:val="20"/>
              </w:rPr>
              <w:t>In addition the following could also provide valuable information flows:</w:t>
            </w:r>
          </w:p>
          <w:p w14:paraId="4A61F5D7" w14:textId="77777777" w:rsidR="00B106C9" w:rsidRPr="001552C6" w:rsidRDefault="00C768CA" w:rsidP="00DA59A8">
            <w:pPr>
              <w:pStyle w:val="ListParagraph"/>
              <w:numPr>
                <w:ilvl w:val="0"/>
                <w:numId w:val="28"/>
              </w:numPr>
              <w:spacing w:before="60" w:after="60"/>
              <w:ind w:left="320" w:hanging="320"/>
              <w:rPr>
                <w:rFonts w:asciiTheme="majorHAnsi" w:hAnsiTheme="majorHAnsi" w:cstheme="majorHAnsi"/>
                <w:b w:val="0"/>
                <w:bCs/>
                <w:sz w:val="20"/>
                <w:szCs w:val="20"/>
              </w:rPr>
            </w:pPr>
            <w:hyperlink r:id="rId32" w:tgtFrame="_blank" w:history="1">
              <w:r w:rsidR="00B106C9" w:rsidRPr="001552C6">
                <w:rPr>
                  <w:rStyle w:val="normaltextrun"/>
                  <w:rFonts w:asciiTheme="majorHAnsi" w:hAnsiTheme="majorHAnsi" w:cstheme="majorHAnsi"/>
                  <w:b w:val="0"/>
                  <w:bCs/>
                  <w:color w:val="0563C1"/>
                  <w:position w:val="1"/>
                  <w:sz w:val="20"/>
                  <w:szCs w:val="20"/>
                  <w:u w:val="single"/>
                  <w:lang w:val="en-US"/>
                </w:rPr>
                <w:t>Freshwater health index</w:t>
              </w:r>
            </w:hyperlink>
            <w:r w:rsidR="00B106C9" w:rsidRPr="001552C6">
              <w:rPr>
                <w:rFonts w:asciiTheme="majorHAnsi" w:hAnsiTheme="majorHAnsi" w:cstheme="majorHAnsi"/>
                <w:b w:val="0"/>
                <w:bCs/>
                <w:sz w:val="20"/>
                <w:szCs w:val="20"/>
              </w:rPr>
              <w:t>.</w:t>
            </w:r>
          </w:p>
          <w:p w14:paraId="2B2123E1" w14:textId="77777777" w:rsidR="00B106C9" w:rsidRPr="001552C6" w:rsidRDefault="00B106C9" w:rsidP="00DA59A8">
            <w:pPr>
              <w:pStyle w:val="ListParagraph"/>
              <w:numPr>
                <w:ilvl w:val="0"/>
                <w:numId w:val="28"/>
              </w:numPr>
              <w:spacing w:before="60" w:after="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The FAO assessment of global water stress on freshwater environments (</w:t>
            </w:r>
            <w:hyperlink r:id="rId33" w:history="1">
              <w:r w:rsidRPr="001552C6">
                <w:rPr>
                  <w:rStyle w:val="Hyperlink"/>
                  <w:rFonts w:asciiTheme="majorHAnsi" w:hAnsiTheme="majorHAnsi" w:cstheme="majorHAnsi"/>
                  <w:b w:val="0"/>
                  <w:bCs/>
                  <w:sz w:val="20"/>
                  <w:szCs w:val="20"/>
                </w:rPr>
                <w:t>SDG 6.4.2</w:t>
              </w:r>
            </w:hyperlink>
            <w:r w:rsidRPr="001552C6">
              <w:rPr>
                <w:rFonts w:asciiTheme="majorHAnsi" w:hAnsiTheme="majorHAnsi" w:cstheme="majorHAnsi"/>
                <w:b w:val="0"/>
                <w:bCs/>
                <w:sz w:val="20"/>
                <w:szCs w:val="20"/>
              </w:rPr>
              <w:t>).</w:t>
            </w:r>
          </w:p>
        </w:tc>
      </w:tr>
      <w:tr w:rsidR="00B106C9" w:rsidRPr="001552C6" w14:paraId="51A747E6" w14:textId="77777777" w:rsidTr="00072BDF">
        <w:tc>
          <w:tcPr>
            <w:tcW w:w="1929" w:type="dxa"/>
            <w:hideMark/>
          </w:tcPr>
          <w:p w14:paraId="5480922C" w14:textId="77777777" w:rsidR="00B106C9" w:rsidRPr="001552C6" w:rsidRDefault="00B106C9" w:rsidP="00072BDF">
            <w:pPr>
              <w:spacing w:before="60" w:after="60"/>
              <w:rPr>
                <w:rFonts w:asciiTheme="majorHAnsi" w:hAnsiTheme="majorHAnsi" w:cstheme="majorHAnsi"/>
                <w:b w:val="0"/>
                <w:bCs/>
                <w:sz w:val="20"/>
                <w:szCs w:val="20"/>
              </w:rPr>
            </w:pPr>
            <w:r w:rsidRPr="001552C6">
              <w:rPr>
                <w:rFonts w:asciiTheme="majorHAnsi" w:hAnsiTheme="majorHAnsi" w:cstheme="majorHAnsi"/>
                <w:bCs/>
                <w:sz w:val="20"/>
                <w:szCs w:val="20"/>
              </w:rPr>
              <w:t xml:space="preserve">Identification </w:t>
            </w:r>
            <w:r w:rsidRPr="001552C6">
              <w:rPr>
                <w:rFonts w:asciiTheme="majorHAnsi" w:hAnsiTheme="majorHAnsi" w:cstheme="majorHAnsi"/>
                <w:bCs/>
                <w:sz w:val="20"/>
                <w:szCs w:val="20"/>
              </w:rPr>
              <w:br/>
              <w:t>of future tools</w:t>
            </w:r>
            <w:r w:rsidRPr="001552C6">
              <w:rPr>
                <w:rFonts w:asciiTheme="majorHAnsi" w:hAnsiTheme="majorHAnsi" w:cstheme="majorHAnsi"/>
                <w:bCs/>
                <w:sz w:val="20"/>
                <w:szCs w:val="20"/>
              </w:rPr>
              <w:br/>
              <w:t>to fill gaps</w:t>
            </w:r>
          </w:p>
        </w:tc>
        <w:tc>
          <w:tcPr>
            <w:tcW w:w="7077" w:type="dxa"/>
            <w:hideMark/>
          </w:tcPr>
          <w:p w14:paraId="63747826" w14:textId="77777777" w:rsidR="00B106C9" w:rsidRPr="001552C6" w:rsidRDefault="00C768CA" w:rsidP="00DA59A8">
            <w:pPr>
              <w:pStyle w:val="ListParagraph"/>
              <w:numPr>
                <w:ilvl w:val="0"/>
                <w:numId w:val="28"/>
              </w:numPr>
              <w:spacing w:before="60" w:after="60"/>
              <w:ind w:left="320" w:hanging="320"/>
              <w:rPr>
                <w:rFonts w:asciiTheme="majorHAnsi" w:eastAsia="Times New Roman" w:hAnsiTheme="majorHAnsi" w:cstheme="majorHAnsi"/>
                <w:b w:val="0"/>
                <w:bCs/>
                <w:sz w:val="20"/>
                <w:szCs w:val="20"/>
                <w:lang w:eastAsia="en-GB"/>
              </w:rPr>
            </w:pPr>
            <w:hyperlink r:id="rId34" w:tgtFrame="_blank" w:history="1">
              <w:r w:rsidR="00B106C9" w:rsidRPr="001552C6">
                <w:rPr>
                  <w:rStyle w:val="normaltextrun"/>
                  <w:rFonts w:asciiTheme="majorHAnsi" w:hAnsiTheme="majorHAnsi" w:cstheme="majorHAnsi"/>
                  <w:b w:val="0"/>
                  <w:bCs/>
                  <w:color w:val="0563C1"/>
                  <w:position w:val="1"/>
                  <w:sz w:val="20"/>
                  <w:szCs w:val="20"/>
                  <w:u w:val="single"/>
                  <w:lang w:val="en-US"/>
                </w:rPr>
                <w:t>Global Wetland Watch</w:t>
              </w:r>
            </w:hyperlink>
            <w:r w:rsidR="00B106C9" w:rsidRPr="001552C6">
              <w:rPr>
                <w:rFonts w:asciiTheme="majorHAnsi" w:hAnsiTheme="majorHAnsi" w:cstheme="majorHAnsi"/>
                <w:b w:val="0"/>
                <w:bCs/>
                <w:sz w:val="20"/>
                <w:szCs w:val="20"/>
              </w:rPr>
              <w:t xml:space="preserve"> – would be able to help provide data on wetland extent that could help provide more information to support restoration outcomes for wetlands. This is in development by UNEP and DHI and is due to be available within a 2-year timeframe (by the end of 2025). </w:t>
            </w:r>
            <w:r w:rsidR="00B106C9" w:rsidRPr="001552C6">
              <w:rPr>
                <w:rFonts w:asciiTheme="majorHAnsi" w:eastAsia="Times New Roman" w:hAnsiTheme="majorHAnsi" w:cstheme="majorHAnsi"/>
                <w:b w:val="0"/>
                <w:bCs/>
                <w:sz w:val="20"/>
                <w:szCs w:val="20"/>
                <w:lang w:eastAsia="en-GB"/>
              </w:rPr>
              <w:t xml:space="preserve">The system </w:t>
            </w:r>
            <w:r w:rsidR="00B106C9" w:rsidRPr="001552C6">
              <w:rPr>
                <w:rFonts w:asciiTheme="majorHAnsi" w:hAnsiTheme="majorHAnsi" w:cstheme="majorHAnsi"/>
                <w:b w:val="0"/>
                <w:bCs/>
                <w:sz w:val="20"/>
                <w:szCs w:val="20"/>
              </w:rPr>
              <w:t>will</w:t>
            </w:r>
            <w:r w:rsidR="00B106C9" w:rsidRPr="001552C6">
              <w:rPr>
                <w:rFonts w:asciiTheme="majorHAnsi" w:eastAsia="Times New Roman" w:hAnsiTheme="majorHAnsi" w:cstheme="majorHAnsi"/>
                <w:b w:val="0"/>
                <w:bCs/>
                <w:sz w:val="20"/>
                <w:szCs w:val="20"/>
                <w:lang w:eastAsia="en-GB"/>
              </w:rPr>
              <w:t xml:space="preserve"> use the GET, look at wetland quantity/extent (not quality) and will capture real time/live data. It will integrate with the Freshwater Ecosystem Explorer.</w:t>
            </w:r>
          </w:p>
          <w:p w14:paraId="063245AA" w14:textId="77777777" w:rsidR="00B106C9" w:rsidRPr="001552C6" w:rsidRDefault="00C768CA" w:rsidP="00DA59A8">
            <w:pPr>
              <w:pStyle w:val="ListParagraph"/>
              <w:numPr>
                <w:ilvl w:val="0"/>
                <w:numId w:val="28"/>
              </w:numPr>
              <w:spacing w:before="60" w:after="60"/>
              <w:ind w:left="320" w:hanging="320"/>
              <w:rPr>
                <w:rFonts w:asciiTheme="majorHAnsi" w:eastAsia="Times New Roman" w:hAnsiTheme="majorHAnsi" w:cstheme="majorHAnsi"/>
                <w:b w:val="0"/>
                <w:bCs/>
                <w:sz w:val="20"/>
                <w:szCs w:val="20"/>
                <w:lang w:eastAsia="en-GB"/>
              </w:rPr>
            </w:pPr>
            <w:hyperlink r:id="rId35" w:history="1">
              <w:r w:rsidR="00B106C9" w:rsidRPr="001552C6">
                <w:rPr>
                  <w:rStyle w:val="Hyperlink"/>
                  <w:rFonts w:asciiTheme="majorHAnsi" w:hAnsiTheme="majorHAnsi" w:cstheme="majorHAnsi"/>
                  <w:b w:val="0"/>
                  <w:bCs/>
                  <w:sz w:val="20"/>
                  <w:szCs w:val="20"/>
                </w:rPr>
                <w:t>The freshwater challenge</w:t>
              </w:r>
            </w:hyperlink>
            <w:r w:rsidR="00B106C9" w:rsidRPr="001552C6">
              <w:rPr>
                <w:rStyle w:val="normaltextrun"/>
                <w:rFonts w:asciiTheme="majorHAnsi" w:hAnsiTheme="majorHAnsi" w:cstheme="majorHAnsi"/>
                <w:b w:val="0"/>
                <w:bCs/>
                <w:sz w:val="20"/>
                <w:szCs w:val="20"/>
              </w:rPr>
              <w:t xml:space="preserve"> – is a commitment of 45 countries to protect and restore freshwater ecosystems. The challenge intends to support </w:t>
            </w:r>
            <w:r w:rsidR="00B106C9" w:rsidRPr="001552C6">
              <w:rPr>
                <w:rFonts w:asciiTheme="majorHAnsi" w:hAnsiTheme="majorHAnsi" w:cstheme="majorHAnsi"/>
                <w:b w:val="0"/>
                <w:bCs/>
                <w:sz w:val="20"/>
                <w:szCs w:val="20"/>
              </w:rPr>
              <w:t>the</w:t>
            </w:r>
            <w:r w:rsidR="00B106C9" w:rsidRPr="001552C6">
              <w:rPr>
                <w:rStyle w:val="normaltextrun"/>
                <w:rFonts w:asciiTheme="majorHAnsi" w:hAnsiTheme="majorHAnsi" w:cstheme="majorHAnsi"/>
                <w:b w:val="0"/>
                <w:bCs/>
                <w:sz w:val="20"/>
                <w:szCs w:val="20"/>
              </w:rPr>
              <w:t xml:space="preserve"> </w:t>
            </w:r>
            <w:r w:rsidR="00B106C9" w:rsidRPr="001552C6">
              <w:rPr>
                <w:rFonts w:asciiTheme="majorHAnsi" w:hAnsiTheme="majorHAnsi" w:cstheme="majorHAnsi"/>
                <w:b w:val="0"/>
                <w:bCs/>
                <w:sz w:val="20"/>
                <w:szCs w:val="20"/>
              </w:rPr>
              <w:t>development</w:t>
            </w:r>
            <w:r w:rsidR="00B106C9" w:rsidRPr="001552C6">
              <w:rPr>
                <w:rStyle w:val="normaltextrun"/>
                <w:rFonts w:asciiTheme="majorHAnsi" w:hAnsiTheme="majorHAnsi" w:cstheme="majorHAnsi"/>
                <w:b w:val="0"/>
                <w:bCs/>
                <w:sz w:val="20"/>
                <w:szCs w:val="20"/>
              </w:rPr>
              <w:t xml:space="preserve"> of appropriate metrics that could help Parties deliver against multiple conventions reporting requirements for these ecosystems.</w:t>
            </w:r>
          </w:p>
        </w:tc>
      </w:tr>
      <w:tr w:rsidR="00B106C9" w:rsidRPr="001552C6" w14:paraId="3259B01B" w14:textId="77777777" w:rsidTr="00072BDF">
        <w:tc>
          <w:tcPr>
            <w:tcW w:w="1929" w:type="dxa"/>
            <w:hideMark/>
          </w:tcPr>
          <w:p w14:paraId="197E24CA" w14:textId="77777777" w:rsidR="00B106C9" w:rsidRPr="001552C6" w:rsidRDefault="00B106C9" w:rsidP="00072BDF">
            <w:pPr>
              <w:spacing w:before="60" w:after="60"/>
              <w:rPr>
                <w:rFonts w:asciiTheme="majorHAnsi" w:hAnsiTheme="majorHAnsi" w:cstheme="majorHAnsi"/>
                <w:b w:val="0"/>
                <w:bCs/>
                <w:kern w:val="2"/>
                <w:sz w:val="20"/>
                <w:szCs w:val="20"/>
                <w14:ligatures w14:val="standardContextual"/>
              </w:rPr>
            </w:pPr>
            <w:r w:rsidRPr="001552C6">
              <w:rPr>
                <w:rFonts w:asciiTheme="majorHAnsi" w:hAnsiTheme="majorHAnsi" w:cstheme="majorHAnsi"/>
                <w:bCs/>
                <w:sz w:val="20"/>
                <w:szCs w:val="20"/>
              </w:rPr>
              <w:t>Recommendations component / complementary indicators important for wetlands</w:t>
            </w:r>
          </w:p>
        </w:tc>
        <w:tc>
          <w:tcPr>
            <w:tcW w:w="7077" w:type="dxa"/>
            <w:hideMark/>
          </w:tcPr>
          <w:p w14:paraId="175611E2" w14:textId="77777777" w:rsidR="00B106C9" w:rsidRPr="001552C6" w:rsidRDefault="00B106C9" w:rsidP="00072BDF">
            <w:pPr>
              <w:spacing w:before="60" w:after="60"/>
              <w:rPr>
                <w:rFonts w:asciiTheme="majorHAnsi" w:hAnsiTheme="majorHAnsi" w:cstheme="majorHAnsi"/>
                <w:b w:val="0"/>
                <w:bCs/>
                <w:sz w:val="20"/>
                <w:szCs w:val="20"/>
              </w:rPr>
            </w:pPr>
            <w:r w:rsidRPr="001552C6">
              <w:rPr>
                <w:rStyle w:val="normaltextrun"/>
                <w:rFonts w:asciiTheme="majorHAnsi" w:hAnsiTheme="majorHAnsi" w:cstheme="majorHAnsi"/>
                <w:b w:val="0"/>
                <w:bCs/>
                <w:color w:val="000000" w:themeColor="text1"/>
                <w:position w:val="1"/>
                <w:sz w:val="20"/>
                <w:szCs w:val="20"/>
                <w:lang w:val="en-US"/>
              </w:rPr>
              <w:t>The following complementary indicators listed in Decision 15/5 under Target 2 are important for inland waters and coastal wetlands as they can be disaggreg</w:t>
            </w:r>
            <w:r w:rsidRPr="001552C6">
              <w:rPr>
                <w:rFonts w:asciiTheme="majorHAnsi" w:hAnsiTheme="majorHAnsi" w:cstheme="majorHAnsi"/>
                <w:b w:val="0"/>
                <w:bCs/>
                <w:sz w:val="20"/>
                <w:szCs w:val="20"/>
              </w:rPr>
              <w:t>ated by ecosystem type.</w:t>
            </w:r>
          </w:p>
          <w:p w14:paraId="5BF8BCED" w14:textId="77777777" w:rsidR="00B106C9" w:rsidRPr="001552C6" w:rsidRDefault="00B106C9" w:rsidP="00DA59A8">
            <w:pPr>
              <w:pStyle w:val="ListParagraph"/>
              <w:numPr>
                <w:ilvl w:val="0"/>
                <w:numId w:val="28"/>
              </w:numPr>
              <w:spacing w:before="60" w:after="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Status of Key Biodiversity Areas (ID 1064).</w:t>
            </w:r>
          </w:p>
          <w:p w14:paraId="7074C848" w14:textId="77777777" w:rsidR="00B106C9" w:rsidRPr="001552C6" w:rsidRDefault="00B106C9" w:rsidP="00DA59A8">
            <w:pPr>
              <w:pStyle w:val="ListParagraph"/>
              <w:numPr>
                <w:ilvl w:val="0"/>
                <w:numId w:val="28"/>
              </w:numPr>
              <w:spacing w:before="60" w:after="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Red List of Ecosystems (ID 1067 and A.1).</w:t>
            </w:r>
          </w:p>
          <w:p w14:paraId="4B34597B" w14:textId="77777777" w:rsidR="00B106C9" w:rsidRPr="001552C6" w:rsidRDefault="00B106C9" w:rsidP="00DA59A8">
            <w:pPr>
              <w:pStyle w:val="ListParagraph"/>
              <w:numPr>
                <w:ilvl w:val="0"/>
                <w:numId w:val="28"/>
              </w:numPr>
              <w:spacing w:before="60" w:after="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Species habitat indicator (ID 1069) could be helpful if looked at in terms of species habitat range covered by area under restoration.</w:t>
            </w:r>
          </w:p>
        </w:tc>
      </w:tr>
    </w:tbl>
    <w:p w14:paraId="35C5CF48" w14:textId="6F4F3184" w:rsidR="00B106C9" w:rsidRPr="001552C6" w:rsidRDefault="00B106C9" w:rsidP="00831196">
      <w:pPr>
        <w:pBdr>
          <w:top w:val="nil"/>
          <w:left w:val="nil"/>
          <w:bottom w:val="nil"/>
          <w:right w:val="nil"/>
          <w:between w:val="nil"/>
        </w:pBdr>
        <w:ind w:left="425" w:hanging="425"/>
        <w:rPr>
          <w:rFonts w:asciiTheme="majorHAnsi" w:eastAsia="Calibri" w:hAnsiTheme="majorHAnsi" w:cstheme="majorHAnsi"/>
          <w:color w:val="000000"/>
          <w:sz w:val="22"/>
          <w:szCs w:val="22"/>
        </w:rPr>
      </w:pPr>
    </w:p>
    <w:p w14:paraId="00ADBDF9" w14:textId="2444690D" w:rsidR="00B106C9" w:rsidRPr="001552C6" w:rsidRDefault="00831196" w:rsidP="00831196">
      <w:pPr>
        <w:pBdr>
          <w:top w:val="nil"/>
          <w:left w:val="nil"/>
          <w:bottom w:val="nil"/>
          <w:right w:val="nil"/>
          <w:between w:val="nil"/>
        </w:pBdr>
        <w:ind w:left="425" w:hanging="425"/>
        <w:rPr>
          <w:rFonts w:asciiTheme="majorHAnsi" w:eastAsia="Calibri" w:hAnsiTheme="majorHAnsi" w:cstheme="majorHAnsi"/>
          <w:sz w:val="22"/>
          <w:szCs w:val="22"/>
        </w:rPr>
      </w:pPr>
      <w:r w:rsidRPr="001552C6">
        <w:rPr>
          <w:rFonts w:asciiTheme="majorHAnsi" w:eastAsia="Calibri" w:hAnsiTheme="majorHAnsi" w:cstheme="majorHAnsi"/>
          <w:color w:val="000000"/>
          <w:sz w:val="22"/>
          <w:szCs w:val="22"/>
        </w:rPr>
        <w:t>22.</w:t>
      </w:r>
      <w:r w:rsidRPr="001552C6">
        <w:rPr>
          <w:rFonts w:asciiTheme="majorHAnsi" w:eastAsia="Calibri" w:hAnsiTheme="majorHAnsi" w:cstheme="majorHAnsi"/>
          <w:color w:val="000000"/>
          <w:sz w:val="22"/>
          <w:szCs w:val="22"/>
        </w:rPr>
        <w:tab/>
      </w:r>
      <w:r w:rsidR="00B106C9" w:rsidRPr="001552C6">
        <w:rPr>
          <w:rFonts w:asciiTheme="majorHAnsi" w:eastAsia="Calibri" w:hAnsiTheme="majorHAnsi" w:cstheme="majorHAnsi"/>
          <w:b/>
          <w:bCs/>
          <w:color w:val="000000"/>
          <w:sz w:val="22"/>
          <w:szCs w:val="22"/>
        </w:rPr>
        <w:t>Target 3</w:t>
      </w:r>
      <w:r w:rsidR="00B106C9" w:rsidRPr="001552C6">
        <w:rPr>
          <w:rFonts w:asciiTheme="majorHAnsi" w:eastAsia="Calibri" w:hAnsiTheme="majorHAnsi" w:cstheme="majorHAnsi"/>
          <w:color w:val="000000"/>
          <w:sz w:val="22"/>
          <w:szCs w:val="22"/>
        </w:rPr>
        <w:t xml:space="preserve">: </w:t>
      </w:r>
      <w:r w:rsidR="00B106C9" w:rsidRPr="001552C6">
        <w:rPr>
          <w:rFonts w:asciiTheme="majorHAnsi" w:eastAsia="Calibri" w:hAnsiTheme="majorHAnsi" w:cstheme="majorHAnsi"/>
          <w:i/>
          <w:iCs/>
          <w:sz w:val="22"/>
          <w:szCs w:val="22"/>
        </w:rPr>
        <w:t xml:space="preserve">Ensure and enable that by 2030 at least 30 per cent of </w:t>
      </w:r>
      <w:r w:rsidR="00B106C9" w:rsidRPr="001552C6">
        <w:rPr>
          <w:rFonts w:asciiTheme="majorHAnsi" w:eastAsia="Calibri" w:hAnsiTheme="majorHAnsi" w:cstheme="majorHAnsi"/>
          <w:i/>
          <w:iCs/>
          <w:color w:val="000000"/>
          <w:sz w:val="22"/>
          <w:szCs w:val="22"/>
        </w:rPr>
        <w:t xml:space="preserve">terrestrial, inland water, and </w:t>
      </w:r>
      <w:r w:rsidR="00B106C9" w:rsidRPr="001552C6">
        <w:rPr>
          <w:rFonts w:asciiTheme="majorHAnsi" w:eastAsia="Calibri" w:hAnsiTheme="majorHAnsi" w:cstheme="majorHAnsi"/>
          <w:i/>
          <w:iCs/>
          <w:sz w:val="22"/>
          <w:szCs w:val="22"/>
        </w:rPr>
        <w:t>of coastal and marine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and traditional territories where applicable, and integrated into wider landscapes, seascapes and the ocean, while ensuring that any sustainable use, where appropriate in such areas, is fully consistent with conservation outcomes, recognizing and respecting the rights of indigenous peoples and local communities, including over their traditional territories.</w:t>
      </w:r>
    </w:p>
    <w:p w14:paraId="4D281631" w14:textId="77777777" w:rsidR="00831196" w:rsidRPr="001552C6" w:rsidRDefault="00831196" w:rsidP="00831196">
      <w:pPr>
        <w:pBdr>
          <w:top w:val="nil"/>
          <w:left w:val="nil"/>
          <w:bottom w:val="nil"/>
          <w:right w:val="nil"/>
          <w:between w:val="nil"/>
        </w:pBdr>
        <w:ind w:left="425" w:hanging="425"/>
        <w:rPr>
          <w:rFonts w:asciiTheme="majorHAnsi" w:eastAsia="Calibri" w:hAnsiTheme="majorHAnsi" w:cstheme="majorHAnsi"/>
          <w:color w:val="000000"/>
          <w:sz w:val="22"/>
          <w:szCs w:val="22"/>
        </w:rPr>
      </w:pPr>
    </w:p>
    <w:tbl>
      <w:tblPr>
        <w:tblStyle w:val="TableGrid"/>
        <w:tblW w:w="0" w:type="auto"/>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1929"/>
        <w:gridCol w:w="7077"/>
      </w:tblGrid>
      <w:tr w:rsidR="00B106C9" w:rsidRPr="001552C6" w14:paraId="04260E5D" w14:textId="77777777" w:rsidTr="00072BDF">
        <w:trPr>
          <w:trHeight w:val="603"/>
        </w:trPr>
        <w:tc>
          <w:tcPr>
            <w:tcW w:w="1929" w:type="dxa"/>
            <w:hideMark/>
          </w:tcPr>
          <w:p w14:paraId="245DB181" w14:textId="77777777" w:rsidR="00B106C9" w:rsidRPr="001552C6" w:rsidRDefault="00B106C9" w:rsidP="00072BDF">
            <w:pPr>
              <w:spacing w:before="160"/>
              <w:rPr>
                <w:rFonts w:asciiTheme="majorHAnsi" w:hAnsiTheme="majorHAnsi" w:cstheme="majorHAnsi"/>
                <w:b w:val="0"/>
                <w:bCs/>
                <w:sz w:val="20"/>
                <w:szCs w:val="20"/>
              </w:rPr>
            </w:pPr>
            <w:r w:rsidRPr="001552C6">
              <w:rPr>
                <w:rFonts w:asciiTheme="majorHAnsi" w:hAnsiTheme="majorHAnsi" w:cstheme="majorHAnsi"/>
                <w:bCs/>
                <w:sz w:val="20"/>
                <w:szCs w:val="20"/>
              </w:rPr>
              <w:t>Headline indicator</w:t>
            </w:r>
          </w:p>
        </w:tc>
        <w:tc>
          <w:tcPr>
            <w:tcW w:w="7077" w:type="dxa"/>
            <w:hideMark/>
          </w:tcPr>
          <w:p w14:paraId="396F769C" w14:textId="77777777" w:rsidR="00B106C9" w:rsidRPr="001552C6" w:rsidRDefault="00B106C9" w:rsidP="00072BDF">
            <w:pPr>
              <w:spacing w:before="160" w:after="160"/>
              <w:rPr>
                <w:rFonts w:asciiTheme="majorHAnsi" w:hAnsiTheme="majorHAnsi" w:cstheme="majorHAnsi"/>
                <w:b w:val="0"/>
                <w:bCs/>
                <w:sz w:val="20"/>
                <w:szCs w:val="20"/>
              </w:rPr>
            </w:pPr>
            <w:r w:rsidRPr="001552C6">
              <w:rPr>
                <w:rStyle w:val="normaltextrun"/>
                <w:rFonts w:asciiTheme="majorHAnsi" w:hAnsiTheme="majorHAnsi" w:cstheme="majorHAnsi"/>
                <w:b w:val="0"/>
                <w:bCs/>
                <w:color w:val="000000"/>
                <w:position w:val="1"/>
                <w:sz w:val="20"/>
                <w:szCs w:val="20"/>
              </w:rPr>
              <w:t>3.1 Coverage of protected areas and other effective area-based conservation measures.</w:t>
            </w:r>
          </w:p>
        </w:tc>
      </w:tr>
      <w:tr w:rsidR="00B106C9" w:rsidRPr="001552C6" w14:paraId="5DD606A8" w14:textId="77777777" w:rsidTr="00072BDF">
        <w:tc>
          <w:tcPr>
            <w:tcW w:w="1929" w:type="dxa"/>
            <w:hideMark/>
          </w:tcPr>
          <w:p w14:paraId="4301ACBF" w14:textId="77777777" w:rsidR="00B106C9" w:rsidRPr="001552C6" w:rsidRDefault="00B106C9" w:rsidP="00072BDF">
            <w:pPr>
              <w:spacing w:before="160" w:after="160"/>
              <w:rPr>
                <w:rFonts w:asciiTheme="majorHAnsi" w:hAnsiTheme="majorHAnsi" w:cstheme="majorHAnsi"/>
                <w:b w:val="0"/>
                <w:bCs/>
                <w:sz w:val="20"/>
                <w:szCs w:val="20"/>
              </w:rPr>
            </w:pPr>
            <w:r w:rsidRPr="001552C6">
              <w:rPr>
                <w:rFonts w:asciiTheme="majorHAnsi" w:hAnsiTheme="majorHAnsi" w:cstheme="majorHAnsi"/>
                <w:bCs/>
                <w:sz w:val="20"/>
                <w:szCs w:val="20"/>
              </w:rPr>
              <w:lastRenderedPageBreak/>
              <w:t xml:space="preserve">Sufficiency of </w:t>
            </w:r>
            <w:r w:rsidRPr="001552C6">
              <w:rPr>
                <w:rFonts w:asciiTheme="majorHAnsi" w:hAnsiTheme="majorHAnsi" w:cstheme="majorHAnsi"/>
                <w:bCs/>
                <w:sz w:val="20"/>
                <w:szCs w:val="20"/>
              </w:rPr>
              <w:br/>
              <w:t>the indicator</w:t>
            </w:r>
            <w:r w:rsidRPr="001552C6">
              <w:rPr>
                <w:rFonts w:asciiTheme="majorHAnsi" w:hAnsiTheme="majorHAnsi" w:cstheme="majorHAnsi"/>
                <w:bCs/>
                <w:sz w:val="20"/>
                <w:szCs w:val="20"/>
              </w:rPr>
              <w:br/>
              <w:t>for wetlands</w:t>
            </w:r>
          </w:p>
        </w:tc>
        <w:tc>
          <w:tcPr>
            <w:tcW w:w="7077" w:type="dxa"/>
            <w:hideMark/>
          </w:tcPr>
          <w:p w14:paraId="324D069C" w14:textId="77777777" w:rsidR="00B106C9" w:rsidRPr="001552C6" w:rsidRDefault="00B106C9" w:rsidP="00072BDF">
            <w:pPr>
              <w:spacing w:before="160" w:after="160"/>
              <w:rPr>
                <w:rFonts w:asciiTheme="majorHAnsi" w:hAnsiTheme="majorHAnsi" w:cstheme="majorHAnsi"/>
                <w:b w:val="0"/>
                <w:bCs/>
                <w:sz w:val="20"/>
                <w:szCs w:val="20"/>
              </w:rPr>
            </w:pPr>
            <w:r w:rsidRPr="001552C6">
              <w:rPr>
                <w:rFonts w:asciiTheme="majorHAnsi" w:hAnsiTheme="majorHAnsi" w:cstheme="majorHAnsi"/>
                <w:b w:val="0"/>
                <w:bCs/>
                <w:sz w:val="20"/>
                <w:szCs w:val="20"/>
              </w:rPr>
              <w:t>Indicator 3.1 is not sufficient to track progress towards achieving Target 3.</w:t>
            </w:r>
          </w:p>
          <w:p w14:paraId="500365BD" w14:textId="77777777" w:rsidR="00B106C9" w:rsidRPr="001552C6"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 xml:space="preserve">The explicit recognition of “inland waters” and “coastal” ecosystems in </w:t>
            </w:r>
            <w:r w:rsidRPr="001552C6">
              <w:rPr>
                <w:rFonts w:asciiTheme="majorHAnsi" w:eastAsia="Times New Roman" w:hAnsiTheme="majorHAnsi" w:cstheme="majorHAnsi"/>
                <w:b w:val="0"/>
                <w:bCs/>
                <w:sz w:val="20"/>
                <w:szCs w:val="20"/>
                <w:lang w:eastAsia="en-GB"/>
              </w:rPr>
              <w:t xml:space="preserve">the </w:t>
            </w:r>
            <w:r w:rsidRPr="001552C6">
              <w:rPr>
                <w:rFonts w:asciiTheme="majorHAnsi" w:hAnsiTheme="majorHAnsi" w:cstheme="majorHAnsi"/>
                <w:b w:val="0"/>
                <w:bCs/>
                <w:sz w:val="20"/>
                <w:szCs w:val="20"/>
              </w:rPr>
              <w:t xml:space="preserve">language of the target is welcomed for increasing visibility of these ecosystems. However, there is still poor coverage, particularly for freshwater ecosystems and rivers. </w:t>
            </w:r>
          </w:p>
          <w:p w14:paraId="2D62E00C" w14:textId="77777777" w:rsidR="00B106C9" w:rsidRPr="001552C6"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The headline indicator method requires some adaptation to be able to capture information relevant to the protection of rivers (which should be measured in length (km). A proposal to address this is made immediately below).</w:t>
            </w:r>
          </w:p>
          <w:p w14:paraId="453A04C6" w14:textId="77777777" w:rsidR="00B106C9" w:rsidRPr="001552C6"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A critical and urgent gap to be filled is the inclusion of a metric for understanding the effectiveness of area-based management – both in terms of management effectiveness and biodiversity outcomes.</w:t>
            </w:r>
          </w:p>
        </w:tc>
      </w:tr>
      <w:tr w:rsidR="00B106C9" w:rsidRPr="001552C6" w14:paraId="2721E766" w14:textId="77777777" w:rsidTr="00072BDF">
        <w:tc>
          <w:tcPr>
            <w:tcW w:w="1929" w:type="dxa"/>
            <w:hideMark/>
          </w:tcPr>
          <w:p w14:paraId="76CA35FE" w14:textId="77777777" w:rsidR="00B106C9" w:rsidRPr="001552C6" w:rsidRDefault="00B106C9" w:rsidP="00072BDF">
            <w:pPr>
              <w:spacing w:before="160" w:after="160"/>
              <w:rPr>
                <w:rFonts w:asciiTheme="majorHAnsi" w:hAnsiTheme="majorHAnsi" w:cstheme="majorHAnsi"/>
                <w:b w:val="0"/>
                <w:bCs/>
                <w:sz w:val="20"/>
                <w:szCs w:val="20"/>
              </w:rPr>
            </w:pPr>
            <w:r w:rsidRPr="001552C6">
              <w:rPr>
                <w:rFonts w:asciiTheme="majorHAnsi" w:hAnsiTheme="majorHAnsi" w:cstheme="majorHAnsi"/>
                <w:bCs/>
                <w:sz w:val="20"/>
                <w:szCs w:val="20"/>
              </w:rPr>
              <w:t>Recommendations for metadata</w:t>
            </w:r>
          </w:p>
        </w:tc>
        <w:tc>
          <w:tcPr>
            <w:tcW w:w="7077" w:type="dxa"/>
            <w:hideMark/>
          </w:tcPr>
          <w:p w14:paraId="46863EBE" w14:textId="77777777" w:rsidR="00B106C9" w:rsidRPr="001552C6"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 xml:space="preserve">The metadata for the headline indicator 3.1 indicates only marine/ terrestrial </w:t>
            </w:r>
            <w:r w:rsidRPr="001552C6">
              <w:rPr>
                <w:rFonts w:asciiTheme="majorHAnsi" w:eastAsia="Times New Roman" w:hAnsiTheme="majorHAnsi" w:cstheme="majorHAnsi"/>
                <w:b w:val="0"/>
                <w:bCs/>
                <w:sz w:val="20"/>
                <w:szCs w:val="20"/>
                <w:lang w:eastAsia="en-GB"/>
              </w:rPr>
              <w:t>disaggregation</w:t>
            </w:r>
            <w:r w:rsidRPr="001552C6">
              <w:rPr>
                <w:rFonts w:asciiTheme="majorHAnsi" w:hAnsiTheme="majorHAnsi" w:cstheme="majorHAnsi"/>
                <w:b w:val="0"/>
                <w:bCs/>
                <w:sz w:val="20"/>
                <w:szCs w:val="20"/>
              </w:rPr>
              <w:t>, which is not sufficient. It is recommended to include disaggregation by inland waters and coastal wetlands.</w:t>
            </w:r>
          </w:p>
        </w:tc>
      </w:tr>
      <w:tr w:rsidR="00B106C9" w:rsidRPr="001552C6" w14:paraId="53A8B973" w14:textId="77777777" w:rsidTr="00072BDF">
        <w:tc>
          <w:tcPr>
            <w:tcW w:w="1929" w:type="dxa"/>
            <w:hideMark/>
          </w:tcPr>
          <w:p w14:paraId="5AB70EDE" w14:textId="77777777" w:rsidR="00B106C9" w:rsidRPr="001552C6" w:rsidRDefault="00B106C9" w:rsidP="00072BDF">
            <w:pPr>
              <w:spacing w:before="160" w:after="160"/>
              <w:rPr>
                <w:rFonts w:asciiTheme="majorHAnsi" w:hAnsiTheme="majorHAnsi" w:cstheme="majorHAnsi"/>
                <w:b w:val="0"/>
                <w:bCs/>
                <w:sz w:val="20"/>
                <w:szCs w:val="20"/>
              </w:rPr>
            </w:pPr>
            <w:r w:rsidRPr="001552C6">
              <w:rPr>
                <w:rFonts w:asciiTheme="majorHAnsi" w:hAnsiTheme="majorHAnsi" w:cstheme="majorHAnsi"/>
                <w:bCs/>
                <w:sz w:val="20"/>
                <w:szCs w:val="20"/>
              </w:rPr>
              <w:t>Recommendations on data flows/ sources to fill the gap</w:t>
            </w:r>
          </w:p>
        </w:tc>
        <w:tc>
          <w:tcPr>
            <w:tcW w:w="7077" w:type="dxa"/>
            <w:hideMark/>
          </w:tcPr>
          <w:p w14:paraId="3BC23A2F" w14:textId="77777777" w:rsidR="00B106C9" w:rsidRPr="001552C6" w:rsidRDefault="00B106C9" w:rsidP="00DA59A8">
            <w:pPr>
              <w:pStyle w:val="ListParagraph"/>
              <w:numPr>
                <w:ilvl w:val="0"/>
                <w:numId w:val="28"/>
              </w:numPr>
              <w:spacing w:before="160" w:after="160"/>
              <w:ind w:left="320" w:hanging="320"/>
              <w:rPr>
                <w:rFonts w:asciiTheme="majorHAnsi" w:eastAsia="Times New Roman" w:hAnsiTheme="majorHAnsi" w:cstheme="majorHAnsi"/>
                <w:b w:val="0"/>
                <w:bCs/>
                <w:sz w:val="20"/>
                <w:szCs w:val="20"/>
                <w:lang w:eastAsia="en-GB"/>
              </w:rPr>
            </w:pPr>
            <w:r w:rsidRPr="001552C6">
              <w:rPr>
                <w:rFonts w:asciiTheme="majorHAnsi" w:hAnsiTheme="majorHAnsi" w:cstheme="majorHAnsi"/>
                <w:b w:val="0"/>
                <w:bCs/>
                <w:sz w:val="20"/>
                <w:szCs w:val="20"/>
              </w:rPr>
              <w:t xml:space="preserve">The STRP would strongly recommend a disaggregation that </w:t>
            </w:r>
            <w:r w:rsidRPr="001552C6">
              <w:rPr>
                <w:rFonts w:asciiTheme="majorHAnsi" w:eastAsia="Times New Roman" w:hAnsiTheme="majorHAnsi" w:cstheme="majorHAnsi"/>
                <w:b w:val="0"/>
                <w:bCs/>
                <w:sz w:val="20"/>
                <w:szCs w:val="20"/>
                <w:lang w:eastAsia="en-GB"/>
              </w:rPr>
              <w:t xml:space="preserve">includes inland waters and coastal ecosystems and support disaggregation, for example by applying the Global Ecosystem Typology, where appropriate for wetlands. </w:t>
            </w:r>
          </w:p>
          <w:p w14:paraId="253EE741" w14:textId="77777777" w:rsidR="00B106C9" w:rsidRPr="001552C6"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1552C6">
              <w:rPr>
                <w:rFonts w:asciiTheme="majorHAnsi" w:eastAsia="Times New Roman" w:hAnsiTheme="majorHAnsi" w:cstheme="majorHAnsi"/>
                <w:b w:val="0"/>
                <w:bCs/>
                <w:sz w:val="20"/>
                <w:szCs w:val="20"/>
                <w:lang w:eastAsia="en-GB"/>
              </w:rPr>
              <w:t>To address</w:t>
            </w:r>
            <w:r w:rsidRPr="001552C6">
              <w:rPr>
                <w:rFonts w:asciiTheme="majorHAnsi" w:hAnsiTheme="majorHAnsi" w:cstheme="majorHAnsi"/>
                <w:b w:val="0"/>
                <w:bCs/>
                <w:sz w:val="20"/>
                <w:szCs w:val="20"/>
              </w:rPr>
              <w:t xml:space="preserve"> the gap in measuring effectiveness, the STRP supports the proposal by UNEP-WCMC, IUCN and JNCC on “</w:t>
            </w:r>
            <w:hyperlink r:id="rId36" w:history="1">
              <w:r w:rsidRPr="001552C6">
                <w:rPr>
                  <w:rStyle w:val="Hyperlink"/>
                  <w:rFonts w:asciiTheme="majorHAnsi" w:hAnsiTheme="majorHAnsi" w:cstheme="majorHAnsi"/>
                  <w:b w:val="0"/>
                  <w:bCs/>
                  <w:sz w:val="20"/>
                  <w:szCs w:val="20"/>
                </w:rPr>
                <w:t>Recommended indicators for reporting on the effectiveness of area-based conservation measures</w:t>
              </w:r>
            </w:hyperlink>
            <w:r w:rsidRPr="001552C6">
              <w:rPr>
                <w:rFonts w:asciiTheme="majorHAnsi" w:hAnsiTheme="majorHAnsi" w:cstheme="majorHAnsi"/>
                <w:b w:val="0"/>
                <w:bCs/>
                <w:sz w:val="20"/>
                <w:szCs w:val="20"/>
              </w:rPr>
              <w:t>”, which includes the consideration of management, governance and biodiversity outcomes.</w:t>
            </w:r>
          </w:p>
          <w:p w14:paraId="793A7BB5" w14:textId="77777777" w:rsidR="00B106C9" w:rsidRPr="001552C6"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1552C6">
              <w:rPr>
                <w:rFonts w:asciiTheme="majorHAnsi" w:hAnsiTheme="majorHAnsi" w:cstheme="majorHAnsi"/>
                <w:b w:val="0"/>
                <w:bCs/>
                <w:sz w:val="20"/>
                <w:szCs w:val="20"/>
              </w:rPr>
              <w:t xml:space="preserve">The STRP generally supports the method developed by Confluvio Ltd for TNC to assess the extent and representativeness of inland waters within protected areas and OECMS has been developed, including for river </w:t>
            </w:r>
            <w:r w:rsidRPr="001552C6">
              <w:rPr>
                <w:rFonts w:asciiTheme="majorHAnsi" w:eastAsia="Times New Roman" w:hAnsiTheme="majorHAnsi" w:cstheme="majorHAnsi"/>
                <w:b w:val="0"/>
                <w:bCs/>
                <w:sz w:val="20"/>
                <w:szCs w:val="20"/>
                <w:lang w:eastAsia="en-GB"/>
              </w:rPr>
              <w:t>systems</w:t>
            </w:r>
            <w:r w:rsidRPr="001552C6">
              <w:rPr>
                <w:rFonts w:asciiTheme="majorHAnsi" w:hAnsiTheme="majorHAnsi" w:cstheme="majorHAnsi"/>
                <w:b w:val="0"/>
                <w:bCs/>
                <w:sz w:val="20"/>
                <w:szCs w:val="20"/>
              </w:rPr>
              <w:t>, that drew on the WDPA and WD-OECM layers and existing spatial global datasets (the Global Lakes and Wetlands Database – GLWDv2; and the RiverATLAS Database); noting that this approach should also be able to fit within other ecosystem typologies, such as the Global Ecosystem Typology framework.</w:t>
            </w:r>
          </w:p>
        </w:tc>
      </w:tr>
      <w:tr w:rsidR="00B106C9" w:rsidRPr="001552C6" w14:paraId="3789C431" w14:textId="77777777" w:rsidTr="00072BDF">
        <w:tc>
          <w:tcPr>
            <w:tcW w:w="1929" w:type="dxa"/>
            <w:hideMark/>
          </w:tcPr>
          <w:p w14:paraId="0ADF63CC" w14:textId="77777777" w:rsidR="00B106C9" w:rsidRPr="001552C6" w:rsidRDefault="00B106C9" w:rsidP="00072BDF">
            <w:pPr>
              <w:spacing w:before="160" w:after="160"/>
              <w:rPr>
                <w:rFonts w:asciiTheme="majorHAnsi" w:hAnsiTheme="majorHAnsi" w:cstheme="majorHAnsi"/>
                <w:b w:val="0"/>
                <w:bCs/>
                <w:sz w:val="20"/>
                <w:szCs w:val="20"/>
              </w:rPr>
            </w:pPr>
            <w:r w:rsidRPr="001552C6">
              <w:rPr>
                <w:rFonts w:asciiTheme="majorHAnsi" w:hAnsiTheme="majorHAnsi" w:cstheme="majorHAnsi"/>
                <w:bCs/>
                <w:sz w:val="20"/>
                <w:szCs w:val="20"/>
              </w:rPr>
              <w:t xml:space="preserve">Identification </w:t>
            </w:r>
            <w:r w:rsidRPr="001552C6">
              <w:rPr>
                <w:rFonts w:asciiTheme="majorHAnsi" w:hAnsiTheme="majorHAnsi" w:cstheme="majorHAnsi"/>
                <w:bCs/>
                <w:sz w:val="20"/>
                <w:szCs w:val="20"/>
              </w:rPr>
              <w:br/>
              <w:t xml:space="preserve">of future tools </w:t>
            </w:r>
            <w:r w:rsidRPr="001552C6">
              <w:rPr>
                <w:rFonts w:asciiTheme="majorHAnsi" w:hAnsiTheme="majorHAnsi" w:cstheme="majorHAnsi"/>
                <w:bCs/>
                <w:sz w:val="20"/>
                <w:szCs w:val="20"/>
              </w:rPr>
              <w:br/>
              <w:t>to fill gaps</w:t>
            </w:r>
          </w:p>
        </w:tc>
        <w:tc>
          <w:tcPr>
            <w:tcW w:w="7077" w:type="dxa"/>
            <w:hideMark/>
          </w:tcPr>
          <w:p w14:paraId="3704359E" w14:textId="77777777" w:rsidR="00B106C9" w:rsidRPr="001552C6" w:rsidRDefault="00B106C9" w:rsidP="00072BDF">
            <w:pPr>
              <w:spacing w:before="160" w:after="160"/>
              <w:rPr>
                <w:rFonts w:asciiTheme="majorHAnsi" w:hAnsiTheme="majorHAnsi" w:cstheme="majorHAnsi"/>
                <w:b w:val="0"/>
                <w:bCs/>
                <w:sz w:val="20"/>
                <w:szCs w:val="20"/>
              </w:rPr>
            </w:pPr>
            <w:r w:rsidRPr="001552C6">
              <w:rPr>
                <w:rFonts w:asciiTheme="majorHAnsi" w:hAnsiTheme="majorHAnsi" w:cstheme="majorHAnsi"/>
                <w:b w:val="0"/>
                <w:bCs/>
                <w:sz w:val="20"/>
                <w:szCs w:val="20"/>
              </w:rPr>
              <w:t>The STRP of the Convention on Wetlands has a high priority task (task 4.1) in the 2023-2025 workplan to guide Contracting Parties in the opportunities provided by OECMs for wetlands and will have a published Briefing Note to share on this in future.</w:t>
            </w:r>
          </w:p>
        </w:tc>
      </w:tr>
      <w:tr w:rsidR="00B106C9" w:rsidRPr="001552C6" w14:paraId="2EFC4A51" w14:textId="77777777" w:rsidTr="00072BDF">
        <w:tc>
          <w:tcPr>
            <w:tcW w:w="1929" w:type="dxa"/>
            <w:hideMark/>
          </w:tcPr>
          <w:p w14:paraId="3B3864D1" w14:textId="77777777" w:rsidR="00B106C9" w:rsidRPr="001552C6" w:rsidRDefault="00B106C9" w:rsidP="00072BDF">
            <w:pPr>
              <w:spacing w:before="160" w:after="160"/>
              <w:rPr>
                <w:rFonts w:asciiTheme="majorHAnsi" w:hAnsiTheme="majorHAnsi" w:cstheme="majorHAnsi"/>
                <w:b w:val="0"/>
                <w:bCs/>
                <w:sz w:val="20"/>
                <w:szCs w:val="20"/>
              </w:rPr>
            </w:pPr>
            <w:r w:rsidRPr="001552C6">
              <w:rPr>
                <w:rFonts w:asciiTheme="majorHAnsi" w:hAnsiTheme="majorHAnsi" w:cstheme="majorHAnsi"/>
                <w:bCs/>
                <w:sz w:val="20"/>
                <w:szCs w:val="20"/>
              </w:rPr>
              <w:t>Recommendations component / complementary indicators important for wetlands</w:t>
            </w:r>
          </w:p>
        </w:tc>
        <w:tc>
          <w:tcPr>
            <w:tcW w:w="7077" w:type="dxa"/>
          </w:tcPr>
          <w:p w14:paraId="7D8077AB" w14:textId="77777777" w:rsidR="00B106C9" w:rsidRPr="001552C6" w:rsidRDefault="00B106C9" w:rsidP="00072BDF">
            <w:pPr>
              <w:spacing w:before="160" w:after="160"/>
              <w:rPr>
                <w:rStyle w:val="normaltextrun"/>
                <w:rFonts w:asciiTheme="majorHAnsi" w:hAnsiTheme="majorHAnsi" w:cstheme="majorHAnsi"/>
                <w:b w:val="0"/>
                <w:bCs/>
                <w:color w:val="000000" w:themeColor="text1"/>
                <w:position w:val="1"/>
                <w:sz w:val="20"/>
                <w:szCs w:val="20"/>
                <w:lang w:val="en-US"/>
              </w:rPr>
            </w:pPr>
            <w:r w:rsidRPr="001552C6">
              <w:rPr>
                <w:rFonts w:asciiTheme="majorHAnsi" w:hAnsiTheme="majorHAnsi" w:cstheme="majorHAnsi"/>
                <w:b w:val="0"/>
                <w:bCs/>
                <w:sz w:val="20"/>
                <w:szCs w:val="20"/>
              </w:rPr>
              <w:t xml:space="preserve">Regarding the current list of component indicators identified in Decision 15/5, the STRP would recommend that any guidance identifies </w:t>
            </w:r>
            <w:r w:rsidRPr="001552C6">
              <w:rPr>
                <w:rStyle w:val="normaltextrun"/>
                <w:rFonts w:asciiTheme="majorHAnsi" w:hAnsiTheme="majorHAnsi" w:cstheme="majorHAnsi"/>
                <w:b w:val="0"/>
                <w:bCs/>
                <w:color w:val="000000" w:themeColor="text1"/>
                <w:position w:val="1"/>
                <w:sz w:val="20"/>
                <w:szCs w:val="20"/>
                <w:lang w:val="en-US"/>
              </w:rPr>
              <w:t>the following component indicators already listed under Target 3 as being particularly important for inland waters and coastal wetlands:</w:t>
            </w:r>
          </w:p>
          <w:p w14:paraId="447BE1D8" w14:textId="77777777" w:rsidR="00B106C9" w:rsidRPr="001552C6" w:rsidRDefault="00B106C9" w:rsidP="00DA59A8">
            <w:pPr>
              <w:pStyle w:val="ListParagraph"/>
              <w:numPr>
                <w:ilvl w:val="0"/>
                <w:numId w:val="28"/>
              </w:numPr>
              <w:spacing w:before="160" w:after="160"/>
              <w:ind w:left="320" w:hanging="320"/>
              <w:rPr>
                <w:rFonts w:asciiTheme="majorHAnsi" w:eastAsia="Times New Roman" w:hAnsiTheme="majorHAnsi" w:cstheme="majorHAnsi"/>
                <w:b w:val="0"/>
                <w:bCs/>
                <w:sz w:val="20"/>
                <w:szCs w:val="20"/>
                <w:lang w:eastAsia="en-GB"/>
              </w:rPr>
            </w:pPr>
            <w:r w:rsidRPr="001552C6">
              <w:rPr>
                <w:rFonts w:asciiTheme="majorHAnsi" w:eastAsia="Times New Roman" w:hAnsiTheme="majorHAnsi" w:cstheme="majorHAnsi"/>
                <w:b w:val="0"/>
                <w:bCs/>
                <w:sz w:val="20"/>
                <w:szCs w:val="20"/>
                <w:lang w:eastAsia="en-GB"/>
              </w:rPr>
              <w:t>Protected area coverage of key biodiversity areas (ID 325)</w:t>
            </w:r>
          </w:p>
          <w:p w14:paraId="5F93E5B9" w14:textId="77777777" w:rsidR="00B106C9" w:rsidRPr="001552C6" w:rsidRDefault="00B106C9" w:rsidP="00DA59A8">
            <w:pPr>
              <w:pStyle w:val="ListParagraph"/>
              <w:numPr>
                <w:ilvl w:val="0"/>
                <w:numId w:val="28"/>
              </w:numPr>
              <w:spacing w:before="160" w:after="160"/>
              <w:ind w:left="320" w:hanging="320"/>
              <w:rPr>
                <w:rFonts w:asciiTheme="majorHAnsi" w:eastAsia="Times New Roman" w:hAnsiTheme="majorHAnsi" w:cstheme="majorHAnsi"/>
                <w:b w:val="0"/>
                <w:bCs/>
                <w:sz w:val="20"/>
                <w:szCs w:val="20"/>
                <w:lang w:eastAsia="en-GB"/>
              </w:rPr>
            </w:pPr>
            <w:r w:rsidRPr="001552C6">
              <w:rPr>
                <w:rFonts w:asciiTheme="majorHAnsi" w:eastAsia="Times New Roman" w:hAnsiTheme="majorHAnsi" w:cstheme="majorHAnsi"/>
                <w:b w:val="0"/>
                <w:bCs/>
                <w:sz w:val="20"/>
                <w:szCs w:val="20"/>
                <w:lang w:eastAsia="en-GB"/>
              </w:rPr>
              <w:t>Red List of Ecosystems (caveat that it should be used with protected area coverage and disaggregation of inland waters and marine and coastal as covered by the Convention on Wetlands definition of wetlands) (ID 329)</w:t>
            </w:r>
          </w:p>
          <w:p w14:paraId="47E0C445" w14:textId="77777777" w:rsidR="00B106C9" w:rsidRPr="001552C6" w:rsidRDefault="00B106C9" w:rsidP="00DA59A8">
            <w:pPr>
              <w:pStyle w:val="ListParagraph"/>
              <w:numPr>
                <w:ilvl w:val="0"/>
                <w:numId w:val="28"/>
              </w:numPr>
              <w:spacing w:before="160" w:after="160"/>
              <w:ind w:left="320" w:hanging="320"/>
              <w:rPr>
                <w:rFonts w:asciiTheme="majorHAnsi" w:eastAsia="Times New Roman" w:hAnsiTheme="majorHAnsi" w:cstheme="majorHAnsi"/>
                <w:b w:val="0"/>
                <w:bCs/>
                <w:sz w:val="20"/>
                <w:szCs w:val="20"/>
                <w:lang w:eastAsia="en-GB"/>
              </w:rPr>
            </w:pPr>
            <w:r w:rsidRPr="001552C6">
              <w:rPr>
                <w:rFonts w:asciiTheme="majorHAnsi" w:eastAsia="Times New Roman" w:hAnsiTheme="majorHAnsi" w:cstheme="majorHAnsi"/>
                <w:b w:val="0"/>
                <w:bCs/>
                <w:sz w:val="20"/>
                <w:szCs w:val="20"/>
                <w:lang w:eastAsia="en-GB"/>
              </w:rPr>
              <w:t>Connectivity Indicator (ID 330)</w:t>
            </w:r>
          </w:p>
          <w:p w14:paraId="14D671A5" w14:textId="77777777" w:rsidR="00B106C9" w:rsidRPr="001552C6" w:rsidRDefault="00B106C9" w:rsidP="00DA59A8">
            <w:pPr>
              <w:pStyle w:val="ListParagraph"/>
              <w:numPr>
                <w:ilvl w:val="0"/>
                <w:numId w:val="28"/>
              </w:numPr>
              <w:spacing w:before="160" w:after="160"/>
              <w:ind w:left="320" w:hanging="320"/>
              <w:rPr>
                <w:rStyle w:val="normaltextrun"/>
                <w:rFonts w:asciiTheme="majorHAnsi" w:hAnsiTheme="majorHAnsi" w:cstheme="majorHAnsi"/>
                <w:b w:val="0"/>
                <w:bCs/>
                <w:i/>
                <w:iCs/>
                <w:sz w:val="20"/>
                <w:szCs w:val="20"/>
              </w:rPr>
            </w:pPr>
            <w:r w:rsidRPr="001552C6">
              <w:rPr>
                <w:rFonts w:asciiTheme="majorHAnsi" w:eastAsia="Times New Roman" w:hAnsiTheme="majorHAnsi" w:cstheme="majorHAnsi"/>
                <w:b w:val="0"/>
                <w:bCs/>
                <w:sz w:val="20"/>
                <w:szCs w:val="20"/>
                <w:lang w:eastAsia="en-GB"/>
              </w:rPr>
              <w:t>Protected Area Management Effectiveness (PAME) (ID 326) – noting that this needs to go beyond the presence of an assessment methodology, ensuring that management effectiveness is assessed and reported</w:t>
            </w:r>
            <w:r w:rsidRPr="001552C6">
              <w:rPr>
                <w:rFonts w:asciiTheme="majorHAnsi" w:hAnsiTheme="majorHAnsi" w:cstheme="majorHAnsi"/>
                <w:b w:val="0"/>
                <w:bCs/>
                <w:sz w:val="20"/>
                <w:szCs w:val="20"/>
              </w:rPr>
              <w:t xml:space="preserve"> adequately, to provide an assessment of conservation outcomes.</w:t>
            </w:r>
            <w:r w:rsidRPr="001552C6">
              <w:rPr>
                <w:rFonts w:asciiTheme="majorHAnsi" w:hAnsiTheme="majorHAnsi" w:cstheme="majorHAnsi"/>
                <w:b w:val="0"/>
                <w:bCs/>
                <w:i/>
                <w:iCs/>
                <w:sz w:val="20"/>
                <w:szCs w:val="20"/>
              </w:rPr>
              <w:t xml:space="preserve"> </w:t>
            </w:r>
          </w:p>
          <w:p w14:paraId="01D293F9" w14:textId="77777777" w:rsidR="00B106C9" w:rsidRPr="001552C6" w:rsidRDefault="00B106C9" w:rsidP="00072BDF">
            <w:pPr>
              <w:spacing w:before="160" w:after="160"/>
              <w:rPr>
                <w:rFonts w:asciiTheme="majorHAnsi" w:hAnsiTheme="majorHAnsi" w:cstheme="majorHAnsi"/>
                <w:b w:val="0"/>
                <w:bCs/>
                <w:sz w:val="20"/>
                <w:szCs w:val="20"/>
              </w:rPr>
            </w:pPr>
            <w:r w:rsidRPr="001552C6">
              <w:rPr>
                <w:rFonts w:asciiTheme="majorHAnsi" w:hAnsiTheme="majorHAnsi" w:cstheme="majorHAnsi"/>
                <w:b w:val="0"/>
                <w:bCs/>
                <w:sz w:val="20"/>
                <w:szCs w:val="20"/>
              </w:rPr>
              <w:t xml:space="preserve">The STRP welcomes the inclusion of the </w:t>
            </w:r>
            <w:r w:rsidRPr="001552C6">
              <w:rPr>
                <w:rFonts w:asciiTheme="majorHAnsi" w:hAnsiTheme="majorHAnsi" w:cstheme="majorHAnsi"/>
                <w:b w:val="0"/>
                <w:bCs/>
                <w:i/>
                <w:iCs/>
                <w:sz w:val="20"/>
                <w:szCs w:val="20"/>
              </w:rPr>
              <w:t>Ramsar Management Effectiveness Tracking Tool (R-METT)</w:t>
            </w:r>
            <w:r w:rsidRPr="001552C6">
              <w:rPr>
                <w:rFonts w:asciiTheme="majorHAnsi" w:hAnsiTheme="majorHAnsi" w:cstheme="majorHAnsi"/>
                <w:b w:val="0"/>
                <w:bCs/>
                <w:sz w:val="20"/>
                <w:szCs w:val="20"/>
              </w:rPr>
              <w:t xml:space="preserve"> as a complementary indicator. In addition, the following </w:t>
            </w:r>
            <w:r w:rsidRPr="001552C6">
              <w:rPr>
                <w:rFonts w:asciiTheme="majorHAnsi" w:hAnsiTheme="majorHAnsi" w:cstheme="majorHAnsi"/>
                <w:b w:val="0"/>
                <w:bCs/>
                <w:sz w:val="20"/>
                <w:szCs w:val="20"/>
              </w:rPr>
              <w:lastRenderedPageBreak/>
              <w:t>complementary indicators listed in Decision 15/5 under Target 3 are important for inland waters and coastal wetlands as they can be disaggregated by ecosystem type.</w:t>
            </w:r>
          </w:p>
          <w:p w14:paraId="06836072" w14:textId="77777777" w:rsidR="00B106C9" w:rsidRPr="001552C6" w:rsidRDefault="00B106C9" w:rsidP="00DA59A8">
            <w:pPr>
              <w:pStyle w:val="ListParagraph"/>
              <w:numPr>
                <w:ilvl w:val="0"/>
                <w:numId w:val="28"/>
              </w:numPr>
              <w:spacing w:before="160" w:after="160"/>
              <w:ind w:left="320" w:hanging="320"/>
              <w:rPr>
                <w:rFonts w:asciiTheme="majorHAnsi" w:eastAsia="Times New Roman" w:hAnsiTheme="majorHAnsi" w:cstheme="majorHAnsi"/>
                <w:b w:val="0"/>
                <w:bCs/>
                <w:sz w:val="20"/>
                <w:szCs w:val="20"/>
                <w:lang w:eastAsia="en-GB"/>
              </w:rPr>
            </w:pPr>
            <w:r w:rsidRPr="001552C6">
              <w:rPr>
                <w:rFonts w:asciiTheme="majorHAnsi" w:eastAsia="Times New Roman" w:hAnsiTheme="majorHAnsi" w:cstheme="majorHAnsi"/>
                <w:b w:val="0"/>
                <w:bCs/>
                <w:sz w:val="20"/>
                <w:szCs w:val="20"/>
                <w:lang w:eastAsia="en-GB"/>
              </w:rPr>
              <w:t>IUCN Green List of Protected and Conserved Areas (ID 1072)</w:t>
            </w:r>
          </w:p>
          <w:p w14:paraId="7917B69A" w14:textId="77777777" w:rsidR="00B106C9" w:rsidRPr="001552C6" w:rsidRDefault="00B106C9" w:rsidP="00DA59A8">
            <w:pPr>
              <w:pStyle w:val="ListParagraph"/>
              <w:numPr>
                <w:ilvl w:val="0"/>
                <w:numId w:val="28"/>
              </w:numPr>
              <w:spacing w:before="160" w:after="160"/>
              <w:ind w:left="320" w:hanging="320"/>
              <w:rPr>
                <w:rFonts w:asciiTheme="majorHAnsi" w:eastAsia="Times New Roman" w:hAnsiTheme="majorHAnsi" w:cstheme="majorHAnsi"/>
                <w:b w:val="0"/>
                <w:bCs/>
                <w:sz w:val="20"/>
                <w:szCs w:val="20"/>
                <w:lang w:eastAsia="en-GB"/>
              </w:rPr>
            </w:pPr>
            <w:r w:rsidRPr="001552C6">
              <w:rPr>
                <w:rFonts w:asciiTheme="majorHAnsi" w:eastAsia="Times New Roman" w:hAnsiTheme="majorHAnsi" w:cstheme="majorHAnsi"/>
                <w:b w:val="0"/>
                <w:bCs/>
                <w:sz w:val="20"/>
                <w:szCs w:val="20"/>
                <w:lang w:eastAsia="en-GB"/>
              </w:rPr>
              <w:t>Extent to which protected areas and other effective area-based conservation measures cover key biodiversity areas that are important for migratory species (ID 1077).</w:t>
            </w:r>
          </w:p>
          <w:p w14:paraId="1DC523D4" w14:textId="77777777" w:rsidR="00B106C9" w:rsidRPr="001552C6"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1552C6">
              <w:rPr>
                <w:rFonts w:asciiTheme="majorHAnsi" w:eastAsia="Times New Roman" w:hAnsiTheme="majorHAnsi" w:cstheme="majorHAnsi"/>
                <w:b w:val="0"/>
                <w:bCs/>
                <w:sz w:val="20"/>
                <w:szCs w:val="20"/>
                <w:lang w:eastAsia="en-GB"/>
              </w:rPr>
              <w:t>Red List of Ecosystems (again, with the caveat that it should be used with Protected Area coverage disaggregated by inland waters and marine and coastal</w:t>
            </w:r>
            <w:r w:rsidRPr="001552C6">
              <w:rPr>
                <w:rFonts w:asciiTheme="majorHAnsi" w:hAnsiTheme="majorHAnsi" w:cstheme="majorHAnsi"/>
                <w:b w:val="0"/>
                <w:bCs/>
                <w:kern w:val="2"/>
                <w:sz w:val="20"/>
                <w:szCs w:val="20"/>
                <w14:ligatures w14:val="standardContextual"/>
              </w:rPr>
              <w:t xml:space="preserve"> wetlands as covered by the Convention on Wetlands definition of wetlands) (ID 1084 – noting this is listed multiple times and has multiple ID numbers).</w:t>
            </w:r>
          </w:p>
        </w:tc>
      </w:tr>
    </w:tbl>
    <w:p w14:paraId="1FBBD826" w14:textId="4889F37F" w:rsidR="00B106C9" w:rsidRPr="006A74B8" w:rsidRDefault="00B106C9" w:rsidP="006A74B8">
      <w:pPr>
        <w:pBdr>
          <w:top w:val="nil"/>
          <w:left w:val="nil"/>
          <w:bottom w:val="nil"/>
          <w:right w:val="nil"/>
          <w:between w:val="nil"/>
        </w:pBdr>
        <w:ind w:left="425" w:hanging="425"/>
        <w:rPr>
          <w:rFonts w:asciiTheme="majorHAnsi" w:eastAsia="Calibri" w:hAnsiTheme="majorHAnsi" w:cstheme="majorHAnsi"/>
          <w:color w:val="000000"/>
          <w:sz w:val="22"/>
          <w:szCs w:val="22"/>
        </w:rPr>
      </w:pPr>
    </w:p>
    <w:p w14:paraId="045FF1AA" w14:textId="4576AC0D" w:rsidR="00B106C9" w:rsidRPr="006A74B8" w:rsidRDefault="006A74B8" w:rsidP="006A74B8">
      <w:pPr>
        <w:pBdr>
          <w:top w:val="nil"/>
          <w:left w:val="nil"/>
          <w:bottom w:val="nil"/>
          <w:right w:val="nil"/>
          <w:between w:val="nil"/>
        </w:pBdr>
        <w:ind w:left="425" w:hanging="425"/>
        <w:rPr>
          <w:rFonts w:asciiTheme="majorHAnsi" w:eastAsia="Calibri" w:hAnsiTheme="majorHAnsi" w:cstheme="majorHAnsi"/>
          <w:sz w:val="22"/>
          <w:szCs w:val="22"/>
        </w:rPr>
      </w:pPr>
      <w:r>
        <w:rPr>
          <w:rFonts w:asciiTheme="majorHAnsi" w:eastAsia="Calibri" w:hAnsiTheme="majorHAnsi" w:cstheme="majorHAnsi"/>
          <w:color w:val="000000"/>
          <w:sz w:val="22"/>
          <w:szCs w:val="22"/>
        </w:rPr>
        <w:t>23.</w:t>
      </w:r>
      <w:r>
        <w:rPr>
          <w:rFonts w:asciiTheme="majorHAnsi" w:eastAsia="Calibri" w:hAnsiTheme="majorHAnsi" w:cstheme="majorHAnsi"/>
          <w:color w:val="000000"/>
          <w:sz w:val="22"/>
          <w:szCs w:val="22"/>
        </w:rPr>
        <w:tab/>
      </w:r>
      <w:r w:rsidR="00B106C9" w:rsidRPr="006A74B8">
        <w:rPr>
          <w:rFonts w:asciiTheme="majorHAnsi" w:eastAsia="Calibri" w:hAnsiTheme="majorHAnsi" w:cstheme="majorHAnsi"/>
          <w:b/>
          <w:bCs/>
          <w:color w:val="000000"/>
          <w:sz w:val="22"/>
          <w:szCs w:val="22"/>
        </w:rPr>
        <w:t>Target 5</w:t>
      </w:r>
      <w:r w:rsidR="00B106C9" w:rsidRPr="006A74B8">
        <w:rPr>
          <w:rFonts w:asciiTheme="majorHAnsi" w:eastAsia="Calibri" w:hAnsiTheme="majorHAnsi" w:cstheme="majorHAnsi"/>
          <w:color w:val="000000"/>
          <w:sz w:val="22"/>
          <w:szCs w:val="22"/>
        </w:rPr>
        <w:t xml:space="preserve">: </w:t>
      </w:r>
      <w:r w:rsidR="00B106C9" w:rsidRPr="006A74B8">
        <w:rPr>
          <w:rFonts w:asciiTheme="majorHAnsi" w:eastAsia="Calibri" w:hAnsiTheme="majorHAnsi" w:cstheme="majorHAnsi"/>
          <w:i/>
          <w:iCs/>
          <w:sz w:val="22"/>
          <w:szCs w:val="22"/>
        </w:rPr>
        <w:t>Ensure that the use, harvesting and trade of wild species is sustainable, safe and legal, preventing overexploitation, minimizing impacts on non-target species and ecosystems, and reducing the risk of pathogen spill-over, applying the ecosystem approach, while respecting and protecting customary sustainable use by indigenous peoples and local communities</w:t>
      </w:r>
      <w:r w:rsidR="00B106C9" w:rsidRPr="006A74B8">
        <w:rPr>
          <w:rFonts w:asciiTheme="majorHAnsi" w:eastAsia="Calibri" w:hAnsiTheme="majorHAnsi" w:cstheme="majorHAnsi"/>
          <w:sz w:val="22"/>
          <w:szCs w:val="22"/>
        </w:rPr>
        <w:t>.</w:t>
      </w:r>
    </w:p>
    <w:p w14:paraId="5A8DFE0D" w14:textId="77777777" w:rsidR="006A74B8" w:rsidRPr="006A74B8" w:rsidRDefault="006A74B8" w:rsidP="006A74B8">
      <w:pPr>
        <w:pBdr>
          <w:top w:val="nil"/>
          <w:left w:val="nil"/>
          <w:bottom w:val="nil"/>
          <w:right w:val="nil"/>
          <w:between w:val="nil"/>
        </w:pBdr>
        <w:ind w:left="425" w:hanging="425"/>
        <w:rPr>
          <w:rFonts w:asciiTheme="majorHAnsi" w:eastAsia="Calibri" w:hAnsiTheme="majorHAnsi" w:cstheme="majorHAnsi"/>
          <w:color w:val="000000"/>
          <w:sz w:val="22"/>
          <w:szCs w:val="22"/>
        </w:rPr>
      </w:pPr>
    </w:p>
    <w:tbl>
      <w:tblPr>
        <w:tblStyle w:val="TableGrid"/>
        <w:tblW w:w="0" w:type="auto"/>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1921"/>
        <w:gridCol w:w="7086"/>
      </w:tblGrid>
      <w:tr w:rsidR="00B106C9" w:rsidRPr="006A74B8" w14:paraId="145A053D" w14:textId="77777777" w:rsidTr="00072BDF">
        <w:trPr>
          <w:trHeight w:val="603"/>
        </w:trPr>
        <w:tc>
          <w:tcPr>
            <w:tcW w:w="1921" w:type="dxa"/>
            <w:hideMark/>
          </w:tcPr>
          <w:p w14:paraId="6FC6C1A6" w14:textId="77777777" w:rsidR="00B106C9" w:rsidRPr="006A74B8" w:rsidRDefault="00B106C9" w:rsidP="00072BDF">
            <w:pPr>
              <w:spacing w:before="160"/>
              <w:rPr>
                <w:rFonts w:asciiTheme="majorHAnsi" w:hAnsiTheme="majorHAnsi" w:cstheme="majorHAnsi"/>
                <w:b w:val="0"/>
                <w:bCs/>
                <w:sz w:val="20"/>
                <w:szCs w:val="20"/>
              </w:rPr>
            </w:pPr>
            <w:r w:rsidRPr="006A74B8">
              <w:rPr>
                <w:rFonts w:asciiTheme="majorHAnsi" w:hAnsiTheme="majorHAnsi" w:cstheme="majorHAnsi"/>
                <w:bCs/>
                <w:sz w:val="20"/>
                <w:szCs w:val="20"/>
              </w:rPr>
              <w:t>Headline indicator</w:t>
            </w:r>
          </w:p>
        </w:tc>
        <w:tc>
          <w:tcPr>
            <w:tcW w:w="7087" w:type="dxa"/>
            <w:hideMark/>
          </w:tcPr>
          <w:p w14:paraId="36FFF4AB" w14:textId="77777777" w:rsidR="00B106C9" w:rsidRPr="006A74B8" w:rsidRDefault="00B106C9" w:rsidP="00072BDF">
            <w:pPr>
              <w:spacing w:before="160" w:after="160"/>
              <w:rPr>
                <w:rFonts w:asciiTheme="majorHAnsi" w:hAnsiTheme="majorHAnsi" w:cstheme="majorHAnsi"/>
                <w:b w:val="0"/>
                <w:bCs/>
                <w:sz w:val="20"/>
                <w:szCs w:val="20"/>
              </w:rPr>
            </w:pPr>
            <w:r w:rsidRPr="006A74B8">
              <w:rPr>
                <w:rFonts w:asciiTheme="majorHAnsi" w:hAnsiTheme="majorHAnsi" w:cstheme="majorHAnsi"/>
                <w:b w:val="0"/>
                <w:bCs/>
                <w:sz w:val="20"/>
                <w:szCs w:val="20"/>
              </w:rPr>
              <w:t>5.1 Proportion of fish stocks within biologically sustainable levels</w:t>
            </w:r>
          </w:p>
        </w:tc>
      </w:tr>
      <w:tr w:rsidR="00B106C9" w:rsidRPr="006A74B8" w14:paraId="3E5F1EC4" w14:textId="77777777" w:rsidTr="00072BDF">
        <w:tc>
          <w:tcPr>
            <w:tcW w:w="1921" w:type="dxa"/>
            <w:hideMark/>
          </w:tcPr>
          <w:p w14:paraId="5C87A2B7" w14:textId="77777777" w:rsidR="00B106C9" w:rsidRPr="006A74B8" w:rsidRDefault="00B106C9" w:rsidP="00072BDF">
            <w:pPr>
              <w:spacing w:before="160" w:after="160"/>
              <w:rPr>
                <w:rFonts w:asciiTheme="majorHAnsi" w:hAnsiTheme="majorHAnsi" w:cstheme="majorHAnsi"/>
                <w:b w:val="0"/>
                <w:bCs/>
                <w:sz w:val="20"/>
                <w:szCs w:val="20"/>
              </w:rPr>
            </w:pPr>
            <w:r w:rsidRPr="006A74B8">
              <w:rPr>
                <w:rFonts w:asciiTheme="majorHAnsi" w:hAnsiTheme="majorHAnsi" w:cstheme="majorHAnsi"/>
                <w:bCs/>
                <w:sz w:val="20"/>
                <w:szCs w:val="20"/>
              </w:rPr>
              <w:t xml:space="preserve">Sufficiency of </w:t>
            </w:r>
            <w:r w:rsidRPr="006A74B8">
              <w:rPr>
                <w:rFonts w:asciiTheme="majorHAnsi" w:hAnsiTheme="majorHAnsi" w:cstheme="majorHAnsi"/>
                <w:bCs/>
                <w:sz w:val="20"/>
                <w:szCs w:val="20"/>
              </w:rPr>
              <w:br/>
              <w:t xml:space="preserve">the indicator </w:t>
            </w:r>
            <w:r w:rsidRPr="006A74B8">
              <w:rPr>
                <w:rFonts w:asciiTheme="majorHAnsi" w:hAnsiTheme="majorHAnsi" w:cstheme="majorHAnsi"/>
                <w:bCs/>
                <w:sz w:val="20"/>
                <w:szCs w:val="20"/>
              </w:rPr>
              <w:br/>
              <w:t>for wetlands</w:t>
            </w:r>
          </w:p>
        </w:tc>
        <w:tc>
          <w:tcPr>
            <w:tcW w:w="7087" w:type="dxa"/>
          </w:tcPr>
          <w:p w14:paraId="5A7A311A" w14:textId="77777777" w:rsidR="00B106C9" w:rsidRPr="006A74B8" w:rsidRDefault="00B106C9" w:rsidP="00072BDF">
            <w:pPr>
              <w:spacing w:before="160" w:after="160"/>
              <w:rPr>
                <w:rFonts w:asciiTheme="majorHAnsi" w:hAnsiTheme="majorHAnsi" w:cstheme="majorHAnsi"/>
                <w:b w:val="0"/>
                <w:bCs/>
                <w:sz w:val="20"/>
                <w:szCs w:val="20"/>
              </w:rPr>
            </w:pPr>
            <w:r w:rsidRPr="006A74B8">
              <w:rPr>
                <w:rFonts w:asciiTheme="majorHAnsi" w:hAnsiTheme="majorHAnsi" w:cstheme="majorHAnsi"/>
                <w:b w:val="0"/>
                <w:bCs/>
                <w:sz w:val="20"/>
                <w:szCs w:val="20"/>
              </w:rPr>
              <w:t xml:space="preserve">Indicator 5.1 is not sufficient to track progress towards achieving Target 5. There are significant gaps to be able to track progress against this target using the currently identified headline indicator 5.1, particularly for inland fisheries. </w:t>
            </w:r>
          </w:p>
          <w:p w14:paraId="1CBA9E7F" w14:textId="77777777" w:rsidR="00B106C9" w:rsidRPr="006A74B8" w:rsidRDefault="00B106C9" w:rsidP="00072BDF">
            <w:pPr>
              <w:spacing w:before="160" w:after="160"/>
              <w:rPr>
                <w:rFonts w:asciiTheme="majorHAnsi" w:hAnsiTheme="majorHAnsi" w:cstheme="majorHAnsi"/>
                <w:b w:val="0"/>
                <w:bCs/>
                <w:sz w:val="20"/>
                <w:szCs w:val="20"/>
              </w:rPr>
            </w:pPr>
            <w:r w:rsidRPr="006A74B8">
              <w:rPr>
                <w:rFonts w:asciiTheme="majorHAnsi" w:hAnsiTheme="majorHAnsi" w:cstheme="majorHAnsi"/>
                <w:b w:val="0"/>
                <w:bCs/>
                <w:sz w:val="20"/>
                <w:szCs w:val="20"/>
              </w:rPr>
              <w:t xml:space="preserve">In reviewing the metadata, this indicator is only capable of tracking progress for selected marine fishery resources leaving a gap for tracking many components of this target. Indicator 5.1 takes no account of harvesting and trade of fish within inland fisheries nor the harvesting of any other types of animal and plant target or non-target species and is therefore entirely insufficient for inland waters and coastal wetlands. Inland fisheries alone represent around </w:t>
            </w:r>
            <w:hyperlink r:id="rId37" w:history="1">
              <w:r w:rsidRPr="006A74B8">
                <w:rPr>
                  <w:rStyle w:val="Hyperlink"/>
                  <w:rFonts w:asciiTheme="majorHAnsi" w:hAnsiTheme="majorHAnsi" w:cstheme="majorHAnsi"/>
                  <w:b w:val="0"/>
                  <w:bCs/>
                  <w:sz w:val="20"/>
                  <w:szCs w:val="20"/>
                </w:rPr>
                <w:t>12% of total global fisheries</w:t>
              </w:r>
            </w:hyperlink>
            <w:r w:rsidRPr="006A74B8">
              <w:rPr>
                <w:rFonts w:asciiTheme="majorHAnsi" w:hAnsiTheme="majorHAnsi" w:cstheme="majorHAnsi"/>
                <w:b w:val="0"/>
                <w:bCs/>
                <w:sz w:val="20"/>
                <w:szCs w:val="20"/>
              </w:rPr>
              <w:t xml:space="preserve"> production. </w:t>
            </w:r>
          </w:p>
        </w:tc>
      </w:tr>
      <w:tr w:rsidR="00B106C9" w:rsidRPr="006A74B8" w14:paraId="735EA3F5" w14:textId="77777777" w:rsidTr="00072BDF">
        <w:tc>
          <w:tcPr>
            <w:tcW w:w="1921" w:type="dxa"/>
            <w:hideMark/>
          </w:tcPr>
          <w:p w14:paraId="622C1A9F" w14:textId="77777777" w:rsidR="00B106C9" w:rsidRPr="006A74B8" w:rsidRDefault="00B106C9" w:rsidP="00072BDF">
            <w:pPr>
              <w:spacing w:before="160" w:after="160"/>
              <w:rPr>
                <w:rFonts w:asciiTheme="majorHAnsi" w:hAnsiTheme="majorHAnsi" w:cstheme="majorHAnsi"/>
                <w:b w:val="0"/>
                <w:bCs/>
                <w:sz w:val="20"/>
                <w:szCs w:val="20"/>
              </w:rPr>
            </w:pPr>
            <w:r w:rsidRPr="006A74B8">
              <w:rPr>
                <w:rFonts w:asciiTheme="majorHAnsi" w:hAnsiTheme="majorHAnsi" w:cstheme="majorHAnsi"/>
                <w:bCs/>
                <w:sz w:val="20"/>
                <w:szCs w:val="20"/>
              </w:rPr>
              <w:t>Recommendations for metadata</w:t>
            </w:r>
          </w:p>
        </w:tc>
        <w:tc>
          <w:tcPr>
            <w:tcW w:w="7087" w:type="dxa"/>
            <w:hideMark/>
          </w:tcPr>
          <w:p w14:paraId="5106224C" w14:textId="77777777" w:rsidR="00B106C9" w:rsidRPr="006A74B8" w:rsidRDefault="00B106C9" w:rsidP="00072BDF">
            <w:pPr>
              <w:spacing w:before="160" w:after="160"/>
              <w:rPr>
                <w:rFonts w:asciiTheme="majorHAnsi" w:hAnsiTheme="majorHAnsi" w:cstheme="majorHAnsi"/>
                <w:b w:val="0"/>
                <w:bCs/>
                <w:sz w:val="20"/>
                <w:szCs w:val="20"/>
              </w:rPr>
            </w:pPr>
            <w:r w:rsidRPr="006A74B8">
              <w:rPr>
                <w:rFonts w:asciiTheme="majorHAnsi" w:hAnsiTheme="majorHAnsi" w:cstheme="majorHAnsi"/>
                <w:b w:val="0"/>
                <w:bCs/>
                <w:sz w:val="20"/>
                <w:szCs w:val="20"/>
              </w:rPr>
              <w:t>The current disaggregation of this headline indicator bears no relevance to inland waters as they are entirely excluded.</w:t>
            </w:r>
          </w:p>
        </w:tc>
      </w:tr>
      <w:tr w:rsidR="00B106C9" w:rsidRPr="006A74B8" w14:paraId="0452940D" w14:textId="77777777" w:rsidTr="00072BDF">
        <w:tc>
          <w:tcPr>
            <w:tcW w:w="1921" w:type="dxa"/>
            <w:hideMark/>
          </w:tcPr>
          <w:p w14:paraId="10C4F2DB" w14:textId="77777777" w:rsidR="00B106C9" w:rsidRPr="006A74B8" w:rsidRDefault="00B106C9" w:rsidP="00072BDF">
            <w:pPr>
              <w:spacing w:before="160" w:after="160"/>
              <w:rPr>
                <w:rFonts w:asciiTheme="majorHAnsi" w:hAnsiTheme="majorHAnsi" w:cstheme="majorHAnsi"/>
                <w:b w:val="0"/>
                <w:bCs/>
                <w:sz w:val="20"/>
                <w:szCs w:val="20"/>
              </w:rPr>
            </w:pPr>
            <w:r w:rsidRPr="006A74B8">
              <w:rPr>
                <w:rFonts w:asciiTheme="majorHAnsi" w:hAnsiTheme="majorHAnsi" w:cstheme="majorHAnsi"/>
                <w:bCs/>
                <w:sz w:val="20"/>
                <w:szCs w:val="20"/>
              </w:rPr>
              <w:t>Recommendations on data flows / sources to fill the gap</w:t>
            </w:r>
          </w:p>
        </w:tc>
        <w:tc>
          <w:tcPr>
            <w:tcW w:w="7087" w:type="dxa"/>
            <w:hideMark/>
          </w:tcPr>
          <w:p w14:paraId="6EA570FB" w14:textId="77777777" w:rsidR="00B106C9" w:rsidRPr="006A74B8"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6A74B8">
              <w:rPr>
                <w:rFonts w:asciiTheme="majorHAnsi" w:hAnsiTheme="majorHAnsi" w:cstheme="majorHAnsi"/>
                <w:b w:val="0"/>
                <w:bCs/>
                <w:sz w:val="20"/>
                <w:szCs w:val="20"/>
              </w:rPr>
              <w:t xml:space="preserve">The STRP support inclusion of an </w:t>
            </w:r>
            <w:hyperlink r:id="rId38" w:history="1">
              <w:r w:rsidRPr="006A74B8">
                <w:rPr>
                  <w:rStyle w:val="Hyperlink"/>
                  <w:rFonts w:asciiTheme="majorHAnsi" w:hAnsiTheme="majorHAnsi" w:cstheme="majorHAnsi"/>
                  <w:b w:val="0"/>
                  <w:bCs/>
                  <w:sz w:val="20"/>
                  <w:szCs w:val="20"/>
                </w:rPr>
                <w:t>indicator for assessing threats to inland fisheries</w:t>
              </w:r>
            </w:hyperlink>
            <w:r w:rsidRPr="006A74B8">
              <w:rPr>
                <w:rFonts w:asciiTheme="majorHAnsi" w:hAnsiTheme="majorHAnsi" w:cstheme="majorHAnsi"/>
                <w:b w:val="0"/>
                <w:bCs/>
                <w:sz w:val="20"/>
                <w:szCs w:val="20"/>
              </w:rPr>
              <w:t xml:space="preserve"> as </w:t>
            </w:r>
            <w:r w:rsidRPr="006A74B8">
              <w:rPr>
                <w:rFonts w:asciiTheme="majorHAnsi" w:eastAsia="Times New Roman" w:hAnsiTheme="majorHAnsi" w:cstheme="majorHAnsi"/>
                <w:b w:val="0"/>
                <w:bCs/>
                <w:sz w:val="20"/>
                <w:szCs w:val="20"/>
                <w:lang w:eastAsia="en-GB"/>
              </w:rPr>
              <w:t>proposed</w:t>
            </w:r>
            <w:r w:rsidRPr="006A74B8">
              <w:rPr>
                <w:rFonts w:asciiTheme="majorHAnsi" w:hAnsiTheme="majorHAnsi" w:cstheme="majorHAnsi"/>
                <w:b w:val="0"/>
                <w:bCs/>
                <w:sz w:val="20"/>
                <w:szCs w:val="20"/>
              </w:rPr>
              <w:t xml:space="preserve"> by the Food and Agriculture Organization of the United Nations (</w:t>
            </w:r>
            <w:r w:rsidRPr="006A74B8">
              <w:rPr>
                <w:rFonts w:asciiTheme="majorHAnsi" w:eastAsia="Times New Roman" w:hAnsiTheme="majorHAnsi" w:cstheme="majorHAnsi"/>
                <w:b w:val="0"/>
                <w:bCs/>
                <w:sz w:val="20"/>
                <w:szCs w:val="20"/>
                <w:lang w:eastAsia="en-GB"/>
              </w:rPr>
              <w:t>FAO</w:t>
            </w:r>
            <w:r w:rsidRPr="006A74B8">
              <w:rPr>
                <w:rFonts w:asciiTheme="majorHAnsi" w:hAnsiTheme="majorHAnsi" w:cstheme="majorHAnsi"/>
                <w:b w:val="0"/>
                <w:bCs/>
                <w:sz w:val="20"/>
                <w:szCs w:val="20"/>
              </w:rPr>
              <w:t>) and the United States Geological Survey (USGS), and recommends this is reviewed by the AHETG as a measure to address the gap for inland waters.</w:t>
            </w:r>
          </w:p>
          <w:p w14:paraId="5BEC3A94" w14:textId="77777777" w:rsidR="00B106C9" w:rsidRPr="006A74B8"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6A74B8">
              <w:rPr>
                <w:rFonts w:asciiTheme="majorHAnsi" w:hAnsiTheme="majorHAnsi" w:cstheme="majorHAnsi"/>
                <w:b w:val="0"/>
                <w:bCs/>
                <w:sz w:val="20"/>
                <w:szCs w:val="20"/>
              </w:rPr>
              <w:t xml:space="preserve">The Convention on Wetlands has published a </w:t>
            </w:r>
            <w:hyperlink r:id="rId39" w:history="1">
              <w:r w:rsidRPr="006A74B8">
                <w:rPr>
                  <w:rStyle w:val="Hyperlink"/>
                  <w:rFonts w:asciiTheme="majorHAnsi" w:hAnsiTheme="majorHAnsi" w:cstheme="majorHAnsi"/>
                  <w:b w:val="0"/>
                  <w:bCs/>
                  <w:sz w:val="20"/>
                  <w:szCs w:val="20"/>
                </w:rPr>
                <w:t>wetland disease manual</w:t>
              </w:r>
            </w:hyperlink>
            <w:r w:rsidRPr="006A74B8">
              <w:rPr>
                <w:rFonts w:asciiTheme="majorHAnsi" w:hAnsiTheme="majorHAnsi" w:cstheme="majorHAnsi"/>
                <w:b w:val="0"/>
                <w:bCs/>
                <w:sz w:val="20"/>
                <w:szCs w:val="20"/>
              </w:rPr>
              <w:t xml:space="preserve">, that provides guidance for the assessment, monitoring and management of a monitoring framework to support understanding health management in </w:t>
            </w:r>
            <w:r w:rsidRPr="006A74B8">
              <w:rPr>
                <w:rFonts w:asciiTheme="majorHAnsi" w:eastAsia="Times New Roman" w:hAnsiTheme="majorHAnsi" w:cstheme="majorHAnsi"/>
                <w:b w:val="0"/>
                <w:bCs/>
                <w:sz w:val="20"/>
                <w:szCs w:val="20"/>
                <w:lang w:eastAsia="en-GB"/>
              </w:rPr>
              <w:t>inland</w:t>
            </w:r>
            <w:r w:rsidRPr="006A74B8">
              <w:rPr>
                <w:rFonts w:asciiTheme="majorHAnsi" w:hAnsiTheme="majorHAnsi" w:cstheme="majorHAnsi"/>
                <w:b w:val="0"/>
                <w:bCs/>
                <w:sz w:val="20"/>
                <w:szCs w:val="20"/>
              </w:rPr>
              <w:t xml:space="preserve"> waters and coastal wetlands </w:t>
            </w:r>
            <w:r w:rsidRPr="006A74B8">
              <w:rPr>
                <w:rFonts w:asciiTheme="majorHAnsi" w:eastAsia="Times New Roman" w:hAnsiTheme="majorHAnsi" w:cstheme="majorHAnsi"/>
                <w:b w:val="0"/>
                <w:bCs/>
                <w:sz w:val="20"/>
                <w:szCs w:val="20"/>
                <w:lang w:eastAsia="en-GB"/>
              </w:rPr>
              <w:t>that</w:t>
            </w:r>
            <w:r w:rsidRPr="006A74B8">
              <w:rPr>
                <w:rFonts w:asciiTheme="majorHAnsi" w:hAnsiTheme="majorHAnsi" w:cstheme="majorHAnsi"/>
                <w:b w:val="0"/>
                <w:bCs/>
                <w:sz w:val="20"/>
                <w:szCs w:val="20"/>
              </w:rPr>
              <w:t xml:space="preserve"> could contribute to future complementary or component indicators in respect of the sustainable management of fisheries.</w:t>
            </w:r>
          </w:p>
          <w:p w14:paraId="1090211A" w14:textId="77777777" w:rsidR="00B106C9" w:rsidRPr="006A74B8" w:rsidRDefault="00B106C9" w:rsidP="00DA59A8">
            <w:pPr>
              <w:pStyle w:val="ListParagraph"/>
              <w:numPr>
                <w:ilvl w:val="0"/>
                <w:numId w:val="28"/>
              </w:numPr>
              <w:spacing w:before="160" w:after="160"/>
              <w:ind w:left="320" w:hanging="320"/>
              <w:rPr>
                <w:rFonts w:asciiTheme="majorHAnsi" w:hAnsiTheme="majorHAnsi" w:cstheme="majorHAnsi"/>
                <w:b w:val="0"/>
                <w:bCs/>
                <w:color w:val="000000"/>
                <w:kern w:val="2"/>
                <w:sz w:val="20"/>
                <w:szCs w:val="20"/>
                <w:lang w:val="en-US"/>
                <w14:ligatures w14:val="standardContextual"/>
              </w:rPr>
            </w:pPr>
            <w:r w:rsidRPr="006A74B8">
              <w:rPr>
                <w:rStyle w:val="normaltextrun"/>
                <w:rFonts w:asciiTheme="majorHAnsi" w:hAnsiTheme="majorHAnsi" w:cstheme="majorHAnsi"/>
                <w:b w:val="0"/>
                <w:bCs/>
                <w:color w:val="000000"/>
                <w:kern w:val="2"/>
                <w:position w:val="1"/>
                <w:sz w:val="20"/>
                <w:szCs w:val="20"/>
                <w:lang w:val="en-US"/>
                <w14:ligatures w14:val="standardContextual"/>
              </w:rPr>
              <w:t xml:space="preserve">At a regional scale it is noted that under the EU Habitats Directive, EU Member States are required to report against </w:t>
            </w:r>
            <w:hyperlink r:id="rId40" w:anchor=":~:text=Albanian%20(sq)-,Annex%20V%3A%20animal%20and%20plant%20species%20of%20community%20interest%20whose,be%20subject%20to%20management%20measures." w:tgtFrame="_blank" w:history="1">
              <w:r w:rsidRPr="006A74B8">
                <w:rPr>
                  <w:rStyle w:val="normaltextrun"/>
                  <w:rFonts w:asciiTheme="majorHAnsi" w:hAnsiTheme="majorHAnsi" w:cstheme="majorHAnsi"/>
                  <w:b w:val="0"/>
                  <w:bCs/>
                  <w:color w:val="0563C1"/>
                  <w:kern w:val="2"/>
                  <w:position w:val="1"/>
                  <w:sz w:val="20"/>
                  <w:szCs w:val="20"/>
                  <w:u w:val="single"/>
                  <w:lang w:val="en-US"/>
                  <w14:ligatures w14:val="standardContextual"/>
                </w:rPr>
                <w:t>Annex V</w:t>
              </w:r>
            </w:hyperlink>
            <w:r w:rsidRPr="006A74B8">
              <w:rPr>
                <w:rStyle w:val="normaltextrun"/>
                <w:rFonts w:asciiTheme="majorHAnsi" w:hAnsiTheme="majorHAnsi" w:cstheme="majorHAnsi"/>
                <w:b w:val="0"/>
                <w:bCs/>
                <w:color w:val="000000"/>
                <w:kern w:val="2"/>
                <w:position w:val="1"/>
                <w:sz w:val="20"/>
                <w:szCs w:val="20"/>
                <w:lang w:val="en-US"/>
                <w14:ligatures w14:val="standardContextual"/>
              </w:rPr>
              <w:t xml:space="preserve"> species (i.e. </w:t>
            </w:r>
            <w:r w:rsidRPr="006A74B8">
              <w:rPr>
                <w:rStyle w:val="normaltextrun"/>
                <w:rFonts w:asciiTheme="majorHAnsi" w:hAnsiTheme="majorHAnsi" w:cstheme="majorHAnsi"/>
                <w:b w:val="0"/>
                <w:bCs/>
                <w:color w:val="040C28"/>
                <w:kern w:val="2"/>
                <w:sz w:val="20"/>
                <w:szCs w:val="20"/>
                <w:lang w:val="en-US"/>
                <w14:ligatures w14:val="standardContextual"/>
              </w:rPr>
              <w:t xml:space="preserve">animal and plant species whose taking in the wild and exploitation </w:t>
            </w:r>
            <w:r w:rsidRPr="006A74B8">
              <w:rPr>
                <w:rFonts w:asciiTheme="majorHAnsi" w:eastAsia="Times New Roman" w:hAnsiTheme="majorHAnsi" w:cstheme="majorHAnsi"/>
                <w:b w:val="0"/>
                <w:bCs/>
                <w:sz w:val="20"/>
                <w:szCs w:val="20"/>
                <w:lang w:eastAsia="en-GB"/>
              </w:rPr>
              <w:t>may</w:t>
            </w:r>
            <w:r w:rsidRPr="006A74B8">
              <w:rPr>
                <w:rStyle w:val="normaltextrun"/>
                <w:rFonts w:asciiTheme="majorHAnsi" w:hAnsiTheme="majorHAnsi" w:cstheme="majorHAnsi"/>
                <w:b w:val="0"/>
                <w:bCs/>
                <w:color w:val="040C28"/>
                <w:kern w:val="2"/>
                <w:sz w:val="20"/>
                <w:szCs w:val="20"/>
                <w:lang w:val="en-US"/>
                <w14:ligatures w14:val="standardContextual"/>
              </w:rPr>
              <w:t xml:space="preserve"> be subject</w:t>
            </w:r>
            <w:r w:rsidRPr="006A74B8">
              <w:rPr>
                <w:rStyle w:val="apple-converted-space"/>
                <w:rFonts w:asciiTheme="majorHAnsi" w:eastAsiaTheme="majorEastAsia" w:hAnsiTheme="majorHAnsi" w:cstheme="majorHAnsi"/>
                <w:b w:val="0"/>
                <w:bCs/>
                <w:color w:val="040C28"/>
                <w:kern w:val="2"/>
                <w:sz w:val="20"/>
                <w:szCs w:val="20"/>
                <w:lang w:val="en-US"/>
                <w14:ligatures w14:val="standardContextual"/>
              </w:rPr>
              <w:t xml:space="preserve"> </w:t>
            </w:r>
            <w:r w:rsidRPr="006A74B8">
              <w:rPr>
                <w:rStyle w:val="normaltextrun"/>
                <w:rFonts w:asciiTheme="majorHAnsi" w:hAnsiTheme="majorHAnsi" w:cstheme="majorHAnsi"/>
                <w:b w:val="0"/>
                <w:bCs/>
                <w:color w:val="040C28"/>
                <w:kern w:val="2"/>
                <w:sz w:val="20"/>
                <w:szCs w:val="20"/>
                <w:lang w:val="en-US"/>
                <w14:ligatures w14:val="standardContextual"/>
              </w:rPr>
              <w:t xml:space="preserve">to </w:t>
            </w:r>
            <w:r w:rsidRPr="006A74B8">
              <w:rPr>
                <w:rFonts w:asciiTheme="majorHAnsi" w:eastAsia="Times New Roman" w:hAnsiTheme="majorHAnsi" w:cstheme="majorHAnsi"/>
                <w:b w:val="0"/>
                <w:bCs/>
                <w:sz w:val="20"/>
                <w:szCs w:val="20"/>
                <w:lang w:eastAsia="en-GB"/>
              </w:rPr>
              <w:t>management</w:t>
            </w:r>
            <w:r w:rsidRPr="006A74B8">
              <w:rPr>
                <w:rStyle w:val="normaltextrun"/>
                <w:rFonts w:asciiTheme="majorHAnsi" w:hAnsiTheme="majorHAnsi" w:cstheme="majorHAnsi"/>
                <w:b w:val="0"/>
                <w:bCs/>
                <w:color w:val="040C28"/>
                <w:kern w:val="2"/>
                <w:sz w:val="20"/>
                <w:szCs w:val="20"/>
                <w:lang w:val="en-US"/>
                <w14:ligatures w14:val="standardContextual"/>
              </w:rPr>
              <w:t xml:space="preserve"> measures) and includes fish species. This could be a helpful source of information to inform this indicator for these countries.</w:t>
            </w:r>
          </w:p>
        </w:tc>
      </w:tr>
      <w:tr w:rsidR="00B106C9" w:rsidRPr="006A74B8" w14:paraId="3FFAB424" w14:textId="77777777" w:rsidTr="00072BDF">
        <w:tc>
          <w:tcPr>
            <w:tcW w:w="1921" w:type="dxa"/>
            <w:hideMark/>
          </w:tcPr>
          <w:p w14:paraId="6F0673A3" w14:textId="77777777" w:rsidR="00B106C9" w:rsidRPr="006A74B8" w:rsidRDefault="00B106C9" w:rsidP="00072BDF">
            <w:pPr>
              <w:spacing w:before="160" w:after="160"/>
              <w:rPr>
                <w:rFonts w:asciiTheme="majorHAnsi" w:hAnsiTheme="majorHAnsi" w:cstheme="majorHAnsi"/>
                <w:b w:val="0"/>
                <w:bCs/>
                <w:kern w:val="2"/>
                <w:sz w:val="20"/>
                <w:szCs w:val="20"/>
                <w14:ligatures w14:val="standardContextual"/>
              </w:rPr>
            </w:pPr>
            <w:r w:rsidRPr="006A74B8">
              <w:rPr>
                <w:rFonts w:asciiTheme="majorHAnsi" w:hAnsiTheme="majorHAnsi" w:cstheme="majorHAnsi"/>
                <w:bCs/>
                <w:sz w:val="20"/>
                <w:szCs w:val="20"/>
              </w:rPr>
              <w:lastRenderedPageBreak/>
              <w:t xml:space="preserve">Identification </w:t>
            </w:r>
            <w:r w:rsidRPr="006A74B8">
              <w:rPr>
                <w:rFonts w:asciiTheme="majorHAnsi" w:hAnsiTheme="majorHAnsi" w:cstheme="majorHAnsi"/>
                <w:bCs/>
                <w:sz w:val="20"/>
                <w:szCs w:val="20"/>
              </w:rPr>
              <w:br/>
              <w:t xml:space="preserve">of future tools </w:t>
            </w:r>
            <w:r w:rsidRPr="006A74B8">
              <w:rPr>
                <w:rFonts w:asciiTheme="majorHAnsi" w:hAnsiTheme="majorHAnsi" w:cstheme="majorHAnsi"/>
                <w:bCs/>
                <w:sz w:val="20"/>
                <w:szCs w:val="20"/>
              </w:rPr>
              <w:br/>
              <w:t>to fill gaps</w:t>
            </w:r>
          </w:p>
        </w:tc>
        <w:tc>
          <w:tcPr>
            <w:tcW w:w="7087" w:type="dxa"/>
            <w:hideMark/>
          </w:tcPr>
          <w:p w14:paraId="658F27E7" w14:textId="77777777" w:rsidR="00B106C9" w:rsidRPr="006A74B8" w:rsidRDefault="00B106C9" w:rsidP="00072BDF">
            <w:pPr>
              <w:spacing w:before="160" w:after="160"/>
              <w:rPr>
                <w:rFonts w:asciiTheme="majorHAnsi" w:hAnsiTheme="majorHAnsi" w:cstheme="majorHAnsi"/>
                <w:b w:val="0"/>
                <w:bCs/>
                <w:sz w:val="20"/>
                <w:szCs w:val="20"/>
              </w:rPr>
            </w:pPr>
            <w:r w:rsidRPr="006A74B8">
              <w:rPr>
                <w:rFonts w:asciiTheme="majorHAnsi" w:hAnsiTheme="majorHAnsi" w:cstheme="majorHAnsi"/>
                <w:b w:val="0"/>
                <w:bCs/>
                <w:sz w:val="20"/>
                <w:szCs w:val="20"/>
              </w:rPr>
              <w:t>No additional information</w:t>
            </w:r>
          </w:p>
        </w:tc>
      </w:tr>
      <w:tr w:rsidR="00B106C9" w:rsidRPr="006A74B8" w14:paraId="7D2A4BC5" w14:textId="77777777" w:rsidTr="00072BDF">
        <w:tc>
          <w:tcPr>
            <w:tcW w:w="1921" w:type="dxa"/>
            <w:hideMark/>
          </w:tcPr>
          <w:p w14:paraId="0FDDA026" w14:textId="77777777" w:rsidR="00B106C9" w:rsidRPr="006A74B8" w:rsidRDefault="00B106C9" w:rsidP="00072BDF">
            <w:pPr>
              <w:spacing w:before="160" w:after="160"/>
              <w:rPr>
                <w:rFonts w:asciiTheme="majorHAnsi" w:hAnsiTheme="majorHAnsi" w:cstheme="majorHAnsi"/>
                <w:b w:val="0"/>
                <w:bCs/>
                <w:sz w:val="20"/>
                <w:szCs w:val="20"/>
              </w:rPr>
            </w:pPr>
            <w:r w:rsidRPr="006A74B8">
              <w:rPr>
                <w:rFonts w:asciiTheme="majorHAnsi" w:hAnsiTheme="majorHAnsi" w:cstheme="majorHAnsi"/>
                <w:bCs/>
                <w:sz w:val="20"/>
                <w:szCs w:val="20"/>
              </w:rPr>
              <w:t>Recommendations component / complementary indicators important for wetlands</w:t>
            </w:r>
          </w:p>
        </w:tc>
        <w:tc>
          <w:tcPr>
            <w:tcW w:w="7087" w:type="dxa"/>
          </w:tcPr>
          <w:p w14:paraId="445587D4" w14:textId="77777777" w:rsidR="00B106C9" w:rsidRPr="006A74B8" w:rsidRDefault="00B106C9" w:rsidP="00072BDF">
            <w:pPr>
              <w:spacing w:before="160" w:after="160"/>
              <w:rPr>
                <w:rFonts w:asciiTheme="majorHAnsi" w:hAnsiTheme="majorHAnsi" w:cstheme="majorHAnsi"/>
                <w:b w:val="0"/>
                <w:bCs/>
                <w:sz w:val="20"/>
                <w:szCs w:val="20"/>
              </w:rPr>
            </w:pPr>
            <w:r w:rsidRPr="006A74B8">
              <w:rPr>
                <w:rFonts w:asciiTheme="majorHAnsi" w:hAnsiTheme="majorHAnsi" w:cstheme="majorHAnsi"/>
                <w:b w:val="0"/>
                <w:bCs/>
                <w:sz w:val="20"/>
                <w:szCs w:val="20"/>
              </w:rPr>
              <w:t>Regarding the existing list of component indicators identified in Decision 15/5, the STRP would recommend that any guidance flag the “</w:t>
            </w:r>
            <w:r w:rsidRPr="006A74B8">
              <w:rPr>
                <w:rFonts w:asciiTheme="majorHAnsi" w:hAnsiTheme="majorHAnsi" w:cstheme="majorHAnsi"/>
                <w:b w:val="0"/>
                <w:bCs/>
                <w:i/>
                <w:iCs/>
                <w:sz w:val="20"/>
                <w:szCs w:val="20"/>
              </w:rPr>
              <w:t>Red List Index for used species</w:t>
            </w:r>
            <w:r w:rsidRPr="006A74B8">
              <w:rPr>
                <w:rFonts w:asciiTheme="majorHAnsi" w:hAnsiTheme="majorHAnsi" w:cstheme="majorHAnsi"/>
                <w:b w:val="0"/>
                <w:bCs/>
                <w:sz w:val="20"/>
                <w:szCs w:val="20"/>
              </w:rPr>
              <w:t xml:space="preserve">” as particularly helpful for addressing some of the identified gaps for use from the context of inland waters and coastal wetlands and could be </w:t>
            </w:r>
            <w:r w:rsidRPr="006A74B8">
              <w:rPr>
                <w:rStyle w:val="normaltextrun"/>
                <w:rFonts w:asciiTheme="majorHAnsi" w:hAnsiTheme="majorHAnsi" w:cstheme="majorHAnsi"/>
                <w:b w:val="0"/>
                <w:bCs/>
                <w:sz w:val="20"/>
                <w:szCs w:val="20"/>
              </w:rPr>
              <w:t>used relatively easily, recognising there are still limitations in the species groups currently included.</w:t>
            </w:r>
          </w:p>
          <w:p w14:paraId="2048A86F" w14:textId="77777777" w:rsidR="00B106C9" w:rsidRPr="006A74B8" w:rsidRDefault="00B106C9" w:rsidP="00072BDF">
            <w:pPr>
              <w:spacing w:before="160" w:after="160"/>
              <w:rPr>
                <w:rFonts w:asciiTheme="majorHAnsi" w:hAnsiTheme="majorHAnsi" w:cstheme="majorHAnsi"/>
                <w:b w:val="0"/>
                <w:bCs/>
                <w:sz w:val="20"/>
                <w:szCs w:val="20"/>
              </w:rPr>
            </w:pPr>
            <w:r w:rsidRPr="006A74B8">
              <w:rPr>
                <w:rFonts w:asciiTheme="majorHAnsi" w:hAnsiTheme="majorHAnsi" w:cstheme="majorHAnsi"/>
                <w:b w:val="0"/>
                <w:bCs/>
                <w:sz w:val="20"/>
                <w:szCs w:val="20"/>
              </w:rPr>
              <w:t>Of the listed complementary indicators, the following are recommended as being useful for inland waters and coastal wetlands:</w:t>
            </w:r>
          </w:p>
          <w:p w14:paraId="1E726AB1" w14:textId="77777777" w:rsidR="00B106C9" w:rsidRPr="006A74B8" w:rsidRDefault="00B106C9" w:rsidP="00DA59A8">
            <w:pPr>
              <w:pStyle w:val="ListParagraph"/>
              <w:numPr>
                <w:ilvl w:val="0"/>
                <w:numId w:val="28"/>
              </w:numPr>
              <w:spacing w:before="160" w:after="160"/>
              <w:ind w:left="320" w:hanging="320"/>
              <w:rPr>
                <w:rFonts w:asciiTheme="majorHAnsi" w:eastAsia="Times New Roman" w:hAnsiTheme="majorHAnsi" w:cstheme="majorHAnsi"/>
                <w:b w:val="0"/>
                <w:bCs/>
                <w:sz w:val="20"/>
                <w:szCs w:val="20"/>
                <w:lang w:eastAsia="en-GB"/>
              </w:rPr>
            </w:pPr>
            <w:r w:rsidRPr="006A74B8">
              <w:rPr>
                <w:rFonts w:asciiTheme="majorHAnsi" w:eastAsia="Times New Roman" w:hAnsiTheme="majorHAnsi" w:cstheme="majorHAnsi"/>
                <w:b w:val="0"/>
                <w:bCs/>
                <w:sz w:val="20"/>
                <w:szCs w:val="20"/>
                <w:lang w:eastAsia="en-GB"/>
              </w:rPr>
              <w:t>Sustainable watershed and inland fisheries index (ID 1093)</w:t>
            </w:r>
          </w:p>
          <w:p w14:paraId="2673BCE7" w14:textId="77777777" w:rsidR="00B106C9" w:rsidRPr="006A74B8" w:rsidRDefault="00B106C9" w:rsidP="00DA59A8">
            <w:pPr>
              <w:pStyle w:val="ListParagraph"/>
              <w:numPr>
                <w:ilvl w:val="0"/>
                <w:numId w:val="28"/>
              </w:numPr>
              <w:spacing w:before="160" w:after="160"/>
              <w:ind w:left="320" w:hanging="320"/>
              <w:rPr>
                <w:rFonts w:asciiTheme="majorHAnsi" w:eastAsia="Times New Roman" w:hAnsiTheme="majorHAnsi" w:cstheme="majorHAnsi"/>
                <w:b w:val="0"/>
                <w:bCs/>
                <w:sz w:val="20"/>
                <w:szCs w:val="20"/>
                <w:lang w:eastAsia="en-GB"/>
              </w:rPr>
            </w:pPr>
            <w:r w:rsidRPr="006A74B8">
              <w:rPr>
                <w:rFonts w:asciiTheme="majorHAnsi" w:eastAsia="Times New Roman" w:hAnsiTheme="majorHAnsi" w:cstheme="majorHAnsi"/>
                <w:b w:val="0"/>
                <w:bCs/>
                <w:sz w:val="20"/>
                <w:szCs w:val="20"/>
                <w:lang w:eastAsia="en-GB"/>
              </w:rPr>
              <w:t>Red List Index (for internationally traded species and for migratory species) (ID 1094)</w:t>
            </w:r>
          </w:p>
          <w:p w14:paraId="4122B106" w14:textId="77777777" w:rsidR="00B106C9" w:rsidRPr="006A74B8" w:rsidRDefault="00B106C9" w:rsidP="00DA59A8">
            <w:pPr>
              <w:pStyle w:val="ListParagraph"/>
              <w:numPr>
                <w:ilvl w:val="0"/>
                <w:numId w:val="28"/>
              </w:numPr>
              <w:spacing w:before="160" w:after="160"/>
              <w:ind w:left="320" w:hanging="320"/>
              <w:rPr>
                <w:rFonts w:asciiTheme="majorHAnsi" w:eastAsia="Times New Roman" w:hAnsiTheme="majorHAnsi" w:cstheme="majorHAnsi"/>
                <w:b w:val="0"/>
                <w:bCs/>
                <w:sz w:val="20"/>
                <w:szCs w:val="20"/>
                <w:lang w:eastAsia="en-GB"/>
              </w:rPr>
            </w:pPr>
            <w:r w:rsidRPr="006A74B8">
              <w:rPr>
                <w:rFonts w:asciiTheme="majorHAnsi" w:eastAsia="Times New Roman" w:hAnsiTheme="majorHAnsi" w:cstheme="majorHAnsi"/>
                <w:b w:val="0"/>
                <w:bCs/>
                <w:sz w:val="20"/>
                <w:szCs w:val="20"/>
                <w:lang w:eastAsia="en-GB"/>
              </w:rPr>
              <w:t>Illegal trade by CITES species classification (ID 1100)</w:t>
            </w:r>
          </w:p>
          <w:p w14:paraId="6AEE1B7A" w14:textId="77777777" w:rsidR="00B106C9" w:rsidRPr="006A74B8" w:rsidRDefault="00B106C9" w:rsidP="00DA59A8">
            <w:pPr>
              <w:pStyle w:val="ListParagraph"/>
              <w:numPr>
                <w:ilvl w:val="0"/>
                <w:numId w:val="28"/>
              </w:numPr>
              <w:spacing w:before="160" w:after="160"/>
              <w:ind w:left="320" w:hanging="320"/>
              <w:rPr>
                <w:rFonts w:asciiTheme="majorHAnsi" w:eastAsia="Times New Roman" w:hAnsiTheme="majorHAnsi" w:cstheme="majorHAnsi"/>
                <w:b w:val="0"/>
                <w:bCs/>
                <w:sz w:val="20"/>
                <w:szCs w:val="20"/>
                <w:lang w:eastAsia="en-GB"/>
              </w:rPr>
            </w:pPr>
            <w:r w:rsidRPr="006A74B8">
              <w:rPr>
                <w:rFonts w:asciiTheme="majorHAnsi" w:eastAsia="Times New Roman" w:hAnsiTheme="majorHAnsi" w:cstheme="majorHAnsi"/>
                <w:b w:val="0"/>
                <w:bCs/>
                <w:sz w:val="20"/>
                <w:szCs w:val="20"/>
                <w:lang w:eastAsia="en-GB"/>
              </w:rPr>
              <w:t>Impacts of fisheries and hunting on migratory species and their habitats (ID 1103)</w:t>
            </w:r>
          </w:p>
          <w:p w14:paraId="4BA11187" w14:textId="77777777" w:rsidR="00B106C9" w:rsidRPr="006A74B8" w:rsidRDefault="00B106C9" w:rsidP="00DA59A8">
            <w:pPr>
              <w:pStyle w:val="ListParagraph"/>
              <w:numPr>
                <w:ilvl w:val="0"/>
                <w:numId w:val="28"/>
              </w:numPr>
              <w:spacing w:before="160" w:after="160"/>
              <w:ind w:left="320" w:hanging="320"/>
              <w:rPr>
                <w:rFonts w:asciiTheme="majorHAnsi" w:hAnsiTheme="majorHAnsi" w:cstheme="majorHAnsi"/>
                <w:b w:val="0"/>
                <w:bCs/>
                <w:color w:val="000000" w:themeColor="text1"/>
                <w:kern w:val="2"/>
                <w:sz w:val="20"/>
                <w:szCs w:val="20"/>
                <w:lang w:val="en-US"/>
                <w14:ligatures w14:val="standardContextual"/>
              </w:rPr>
            </w:pPr>
            <w:r w:rsidRPr="006A74B8">
              <w:rPr>
                <w:rFonts w:asciiTheme="majorHAnsi" w:eastAsia="Times New Roman" w:hAnsiTheme="majorHAnsi" w:cstheme="majorHAnsi"/>
                <w:b w:val="0"/>
                <w:bCs/>
                <w:sz w:val="20"/>
                <w:szCs w:val="20"/>
                <w:lang w:eastAsia="en-GB"/>
              </w:rPr>
              <w:t>Number of MSC Chain of Custody Certification holders by distribution country (</w:t>
            </w:r>
            <w:r w:rsidRPr="006A74B8">
              <w:rPr>
                <w:rStyle w:val="eop"/>
                <w:rFonts w:asciiTheme="majorHAnsi" w:hAnsiTheme="majorHAnsi" w:cstheme="majorHAnsi"/>
                <w:b w:val="0"/>
                <w:bCs/>
                <w:color w:val="000000" w:themeColor="text1"/>
                <w:kern w:val="2"/>
                <w:sz w:val="20"/>
                <w:szCs w:val="20"/>
                <w:lang w:val="en-US"/>
                <w14:ligatures w14:val="standardContextual"/>
              </w:rPr>
              <w:t>ID 1104)</w:t>
            </w:r>
          </w:p>
        </w:tc>
      </w:tr>
    </w:tbl>
    <w:p w14:paraId="2E1075F5" w14:textId="77777777" w:rsidR="00DA59A8" w:rsidRPr="00875EF3" w:rsidRDefault="00DA59A8" w:rsidP="00875EF3">
      <w:pPr>
        <w:pBdr>
          <w:top w:val="nil"/>
          <w:left w:val="nil"/>
          <w:bottom w:val="nil"/>
          <w:right w:val="nil"/>
          <w:between w:val="nil"/>
        </w:pBdr>
        <w:ind w:left="425" w:hanging="425"/>
        <w:rPr>
          <w:rFonts w:asciiTheme="majorHAnsi" w:eastAsia="Calibri" w:hAnsiTheme="majorHAnsi" w:cstheme="majorHAnsi"/>
          <w:sz w:val="22"/>
          <w:szCs w:val="22"/>
        </w:rPr>
      </w:pPr>
    </w:p>
    <w:p w14:paraId="5AA9BBB3" w14:textId="33851F05" w:rsidR="00B106C9" w:rsidRPr="00875EF3" w:rsidRDefault="00875EF3" w:rsidP="00875EF3">
      <w:pPr>
        <w:pBdr>
          <w:top w:val="nil"/>
          <w:left w:val="nil"/>
          <w:bottom w:val="nil"/>
          <w:right w:val="nil"/>
          <w:between w:val="nil"/>
        </w:pBdr>
        <w:ind w:left="425" w:hanging="425"/>
        <w:rPr>
          <w:rFonts w:asciiTheme="majorHAnsi" w:eastAsia="Calibri" w:hAnsiTheme="majorHAnsi" w:cstheme="majorHAnsi"/>
          <w:sz w:val="22"/>
          <w:szCs w:val="22"/>
        </w:rPr>
      </w:pPr>
      <w:r>
        <w:rPr>
          <w:rFonts w:asciiTheme="majorHAnsi" w:eastAsia="Calibri" w:hAnsiTheme="majorHAnsi" w:cstheme="majorHAnsi"/>
          <w:sz w:val="22"/>
          <w:szCs w:val="22"/>
        </w:rPr>
        <w:t>24.</w:t>
      </w:r>
      <w:r>
        <w:rPr>
          <w:rFonts w:asciiTheme="majorHAnsi" w:eastAsia="Calibri" w:hAnsiTheme="majorHAnsi" w:cstheme="majorHAnsi"/>
          <w:sz w:val="22"/>
          <w:szCs w:val="22"/>
        </w:rPr>
        <w:tab/>
      </w:r>
      <w:r w:rsidR="00B106C9" w:rsidRPr="00875EF3">
        <w:rPr>
          <w:rFonts w:asciiTheme="majorHAnsi" w:eastAsia="Calibri" w:hAnsiTheme="majorHAnsi" w:cstheme="majorHAnsi"/>
          <w:b/>
          <w:bCs/>
          <w:sz w:val="22"/>
          <w:szCs w:val="22"/>
        </w:rPr>
        <w:t>Target 7</w:t>
      </w:r>
      <w:r>
        <w:rPr>
          <w:rFonts w:asciiTheme="majorHAnsi" w:eastAsia="Calibri" w:hAnsiTheme="majorHAnsi" w:cstheme="majorHAnsi"/>
          <w:sz w:val="22"/>
          <w:szCs w:val="22"/>
        </w:rPr>
        <w:t>:</w:t>
      </w:r>
      <w:r w:rsidR="00B106C9" w:rsidRPr="00875EF3">
        <w:rPr>
          <w:rFonts w:asciiTheme="majorHAnsi" w:eastAsia="Calibri" w:hAnsiTheme="majorHAnsi" w:cstheme="majorHAnsi"/>
          <w:sz w:val="22"/>
          <w:szCs w:val="22"/>
        </w:rPr>
        <w:t xml:space="preserve"> </w:t>
      </w:r>
      <w:r w:rsidR="00B106C9" w:rsidRPr="00875EF3">
        <w:rPr>
          <w:rFonts w:asciiTheme="majorHAnsi" w:eastAsia="Calibri" w:hAnsiTheme="majorHAnsi" w:cstheme="majorHAnsi"/>
          <w:i/>
          <w:iCs/>
          <w:sz w:val="22"/>
          <w:szCs w:val="22"/>
        </w:rPr>
        <w:t>Reduce pollution risks and the negative impact of pollution from all sources, by 2030, to levels that are not harmful to biodiversity and ecosystem functions and services, considering cumulative effects, including: reducing excess nutrients lost to the environment by at least half including through more efficient nutrient cycling and use; reducing the overall risk from pesticides and highly hazardous chemicals by at least half including through integrated pest management, based on science, taking into account food security and livelihoods; and also preventing, reducing, and working towards eliminating plastic pollution</w:t>
      </w:r>
      <w:r w:rsidR="00B106C9" w:rsidRPr="00875EF3">
        <w:rPr>
          <w:rFonts w:asciiTheme="majorHAnsi" w:eastAsia="Calibri" w:hAnsiTheme="majorHAnsi" w:cstheme="majorHAnsi"/>
          <w:sz w:val="22"/>
          <w:szCs w:val="22"/>
        </w:rPr>
        <w:t>.</w:t>
      </w:r>
    </w:p>
    <w:p w14:paraId="44A4D3F9" w14:textId="77777777" w:rsidR="00875EF3" w:rsidRPr="00875EF3" w:rsidRDefault="00875EF3" w:rsidP="00875EF3">
      <w:pPr>
        <w:pBdr>
          <w:top w:val="nil"/>
          <w:left w:val="nil"/>
          <w:bottom w:val="nil"/>
          <w:right w:val="nil"/>
          <w:between w:val="nil"/>
        </w:pBdr>
        <w:ind w:left="425" w:hanging="425"/>
        <w:rPr>
          <w:rFonts w:asciiTheme="majorHAnsi" w:eastAsia="Calibri" w:hAnsiTheme="majorHAnsi" w:cstheme="majorHAnsi"/>
          <w:sz w:val="22"/>
          <w:szCs w:val="22"/>
        </w:rPr>
      </w:pPr>
    </w:p>
    <w:tbl>
      <w:tblPr>
        <w:tblStyle w:val="TableGrid"/>
        <w:tblW w:w="0" w:type="auto"/>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1921"/>
        <w:gridCol w:w="7086"/>
      </w:tblGrid>
      <w:tr w:rsidR="00B106C9" w:rsidRPr="00875EF3" w14:paraId="4ACC0B49" w14:textId="77777777" w:rsidTr="00072BDF">
        <w:trPr>
          <w:trHeight w:val="603"/>
        </w:trPr>
        <w:tc>
          <w:tcPr>
            <w:tcW w:w="1921" w:type="dxa"/>
            <w:hideMark/>
          </w:tcPr>
          <w:p w14:paraId="3C92BB09" w14:textId="77777777" w:rsidR="00B106C9" w:rsidRPr="00875EF3" w:rsidRDefault="00B106C9" w:rsidP="00072BDF">
            <w:pPr>
              <w:spacing w:before="160"/>
              <w:rPr>
                <w:rFonts w:asciiTheme="majorHAnsi" w:hAnsiTheme="majorHAnsi" w:cstheme="majorHAnsi"/>
                <w:b w:val="0"/>
                <w:bCs/>
                <w:sz w:val="20"/>
                <w:szCs w:val="20"/>
              </w:rPr>
            </w:pPr>
            <w:r w:rsidRPr="00875EF3">
              <w:rPr>
                <w:rFonts w:asciiTheme="majorHAnsi" w:hAnsiTheme="majorHAnsi" w:cstheme="majorHAnsi"/>
                <w:bCs/>
                <w:sz w:val="20"/>
                <w:szCs w:val="20"/>
              </w:rPr>
              <w:t>Headline indicator</w:t>
            </w:r>
          </w:p>
        </w:tc>
        <w:tc>
          <w:tcPr>
            <w:tcW w:w="7087" w:type="dxa"/>
            <w:hideMark/>
          </w:tcPr>
          <w:p w14:paraId="641E2F85" w14:textId="77777777" w:rsidR="00B106C9" w:rsidRPr="00875EF3" w:rsidRDefault="00B106C9" w:rsidP="00072BDF">
            <w:pPr>
              <w:pStyle w:val="paragraph"/>
              <w:spacing w:before="160" w:beforeAutospacing="0" w:after="160" w:afterAutospacing="0"/>
              <w:textAlignment w:val="baseline"/>
              <w:rPr>
                <w:rFonts w:asciiTheme="majorHAnsi" w:hAnsiTheme="majorHAnsi" w:cstheme="majorHAnsi"/>
                <w:b w:val="0"/>
                <w:bCs/>
                <w:kern w:val="2"/>
                <w:sz w:val="20"/>
                <w:szCs w:val="20"/>
                <w:lang w:val="en-US"/>
                <w14:ligatures w14:val="standardContextual"/>
              </w:rPr>
            </w:pPr>
            <w:r w:rsidRPr="00875EF3">
              <w:rPr>
                <w:rStyle w:val="normaltextrun"/>
                <w:rFonts w:asciiTheme="majorHAnsi" w:hAnsiTheme="majorHAnsi" w:cstheme="majorHAnsi"/>
                <w:b w:val="0"/>
                <w:bCs/>
                <w:kern w:val="2"/>
                <w:position w:val="1"/>
                <w:sz w:val="20"/>
                <w:szCs w:val="20"/>
                <w14:ligatures w14:val="standardContextual"/>
              </w:rPr>
              <w:t>7.1 index of coastal eutrophication potential.</w:t>
            </w:r>
          </w:p>
          <w:p w14:paraId="7511E6B1" w14:textId="77777777" w:rsidR="00B106C9" w:rsidRPr="00875EF3" w:rsidRDefault="00B106C9" w:rsidP="00072BDF">
            <w:pPr>
              <w:pStyle w:val="paragraph"/>
              <w:spacing w:before="160" w:beforeAutospacing="0" w:after="160" w:afterAutospacing="0"/>
              <w:textAlignment w:val="baseline"/>
              <w:rPr>
                <w:rFonts w:asciiTheme="majorHAnsi" w:hAnsiTheme="majorHAnsi" w:cstheme="majorHAnsi"/>
                <w:b w:val="0"/>
                <w:bCs/>
                <w:kern w:val="2"/>
                <w:sz w:val="20"/>
                <w:szCs w:val="20"/>
                <w14:ligatures w14:val="standardContextual"/>
              </w:rPr>
            </w:pPr>
            <w:r w:rsidRPr="00875EF3">
              <w:rPr>
                <w:rStyle w:val="normaltextrun"/>
                <w:rFonts w:asciiTheme="majorHAnsi" w:hAnsiTheme="majorHAnsi" w:cstheme="majorHAnsi"/>
                <w:b w:val="0"/>
                <w:bCs/>
                <w:kern w:val="2"/>
                <w:position w:val="1"/>
                <w:sz w:val="20"/>
                <w:szCs w:val="20"/>
                <w14:ligatures w14:val="standardContextual"/>
              </w:rPr>
              <w:t>7.2 pesticide environment concentration.</w:t>
            </w:r>
          </w:p>
        </w:tc>
      </w:tr>
      <w:tr w:rsidR="00B106C9" w:rsidRPr="00875EF3" w14:paraId="34E7186C" w14:textId="77777777" w:rsidTr="00072BDF">
        <w:tc>
          <w:tcPr>
            <w:tcW w:w="1921" w:type="dxa"/>
            <w:hideMark/>
          </w:tcPr>
          <w:p w14:paraId="10D9DA72" w14:textId="77777777" w:rsidR="00B106C9" w:rsidRPr="00875EF3" w:rsidRDefault="00B106C9" w:rsidP="00072BDF">
            <w:pPr>
              <w:spacing w:before="160" w:after="160"/>
              <w:rPr>
                <w:rFonts w:asciiTheme="majorHAnsi" w:hAnsiTheme="majorHAnsi" w:cstheme="majorHAnsi"/>
                <w:b w:val="0"/>
                <w:bCs/>
                <w:kern w:val="2"/>
                <w:sz w:val="20"/>
                <w:szCs w:val="20"/>
                <w14:ligatures w14:val="standardContextual"/>
              </w:rPr>
            </w:pPr>
            <w:r w:rsidRPr="00875EF3">
              <w:rPr>
                <w:rFonts w:asciiTheme="majorHAnsi" w:hAnsiTheme="majorHAnsi" w:cstheme="majorHAnsi"/>
                <w:bCs/>
                <w:sz w:val="20"/>
                <w:szCs w:val="20"/>
              </w:rPr>
              <w:t xml:space="preserve">Sufficiency of </w:t>
            </w:r>
            <w:r w:rsidRPr="00875EF3">
              <w:rPr>
                <w:rFonts w:asciiTheme="majorHAnsi" w:hAnsiTheme="majorHAnsi" w:cstheme="majorHAnsi"/>
                <w:bCs/>
                <w:sz w:val="20"/>
                <w:szCs w:val="20"/>
              </w:rPr>
              <w:br/>
              <w:t xml:space="preserve">the indicators </w:t>
            </w:r>
            <w:r w:rsidRPr="00875EF3">
              <w:rPr>
                <w:rFonts w:asciiTheme="majorHAnsi" w:hAnsiTheme="majorHAnsi" w:cstheme="majorHAnsi"/>
                <w:bCs/>
                <w:sz w:val="20"/>
                <w:szCs w:val="20"/>
              </w:rPr>
              <w:br/>
              <w:t>for wetlands</w:t>
            </w:r>
          </w:p>
        </w:tc>
        <w:tc>
          <w:tcPr>
            <w:tcW w:w="7087" w:type="dxa"/>
          </w:tcPr>
          <w:p w14:paraId="109E029C" w14:textId="77777777" w:rsidR="00B106C9" w:rsidRPr="00875EF3" w:rsidRDefault="00B106C9" w:rsidP="00072BDF">
            <w:pPr>
              <w:spacing w:before="160" w:after="160"/>
              <w:rPr>
                <w:rFonts w:asciiTheme="majorHAnsi" w:hAnsiTheme="majorHAnsi" w:cstheme="majorHAnsi"/>
                <w:b w:val="0"/>
                <w:bCs/>
                <w:sz w:val="20"/>
                <w:szCs w:val="20"/>
              </w:rPr>
            </w:pPr>
            <w:r w:rsidRPr="00875EF3">
              <w:rPr>
                <w:rFonts w:asciiTheme="majorHAnsi" w:hAnsiTheme="majorHAnsi" w:cstheme="majorHAnsi"/>
                <w:b w:val="0"/>
                <w:bCs/>
                <w:sz w:val="20"/>
                <w:szCs w:val="20"/>
              </w:rPr>
              <w:t xml:space="preserve">Headline indicator 7.1: </w:t>
            </w:r>
          </w:p>
          <w:p w14:paraId="18D6E12F" w14:textId="77777777" w:rsidR="00B106C9" w:rsidRPr="00875EF3" w:rsidRDefault="00B106C9" w:rsidP="00072BDF">
            <w:pPr>
              <w:spacing w:before="160" w:after="160"/>
              <w:rPr>
                <w:rFonts w:asciiTheme="majorHAnsi" w:hAnsiTheme="majorHAnsi" w:cstheme="majorHAnsi"/>
                <w:b w:val="0"/>
                <w:bCs/>
                <w:sz w:val="20"/>
                <w:szCs w:val="20"/>
              </w:rPr>
            </w:pPr>
            <w:r w:rsidRPr="00875EF3">
              <w:rPr>
                <w:rFonts w:asciiTheme="majorHAnsi" w:hAnsiTheme="majorHAnsi" w:cstheme="majorHAnsi"/>
                <w:b w:val="0"/>
                <w:bCs/>
                <w:sz w:val="20"/>
                <w:szCs w:val="20"/>
              </w:rPr>
              <w:t xml:space="preserve">Indicator 7.1 is not sufficient to track progress towards achieving Target 7. </w:t>
            </w:r>
          </w:p>
          <w:p w14:paraId="068978A2" w14:textId="77777777" w:rsidR="00B106C9" w:rsidRPr="00875EF3" w:rsidRDefault="00B106C9" w:rsidP="00DA59A8">
            <w:pPr>
              <w:pStyle w:val="ListParagraph"/>
              <w:numPr>
                <w:ilvl w:val="0"/>
                <w:numId w:val="28"/>
              </w:numPr>
              <w:spacing w:before="160" w:after="160"/>
              <w:ind w:left="320" w:hanging="320"/>
              <w:rPr>
                <w:rFonts w:asciiTheme="majorHAnsi" w:eastAsia="Times New Roman" w:hAnsiTheme="majorHAnsi" w:cstheme="majorHAnsi"/>
                <w:b w:val="0"/>
                <w:bCs/>
                <w:sz w:val="20"/>
                <w:szCs w:val="20"/>
                <w:lang w:eastAsia="en-GB"/>
              </w:rPr>
            </w:pPr>
            <w:r w:rsidRPr="00875EF3">
              <w:rPr>
                <w:rFonts w:asciiTheme="majorHAnsi" w:hAnsiTheme="majorHAnsi" w:cstheme="majorHAnsi"/>
                <w:b w:val="0"/>
                <w:bCs/>
                <w:sz w:val="20"/>
                <w:szCs w:val="20"/>
              </w:rPr>
              <w:t xml:space="preserve">There is a gap in relation to eutrophication of inland water ecosystems, including lakes. There are several existing indicators </w:t>
            </w:r>
            <w:r w:rsidRPr="00875EF3">
              <w:rPr>
                <w:rFonts w:asciiTheme="majorHAnsi" w:eastAsia="Times New Roman" w:hAnsiTheme="majorHAnsi" w:cstheme="majorHAnsi"/>
                <w:b w:val="0"/>
                <w:bCs/>
                <w:sz w:val="20"/>
                <w:szCs w:val="20"/>
                <w:lang w:eastAsia="en-GB"/>
              </w:rPr>
              <w:t xml:space="preserve">identified below that could help fill this gap. </w:t>
            </w:r>
          </w:p>
          <w:p w14:paraId="62E586F0" w14:textId="77777777" w:rsidR="00B106C9" w:rsidRPr="00875EF3"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875EF3">
              <w:rPr>
                <w:rFonts w:asciiTheme="majorHAnsi" w:eastAsia="Times New Roman" w:hAnsiTheme="majorHAnsi" w:cstheme="majorHAnsi"/>
                <w:b w:val="0"/>
                <w:bCs/>
                <w:sz w:val="20"/>
                <w:szCs w:val="20"/>
                <w:lang w:eastAsia="en-GB"/>
              </w:rPr>
              <w:t>The Index of coastal eutrophication potential focuses on nutrient overload i</w:t>
            </w:r>
            <w:r w:rsidRPr="00875EF3">
              <w:rPr>
                <w:rFonts w:asciiTheme="majorHAnsi" w:hAnsiTheme="majorHAnsi" w:cstheme="majorHAnsi"/>
                <w:b w:val="0"/>
                <w:bCs/>
                <w:sz w:val="20"/>
                <w:szCs w:val="20"/>
              </w:rPr>
              <w:t xml:space="preserve">n coastal regions and depends partially on information relating to riverine input. This is not sufficient for inland waters, or coastal environments where there are no rivers (e.g. atolls). Whilst the calculation depends on riverine input information, it does not deliver information concerning nutrient pollution for rivers or streams. </w:t>
            </w:r>
          </w:p>
          <w:p w14:paraId="1A7685D9" w14:textId="77777777" w:rsidR="00B106C9" w:rsidRPr="00875EF3" w:rsidRDefault="00B106C9" w:rsidP="00072BDF">
            <w:pPr>
              <w:spacing w:before="160" w:after="160"/>
              <w:rPr>
                <w:rFonts w:asciiTheme="majorHAnsi" w:hAnsiTheme="majorHAnsi" w:cstheme="majorHAnsi"/>
                <w:b w:val="0"/>
                <w:bCs/>
                <w:sz w:val="20"/>
                <w:szCs w:val="20"/>
              </w:rPr>
            </w:pPr>
            <w:r w:rsidRPr="00875EF3">
              <w:rPr>
                <w:rFonts w:asciiTheme="majorHAnsi" w:hAnsiTheme="majorHAnsi" w:cstheme="majorHAnsi"/>
                <w:b w:val="0"/>
                <w:bCs/>
                <w:sz w:val="20"/>
                <w:szCs w:val="20"/>
              </w:rPr>
              <w:t xml:space="preserve">The issue of sedimentation is entirely absent from the KMGBF and its monitoring framework and represents an important gap. Wetlands depend on sedimentation processes, however high inputs of sediment can have detrimental impacts, </w:t>
            </w:r>
            <w:hyperlink r:id="rId41" w:history="1">
              <w:r w:rsidRPr="00875EF3">
                <w:rPr>
                  <w:rStyle w:val="Hyperlink"/>
                  <w:rFonts w:asciiTheme="majorHAnsi" w:hAnsiTheme="majorHAnsi" w:cstheme="majorHAnsi"/>
                  <w:b w:val="0"/>
                  <w:bCs/>
                  <w:sz w:val="20"/>
                  <w:szCs w:val="20"/>
                </w:rPr>
                <w:t>particularly where these sediments are contaminated with nutrients and other chemical compounds</w:t>
              </w:r>
            </w:hyperlink>
            <w:r w:rsidRPr="00875EF3">
              <w:rPr>
                <w:rFonts w:asciiTheme="majorHAnsi" w:hAnsiTheme="majorHAnsi" w:cstheme="majorHAnsi"/>
                <w:b w:val="0"/>
                <w:bCs/>
                <w:sz w:val="20"/>
                <w:szCs w:val="20"/>
              </w:rPr>
              <w:t xml:space="preserve">. </w:t>
            </w:r>
          </w:p>
          <w:p w14:paraId="4FF99572" w14:textId="77777777" w:rsidR="00B106C9" w:rsidRPr="00875EF3" w:rsidRDefault="00B106C9" w:rsidP="00072BDF">
            <w:pPr>
              <w:spacing w:before="160" w:after="160"/>
              <w:rPr>
                <w:rFonts w:asciiTheme="majorHAnsi" w:hAnsiTheme="majorHAnsi" w:cstheme="majorHAnsi"/>
                <w:b w:val="0"/>
                <w:bCs/>
                <w:sz w:val="20"/>
                <w:szCs w:val="20"/>
              </w:rPr>
            </w:pPr>
            <w:r w:rsidRPr="00875EF3">
              <w:rPr>
                <w:rFonts w:asciiTheme="majorHAnsi" w:hAnsiTheme="majorHAnsi" w:cstheme="majorHAnsi"/>
                <w:b w:val="0"/>
                <w:bCs/>
                <w:sz w:val="20"/>
                <w:szCs w:val="20"/>
              </w:rPr>
              <w:lastRenderedPageBreak/>
              <w:t xml:space="preserve">Another gap in the sufficiency of indicators to track progress of Target 7 (and of particular importance to wetlands) are the other </w:t>
            </w:r>
            <w:r w:rsidRPr="00875EF3">
              <w:rPr>
                <w:rFonts w:asciiTheme="majorHAnsi" w:hAnsiTheme="majorHAnsi" w:cstheme="majorHAnsi"/>
                <w:b w:val="0"/>
                <w:bCs/>
                <w:i/>
                <w:iCs/>
                <w:sz w:val="20"/>
                <w:szCs w:val="20"/>
              </w:rPr>
              <w:t>highly hazardous</w:t>
            </w:r>
            <w:r w:rsidRPr="00875EF3">
              <w:rPr>
                <w:rFonts w:asciiTheme="majorHAnsi" w:hAnsiTheme="majorHAnsi" w:cstheme="majorHAnsi"/>
                <w:b w:val="0"/>
                <w:bCs/>
                <w:sz w:val="20"/>
                <w:szCs w:val="20"/>
              </w:rPr>
              <w:t xml:space="preserve"> chemicals – including but not limited to pharmaceutical products, per- and polyfluorinated alkyl substances (PFAS or forever chemicals), heavy metals and polyaromatic hydrocarbons. </w:t>
            </w:r>
          </w:p>
        </w:tc>
      </w:tr>
      <w:tr w:rsidR="00B106C9" w:rsidRPr="00875EF3" w14:paraId="5B9E6DFC" w14:textId="77777777" w:rsidTr="00072BDF">
        <w:tc>
          <w:tcPr>
            <w:tcW w:w="1921" w:type="dxa"/>
            <w:hideMark/>
          </w:tcPr>
          <w:p w14:paraId="20A0B131" w14:textId="77777777" w:rsidR="00B106C9" w:rsidRPr="00875EF3" w:rsidRDefault="00B106C9" w:rsidP="00072BDF">
            <w:pPr>
              <w:spacing w:before="160" w:after="160"/>
              <w:rPr>
                <w:rFonts w:asciiTheme="majorHAnsi" w:hAnsiTheme="majorHAnsi" w:cstheme="majorHAnsi"/>
                <w:b w:val="0"/>
                <w:bCs/>
                <w:sz w:val="20"/>
                <w:szCs w:val="20"/>
              </w:rPr>
            </w:pPr>
            <w:r w:rsidRPr="00875EF3">
              <w:rPr>
                <w:rFonts w:asciiTheme="majorHAnsi" w:hAnsiTheme="majorHAnsi" w:cstheme="majorHAnsi"/>
                <w:bCs/>
                <w:sz w:val="20"/>
                <w:szCs w:val="20"/>
              </w:rPr>
              <w:lastRenderedPageBreak/>
              <w:t>Recommendation relating to metadata</w:t>
            </w:r>
          </w:p>
        </w:tc>
        <w:tc>
          <w:tcPr>
            <w:tcW w:w="7087" w:type="dxa"/>
            <w:hideMark/>
          </w:tcPr>
          <w:p w14:paraId="4FBA62FE" w14:textId="77777777" w:rsidR="00B106C9" w:rsidRPr="00875EF3" w:rsidRDefault="00B106C9" w:rsidP="00072BDF">
            <w:pPr>
              <w:spacing w:before="160" w:after="160"/>
              <w:rPr>
                <w:rFonts w:asciiTheme="majorHAnsi" w:hAnsiTheme="majorHAnsi" w:cstheme="majorHAnsi"/>
                <w:b w:val="0"/>
                <w:bCs/>
                <w:sz w:val="20"/>
                <w:szCs w:val="20"/>
              </w:rPr>
            </w:pPr>
            <w:r w:rsidRPr="00875EF3">
              <w:rPr>
                <w:rFonts w:asciiTheme="majorHAnsi" w:hAnsiTheme="majorHAnsi" w:cstheme="majorHAnsi"/>
                <w:b w:val="0"/>
                <w:bCs/>
                <w:sz w:val="20"/>
                <w:szCs w:val="20"/>
              </w:rPr>
              <w:t xml:space="preserve">Headline indicator 7.2: </w:t>
            </w:r>
          </w:p>
          <w:p w14:paraId="3C747AF9" w14:textId="77777777" w:rsidR="00B106C9" w:rsidRPr="00875EF3"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875EF3">
              <w:rPr>
                <w:rFonts w:asciiTheme="majorHAnsi" w:hAnsiTheme="majorHAnsi" w:cstheme="majorHAnsi"/>
                <w:b w:val="0"/>
                <w:bCs/>
                <w:sz w:val="20"/>
                <w:szCs w:val="20"/>
              </w:rPr>
              <w:t xml:space="preserve">The STRP supports the disaggregation proposed in the </w:t>
            </w:r>
            <w:hyperlink r:id="rId42" w:history="1">
              <w:r w:rsidRPr="00875EF3">
                <w:rPr>
                  <w:rStyle w:val="Hyperlink"/>
                  <w:rFonts w:asciiTheme="majorHAnsi" w:hAnsiTheme="majorHAnsi" w:cstheme="majorHAnsi"/>
                  <w:b w:val="0"/>
                  <w:bCs/>
                  <w:sz w:val="20"/>
                  <w:szCs w:val="20"/>
                </w:rPr>
                <w:t>metadata</w:t>
              </w:r>
            </w:hyperlink>
            <w:r w:rsidRPr="00875EF3">
              <w:rPr>
                <w:rFonts w:asciiTheme="majorHAnsi" w:hAnsiTheme="majorHAnsi" w:cstheme="majorHAnsi"/>
                <w:b w:val="0"/>
                <w:bCs/>
                <w:sz w:val="20"/>
                <w:szCs w:val="20"/>
              </w:rPr>
              <w:t>, recognising that groundwater is important for many wetlands.</w:t>
            </w:r>
          </w:p>
        </w:tc>
      </w:tr>
      <w:tr w:rsidR="00B106C9" w:rsidRPr="00875EF3" w14:paraId="7E15325A" w14:textId="77777777" w:rsidTr="00072BDF">
        <w:tc>
          <w:tcPr>
            <w:tcW w:w="1921" w:type="dxa"/>
            <w:hideMark/>
          </w:tcPr>
          <w:p w14:paraId="67EE39FB" w14:textId="77777777" w:rsidR="00B106C9" w:rsidRPr="00875EF3" w:rsidRDefault="00B106C9" w:rsidP="00072BDF">
            <w:pPr>
              <w:spacing w:before="160" w:after="160"/>
              <w:rPr>
                <w:rFonts w:asciiTheme="majorHAnsi" w:hAnsiTheme="majorHAnsi" w:cstheme="majorHAnsi"/>
                <w:b w:val="0"/>
                <w:bCs/>
                <w:sz w:val="20"/>
                <w:szCs w:val="20"/>
              </w:rPr>
            </w:pPr>
            <w:r w:rsidRPr="00875EF3">
              <w:rPr>
                <w:rFonts w:asciiTheme="majorHAnsi" w:hAnsiTheme="majorHAnsi" w:cstheme="majorHAnsi"/>
                <w:bCs/>
                <w:sz w:val="20"/>
                <w:szCs w:val="20"/>
              </w:rPr>
              <w:t>Recommendations on data flows / sources to fill the gap</w:t>
            </w:r>
          </w:p>
        </w:tc>
        <w:tc>
          <w:tcPr>
            <w:tcW w:w="7087" w:type="dxa"/>
            <w:hideMark/>
          </w:tcPr>
          <w:p w14:paraId="39333F6E" w14:textId="77777777" w:rsidR="00B106C9" w:rsidRPr="00875EF3" w:rsidRDefault="00C768CA" w:rsidP="00072BDF">
            <w:pPr>
              <w:spacing w:before="160" w:after="160"/>
              <w:rPr>
                <w:rFonts w:asciiTheme="majorHAnsi" w:hAnsiTheme="majorHAnsi" w:cstheme="majorHAnsi"/>
                <w:b w:val="0"/>
                <w:bCs/>
                <w:sz w:val="20"/>
                <w:szCs w:val="20"/>
              </w:rPr>
            </w:pPr>
            <w:hyperlink r:id="rId43" w:anchor="h.p_dOf2pvbqxnNw" w:history="1">
              <w:r w:rsidR="00B106C9" w:rsidRPr="00875EF3">
                <w:rPr>
                  <w:rStyle w:val="Hyperlink"/>
                  <w:rFonts w:asciiTheme="majorHAnsi" w:hAnsiTheme="majorHAnsi" w:cstheme="majorHAnsi"/>
                  <w:b w:val="0"/>
                  <w:bCs/>
                  <w:sz w:val="20"/>
                  <w:szCs w:val="20"/>
                </w:rPr>
                <w:t>Lake water turbidity and Trophic State Index</w:t>
              </w:r>
            </w:hyperlink>
            <w:r w:rsidR="00B106C9" w:rsidRPr="00875EF3">
              <w:rPr>
                <w:rFonts w:asciiTheme="majorHAnsi" w:hAnsiTheme="majorHAnsi" w:cstheme="majorHAnsi"/>
                <w:b w:val="0"/>
                <w:bCs/>
                <w:sz w:val="20"/>
                <w:szCs w:val="20"/>
              </w:rPr>
              <w:t xml:space="preserve"> (Freshwater Explorer relating to SDG 6.6.1) provides information on eutrophication status of lakes and could help to partially fill one of the gaps for headline indicator 7.1.</w:t>
            </w:r>
          </w:p>
        </w:tc>
      </w:tr>
      <w:tr w:rsidR="00B106C9" w:rsidRPr="00875EF3" w14:paraId="324B8E2B" w14:textId="77777777" w:rsidTr="00072BDF">
        <w:tc>
          <w:tcPr>
            <w:tcW w:w="1921" w:type="dxa"/>
            <w:hideMark/>
          </w:tcPr>
          <w:p w14:paraId="0E39AD45" w14:textId="77777777" w:rsidR="00B106C9" w:rsidRPr="00875EF3" w:rsidRDefault="00B106C9" w:rsidP="00072BDF">
            <w:pPr>
              <w:spacing w:before="160" w:after="160"/>
              <w:rPr>
                <w:rFonts w:asciiTheme="majorHAnsi" w:hAnsiTheme="majorHAnsi" w:cstheme="majorHAnsi"/>
                <w:b w:val="0"/>
                <w:bCs/>
                <w:sz w:val="20"/>
                <w:szCs w:val="20"/>
              </w:rPr>
            </w:pPr>
            <w:r w:rsidRPr="00875EF3">
              <w:rPr>
                <w:rFonts w:asciiTheme="majorHAnsi" w:hAnsiTheme="majorHAnsi" w:cstheme="majorHAnsi"/>
                <w:bCs/>
                <w:sz w:val="20"/>
                <w:szCs w:val="20"/>
              </w:rPr>
              <w:t xml:space="preserve">Identification </w:t>
            </w:r>
            <w:r w:rsidRPr="00875EF3">
              <w:rPr>
                <w:rFonts w:asciiTheme="majorHAnsi" w:hAnsiTheme="majorHAnsi" w:cstheme="majorHAnsi"/>
                <w:bCs/>
                <w:sz w:val="20"/>
                <w:szCs w:val="20"/>
              </w:rPr>
              <w:br/>
              <w:t xml:space="preserve">of future tools </w:t>
            </w:r>
            <w:r w:rsidRPr="00875EF3">
              <w:rPr>
                <w:rFonts w:asciiTheme="majorHAnsi" w:hAnsiTheme="majorHAnsi" w:cstheme="majorHAnsi"/>
                <w:bCs/>
                <w:sz w:val="20"/>
                <w:szCs w:val="20"/>
              </w:rPr>
              <w:br/>
              <w:t>to fill gaps</w:t>
            </w:r>
          </w:p>
        </w:tc>
        <w:tc>
          <w:tcPr>
            <w:tcW w:w="7087" w:type="dxa"/>
            <w:hideMark/>
          </w:tcPr>
          <w:p w14:paraId="55B8EC3C" w14:textId="77777777" w:rsidR="00B106C9" w:rsidRPr="00875EF3" w:rsidRDefault="00B106C9" w:rsidP="00072BDF">
            <w:pPr>
              <w:spacing w:before="160" w:after="160"/>
              <w:rPr>
                <w:rFonts w:asciiTheme="majorHAnsi" w:hAnsiTheme="majorHAnsi" w:cstheme="majorHAnsi"/>
                <w:b w:val="0"/>
                <w:bCs/>
                <w:sz w:val="20"/>
                <w:szCs w:val="20"/>
              </w:rPr>
            </w:pPr>
            <w:r w:rsidRPr="00875EF3">
              <w:rPr>
                <w:rFonts w:asciiTheme="majorHAnsi" w:hAnsiTheme="majorHAnsi" w:cstheme="majorHAnsi"/>
                <w:b w:val="0"/>
                <w:bCs/>
                <w:sz w:val="20"/>
                <w:szCs w:val="20"/>
              </w:rPr>
              <w:t>No additional information</w:t>
            </w:r>
          </w:p>
        </w:tc>
      </w:tr>
      <w:tr w:rsidR="00B106C9" w:rsidRPr="00875EF3" w14:paraId="7F5F902E" w14:textId="77777777" w:rsidTr="00072BDF">
        <w:tc>
          <w:tcPr>
            <w:tcW w:w="1921" w:type="dxa"/>
            <w:hideMark/>
          </w:tcPr>
          <w:p w14:paraId="1799CF55" w14:textId="77777777" w:rsidR="00B106C9" w:rsidRPr="00875EF3" w:rsidRDefault="00B106C9" w:rsidP="00072BDF">
            <w:pPr>
              <w:spacing w:before="160" w:after="160"/>
              <w:rPr>
                <w:rFonts w:asciiTheme="majorHAnsi" w:hAnsiTheme="majorHAnsi" w:cstheme="majorHAnsi"/>
                <w:b w:val="0"/>
                <w:bCs/>
                <w:sz w:val="20"/>
                <w:szCs w:val="20"/>
              </w:rPr>
            </w:pPr>
            <w:r w:rsidRPr="00875EF3">
              <w:rPr>
                <w:rFonts w:asciiTheme="majorHAnsi" w:hAnsiTheme="majorHAnsi" w:cstheme="majorHAnsi"/>
                <w:bCs/>
                <w:sz w:val="20"/>
                <w:szCs w:val="20"/>
              </w:rPr>
              <w:t>Recommendations component / complementary indicators important for wetlands</w:t>
            </w:r>
          </w:p>
        </w:tc>
        <w:tc>
          <w:tcPr>
            <w:tcW w:w="7087" w:type="dxa"/>
            <w:hideMark/>
          </w:tcPr>
          <w:p w14:paraId="02B39CD7" w14:textId="77777777" w:rsidR="00B106C9" w:rsidRPr="00875EF3" w:rsidRDefault="00B106C9" w:rsidP="00072BDF">
            <w:pPr>
              <w:spacing w:before="160" w:after="160"/>
              <w:rPr>
                <w:rFonts w:asciiTheme="majorHAnsi" w:hAnsiTheme="majorHAnsi" w:cstheme="majorHAnsi"/>
                <w:b w:val="0"/>
                <w:bCs/>
                <w:sz w:val="20"/>
                <w:szCs w:val="20"/>
              </w:rPr>
            </w:pPr>
            <w:r w:rsidRPr="00875EF3">
              <w:rPr>
                <w:rStyle w:val="normaltextrun"/>
                <w:rFonts w:asciiTheme="majorHAnsi" w:hAnsiTheme="majorHAnsi" w:cstheme="majorHAnsi"/>
                <w:b w:val="0"/>
                <w:bCs/>
                <w:color w:val="000000"/>
                <w:sz w:val="20"/>
                <w:szCs w:val="20"/>
                <w:lang w:val="en-US"/>
              </w:rPr>
              <w:t xml:space="preserve">The existing list of component and complementary indicators are not felt to be sufficient for inland waters and coastal wetlands. Of those indicated </w:t>
            </w:r>
          </w:p>
          <w:p w14:paraId="3F9496FB" w14:textId="77777777" w:rsidR="00B106C9" w:rsidRPr="00875EF3"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875EF3">
              <w:rPr>
                <w:rFonts w:asciiTheme="majorHAnsi" w:hAnsiTheme="majorHAnsi" w:cstheme="majorHAnsi"/>
                <w:b w:val="0"/>
                <w:bCs/>
                <w:sz w:val="20"/>
                <w:szCs w:val="20"/>
              </w:rPr>
              <w:t xml:space="preserve">Fertilizer use – is included as a component indicator and is highly relevant for inland waters and coastal wetlands (ID 344), but no metadata is provided. It would be helpful to clarify which indicator this is based on. </w:t>
            </w:r>
            <w:hyperlink r:id="rId44" w:anchor="data/RFN" w:history="1">
              <w:r w:rsidRPr="00875EF3">
                <w:rPr>
                  <w:rStyle w:val="Hyperlink"/>
                  <w:rFonts w:asciiTheme="majorHAnsi" w:hAnsiTheme="majorHAnsi" w:cstheme="majorHAnsi"/>
                  <w:b w:val="0"/>
                  <w:bCs/>
                  <w:sz w:val="20"/>
                  <w:szCs w:val="20"/>
                </w:rPr>
                <w:t>FAOSTAT</w:t>
              </w:r>
            </w:hyperlink>
            <w:r w:rsidRPr="00875EF3">
              <w:rPr>
                <w:rFonts w:asciiTheme="majorHAnsi" w:hAnsiTheme="majorHAnsi" w:cstheme="majorHAnsi"/>
                <w:b w:val="0"/>
                <w:bCs/>
                <w:sz w:val="20"/>
                <w:szCs w:val="20"/>
              </w:rPr>
              <w:t xml:space="preserve"> provide data relating to the use of inorganic fertilizer. </w:t>
            </w:r>
          </w:p>
          <w:p w14:paraId="427101D6" w14:textId="77777777" w:rsidR="00B106C9" w:rsidRPr="00875EF3" w:rsidRDefault="00B106C9" w:rsidP="00072BDF">
            <w:pPr>
              <w:spacing w:before="160" w:after="160"/>
              <w:rPr>
                <w:rFonts w:asciiTheme="majorHAnsi" w:hAnsiTheme="majorHAnsi" w:cstheme="majorHAnsi"/>
                <w:b w:val="0"/>
                <w:bCs/>
                <w:sz w:val="20"/>
                <w:szCs w:val="20"/>
              </w:rPr>
            </w:pPr>
            <w:r w:rsidRPr="00875EF3">
              <w:rPr>
                <w:rStyle w:val="normaltextrun"/>
                <w:rFonts w:asciiTheme="majorHAnsi" w:hAnsiTheme="majorHAnsi" w:cstheme="majorHAnsi"/>
                <w:b w:val="0"/>
                <w:bCs/>
                <w:color w:val="000000"/>
                <w:sz w:val="20"/>
                <w:szCs w:val="20"/>
                <w:lang w:val="en-US"/>
              </w:rPr>
              <w:t>The STRP recommends the inclusion of additional metrics for inland waters including:</w:t>
            </w:r>
          </w:p>
          <w:p w14:paraId="046059BE" w14:textId="77777777" w:rsidR="00B106C9" w:rsidRPr="00875EF3" w:rsidRDefault="00C768CA" w:rsidP="00DA59A8">
            <w:pPr>
              <w:pStyle w:val="ListParagraph"/>
              <w:numPr>
                <w:ilvl w:val="0"/>
                <w:numId w:val="28"/>
              </w:numPr>
              <w:spacing w:before="160" w:after="160"/>
              <w:ind w:left="320" w:hanging="320"/>
              <w:rPr>
                <w:rFonts w:asciiTheme="majorHAnsi" w:hAnsiTheme="majorHAnsi" w:cstheme="majorHAnsi"/>
                <w:b w:val="0"/>
                <w:bCs/>
                <w:sz w:val="20"/>
                <w:szCs w:val="20"/>
              </w:rPr>
            </w:pPr>
            <w:hyperlink r:id="rId45" w:history="1">
              <w:r w:rsidR="00B106C9" w:rsidRPr="00875EF3">
                <w:rPr>
                  <w:rStyle w:val="Hyperlink"/>
                  <w:rFonts w:asciiTheme="majorHAnsi" w:hAnsiTheme="majorHAnsi" w:cstheme="majorHAnsi"/>
                  <w:b w:val="0"/>
                  <w:bCs/>
                  <w:sz w:val="20"/>
                  <w:szCs w:val="20"/>
                </w:rPr>
                <w:t>Proportion of bodies of water with good ambient water quality</w:t>
              </w:r>
            </w:hyperlink>
            <w:r w:rsidR="00B106C9" w:rsidRPr="00875EF3">
              <w:rPr>
                <w:rFonts w:asciiTheme="majorHAnsi" w:hAnsiTheme="majorHAnsi" w:cstheme="majorHAnsi"/>
                <w:b w:val="0"/>
                <w:bCs/>
                <w:color w:val="000000"/>
                <w:sz w:val="20"/>
                <w:szCs w:val="20"/>
              </w:rPr>
              <w:t xml:space="preserve"> </w:t>
            </w:r>
            <w:r w:rsidR="00B106C9" w:rsidRPr="00875EF3">
              <w:rPr>
                <w:rFonts w:asciiTheme="majorHAnsi" w:hAnsiTheme="majorHAnsi" w:cstheme="majorHAnsi"/>
                <w:b w:val="0"/>
                <w:bCs/>
                <w:sz w:val="20"/>
                <w:szCs w:val="20"/>
              </w:rPr>
              <w:t>(existing component indicator for Target 11, ID 360 and SDG indicator 6.3.2)</w:t>
            </w:r>
          </w:p>
        </w:tc>
      </w:tr>
    </w:tbl>
    <w:p w14:paraId="102B43D4" w14:textId="0780F981" w:rsidR="00B106C9" w:rsidRPr="00CE622F" w:rsidRDefault="00B106C9" w:rsidP="00CE622F">
      <w:pPr>
        <w:pBdr>
          <w:top w:val="nil"/>
          <w:left w:val="nil"/>
          <w:bottom w:val="nil"/>
          <w:right w:val="nil"/>
          <w:between w:val="nil"/>
        </w:pBdr>
        <w:ind w:left="425" w:hanging="425"/>
        <w:rPr>
          <w:rFonts w:asciiTheme="majorHAnsi" w:eastAsia="Calibri" w:hAnsiTheme="majorHAnsi" w:cstheme="majorHAnsi"/>
          <w:sz w:val="22"/>
          <w:szCs w:val="22"/>
        </w:rPr>
      </w:pPr>
    </w:p>
    <w:p w14:paraId="66D5CD17" w14:textId="1A6E7F35" w:rsidR="00B106C9" w:rsidRDefault="00CE622F" w:rsidP="00CE622F">
      <w:pPr>
        <w:pBdr>
          <w:top w:val="nil"/>
          <w:left w:val="nil"/>
          <w:bottom w:val="nil"/>
          <w:right w:val="nil"/>
          <w:between w:val="nil"/>
        </w:pBdr>
        <w:ind w:left="425" w:hanging="425"/>
        <w:rPr>
          <w:rFonts w:asciiTheme="majorHAnsi" w:eastAsia="Calibri" w:hAnsiTheme="majorHAnsi" w:cstheme="majorHAnsi"/>
          <w:sz w:val="22"/>
          <w:szCs w:val="22"/>
        </w:rPr>
      </w:pPr>
      <w:r>
        <w:rPr>
          <w:rFonts w:asciiTheme="majorHAnsi" w:eastAsia="Calibri" w:hAnsiTheme="majorHAnsi" w:cstheme="majorHAnsi"/>
          <w:sz w:val="22"/>
          <w:szCs w:val="22"/>
        </w:rPr>
        <w:t>25.</w:t>
      </w:r>
      <w:r>
        <w:rPr>
          <w:rFonts w:asciiTheme="majorHAnsi" w:eastAsia="Calibri" w:hAnsiTheme="majorHAnsi" w:cstheme="majorHAnsi"/>
          <w:sz w:val="22"/>
          <w:szCs w:val="22"/>
        </w:rPr>
        <w:tab/>
      </w:r>
      <w:r w:rsidR="00B106C9" w:rsidRPr="00CE622F">
        <w:rPr>
          <w:rFonts w:asciiTheme="majorHAnsi" w:eastAsia="Calibri" w:hAnsiTheme="majorHAnsi" w:cstheme="majorHAnsi"/>
          <w:b/>
          <w:bCs/>
          <w:sz w:val="22"/>
          <w:szCs w:val="22"/>
        </w:rPr>
        <w:t>Target 9</w:t>
      </w:r>
      <w:r>
        <w:rPr>
          <w:rFonts w:asciiTheme="majorHAnsi" w:eastAsia="Calibri" w:hAnsiTheme="majorHAnsi" w:cstheme="majorHAnsi"/>
          <w:sz w:val="22"/>
          <w:szCs w:val="22"/>
        </w:rPr>
        <w:t>:</w:t>
      </w:r>
      <w:r w:rsidR="00B106C9" w:rsidRPr="00CE622F">
        <w:rPr>
          <w:rFonts w:asciiTheme="majorHAnsi" w:eastAsia="Calibri" w:hAnsiTheme="majorHAnsi" w:cstheme="majorHAnsi"/>
          <w:sz w:val="22"/>
          <w:szCs w:val="22"/>
        </w:rPr>
        <w:t xml:space="preserve"> </w:t>
      </w:r>
      <w:r w:rsidR="00B106C9" w:rsidRPr="00CE622F">
        <w:rPr>
          <w:rFonts w:asciiTheme="majorHAnsi" w:eastAsia="Calibri" w:hAnsiTheme="majorHAnsi" w:cstheme="majorHAnsi"/>
          <w:i/>
          <w:iCs/>
          <w:sz w:val="22"/>
          <w:szCs w:val="22"/>
        </w:rPr>
        <w:t>Ensure that the management and use of wild species are sustainable, thereby providing social, economic and environmental benefits for people, especially those in vulnerable situations and those most dependent on biodiversity, including through sustainable biodiversity-based activities, products and services that enhance biodiversity, and protecting and encouraging customary sustainable use by indigenous peoples and local communities</w:t>
      </w:r>
      <w:r w:rsidR="00B106C9" w:rsidRPr="00CE622F">
        <w:rPr>
          <w:rFonts w:asciiTheme="majorHAnsi" w:eastAsia="Calibri" w:hAnsiTheme="majorHAnsi" w:cstheme="majorHAnsi"/>
          <w:sz w:val="22"/>
          <w:szCs w:val="22"/>
        </w:rPr>
        <w:t>.</w:t>
      </w:r>
    </w:p>
    <w:p w14:paraId="6CE2B4DC" w14:textId="77777777" w:rsidR="00CE622F" w:rsidRPr="00CE622F" w:rsidRDefault="00CE622F" w:rsidP="00CE622F">
      <w:pPr>
        <w:pBdr>
          <w:top w:val="nil"/>
          <w:left w:val="nil"/>
          <w:bottom w:val="nil"/>
          <w:right w:val="nil"/>
          <w:between w:val="nil"/>
        </w:pBdr>
        <w:ind w:left="425" w:hanging="425"/>
        <w:rPr>
          <w:rFonts w:asciiTheme="majorHAnsi" w:eastAsia="Calibri" w:hAnsiTheme="majorHAnsi" w:cstheme="majorHAnsi"/>
          <w:sz w:val="22"/>
          <w:szCs w:val="22"/>
        </w:rPr>
      </w:pPr>
    </w:p>
    <w:tbl>
      <w:tblPr>
        <w:tblStyle w:val="TableGrid"/>
        <w:tblW w:w="0" w:type="auto"/>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1921"/>
        <w:gridCol w:w="7086"/>
      </w:tblGrid>
      <w:tr w:rsidR="00B106C9" w:rsidRPr="00CE622F" w14:paraId="46037AC2" w14:textId="77777777" w:rsidTr="00072BDF">
        <w:trPr>
          <w:trHeight w:val="603"/>
        </w:trPr>
        <w:tc>
          <w:tcPr>
            <w:tcW w:w="1921" w:type="dxa"/>
            <w:hideMark/>
          </w:tcPr>
          <w:p w14:paraId="3329EA96" w14:textId="77777777" w:rsidR="00B106C9" w:rsidRPr="00CE622F" w:rsidRDefault="00B106C9" w:rsidP="00072BDF">
            <w:pPr>
              <w:spacing w:before="160"/>
              <w:rPr>
                <w:rFonts w:asciiTheme="majorHAnsi" w:hAnsiTheme="majorHAnsi" w:cstheme="majorHAnsi"/>
                <w:b w:val="0"/>
                <w:bCs/>
                <w:sz w:val="20"/>
                <w:szCs w:val="20"/>
              </w:rPr>
            </w:pPr>
            <w:r w:rsidRPr="00CE622F">
              <w:rPr>
                <w:rFonts w:asciiTheme="majorHAnsi" w:hAnsiTheme="majorHAnsi" w:cstheme="majorHAnsi"/>
                <w:bCs/>
                <w:sz w:val="20"/>
                <w:szCs w:val="20"/>
              </w:rPr>
              <w:t>Headline indicators</w:t>
            </w:r>
          </w:p>
        </w:tc>
        <w:tc>
          <w:tcPr>
            <w:tcW w:w="7087" w:type="dxa"/>
            <w:hideMark/>
          </w:tcPr>
          <w:p w14:paraId="6A19404D" w14:textId="77777777" w:rsidR="00B106C9" w:rsidRPr="00CE622F" w:rsidRDefault="00B106C9" w:rsidP="00072BDF">
            <w:pPr>
              <w:pStyle w:val="paragraph"/>
              <w:spacing w:before="160" w:beforeAutospacing="0" w:after="160" w:afterAutospacing="0"/>
              <w:textAlignment w:val="baseline"/>
              <w:rPr>
                <w:rFonts w:asciiTheme="majorHAnsi" w:hAnsiTheme="majorHAnsi" w:cstheme="majorHAnsi"/>
                <w:b w:val="0"/>
                <w:bCs/>
                <w:color w:val="000000"/>
                <w:kern w:val="2"/>
                <w:sz w:val="20"/>
                <w:szCs w:val="20"/>
                <w:lang w:val="en-US"/>
                <w14:ligatures w14:val="standardContextual"/>
              </w:rPr>
            </w:pPr>
            <w:r w:rsidRPr="00CE622F">
              <w:rPr>
                <w:rStyle w:val="normaltextrun"/>
                <w:rFonts w:asciiTheme="majorHAnsi" w:hAnsiTheme="majorHAnsi" w:cstheme="majorHAnsi"/>
                <w:b w:val="0"/>
                <w:bCs/>
                <w:color w:val="000000"/>
                <w:kern w:val="2"/>
                <w:position w:val="1"/>
                <w:sz w:val="20"/>
                <w:szCs w:val="20"/>
                <w14:ligatures w14:val="standardContextual"/>
              </w:rPr>
              <w:t>9.1 Benefits from the sustainable use of wild species.*</w:t>
            </w:r>
          </w:p>
          <w:p w14:paraId="65C4B292" w14:textId="77777777" w:rsidR="00B106C9" w:rsidRPr="00CE622F" w:rsidRDefault="00B106C9" w:rsidP="00072BDF">
            <w:pPr>
              <w:pStyle w:val="paragraph"/>
              <w:spacing w:before="160" w:beforeAutospacing="0" w:after="160" w:afterAutospacing="0"/>
              <w:textAlignment w:val="baseline"/>
              <w:rPr>
                <w:rFonts w:asciiTheme="majorHAnsi" w:hAnsiTheme="majorHAnsi" w:cstheme="majorHAnsi"/>
                <w:b w:val="0"/>
                <w:bCs/>
                <w:color w:val="000000"/>
                <w:kern w:val="2"/>
                <w:sz w:val="20"/>
                <w:szCs w:val="20"/>
                <w14:ligatures w14:val="standardContextual"/>
              </w:rPr>
            </w:pPr>
            <w:r w:rsidRPr="00CE622F">
              <w:rPr>
                <w:rStyle w:val="normaltextrun"/>
                <w:rFonts w:asciiTheme="majorHAnsi" w:hAnsiTheme="majorHAnsi" w:cstheme="majorHAnsi"/>
                <w:b w:val="0"/>
                <w:bCs/>
                <w:color w:val="000000"/>
                <w:kern w:val="2"/>
                <w:position w:val="1"/>
                <w:sz w:val="20"/>
                <w:szCs w:val="20"/>
                <w14:ligatures w14:val="standardContextual"/>
              </w:rPr>
              <w:t>9.2 Percentage of the population in traditional occupations* (no metadata available).</w:t>
            </w:r>
          </w:p>
        </w:tc>
      </w:tr>
      <w:tr w:rsidR="00B106C9" w:rsidRPr="00CE622F" w14:paraId="4E12D340" w14:textId="77777777" w:rsidTr="00072BDF">
        <w:tc>
          <w:tcPr>
            <w:tcW w:w="1921" w:type="dxa"/>
            <w:hideMark/>
          </w:tcPr>
          <w:p w14:paraId="0E8937A6" w14:textId="77777777" w:rsidR="00B106C9" w:rsidRPr="00CE622F" w:rsidRDefault="00B106C9" w:rsidP="00072BDF">
            <w:pPr>
              <w:spacing w:before="160" w:after="160"/>
              <w:rPr>
                <w:rFonts w:asciiTheme="majorHAnsi" w:hAnsiTheme="majorHAnsi" w:cstheme="majorHAnsi"/>
                <w:b w:val="0"/>
                <w:bCs/>
                <w:kern w:val="2"/>
                <w:sz w:val="20"/>
                <w:szCs w:val="20"/>
                <w14:ligatures w14:val="standardContextual"/>
              </w:rPr>
            </w:pPr>
            <w:r w:rsidRPr="00CE622F">
              <w:rPr>
                <w:rFonts w:asciiTheme="majorHAnsi" w:hAnsiTheme="majorHAnsi" w:cstheme="majorHAnsi"/>
                <w:bCs/>
                <w:sz w:val="20"/>
                <w:szCs w:val="20"/>
              </w:rPr>
              <w:t xml:space="preserve">Sufficiency of </w:t>
            </w:r>
            <w:r w:rsidRPr="00CE622F">
              <w:rPr>
                <w:rFonts w:asciiTheme="majorHAnsi" w:hAnsiTheme="majorHAnsi" w:cstheme="majorHAnsi"/>
                <w:bCs/>
                <w:sz w:val="20"/>
                <w:szCs w:val="20"/>
              </w:rPr>
              <w:br/>
              <w:t xml:space="preserve">the indicator </w:t>
            </w:r>
            <w:r w:rsidRPr="00CE622F">
              <w:rPr>
                <w:rFonts w:asciiTheme="majorHAnsi" w:hAnsiTheme="majorHAnsi" w:cstheme="majorHAnsi"/>
                <w:bCs/>
                <w:sz w:val="20"/>
                <w:szCs w:val="20"/>
              </w:rPr>
              <w:br/>
              <w:t>for wetlands</w:t>
            </w:r>
          </w:p>
        </w:tc>
        <w:tc>
          <w:tcPr>
            <w:tcW w:w="7087" w:type="dxa"/>
          </w:tcPr>
          <w:p w14:paraId="4128A69C"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 w:val="0"/>
                <w:bCs/>
                <w:sz w:val="20"/>
                <w:szCs w:val="20"/>
              </w:rPr>
              <w:t xml:space="preserve">The wise use of wetlands is one of the pillars to the Convention on Wetlands, including the use of wild species. It is noted that both headline indicators are still in development. </w:t>
            </w:r>
          </w:p>
          <w:p w14:paraId="4F8C7734"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 w:val="0"/>
                <w:bCs/>
                <w:sz w:val="20"/>
                <w:szCs w:val="20"/>
              </w:rPr>
              <w:t xml:space="preserve">Headline indicator 9.1: </w:t>
            </w:r>
          </w:p>
          <w:p w14:paraId="5AC5D922" w14:textId="77777777" w:rsidR="00B106C9" w:rsidRPr="00CE622F"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CE622F">
              <w:rPr>
                <w:rFonts w:asciiTheme="majorHAnsi" w:hAnsiTheme="majorHAnsi" w:cstheme="majorHAnsi"/>
                <w:b w:val="0"/>
                <w:bCs/>
                <w:sz w:val="20"/>
                <w:szCs w:val="20"/>
              </w:rPr>
              <w:t xml:space="preserve">As this indicator is based on the SEEA Environmental Accounting methodology, it depends on inputs from national reporting. Clear guidance will be needed to ensure submission of national information that allows for information by ecosystem type, including for freshwater, marine and coastal species. </w:t>
            </w:r>
          </w:p>
          <w:p w14:paraId="7327E5FC" w14:textId="77777777" w:rsidR="00B106C9" w:rsidRPr="00CE622F"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CE622F">
              <w:rPr>
                <w:rFonts w:asciiTheme="majorHAnsi" w:hAnsiTheme="majorHAnsi" w:cstheme="majorHAnsi"/>
                <w:b w:val="0"/>
                <w:bCs/>
                <w:sz w:val="20"/>
                <w:szCs w:val="20"/>
              </w:rPr>
              <w:lastRenderedPageBreak/>
              <w:t xml:space="preserve">There is a potential challenge in being able to assess sustainable management and use across all wild species in any particular area, for example there may be conflicting evidence for different species in a particular area, and a question as to how this will be dealt with. </w:t>
            </w:r>
          </w:p>
          <w:p w14:paraId="5CAEDF51" w14:textId="77777777" w:rsidR="00B106C9" w:rsidRPr="00CE622F"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CE622F">
              <w:rPr>
                <w:rFonts w:asciiTheme="majorHAnsi" w:hAnsiTheme="majorHAnsi" w:cstheme="majorHAnsi"/>
                <w:b w:val="0"/>
                <w:bCs/>
                <w:sz w:val="20"/>
                <w:szCs w:val="20"/>
              </w:rPr>
              <w:t>There is</w:t>
            </w:r>
            <w:r w:rsidRPr="00CE622F">
              <w:rPr>
                <w:rStyle w:val="normaltextrun"/>
                <w:rFonts w:asciiTheme="majorHAnsi" w:hAnsiTheme="majorHAnsi" w:cstheme="majorHAnsi"/>
                <w:b w:val="0"/>
                <w:bCs/>
                <w:color w:val="000000"/>
                <w:sz w:val="20"/>
                <w:szCs w:val="20"/>
                <w:lang w:val="en-US"/>
              </w:rPr>
              <w:t xml:space="preserve"> a question as to how critically endangered species (as established by IUCN Red List assessments) will be considered in the reporting against headline indicator 9.1. </w:t>
            </w:r>
          </w:p>
          <w:p w14:paraId="3BBA207C"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 w:val="0"/>
                <w:bCs/>
                <w:sz w:val="20"/>
                <w:szCs w:val="20"/>
              </w:rPr>
              <w:t xml:space="preserve">Headline indicator 9.2: </w:t>
            </w:r>
          </w:p>
          <w:p w14:paraId="6E7D0AC3" w14:textId="77777777" w:rsidR="00B106C9" w:rsidRPr="00CE622F"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CE622F">
              <w:rPr>
                <w:rFonts w:asciiTheme="majorHAnsi" w:hAnsiTheme="majorHAnsi" w:cstheme="majorHAnsi"/>
                <w:b w:val="0"/>
                <w:bCs/>
                <w:sz w:val="20"/>
                <w:szCs w:val="20"/>
              </w:rPr>
              <w:t>The STRP notes that it is a significant assumption to assume that people in traditional occupations are conducting these in a sustainable way. It is recommended that a definition for “sustainable traditional occupations” is included in the metadata, when it is developed.</w:t>
            </w:r>
          </w:p>
        </w:tc>
      </w:tr>
      <w:tr w:rsidR="00B106C9" w:rsidRPr="00CE622F" w14:paraId="3D02EF9E" w14:textId="77777777" w:rsidTr="00072BDF">
        <w:tc>
          <w:tcPr>
            <w:tcW w:w="1921" w:type="dxa"/>
            <w:hideMark/>
          </w:tcPr>
          <w:p w14:paraId="433F1431"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Cs/>
                <w:sz w:val="20"/>
                <w:szCs w:val="20"/>
              </w:rPr>
              <w:lastRenderedPageBreak/>
              <w:t>Recommendations related to metadata</w:t>
            </w:r>
          </w:p>
        </w:tc>
        <w:tc>
          <w:tcPr>
            <w:tcW w:w="7087" w:type="dxa"/>
            <w:hideMark/>
          </w:tcPr>
          <w:p w14:paraId="65F682C0"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 w:val="0"/>
                <w:bCs/>
                <w:sz w:val="20"/>
                <w:szCs w:val="20"/>
              </w:rPr>
              <w:t xml:space="preserve">The STRP welcomes the ability to disaggregate this indicator by ecosystem type, and note any guidance should provide more information to make clear this should include freshwater/ coastal and marine species, so that these different elements can be tracked. </w:t>
            </w:r>
          </w:p>
        </w:tc>
      </w:tr>
      <w:tr w:rsidR="00B106C9" w:rsidRPr="00CE622F" w14:paraId="76528F29" w14:textId="77777777" w:rsidTr="00072BDF">
        <w:tc>
          <w:tcPr>
            <w:tcW w:w="1921" w:type="dxa"/>
            <w:hideMark/>
          </w:tcPr>
          <w:p w14:paraId="34AF6182"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Cs/>
                <w:sz w:val="20"/>
                <w:szCs w:val="20"/>
              </w:rPr>
              <w:t>Recommendations on data flows / sources to fill the gap</w:t>
            </w:r>
          </w:p>
        </w:tc>
        <w:tc>
          <w:tcPr>
            <w:tcW w:w="7087" w:type="dxa"/>
            <w:hideMark/>
          </w:tcPr>
          <w:p w14:paraId="473C7B4A"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 w:val="0"/>
                <w:bCs/>
                <w:sz w:val="20"/>
                <w:szCs w:val="20"/>
              </w:rPr>
              <w:t>No additional information</w:t>
            </w:r>
          </w:p>
        </w:tc>
      </w:tr>
      <w:tr w:rsidR="00B106C9" w:rsidRPr="00CE622F" w14:paraId="5918A113" w14:textId="77777777" w:rsidTr="00072BDF">
        <w:tc>
          <w:tcPr>
            <w:tcW w:w="1921" w:type="dxa"/>
            <w:hideMark/>
          </w:tcPr>
          <w:p w14:paraId="584B0A75"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Cs/>
                <w:sz w:val="20"/>
                <w:szCs w:val="20"/>
              </w:rPr>
              <w:t xml:space="preserve">Identification </w:t>
            </w:r>
            <w:r w:rsidRPr="00CE622F">
              <w:rPr>
                <w:rFonts w:asciiTheme="majorHAnsi" w:hAnsiTheme="majorHAnsi" w:cstheme="majorHAnsi"/>
                <w:bCs/>
                <w:sz w:val="20"/>
                <w:szCs w:val="20"/>
              </w:rPr>
              <w:br/>
              <w:t xml:space="preserve">of future tools </w:t>
            </w:r>
            <w:r w:rsidRPr="00CE622F">
              <w:rPr>
                <w:rFonts w:asciiTheme="majorHAnsi" w:hAnsiTheme="majorHAnsi" w:cstheme="majorHAnsi"/>
                <w:bCs/>
                <w:sz w:val="20"/>
                <w:szCs w:val="20"/>
              </w:rPr>
              <w:br/>
              <w:t>to fill gaps</w:t>
            </w:r>
          </w:p>
        </w:tc>
        <w:tc>
          <w:tcPr>
            <w:tcW w:w="7087" w:type="dxa"/>
          </w:tcPr>
          <w:p w14:paraId="51DD205E"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 w:val="0"/>
                <w:bCs/>
                <w:sz w:val="20"/>
                <w:szCs w:val="20"/>
              </w:rPr>
              <w:t>Progress in developing metrics to track progress against this target is of great interest to the Convention on Wetlands and it will be following these developments closely.</w:t>
            </w:r>
          </w:p>
          <w:p w14:paraId="2B2F8546"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 w:val="0"/>
                <w:bCs/>
                <w:sz w:val="20"/>
                <w:szCs w:val="20"/>
              </w:rPr>
              <w:t>The STRP is also aware that there is work being undertaken on understanding the sustainable use and management of freshwater fish by the International Water Management Institute that may be able to support measuring progress against this target in future.</w:t>
            </w:r>
          </w:p>
        </w:tc>
      </w:tr>
      <w:tr w:rsidR="00B106C9" w:rsidRPr="00CE622F" w14:paraId="6FF8AE9B" w14:textId="77777777" w:rsidTr="00072BDF">
        <w:tc>
          <w:tcPr>
            <w:tcW w:w="1921" w:type="dxa"/>
            <w:hideMark/>
          </w:tcPr>
          <w:p w14:paraId="20E83D28"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Cs/>
                <w:sz w:val="20"/>
                <w:szCs w:val="20"/>
              </w:rPr>
              <w:t>Recommendations component/ complementary indicators important for wetlands</w:t>
            </w:r>
          </w:p>
        </w:tc>
        <w:tc>
          <w:tcPr>
            <w:tcW w:w="7087" w:type="dxa"/>
            <w:hideMark/>
          </w:tcPr>
          <w:p w14:paraId="087EE68D"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 w:val="0"/>
                <w:bCs/>
                <w:sz w:val="20"/>
                <w:szCs w:val="20"/>
              </w:rPr>
              <w:t xml:space="preserve">Regarding the current list of component indicators identified in Decision 15/5, the STRP would recommend that any guidance flag </w:t>
            </w:r>
            <w:r w:rsidRPr="00CE622F">
              <w:rPr>
                <w:rStyle w:val="normaltextrun"/>
                <w:rFonts w:asciiTheme="majorHAnsi" w:hAnsiTheme="majorHAnsi" w:cstheme="majorHAnsi"/>
                <w:b w:val="0"/>
                <w:bCs/>
                <w:color w:val="000000" w:themeColor="text1"/>
                <w:position w:val="1"/>
                <w:sz w:val="20"/>
                <w:szCs w:val="20"/>
                <w:lang w:val="en-US"/>
              </w:rPr>
              <w:t>the following component indicators already listed as important for capturing information related to inland waters and coastal wetlands:</w:t>
            </w:r>
          </w:p>
          <w:p w14:paraId="075F597C" w14:textId="77777777" w:rsidR="00B106C9" w:rsidRPr="00CE622F"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CE622F">
              <w:rPr>
                <w:rFonts w:asciiTheme="majorHAnsi" w:hAnsiTheme="majorHAnsi" w:cstheme="majorHAnsi"/>
                <w:b w:val="0"/>
                <w:bCs/>
                <w:sz w:val="20"/>
                <w:szCs w:val="20"/>
              </w:rPr>
              <w:t>Red List Index (species used for food and medicine) (ID 353)</w:t>
            </w:r>
            <w:r w:rsidRPr="00CE622F">
              <w:rPr>
                <w:rStyle w:val="normaltextrun"/>
                <w:rFonts w:asciiTheme="majorHAnsi" w:hAnsiTheme="majorHAnsi" w:cstheme="majorHAnsi"/>
                <w:b w:val="0"/>
                <w:bCs/>
                <w:sz w:val="20"/>
                <w:szCs w:val="20"/>
              </w:rPr>
              <w:t xml:space="preserve"> could be used relatively easily – recognising there are limitations in the species groups currently included.</w:t>
            </w:r>
          </w:p>
        </w:tc>
      </w:tr>
    </w:tbl>
    <w:p w14:paraId="324F51DE" w14:textId="24D7D7DD" w:rsidR="00B106C9" w:rsidRPr="00CE622F" w:rsidRDefault="00B106C9" w:rsidP="00CE622F">
      <w:pPr>
        <w:pBdr>
          <w:top w:val="nil"/>
          <w:left w:val="nil"/>
          <w:bottom w:val="nil"/>
          <w:right w:val="nil"/>
          <w:between w:val="nil"/>
        </w:pBdr>
        <w:ind w:left="425" w:hanging="425"/>
        <w:rPr>
          <w:rFonts w:asciiTheme="majorHAnsi" w:eastAsia="Calibri" w:hAnsiTheme="majorHAnsi" w:cstheme="majorHAnsi"/>
          <w:sz w:val="22"/>
          <w:szCs w:val="22"/>
        </w:rPr>
      </w:pPr>
    </w:p>
    <w:p w14:paraId="2804784F" w14:textId="6EE43D43" w:rsidR="00B106C9" w:rsidRDefault="00CE622F" w:rsidP="00CE622F">
      <w:pPr>
        <w:pBdr>
          <w:top w:val="nil"/>
          <w:left w:val="nil"/>
          <w:bottom w:val="nil"/>
          <w:right w:val="nil"/>
          <w:between w:val="nil"/>
        </w:pBdr>
        <w:ind w:left="425" w:hanging="425"/>
        <w:rPr>
          <w:rFonts w:asciiTheme="majorHAnsi" w:eastAsia="Calibri" w:hAnsiTheme="majorHAnsi" w:cstheme="majorHAnsi"/>
          <w:sz w:val="22"/>
          <w:szCs w:val="22"/>
        </w:rPr>
      </w:pPr>
      <w:r>
        <w:rPr>
          <w:rFonts w:asciiTheme="majorHAnsi" w:eastAsia="Calibri" w:hAnsiTheme="majorHAnsi" w:cstheme="majorHAnsi"/>
          <w:sz w:val="22"/>
          <w:szCs w:val="22"/>
        </w:rPr>
        <w:t>26.</w:t>
      </w:r>
      <w:r>
        <w:rPr>
          <w:rFonts w:asciiTheme="majorHAnsi" w:eastAsia="Calibri" w:hAnsiTheme="majorHAnsi" w:cstheme="majorHAnsi"/>
          <w:sz w:val="22"/>
          <w:szCs w:val="22"/>
        </w:rPr>
        <w:tab/>
      </w:r>
      <w:r w:rsidR="00B106C9" w:rsidRPr="00CE622F">
        <w:rPr>
          <w:rFonts w:asciiTheme="majorHAnsi" w:eastAsia="Calibri" w:hAnsiTheme="majorHAnsi" w:cstheme="majorHAnsi"/>
          <w:b/>
          <w:bCs/>
          <w:sz w:val="22"/>
          <w:szCs w:val="22"/>
        </w:rPr>
        <w:t>Target 10</w:t>
      </w:r>
      <w:r>
        <w:rPr>
          <w:rFonts w:asciiTheme="majorHAnsi" w:eastAsia="Calibri" w:hAnsiTheme="majorHAnsi" w:cstheme="majorHAnsi"/>
          <w:sz w:val="22"/>
          <w:szCs w:val="22"/>
        </w:rPr>
        <w:t>:</w:t>
      </w:r>
      <w:r w:rsidR="00B106C9" w:rsidRPr="00CE622F">
        <w:rPr>
          <w:rFonts w:asciiTheme="majorHAnsi" w:eastAsia="Calibri" w:hAnsiTheme="majorHAnsi" w:cstheme="majorHAnsi"/>
          <w:sz w:val="22"/>
          <w:szCs w:val="22"/>
        </w:rPr>
        <w:t xml:space="preserve"> </w:t>
      </w:r>
      <w:r w:rsidR="00B106C9" w:rsidRPr="00CE622F">
        <w:rPr>
          <w:rFonts w:asciiTheme="majorHAnsi" w:eastAsia="Calibri" w:hAnsiTheme="majorHAnsi" w:cstheme="majorHAnsi"/>
          <w:i/>
          <w:iCs/>
          <w:sz w:val="22"/>
          <w:szCs w:val="22"/>
        </w:rPr>
        <w:t>Ensure that areas under agriculture, aquaculture, fisheries and forestry are managed sustainably, in particular through the sustainable use of biodiversity, including through a substantial increase of the application of biodiversity friendly practices, such as sustainable intensification, agroecological and other innovative approaches contributing to the resilience and long-term efficiency and productivity of these production systems and to food security, conserving and restoring biodiversity and maintaining nature’s contributions to people, including ecosystem functions and services</w:t>
      </w:r>
      <w:r w:rsidR="00B106C9" w:rsidRPr="00CE622F">
        <w:rPr>
          <w:rFonts w:asciiTheme="majorHAnsi" w:eastAsia="Calibri" w:hAnsiTheme="majorHAnsi" w:cstheme="majorHAnsi"/>
          <w:sz w:val="22"/>
          <w:szCs w:val="22"/>
        </w:rPr>
        <w:t>.</w:t>
      </w:r>
    </w:p>
    <w:p w14:paraId="1F350EC1" w14:textId="77777777" w:rsidR="00CE622F" w:rsidRPr="00CE622F" w:rsidRDefault="00CE622F" w:rsidP="00CE622F">
      <w:pPr>
        <w:pBdr>
          <w:top w:val="nil"/>
          <w:left w:val="nil"/>
          <w:bottom w:val="nil"/>
          <w:right w:val="nil"/>
          <w:between w:val="nil"/>
        </w:pBdr>
        <w:ind w:left="425" w:hanging="425"/>
        <w:rPr>
          <w:rFonts w:asciiTheme="majorHAnsi" w:eastAsia="Calibri" w:hAnsiTheme="majorHAnsi" w:cstheme="majorHAnsi"/>
          <w:sz w:val="22"/>
          <w:szCs w:val="22"/>
        </w:rPr>
      </w:pPr>
    </w:p>
    <w:tbl>
      <w:tblPr>
        <w:tblStyle w:val="TableGrid"/>
        <w:tblW w:w="9000" w:type="dxa"/>
        <w:tblInd w:w="-10"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1944"/>
        <w:gridCol w:w="7056"/>
      </w:tblGrid>
      <w:tr w:rsidR="00B106C9" w:rsidRPr="00CE622F" w14:paraId="65721C49" w14:textId="77777777" w:rsidTr="002700A9">
        <w:trPr>
          <w:trHeight w:val="603"/>
        </w:trPr>
        <w:tc>
          <w:tcPr>
            <w:tcW w:w="1944" w:type="dxa"/>
            <w:hideMark/>
          </w:tcPr>
          <w:p w14:paraId="4E882D30" w14:textId="77777777" w:rsidR="00B106C9" w:rsidRPr="00CE622F" w:rsidRDefault="00B106C9" w:rsidP="00072BDF">
            <w:pPr>
              <w:spacing w:before="160"/>
              <w:rPr>
                <w:rFonts w:asciiTheme="majorHAnsi" w:hAnsiTheme="majorHAnsi" w:cstheme="majorHAnsi"/>
                <w:b w:val="0"/>
                <w:bCs/>
                <w:sz w:val="20"/>
                <w:szCs w:val="20"/>
              </w:rPr>
            </w:pPr>
            <w:r w:rsidRPr="00CE622F">
              <w:rPr>
                <w:rFonts w:asciiTheme="majorHAnsi" w:hAnsiTheme="majorHAnsi" w:cstheme="majorHAnsi"/>
                <w:bCs/>
                <w:sz w:val="20"/>
                <w:szCs w:val="20"/>
              </w:rPr>
              <w:t>Headline indicator</w:t>
            </w:r>
          </w:p>
        </w:tc>
        <w:tc>
          <w:tcPr>
            <w:tcW w:w="7056" w:type="dxa"/>
            <w:hideMark/>
          </w:tcPr>
          <w:p w14:paraId="593A7702" w14:textId="77777777" w:rsidR="00B106C9" w:rsidRPr="00CE622F" w:rsidRDefault="00B106C9" w:rsidP="00072BDF">
            <w:pPr>
              <w:pStyle w:val="paragraph"/>
              <w:spacing w:before="160" w:beforeAutospacing="0" w:after="160" w:afterAutospacing="0"/>
              <w:textAlignment w:val="baseline"/>
              <w:rPr>
                <w:rFonts w:asciiTheme="majorHAnsi" w:hAnsiTheme="majorHAnsi" w:cstheme="majorHAnsi"/>
                <w:b w:val="0"/>
                <w:bCs/>
                <w:color w:val="000000"/>
                <w:kern w:val="2"/>
                <w:sz w:val="20"/>
                <w:szCs w:val="20"/>
                <w14:ligatures w14:val="standardContextual"/>
              </w:rPr>
            </w:pPr>
            <w:r w:rsidRPr="00CE622F">
              <w:rPr>
                <w:rStyle w:val="normaltextrun"/>
                <w:rFonts w:asciiTheme="majorHAnsi" w:hAnsiTheme="majorHAnsi" w:cstheme="majorHAnsi"/>
                <w:b w:val="0"/>
                <w:bCs/>
                <w:color w:val="000000"/>
                <w:kern w:val="2"/>
                <w:position w:val="1"/>
                <w:sz w:val="20"/>
                <w:szCs w:val="20"/>
                <w14:ligatures w14:val="standardContextual"/>
              </w:rPr>
              <w:t>10.1 Proportion of agricultural area under productive and sustainable agriculture.</w:t>
            </w:r>
          </w:p>
          <w:p w14:paraId="32F46922" w14:textId="77777777" w:rsidR="00B106C9" w:rsidRPr="00CE622F" w:rsidRDefault="00B106C9" w:rsidP="00072BDF">
            <w:pPr>
              <w:pStyle w:val="paragraph"/>
              <w:spacing w:before="160" w:beforeAutospacing="0" w:after="160" w:afterAutospacing="0"/>
              <w:textAlignment w:val="baseline"/>
              <w:rPr>
                <w:rFonts w:asciiTheme="majorHAnsi" w:hAnsiTheme="majorHAnsi" w:cstheme="majorHAnsi"/>
                <w:b w:val="0"/>
                <w:bCs/>
                <w:color w:val="000000"/>
                <w:kern w:val="2"/>
                <w:sz w:val="20"/>
                <w:szCs w:val="20"/>
                <w:lang w:val="en-US"/>
                <w14:ligatures w14:val="standardContextual"/>
              </w:rPr>
            </w:pPr>
            <w:r w:rsidRPr="00CE622F">
              <w:rPr>
                <w:rStyle w:val="normaltextrun"/>
                <w:rFonts w:asciiTheme="majorHAnsi" w:hAnsiTheme="majorHAnsi" w:cstheme="majorHAnsi"/>
                <w:b w:val="0"/>
                <w:bCs/>
                <w:color w:val="000000"/>
                <w:kern w:val="2"/>
                <w:position w:val="1"/>
                <w:sz w:val="20"/>
                <w:szCs w:val="20"/>
                <w14:ligatures w14:val="standardContextual"/>
              </w:rPr>
              <w:lastRenderedPageBreak/>
              <w:t>10.2 Progress towards sustainable forest management.</w:t>
            </w:r>
          </w:p>
        </w:tc>
      </w:tr>
      <w:tr w:rsidR="00B106C9" w:rsidRPr="00CE622F" w14:paraId="332729CB" w14:textId="77777777" w:rsidTr="002700A9">
        <w:tc>
          <w:tcPr>
            <w:tcW w:w="1944" w:type="dxa"/>
            <w:hideMark/>
          </w:tcPr>
          <w:p w14:paraId="65B3FBAD" w14:textId="77777777" w:rsidR="00B106C9" w:rsidRPr="00CE622F" w:rsidRDefault="00B106C9" w:rsidP="00072BDF">
            <w:pPr>
              <w:spacing w:before="160" w:after="160"/>
              <w:rPr>
                <w:rFonts w:asciiTheme="majorHAnsi" w:hAnsiTheme="majorHAnsi" w:cstheme="majorHAnsi"/>
                <w:b w:val="0"/>
                <w:bCs/>
                <w:kern w:val="2"/>
                <w:sz w:val="20"/>
                <w:szCs w:val="20"/>
                <w14:ligatures w14:val="standardContextual"/>
              </w:rPr>
            </w:pPr>
            <w:r w:rsidRPr="00CE622F">
              <w:rPr>
                <w:rFonts w:asciiTheme="majorHAnsi" w:hAnsiTheme="majorHAnsi" w:cstheme="majorHAnsi"/>
                <w:bCs/>
                <w:sz w:val="20"/>
                <w:szCs w:val="20"/>
              </w:rPr>
              <w:lastRenderedPageBreak/>
              <w:t xml:space="preserve">Sufficiency of </w:t>
            </w:r>
            <w:r w:rsidRPr="00CE622F">
              <w:rPr>
                <w:rFonts w:asciiTheme="majorHAnsi" w:hAnsiTheme="majorHAnsi" w:cstheme="majorHAnsi"/>
                <w:bCs/>
                <w:sz w:val="20"/>
                <w:szCs w:val="20"/>
              </w:rPr>
              <w:br/>
              <w:t xml:space="preserve">the indicator </w:t>
            </w:r>
            <w:r w:rsidRPr="00CE622F">
              <w:rPr>
                <w:rFonts w:asciiTheme="majorHAnsi" w:hAnsiTheme="majorHAnsi" w:cstheme="majorHAnsi"/>
                <w:bCs/>
                <w:sz w:val="20"/>
                <w:szCs w:val="20"/>
              </w:rPr>
              <w:br/>
              <w:t>for wetlands</w:t>
            </w:r>
          </w:p>
        </w:tc>
        <w:tc>
          <w:tcPr>
            <w:tcW w:w="7056" w:type="dxa"/>
          </w:tcPr>
          <w:p w14:paraId="44CB0FE9" w14:textId="77777777" w:rsidR="00B106C9" w:rsidRPr="00CE622F" w:rsidRDefault="00B106C9" w:rsidP="00072BDF">
            <w:pPr>
              <w:pStyle w:val="paragraph"/>
              <w:spacing w:before="160" w:beforeAutospacing="0" w:after="160" w:afterAutospacing="0"/>
              <w:textAlignment w:val="baseline"/>
              <w:rPr>
                <w:rFonts w:asciiTheme="majorHAnsi" w:hAnsiTheme="majorHAnsi" w:cstheme="majorHAnsi"/>
                <w:b w:val="0"/>
                <w:bCs/>
                <w:kern w:val="2"/>
                <w:sz w:val="20"/>
                <w:szCs w:val="20"/>
                <w14:ligatures w14:val="standardContextual"/>
              </w:rPr>
            </w:pPr>
            <w:r w:rsidRPr="00CE622F">
              <w:rPr>
                <w:rFonts w:asciiTheme="majorHAnsi" w:hAnsiTheme="majorHAnsi" w:cstheme="majorHAnsi"/>
                <w:b w:val="0"/>
                <w:bCs/>
                <w:kern w:val="2"/>
                <w:sz w:val="20"/>
                <w:szCs w:val="20"/>
                <w14:ligatures w14:val="standardContextual"/>
              </w:rPr>
              <w:t xml:space="preserve">Unsustainable agriculture and conversion of wetlands into agricultural is </w:t>
            </w:r>
            <w:hyperlink r:id="rId46" w:history="1">
              <w:r w:rsidRPr="00CE622F">
                <w:rPr>
                  <w:rStyle w:val="Hyperlink"/>
                  <w:rFonts w:asciiTheme="majorHAnsi" w:hAnsiTheme="majorHAnsi" w:cstheme="majorHAnsi"/>
                  <w:b w:val="0"/>
                  <w:bCs/>
                  <w:kern w:val="2"/>
                  <w:sz w:val="20"/>
                  <w:szCs w:val="20"/>
                  <w14:ligatures w14:val="standardContextual"/>
                </w:rPr>
                <w:t>one of the main drivers of change</w:t>
              </w:r>
            </w:hyperlink>
            <w:r w:rsidRPr="00CE622F">
              <w:rPr>
                <w:rFonts w:asciiTheme="majorHAnsi" w:hAnsiTheme="majorHAnsi" w:cstheme="majorHAnsi"/>
                <w:b w:val="0"/>
                <w:bCs/>
                <w:kern w:val="2"/>
                <w:sz w:val="20"/>
                <w:szCs w:val="20"/>
                <w14:ligatures w14:val="standardContextual"/>
              </w:rPr>
              <w:t xml:space="preserve"> for wetlands. The priority interest for the Convention on Wetlands with respect to Target 10 is to understand the change in the proportion of areas under agriculture, aquaculture and forestry in relation to inland waters and coastal wetlands. The following comments relate to headline indicator 10.1.</w:t>
            </w:r>
          </w:p>
          <w:p w14:paraId="3D2E4559" w14:textId="77777777" w:rsidR="00B106C9" w:rsidRPr="00CE622F" w:rsidRDefault="00B106C9" w:rsidP="00072BDF">
            <w:pPr>
              <w:pStyle w:val="paragraph"/>
              <w:spacing w:before="160" w:beforeAutospacing="0" w:after="160" w:afterAutospacing="0"/>
              <w:textAlignment w:val="baseline"/>
              <w:rPr>
                <w:rFonts w:asciiTheme="majorHAnsi" w:hAnsiTheme="majorHAnsi" w:cstheme="majorHAnsi"/>
                <w:b w:val="0"/>
                <w:bCs/>
                <w:kern w:val="2"/>
                <w:sz w:val="20"/>
                <w:szCs w:val="20"/>
                <w14:ligatures w14:val="standardContextual"/>
              </w:rPr>
            </w:pPr>
            <w:r w:rsidRPr="00CE622F">
              <w:rPr>
                <w:rFonts w:asciiTheme="majorHAnsi" w:hAnsiTheme="majorHAnsi" w:cstheme="majorHAnsi"/>
                <w:b w:val="0"/>
                <w:bCs/>
                <w:kern w:val="2"/>
                <w:sz w:val="20"/>
                <w:szCs w:val="20"/>
                <w14:ligatures w14:val="standardContextual"/>
              </w:rPr>
              <w:t xml:space="preserve">We propose that the use of component and complementary indicators already listed for other targets could fill gaps in tracking the sustainability of these activities. </w:t>
            </w:r>
          </w:p>
        </w:tc>
      </w:tr>
      <w:tr w:rsidR="00B106C9" w:rsidRPr="00CE622F" w14:paraId="431E2233" w14:textId="77777777" w:rsidTr="002700A9">
        <w:tc>
          <w:tcPr>
            <w:tcW w:w="1944" w:type="dxa"/>
            <w:hideMark/>
          </w:tcPr>
          <w:p w14:paraId="007B2F03" w14:textId="77777777" w:rsidR="00B106C9" w:rsidRPr="00CE622F" w:rsidRDefault="00B106C9" w:rsidP="00072BDF">
            <w:pPr>
              <w:spacing w:before="160" w:after="160"/>
              <w:rPr>
                <w:rFonts w:asciiTheme="majorHAnsi" w:hAnsiTheme="majorHAnsi" w:cstheme="majorHAnsi"/>
                <w:b w:val="0"/>
                <w:bCs/>
                <w:kern w:val="2"/>
                <w:sz w:val="20"/>
                <w:szCs w:val="20"/>
                <w14:ligatures w14:val="standardContextual"/>
              </w:rPr>
            </w:pPr>
            <w:r w:rsidRPr="00CE622F">
              <w:rPr>
                <w:rFonts w:asciiTheme="majorHAnsi" w:hAnsiTheme="majorHAnsi" w:cstheme="majorHAnsi"/>
                <w:bCs/>
                <w:sz w:val="20"/>
                <w:szCs w:val="20"/>
              </w:rPr>
              <w:t>Recommendations related to metadata</w:t>
            </w:r>
          </w:p>
        </w:tc>
        <w:tc>
          <w:tcPr>
            <w:tcW w:w="7056" w:type="dxa"/>
            <w:hideMark/>
          </w:tcPr>
          <w:p w14:paraId="10C72689" w14:textId="77777777" w:rsidR="00B106C9" w:rsidRPr="00CE622F" w:rsidRDefault="00B106C9" w:rsidP="00072BDF">
            <w:pPr>
              <w:pStyle w:val="paragraph"/>
              <w:spacing w:before="160" w:beforeAutospacing="0" w:after="160" w:afterAutospacing="0"/>
              <w:textAlignment w:val="baseline"/>
              <w:rPr>
                <w:rStyle w:val="normaltextrun"/>
                <w:rFonts w:asciiTheme="majorHAnsi" w:hAnsiTheme="majorHAnsi" w:cstheme="majorHAnsi"/>
                <w:b w:val="0"/>
                <w:bCs/>
                <w:kern w:val="2"/>
                <w:sz w:val="20"/>
                <w:szCs w:val="20"/>
                <w14:ligatures w14:val="standardContextual"/>
              </w:rPr>
            </w:pPr>
            <w:r w:rsidRPr="00CE622F">
              <w:rPr>
                <w:rFonts w:asciiTheme="majorHAnsi" w:hAnsiTheme="majorHAnsi" w:cstheme="majorHAnsi"/>
                <w:b w:val="0"/>
                <w:bCs/>
                <w:kern w:val="2"/>
                <w:sz w:val="20"/>
                <w:szCs w:val="20"/>
                <w14:ligatures w14:val="standardContextual"/>
              </w:rPr>
              <w:t xml:space="preserve">The definition of sustainable agriculture set out in part 4 of </w:t>
            </w:r>
            <w:hyperlink r:id="rId47" w:history="1">
              <w:r w:rsidRPr="00CE622F">
                <w:rPr>
                  <w:rStyle w:val="Hyperlink"/>
                  <w:rFonts w:asciiTheme="majorHAnsi" w:hAnsiTheme="majorHAnsi" w:cstheme="majorHAnsi"/>
                  <w:b w:val="0"/>
                  <w:bCs/>
                  <w:kern w:val="2"/>
                  <w:sz w:val="20"/>
                  <w:szCs w:val="20"/>
                  <w14:ligatures w14:val="standardContextual"/>
                </w:rPr>
                <w:t>the metadata for 10.1</w:t>
              </w:r>
            </w:hyperlink>
            <w:r w:rsidRPr="00CE622F">
              <w:rPr>
                <w:rFonts w:asciiTheme="majorHAnsi" w:hAnsiTheme="majorHAnsi" w:cstheme="majorHAnsi"/>
                <w:b w:val="0"/>
                <w:bCs/>
                <w:kern w:val="2"/>
                <w:sz w:val="20"/>
                <w:szCs w:val="20"/>
                <w14:ligatures w14:val="standardContextual"/>
              </w:rPr>
              <w:t xml:space="preserve"> is helpful, however the scope of this indicator (see section 5a) excludes holdings that are exclusively on aquaculture, and food harvested from the wild (i.e. fisheries), meaning there are significant gaps in the sufficiency for inland waters and coastal wetlands.</w:t>
            </w:r>
          </w:p>
        </w:tc>
      </w:tr>
      <w:tr w:rsidR="00B106C9" w:rsidRPr="00CE622F" w14:paraId="30383D10" w14:textId="77777777" w:rsidTr="002700A9">
        <w:tc>
          <w:tcPr>
            <w:tcW w:w="1944" w:type="dxa"/>
            <w:hideMark/>
          </w:tcPr>
          <w:p w14:paraId="7612C7FE"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Cs/>
                <w:sz w:val="20"/>
                <w:szCs w:val="20"/>
              </w:rPr>
              <w:t>Recommendations on data flows / sources to fill the gap</w:t>
            </w:r>
          </w:p>
        </w:tc>
        <w:tc>
          <w:tcPr>
            <w:tcW w:w="7056" w:type="dxa"/>
            <w:hideMark/>
          </w:tcPr>
          <w:p w14:paraId="498F4C1D" w14:textId="77777777" w:rsidR="00B106C9" w:rsidRPr="00CE622F" w:rsidRDefault="00B106C9" w:rsidP="00072BDF">
            <w:pPr>
              <w:pStyle w:val="paragraph"/>
              <w:spacing w:before="160" w:beforeAutospacing="0" w:after="160" w:afterAutospacing="0"/>
              <w:textAlignment w:val="baseline"/>
              <w:rPr>
                <w:rStyle w:val="normaltextrun"/>
                <w:rFonts w:asciiTheme="majorHAnsi" w:hAnsiTheme="majorHAnsi" w:cstheme="majorHAnsi"/>
                <w:b w:val="0"/>
                <w:bCs/>
                <w:color w:val="000000"/>
                <w:kern w:val="2"/>
                <w:position w:val="1"/>
                <w:sz w:val="20"/>
                <w:szCs w:val="20"/>
                <w:lang w:val="en-US"/>
                <w14:ligatures w14:val="standardContextual"/>
              </w:rPr>
            </w:pPr>
            <w:r w:rsidRPr="00CE622F">
              <w:rPr>
                <w:rStyle w:val="normaltextrun"/>
                <w:rFonts w:asciiTheme="majorHAnsi" w:hAnsiTheme="majorHAnsi" w:cstheme="majorHAnsi"/>
                <w:b w:val="0"/>
                <w:bCs/>
                <w:color w:val="000000"/>
                <w:kern w:val="2"/>
                <w:position w:val="1"/>
                <w:sz w:val="20"/>
                <w:szCs w:val="20"/>
                <w:lang w:val="en-US"/>
                <w14:ligatures w14:val="standardContextual"/>
              </w:rPr>
              <w:t>The Convention on Wetlands has published the following on the issue:</w:t>
            </w:r>
          </w:p>
          <w:p w14:paraId="1967E3A8" w14:textId="77777777" w:rsidR="00B106C9" w:rsidRPr="00CE622F" w:rsidRDefault="00C768CA" w:rsidP="00DA59A8">
            <w:pPr>
              <w:pStyle w:val="ListParagraph"/>
              <w:numPr>
                <w:ilvl w:val="0"/>
                <w:numId w:val="28"/>
              </w:numPr>
              <w:spacing w:before="160" w:after="160"/>
              <w:ind w:left="320" w:hanging="320"/>
              <w:rPr>
                <w:rStyle w:val="normaltextrun"/>
                <w:rFonts w:asciiTheme="majorHAnsi" w:hAnsiTheme="majorHAnsi" w:cstheme="majorHAnsi"/>
                <w:b w:val="0"/>
                <w:bCs/>
                <w:color w:val="000000"/>
                <w:kern w:val="2"/>
                <w:position w:val="1"/>
                <w:sz w:val="20"/>
                <w:szCs w:val="20"/>
                <w:lang w:val="en-US"/>
                <w14:ligatures w14:val="standardContextual"/>
              </w:rPr>
            </w:pPr>
            <w:hyperlink r:id="rId48" w:history="1">
              <w:r w:rsidR="00B106C9" w:rsidRPr="00CE622F">
                <w:rPr>
                  <w:rStyle w:val="Hyperlink"/>
                  <w:rFonts w:asciiTheme="majorHAnsi" w:hAnsiTheme="majorHAnsi" w:cstheme="majorHAnsi"/>
                  <w:b w:val="0"/>
                  <w:bCs/>
                  <w:kern w:val="2"/>
                  <w:position w:val="1"/>
                  <w:sz w:val="20"/>
                  <w:szCs w:val="20"/>
                  <w:lang w:val="en-US"/>
                  <w14:ligatures w14:val="standardContextual"/>
                </w:rPr>
                <w:t>Policy Brief 6</w:t>
              </w:r>
            </w:hyperlink>
            <w:r w:rsidR="00B106C9" w:rsidRPr="00CE622F">
              <w:rPr>
                <w:rStyle w:val="normaltextrun"/>
                <w:rFonts w:asciiTheme="majorHAnsi" w:hAnsiTheme="majorHAnsi" w:cstheme="majorHAnsi"/>
                <w:b w:val="0"/>
                <w:bCs/>
                <w:color w:val="000000"/>
                <w:kern w:val="2"/>
                <w:position w:val="1"/>
                <w:sz w:val="20"/>
                <w:szCs w:val="20"/>
                <w:lang w:val="en-US"/>
                <w14:ligatures w14:val="standardContextual"/>
              </w:rPr>
              <w:t xml:space="preserve"> (2021): transforming agriculture to sustain people and wetlands identifies </w:t>
            </w:r>
            <w:r w:rsidR="00B106C9" w:rsidRPr="00CE622F">
              <w:rPr>
                <w:rStyle w:val="normaltextrun"/>
                <w:rFonts w:asciiTheme="majorHAnsi" w:hAnsiTheme="majorHAnsi" w:cstheme="majorHAnsi"/>
                <w:b w:val="0"/>
                <w:bCs/>
                <w:sz w:val="20"/>
                <w:szCs w:val="20"/>
              </w:rPr>
              <w:t>priority</w:t>
            </w:r>
            <w:r w:rsidR="00B106C9" w:rsidRPr="00CE622F">
              <w:rPr>
                <w:rStyle w:val="normaltextrun"/>
                <w:rFonts w:asciiTheme="majorHAnsi" w:hAnsiTheme="majorHAnsi" w:cstheme="majorHAnsi"/>
                <w:b w:val="0"/>
                <w:bCs/>
                <w:color w:val="000000"/>
                <w:kern w:val="2"/>
                <w:position w:val="1"/>
                <w:sz w:val="20"/>
                <w:szCs w:val="20"/>
                <w:lang w:val="en-US"/>
                <w14:ligatures w14:val="standardContextual"/>
              </w:rPr>
              <w:t xml:space="preserve"> actions across sectors to increase the sustainability of agriculture and promote the wise use of wetlands. </w:t>
            </w:r>
          </w:p>
          <w:p w14:paraId="419565D2" w14:textId="77777777" w:rsidR="00B106C9" w:rsidRPr="00CE622F" w:rsidRDefault="00C768CA" w:rsidP="00DA59A8">
            <w:pPr>
              <w:pStyle w:val="ListParagraph"/>
              <w:numPr>
                <w:ilvl w:val="0"/>
                <w:numId w:val="28"/>
              </w:numPr>
              <w:spacing w:before="160" w:after="160"/>
              <w:ind w:left="320" w:hanging="320"/>
              <w:rPr>
                <w:rStyle w:val="normaltextrun"/>
                <w:rFonts w:asciiTheme="majorHAnsi" w:hAnsiTheme="majorHAnsi" w:cstheme="majorHAnsi"/>
                <w:b w:val="0"/>
                <w:bCs/>
                <w:color w:val="000000"/>
                <w:kern w:val="2"/>
                <w:position w:val="1"/>
                <w:sz w:val="20"/>
                <w:szCs w:val="20"/>
                <w:lang w:val="en-US"/>
                <w14:ligatures w14:val="standardContextual"/>
              </w:rPr>
            </w:pPr>
            <w:hyperlink r:id="rId49" w:history="1">
              <w:r w:rsidR="00B106C9" w:rsidRPr="00CE622F">
                <w:rPr>
                  <w:rStyle w:val="Hyperlink"/>
                  <w:rFonts w:asciiTheme="majorHAnsi" w:hAnsiTheme="majorHAnsi" w:cstheme="majorHAnsi"/>
                  <w:b w:val="0"/>
                  <w:bCs/>
                  <w:kern w:val="2"/>
                  <w:position w:val="1"/>
                  <w:sz w:val="20"/>
                  <w:szCs w:val="20"/>
                  <w:lang w:val="en-US"/>
                  <w14:ligatures w14:val="standardContextual"/>
                </w:rPr>
                <w:t>Briefing note 13</w:t>
              </w:r>
            </w:hyperlink>
            <w:r w:rsidR="00B106C9" w:rsidRPr="00CE622F">
              <w:rPr>
                <w:rStyle w:val="normaltextrun"/>
                <w:rFonts w:asciiTheme="majorHAnsi" w:hAnsiTheme="majorHAnsi" w:cstheme="majorHAnsi"/>
                <w:b w:val="0"/>
                <w:bCs/>
                <w:color w:val="000000"/>
                <w:kern w:val="2"/>
                <w:position w:val="1"/>
                <w:sz w:val="20"/>
                <w:szCs w:val="20"/>
                <w:lang w:val="en-US"/>
                <w14:ligatures w14:val="standardContextual"/>
              </w:rPr>
              <w:t xml:space="preserve"> (2022): Wetlands and agriculture: impacts of farming practices and </w:t>
            </w:r>
            <w:r w:rsidR="00B106C9" w:rsidRPr="00CE622F">
              <w:rPr>
                <w:rStyle w:val="normaltextrun"/>
                <w:rFonts w:asciiTheme="majorHAnsi" w:hAnsiTheme="majorHAnsi" w:cstheme="majorHAnsi"/>
                <w:b w:val="0"/>
                <w:bCs/>
                <w:sz w:val="20"/>
                <w:szCs w:val="20"/>
              </w:rPr>
              <w:t>pathways</w:t>
            </w:r>
            <w:r w:rsidR="00B106C9" w:rsidRPr="00CE622F">
              <w:rPr>
                <w:rStyle w:val="normaltextrun"/>
                <w:rFonts w:asciiTheme="majorHAnsi" w:hAnsiTheme="majorHAnsi" w:cstheme="majorHAnsi"/>
                <w:b w:val="0"/>
                <w:bCs/>
                <w:color w:val="000000"/>
                <w:kern w:val="2"/>
                <w:position w:val="1"/>
                <w:sz w:val="20"/>
                <w:szCs w:val="20"/>
                <w:lang w:val="en-US"/>
                <w14:ligatures w14:val="standardContextual"/>
              </w:rPr>
              <w:t xml:space="preserve"> to sustainability.</w:t>
            </w:r>
          </w:p>
          <w:p w14:paraId="1B6FEF33" w14:textId="77777777" w:rsidR="00B106C9" w:rsidRPr="00CE622F" w:rsidRDefault="00C768CA" w:rsidP="00072BDF">
            <w:pPr>
              <w:pStyle w:val="paragraph"/>
              <w:spacing w:before="160" w:beforeAutospacing="0" w:after="160" w:afterAutospacing="0"/>
              <w:textAlignment w:val="baseline"/>
              <w:rPr>
                <w:rFonts w:asciiTheme="majorHAnsi" w:hAnsiTheme="majorHAnsi" w:cstheme="majorHAnsi"/>
                <w:b w:val="0"/>
                <w:bCs/>
                <w:sz w:val="20"/>
                <w:szCs w:val="20"/>
              </w:rPr>
            </w:pPr>
            <w:hyperlink r:id="rId50" w:history="1">
              <w:r w:rsidR="00B106C9" w:rsidRPr="00CE622F">
                <w:rPr>
                  <w:rStyle w:val="Hyperlink"/>
                  <w:rFonts w:asciiTheme="majorHAnsi" w:hAnsiTheme="majorHAnsi" w:cstheme="majorHAnsi"/>
                  <w:b w:val="0"/>
                  <w:bCs/>
                  <w:kern w:val="2"/>
                  <w:position w:val="1"/>
                  <w:sz w:val="20"/>
                  <w:szCs w:val="20"/>
                  <w:lang w:val="en-US"/>
                  <w14:ligatures w14:val="standardContextual"/>
                </w:rPr>
                <w:t>Coastal habitat mapping: mangrove and pond aquaculture conversion</w:t>
              </w:r>
            </w:hyperlink>
            <w:r w:rsidR="00B106C9" w:rsidRPr="00CE622F">
              <w:rPr>
                <w:rStyle w:val="normaltextrun"/>
                <w:rFonts w:asciiTheme="majorHAnsi" w:hAnsiTheme="majorHAnsi" w:cstheme="majorHAnsi"/>
                <w:b w:val="0"/>
                <w:bCs/>
                <w:color w:val="000000"/>
                <w:kern w:val="2"/>
                <w:position w:val="1"/>
                <w:sz w:val="20"/>
                <w:szCs w:val="20"/>
                <w:lang w:val="en-US"/>
                <w14:ligatures w14:val="standardContextual"/>
              </w:rPr>
              <w:t xml:space="preserve"> (Clark Labs) providing an inventory from 1999-2022 for pond aquaculture conversion and covering the majority of the big aquaculture producers.</w:t>
            </w:r>
          </w:p>
        </w:tc>
      </w:tr>
      <w:tr w:rsidR="00B106C9" w:rsidRPr="00CE622F" w14:paraId="4D8D512F" w14:textId="77777777" w:rsidTr="002700A9">
        <w:tc>
          <w:tcPr>
            <w:tcW w:w="1944" w:type="dxa"/>
            <w:hideMark/>
          </w:tcPr>
          <w:p w14:paraId="788B57DD" w14:textId="77777777" w:rsidR="00B106C9" w:rsidRPr="00CE622F" w:rsidRDefault="00B106C9" w:rsidP="00072BDF">
            <w:pPr>
              <w:spacing w:before="160" w:after="160"/>
              <w:rPr>
                <w:rFonts w:asciiTheme="majorHAnsi" w:hAnsiTheme="majorHAnsi" w:cstheme="majorHAnsi"/>
                <w:b w:val="0"/>
                <w:bCs/>
                <w:kern w:val="2"/>
                <w:sz w:val="20"/>
                <w:szCs w:val="20"/>
                <w14:ligatures w14:val="standardContextual"/>
              </w:rPr>
            </w:pPr>
            <w:r w:rsidRPr="00CE622F">
              <w:rPr>
                <w:rFonts w:asciiTheme="majorHAnsi" w:hAnsiTheme="majorHAnsi" w:cstheme="majorHAnsi"/>
                <w:bCs/>
                <w:sz w:val="20"/>
                <w:szCs w:val="20"/>
              </w:rPr>
              <w:t xml:space="preserve">Identification </w:t>
            </w:r>
            <w:r w:rsidRPr="00CE622F">
              <w:rPr>
                <w:rFonts w:asciiTheme="majorHAnsi" w:hAnsiTheme="majorHAnsi" w:cstheme="majorHAnsi"/>
                <w:bCs/>
                <w:sz w:val="20"/>
                <w:szCs w:val="20"/>
              </w:rPr>
              <w:br/>
              <w:t xml:space="preserve">of future tools </w:t>
            </w:r>
            <w:r w:rsidRPr="00CE622F">
              <w:rPr>
                <w:rFonts w:asciiTheme="majorHAnsi" w:hAnsiTheme="majorHAnsi" w:cstheme="majorHAnsi"/>
                <w:bCs/>
                <w:sz w:val="20"/>
                <w:szCs w:val="20"/>
              </w:rPr>
              <w:br/>
              <w:t>to fill gaps</w:t>
            </w:r>
          </w:p>
        </w:tc>
        <w:tc>
          <w:tcPr>
            <w:tcW w:w="7056" w:type="dxa"/>
            <w:hideMark/>
          </w:tcPr>
          <w:p w14:paraId="14B6BD50" w14:textId="77777777" w:rsidR="00B106C9" w:rsidRPr="00CE622F" w:rsidRDefault="00B106C9" w:rsidP="00072BDF">
            <w:pPr>
              <w:pStyle w:val="paragraph"/>
              <w:spacing w:before="160" w:beforeAutospacing="0" w:after="160" w:afterAutospacing="0"/>
              <w:textAlignment w:val="baseline"/>
              <w:rPr>
                <w:rFonts w:asciiTheme="majorHAnsi" w:hAnsiTheme="majorHAnsi" w:cstheme="majorHAnsi"/>
                <w:b w:val="0"/>
                <w:bCs/>
                <w:color w:val="000000"/>
                <w:kern w:val="2"/>
                <w:sz w:val="20"/>
                <w:szCs w:val="20"/>
                <w:lang w:val="en-US"/>
                <w14:ligatures w14:val="standardContextual"/>
              </w:rPr>
            </w:pPr>
            <w:r w:rsidRPr="00CE622F">
              <w:rPr>
                <w:rStyle w:val="normaltextrun"/>
                <w:rFonts w:asciiTheme="majorHAnsi" w:hAnsiTheme="majorHAnsi" w:cstheme="majorHAnsi"/>
                <w:b w:val="0"/>
                <w:bCs/>
                <w:color w:val="000000"/>
                <w:kern w:val="2"/>
                <w:position w:val="1"/>
                <w:sz w:val="20"/>
                <w:szCs w:val="20"/>
                <w:lang w:val="en-US"/>
                <w14:ligatures w14:val="standardContextual"/>
              </w:rPr>
              <w:t xml:space="preserve">Proposed future indicator: Trends in the area of inland waters and coastal wetlands converted to agriculture. </w:t>
            </w:r>
          </w:p>
          <w:p w14:paraId="41895BA3" w14:textId="77777777" w:rsidR="00B106C9" w:rsidRPr="00CE622F" w:rsidRDefault="00C768CA" w:rsidP="00072BDF">
            <w:pPr>
              <w:pStyle w:val="paragraph"/>
              <w:spacing w:before="160" w:beforeAutospacing="0" w:after="160" w:afterAutospacing="0"/>
              <w:textAlignment w:val="baseline"/>
              <w:rPr>
                <w:rFonts w:asciiTheme="majorHAnsi" w:hAnsiTheme="majorHAnsi" w:cstheme="majorHAnsi"/>
                <w:b w:val="0"/>
                <w:bCs/>
                <w:color w:val="000000"/>
                <w:kern w:val="2"/>
                <w:sz w:val="20"/>
                <w:szCs w:val="20"/>
                <w:lang w:val="en-US"/>
                <w14:ligatures w14:val="standardContextual"/>
              </w:rPr>
            </w:pPr>
            <w:hyperlink r:id="rId51" w:history="1">
              <w:r w:rsidR="00B106C9" w:rsidRPr="00CE622F">
                <w:rPr>
                  <w:rStyle w:val="Hyperlink"/>
                  <w:rFonts w:asciiTheme="majorHAnsi" w:hAnsiTheme="majorHAnsi" w:cstheme="majorHAnsi"/>
                  <w:b w:val="0"/>
                  <w:bCs/>
                  <w:kern w:val="2"/>
                  <w:position w:val="1"/>
                  <w:sz w:val="20"/>
                  <w:szCs w:val="20"/>
                  <w:lang w:val="en-US"/>
                  <w14:ligatures w14:val="standardContextual"/>
                </w:rPr>
                <w:t>Global Wetlands Watch</w:t>
              </w:r>
            </w:hyperlink>
            <w:r w:rsidR="00B106C9" w:rsidRPr="00CE622F">
              <w:rPr>
                <w:rStyle w:val="normaltextrun"/>
                <w:rFonts w:asciiTheme="majorHAnsi" w:hAnsiTheme="majorHAnsi" w:cstheme="majorHAnsi"/>
                <w:b w:val="0"/>
                <w:bCs/>
                <w:color w:val="000000"/>
                <w:kern w:val="2"/>
                <w:position w:val="1"/>
                <w:sz w:val="20"/>
                <w:szCs w:val="20"/>
                <w:lang w:val="en-US"/>
                <w14:ligatures w14:val="standardContextual"/>
              </w:rPr>
              <w:t xml:space="preserve"> is expected to be online by the end of 2025 and use the IUCN Global Ecosystem Typology (GET). Using data on extent of wetlands mapped against agricultural and forestry, could</w:t>
            </w:r>
            <w:r w:rsidR="00B106C9" w:rsidRPr="00CE622F">
              <w:rPr>
                <w:rStyle w:val="apple-converted-space"/>
                <w:rFonts w:asciiTheme="majorHAnsi" w:eastAsiaTheme="majorEastAsia" w:hAnsiTheme="majorHAnsi" w:cstheme="majorHAnsi"/>
                <w:b w:val="0"/>
                <w:bCs/>
                <w:color w:val="000000"/>
                <w:kern w:val="2"/>
                <w:position w:val="1"/>
                <w:sz w:val="20"/>
                <w:szCs w:val="20"/>
                <w:lang w:val="en-US"/>
                <w14:ligatures w14:val="standardContextual"/>
              </w:rPr>
              <w:t xml:space="preserve"> </w:t>
            </w:r>
            <w:r w:rsidR="00B106C9" w:rsidRPr="00CE622F">
              <w:rPr>
                <w:rStyle w:val="normaltextrun"/>
                <w:rFonts w:asciiTheme="majorHAnsi" w:hAnsiTheme="majorHAnsi" w:cstheme="majorHAnsi"/>
                <w:b w:val="0"/>
                <w:bCs/>
                <w:color w:val="000000"/>
                <w:kern w:val="2"/>
                <w:position w:val="1"/>
                <w:sz w:val="20"/>
                <w:szCs w:val="20"/>
                <w:lang w:val="en-US"/>
                <w14:ligatures w14:val="standardContextual"/>
              </w:rPr>
              <w:t xml:space="preserve">help show conversion of wetlands into agriculture and forestry. </w:t>
            </w:r>
          </w:p>
        </w:tc>
      </w:tr>
      <w:tr w:rsidR="00B106C9" w:rsidRPr="00CE622F" w14:paraId="7A91472D" w14:textId="77777777" w:rsidTr="002700A9">
        <w:tc>
          <w:tcPr>
            <w:tcW w:w="1944" w:type="dxa"/>
            <w:hideMark/>
          </w:tcPr>
          <w:p w14:paraId="4170512A" w14:textId="77777777" w:rsidR="00B106C9" w:rsidRPr="00CE622F" w:rsidRDefault="00B106C9" w:rsidP="00072BDF">
            <w:pPr>
              <w:spacing w:before="160" w:after="160"/>
              <w:rPr>
                <w:rFonts w:asciiTheme="majorHAnsi" w:hAnsiTheme="majorHAnsi" w:cstheme="majorHAnsi"/>
                <w:b w:val="0"/>
                <w:bCs/>
                <w:kern w:val="2"/>
                <w:sz w:val="20"/>
                <w:szCs w:val="20"/>
                <w14:ligatures w14:val="standardContextual"/>
              </w:rPr>
            </w:pPr>
            <w:r w:rsidRPr="00CE622F">
              <w:rPr>
                <w:rFonts w:asciiTheme="majorHAnsi" w:hAnsiTheme="majorHAnsi" w:cstheme="majorHAnsi"/>
                <w:bCs/>
                <w:sz w:val="20"/>
                <w:szCs w:val="20"/>
              </w:rPr>
              <w:t>Recommendations component / complementary indicators important for wetlands</w:t>
            </w:r>
          </w:p>
        </w:tc>
        <w:tc>
          <w:tcPr>
            <w:tcW w:w="7056" w:type="dxa"/>
          </w:tcPr>
          <w:p w14:paraId="0CE690FA"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 w:val="0"/>
                <w:bCs/>
                <w:sz w:val="20"/>
                <w:szCs w:val="20"/>
              </w:rPr>
              <w:t xml:space="preserve">The current list of component and complementary indicators is weak in relation to inland waters and coastal wetland systems. </w:t>
            </w:r>
          </w:p>
          <w:p w14:paraId="04547CB3"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 w:val="0"/>
                <w:bCs/>
                <w:sz w:val="20"/>
                <w:szCs w:val="20"/>
              </w:rPr>
              <w:t>The following indicators are proposed within the monitoring framework and could be helpful to validate the sustainability of agriculture (including downstream impacts on inland waters and coastal wetlands):</w:t>
            </w:r>
          </w:p>
          <w:p w14:paraId="38408325" w14:textId="77777777" w:rsidR="00B106C9" w:rsidRPr="00CE622F"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CE622F">
              <w:rPr>
                <w:rFonts w:asciiTheme="majorHAnsi" w:hAnsiTheme="majorHAnsi" w:cstheme="majorHAnsi"/>
                <w:b w:val="0"/>
                <w:bCs/>
                <w:sz w:val="20"/>
                <w:szCs w:val="20"/>
              </w:rPr>
              <w:t xml:space="preserve">Trends in fertilizer use (already included as a component indicator under Target 7, ID 344) – </w:t>
            </w:r>
            <w:r w:rsidRPr="00CE622F">
              <w:rPr>
                <w:rStyle w:val="normaltextrun"/>
                <w:rFonts w:asciiTheme="majorHAnsi" w:hAnsiTheme="majorHAnsi" w:cstheme="majorHAnsi"/>
                <w:b w:val="0"/>
                <w:bCs/>
                <w:color w:val="000000"/>
                <w:kern w:val="2"/>
                <w:position w:val="1"/>
                <w:sz w:val="20"/>
                <w:szCs w:val="20"/>
                <w:lang w:val="en-US"/>
                <w14:ligatures w14:val="standardContextual"/>
              </w:rPr>
              <w:t>available</w:t>
            </w:r>
            <w:r w:rsidRPr="00CE622F">
              <w:rPr>
                <w:rFonts w:asciiTheme="majorHAnsi" w:hAnsiTheme="majorHAnsi" w:cstheme="majorHAnsi"/>
                <w:b w:val="0"/>
                <w:bCs/>
                <w:sz w:val="20"/>
                <w:szCs w:val="20"/>
              </w:rPr>
              <w:t xml:space="preserve"> from </w:t>
            </w:r>
            <w:hyperlink r:id="rId52" w:anchor="data/RFN" w:history="1">
              <w:r w:rsidRPr="00CE622F">
                <w:rPr>
                  <w:rStyle w:val="Hyperlink"/>
                  <w:rFonts w:asciiTheme="majorHAnsi" w:hAnsiTheme="majorHAnsi" w:cstheme="majorHAnsi"/>
                  <w:b w:val="0"/>
                  <w:bCs/>
                  <w:sz w:val="20"/>
                  <w:szCs w:val="20"/>
                </w:rPr>
                <w:t>FAOSTAT</w:t>
              </w:r>
            </w:hyperlink>
            <w:r w:rsidRPr="00CE622F">
              <w:rPr>
                <w:rFonts w:asciiTheme="majorHAnsi" w:hAnsiTheme="majorHAnsi" w:cstheme="majorHAnsi"/>
                <w:b w:val="0"/>
                <w:bCs/>
                <w:sz w:val="20"/>
                <w:szCs w:val="20"/>
              </w:rPr>
              <w:t>.</w:t>
            </w:r>
          </w:p>
          <w:p w14:paraId="1DF3EB0D" w14:textId="77777777" w:rsidR="00B106C9" w:rsidRPr="00CE622F"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CE622F">
              <w:rPr>
                <w:rFonts w:asciiTheme="majorHAnsi" w:hAnsiTheme="majorHAnsi" w:cstheme="majorHAnsi"/>
                <w:b w:val="0"/>
                <w:bCs/>
                <w:sz w:val="20"/>
                <w:szCs w:val="20"/>
              </w:rPr>
              <w:t xml:space="preserve">Pesticide use per area of cropland (already included as a complementary indicator under Target 7; ID 1118) – available from </w:t>
            </w:r>
            <w:hyperlink r:id="rId53" w:anchor="data/RP" w:history="1">
              <w:r w:rsidRPr="00CE622F">
                <w:rPr>
                  <w:rStyle w:val="normaltextrun"/>
                  <w:rFonts w:asciiTheme="majorHAnsi" w:hAnsiTheme="majorHAnsi" w:cstheme="majorHAnsi"/>
                  <w:b w:val="0"/>
                  <w:bCs/>
                  <w:color w:val="000000"/>
                  <w:kern w:val="2"/>
                  <w:position w:val="1"/>
                  <w:sz w:val="20"/>
                  <w:szCs w:val="20"/>
                  <w:lang w:val="en-US"/>
                  <w14:ligatures w14:val="standardContextual"/>
                </w:rPr>
                <w:t>FAOSTAT</w:t>
              </w:r>
            </w:hyperlink>
            <w:r w:rsidRPr="00CE622F">
              <w:rPr>
                <w:rFonts w:asciiTheme="majorHAnsi" w:hAnsiTheme="majorHAnsi" w:cstheme="majorHAnsi"/>
                <w:b w:val="0"/>
                <w:bCs/>
                <w:sz w:val="20"/>
                <w:szCs w:val="20"/>
              </w:rPr>
              <w:t>.</w:t>
            </w:r>
          </w:p>
          <w:p w14:paraId="318D0593" w14:textId="77777777" w:rsidR="00B106C9" w:rsidRPr="00CE622F" w:rsidRDefault="00B106C9" w:rsidP="00DA59A8">
            <w:pPr>
              <w:pStyle w:val="ListParagraph"/>
              <w:numPr>
                <w:ilvl w:val="0"/>
                <w:numId w:val="28"/>
              </w:numPr>
              <w:spacing w:before="160" w:after="160"/>
              <w:ind w:left="320" w:hanging="320"/>
              <w:rPr>
                <w:rFonts w:asciiTheme="majorHAnsi" w:hAnsiTheme="majorHAnsi" w:cstheme="majorHAnsi"/>
                <w:b w:val="0"/>
                <w:bCs/>
                <w:sz w:val="20"/>
                <w:szCs w:val="20"/>
              </w:rPr>
            </w:pPr>
            <w:r w:rsidRPr="00CE622F">
              <w:rPr>
                <w:rFonts w:asciiTheme="majorHAnsi" w:hAnsiTheme="majorHAnsi" w:cstheme="majorHAnsi"/>
                <w:b w:val="0"/>
                <w:bCs/>
                <w:sz w:val="20"/>
                <w:szCs w:val="20"/>
              </w:rPr>
              <w:t>Level of water stress listed as (</w:t>
            </w:r>
            <w:r w:rsidRPr="00CE622F">
              <w:rPr>
                <w:rStyle w:val="normaltextrun"/>
                <w:rFonts w:asciiTheme="majorHAnsi" w:hAnsiTheme="majorHAnsi" w:cstheme="majorHAnsi"/>
                <w:b w:val="0"/>
                <w:bCs/>
                <w:color w:val="000000"/>
                <w:kern w:val="2"/>
                <w:position w:val="1"/>
                <w:sz w:val="20"/>
                <w:szCs w:val="20"/>
                <w:lang w:val="en-US"/>
                <w14:ligatures w14:val="standardContextual"/>
              </w:rPr>
              <w:t>Target</w:t>
            </w:r>
            <w:r w:rsidRPr="00CE622F">
              <w:rPr>
                <w:rFonts w:asciiTheme="majorHAnsi" w:hAnsiTheme="majorHAnsi" w:cstheme="majorHAnsi"/>
                <w:b w:val="0"/>
                <w:bCs/>
                <w:sz w:val="20"/>
                <w:szCs w:val="20"/>
              </w:rPr>
              <w:t xml:space="preserve"> 11 Component indicator -ID 361; Goal B complementary indicator ID 1006)) from </w:t>
            </w:r>
            <w:hyperlink r:id="rId54" w:history="1">
              <w:r w:rsidRPr="00CE622F">
                <w:rPr>
                  <w:rStyle w:val="Hyperlink"/>
                  <w:rFonts w:asciiTheme="majorHAnsi" w:hAnsiTheme="majorHAnsi" w:cstheme="majorHAnsi"/>
                  <w:b w:val="0"/>
                  <w:bCs/>
                  <w:sz w:val="20"/>
                  <w:szCs w:val="20"/>
                </w:rPr>
                <w:t>AQUASTAT</w:t>
              </w:r>
            </w:hyperlink>
            <w:r w:rsidRPr="00CE622F">
              <w:rPr>
                <w:rFonts w:asciiTheme="majorHAnsi" w:hAnsiTheme="majorHAnsi" w:cstheme="majorHAnsi"/>
                <w:b w:val="0"/>
                <w:bCs/>
                <w:sz w:val="20"/>
                <w:szCs w:val="20"/>
              </w:rPr>
              <w:t>.</w:t>
            </w:r>
          </w:p>
          <w:p w14:paraId="0A1BA68E" w14:textId="77777777" w:rsidR="00B106C9" w:rsidRPr="00CE622F" w:rsidRDefault="00B106C9" w:rsidP="00DA59A8">
            <w:pPr>
              <w:pStyle w:val="ListParagraph"/>
              <w:numPr>
                <w:ilvl w:val="0"/>
                <w:numId w:val="28"/>
              </w:numPr>
              <w:spacing w:before="160" w:after="160"/>
              <w:ind w:left="320" w:hanging="320"/>
              <w:rPr>
                <w:rFonts w:asciiTheme="majorHAnsi" w:hAnsiTheme="majorHAnsi" w:cstheme="majorHAnsi"/>
                <w:b w:val="0"/>
                <w:bCs/>
                <w:color w:val="0000FF" w:themeColor="hyperlink"/>
                <w:sz w:val="20"/>
                <w:szCs w:val="20"/>
                <w:u w:val="single"/>
              </w:rPr>
            </w:pPr>
            <w:r w:rsidRPr="00CE622F">
              <w:rPr>
                <w:rFonts w:asciiTheme="majorHAnsi" w:hAnsiTheme="majorHAnsi" w:cstheme="majorHAnsi"/>
                <w:b w:val="0"/>
                <w:bCs/>
                <w:sz w:val="20"/>
                <w:szCs w:val="20"/>
              </w:rPr>
              <w:t>Water abstraction by sector (</w:t>
            </w:r>
            <w:r w:rsidRPr="00CE622F">
              <w:rPr>
                <w:rStyle w:val="normaltextrun"/>
                <w:rFonts w:asciiTheme="majorHAnsi" w:hAnsiTheme="majorHAnsi" w:cstheme="majorHAnsi"/>
                <w:b w:val="0"/>
                <w:bCs/>
                <w:color w:val="000000"/>
                <w:kern w:val="2"/>
                <w:position w:val="1"/>
                <w:sz w:val="20"/>
                <w:szCs w:val="20"/>
                <w:lang w:val="en-US"/>
                <w14:ligatures w14:val="standardContextual"/>
              </w:rPr>
              <w:t>agriculture</w:t>
            </w:r>
            <w:r w:rsidRPr="00CE622F">
              <w:rPr>
                <w:rFonts w:asciiTheme="majorHAnsi" w:hAnsiTheme="majorHAnsi" w:cstheme="majorHAnsi"/>
                <w:b w:val="0"/>
                <w:bCs/>
                <w:sz w:val="20"/>
                <w:szCs w:val="20"/>
              </w:rPr>
              <w:t xml:space="preserve">) from </w:t>
            </w:r>
            <w:hyperlink r:id="rId55" w:history="1">
              <w:r w:rsidRPr="00CE622F">
                <w:rPr>
                  <w:rStyle w:val="Hyperlink"/>
                  <w:rFonts w:asciiTheme="majorHAnsi" w:hAnsiTheme="majorHAnsi" w:cstheme="majorHAnsi"/>
                  <w:b w:val="0"/>
                  <w:bCs/>
                  <w:sz w:val="20"/>
                  <w:szCs w:val="20"/>
                </w:rPr>
                <w:t>AQUASTAT</w:t>
              </w:r>
            </w:hyperlink>
            <w:r w:rsidRPr="00CE622F">
              <w:rPr>
                <w:rFonts w:asciiTheme="majorHAnsi" w:hAnsiTheme="majorHAnsi" w:cstheme="majorHAnsi"/>
                <w:b w:val="0"/>
                <w:bCs/>
                <w:sz w:val="20"/>
                <w:szCs w:val="20"/>
              </w:rPr>
              <w:t>.</w:t>
            </w:r>
          </w:p>
          <w:p w14:paraId="61D15A5E" w14:textId="77777777" w:rsidR="00B106C9" w:rsidRPr="00CE622F" w:rsidRDefault="00B106C9" w:rsidP="00072BDF">
            <w:pPr>
              <w:spacing w:before="160" w:after="160"/>
              <w:rPr>
                <w:rFonts w:asciiTheme="majorHAnsi" w:hAnsiTheme="majorHAnsi" w:cstheme="majorHAnsi"/>
                <w:b w:val="0"/>
                <w:bCs/>
                <w:sz w:val="20"/>
                <w:szCs w:val="20"/>
              </w:rPr>
            </w:pPr>
            <w:r w:rsidRPr="00CE622F">
              <w:rPr>
                <w:rFonts w:asciiTheme="majorHAnsi" w:hAnsiTheme="majorHAnsi" w:cstheme="majorHAnsi"/>
                <w:b w:val="0"/>
                <w:bCs/>
                <w:sz w:val="20"/>
                <w:szCs w:val="20"/>
              </w:rPr>
              <w:t>In addition, the following indicator could be developed into a suitable complementary indicator:</w:t>
            </w:r>
          </w:p>
          <w:p w14:paraId="3784BE9C" w14:textId="77777777" w:rsidR="00B106C9" w:rsidRPr="00CE622F" w:rsidRDefault="00B106C9" w:rsidP="00DA59A8">
            <w:pPr>
              <w:pStyle w:val="ListParagraph"/>
              <w:numPr>
                <w:ilvl w:val="0"/>
                <w:numId w:val="28"/>
              </w:numPr>
              <w:spacing w:before="160" w:after="160"/>
              <w:ind w:left="320" w:hanging="320"/>
              <w:rPr>
                <w:rFonts w:asciiTheme="majorHAnsi" w:hAnsiTheme="majorHAnsi" w:cstheme="majorHAnsi"/>
                <w:b w:val="0"/>
                <w:bCs/>
                <w:color w:val="000000"/>
                <w:kern w:val="2"/>
                <w:position w:val="1"/>
                <w:sz w:val="20"/>
                <w:szCs w:val="20"/>
                <w:lang w:val="en-US"/>
                <w14:ligatures w14:val="standardContextual"/>
              </w:rPr>
            </w:pPr>
            <w:r w:rsidRPr="00CE622F">
              <w:rPr>
                <w:rStyle w:val="normaltextrun"/>
                <w:rFonts w:asciiTheme="majorHAnsi" w:hAnsiTheme="majorHAnsi" w:cstheme="majorHAnsi"/>
                <w:b w:val="0"/>
                <w:bCs/>
                <w:color w:val="000000"/>
                <w:kern w:val="2"/>
                <w:position w:val="1"/>
                <w:sz w:val="20"/>
                <w:szCs w:val="20"/>
                <w:lang w:val="en-US"/>
                <w14:ligatures w14:val="standardContextual"/>
              </w:rPr>
              <w:lastRenderedPageBreak/>
              <w:t xml:space="preserve">Tonnes of aquaculture production could be useful to include (e.g. from the </w:t>
            </w:r>
            <w:hyperlink r:id="rId56" w:history="1">
              <w:r w:rsidRPr="00CE622F">
                <w:rPr>
                  <w:rStyle w:val="Hyperlink"/>
                  <w:rFonts w:asciiTheme="majorHAnsi" w:hAnsiTheme="majorHAnsi" w:cstheme="majorHAnsi"/>
                  <w:b w:val="0"/>
                  <w:bCs/>
                  <w:kern w:val="2"/>
                  <w:position w:val="1"/>
                  <w:sz w:val="20"/>
                  <w:szCs w:val="20"/>
                  <w:lang w:val="en-US"/>
                  <w14:ligatures w14:val="standardContextual"/>
                </w:rPr>
                <w:t>FAO State of the world fisheries and aquaculture</w:t>
              </w:r>
            </w:hyperlink>
            <w:r w:rsidRPr="00CE622F">
              <w:rPr>
                <w:rStyle w:val="normaltextrun"/>
                <w:rFonts w:asciiTheme="majorHAnsi" w:hAnsiTheme="majorHAnsi" w:cstheme="majorHAnsi"/>
                <w:b w:val="0"/>
                <w:bCs/>
                <w:color w:val="000000"/>
                <w:kern w:val="2"/>
                <w:position w:val="1"/>
                <w:sz w:val="20"/>
                <w:szCs w:val="20"/>
                <w:lang w:val="en-US"/>
                <w14:ligatures w14:val="standardContextual"/>
              </w:rPr>
              <w:t>), particularly with the anticipated rapid growth in aquaculture production.</w:t>
            </w:r>
          </w:p>
        </w:tc>
      </w:tr>
    </w:tbl>
    <w:p w14:paraId="326487C1" w14:textId="50AA003C" w:rsidR="00B106C9" w:rsidRPr="00595A6A" w:rsidRDefault="00B106C9" w:rsidP="00595A6A">
      <w:pPr>
        <w:pBdr>
          <w:top w:val="nil"/>
          <w:left w:val="nil"/>
          <w:bottom w:val="nil"/>
          <w:right w:val="nil"/>
          <w:between w:val="nil"/>
        </w:pBdr>
        <w:ind w:left="425" w:hanging="425"/>
        <w:rPr>
          <w:rFonts w:asciiTheme="majorHAnsi" w:eastAsia="Calibri" w:hAnsiTheme="majorHAnsi" w:cstheme="majorHAnsi"/>
          <w:sz w:val="22"/>
          <w:szCs w:val="22"/>
        </w:rPr>
      </w:pPr>
    </w:p>
    <w:p w14:paraId="55B8BB12" w14:textId="6BD4B702" w:rsidR="00B106C9" w:rsidRDefault="00595A6A" w:rsidP="00595A6A">
      <w:pPr>
        <w:pBdr>
          <w:top w:val="nil"/>
          <w:left w:val="nil"/>
          <w:bottom w:val="nil"/>
          <w:right w:val="nil"/>
          <w:between w:val="nil"/>
        </w:pBdr>
        <w:ind w:left="425" w:hanging="425"/>
        <w:rPr>
          <w:rFonts w:asciiTheme="majorHAnsi" w:eastAsia="Calibri" w:hAnsiTheme="majorHAnsi" w:cstheme="majorHAnsi"/>
          <w:sz w:val="22"/>
          <w:szCs w:val="22"/>
        </w:rPr>
      </w:pPr>
      <w:r>
        <w:rPr>
          <w:rFonts w:asciiTheme="majorHAnsi" w:eastAsia="Calibri" w:hAnsiTheme="majorHAnsi" w:cstheme="majorHAnsi"/>
          <w:sz w:val="22"/>
          <w:szCs w:val="22"/>
        </w:rPr>
        <w:t>27.</w:t>
      </w:r>
      <w:r>
        <w:rPr>
          <w:rFonts w:asciiTheme="majorHAnsi" w:eastAsia="Calibri" w:hAnsiTheme="majorHAnsi" w:cstheme="majorHAnsi"/>
          <w:sz w:val="22"/>
          <w:szCs w:val="22"/>
        </w:rPr>
        <w:tab/>
      </w:r>
      <w:r w:rsidR="00B106C9" w:rsidRPr="00595A6A">
        <w:rPr>
          <w:rFonts w:asciiTheme="majorHAnsi" w:eastAsia="Calibri" w:hAnsiTheme="majorHAnsi" w:cstheme="majorHAnsi"/>
          <w:b/>
          <w:bCs/>
          <w:sz w:val="22"/>
          <w:szCs w:val="22"/>
        </w:rPr>
        <w:t>Target 11</w:t>
      </w:r>
      <w:r>
        <w:rPr>
          <w:rFonts w:asciiTheme="majorHAnsi" w:eastAsia="Calibri" w:hAnsiTheme="majorHAnsi" w:cstheme="majorHAnsi"/>
          <w:sz w:val="22"/>
          <w:szCs w:val="22"/>
        </w:rPr>
        <w:t>:</w:t>
      </w:r>
      <w:r w:rsidR="00B106C9" w:rsidRPr="00595A6A">
        <w:rPr>
          <w:rFonts w:asciiTheme="majorHAnsi" w:eastAsia="Calibri" w:hAnsiTheme="majorHAnsi" w:cstheme="majorHAnsi"/>
          <w:sz w:val="22"/>
          <w:szCs w:val="22"/>
        </w:rPr>
        <w:t xml:space="preserve"> </w:t>
      </w:r>
      <w:r w:rsidR="00B106C9" w:rsidRPr="00324C3C">
        <w:rPr>
          <w:rFonts w:asciiTheme="majorHAnsi" w:eastAsia="Calibri" w:hAnsiTheme="majorHAnsi" w:cstheme="majorHAnsi"/>
          <w:i/>
          <w:iCs/>
          <w:sz w:val="22"/>
          <w:szCs w:val="22"/>
        </w:rPr>
        <w:t>Restore, maintain and enhance nature’s contributions to people, including ecosystem functions and services, such as regulation of air, water, and climate, soil health, pollination and reduction of disease risk, as well as protection from natural hazards and disasters, through nature-based solutions and/or ecosystem-based approaches for the benefit of all people and nature</w:t>
      </w:r>
      <w:r w:rsidR="00B106C9" w:rsidRPr="00595A6A">
        <w:rPr>
          <w:rFonts w:asciiTheme="majorHAnsi" w:eastAsia="Calibri" w:hAnsiTheme="majorHAnsi" w:cstheme="majorHAnsi"/>
          <w:sz w:val="22"/>
          <w:szCs w:val="22"/>
        </w:rPr>
        <w:t>.</w:t>
      </w:r>
    </w:p>
    <w:p w14:paraId="3599D5F5" w14:textId="77777777" w:rsidR="00595A6A" w:rsidRPr="00595A6A" w:rsidRDefault="00595A6A" w:rsidP="00595A6A">
      <w:pPr>
        <w:pBdr>
          <w:top w:val="nil"/>
          <w:left w:val="nil"/>
          <w:bottom w:val="nil"/>
          <w:right w:val="nil"/>
          <w:between w:val="nil"/>
        </w:pBdr>
        <w:ind w:left="425" w:hanging="425"/>
        <w:rPr>
          <w:rFonts w:asciiTheme="majorHAnsi" w:eastAsia="Calibri" w:hAnsiTheme="majorHAnsi" w:cstheme="majorHAnsi"/>
          <w:sz w:val="22"/>
          <w:szCs w:val="22"/>
        </w:rPr>
      </w:pPr>
    </w:p>
    <w:tbl>
      <w:tblPr>
        <w:tblStyle w:val="TableGrid"/>
        <w:tblW w:w="8990" w:type="dxa"/>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1970"/>
        <w:gridCol w:w="7020"/>
      </w:tblGrid>
      <w:tr w:rsidR="00B106C9" w:rsidRPr="00324C3C" w14:paraId="4C187528" w14:textId="77777777" w:rsidTr="008E5683">
        <w:trPr>
          <w:trHeight w:val="457"/>
        </w:trPr>
        <w:tc>
          <w:tcPr>
            <w:tcW w:w="1970" w:type="dxa"/>
            <w:hideMark/>
          </w:tcPr>
          <w:p w14:paraId="2AED9814" w14:textId="77777777" w:rsidR="00B106C9" w:rsidRPr="00324C3C" w:rsidRDefault="00B106C9" w:rsidP="00072BDF">
            <w:pPr>
              <w:spacing w:before="120" w:after="120"/>
              <w:rPr>
                <w:rFonts w:asciiTheme="majorHAnsi" w:hAnsiTheme="majorHAnsi" w:cstheme="majorHAnsi"/>
                <w:b w:val="0"/>
                <w:bCs/>
                <w:sz w:val="20"/>
                <w:szCs w:val="20"/>
              </w:rPr>
            </w:pPr>
            <w:r w:rsidRPr="00324C3C">
              <w:rPr>
                <w:rFonts w:asciiTheme="majorHAnsi" w:hAnsiTheme="majorHAnsi" w:cstheme="majorHAnsi"/>
                <w:bCs/>
                <w:sz w:val="20"/>
                <w:szCs w:val="20"/>
              </w:rPr>
              <w:t>Headline indicator</w:t>
            </w:r>
          </w:p>
        </w:tc>
        <w:tc>
          <w:tcPr>
            <w:tcW w:w="7020" w:type="dxa"/>
            <w:hideMark/>
          </w:tcPr>
          <w:p w14:paraId="77EFF860" w14:textId="77777777" w:rsidR="00B106C9" w:rsidRPr="00324C3C" w:rsidRDefault="00B106C9" w:rsidP="00072BDF">
            <w:pPr>
              <w:spacing w:before="120" w:after="120"/>
              <w:rPr>
                <w:rFonts w:asciiTheme="majorHAnsi" w:hAnsiTheme="majorHAnsi" w:cstheme="majorHAnsi"/>
                <w:b w:val="0"/>
                <w:bCs/>
                <w:sz w:val="20"/>
                <w:szCs w:val="20"/>
              </w:rPr>
            </w:pPr>
            <w:r w:rsidRPr="00324C3C">
              <w:rPr>
                <w:rStyle w:val="normaltextrun"/>
                <w:rFonts w:asciiTheme="majorHAnsi" w:hAnsiTheme="majorHAnsi" w:cstheme="majorHAnsi"/>
                <w:b w:val="0"/>
                <w:bCs/>
                <w:color w:val="000000"/>
                <w:position w:val="1"/>
                <w:sz w:val="20"/>
                <w:szCs w:val="20"/>
              </w:rPr>
              <w:t>B.1 Services provided by ecosystems.*</w:t>
            </w:r>
          </w:p>
        </w:tc>
      </w:tr>
      <w:tr w:rsidR="00B106C9" w:rsidRPr="00324C3C" w14:paraId="2E71F0EA" w14:textId="77777777" w:rsidTr="008E5683">
        <w:tc>
          <w:tcPr>
            <w:tcW w:w="1970" w:type="dxa"/>
            <w:hideMark/>
          </w:tcPr>
          <w:p w14:paraId="61536A27" w14:textId="77777777" w:rsidR="00B106C9" w:rsidRPr="00324C3C" w:rsidRDefault="00B106C9" w:rsidP="00072BDF">
            <w:pPr>
              <w:spacing w:before="120" w:after="120"/>
              <w:rPr>
                <w:rFonts w:asciiTheme="majorHAnsi" w:hAnsiTheme="majorHAnsi" w:cstheme="majorHAnsi"/>
                <w:b w:val="0"/>
                <w:bCs/>
                <w:sz w:val="20"/>
                <w:szCs w:val="20"/>
              </w:rPr>
            </w:pPr>
            <w:r w:rsidRPr="00324C3C">
              <w:rPr>
                <w:rFonts w:asciiTheme="majorHAnsi" w:hAnsiTheme="majorHAnsi" w:cstheme="majorHAnsi"/>
                <w:bCs/>
                <w:sz w:val="20"/>
                <w:szCs w:val="20"/>
              </w:rPr>
              <w:t xml:space="preserve">Sufficiency of </w:t>
            </w:r>
            <w:r w:rsidRPr="00324C3C">
              <w:rPr>
                <w:rFonts w:asciiTheme="majorHAnsi" w:hAnsiTheme="majorHAnsi" w:cstheme="majorHAnsi"/>
                <w:bCs/>
                <w:sz w:val="20"/>
                <w:szCs w:val="20"/>
              </w:rPr>
              <w:br/>
              <w:t xml:space="preserve">the indicator </w:t>
            </w:r>
            <w:r w:rsidRPr="00324C3C">
              <w:rPr>
                <w:rFonts w:asciiTheme="majorHAnsi" w:hAnsiTheme="majorHAnsi" w:cstheme="majorHAnsi"/>
                <w:bCs/>
                <w:sz w:val="20"/>
                <w:szCs w:val="20"/>
              </w:rPr>
              <w:br/>
              <w:t>for wetlands</w:t>
            </w:r>
          </w:p>
        </w:tc>
        <w:tc>
          <w:tcPr>
            <w:tcW w:w="7020" w:type="dxa"/>
            <w:hideMark/>
          </w:tcPr>
          <w:p w14:paraId="581C4637" w14:textId="77777777" w:rsidR="00B106C9" w:rsidRPr="00324C3C" w:rsidRDefault="00B106C9" w:rsidP="00072BDF">
            <w:pPr>
              <w:pStyle w:val="NormalWeb"/>
              <w:spacing w:before="120" w:beforeAutospacing="0" w:after="120" w:afterAutospacing="0"/>
              <w:rPr>
                <w:rFonts w:asciiTheme="majorHAnsi" w:hAnsiTheme="majorHAnsi" w:cstheme="majorHAnsi"/>
                <w:b w:val="0"/>
                <w:bCs/>
                <w:kern w:val="2"/>
                <w:sz w:val="20"/>
                <w:szCs w:val="20"/>
                <w14:ligatures w14:val="standardContextual"/>
              </w:rPr>
            </w:pPr>
            <w:r w:rsidRPr="00324C3C">
              <w:rPr>
                <w:rFonts w:asciiTheme="majorHAnsi" w:hAnsiTheme="majorHAnsi" w:cstheme="majorHAnsi"/>
                <w:b w:val="0"/>
                <w:bCs/>
                <w:kern w:val="2"/>
                <w:sz w:val="20"/>
                <w:szCs w:val="20"/>
                <w14:ligatures w14:val="standardContextual"/>
              </w:rPr>
              <w:t xml:space="preserve">The SEEA EA methodology, on which the headline indicator is based, depends on the information that is reported by Parties. For inland waters and coastal wetlands to be visible the guidance to Parties must underline the importance of reporting ecosystem services that are provided by inland waters and coastal wetlands, including: water related services, </w:t>
            </w:r>
            <w:hyperlink r:id="rId57" w:history="1">
              <w:r w:rsidRPr="00324C3C">
                <w:rPr>
                  <w:rStyle w:val="Hyperlink"/>
                  <w:rFonts w:asciiTheme="majorHAnsi" w:hAnsiTheme="majorHAnsi" w:cstheme="majorHAnsi"/>
                  <w:b w:val="0"/>
                  <w:bCs/>
                  <w:kern w:val="2"/>
                  <w:sz w:val="20"/>
                  <w:szCs w:val="20"/>
                  <w14:ligatures w14:val="standardContextual"/>
                </w:rPr>
                <w:t>disaster risk reduction services</w:t>
              </w:r>
            </w:hyperlink>
            <w:r w:rsidRPr="00324C3C">
              <w:rPr>
                <w:rFonts w:asciiTheme="majorHAnsi" w:hAnsiTheme="majorHAnsi" w:cstheme="majorHAnsi"/>
                <w:b w:val="0"/>
                <w:bCs/>
                <w:color w:val="3A3330"/>
                <w:kern w:val="2"/>
                <w:sz w:val="20"/>
                <w:szCs w:val="20"/>
                <w14:ligatures w14:val="standardContextual"/>
              </w:rPr>
              <w:t xml:space="preserve"> </w:t>
            </w:r>
            <w:r w:rsidRPr="00324C3C">
              <w:rPr>
                <w:rFonts w:asciiTheme="majorHAnsi" w:hAnsiTheme="majorHAnsi" w:cstheme="majorHAnsi"/>
                <w:b w:val="0"/>
                <w:bCs/>
                <w:kern w:val="2"/>
                <w:sz w:val="20"/>
                <w:szCs w:val="20"/>
                <w14:ligatures w14:val="standardContextual"/>
              </w:rPr>
              <w:t xml:space="preserve">(e.g. flood protection; coastal protection) and cultural ecosystem services. </w:t>
            </w:r>
          </w:p>
          <w:p w14:paraId="4FBE82F9" w14:textId="77777777" w:rsidR="00B106C9" w:rsidRPr="00324C3C" w:rsidRDefault="00B106C9" w:rsidP="00072BDF">
            <w:pPr>
              <w:pStyle w:val="NormalWeb"/>
              <w:spacing w:before="120" w:beforeAutospacing="0" w:after="120" w:afterAutospacing="0"/>
              <w:rPr>
                <w:rFonts w:asciiTheme="majorHAnsi" w:hAnsiTheme="majorHAnsi" w:cstheme="majorHAnsi"/>
                <w:b w:val="0"/>
                <w:bCs/>
                <w:kern w:val="2"/>
                <w:sz w:val="20"/>
                <w:szCs w:val="20"/>
                <w14:ligatures w14:val="standardContextual"/>
              </w:rPr>
            </w:pPr>
            <w:r w:rsidRPr="00324C3C">
              <w:rPr>
                <w:rFonts w:asciiTheme="majorHAnsi" w:hAnsiTheme="majorHAnsi" w:cstheme="majorHAnsi"/>
                <w:b w:val="0"/>
                <w:bCs/>
                <w:kern w:val="2"/>
                <w:sz w:val="20"/>
                <w:szCs w:val="20"/>
                <w14:ligatures w14:val="standardContextual"/>
              </w:rPr>
              <w:t xml:space="preserve">It is noted that the current headline indicator will not help measuring all aspects of the target. There is a need to track how well actions to deliver this target are recognising the need to strengthen (restore, maintain, enhance) biodiversity as a high priority of this target as this is what underpins nature’s contribution to people. </w:t>
            </w:r>
          </w:p>
          <w:p w14:paraId="5AB35FE0" w14:textId="77777777" w:rsidR="00B106C9" w:rsidRPr="00324C3C" w:rsidRDefault="00B106C9" w:rsidP="00072BDF">
            <w:pPr>
              <w:pStyle w:val="NormalWeb"/>
              <w:spacing w:before="120" w:beforeAutospacing="0" w:after="120" w:afterAutospacing="0"/>
              <w:rPr>
                <w:rFonts w:asciiTheme="majorHAnsi" w:hAnsiTheme="majorHAnsi" w:cstheme="majorHAnsi"/>
                <w:b w:val="0"/>
                <w:bCs/>
                <w:color w:val="3A3330"/>
                <w:kern w:val="2"/>
                <w:sz w:val="20"/>
                <w:szCs w:val="20"/>
                <w14:ligatures w14:val="standardContextual"/>
              </w:rPr>
            </w:pPr>
            <w:r w:rsidRPr="00324C3C">
              <w:rPr>
                <w:rFonts w:asciiTheme="majorHAnsi" w:hAnsiTheme="majorHAnsi" w:cstheme="majorHAnsi"/>
                <w:b w:val="0"/>
                <w:bCs/>
                <w:kern w:val="2"/>
                <w:sz w:val="20"/>
                <w:szCs w:val="20"/>
                <w14:ligatures w14:val="standardContextual"/>
              </w:rPr>
              <w:t>When looking across Targets 11, 10 and 3, the STRP has noted there are potential competing interests and potential trade-offs that warrant attention (see also</w:t>
            </w:r>
            <w:r w:rsidRPr="00324C3C">
              <w:rPr>
                <w:rFonts w:asciiTheme="majorHAnsi" w:hAnsiTheme="majorHAnsi" w:cstheme="majorHAnsi"/>
                <w:b w:val="0"/>
                <w:bCs/>
                <w:color w:val="3A3330"/>
                <w:kern w:val="2"/>
                <w:sz w:val="20"/>
                <w:szCs w:val="20"/>
                <w14:ligatures w14:val="standardContextual"/>
              </w:rPr>
              <w:t xml:space="preserve"> </w:t>
            </w:r>
            <w:hyperlink r:id="rId58" w:tgtFrame="_blank" w:history="1">
              <w:r w:rsidRPr="00324C3C">
                <w:rPr>
                  <w:rStyle w:val="normaltextrun"/>
                  <w:rFonts w:asciiTheme="majorHAnsi" w:hAnsiTheme="majorHAnsi" w:cstheme="majorHAnsi"/>
                  <w:b w:val="0"/>
                  <w:bCs/>
                  <w:color w:val="0563C1"/>
                  <w:kern w:val="2"/>
                  <w:position w:val="1"/>
                  <w:sz w:val="20"/>
                  <w:szCs w:val="20"/>
                  <w:u w:val="single"/>
                  <w:lang w:val="en-US"/>
                  <w14:ligatures w14:val="standardContextual"/>
                </w:rPr>
                <w:t>Neugarten et al., 2024</w:t>
              </w:r>
            </w:hyperlink>
            <w:r w:rsidRPr="00324C3C">
              <w:rPr>
                <w:rFonts w:asciiTheme="majorHAnsi" w:hAnsiTheme="majorHAnsi" w:cstheme="majorHAnsi"/>
                <w:b w:val="0"/>
                <w:bCs/>
                <w:color w:val="000000"/>
                <w:kern w:val="2"/>
                <w:sz w:val="20"/>
                <w:szCs w:val="20"/>
                <w:lang w:val="en-US"/>
                <w14:ligatures w14:val="standardContextual"/>
              </w:rPr>
              <w:t>).</w:t>
            </w:r>
          </w:p>
        </w:tc>
      </w:tr>
      <w:tr w:rsidR="00B106C9" w:rsidRPr="00324C3C" w14:paraId="229221FA" w14:textId="77777777" w:rsidTr="008E5683">
        <w:tc>
          <w:tcPr>
            <w:tcW w:w="1970" w:type="dxa"/>
            <w:hideMark/>
          </w:tcPr>
          <w:p w14:paraId="643400FF" w14:textId="77777777" w:rsidR="00B106C9" w:rsidRPr="00324C3C" w:rsidRDefault="00B106C9" w:rsidP="00072BDF">
            <w:pPr>
              <w:spacing w:before="120" w:after="120"/>
              <w:rPr>
                <w:rFonts w:asciiTheme="majorHAnsi" w:hAnsiTheme="majorHAnsi" w:cstheme="majorHAnsi"/>
                <w:b w:val="0"/>
                <w:bCs/>
                <w:kern w:val="2"/>
                <w:sz w:val="20"/>
                <w:szCs w:val="20"/>
                <w14:ligatures w14:val="standardContextual"/>
              </w:rPr>
            </w:pPr>
            <w:r w:rsidRPr="00324C3C">
              <w:rPr>
                <w:rFonts w:asciiTheme="majorHAnsi" w:hAnsiTheme="majorHAnsi" w:cstheme="majorHAnsi"/>
                <w:bCs/>
                <w:sz w:val="20"/>
                <w:szCs w:val="20"/>
              </w:rPr>
              <w:t>Recommendations related to metadata</w:t>
            </w:r>
          </w:p>
        </w:tc>
        <w:tc>
          <w:tcPr>
            <w:tcW w:w="7020" w:type="dxa"/>
            <w:hideMark/>
          </w:tcPr>
          <w:p w14:paraId="3A17151F" w14:textId="77777777" w:rsidR="00B106C9" w:rsidRPr="00324C3C" w:rsidRDefault="00B106C9" w:rsidP="00DA59A8">
            <w:pPr>
              <w:pStyle w:val="ListParagraph"/>
              <w:numPr>
                <w:ilvl w:val="0"/>
                <w:numId w:val="28"/>
              </w:numPr>
              <w:spacing w:before="120" w:after="120"/>
              <w:ind w:left="320" w:hanging="320"/>
              <w:rPr>
                <w:rFonts w:asciiTheme="majorHAnsi" w:hAnsiTheme="majorHAnsi" w:cstheme="majorHAnsi"/>
                <w:b w:val="0"/>
                <w:bCs/>
                <w:kern w:val="2"/>
                <w:sz w:val="20"/>
                <w:szCs w:val="20"/>
                <w14:ligatures w14:val="standardContextual"/>
              </w:rPr>
            </w:pPr>
            <w:r w:rsidRPr="00324C3C">
              <w:rPr>
                <w:rFonts w:asciiTheme="majorHAnsi" w:hAnsiTheme="majorHAnsi" w:cstheme="majorHAnsi"/>
                <w:b w:val="0"/>
                <w:bCs/>
                <w:kern w:val="2"/>
                <w:sz w:val="20"/>
                <w:szCs w:val="20"/>
                <w14:ligatures w14:val="standardContextual"/>
              </w:rPr>
              <w:t xml:space="preserve">The ability to disaggregate by ecosystem type is welcomed. It is also suggested that it would be helpful to disaggregate by natural/ constructed </w:t>
            </w:r>
            <w:r w:rsidRPr="00324C3C">
              <w:rPr>
                <w:rFonts w:asciiTheme="majorHAnsi" w:hAnsiTheme="majorHAnsi" w:cstheme="majorHAnsi"/>
                <w:b w:val="0"/>
                <w:bCs/>
                <w:sz w:val="20"/>
                <w:szCs w:val="20"/>
              </w:rPr>
              <w:t>wetland</w:t>
            </w:r>
            <w:r w:rsidRPr="00324C3C">
              <w:rPr>
                <w:rFonts w:asciiTheme="majorHAnsi" w:hAnsiTheme="majorHAnsi" w:cstheme="majorHAnsi"/>
                <w:b w:val="0"/>
                <w:bCs/>
                <w:kern w:val="2"/>
                <w:sz w:val="20"/>
                <w:szCs w:val="20"/>
                <w14:ligatures w14:val="standardContextual"/>
              </w:rPr>
              <w:t xml:space="preserve"> ecosystems.</w:t>
            </w:r>
          </w:p>
        </w:tc>
      </w:tr>
      <w:tr w:rsidR="00B106C9" w:rsidRPr="00324C3C" w14:paraId="2BFE012E" w14:textId="77777777" w:rsidTr="008E5683">
        <w:tc>
          <w:tcPr>
            <w:tcW w:w="1970" w:type="dxa"/>
            <w:hideMark/>
          </w:tcPr>
          <w:p w14:paraId="5B2E33E2" w14:textId="77777777" w:rsidR="00B106C9" w:rsidRPr="00324C3C" w:rsidRDefault="00B106C9" w:rsidP="00072BDF">
            <w:pPr>
              <w:spacing w:before="120" w:after="120"/>
              <w:rPr>
                <w:rFonts w:asciiTheme="majorHAnsi" w:hAnsiTheme="majorHAnsi" w:cstheme="majorHAnsi"/>
                <w:b w:val="0"/>
                <w:bCs/>
                <w:kern w:val="2"/>
                <w:sz w:val="20"/>
                <w:szCs w:val="20"/>
                <w14:ligatures w14:val="standardContextual"/>
              </w:rPr>
            </w:pPr>
            <w:r w:rsidRPr="00324C3C">
              <w:rPr>
                <w:rFonts w:asciiTheme="majorHAnsi" w:hAnsiTheme="majorHAnsi" w:cstheme="majorHAnsi"/>
                <w:bCs/>
                <w:sz w:val="20"/>
                <w:szCs w:val="20"/>
              </w:rPr>
              <w:t>Recommendations on data flows / sources to fill the gap</w:t>
            </w:r>
          </w:p>
        </w:tc>
        <w:tc>
          <w:tcPr>
            <w:tcW w:w="7020" w:type="dxa"/>
            <w:hideMark/>
          </w:tcPr>
          <w:p w14:paraId="16894A8F" w14:textId="77777777" w:rsidR="00B106C9" w:rsidRPr="00324C3C" w:rsidRDefault="00B106C9" w:rsidP="00DA59A8">
            <w:pPr>
              <w:pStyle w:val="ListParagraph"/>
              <w:numPr>
                <w:ilvl w:val="0"/>
                <w:numId w:val="28"/>
              </w:numPr>
              <w:spacing w:before="120" w:after="120"/>
              <w:ind w:left="320" w:hanging="320"/>
              <w:rPr>
                <w:rFonts w:asciiTheme="majorHAnsi" w:hAnsiTheme="majorHAnsi" w:cstheme="majorHAnsi"/>
                <w:b w:val="0"/>
                <w:bCs/>
                <w:sz w:val="20"/>
                <w:szCs w:val="20"/>
              </w:rPr>
            </w:pPr>
            <w:r w:rsidRPr="00324C3C">
              <w:rPr>
                <w:rFonts w:asciiTheme="majorHAnsi" w:hAnsiTheme="majorHAnsi" w:cstheme="majorHAnsi"/>
                <w:b w:val="0"/>
                <w:bCs/>
                <w:sz w:val="20"/>
                <w:szCs w:val="20"/>
              </w:rPr>
              <w:t xml:space="preserve">It is proposed that the “Extent of natural ecosystems” (A.2 headline indicator) is used as a component indicator for T11, to support measuring progress against this target, to help ensure that natural systems are not being undermined at the expense of constructed ecosystems (for example where constructed wetlands may be used as NBS but may not have high biodiversity value). </w:t>
            </w:r>
          </w:p>
        </w:tc>
      </w:tr>
      <w:tr w:rsidR="00B106C9" w:rsidRPr="00324C3C" w14:paraId="272355B9" w14:textId="77777777" w:rsidTr="008E5683">
        <w:tc>
          <w:tcPr>
            <w:tcW w:w="1970" w:type="dxa"/>
            <w:hideMark/>
          </w:tcPr>
          <w:p w14:paraId="4A800226" w14:textId="77777777" w:rsidR="00B106C9" w:rsidRPr="00324C3C" w:rsidRDefault="00B106C9" w:rsidP="00072BDF">
            <w:pPr>
              <w:spacing w:before="120" w:after="120"/>
              <w:rPr>
                <w:rFonts w:asciiTheme="majorHAnsi" w:hAnsiTheme="majorHAnsi" w:cstheme="majorHAnsi"/>
                <w:b w:val="0"/>
                <w:bCs/>
                <w:sz w:val="20"/>
                <w:szCs w:val="20"/>
              </w:rPr>
            </w:pPr>
            <w:r w:rsidRPr="00324C3C">
              <w:rPr>
                <w:rFonts w:asciiTheme="majorHAnsi" w:hAnsiTheme="majorHAnsi" w:cstheme="majorHAnsi"/>
                <w:bCs/>
                <w:sz w:val="20"/>
                <w:szCs w:val="20"/>
              </w:rPr>
              <w:t xml:space="preserve">Identification </w:t>
            </w:r>
            <w:r w:rsidRPr="00324C3C">
              <w:rPr>
                <w:rFonts w:asciiTheme="majorHAnsi" w:hAnsiTheme="majorHAnsi" w:cstheme="majorHAnsi"/>
                <w:bCs/>
                <w:sz w:val="20"/>
                <w:szCs w:val="20"/>
              </w:rPr>
              <w:br/>
              <w:t xml:space="preserve">of future tools </w:t>
            </w:r>
            <w:r w:rsidRPr="00324C3C">
              <w:rPr>
                <w:rFonts w:asciiTheme="majorHAnsi" w:hAnsiTheme="majorHAnsi" w:cstheme="majorHAnsi"/>
                <w:bCs/>
                <w:sz w:val="20"/>
                <w:szCs w:val="20"/>
              </w:rPr>
              <w:br/>
              <w:t>to fill gaps</w:t>
            </w:r>
          </w:p>
        </w:tc>
        <w:tc>
          <w:tcPr>
            <w:tcW w:w="7020" w:type="dxa"/>
            <w:hideMark/>
          </w:tcPr>
          <w:p w14:paraId="2BDF4DBD" w14:textId="77777777" w:rsidR="00B106C9" w:rsidRPr="00324C3C" w:rsidRDefault="00B106C9" w:rsidP="00DA59A8">
            <w:pPr>
              <w:pStyle w:val="ListParagraph"/>
              <w:numPr>
                <w:ilvl w:val="0"/>
                <w:numId w:val="28"/>
              </w:numPr>
              <w:spacing w:before="120" w:after="120"/>
              <w:ind w:left="320" w:hanging="320"/>
              <w:rPr>
                <w:rStyle w:val="normaltextrun"/>
                <w:rFonts w:asciiTheme="majorHAnsi" w:hAnsiTheme="majorHAnsi" w:cstheme="majorHAnsi"/>
                <w:b w:val="0"/>
                <w:bCs/>
                <w:kern w:val="2"/>
                <w:sz w:val="20"/>
                <w:szCs w:val="20"/>
                <w:lang w:val="en-US"/>
                <w14:ligatures w14:val="standardContextual"/>
              </w:rPr>
            </w:pPr>
            <w:r w:rsidRPr="00324C3C">
              <w:rPr>
                <w:rStyle w:val="normaltextrun"/>
                <w:rFonts w:asciiTheme="majorHAnsi" w:hAnsiTheme="majorHAnsi" w:cstheme="majorHAnsi"/>
                <w:b w:val="0"/>
                <w:bCs/>
                <w:kern w:val="2"/>
                <w:position w:val="1"/>
                <w:sz w:val="20"/>
                <w:szCs w:val="20"/>
                <w:lang w:val="en-US"/>
                <w14:ligatures w14:val="standardContextual"/>
              </w:rPr>
              <w:t>There have been assessments on disaster risk reduction services provided by inland and coastal wetlands, including by the World Bank that may be helpful.</w:t>
            </w:r>
          </w:p>
          <w:p w14:paraId="30B60EA6" w14:textId="77777777" w:rsidR="00B106C9" w:rsidRPr="00324C3C" w:rsidRDefault="00B106C9" w:rsidP="00DA59A8">
            <w:pPr>
              <w:pStyle w:val="ListParagraph"/>
              <w:numPr>
                <w:ilvl w:val="0"/>
                <w:numId w:val="28"/>
              </w:numPr>
              <w:spacing w:before="120" w:after="120"/>
              <w:ind w:left="320" w:hanging="320"/>
              <w:rPr>
                <w:rFonts w:asciiTheme="majorHAnsi" w:hAnsiTheme="majorHAnsi" w:cstheme="majorHAnsi"/>
                <w:b w:val="0"/>
                <w:bCs/>
                <w:sz w:val="20"/>
                <w:szCs w:val="20"/>
              </w:rPr>
            </w:pPr>
            <w:r w:rsidRPr="00324C3C">
              <w:rPr>
                <w:rFonts w:asciiTheme="majorHAnsi" w:hAnsiTheme="majorHAnsi" w:cstheme="majorHAnsi"/>
                <w:b w:val="0"/>
                <w:bCs/>
                <w:kern w:val="2"/>
                <w:sz w:val="20"/>
                <w:szCs w:val="20"/>
                <w:lang w:val="en-US"/>
                <w14:ligatures w14:val="standardContextual"/>
              </w:rPr>
              <w:t xml:space="preserve">The </w:t>
            </w:r>
            <w:r w:rsidRPr="00324C3C">
              <w:rPr>
                <w:rFonts w:asciiTheme="majorHAnsi" w:hAnsiTheme="majorHAnsi" w:cstheme="majorHAnsi"/>
                <w:b w:val="0"/>
                <w:bCs/>
                <w:kern w:val="2"/>
                <w:sz w:val="20"/>
                <w:szCs w:val="20"/>
                <w14:ligatures w14:val="standardContextual"/>
              </w:rPr>
              <w:t xml:space="preserve">Convention on Wetlands has identified the accounting of </w:t>
            </w:r>
            <w:r w:rsidRPr="00324C3C">
              <w:rPr>
                <w:rStyle w:val="normaltextrun"/>
                <w:rFonts w:asciiTheme="majorHAnsi" w:hAnsiTheme="majorHAnsi" w:cstheme="majorHAnsi"/>
                <w:b w:val="0"/>
                <w:bCs/>
                <w:position w:val="1"/>
                <w:sz w:val="20"/>
                <w:szCs w:val="20"/>
                <w:lang w:val="en-US"/>
              </w:rPr>
              <w:t>the</w:t>
            </w:r>
            <w:r w:rsidRPr="00324C3C">
              <w:rPr>
                <w:rFonts w:asciiTheme="majorHAnsi" w:hAnsiTheme="majorHAnsi" w:cstheme="majorHAnsi"/>
                <w:b w:val="0"/>
                <w:bCs/>
                <w:kern w:val="2"/>
                <w:sz w:val="20"/>
                <w:szCs w:val="20"/>
                <w14:ligatures w14:val="standardContextual"/>
              </w:rPr>
              <w:t xml:space="preserve"> extent/ effectiveness of Nature Based Solutions or Ecosystem Based Approaches as a future data gap that will be important to be able to track the positive developments of NBS/EBA.</w:t>
            </w:r>
          </w:p>
          <w:p w14:paraId="535CB89E" w14:textId="77777777" w:rsidR="00B106C9" w:rsidRPr="00324C3C" w:rsidRDefault="00B106C9" w:rsidP="00DA59A8">
            <w:pPr>
              <w:pStyle w:val="ListParagraph"/>
              <w:numPr>
                <w:ilvl w:val="0"/>
                <w:numId w:val="28"/>
              </w:numPr>
              <w:spacing w:before="120" w:after="120"/>
              <w:ind w:left="320" w:hanging="320"/>
              <w:rPr>
                <w:rFonts w:asciiTheme="majorHAnsi" w:hAnsiTheme="majorHAnsi" w:cstheme="majorHAnsi"/>
                <w:b w:val="0"/>
                <w:bCs/>
                <w:kern w:val="2"/>
                <w:sz w:val="20"/>
                <w:szCs w:val="20"/>
                <w:lang w:val="en-US"/>
                <w14:ligatures w14:val="standardContextual"/>
              </w:rPr>
            </w:pPr>
            <w:r w:rsidRPr="00324C3C">
              <w:rPr>
                <w:rFonts w:asciiTheme="majorHAnsi" w:hAnsiTheme="majorHAnsi" w:cstheme="majorHAnsi"/>
                <w:b w:val="0"/>
                <w:bCs/>
                <w:kern w:val="2"/>
                <w:sz w:val="20"/>
                <w:szCs w:val="20"/>
                <w:lang w:val="en-US"/>
                <w14:ligatures w14:val="standardContextual"/>
              </w:rPr>
              <w:t>UNDP has started to develop a Nature Based solution database that could inform this development.</w:t>
            </w:r>
          </w:p>
        </w:tc>
      </w:tr>
      <w:tr w:rsidR="00B106C9" w:rsidRPr="00324C3C" w14:paraId="74B0F60A" w14:textId="77777777" w:rsidTr="008E5683">
        <w:tc>
          <w:tcPr>
            <w:tcW w:w="1970" w:type="dxa"/>
            <w:hideMark/>
          </w:tcPr>
          <w:p w14:paraId="119C6942" w14:textId="77777777" w:rsidR="00B106C9" w:rsidRPr="00324C3C" w:rsidRDefault="00B106C9" w:rsidP="00072BDF">
            <w:pPr>
              <w:spacing w:before="120" w:after="120"/>
              <w:rPr>
                <w:rFonts w:asciiTheme="majorHAnsi" w:hAnsiTheme="majorHAnsi" w:cstheme="majorHAnsi"/>
                <w:b w:val="0"/>
                <w:bCs/>
                <w:kern w:val="2"/>
                <w:sz w:val="20"/>
                <w:szCs w:val="20"/>
                <w14:ligatures w14:val="standardContextual"/>
              </w:rPr>
            </w:pPr>
            <w:r w:rsidRPr="00324C3C">
              <w:rPr>
                <w:rFonts w:asciiTheme="majorHAnsi" w:hAnsiTheme="majorHAnsi" w:cstheme="majorHAnsi"/>
                <w:bCs/>
                <w:sz w:val="20"/>
                <w:szCs w:val="20"/>
              </w:rPr>
              <w:t>Recommendations component / complementary indicators important for wetlands</w:t>
            </w:r>
          </w:p>
        </w:tc>
        <w:tc>
          <w:tcPr>
            <w:tcW w:w="7020" w:type="dxa"/>
          </w:tcPr>
          <w:p w14:paraId="387ED4A8" w14:textId="77777777" w:rsidR="00B106C9" w:rsidRPr="00324C3C" w:rsidRDefault="00B106C9" w:rsidP="00DA59A8">
            <w:pPr>
              <w:pStyle w:val="ListParagraph"/>
              <w:numPr>
                <w:ilvl w:val="0"/>
                <w:numId w:val="28"/>
              </w:numPr>
              <w:spacing w:before="120" w:after="120"/>
              <w:ind w:left="320" w:hanging="320"/>
              <w:rPr>
                <w:rFonts w:asciiTheme="majorHAnsi" w:hAnsiTheme="majorHAnsi" w:cstheme="majorHAnsi"/>
                <w:b w:val="0"/>
                <w:bCs/>
                <w:color w:val="000000"/>
                <w:kern w:val="2"/>
                <w:sz w:val="20"/>
                <w:szCs w:val="20"/>
                <w:lang w:val="en-US"/>
                <w14:ligatures w14:val="standardContextual"/>
              </w:rPr>
            </w:pPr>
            <w:r w:rsidRPr="00324C3C">
              <w:rPr>
                <w:rStyle w:val="normaltextrun"/>
                <w:rFonts w:asciiTheme="majorHAnsi" w:hAnsiTheme="majorHAnsi" w:cstheme="majorHAnsi"/>
                <w:b w:val="0"/>
                <w:bCs/>
                <w:color w:val="000000"/>
                <w:kern w:val="2"/>
                <w:position w:val="1"/>
                <w:sz w:val="20"/>
                <w:szCs w:val="20"/>
                <w:lang w:val="en-US"/>
                <w14:ligatures w14:val="standardContextual"/>
              </w:rPr>
              <w:t xml:space="preserve">The </w:t>
            </w:r>
            <w:hyperlink r:id="rId59" w:history="1">
              <w:r w:rsidRPr="00324C3C">
                <w:rPr>
                  <w:rStyle w:val="Hyperlink"/>
                  <w:rFonts w:asciiTheme="majorHAnsi" w:hAnsiTheme="majorHAnsi" w:cstheme="majorHAnsi"/>
                  <w:b w:val="0"/>
                  <w:bCs/>
                  <w:kern w:val="2"/>
                  <w:position w:val="1"/>
                  <w:sz w:val="20"/>
                  <w:szCs w:val="20"/>
                  <w:lang w:val="en-US"/>
                  <w14:ligatures w14:val="standardContextual"/>
                </w:rPr>
                <w:t>Global Mangrove Watch</w:t>
              </w:r>
            </w:hyperlink>
            <w:r w:rsidRPr="00324C3C">
              <w:rPr>
                <w:rStyle w:val="normaltextrun"/>
                <w:rFonts w:asciiTheme="majorHAnsi" w:hAnsiTheme="majorHAnsi" w:cstheme="majorHAnsi"/>
                <w:b w:val="0"/>
                <w:bCs/>
                <w:color w:val="000000"/>
                <w:kern w:val="2"/>
                <w:position w:val="1"/>
                <w:sz w:val="20"/>
                <w:szCs w:val="20"/>
                <w:lang w:val="en-US"/>
                <w14:ligatures w14:val="standardContextual"/>
              </w:rPr>
              <w:t xml:space="preserve"> has an </w:t>
            </w:r>
            <w:hyperlink r:id="rId60" w:history="1">
              <w:r w:rsidRPr="00324C3C">
                <w:rPr>
                  <w:rStyle w:val="Hyperlink"/>
                  <w:rFonts w:asciiTheme="majorHAnsi" w:hAnsiTheme="majorHAnsi" w:cstheme="majorHAnsi"/>
                  <w:b w:val="0"/>
                  <w:bCs/>
                  <w:kern w:val="2"/>
                  <w:position w:val="1"/>
                  <w:sz w:val="20"/>
                  <w:szCs w:val="20"/>
                  <w:lang w:val="en-US"/>
                  <w14:ligatures w14:val="standardContextual"/>
                </w:rPr>
                <w:t>ecosystem services data layer</w:t>
              </w:r>
            </w:hyperlink>
            <w:r w:rsidRPr="00324C3C">
              <w:rPr>
                <w:rStyle w:val="normaltextrun"/>
                <w:rFonts w:asciiTheme="majorHAnsi" w:hAnsiTheme="majorHAnsi" w:cstheme="majorHAnsi"/>
                <w:b w:val="0"/>
                <w:bCs/>
                <w:color w:val="000000"/>
                <w:kern w:val="2"/>
                <w:position w:val="1"/>
                <w:sz w:val="20"/>
                <w:szCs w:val="20"/>
                <w:lang w:val="en-US"/>
                <w14:ligatures w14:val="standardContextual"/>
              </w:rPr>
              <w:t>, which could be identified as a complementary indicator (not currently listed)</w:t>
            </w:r>
            <w:r w:rsidRPr="00324C3C">
              <w:rPr>
                <w:rStyle w:val="normaltextrun"/>
                <w:rFonts w:asciiTheme="majorHAnsi" w:hAnsiTheme="majorHAnsi" w:cstheme="majorHAnsi"/>
                <w:b w:val="0"/>
                <w:bCs/>
                <w:position w:val="1"/>
                <w:sz w:val="20"/>
                <w:szCs w:val="20"/>
              </w:rPr>
              <w:t>.</w:t>
            </w:r>
          </w:p>
        </w:tc>
      </w:tr>
    </w:tbl>
    <w:p w14:paraId="1273D04E" w14:textId="77777777" w:rsidR="00B536C3" w:rsidRDefault="00B536C3" w:rsidP="00B106C9">
      <w:pPr>
        <w:rPr>
          <w:rFonts w:asciiTheme="majorHAnsi" w:hAnsiTheme="majorHAnsi" w:cstheme="majorHAnsi"/>
          <w:b/>
          <w:bCs/>
        </w:rPr>
      </w:pPr>
    </w:p>
    <w:p w14:paraId="43DBC2A3" w14:textId="7AC2FD0E" w:rsidR="00B106C9" w:rsidRDefault="00B536C3" w:rsidP="00B536C3">
      <w:pPr>
        <w:pBdr>
          <w:top w:val="nil"/>
          <w:left w:val="nil"/>
          <w:bottom w:val="nil"/>
          <w:right w:val="nil"/>
          <w:between w:val="nil"/>
        </w:pBdr>
        <w:ind w:left="425" w:hanging="425"/>
        <w:rPr>
          <w:rFonts w:asciiTheme="majorHAnsi" w:eastAsia="Calibri" w:hAnsiTheme="majorHAnsi" w:cstheme="majorHAnsi"/>
          <w:sz w:val="22"/>
          <w:szCs w:val="22"/>
        </w:rPr>
      </w:pPr>
      <w:r>
        <w:rPr>
          <w:rFonts w:asciiTheme="majorHAnsi" w:eastAsia="Calibri" w:hAnsiTheme="majorHAnsi" w:cstheme="majorHAnsi"/>
          <w:sz w:val="22"/>
          <w:szCs w:val="22"/>
        </w:rPr>
        <w:lastRenderedPageBreak/>
        <w:t>28.</w:t>
      </w:r>
      <w:r>
        <w:rPr>
          <w:rFonts w:asciiTheme="majorHAnsi" w:eastAsia="Calibri" w:hAnsiTheme="majorHAnsi" w:cstheme="majorHAnsi"/>
          <w:sz w:val="22"/>
          <w:szCs w:val="22"/>
        </w:rPr>
        <w:tab/>
      </w:r>
      <w:r w:rsidR="00B106C9" w:rsidRPr="00B536C3">
        <w:rPr>
          <w:rFonts w:asciiTheme="majorHAnsi" w:eastAsia="Calibri" w:hAnsiTheme="majorHAnsi" w:cstheme="majorHAnsi"/>
          <w:b/>
          <w:bCs/>
          <w:sz w:val="22"/>
          <w:szCs w:val="22"/>
        </w:rPr>
        <w:t>Target 12</w:t>
      </w:r>
      <w:r>
        <w:rPr>
          <w:rFonts w:asciiTheme="majorHAnsi" w:eastAsia="Calibri" w:hAnsiTheme="majorHAnsi" w:cstheme="majorHAnsi"/>
          <w:sz w:val="22"/>
          <w:szCs w:val="22"/>
        </w:rPr>
        <w:t>:</w:t>
      </w:r>
      <w:r w:rsidR="00B106C9" w:rsidRPr="00B536C3">
        <w:rPr>
          <w:rFonts w:asciiTheme="majorHAnsi" w:eastAsia="Calibri" w:hAnsiTheme="majorHAnsi" w:cstheme="majorHAnsi"/>
          <w:sz w:val="22"/>
          <w:szCs w:val="22"/>
        </w:rPr>
        <w:t xml:space="preserve"> </w:t>
      </w:r>
      <w:r w:rsidR="00B106C9" w:rsidRPr="00B536C3">
        <w:rPr>
          <w:rFonts w:asciiTheme="majorHAnsi" w:eastAsia="Calibri" w:hAnsiTheme="majorHAnsi" w:cstheme="majorHAnsi"/>
          <w:i/>
          <w:iCs/>
          <w:sz w:val="22"/>
          <w:szCs w:val="22"/>
        </w:rPr>
        <w:t>Significantly increase the area and quality and connectivity of, access to, and benefits from green and blue spaces in urban and densely populated areas sustainably, by mainstreaming the conservation and sustainable use of biodiversity, and ensure biodiversity-inclusive urban planning, enhancing native biodiversity, ecological connectivity and integrity, and improving human health and well-being and connection to nature and contributing to inclusive and sustainable urbanization and the provision of ecosystem functions and services</w:t>
      </w:r>
      <w:r w:rsidR="00B106C9" w:rsidRPr="00B536C3">
        <w:rPr>
          <w:rFonts w:asciiTheme="majorHAnsi" w:eastAsia="Calibri" w:hAnsiTheme="majorHAnsi" w:cstheme="majorHAnsi"/>
          <w:sz w:val="22"/>
          <w:szCs w:val="22"/>
        </w:rPr>
        <w:t>.</w:t>
      </w:r>
    </w:p>
    <w:p w14:paraId="496577C3" w14:textId="77777777" w:rsidR="00B536C3" w:rsidRPr="00B536C3" w:rsidRDefault="00B536C3" w:rsidP="00B536C3">
      <w:pPr>
        <w:pBdr>
          <w:top w:val="nil"/>
          <w:left w:val="nil"/>
          <w:bottom w:val="nil"/>
          <w:right w:val="nil"/>
          <w:between w:val="nil"/>
        </w:pBdr>
        <w:ind w:left="425" w:hanging="425"/>
        <w:rPr>
          <w:rFonts w:asciiTheme="majorHAnsi" w:eastAsia="Calibri" w:hAnsiTheme="majorHAnsi" w:cstheme="majorHAnsi"/>
          <w:sz w:val="22"/>
          <w:szCs w:val="22"/>
        </w:rPr>
      </w:pPr>
    </w:p>
    <w:tbl>
      <w:tblPr>
        <w:tblStyle w:val="TableGrid"/>
        <w:tblW w:w="0" w:type="auto"/>
        <w:tblBorders>
          <w:top w:val="single" w:sz="8" w:space="0" w:color="00A99A"/>
          <w:left w:val="single" w:sz="8" w:space="0" w:color="00A99A"/>
          <w:bottom w:val="single" w:sz="8" w:space="0" w:color="00A99A"/>
          <w:right w:val="single" w:sz="8" w:space="0" w:color="00A99A"/>
          <w:insideH w:val="single" w:sz="8" w:space="0" w:color="00A99A"/>
          <w:insideV w:val="single" w:sz="8" w:space="0" w:color="00A99A"/>
        </w:tblBorders>
        <w:tblLook w:val="04A0" w:firstRow="1" w:lastRow="0" w:firstColumn="1" w:lastColumn="0" w:noHBand="0" w:noVBand="1"/>
      </w:tblPr>
      <w:tblGrid>
        <w:gridCol w:w="2122"/>
        <w:gridCol w:w="6885"/>
      </w:tblGrid>
      <w:tr w:rsidR="00B106C9" w:rsidRPr="00B536C3" w14:paraId="20F4072E" w14:textId="77777777" w:rsidTr="00072BDF">
        <w:trPr>
          <w:trHeight w:val="603"/>
        </w:trPr>
        <w:tc>
          <w:tcPr>
            <w:tcW w:w="2122" w:type="dxa"/>
            <w:hideMark/>
          </w:tcPr>
          <w:p w14:paraId="60C6BB5C" w14:textId="77777777" w:rsidR="00B106C9" w:rsidRPr="00B536C3" w:rsidRDefault="00B106C9" w:rsidP="00B536C3">
            <w:pPr>
              <w:spacing w:before="120" w:after="120"/>
              <w:rPr>
                <w:rFonts w:asciiTheme="majorHAnsi" w:hAnsiTheme="majorHAnsi" w:cstheme="majorHAnsi"/>
                <w:b w:val="0"/>
                <w:bCs/>
                <w:sz w:val="20"/>
                <w:szCs w:val="20"/>
              </w:rPr>
            </w:pPr>
            <w:r w:rsidRPr="00B536C3">
              <w:rPr>
                <w:rFonts w:asciiTheme="majorHAnsi" w:hAnsiTheme="majorHAnsi" w:cstheme="majorHAnsi"/>
                <w:bCs/>
                <w:sz w:val="20"/>
                <w:szCs w:val="20"/>
              </w:rPr>
              <w:t>Headline indicator</w:t>
            </w:r>
          </w:p>
        </w:tc>
        <w:tc>
          <w:tcPr>
            <w:tcW w:w="6886" w:type="dxa"/>
            <w:hideMark/>
          </w:tcPr>
          <w:p w14:paraId="430E9196" w14:textId="77777777" w:rsidR="00B106C9" w:rsidRPr="00B536C3" w:rsidRDefault="00B106C9" w:rsidP="00B536C3">
            <w:pPr>
              <w:spacing w:before="120" w:after="120"/>
              <w:rPr>
                <w:rFonts w:asciiTheme="majorHAnsi" w:hAnsiTheme="majorHAnsi" w:cstheme="majorHAnsi"/>
                <w:b w:val="0"/>
                <w:bCs/>
                <w:sz w:val="20"/>
                <w:szCs w:val="20"/>
              </w:rPr>
            </w:pPr>
            <w:r w:rsidRPr="00B536C3">
              <w:rPr>
                <w:rStyle w:val="normaltextrun"/>
                <w:rFonts w:asciiTheme="majorHAnsi" w:hAnsiTheme="majorHAnsi" w:cstheme="majorHAnsi"/>
                <w:b w:val="0"/>
                <w:bCs/>
                <w:color w:val="000000"/>
                <w:position w:val="1"/>
                <w:sz w:val="20"/>
                <w:szCs w:val="20"/>
              </w:rPr>
              <w:t>12.1</w:t>
            </w:r>
            <w:r w:rsidRPr="00B536C3">
              <w:rPr>
                <w:rStyle w:val="apple-converted-space"/>
                <w:rFonts w:asciiTheme="majorHAnsi" w:hAnsiTheme="majorHAnsi" w:cstheme="majorHAnsi"/>
                <w:b w:val="0"/>
                <w:bCs/>
                <w:color w:val="000000"/>
                <w:position w:val="1"/>
                <w:sz w:val="20"/>
                <w:szCs w:val="20"/>
              </w:rPr>
              <w:t xml:space="preserve"> </w:t>
            </w:r>
            <w:r w:rsidRPr="00B536C3">
              <w:rPr>
                <w:rStyle w:val="normaltextrun"/>
                <w:rFonts w:asciiTheme="majorHAnsi" w:hAnsiTheme="majorHAnsi" w:cstheme="majorHAnsi"/>
                <w:b w:val="0"/>
                <w:bCs/>
                <w:color w:val="000000"/>
                <w:position w:val="1"/>
                <w:sz w:val="20"/>
                <w:szCs w:val="20"/>
              </w:rPr>
              <w:t>Average share of the built-up area of cities that is green/blue space for public use for all.</w:t>
            </w:r>
          </w:p>
        </w:tc>
      </w:tr>
      <w:tr w:rsidR="00B106C9" w:rsidRPr="00B536C3" w14:paraId="063436E1" w14:textId="77777777" w:rsidTr="00072BDF">
        <w:tc>
          <w:tcPr>
            <w:tcW w:w="2122" w:type="dxa"/>
            <w:hideMark/>
          </w:tcPr>
          <w:p w14:paraId="4CC42176" w14:textId="77777777" w:rsidR="00B106C9" w:rsidRPr="00B536C3" w:rsidRDefault="00B106C9" w:rsidP="00B536C3">
            <w:pPr>
              <w:spacing w:before="120" w:after="120"/>
              <w:rPr>
                <w:rFonts w:asciiTheme="majorHAnsi" w:hAnsiTheme="majorHAnsi" w:cstheme="majorHAnsi"/>
                <w:b w:val="0"/>
                <w:bCs/>
                <w:sz w:val="20"/>
                <w:szCs w:val="20"/>
              </w:rPr>
            </w:pPr>
            <w:r w:rsidRPr="00B536C3">
              <w:rPr>
                <w:rFonts w:asciiTheme="majorHAnsi" w:hAnsiTheme="majorHAnsi" w:cstheme="majorHAnsi"/>
                <w:bCs/>
                <w:sz w:val="20"/>
                <w:szCs w:val="20"/>
              </w:rPr>
              <w:t xml:space="preserve">Sufficiency of </w:t>
            </w:r>
            <w:r w:rsidRPr="00B536C3">
              <w:rPr>
                <w:rFonts w:asciiTheme="majorHAnsi" w:hAnsiTheme="majorHAnsi" w:cstheme="majorHAnsi"/>
                <w:bCs/>
                <w:sz w:val="20"/>
                <w:szCs w:val="20"/>
              </w:rPr>
              <w:br/>
              <w:t xml:space="preserve">the indicator </w:t>
            </w:r>
            <w:r w:rsidRPr="00B536C3">
              <w:rPr>
                <w:rFonts w:asciiTheme="majorHAnsi" w:hAnsiTheme="majorHAnsi" w:cstheme="majorHAnsi"/>
                <w:bCs/>
                <w:sz w:val="20"/>
                <w:szCs w:val="20"/>
              </w:rPr>
              <w:br/>
              <w:t>for wetlands</w:t>
            </w:r>
          </w:p>
        </w:tc>
        <w:tc>
          <w:tcPr>
            <w:tcW w:w="6886" w:type="dxa"/>
          </w:tcPr>
          <w:p w14:paraId="1B449D16" w14:textId="77777777" w:rsidR="00B106C9" w:rsidRPr="00B536C3" w:rsidRDefault="00B106C9" w:rsidP="00B536C3">
            <w:pPr>
              <w:spacing w:before="120" w:after="120"/>
              <w:rPr>
                <w:rFonts w:asciiTheme="majorHAnsi" w:hAnsiTheme="majorHAnsi" w:cstheme="majorHAnsi"/>
                <w:b w:val="0"/>
                <w:bCs/>
                <w:sz w:val="20"/>
                <w:szCs w:val="20"/>
              </w:rPr>
            </w:pPr>
            <w:r w:rsidRPr="00B536C3">
              <w:rPr>
                <w:rFonts w:asciiTheme="majorHAnsi" w:hAnsiTheme="majorHAnsi" w:cstheme="majorHAnsi"/>
                <w:b w:val="0"/>
                <w:bCs/>
                <w:sz w:val="20"/>
                <w:szCs w:val="20"/>
              </w:rPr>
              <w:t xml:space="preserve">Indicator 12.1 is not sufficient to track progress towards achieving Target 12. </w:t>
            </w:r>
          </w:p>
          <w:p w14:paraId="324B1A14" w14:textId="77777777" w:rsidR="00B106C9" w:rsidRPr="00B536C3" w:rsidRDefault="00B106C9" w:rsidP="00B536C3">
            <w:pPr>
              <w:spacing w:before="120" w:after="120"/>
              <w:rPr>
                <w:rFonts w:asciiTheme="majorHAnsi" w:hAnsiTheme="majorHAnsi" w:cstheme="majorHAnsi"/>
                <w:b w:val="0"/>
                <w:bCs/>
                <w:sz w:val="20"/>
                <w:szCs w:val="20"/>
              </w:rPr>
            </w:pPr>
            <w:r w:rsidRPr="00B536C3">
              <w:rPr>
                <w:rFonts w:asciiTheme="majorHAnsi" w:hAnsiTheme="majorHAnsi" w:cstheme="majorHAnsi"/>
                <w:b w:val="0"/>
                <w:bCs/>
                <w:sz w:val="20"/>
                <w:szCs w:val="20"/>
              </w:rPr>
              <w:t>The STRP notes a mismatch between the scope of the headline indicator and the ambition of the target. The headline indicator 12.1 focuses on the human use aspect and access. Whilst these are important elements, there is a gap in being able to understand progress towards the provision of ecosystem services relating to green/blue (including wetland) spaces in urban environments, even if people cannot access these locations directly.</w:t>
            </w:r>
          </w:p>
        </w:tc>
      </w:tr>
      <w:tr w:rsidR="00B106C9" w:rsidRPr="00B536C3" w14:paraId="7CA7FB99" w14:textId="77777777" w:rsidTr="00072BDF">
        <w:tc>
          <w:tcPr>
            <w:tcW w:w="2122" w:type="dxa"/>
            <w:hideMark/>
          </w:tcPr>
          <w:p w14:paraId="1C29FF67" w14:textId="77777777" w:rsidR="00B106C9" w:rsidRPr="00B536C3" w:rsidRDefault="00B106C9" w:rsidP="00B536C3">
            <w:pPr>
              <w:spacing w:before="120" w:after="120"/>
              <w:rPr>
                <w:rFonts w:asciiTheme="majorHAnsi" w:hAnsiTheme="majorHAnsi" w:cstheme="majorHAnsi"/>
                <w:b w:val="0"/>
                <w:bCs/>
                <w:sz w:val="20"/>
                <w:szCs w:val="20"/>
              </w:rPr>
            </w:pPr>
            <w:r w:rsidRPr="00B536C3">
              <w:rPr>
                <w:rFonts w:asciiTheme="majorHAnsi" w:hAnsiTheme="majorHAnsi" w:cstheme="majorHAnsi"/>
                <w:bCs/>
                <w:sz w:val="20"/>
                <w:szCs w:val="20"/>
              </w:rPr>
              <w:t>Recommendations on data flows / sources to fill the gap</w:t>
            </w:r>
          </w:p>
        </w:tc>
        <w:tc>
          <w:tcPr>
            <w:tcW w:w="6886" w:type="dxa"/>
            <w:hideMark/>
          </w:tcPr>
          <w:p w14:paraId="1237C599" w14:textId="77777777" w:rsidR="00B106C9" w:rsidRPr="00B536C3" w:rsidRDefault="00B106C9" w:rsidP="00B536C3">
            <w:pPr>
              <w:spacing w:before="120" w:after="120"/>
              <w:rPr>
                <w:rFonts w:asciiTheme="majorHAnsi" w:hAnsiTheme="majorHAnsi" w:cstheme="majorHAnsi"/>
                <w:b w:val="0"/>
                <w:bCs/>
                <w:sz w:val="20"/>
                <w:szCs w:val="20"/>
              </w:rPr>
            </w:pPr>
            <w:r w:rsidRPr="00B536C3">
              <w:rPr>
                <w:rFonts w:asciiTheme="majorHAnsi" w:hAnsiTheme="majorHAnsi" w:cstheme="majorHAnsi"/>
                <w:b w:val="0"/>
                <w:bCs/>
                <w:sz w:val="20"/>
                <w:szCs w:val="20"/>
              </w:rPr>
              <w:t>The STRP propose the following options for additional indicators that could help start to fill gaps:</w:t>
            </w:r>
          </w:p>
          <w:p w14:paraId="00A43462" w14:textId="77777777" w:rsidR="00B106C9" w:rsidRPr="00B536C3" w:rsidRDefault="00B106C9" w:rsidP="00B536C3">
            <w:pPr>
              <w:pStyle w:val="ListParagraph"/>
              <w:numPr>
                <w:ilvl w:val="0"/>
                <w:numId w:val="28"/>
              </w:numPr>
              <w:spacing w:before="120" w:after="120"/>
              <w:ind w:left="317" w:hanging="317"/>
              <w:rPr>
                <w:rFonts w:asciiTheme="majorHAnsi" w:hAnsiTheme="majorHAnsi" w:cstheme="majorHAnsi"/>
                <w:b w:val="0"/>
                <w:bCs/>
                <w:sz w:val="20"/>
                <w:szCs w:val="20"/>
              </w:rPr>
            </w:pPr>
            <w:r w:rsidRPr="00B536C3">
              <w:rPr>
                <w:rFonts w:asciiTheme="majorHAnsi" w:hAnsiTheme="majorHAnsi" w:cstheme="majorHAnsi"/>
                <w:b w:val="0"/>
                <w:bCs/>
                <w:sz w:val="20"/>
                <w:szCs w:val="20"/>
              </w:rPr>
              <w:t xml:space="preserve">Information from the headline indicator for Target 11 (B.1 Services </w:t>
            </w:r>
            <w:r w:rsidRPr="00B536C3">
              <w:rPr>
                <w:rStyle w:val="normaltextrun"/>
                <w:rFonts w:asciiTheme="majorHAnsi" w:hAnsiTheme="majorHAnsi" w:cstheme="majorHAnsi"/>
                <w:b w:val="0"/>
                <w:bCs/>
                <w:kern w:val="2"/>
                <w:position w:val="1"/>
                <w:sz w:val="20"/>
                <w:szCs w:val="20"/>
                <w:lang w:val="en-US"/>
                <w14:ligatures w14:val="standardContextual"/>
              </w:rPr>
              <w:t>provided</w:t>
            </w:r>
            <w:r w:rsidRPr="00B536C3">
              <w:rPr>
                <w:rFonts w:asciiTheme="majorHAnsi" w:hAnsiTheme="majorHAnsi" w:cstheme="majorHAnsi"/>
                <w:b w:val="0"/>
                <w:bCs/>
                <w:sz w:val="20"/>
                <w:szCs w:val="20"/>
              </w:rPr>
              <w:t xml:space="preserve"> by ecosystems) could help to fill this gap if it is possible to disaggregate by urban blue/green spaces.</w:t>
            </w:r>
          </w:p>
          <w:p w14:paraId="367A571D" w14:textId="77777777" w:rsidR="00B106C9" w:rsidRPr="00B536C3" w:rsidRDefault="00B106C9" w:rsidP="00B536C3">
            <w:pPr>
              <w:spacing w:before="120" w:after="120"/>
              <w:rPr>
                <w:rFonts w:asciiTheme="majorHAnsi" w:hAnsiTheme="majorHAnsi" w:cstheme="majorHAnsi"/>
                <w:b w:val="0"/>
                <w:bCs/>
                <w:sz w:val="20"/>
                <w:szCs w:val="20"/>
              </w:rPr>
            </w:pPr>
            <w:r w:rsidRPr="00B536C3">
              <w:rPr>
                <w:rFonts w:asciiTheme="majorHAnsi" w:hAnsiTheme="majorHAnsi" w:cstheme="majorHAnsi"/>
                <w:b w:val="0"/>
                <w:bCs/>
                <w:sz w:val="20"/>
                <w:szCs w:val="20"/>
              </w:rPr>
              <w:t>Existing and available indicators not yet included in the monitoring framework that would be useful include:</w:t>
            </w:r>
          </w:p>
          <w:p w14:paraId="0E6CC044" w14:textId="77777777" w:rsidR="00B106C9" w:rsidRPr="00B536C3" w:rsidRDefault="00B106C9" w:rsidP="00B536C3">
            <w:pPr>
              <w:pStyle w:val="ListParagraph"/>
              <w:numPr>
                <w:ilvl w:val="0"/>
                <w:numId w:val="28"/>
              </w:numPr>
              <w:spacing w:before="120" w:after="120"/>
              <w:ind w:left="317" w:hanging="317"/>
              <w:rPr>
                <w:rFonts w:asciiTheme="majorHAnsi" w:hAnsiTheme="majorHAnsi" w:cstheme="majorHAnsi"/>
                <w:b w:val="0"/>
                <w:bCs/>
                <w:sz w:val="20"/>
                <w:szCs w:val="20"/>
              </w:rPr>
            </w:pPr>
            <w:r w:rsidRPr="00B536C3">
              <w:rPr>
                <w:rFonts w:asciiTheme="majorHAnsi" w:hAnsiTheme="majorHAnsi" w:cstheme="majorHAnsi"/>
                <w:b w:val="0"/>
                <w:bCs/>
                <w:sz w:val="20"/>
                <w:szCs w:val="20"/>
              </w:rPr>
              <w:t xml:space="preserve">Number of cities accredited as Wetland Cities. The </w:t>
            </w:r>
            <w:hyperlink r:id="rId61" w:history="1">
              <w:r w:rsidRPr="00B536C3">
                <w:rPr>
                  <w:rStyle w:val="Hyperlink"/>
                  <w:rFonts w:asciiTheme="majorHAnsi" w:hAnsiTheme="majorHAnsi" w:cstheme="majorHAnsi"/>
                  <w:b w:val="0"/>
                  <w:bCs/>
                  <w:sz w:val="20"/>
                  <w:szCs w:val="20"/>
                </w:rPr>
                <w:t>Wetland City Accreditation</w:t>
              </w:r>
            </w:hyperlink>
            <w:r w:rsidRPr="00B536C3">
              <w:rPr>
                <w:rFonts w:asciiTheme="majorHAnsi" w:hAnsiTheme="majorHAnsi" w:cstheme="majorHAnsi"/>
                <w:b w:val="0"/>
                <w:bCs/>
                <w:sz w:val="20"/>
                <w:szCs w:val="20"/>
              </w:rPr>
              <w:t xml:space="preserve"> allows recognition of cities with Ramsar Sites. The scheme was adopted through </w:t>
            </w:r>
            <w:hyperlink r:id="rId62" w:history="1">
              <w:r w:rsidRPr="00B536C3">
                <w:rPr>
                  <w:rStyle w:val="Hyperlink"/>
                  <w:rFonts w:asciiTheme="majorHAnsi" w:hAnsiTheme="majorHAnsi" w:cstheme="majorHAnsi"/>
                  <w:b w:val="0"/>
                  <w:bCs/>
                  <w:sz w:val="20"/>
                  <w:szCs w:val="20"/>
                </w:rPr>
                <w:t>Resolution XII.10</w:t>
              </w:r>
            </w:hyperlink>
            <w:r w:rsidRPr="00B536C3">
              <w:rPr>
                <w:rFonts w:asciiTheme="majorHAnsi" w:hAnsiTheme="majorHAnsi" w:cstheme="majorHAnsi"/>
                <w:b w:val="0"/>
                <w:bCs/>
                <w:sz w:val="20"/>
                <w:szCs w:val="20"/>
              </w:rPr>
              <w:t xml:space="preserve"> in 2015 and updated in 2022 through </w:t>
            </w:r>
            <w:hyperlink r:id="rId63" w:history="1">
              <w:r w:rsidRPr="00B536C3">
                <w:rPr>
                  <w:rStyle w:val="Hyperlink"/>
                  <w:rFonts w:asciiTheme="majorHAnsi" w:hAnsiTheme="majorHAnsi" w:cstheme="majorHAnsi"/>
                  <w:b w:val="0"/>
                  <w:bCs/>
                  <w:sz w:val="20"/>
                  <w:szCs w:val="20"/>
                </w:rPr>
                <w:t>Resolution XIV.10</w:t>
              </w:r>
            </w:hyperlink>
            <w:r w:rsidRPr="00B536C3">
              <w:rPr>
                <w:rFonts w:asciiTheme="majorHAnsi" w:hAnsiTheme="majorHAnsi" w:cstheme="majorHAnsi"/>
                <w:b w:val="0"/>
                <w:bCs/>
                <w:sz w:val="20"/>
                <w:szCs w:val="20"/>
              </w:rPr>
              <w:t xml:space="preserve">. As of 2022, </w:t>
            </w:r>
            <w:r w:rsidRPr="00B536C3">
              <w:rPr>
                <w:rFonts w:asciiTheme="majorHAnsi" w:hAnsiTheme="majorHAnsi" w:cstheme="majorHAnsi"/>
                <w:b w:val="0"/>
                <w:bCs/>
                <w:color w:val="000000" w:themeColor="text1"/>
                <w:sz w:val="20"/>
                <w:szCs w:val="20"/>
              </w:rPr>
              <w:t xml:space="preserve">the Convention on Wetlands has recognized 25 cities for their efforts to safeguard urban wetlands for people and nature. </w:t>
            </w:r>
            <w:hyperlink r:id="rId64" w:history="1">
              <w:r w:rsidRPr="00B536C3">
                <w:rPr>
                  <w:rStyle w:val="Hyperlink"/>
                  <w:rFonts w:asciiTheme="majorHAnsi" w:hAnsiTheme="majorHAnsi" w:cstheme="majorHAnsi"/>
                  <w:b w:val="0"/>
                  <w:bCs/>
                  <w:sz w:val="20"/>
                  <w:szCs w:val="20"/>
                </w:rPr>
                <w:t>Operational guidance</w:t>
              </w:r>
            </w:hyperlink>
            <w:r w:rsidRPr="00B536C3">
              <w:rPr>
                <w:rFonts w:asciiTheme="majorHAnsi" w:hAnsiTheme="majorHAnsi" w:cstheme="majorHAnsi"/>
                <w:b w:val="0"/>
                <w:bCs/>
                <w:color w:val="000000" w:themeColor="text1"/>
                <w:sz w:val="20"/>
                <w:szCs w:val="20"/>
              </w:rPr>
              <w:t xml:space="preserve"> for the accreditation was published in 2023.</w:t>
            </w:r>
          </w:p>
          <w:p w14:paraId="7D18AFA4" w14:textId="77777777" w:rsidR="00B106C9" w:rsidRPr="00B536C3" w:rsidRDefault="00B106C9" w:rsidP="00B536C3">
            <w:pPr>
              <w:pStyle w:val="ListParagraph"/>
              <w:numPr>
                <w:ilvl w:val="0"/>
                <w:numId w:val="28"/>
              </w:numPr>
              <w:spacing w:before="120" w:after="120"/>
              <w:ind w:left="317" w:hanging="317"/>
              <w:rPr>
                <w:rFonts w:asciiTheme="majorHAnsi" w:hAnsiTheme="majorHAnsi" w:cstheme="majorHAnsi"/>
                <w:b w:val="0"/>
                <w:bCs/>
                <w:sz w:val="20"/>
                <w:szCs w:val="20"/>
              </w:rPr>
            </w:pPr>
            <w:r w:rsidRPr="00B536C3">
              <w:rPr>
                <w:rFonts w:asciiTheme="majorHAnsi" w:hAnsiTheme="majorHAnsi" w:cstheme="majorHAnsi"/>
                <w:b w:val="0"/>
                <w:bCs/>
                <w:sz w:val="20"/>
                <w:szCs w:val="20"/>
              </w:rPr>
              <w:t xml:space="preserve">Coverage of protected areas and OECMs within urban environments could be a helpful starting point for mapping green/blue spaces. </w:t>
            </w:r>
          </w:p>
          <w:p w14:paraId="37171699" w14:textId="77777777" w:rsidR="00B106C9" w:rsidRPr="00B536C3" w:rsidRDefault="00B106C9" w:rsidP="00B536C3">
            <w:pPr>
              <w:pStyle w:val="ListParagraph"/>
              <w:numPr>
                <w:ilvl w:val="0"/>
                <w:numId w:val="28"/>
              </w:numPr>
              <w:spacing w:before="120" w:after="120"/>
              <w:ind w:left="317" w:hanging="317"/>
              <w:rPr>
                <w:rFonts w:asciiTheme="majorHAnsi" w:hAnsiTheme="majorHAnsi" w:cstheme="majorHAnsi"/>
                <w:b w:val="0"/>
                <w:bCs/>
                <w:sz w:val="20"/>
                <w:szCs w:val="20"/>
              </w:rPr>
            </w:pPr>
            <w:r w:rsidRPr="00B536C3">
              <w:rPr>
                <w:rFonts w:asciiTheme="majorHAnsi" w:hAnsiTheme="majorHAnsi" w:cstheme="majorHAnsi"/>
                <w:b w:val="0"/>
                <w:bCs/>
                <w:sz w:val="20"/>
                <w:szCs w:val="20"/>
              </w:rPr>
              <w:t>Presence of a policy on water sensitive urban design that includes consideration of drainage, barriers to fish movement etc.</w:t>
            </w:r>
          </w:p>
          <w:p w14:paraId="0BCAB457" w14:textId="77777777" w:rsidR="00B106C9" w:rsidRPr="00B536C3" w:rsidRDefault="00B106C9" w:rsidP="00B536C3">
            <w:pPr>
              <w:pStyle w:val="ListParagraph"/>
              <w:numPr>
                <w:ilvl w:val="0"/>
                <w:numId w:val="28"/>
              </w:numPr>
              <w:spacing w:before="120" w:after="120"/>
              <w:ind w:left="317" w:hanging="317"/>
              <w:rPr>
                <w:rFonts w:asciiTheme="majorHAnsi" w:hAnsiTheme="majorHAnsi" w:cstheme="majorHAnsi"/>
                <w:b w:val="0"/>
                <w:bCs/>
                <w:sz w:val="20"/>
                <w:szCs w:val="20"/>
              </w:rPr>
            </w:pPr>
            <w:r w:rsidRPr="00B536C3">
              <w:rPr>
                <w:rFonts w:asciiTheme="majorHAnsi" w:hAnsiTheme="majorHAnsi" w:cstheme="majorHAnsi"/>
                <w:b w:val="0"/>
                <w:bCs/>
                <w:sz w:val="20"/>
                <w:szCs w:val="20"/>
              </w:rPr>
              <w:t>Presence of a policy on access to green/blue spaces.</w:t>
            </w:r>
          </w:p>
          <w:p w14:paraId="7A752F64" w14:textId="77777777" w:rsidR="00B106C9" w:rsidRPr="00B536C3" w:rsidRDefault="00B106C9" w:rsidP="00B536C3">
            <w:pPr>
              <w:pStyle w:val="ListParagraph"/>
              <w:numPr>
                <w:ilvl w:val="0"/>
                <w:numId w:val="28"/>
              </w:numPr>
              <w:spacing w:before="120" w:after="120"/>
              <w:ind w:left="317" w:hanging="317"/>
              <w:rPr>
                <w:rFonts w:asciiTheme="majorHAnsi" w:hAnsiTheme="majorHAnsi" w:cstheme="majorHAnsi"/>
                <w:b w:val="0"/>
                <w:bCs/>
                <w:sz w:val="20"/>
                <w:szCs w:val="20"/>
              </w:rPr>
            </w:pPr>
            <w:r w:rsidRPr="00B536C3">
              <w:rPr>
                <w:rFonts w:asciiTheme="majorHAnsi" w:hAnsiTheme="majorHAnsi" w:cstheme="majorHAnsi"/>
                <w:b w:val="0"/>
                <w:bCs/>
                <w:sz w:val="20"/>
                <w:szCs w:val="20"/>
              </w:rPr>
              <w:t>Presence of a policy on connectivity between urban green/blue spaces.</w:t>
            </w:r>
          </w:p>
        </w:tc>
      </w:tr>
      <w:tr w:rsidR="00B106C9" w:rsidRPr="00B536C3" w14:paraId="3FADBD15" w14:textId="77777777" w:rsidTr="00072BDF">
        <w:tc>
          <w:tcPr>
            <w:tcW w:w="2122" w:type="dxa"/>
            <w:hideMark/>
          </w:tcPr>
          <w:p w14:paraId="536C088E" w14:textId="77777777" w:rsidR="00B106C9" w:rsidRPr="00B536C3" w:rsidRDefault="00B106C9" w:rsidP="00B536C3">
            <w:pPr>
              <w:spacing w:before="120" w:after="120"/>
              <w:rPr>
                <w:rFonts w:asciiTheme="majorHAnsi" w:hAnsiTheme="majorHAnsi" w:cstheme="majorHAnsi"/>
                <w:b w:val="0"/>
                <w:bCs/>
                <w:sz w:val="20"/>
                <w:szCs w:val="20"/>
              </w:rPr>
            </w:pPr>
            <w:r w:rsidRPr="00B536C3">
              <w:rPr>
                <w:rFonts w:asciiTheme="majorHAnsi" w:hAnsiTheme="majorHAnsi" w:cstheme="majorHAnsi"/>
                <w:bCs/>
                <w:sz w:val="20"/>
                <w:szCs w:val="20"/>
              </w:rPr>
              <w:t xml:space="preserve">Identification </w:t>
            </w:r>
            <w:r w:rsidRPr="00B536C3">
              <w:rPr>
                <w:rFonts w:asciiTheme="majorHAnsi" w:hAnsiTheme="majorHAnsi" w:cstheme="majorHAnsi"/>
                <w:bCs/>
                <w:sz w:val="20"/>
                <w:szCs w:val="20"/>
              </w:rPr>
              <w:br/>
              <w:t xml:space="preserve">of future tools </w:t>
            </w:r>
            <w:r w:rsidRPr="00B536C3">
              <w:rPr>
                <w:rFonts w:asciiTheme="majorHAnsi" w:hAnsiTheme="majorHAnsi" w:cstheme="majorHAnsi"/>
                <w:bCs/>
                <w:sz w:val="20"/>
                <w:szCs w:val="20"/>
              </w:rPr>
              <w:br/>
              <w:t>to fill gaps</w:t>
            </w:r>
          </w:p>
        </w:tc>
        <w:tc>
          <w:tcPr>
            <w:tcW w:w="6886" w:type="dxa"/>
            <w:hideMark/>
          </w:tcPr>
          <w:p w14:paraId="7290FFAE" w14:textId="77777777" w:rsidR="00B106C9" w:rsidRPr="00B536C3" w:rsidRDefault="00B106C9" w:rsidP="00B536C3">
            <w:pPr>
              <w:pStyle w:val="ListParagraph"/>
              <w:numPr>
                <w:ilvl w:val="0"/>
                <w:numId w:val="28"/>
              </w:numPr>
              <w:spacing w:before="120" w:after="120"/>
              <w:ind w:left="317" w:hanging="317"/>
              <w:rPr>
                <w:rFonts w:asciiTheme="majorHAnsi" w:hAnsiTheme="majorHAnsi" w:cstheme="majorHAnsi"/>
                <w:b w:val="0"/>
                <w:bCs/>
                <w:sz w:val="20"/>
                <w:szCs w:val="20"/>
              </w:rPr>
            </w:pPr>
            <w:r w:rsidRPr="00B536C3">
              <w:rPr>
                <w:rFonts w:asciiTheme="majorHAnsi" w:hAnsiTheme="majorHAnsi" w:cstheme="majorHAnsi"/>
                <w:b w:val="0"/>
                <w:bCs/>
                <w:sz w:val="20"/>
                <w:szCs w:val="20"/>
              </w:rPr>
              <w:t xml:space="preserve">There is potential to use remote sensing track changes in the percentage cover of green/blue space in an urban environment. It is recognised that due to pixel sizes it would be difficult to detect small, but valuable areas, such as pocket parks or native vs non-native biodiversity. This information would also be helpful for understanding potential heat reduction and pollination services, for example. </w:t>
            </w:r>
          </w:p>
        </w:tc>
      </w:tr>
      <w:tr w:rsidR="00B106C9" w:rsidRPr="00B536C3" w14:paraId="41FA7DB8" w14:textId="77777777" w:rsidTr="00B536C3">
        <w:trPr>
          <w:trHeight w:val="1303"/>
        </w:trPr>
        <w:tc>
          <w:tcPr>
            <w:tcW w:w="2122" w:type="dxa"/>
            <w:hideMark/>
          </w:tcPr>
          <w:p w14:paraId="073BA6AC" w14:textId="77777777" w:rsidR="00B106C9" w:rsidRPr="00B536C3" w:rsidRDefault="00B106C9" w:rsidP="00B536C3">
            <w:pPr>
              <w:spacing w:before="120" w:after="120"/>
              <w:rPr>
                <w:rFonts w:asciiTheme="majorHAnsi" w:hAnsiTheme="majorHAnsi" w:cstheme="majorHAnsi"/>
                <w:b w:val="0"/>
                <w:bCs/>
                <w:sz w:val="20"/>
                <w:szCs w:val="20"/>
              </w:rPr>
            </w:pPr>
            <w:r w:rsidRPr="00B536C3">
              <w:rPr>
                <w:rFonts w:asciiTheme="majorHAnsi" w:hAnsiTheme="majorHAnsi" w:cstheme="majorHAnsi"/>
                <w:bCs/>
                <w:sz w:val="20"/>
                <w:szCs w:val="20"/>
              </w:rPr>
              <w:t>Recommendations component / complementary indicators important for wetlands</w:t>
            </w:r>
          </w:p>
        </w:tc>
        <w:tc>
          <w:tcPr>
            <w:tcW w:w="6886" w:type="dxa"/>
            <w:hideMark/>
          </w:tcPr>
          <w:p w14:paraId="1675D85F" w14:textId="77777777" w:rsidR="00B106C9" w:rsidRPr="00B536C3" w:rsidRDefault="00B106C9" w:rsidP="00B536C3">
            <w:pPr>
              <w:spacing w:before="120" w:after="120"/>
              <w:rPr>
                <w:rFonts w:asciiTheme="majorHAnsi" w:hAnsiTheme="majorHAnsi" w:cstheme="majorHAnsi"/>
                <w:b w:val="0"/>
                <w:bCs/>
                <w:sz w:val="20"/>
                <w:szCs w:val="20"/>
              </w:rPr>
            </w:pPr>
            <w:r w:rsidRPr="00B536C3">
              <w:rPr>
                <w:rStyle w:val="normaltextrun"/>
                <w:rFonts w:asciiTheme="majorHAnsi" w:hAnsiTheme="majorHAnsi" w:cstheme="majorHAnsi"/>
                <w:b w:val="0"/>
                <w:bCs/>
                <w:color w:val="000000"/>
                <w:position w:val="1"/>
                <w:sz w:val="20"/>
                <w:szCs w:val="20"/>
              </w:rPr>
              <w:t xml:space="preserve">It would help to develop a list of component/ complementary indicators for Parties to draw on and you may wish to consider recommending the inclusion of some of those mentioned in the section above. </w:t>
            </w:r>
          </w:p>
        </w:tc>
      </w:tr>
    </w:tbl>
    <w:p w14:paraId="723A7970" w14:textId="060B75AA" w:rsidR="00AB3636" w:rsidRPr="001552C6" w:rsidRDefault="00AB3636" w:rsidP="00B536C3">
      <w:pPr>
        <w:rPr>
          <w:rFonts w:asciiTheme="majorHAnsi" w:eastAsia="Calibri" w:hAnsiTheme="majorHAnsi" w:cstheme="majorHAnsi"/>
          <w:color w:val="000000"/>
          <w:sz w:val="22"/>
          <w:szCs w:val="22"/>
        </w:rPr>
      </w:pPr>
    </w:p>
    <w:sectPr w:rsidR="00AB3636" w:rsidRPr="001552C6" w:rsidSect="00C768CA">
      <w:headerReference w:type="even" r:id="rId65"/>
      <w:headerReference w:type="default" r:id="rId66"/>
      <w:footerReference w:type="even" r:id="rId67"/>
      <w:footerReference w:type="default" r:id="rId68"/>
      <w:headerReference w:type="first" r:id="rId69"/>
      <w:footerReference w:type="first" r:id="rId70"/>
      <w:pgSz w:w="11907" w:h="16839"/>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F4D9E" w14:textId="77777777" w:rsidR="00687804" w:rsidRDefault="00687804">
      <w:r>
        <w:separator/>
      </w:r>
    </w:p>
  </w:endnote>
  <w:endnote w:type="continuationSeparator" w:id="0">
    <w:p w14:paraId="1A45B609" w14:textId="77777777" w:rsidR="00687804" w:rsidRDefault="00687804">
      <w:r>
        <w:continuationSeparator/>
      </w:r>
    </w:p>
  </w:endnote>
  <w:endnote w:type="continuationNotice" w:id="1">
    <w:p w14:paraId="4884F4F7" w14:textId="77777777" w:rsidR="00D40135" w:rsidRDefault="00D40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78E5" w14:textId="77777777" w:rsidR="00C768CA" w:rsidRDefault="00C76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5F49" w14:textId="687CAA6C" w:rsidR="00114363" w:rsidRDefault="007C601C">
    <w:pPr>
      <w:pBdr>
        <w:top w:val="nil"/>
        <w:left w:val="nil"/>
        <w:bottom w:val="nil"/>
        <w:right w:val="nil"/>
        <w:between w:val="nil"/>
      </w:pBdr>
      <w:tabs>
        <w:tab w:val="center" w:pos="4680"/>
        <w:tab w:val="right" w:pos="9360"/>
      </w:tabs>
      <w:rPr>
        <w:rFonts w:ascii="Calibri" w:eastAsia="Calibri" w:hAnsi="Calibri" w:cs="Calibri"/>
        <w:color w:val="000000"/>
        <w:sz w:val="20"/>
        <w:szCs w:val="20"/>
      </w:rPr>
    </w:pPr>
    <w:r w:rsidRPr="00C768CA">
      <w:rPr>
        <w:rFonts w:ascii="Calibri" w:eastAsia="Calibri" w:hAnsi="Calibri" w:cs="Calibri"/>
        <w:color w:val="000000"/>
        <w:sz w:val="20"/>
        <w:szCs w:val="20"/>
      </w:rPr>
      <w:t>SC6</w:t>
    </w:r>
    <w:r w:rsidR="00746B0A" w:rsidRPr="00C768CA">
      <w:rPr>
        <w:rFonts w:ascii="Calibri" w:eastAsia="Calibri" w:hAnsi="Calibri" w:cs="Calibri"/>
        <w:color w:val="000000"/>
        <w:sz w:val="20"/>
        <w:szCs w:val="20"/>
      </w:rPr>
      <w:t>3</w:t>
    </w:r>
    <w:r w:rsidRPr="00C768CA">
      <w:rPr>
        <w:rFonts w:ascii="Calibri" w:eastAsia="Calibri" w:hAnsi="Calibri" w:cs="Calibri"/>
        <w:color w:val="000000"/>
        <w:sz w:val="20"/>
        <w:szCs w:val="20"/>
      </w:rPr>
      <w:t xml:space="preserve"> </w:t>
    </w:r>
    <w:r w:rsidR="002E101E" w:rsidRPr="00C768CA">
      <w:rPr>
        <w:rFonts w:ascii="Calibri" w:eastAsia="Calibri" w:hAnsi="Calibri" w:cs="Calibri"/>
        <w:color w:val="000000"/>
        <w:sz w:val="20"/>
        <w:szCs w:val="20"/>
      </w:rPr>
      <w:t>Inf.</w:t>
    </w:r>
    <w:r w:rsidR="00C768CA">
      <w:rPr>
        <w:rFonts w:ascii="Calibri" w:eastAsia="Calibri" w:hAnsi="Calibri" w:cs="Calibri"/>
        <w:color w:val="000000"/>
        <w:sz w:val="20"/>
        <w:szCs w:val="20"/>
      </w:rPr>
      <w:t>3</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8F5453">
      <w:rPr>
        <w:rFonts w:ascii="Calibri" w:eastAsia="Calibri" w:hAnsi="Calibri" w:cs="Calibri"/>
        <w:noProof/>
        <w:color w:val="000000"/>
        <w:sz w:val="20"/>
        <w:szCs w:val="20"/>
      </w:rPr>
      <w:t>27</w:t>
    </w:r>
    <w:r>
      <w:rPr>
        <w:rFonts w:ascii="Calibri" w:eastAsia="Calibri" w:hAnsi="Calibri" w:cs="Calibri"/>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8867" w14:textId="77777777" w:rsidR="00C768CA" w:rsidRDefault="00C768CA">
    <w:pPr>
      <w:pStyle w:val="Footer"/>
    </w:pP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676B3" w14:textId="77777777" w:rsidR="00687804" w:rsidRDefault="00687804">
      <w:r>
        <w:separator/>
      </w:r>
    </w:p>
  </w:footnote>
  <w:footnote w:type="continuationSeparator" w:id="0">
    <w:p w14:paraId="4463BBD5" w14:textId="77777777" w:rsidR="00687804" w:rsidRDefault="00687804">
      <w:r>
        <w:continuationSeparator/>
      </w:r>
    </w:p>
  </w:footnote>
  <w:footnote w:type="continuationNotice" w:id="1">
    <w:p w14:paraId="76025063" w14:textId="77777777" w:rsidR="00687804" w:rsidRDefault="00687804"/>
  </w:footnote>
  <w:footnote w:id="2">
    <w:p w14:paraId="44CD3FDB" w14:textId="78EB5609" w:rsidR="005460D4" w:rsidRDefault="005460D4">
      <w:pPr>
        <w:pStyle w:val="FootnoteText"/>
      </w:pPr>
      <w:r>
        <w:rPr>
          <w:rStyle w:val="FootnoteReference"/>
        </w:rPr>
        <w:footnoteRef/>
      </w:r>
      <w:r>
        <w:t xml:space="preserve"> </w:t>
      </w:r>
      <w:r w:rsidR="00625A79" w:rsidRPr="00625A79">
        <w:t>Thematic Work Area 5: Cross-cutting issues, supporting functions, and synergies with other MEAs; Task 5.2: Guidance to support global implementation of Kunming-Montreal Global Biodiversity Framework (GBF) for wetlands.</w:t>
      </w:r>
    </w:p>
  </w:footnote>
  <w:footnote w:id="3">
    <w:p w14:paraId="6E562D5B" w14:textId="6E42E05C" w:rsidR="00C300AB" w:rsidRDefault="00C300AB">
      <w:pPr>
        <w:pStyle w:val="FootnoteText"/>
      </w:pPr>
      <w:r>
        <w:rPr>
          <w:rStyle w:val="FootnoteReference"/>
        </w:rPr>
        <w:footnoteRef/>
      </w:r>
      <w:r>
        <w:t xml:space="preserve"> </w:t>
      </w:r>
      <w:r w:rsidR="007F6E68" w:rsidRPr="007F6E68">
        <w:t>Kunming-Montreal Global Biodiversity Framework: Upscaling wetland conservation, restoration and wise use through National Biodiversity Strategies and Action Plans (NBSAPs)</w:t>
      </w:r>
      <w:r w:rsidR="007F6E68">
        <w:t>.</w:t>
      </w:r>
    </w:p>
  </w:footnote>
  <w:footnote w:id="4">
    <w:p w14:paraId="48956A7C" w14:textId="11F02E91" w:rsidR="00A73D28" w:rsidRDefault="00A73D28">
      <w:pPr>
        <w:pStyle w:val="FootnoteText"/>
      </w:pPr>
      <w:r>
        <w:rPr>
          <w:rStyle w:val="FootnoteReference"/>
        </w:rPr>
        <w:footnoteRef/>
      </w:r>
      <w:r>
        <w:t xml:space="preserve"> </w:t>
      </w:r>
      <w:r w:rsidR="00E06940" w:rsidRPr="00E06940">
        <w:t>Cooperation among the Biodiversity-related Conventions for the implementation of the Kunming-Montreal GBF</w:t>
      </w:r>
      <w:r w:rsidR="00E069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78130" w14:textId="77777777" w:rsidR="00C768CA" w:rsidRDefault="00C76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147D" w14:textId="77777777" w:rsidR="00C768CA" w:rsidRDefault="00C76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5D21" w14:textId="77777777" w:rsidR="00C768CA" w:rsidRDefault="00C76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6C9"/>
    <w:multiLevelType w:val="hybridMultilevel"/>
    <w:tmpl w:val="350EC198"/>
    <w:lvl w:ilvl="0" w:tplc="4EF0DE0E">
      <w:start w:val="1"/>
      <w:numFmt w:val="lowerLetter"/>
      <w:lvlText w:val="%1."/>
      <w:lvlJc w:val="left"/>
      <w:pPr>
        <w:ind w:left="845" w:hanging="420"/>
      </w:pPr>
      <w:rPr>
        <w:rFonts w:hint="default"/>
      </w:rPr>
    </w:lvl>
    <w:lvl w:ilvl="1" w:tplc="6C103148" w:tentative="1">
      <w:start w:val="1"/>
      <w:numFmt w:val="lowerLetter"/>
      <w:lvlText w:val="%2."/>
      <w:lvlJc w:val="left"/>
      <w:pPr>
        <w:ind w:left="1505" w:hanging="360"/>
      </w:pPr>
    </w:lvl>
    <w:lvl w:ilvl="2" w:tplc="0F14F2E8" w:tentative="1">
      <w:start w:val="1"/>
      <w:numFmt w:val="lowerRoman"/>
      <w:lvlText w:val="%3."/>
      <w:lvlJc w:val="right"/>
      <w:pPr>
        <w:ind w:left="2225" w:hanging="180"/>
      </w:pPr>
    </w:lvl>
    <w:lvl w:ilvl="3" w:tplc="5B54FF58" w:tentative="1">
      <w:start w:val="1"/>
      <w:numFmt w:val="decimal"/>
      <w:lvlText w:val="%4."/>
      <w:lvlJc w:val="left"/>
      <w:pPr>
        <w:ind w:left="2945" w:hanging="360"/>
      </w:pPr>
    </w:lvl>
    <w:lvl w:ilvl="4" w:tplc="74E29518" w:tentative="1">
      <w:start w:val="1"/>
      <w:numFmt w:val="lowerLetter"/>
      <w:lvlText w:val="%5."/>
      <w:lvlJc w:val="left"/>
      <w:pPr>
        <w:ind w:left="3665" w:hanging="360"/>
      </w:pPr>
    </w:lvl>
    <w:lvl w:ilvl="5" w:tplc="5C406690" w:tentative="1">
      <w:start w:val="1"/>
      <w:numFmt w:val="lowerRoman"/>
      <w:lvlText w:val="%6."/>
      <w:lvlJc w:val="right"/>
      <w:pPr>
        <w:ind w:left="4385" w:hanging="180"/>
      </w:pPr>
    </w:lvl>
    <w:lvl w:ilvl="6" w:tplc="08E21DC6" w:tentative="1">
      <w:start w:val="1"/>
      <w:numFmt w:val="decimal"/>
      <w:lvlText w:val="%7."/>
      <w:lvlJc w:val="left"/>
      <w:pPr>
        <w:ind w:left="5105" w:hanging="360"/>
      </w:pPr>
    </w:lvl>
    <w:lvl w:ilvl="7" w:tplc="9D7C175A" w:tentative="1">
      <w:start w:val="1"/>
      <w:numFmt w:val="lowerLetter"/>
      <w:lvlText w:val="%8."/>
      <w:lvlJc w:val="left"/>
      <w:pPr>
        <w:ind w:left="5825" w:hanging="360"/>
      </w:pPr>
    </w:lvl>
    <w:lvl w:ilvl="8" w:tplc="20D87B58" w:tentative="1">
      <w:start w:val="1"/>
      <w:numFmt w:val="lowerRoman"/>
      <w:lvlText w:val="%9."/>
      <w:lvlJc w:val="right"/>
      <w:pPr>
        <w:ind w:left="6545" w:hanging="180"/>
      </w:pPr>
    </w:lvl>
  </w:abstractNum>
  <w:abstractNum w:abstractNumId="1" w15:restartNumberingAfterBreak="0">
    <w:nsid w:val="07160C9A"/>
    <w:multiLevelType w:val="hybridMultilevel"/>
    <w:tmpl w:val="2BA245A0"/>
    <w:lvl w:ilvl="0" w:tplc="889C301C">
      <w:start w:val="1"/>
      <w:numFmt w:val="lowerLetter"/>
      <w:lvlText w:val="%1."/>
      <w:lvlJc w:val="left"/>
      <w:pPr>
        <w:ind w:left="845" w:hanging="420"/>
      </w:pPr>
      <w:rPr>
        <w:rFonts w:hint="default"/>
      </w:rPr>
    </w:lvl>
    <w:lvl w:ilvl="1" w:tplc="F9FAB710" w:tentative="1">
      <w:start w:val="1"/>
      <w:numFmt w:val="lowerLetter"/>
      <w:lvlText w:val="%2."/>
      <w:lvlJc w:val="left"/>
      <w:pPr>
        <w:ind w:left="1505" w:hanging="360"/>
      </w:pPr>
    </w:lvl>
    <w:lvl w:ilvl="2" w:tplc="987C4BDC" w:tentative="1">
      <w:start w:val="1"/>
      <w:numFmt w:val="lowerRoman"/>
      <w:lvlText w:val="%3."/>
      <w:lvlJc w:val="right"/>
      <w:pPr>
        <w:ind w:left="2225" w:hanging="180"/>
      </w:pPr>
    </w:lvl>
    <w:lvl w:ilvl="3" w:tplc="877AC71E" w:tentative="1">
      <w:start w:val="1"/>
      <w:numFmt w:val="decimal"/>
      <w:lvlText w:val="%4."/>
      <w:lvlJc w:val="left"/>
      <w:pPr>
        <w:ind w:left="2945" w:hanging="360"/>
      </w:pPr>
    </w:lvl>
    <w:lvl w:ilvl="4" w:tplc="869ECCEA" w:tentative="1">
      <w:start w:val="1"/>
      <w:numFmt w:val="lowerLetter"/>
      <w:lvlText w:val="%5."/>
      <w:lvlJc w:val="left"/>
      <w:pPr>
        <w:ind w:left="3665" w:hanging="360"/>
      </w:pPr>
    </w:lvl>
    <w:lvl w:ilvl="5" w:tplc="BB66E59E" w:tentative="1">
      <w:start w:val="1"/>
      <w:numFmt w:val="lowerRoman"/>
      <w:lvlText w:val="%6."/>
      <w:lvlJc w:val="right"/>
      <w:pPr>
        <w:ind w:left="4385" w:hanging="180"/>
      </w:pPr>
    </w:lvl>
    <w:lvl w:ilvl="6" w:tplc="971811D2" w:tentative="1">
      <w:start w:val="1"/>
      <w:numFmt w:val="decimal"/>
      <w:lvlText w:val="%7."/>
      <w:lvlJc w:val="left"/>
      <w:pPr>
        <w:ind w:left="5105" w:hanging="360"/>
      </w:pPr>
    </w:lvl>
    <w:lvl w:ilvl="7" w:tplc="04801140" w:tentative="1">
      <w:start w:val="1"/>
      <w:numFmt w:val="lowerLetter"/>
      <w:lvlText w:val="%8."/>
      <w:lvlJc w:val="left"/>
      <w:pPr>
        <w:ind w:left="5825" w:hanging="360"/>
      </w:pPr>
    </w:lvl>
    <w:lvl w:ilvl="8" w:tplc="0F8A6620" w:tentative="1">
      <w:start w:val="1"/>
      <w:numFmt w:val="lowerRoman"/>
      <w:lvlText w:val="%9."/>
      <w:lvlJc w:val="right"/>
      <w:pPr>
        <w:ind w:left="6545" w:hanging="180"/>
      </w:pPr>
    </w:lvl>
  </w:abstractNum>
  <w:abstractNum w:abstractNumId="2" w15:restartNumberingAfterBreak="0">
    <w:nsid w:val="08E02A6B"/>
    <w:multiLevelType w:val="hybridMultilevel"/>
    <w:tmpl w:val="61AEE2E8"/>
    <w:lvl w:ilvl="0" w:tplc="AE767BC6">
      <w:start w:val="1"/>
      <w:numFmt w:val="bullet"/>
      <w:lvlText w:val=""/>
      <w:lvlJc w:val="left"/>
      <w:pPr>
        <w:ind w:left="720" w:hanging="360"/>
      </w:pPr>
      <w:rPr>
        <w:rFonts w:ascii="Symbol" w:hAnsi="Symbol" w:hint="default"/>
      </w:rPr>
    </w:lvl>
    <w:lvl w:ilvl="1" w:tplc="F9643D94">
      <w:start w:val="1"/>
      <w:numFmt w:val="lowerLetter"/>
      <w:lvlText w:val="%2."/>
      <w:lvlJc w:val="left"/>
      <w:pPr>
        <w:ind w:left="1440" w:hanging="360"/>
      </w:pPr>
    </w:lvl>
    <w:lvl w:ilvl="2" w:tplc="B45A68F2">
      <w:start w:val="1"/>
      <w:numFmt w:val="lowerRoman"/>
      <w:lvlText w:val="%3."/>
      <w:lvlJc w:val="right"/>
      <w:pPr>
        <w:ind w:left="2160" w:hanging="180"/>
      </w:pPr>
    </w:lvl>
    <w:lvl w:ilvl="3" w:tplc="A8647B2E">
      <w:start w:val="1"/>
      <w:numFmt w:val="decimal"/>
      <w:lvlText w:val="%4."/>
      <w:lvlJc w:val="left"/>
      <w:pPr>
        <w:ind w:left="2880" w:hanging="360"/>
      </w:pPr>
    </w:lvl>
    <w:lvl w:ilvl="4" w:tplc="26EA42B2">
      <w:start w:val="1"/>
      <w:numFmt w:val="lowerLetter"/>
      <w:lvlText w:val="%5."/>
      <w:lvlJc w:val="left"/>
      <w:pPr>
        <w:ind w:left="3600" w:hanging="360"/>
      </w:pPr>
    </w:lvl>
    <w:lvl w:ilvl="5" w:tplc="35148ECC">
      <w:start w:val="1"/>
      <w:numFmt w:val="lowerRoman"/>
      <w:lvlText w:val="%6."/>
      <w:lvlJc w:val="right"/>
      <w:pPr>
        <w:ind w:left="4320" w:hanging="180"/>
      </w:pPr>
    </w:lvl>
    <w:lvl w:ilvl="6" w:tplc="CA8AC204">
      <w:start w:val="1"/>
      <w:numFmt w:val="decimal"/>
      <w:lvlText w:val="%7."/>
      <w:lvlJc w:val="left"/>
      <w:pPr>
        <w:ind w:left="5040" w:hanging="360"/>
      </w:pPr>
    </w:lvl>
    <w:lvl w:ilvl="7" w:tplc="90B01D1C">
      <w:start w:val="1"/>
      <w:numFmt w:val="lowerLetter"/>
      <w:lvlText w:val="%8."/>
      <w:lvlJc w:val="left"/>
      <w:pPr>
        <w:ind w:left="5760" w:hanging="360"/>
      </w:pPr>
    </w:lvl>
    <w:lvl w:ilvl="8" w:tplc="25F238A6">
      <w:start w:val="1"/>
      <w:numFmt w:val="lowerRoman"/>
      <w:lvlText w:val="%9."/>
      <w:lvlJc w:val="right"/>
      <w:pPr>
        <w:ind w:left="6480" w:hanging="180"/>
      </w:pPr>
    </w:lvl>
  </w:abstractNum>
  <w:abstractNum w:abstractNumId="3" w15:restartNumberingAfterBreak="0">
    <w:nsid w:val="094C6033"/>
    <w:multiLevelType w:val="hybridMultilevel"/>
    <w:tmpl w:val="2BA245A0"/>
    <w:lvl w:ilvl="0" w:tplc="4E6C0292">
      <w:start w:val="1"/>
      <w:numFmt w:val="lowerLetter"/>
      <w:lvlText w:val="%1."/>
      <w:lvlJc w:val="left"/>
      <w:pPr>
        <w:ind w:left="845" w:hanging="420"/>
      </w:pPr>
      <w:rPr>
        <w:rFonts w:hint="default"/>
      </w:rPr>
    </w:lvl>
    <w:lvl w:ilvl="1" w:tplc="FDE04876" w:tentative="1">
      <w:start w:val="1"/>
      <w:numFmt w:val="lowerLetter"/>
      <w:lvlText w:val="%2."/>
      <w:lvlJc w:val="left"/>
      <w:pPr>
        <w:ind w:left="1505" w:hanging="360"/>
      </w:pPr>
    </w:lvl>
    <w:lvl w:ilvl="2" w:tplc="4804230E" w:tentative="1">
      <w:start w:val="1"/>
      <w:numFmt w:val="lowerRoman"/>
      <w:lvlText w:val="%3."/>
      <w:lvlJc w:val="right"/>
      <w:pPr>
        <w:ind w:left="2225" w:hanging="180"/>
      </w:pPr>
    </w:lvl>
    <w:lvl w:ilvl="3" w:tplc="3146C79E" w:tentative="1">
      <w:start w:val="1"/>
      <w:numFmt w:val="decimal"/>
      <w:lvlText w:val="%4."/>
      <w:lvlJc w:val="left"/>
      <w:pPr>
        <w:ind w:left="2945" w:hanging="360"/>
      </w:pPr>
    </w:lvl>
    <w:lvl w:ilvl="4" w:tplc="7382A6AA" w:tentative="1">
      <w:start w:val="1"/>
      <w:numFmt w:val="lowerLetter"/>
      <w:lvlText w:val="%5."/>
      <w:lvlJc w:val="left"/>
      <w:pPr>
        <w:ind w:left="3665" w:hanging="360"/>
      </w:pPr>
    </w:lvl>
    <w:lvl w:ilvl="5" w:tplc="65B8A214" w:tentative="1">
      <w:start w:val="1"/>
      <w:numFmt w:val="lowerRoman"/>
      <w:lvlText w:val="%6."/>
      <w:lvlJc w:val="right"/>
      <w:pPr>
        <w:ind w:left="4385" w:hanging="180"/>
      </w:pPr>
    </w:lvl>
    <w:lvl w:ilvl="6" w:tplc="8870CC88" w:tentative="1">
      <w:start w:val="1"/>
      <w:numFmt w:val="decimal"/>
      <w:lvlText w:val="%7."/>
      <w:lvlJc w:val="left"/>
      <w:pPr>
        <w:ind w:left="5105" w:hanging="360"/>
      </w:pPr>
    </w:lvl>
    <w:lvl w:ilvl="7" w:tplc="2C4E2636" w:tentative="1">
      <w:start w:val="1"/>
      <w:numFmt w:val="lowerLetter"/>
      <w:lvlText w:val="%8."/>
      <w:lvlJc w:val="left"/>
      <w:pPr>
        <w:ind w:left="5825" w:hanging="360"/>
      </w:pPr>
    </w:lvl>
    <w:lvl w:ilvl="8" w:tplc="41F852F6" w:tentative="1">
      <w:start w:val="1"/>
      <w:numFmt w:val="lowerRoman"/>
      <w:lvlText w:val="%9."/>
      <w:lvlJc w:val="right"/>
      <w:pPr>
        <w:ind w:left="6545" w:hanging="180"/>
      </w:pPr>
    </w:lvl>
  </w:abstractNum>
  <w:abstractNum w:abstractNumId="4" w15:restartNumberingAfterBreak="0">
    <w:nsid w:val="0E712F39"/>
    <w:multiLevelType w:val="hybridMultilevel"/>
    <w:tmpl w:val="2BA245A0"/>
    <w:lvl w:ilvl="0" w:tplc="158E2F30">
      <w:start w:val="1"/>
      <w:numFmt w:val="lowerLetter"/>
      <w:lvlText w:val="%1."/>
      <w:lvlJc w:val="left"/>
      <w:pPr>
        <w:ind w:left="845" w:hanging="420"/>
      </w:pPr>
      <w:rPr>
        <w:rFonts w:hint="default"/>
      </w:rPr>
    </w:lvl>
    <w:lvl w:ilvl="1" w:tplc="B81A4428" w:tentative="1">
      <w:start w:val="1"/>
      <w:numFmt w:val="lowerLetter"/>
      <w:lvlText w:val="%2."/>
      <w:lvlJc w:val="left"/>
      <w:pPr>
        <w:ind w:left="1505" w:hanging="360"/>
      </w:pPr>
    </w:lvl>
    <w:lvl w:ilvl="2" w:tplc="452E58CA" w:tentative="1">
      <w:start w:val="1"/>
      <w:numFmt w:val="lowerRoman"/>
      <w:lvlText w:val="%3."/>
      <w:lvlJc w:val="right"/>
      <w:pPr>
        <w:ind w:left="2225" w:hanging="180"/>
      </w:pPr>
    </w:lvl>
    <w:lvl w:ilvl="3" w:tplc="96D023CA" w:tentative="1">
      <w:start w:val="1"/>
      <w:numFmt w:val="decimal"/>
      <w:lvlText w:val="%4."/>
      <w:lvlJc w:val="left"/>
      <w:pPr>
        <w:ind w:left="2945" w:hanging="360"/>
      </w:pPr>
    </w:lvl>
    <w:lvl w:ilvl="4" w:tplc="75F4846A" w:tentative="1">
      <w:start w:val="1"/>
      <w:numFmt w:val="lowerLetter"/>
      <w:lvlText w:val="%5."/>
      <w:lvlJc w:val="left"/>
      <w:pPr>
        <w:ind w:left="3665" w:hanging="360"/>
      </w:pPr>
    </w:lvl>
    <w:lvl w:ilvl="5" w:tplc="5D586FAA" w:tentative="1">
      <w:start w:val="1"/>
      <w:numFmt w:val="lowerRoman"/>
      <w:lvlText w:val="%6."/>
      <w:lvlJc w:val="right"/>
      <w:pPr>
        <w:ind w:left="4385" w:hanging="180"/>
      </w:pPr>
    </w:lvl>
    <w:lvl w:ilvl="6" w:tplc="4D960B9A" w:tentative="1">
      <w:start w:val="1"/>
      <w:numFmt w:val="decimal"/>
      <w:lvlText w:val="%7."/>
      <w:lvlJc w:val="left"/>
      <w:pPr>
        <w:ind w:left="5105" w:hanging="360"/>
      </w:pPr>
    </w:lvl>
    <w:lvl w:ilvl="7" w:tplc="5D3670B4" w:tentative="1">
      <w:start w:val="1"/>
      <w:numFmt w:val="lowerLetter"/>
      <w:lvlText w:val="%8."/>
      <w:lvlJc w:val="left"/>
      <w:pPr>
        <w:ind w:left="5825" w:hanging="360"/>
      </w:pPr>
    </w:lvl>
    <w:lvl w:ilvl="8" w:tplc="094647D8" w:tentative="1">
      <w:start w:val="1"/>
      <w:numFmt w:val="lowerRoman"/>
      <w:lvlText w:val="%9."/>
      <w:lvlJc w:val="right"/>
      <w:pPr>
        <w:ind w:left="6545" w:hanging="180"/>
      </w:pPr>
    </w:lvl>
  </w:abstractNum>
  <w:abstractNum w:abstractNumId="5" w15:restartNumberingAfterBreak="0">
    <w:nsid w:val="101C3462"/>
    <w:multiLevelType w:val="hybridMultilevel"/>
    <w:tmpl w:val="E744A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A66EBF"/>
    <w:multiLevelType w:val="hybridMultilevel"/>
    <w:tmpl w:val="A764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1092E"/>
    <w:multiLevelType w:val="hybridMultilevel"/>
    <w:tmpl w:val="2BA245A0"/>
    <w:lvl w:ilvl="0" w:tplc="B6A2D7E0">
      <w:start w:val="1"/>
      <w:numFmt w:val="lowerLetter"/>
      <w:lvlText w:val="%1."/>
      <w:lvlJc w:val="left"/>
      <w:pPr>
        <w:ind w:left="845" w:hanging="420"/>
      </w:pPr>
      <w:rPr>
        <w:rFonts w:hint="default"/>
      </w:rPr>
    </w:lvl>
    <w:lvl w:ilvl="1" w:tplc="351E2186" w:tentative="1">
      <w:start w:val="1"/>
      <w:numFmt w:val="lowerLetter"/>
      <w:lvlText w:val="%2."/>
      <w:lvlJc w:val="left"/>
      <w:pPr>
        <w:ind w:left="1505" w:hanging="360"/>
      </w:pPr>
    </w:lvl>
    <w:lvl w:ilvl="2" w:tplc="5F388260" w:tentative="1">
      <w:start w:val="1"/>
      <w:numFmt w:val="lowerRoman"/>
      <w:lvlText w:val="%3."/>
      <w:lvlJc w:val="right"/>
      <w:pPr>
        <w:ind w:left="2225" w:hanging="180"/>
      </w:pPr>
    </w:lvl>
    <w:lvl w:ilvl="3" w:tplc="0B16B81A" w:tentative="1">
      <w:start w:val="1"/>
      <w:numFmt w:val="decimal"/>
      <w:lvlText w:val="%4."/>
      <w:lvlJc w:val="left"/>
      <w:pPr>
        <w:ind w:left="2945" w:hanging="360"/>
      </w:pPr>
    </w:lvl>
    <w:lvl w:ilvl="4" w:tplc="5F1AD508" w:tentative="1">
      <w:start w:val="1"/>
      <w:numFmt w:val="lowerLetter"/>
      <w:lvlText w:val="%5."/>
      <w:lvlJc w:val="left"/>
      <w:pPr>
        <w:ind w:left="3665" w:hanging="360"/>
      </w:pPr>
    </w:lvl>
    <w:lvl w:ilvl="5" w:tplc="3BE66642" w:tentative="1">
      <w:start w:val="1"/>
      <w:numFmt w:val="lowerRoman"/>
      <w:lvlText w:val="%6."/>
      <w:lvlJc w:val="right"/>
      <w:pPr>
        <w:ind w:left="4385" w:hanging="180"/>
      </w:pPr>
    </w:lvl>
    <w:lvl w:ilvl="6" w:tplc="7682DBC8" w:tentative="1">
      <w:start w:val="1"/>
      <w:numFmt w:val="decimal"/>
      <w:lvlText w:val="%7."/>
      <w:lvlJc w:val="left"/>
      <w:pPr>
        <w:ind w:left="5105" w:hanging="360"/>
      </w:pPr>
    </w:lvl>
    <w:lvl w:ilvl="7" w:tplc="0A8C0FF8" w:tentative="1">
      <w:start w:val="1"/>
      <w:numFmt w:val="lowerLetter"/>
      <w:lvlText w:val="%8."/>
      <w:lvlJc w:val="left"/>
      <w:pPr>
        <w:ind w:left="5825" w:hanging="360"/>
      </w:pPr>
    </w:lvl>
    <w:lvl w:ilvl="8" w:tplc="FE00E3DA" w:tentative="1">
      <w:start w:val="1"/>
      <w:numFmt w:val="lowerRoman"/>
      <w:lvlText w:val="%9."/>
      <w:lvlJc w:val="right"/>
      <w:pPr>
        <w:ind w:left="6545" w:hanging="180"/>
      </w:pPr>
    </w:lvl>
  </w:abstractNum>
  <w:abstractNum w:abstractNumId="8" w15:restartNumberingAfterBreak="0">
    <w:nsid w:val="128939A7"/>
    <w:multiLevelType w:val="hybridMultilevel"/>
    <w:tmpl w:val="5A9C7B24"/>
    <w:lvl w:ilvl="0" w:tplc="0FA81B08">
      <w:start w:val="1"/>
      <w:numFmt w:val="lowerLetter"/>
      <w:lvlText w:val="%1."/>
      <w:lvlJc w:val="left"/>
      <w:pPr>
        <w:ind w:left="845" w:hanging="420"/>
      </w:pPr>
      <w:rPr>
        <w:rFonts w:hint="default"/>
      </w:rPr>
    </w:lvl>
    <w:lvl w:ilvl="1" w:tplc="6E204B8E">
      <w:start w:val="1"/>
      <w:numFmt w:val="lowerRoman"/>
      <w:lvlText w:val="%2."/>
      <w:lvlJc w:val="right"/>
      <w:pPr>
        <w:ind w:left="1505" w:hanging="360"/>
      </w:pPr>
    </w:lvl>
    <w:lvl w:ilvl="2" w:tplc="ED349418" w:tentative="1">
      <w:start w:val="1"/>
      <w:numFmt w:val="lowerRoman"/>
      <w:lvlText w:val="%3."/>
      <w:lvlJc w:val="right"/>
      <w:pPr>
        <w:ind w:left="2225" w:hanging="180"/>
      </w:pPr>
    </w:lvl>
    <w:lvl w:ilvl="3" w:tplc="E4260500" w:tentative="1">
      <w:start w:val="1"/>
      <w:numFmt w:val="decimal"/>
      <w:lvlText w:val="%4."/>
      <w:lvlJc w:val="left"/>
      <w:pPr>
        <w:ind w:left="2945" w:hanging="360"/>
      </w:pPr>
    </w:lvl>
    <w:lvl w:ilvl="4" w:tplc="35B025E0" w:tentative="1">
      <w:start w:val="1"/>
      <w:numFmt w:val="lowerLetter"/>
      <w:lvlText w:val="%5."/>
      <w:lvlJc w:val="left"/>
      <w:pPr>
        <w:ind w:left="3665" w:hanging="360"/>
      </w:pPr>
    </w:lvl>
    <w:lvl w:ilvl="5" w:tplc="706C65EA" w:tentative="1">
      <w:start w:val="1"/>
      <w:numFmt w:val="lowerRoman"/>
      <w:lvlText w:val="%6."/>
      <w:lvlJc w:val="right"/>
      <w:pPr>
        <w:ind w:left="4385" w:hanging="180"/>
      </w:pPr>
    </w:lvl>
    <w:lvl w:ilvl="6" w:tplc="5D947306" w:tentative="1">
      <w:start w:val="1"/>
      <w:numFmt w:val="decimal"/>
      <w:lvlText w:val="%7."/>
      <w:lvlJc w:val="left"/>
      <w:pPr>
        <w:ind w:left="5105" w:hanging="360"/>
      </w:pPr>
    </w:lvl>
    <w:lvl w:ilvl="7" w:tplc="2AD0E23C" w:tentative="1">
      <w:start w:val="1"/>
      <w:numFmt w:val="lowerLetter"/>
      <w:lvlText w:val="%8."/>
      <w:lvlJc w:val="left"/>
      <w:pPr>
        <w:ind w:left="5825" w:hanging="360"/>
      </w:pPr>
    </w:lvl>
    <w:lvl w:ilvl="8" w:tplc="DD22DC0C" w:tentative="1">
      <w:start w:val="1"/>
      <w:numFmt w:val="lowerRoman"/>
      <w:lvlText w:val="%9."/>
      <w:lvlJc w:val="right"/>
      <w:pPr>
        <w:ind w:left="6545" w:hanging="180"/>
      </w:pPr>
    </w:lvl>
  </w:abstractNum>
  <w:abstractNum w:abstractNumId="9" w15:restartNumberingAfterBreak="0">
    <w:nsid w:val="1DC42A0F"/>
    <w:multiLevelType w:val="hybridMultilevel"/>
    <w:tmpl w:val="2BA245A0"/>
    <w:lvl w:ilvl="0" w:tplc="02420E76">
      <w:start w:val="1"/>
      <w:numFmt w:val="lowerLetter"/>
      <w:lvlText w:val="%1."/>
      <w:lvlJc w:val="left"/>
      <w:pPr>
        <w:ind w:left="845" w:hanging="420"/>
      </w:pPr>
      <w:rPr>
        <w:rFonts w:hint="default"/>
      </w:rPr>
    </w:lvl>
    <w:lvl w:ilvl="1" w:tplc="0746892C" w:tentative="1">
      <w:start w:val="1"/>
      <w:numFmt w:val="lowerLetter"/>
      <w:lvlText w:val="%2."/>
      <w:lvlJc w:val="left"/>
      <w:pPr>
        <w:ind w:left="1505" w:hanging="360"/>
      </w:pPr>
    </w:lvl>
    <w:lvl w:ilvl="2" w:tplc="EC2617F0" w:tentative="1">
      <w:start w:val="1"/>
      <w:numFmt w:val="lowerRoman"/>
      <w:lvlText w:val="%3."/>
      <w:lvlJc w:val="right"/>
      <w:pPr>
        <w:ind w:left="2225" w:hanging="180"/>
      </w:pPr>
    </w:lvl>
    <w:lvl w:ilvl="3" w:tplc="DC2AC32A" w:tentative="1">
      <w:start w:val="1"/>
      <w:numFmt w:val="decimal"/>
      <w:lvlText w:val="%4."/>
      <w:lvlJc w:val="left"/>
      <w:pPr>
        <w:ind w:left="2945" w:hanging="360"/>
      </w:pPr>
    </w:lvl>
    <w:lvl w:ilvl="4" w:tplc="C38432C0" w:tentative="1">
      <w:start w:val="1"/>
      <w:numFmt w:val="lowerLetter"/>
      <w:lvlText w:val="%5."/>
      <w:lvlJc w:val="left"/>
      <w:pPr>
        <w:ind w:left="3665" w:hanging="360"/>
      </w:pPr>
    </w:lvl>
    <w:lvl w:ilvl="5" w:tplc="394A23A4" w:tentative="1">
      <w:start w:val="1"/>
      <w:numFmt w:val="lowerRoman"/>
      <w:lvlText w:val="%6."/>
      <w:lvlJc w:val="right"/>
      <w:pPr>
        <w:ind w:left="4385" w:hanging="180"/>
      </w:pPr>
    </w:lvl>
    <w:lvl w:ilvl="6" w:tplc="C04CCA64" w:tentative="1">
      <w:start w:val="1"/>
      <w:numFmt w:val="decimal"/>
      <w:lvlText w:val="%7."/>
      <w:lvlJc w:val="left"/>
      <w:pPr>
        <w:ind w:left="5105" w:hanging="360"/>
      </w:pPr>
    </w:lvl>
    <w:lvl w:ilvl="7" w:tplc="F80231C0" w:tentative="1">
      <w:start w:val="1"/>
      <w:numFmt w:val="lowerLetter"/>
      <w:lvlText w:val="%8."/>
      <w:lvlJc w:val="left"/>
      <w:pPr>
        <w:ind w:left="5825" w:hanging="360"/>
      </w:pPr>
    </w:lvl>
    <w:lvl w:ilvl="8" w:tplc="E9F28F76" w:tentative="1">
      <w:start w:val="1"/>
      <w:numFmt w:val="lowerRoman"/>
      <w:lvlText w:val="%9."/>
      <w:lvlJc w:val="right"/>
      <w:pPr>
        <w:ind w:left="6545" w:hanging="180"/>
      </w:pPr>
    </w:lvl>
  </w:abstractNum>
  <w:abstractNum w:abstractNumId="10" w15:restartNumberingAfterBreak="0">
    <w:nsid w:val="1DD9516F"/>
    <w:multiLevelType w:val="hybridMultilevel"/>
    <w:tmpl w:val="5A9C7B24"/>
    <w:lvl w:ilvl="0" w:tplc="50DC8812">
      <w:start w:val="1"/>
      <w:numFmt w:val="lowerLetter"/>
      <w:lvlText w:val="%1."/>
      <w:lvlJc w:val="left"/>
      <w:pPr>
        <w:ind w:left="845" w:hanging="420"/>
      </w:pPr>
      <w:rPr>
        <w:rFonts w:hint="default"/>
      </w:rPr>
    </w:lvl>
    <w:lvl w:ilvl="1" w:tplc="8F2AD228">
      <w:start w:val="1"/>
      <w:numFmt w:val="lowerRoman"/>
      <w:lvlText w:val="%2."/>
      <w:lvlJc w:val="right"/>
      <w:pPr>
        <w:ind w:left="1505" w:hanging="360"/>
      </w:pPr>
    </w:lvl>
    <w:lvl w:ilvl="2" w:tplc="CA5E1688" w:tentative="1">
      <w:start w:val="1"/>
      <w:numFmt w:val="lowerRoman"/>
      <w:lvlText w:val="%3."/>
      <w:lvlJc w:val="right"/>
      <w:pPr>
        <w:ind w:left="2225" w:hanging="180"/>
      </w:pPr>
    </w:lvl>
    <w:lvl w:ilvl="3" w:tplc="D634113A" w:tentative="1">
      <w:start w:val="1"/>
      <w:numFmt w:val="decimal"/>
      <w:lvlText w:val="%4."/>
      <w:lvlJc w:val="left"/>
      <w:pPr>
        <w:ind w:left="2945" w:hanging="360"/>
      </w:pPr>
    </w:lvl>
    <w:lvl w:ilvl="4" w:tplc="5ACEE942" w:tentative="1">
      <w:start w:val="1"/>
      <w:numFmt w:val="lowerLetter"/>
      <w:lvlText w:val="%5."/>
      <w:lvlJc w:val="left"/>
      <w:pPr>
        <w:ind w:left="3665" w:hanging="360"/>
      </w:pPr>
    </w:lvl>
    <w:lvl w:ilvl="5" w:tplc="4E50AD16" w:tentative="1">
      <w:start w:val="1"/>
      <w:numFmt w:val="lowerRoman"/>
      <w:lvlText w:val="%6."/>
      <w:lvlJc w:val="right"/>
      <w:pPr>
        <w:ind w:left="4385" w:hanging="180"/>
      </w:pPr>
    </w:lvl>
    <w:lvl w:ilvl="6" w:tplc="A0AA168A" w:tentative="1">
      <w:start w:val="1"/>
      <w:numFmt w:val="decimal"/>
      <w:lvlText w:val="%7."/>
      <w:lvlJc w:val="left"/>
      <w:pPr>
        <w:ind w:left="5105" w:hanging="360"/>
      </w:pPr>
    </w:lvl>
    <w:lvl w:ilvl="7" w:tplc="14D696F4" w:tentative="1">
      <w:start w:val="1"/>
      <w:numFmt w:val="lowerLetter"/>
      <w:lvlText w:val="%8."/>
      <w:lvlJc w:val="left"/>
      <w:pPr>
        <w:ind w:left="5825" w:hanging="360"/>
      </w:pPr>
    </w:lvl>
    <w:lvl w:ilvl="8" w:tplc="B538B8D2" w:tentative="1">
      <w:start w:val="1"/>
      <w:numFmt w:val="lowerRoman"/>
      <w:lvlText w:val="%9."/>
      <w:lvlJc w:val="right"/>
      <w:pPr>
        <w:ind w:left="6545" w:hanging="180"/>
      </w:pPr>
    </w:lvl>
  </w:abstractNum>
  <w:abstractNum w:abstractNumId="11" w15:restartNumberingAfterBreak="0">
    <w:nsid w:val="2221096D"/>
    <w:multiLevelType w:val="hybridMultilevel"/>
    <w:tmpl w:val="350EC198"/>
    <w:lvl w:ilvl="0" w:tplc="F7145B92">
      <w:start w:val="1"/>
      <w:numFmt w:val="lowerLetter"/>
      <w:lvlText w:val="%1."/>
      <w:lvlJc w:val="left"/>
      <w:pPr>
        <w:ind w:left="845" w:hanging="420"/>
      </w:pPr>
      <w:rPr>
        <w:rFonts w:hint="default"/>
      </w:rPr>
    </w:lvl>
    <w:lvl w:ilvl="1" w:tplc="44222570" w:tentative="1">
      <w:start w:val="1"/>
      <w:numFmt w:val="lowerLetter"/>
      <w:lvlText w:val="%2."/>
      <w:lvlJc w:val="left"/>
      <w:pPr>
        <w:ind w:left="1505" w:hanging="360"/>
      </w:pPr>
    </w:lvl>
    <w:lvl w:ilvl="2" w:tplc="816A5BF8" w:tentative="1">
      <w:start w:val="1"/>
      <w:numFmt w:val="lowerRoman"/>
      <w:lvlText w:val="%3."/>
      <w:lvlJc w:val="right"/>
      <w:pPr>
        <w:ind w:left="2225" w:hanging="180"/>
      </w:pPr>
    </w:lvl>
    <w:lvl w:ilvl="3" w:tplc="A606CB3A" w:tentative="1">
      <w:start w:val="1"/>
      <w:numFmt w:val="decimal"/>
      <w:lvlText w:val="%4."/>
      <w:lvlJc w:val="left"/>
      <w:pPr>
        <w:ind w:left="2945" w:hanging="360"/>
      </w:pPr>
    </w:lvl>
    <w:lvl w:ilvl="4" w:tplc="1154429A" w:tentative="1">
      <w:start w:val="1"/>
      <w:numFmt w:val="lowerLetter"/>
      <w:lvlText w:val="%5."/>
      <w:lvlJc w:val="left"/>
      <w:pPr>
        <w:ind w:left="3665" w:hanging="360"/>
      </w:pPr>
    </w:lvl>
    <w:lvl w:ilvl="5" w:tplc="8E666702" w:tentative="1">
      <w:start w:val="1"/>
      <w:numFmt w:val="lowerRoman"/>
      <w:lvlText w:val="%6."/>
      <w:lvlJc w:val="right"/>
      <w:pPr>
        <w:ind w:left="4385" w:hanging="180"/>
      </w:pPr>
    </w:lvl>
    <w:lvl w:ilvl="6" w:tplc="388E135C" w:tentative="1">
      <w:start w:val="1"/>
      <w:numFmt w:val="decimal"/>
      <w:lvlText w:val="%7."/>
      <w:lvlJc w:val="left"/>
      <w:pPr>
        <w:ind w:left="5105" w:hanging="360"/>
      </w:pPr>
    </w:lvl>
    <w:lvl w:ilvl="7" w:tplc="FFDA16E6" w:tentative="1">
      <w:start w:val="1"/>
      <w:numFmt w:val="lowerLetter"/>
      <w:lvlText w:val="%8."/>
      <w:lvlJc w:val="left"/>
      <w:pPr>
        <w:ind w:left="5825" w:hanging="360"/>
      </w:pPr>
    </w:lvl>
    <w:lvl w:ilvl="8" w:tplc="DC9AC2D4" w:tentative="1">
      <w:start w:val="1"/>
      <w:numFmt w:val="lowerRoman"/>
      <w:lvlText w:val="%9."/>
      <w:lvlJc w:val="right"/>
      <w:pPr>
        <w:ind w:left="6545" w:hanging="180"/>
      </w:pPr>
    </w:lvl>
  </w:abstractNum>
  <w:abstractNum w:abstractNumId="12" w15:restartNumberingAfterBreak="0">
    <w:nsid w:val="233E4915"/>
    <w:multiLevelType w:val="hybridMultilevel"/>
    <w:tmpl w:val="2BA245A0"/>
    <w:lvl w:ilvl="0" w:tplc="FFFFFFFF">
      <w:start w:val="1"/>
      <w:numFmt w:val="lowerLetter"/>
      <w:lvlText w:val="%1."/>
      <w:lvlJc w:val="left"/>
      <w:pPr>
        <w:ind w:left="845" w:hanging="42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3" w15:restartNumberingAfterBreak="0">
    <w:nsid w:val="26054780"/>
    <w:multiLevelType w:val="hybridMultilevel"/>
    <w:tmpl w:val="2BA245A0"/>
    <w:lvl w:ilvl="0" w:tplc="B9382FF6">
      <w:start w:val="1"/>
      <w:numFmt w:val="lowerLetter"/>
      <w:lvlText w:val="%1."/>
      <w:lvlJc w:val="left"/>
      <w:pPr>
        <w:ind w:left="845" w:hanging="420"/>
      </w:pPr>
      <w:rPr>
        <w:rFonts w:hint="default"/>
      </w:rPr>
    </w:lvl>
    <w:lvl w:ilvl="1" w:tplc="4374337E" w:tentative="1">
      <w:start w:val="1"/>
      <w:numFmt w:val="lowerLetter"/>
      <w:lvlText w:val="%2."/>
      <w:lvlJc w:val="left"/>
      <w:pPr>
        <w:ind w:left="1505" w:hanging="360"/>
      </w:pPr>
    </w:lvl>
    <w:lvl w:ilvl="2" w:tplc="CF94D7DA" w:tentative="1">
      <w:start w:val="1"/>
      <w:numFmt w:val="lowerRoman"/>
      <w:lvlText w:val="%3."/>
      <w:lvlJc w:val="right"/>
      <w:pPr>
        <w:ind w:left="2225" w:hanging="180"/>
      </w:pPr>
    </w:lvl>
    <w:lvl w:ilvl="3" w:tplc="4C8E34CC" w:tentative="1">
      <w:start w:val="1"/>
      <w:numFmt w:val="decimal"/>
      <w:lvlText w:val="%4."/>
      <w:lvlJc w:val="left"/>
      <w:pPr>
        <w:ind w:left="2945" w:hanging="360"/>
      </w:pPr>
    </w:lvl>
    <w:lvl w:ilvl="4" w:tplc="C7520834" w:tentative="1">
      <w:start w:val="1"/>
      <w:numFmt w:val="lowerLetter"/>
      <w:lvlText w:val="%5."/>
      <w:lvlJc w:val="left"/>
      <w:pPr>
        <w:ind w:left="3665" w:hanging="360"/>
      </w:pPr>
    </w:lvl>
    <w:lvl w:ilvl="5" w:tplc="1B3AE5D8" w:tentative="1">
      <w:start w:val="1"/>
      <w:numFmt w:val="lowerRoman"/>
      <w:lvlText w:val="%6."/>
      <w:lvlJc w:val="right"/>
      <w:pPr>
        <w:ind w:left="4385" w:hanging="180"/>
      </w:pPr>
    </w:lvl>
    <w:lvl w:ilvl="6" w:tplc="4D02CBD0" w:tentative="1">
      <w:start w:val="1"/>
      <w:numFmt w:val="decimal"/>
      <w:lvlText w:val="%7."/>
      <w:lvlJc w:val="left"/>
      <w:pPr>
        <w:ind w:left="5105" w:hanging="360"/>
      </w:pPr>
    </w:lvl>
    <w:lvl w:ilvl="7" w:tplc="73D8A868" w:tentative="1">
      <w:start w:val="1"/>
      <w:numFmt w:val="lowerLetter"/>
      <w:lvlText w:val="%8."/>
      <w:lvlJc w:val="left"/>
      <w:pPr>
        <w:ind w:left="5825" w:hanging="360"/>
      </w:pPr>
    </w:lvl>
    <w:lvl w:ilvl="8" w:tplc="141CE61E" w:tentative="1">
      <w:start w:val="1"/>
      <w:numFmt w:val="lowerRoman"/>
      <w:lvlText w:val="%9."/>
      <w:lvlJc w:val="right"/>
      <w:pPr>
        <w:ind w:left="6545" w:hanging="180"/>
      </w:pPr>
    </w:lvl>
  </w:abstractNum>
  <w:abstractNum w:abstractNumId="14" w15:restartNumberingAfterBreak="0">
    <w:nsid w:val="3D5063C0"/>
    <w:multiLevelType w:val="hybridMultilevel"/>
    <w:tmpl w:val="2BA245A0"/>
    <w:lvl w:ilvl="0" w:tplc="4B28BFCE">
      <w:start w:val="1"/>
      <w:numFmt w:val="lowerLetter"/>
      <w:lvlText w:val="%1."/>
      <w:lvlJc w:val="left"/>
      <w:pPr>
        <w:ind w:left="845" w:hanging="420"/>
      </w:pPr>
      <w:rPr>
        <w:rFonts w:hint="default"/>
      </w:rPr>
    </w:lvl>
    <w:lvl w:ilvl="1" w:tplc="D5607162" w:tentative="1">
      <w:start w:val="1"/>
      <w:numFmt w:val="lowerLetter"/>
      <w:lvlText w:val="%2."/>
      <w:lvlJc w:val="left"/>
      <w:pPr>
        <w:ind w:left="1505" w:hanging="360"/>
      </w:pPr>
    </w:lvl>
    <w:lvl w:ilvl="2" w:tplc="4AC018E8" w:tentative="1">
      <w:start w:val="1"/>
      <w:numFmt w:val="lowerRoman"/>
      <w:lvlText w:val="%3."/>
      <w:lvlJc w:val="right"/>
      <w:pPr>
        <w:ind w:left="2225" w:hanging="180"/>
      </w:pPr>
    </w:lvl>
    <w:lvl w:ilvl="3" w:tplc="C11E43C0" w:tentative="1">
      <w:start w:val="1"/>
      <w:numFmt w:val="decimal"/>
      <w:lvlText w:val="%4."/>
      <w:lvlJc w:val="left"/>
      <w:pPr>
        <w:ind w:left="2945" w:hanging="360"/>
      </w:pPr>
    </w:lvl>
    <w:lvl w:ilvl="4" w:tplc="7582860E" w:tentative="1">
      <w:start w:val="1"/>
      <w:numFmt w:val="lowerLetter"/>
      <w:lvlText w:val="%5."/>
      <w:lvlJc w:val="left"/>
      <w:pPr>
        <w:ind w:left="3665" w:hanging="360"/>
      </w:pPr>
    </w:lvl>
    <w:lvl w:ilvl="5" w:tplc="2A625610" w:tentative="1">
      <w:start w:val="1"/>
      <w:numFmt w:val="lowerRoman"/>
      <w:lvlText w:val="%6."/>
      <w:lvlJc w:val="right"/>
      <w:pPr>
        <w:ind w:left="4385" w:hanging="180"/>
      </w:pPr>
    </w:lvl>
    <w:lvl w:ilvl="6" w:tplc="183624CE" w:tentative="1">
      <w:start w:val="1"/>
      <w:numFmt w:val="decimal"/>
      <w:lvlText w:val="%7."/>
      <w:lvlJc w:val="left"/>
      <w:pPr>
        <w:ind w:left="5105" w:hanging="360"/>
      </w:pPr>
    </w:lvl>
    <w:lvl w:ilvl="7" w:tplc="5EC887DC" w:tentative="1">
      <w:start w:val="1"/>
      <w:numFmt w:val="lowerLetter"/>
      <w:lvlText w:val="%8."/>
      <w:lvlJc w:val="left"/>
      <w:pPr>
        <w:ind w:left="5825" w:hanging="360"/>
      </w:pPr>
    </w:lvl>
    <w:lvl w:ilvl="8" w:tplc="AE48822E" w:tentative="1">
      <w:start w:val="1"/>
      <w:numFmt w:val="lowerRoman"/>
      <w:lvlText w:val="%9."/>
      <w:lvlJc w:val="right"/>
      <w:pPr>
        <w:ind w:left="6545" w:hanging="180"/>
      </w:pPr>
    </w:lvl>
  </w:abstractNum>
  <w:abstractNum w:abstractNumId="15" w15:restartNumberingAfterBreak="0">
    <w:nsid w:val="3F0140F4"/>
    <w:multiLevelType w:val="hybridMultilevel"/>
    <w:tmpl w:val="5A9C7B24"/>
    <w:lvl w:ilvl="0" w:tplc="F3F48AB2">
      <w:start w:val="1"/>
      <w:numFmt w:val="lowerLetter"/>
      <w:lvlText w:val="%1."/>
      <w:lvlJc w:val="left"/>
      <w:pPr>
        <w:ind w:left="845" w:hanging="420"/>
      </w:pPr>
      <w:rPr>
        <w:rFonts w:hint="default"/>
      </w:rPr>
    </w:lvl>
    <w:lvl w:ilvl="1" w:tplc="374E13DA">
      <w:start w:val="1"/>
      <w:numFmt w:val="lowerRoman"/>
      <w:lvlText w:val="%2."/>
      <w:lvlJc w:val="right"/>
      <w:pPr>
        <w:ind w:left="1505" w:hanging="360"/>
      </w:pPr>
    </w:lvl>
    <w:lvl w:ilvl="2" w:tplc="DCA076F6" w:tentative="1">
      <w:start w:val="1"/>
      <w:numFmt w:val="lowerRoman"/>
      <w:lvlText w:val="%3."/>
      <w:lvlJc w:val="right"/>
      <w:pPr>
        <w:ind w:left="2225" w:hanging="180"/>
      </w:pPr>
    </w:lvl>
    <w:lvl w:ilvl="3" w:tplc="1A465464" w:tentative="1">
      <w:start w:val="1"/>
      <w:numFmt w:val="decimal"/>
      <w:lvlText w:val="%4."/>
      <w:lvlJc w:val="left"/>
      <w:pPr>
        <w:ind w:left="2945" w:hanging="360"/>
      </w:pPr>
    </w:lvl>
    <w:lvl w:ilvl="4" w:tplc="115AED08" w:tentative="1">
      <w:start w:val="1"/>
      <w:numFmt w:val="lowerLetter"/>
      <w:lvlText w:val="%5."/>
      <w:lvlJc w:val="left"/>
      <w:pPr>
        <w:ind w:left="3665" w:hanging="360"/>
      </w:pPr>
    </w:lvl>
    <w:lvl w:ilvl="5" w:tplc="EFD428BE" w:tentative="1">
      <w:start w:val="1"/>
      <w:numFmt w:val="lowerRoman"/>
      <w:lvlText w:val="%6."/>
      <w:lvlJc w:val="right"/>
      <w:pPr>
        <w:ind w:left="4385" w:hanging="180"/>
      </w:pPr>
    </w:lvl>
    <w:lvl w:ilvl="6" w:tplc="4AF06558" w:tentative="1">
      <w:start w:val="1"/>
      <w:numFmt w:val="decimal"/>
      <w:lvlText w:val="%7."/>
      <w:lvlJc w:val="left"/>
      <w:pPr>
        <w:ind w:left="5105" w:hanging="360"/>
      </w:pPr>
    </w:lvl>
    <w:lvl w:ilvl="7" w:tplc="417C8A4E" w:tentative="1">
      <w:start w:val="1"/>
      <w:numFmt w:val="lowerLetter"/>
      <w:lvlText w:val="%8."/>
      <w:lvlJc w:val="left"/>
      <w:pPr>
        <w:ind w:left="5825" w:hanging="360"/>
      </w:pPr>
    </w:lvl>
    <w:lvl w:ilvl="8" w:tplc="61E04B64" w:tentative="1">
      <w:start w:val="1"/>
      <w:numFmt w:val="lowerRoman"/>
      <w:lvlText w:val="%9."/>
      <w:lvlJc w:val="right"/>
      <w:pPr>
        <w:ind w:left="6545" w:hanging="180"/>
      </w:pPr>
    </w:lvl>
  </w:abstractNum>
  <w:abstractNum w:abstractNumId="16" w15:restartNumberingAfterBreak="0">
    <w:nsid w:val="40F36956"/>
    <w:multiLevelType w:val="hybridMultilevel"/>
    <w:tmpl w:val="C55CFCC6"/>
    <w:lvl w:ilvl="0" w:tplc="CFD482AA">
      <w:start w:val="1"/>
      <w:numFmt w:val="bullet"/>
      <w:lvlText w:val=""/>
      <w:lvlJc w:val="left"/>
      <w:pPr>
        <w:ind w:left="1145" w:hanging="360"/>
      </w:pPr>
      <w:rPr>
        <w:rFonts w:ascii="Symbol" w:hAnsi="Symbol" w:hint="default"/>
        <w:color w:val="auto"/>
      </w:rPr>
    </w:lvl>
    <w:lvl w:ilvl="1" w:tplc="12F8046A" w:tentative="1">
      <w:start w:val="1"/>
      <w:numFmt w:val="bullet"/>
      <w:lvlText w:val="o"/>
      <w:lvlJc w:val="left"/>
      <w:pPr>
        <w:ind w:left="1865" w:hanging="360"/>
      </w:pPr>
      <w:rPr>
        <w:rFonts w:ascii="Courier New" w:hAnsi="Courier New" w:cs="Courier New" w:hint="default"/>
      </w:rPr>
    </w:lvl>
    <w:lvl w:ilvl="2" w:tplc="A65C84A0" w:tentative="1">
      <w:start w:val="1"/>
      <w:numFmt w:val="bullet"/>
      <w:lvlText w:val=""/>
      <w:lvlJc w:val="left"/>
      <w:pPr>
        <w:ind w:left="2585" w:hanging="360"/>
      </w:pPr>
      <w:rPr>
        <w:rFonts w:ascii="Wingdings" w:hAnsi="Wingdings" w:hint="default"/>
      </w:rPr>
    </w:lvl>
    <w:lvl w:ilvl="3" w:tplc="5D340B48" w:tentative="1">
      <w:start w:val="1"/>
      <w:numFmt w:val="bullet"/>
      <w:lvlText w:val=""/>
      <w:lvlJc w:val="left"/>
      <w:pPr>
        <w:ind w:left="3305" w:hanging="360"/>
      </w:pPr>
      <w:rPr>
        <w:rFonts w:ascii="Symbol" w:hAnsi="Symbol" w:hint="default"/>
      </w:rPr>
    </w:lvl>
    <w:lvl w:ilvl="4" w:tplc="05CEEB82" w:tentative="1">
      <w:start w:val="1"/>
      <w:numFmt w:val="bullet"/>
      <w:lvlText w:val="o"/>
      <w:lvlJc w:val="left"/>
      <w:pPr>
        <w:ind w:left="4025" w:hanging="360"/>
      </w:pPr>
      <w:rPr>
        <w:rFonts w:ascii="Courier New" w:hAnsi="Courier New" w:cs="Courier New" w:hint="default"/>
      </w:rPr>
    </w:lvl>
    <w:lvl w:ilvl="5" w:tplc="81BED33A" w:tentative="1">
      <w:start w:val="1"/>
      <w:numFmt w:val="bullet"/>
      <w:lvlText w:val=""/>
      <w:lvlJc w:val="left"/>
      <w:pPr>
        <w:ind w:left="4745" w:hanging="360"/>
      </w:pPr>
      <w:rPr>
        <w:rFonts w:ascii="Wingdings" w:hAnsi="Wingdings" w:hint="default"/>
      </w:rPr>
    </w:lvl>
    <w:lvl w:ilvl="6" w:tplc="D764BB4E" w:tentative="1">
      <w:start w:val="1"/>
      <w:numFmt w:val="bullet"/>
      <w:lvlText w:val=""/>
      <w:lvlJc w:val="left"/>
      <w:pPr>
        <w:ind w:left="5465" w:hanging="360"/>
      </w:pPr>
      <w:rPr>
        <w:rFonts w:ascii="Symbol" w:hAnsi="Symbol" w:hint="default"/>
      </w:rPr>
    </w:lvl>
    <w:lvl w:ilvl="7" w:tplc="4796D398" w:tentative="1">
      <w:start w:val="1"/>
      <w:numFmt w:val="bullet"/>
      <w:lvlText w:val="o"/>
      <w:lvlJc w:val="left"/>
      <w:pPr>
        <w:ind w:left="6185" w:hanging="360"/>
      </w:pPr>
      <w:rPr>
        <w:rFonts w:ascii="Courier New" w:hAnsi="Courier New" w:cs="Courier New" w:hint="default"/>
      </w:rPr>
    </w:lvl>
    <w:lvl w:ilvl="8" w:tplc="F9E6A52E" w:tentative="1">
      <w:start w:val="1"/>
      <w:numFmt w:val="bullet"/>
      <w:lvlText w:val=""/>
      <w:lvlJc w:val="left"/>
      <w:pPr>
        <w:ind w:left="6905" w:hanging="360"/>
      </w:pPr>
      <w:rPr>
        <w:rFonts w:ascii="Wingdings" w:hAnsi="Wingdings" w:hint="default"/>
      </w:rPr>
    </w:lvl>
  </w:abstractNum>
  <w:abstractNum w:abstractNumId="17" w15:restartNumberingAfterBreak="0">
    <w:nsid w:val="474736B7"/>
    <w:multiLevelType w:val="hybridMultilevel"/>
    <w:tmpl w:val="2BA245A0"/>
    <w:lvl w:ilvl="0" w:tplc="8AFEAB4E">
      <w:start w:val="1"/>
      <w:numFmt w:val="lowerLetter"/>
      <w:lvlText w:val="%1."/>
      <w:lvlJc w:val="left"/>
      <w:pPr>
        <w:ind w:left="845" w:hanging="420"/>
      </w:pPr>
      <w:rPr>
        <w:rFonts w:hint="default"/>
      </w:rPr>
    </w:lvl>
    <w:lvl w:ilvl="1" w:tplc="83B2B6CE" w:tentative="1">
      <w:start w:val="1"/>
      <w:numFmt w:val="lowerLetter"/>
      <w:lvlText w:val="%2."/>
      <w:lvlJc w:val="left"/>
      <w:pPr>
        <w:ind w:left="1505" w:hanging="360"/>
      </w:pPr>
    </w:lvl>
    <w:lvl w:ilvl="2" w:tplc="8D6A8B3A" w:tentative="1">
      <w:start w:val="1"/>
      <w:numFmt w:val="lowerRoman"/>
      <w:lvlText w:val="%3."/>
      <w:lvlJc w:val="right"/>
      <w:pPr>
        <w:ind w:left="2225" w:hanging="180"/>
      </w:pPr>
    </w:lvl>
    <w:lvl w:ilvl="3" w:tplc="B7DC2A44" w:tentative="1">
      <w:start w:val="1"/>
      <w:numFmt w:val="decimal"/>
      <w:lvlText w:val="%4."/>
      <w:lvlJc w:val="left"/>
      <w:pPr>
        <w:ind w:left="2945" w:hanging="360"/>
      </w:pPr>
    </w:lvl>
    <w:lvl w:ilvl="4" w:tplc="F18E8DEC" w:tentative="1">
      <w:start w:val="1"/>
      <w:numFmt w:val="lowerLetter"/>
      <w:lvlText w:val="%5."/>
      <w:lvlJc w:val="left"/>
      <w:pPr>
        <w:ind w:left="3665" w:hanging="360"/>
      </w:pPr>
    </w:lvl>
    <w:lvl w:ilvl="5" w:tplc="284C67A4" w:tentative="1">
      <w:start w:val="1"/>
      <w:numFmt w:val="lowerRoman"/>
      <w:lvlText w:val="%6."/>
      <w:lvlJc w:val="right"/>
      <w:pPr>
        <w:ind w:left="4385" w:hanging="180"/>
      </w:pPr>
    </w:lvl>
    <w:lvl w:ilvl="6" w:tplc="995E34C6" w:tentative="1">
      <w:start w:val="1"/>
      <w:numFmt w:val="decimal"/>
      <w:lvlText w:val="%7."/>
      <w:lvlJc w:val="left"/>
      <w:pPr>
        <w:ind w:left="5105" w:hanging="360"/>
      </w:pPr>
    </w:lvl>
    <w:lvl w:ilvl="7" w:tplc="E15C1CF6" w:tentative="1">
      <w:start w:val="1"/>
      <w:numFmt w:val="lowerLetter"/>
      <w:lvlText w:val="%8."/>
      <w:lvlJc w:val="left"/>
      <w:pPr>
        <w:ind w:left="5825" w:hanging="360"/>
      </w:pPr>
    </w:lvl>
    <w:lvl w:ilvl="8" w:tplc="856AB4B0" w:tentative="1">
      <w:start w:val="1"/>
      <w:numFmt w:val="lowerRoman"/>
      <w:lvlText w:val="%9."/>
      <w:lvlJc w:val="right"/>
      <w:pPr>
        <w:ind w:left="6545" w:hanging="180"/>
      </w:pPr>
    </w:lvl>
  </w:abstractNum>
  <w:abstractNum w:abstractNumId="18" w15:restartNumberingAfterBreak="0">
    <w:nsid w:val="4A4B61A9"/>
    <w:multiLevelType w:val="hybridMultilevel"/>
    <w:tmpl w:val="3D9E6056"/>
    <w:lvl w:ilvl="0" w:tplc="6C0A52AA">
      <w:start w:val="1"/>
      <w:numFmt w:val="bullet"/>
      <w:lvlText w:val=""/>
      <w:lvlJc w:val="left"/>
      <w:pPr>
        <w:ind w:left="760" w:hanging="360"/>
      </w:pPr>
      <w:rPr>
        <w:rFonts w:ascii="Symbol" w:hAnsi="Symbol" w:hint="default"/>
        <w:color w:val="auto"/>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19" w15:restartNumberingAfterBreak="0">
    <w:nsid w:val="52041E5E"/>
    <w:multiLevelType w:val="hybridMultilevel"/>
    <w:tmpl w:val="D1100E9E"/>
    <w:lvl w:ilvl="0" w:tplc="968E6840">
      <w:start w:val="1"/>
      <w:numFmt w:val="bullet"/>
      <w:lvlText w:val=""/>
      <w:lvlJc w:val="left"/>
      <w:pPr>
        <w:ind w:left="845" w:hanging="420"/>
      </w:pPr>
      <w:rPr>
        <w:rFonts w:ascii="Symbol" w:hAnsi="Symbol" w:hint="default"/>
      </w:rPr>
    </w:lvl>
    <w:lvl w:ilvl="1" w:tplc="ED845FD4" w:tentative="1">
      <w:start w:val="1"/>
      <w:numFmt w:val="lowerLetter"/>
      <w:lvlText w:val="%2."/>
      <w:lvlJc w:val="left"/>
      <w:pPr>
        <w:ind w:left="1505" w:hanging="360"/>
      </w:pPr>
    </w:lvl>
    <w:lvl w:ilvl="2" w:tplc="A3FA5FD2" w:tentative="1">
      <w:start w:val="1"/>
      <w:numFmt w:val="lowerRoman"/>
      <w:lvlText w:val="%3."/>
      <w:lvlJc w:val="right"/>
      <w:pPr>
        <w:ind w:left="2225" w:hanging="180"/>
      </w:pPr>
    </w:lvl>
    <w:lvl w:ilvl="3" w:tplc="63702028" w:tentative="1">
      <w:start w:val="1"/>
      <w:numFmt w:val="decimal"/>
      <w:lvlText w:val="%4."/>
      <w:lvlJc w:val="left"/>
      <w:pPr>
        <w:ind w:left="2945" w:hanging="360"/>
      </w:pPr>
    </w:lvl>
    <w:lvl w:ilvl="4" w:tplc="0916FF7E" w:tentative="1">
      <w:start w:val="1"/>
      <w:numFmt w:val="lowerLetter"/>
      <w:lvlText w:val="%5."/>
      <w:lvlJc w:val="left"/>
      <w:pPr>
        <w:ind w:left="3665" w:hanging="360"/>
      </w:pPr>
    </w:lvl>
    <w:lvl w:ilvl="5" w:tplc="2ED40AD0" w:tentative="1">
      <w:start w:val="1"/>
      <w:numFmt w:val="lowerRoman"/>
      <w:lvlText w:val="%6."/>
      <w:lvlJc w:val="right"/>
      <w:pPr>
        <w:ind w:left="4385" w:hanging="180"/>
      </w:pPr>
    </w:lvl>
    <w:lvl w:ilvl="6" w:tplc="337229A4" w:tentative="1">
      <w:start w:val="1"/>
      <w:numFmt w:val="decimal"/>
      <w:lvlText w:val="%7."/>
      <w:lvlJc w:val="left"/>
      <w:pPr>
        <w:ind w:left="5105" w:hanging="360"/>
      </w:pPr>
    </w:lvl>
    <w:lvl w:ilvl="7" w:tplc="EF28702A" w:tentative="1">
      <w:start w:val="1"/>
      <w:numFmt w:val="lowerLetter"/>
      <w:lvlText w:val="%8."/>
      <w:lvlJc w:val="left"/>
      <w:pPr>
        <w:ind w:left="5825" w:hanging="360"/>
      </w:pPr>
    </w:lvl>
    <w:lvl w:ilvl="8" w:tplc="6AAA6BE8" w:tentative="1">
      <w:start w:val="1"/>
      <w:numFmt w:val="lowerRoman"/>
      <w:lvlText w:val="%9."/>
      <w:lvlJc w:val="right"/>
      <w:pPr>
        <w:ind w:left="6545" w:hanging="180"/>
      </w:pPr>
    </w:lvl>
  </w:abstractNum>
  <w:abstractNum w:abstractNumId="20" w15:restartNumberingAfterBreak="0">
    <w:nsid w:val="53302BD8"/>
    <w:multiLevelType w:val="hybridMultilevel"/>
    <w:tmpl w:val="2BA245A0"/>
    <w:lvl w:ilvl="0" w:tplc="9D80E818">
      <w:start w:val="1"/>
      <w:numFmt w:val="lowerLetter"/>
      <w:lvlText w:val="%1."/>
      <w:lvlJc w:val="left"/>
      <w:pPr>
        <w:ind w:left="845" w:hanging="420"/>
      </w:pPr>
      <w:rPr>
        <w:rFonts w:hint="default"/>
      </w:rPr>
    </w:lvl>
    <w:lvl w:ilvl="1" w:tplc="8B78227A" w:tentative="1">
      <w:start w:val="1"/>
      <w:numFmt w:val="lowerLetter"/>
      <w:lvlText w:val="%2."/>
      <w:lvlJc w:val="left"/>
      <w:pPr>
        <w:ind w:left="1505" w:hanging="360"/>
      </w:pPr>
    </w:lvl>
    <w:lvl w:ilvl="2" w:tplc="0F76A310" w:tentative="1">
      <w:start w:val="1"/>
      <w:numFmt w:val="lowerRoman"/>
      <w:lvlText w:val="%3."/>
      <w:lvlJc w:val="right"/>
      <w:pPr>
        <w:ind w:left="2225" w:hanging="180"/>
      </w:pPr>
    </w:lvl>
    <w:lvl w:ilvl="3" w:tplc="18D874AC" w:tentative="1">
      <w:start w:val="1"/>
      <w:numFmt w:val="decimal"/>
      <w:lvlText w:val="%4."/>
      <w:lvlJc w:val="left"/>
      <w:pPr>
        <w:ind w:left="2945" w:hanging="360"/>
      </w:pPr>
    </w:lvl>
    <w:lvl w:ilvl="4" w:tplc="566A72D6" w:tentative="1">
      <w:start w:val="1"/>
      <w:numFmt w:val="lowerLetter"/>
      <w:lvlText w:val="%5."/>
      <w:lvlJc w:val="left"/>
      <w:pPr>
        <w:ind w:left="3665" w:hanging="360"/>
      </w:pPr>
    </w:lvl>
    <w:lvl w:ilvl="5" w:tplc="FE2EB714" w:tentative="1">
      <w:start w:val="1"/>
      <w:numFmt w:val="lowerRoman"/>
      <w:lvlText w:val="%6."/>
      <w:lvlJc w:val="right"/>
      <w:pPr>
        <w:ind w:left="4385" w:hanging="180"/>
      </w:pPr>
    </w:lvl>
    <w:lvl w:ilvl="6" w:tplc="F15629A0" w:tentative="1">
      <w:start w:val="1"/>
      <w:numFmt w:val="decimal"/>
      <w:lvlText w:val="%7."/>
      <w:lvlJc w:val="left"/>
      <w:pPr>
        <w:ind w:left="5105" w:hanging="360"/>
      </w:pPr>
    </w:lvl>
    <w:lvl w:ilvl="7" w:tplc="5142C194" w:tentative="1">
      <w:start w:val="1"/>
      <w:numFmt w:val="lowerLetter"/>
      <w:lvlText w:val="%8."/>
      <w:lvlJc w:val="left"/>
      <w:pPr>
        <w:ind w:left="5825" w:hanging="360"/>
      </w:pPr>
    </w:lvl>
    <w:lvl w:ilvl="8" w:tplc="0706F174" w:tentative="1">
      <w:start w:val="1"/>
      <w:numFmt w:val="lowerRoman"/>
      <w:lvlText w:val="%9."/>
      <w:lvlJc w:val="right"/>
      <w:pPr>
        <w:ind w:left="6545" w:hanging="180"/>
      </w:pPr>
    </w:lvl>
  </w:abstractNum>
  <w:abstractNum w:abstractNumId="21" w15:restartNumberingAfterBreak="0">
    <w:nsid w:val="5EEE263D"/>
    <w:multiLevelType w:val="hybridMultilevel"/>
    <w:tmpl w:val="2BA245A0"/>
    <w:lvl w:ilvl="0" w:tplc="48787C50">
      <w:start w:val="1"/>
      <w:numFmt w:val="lowerLetter"/>
      <w:lvlText w:val="%1."/>
      <w:lvlJc w:val="left"/>
      <w:pPr>
        <w:ind w:left="845" w:hanging="420"/>
      </w:pPr>
      <w:rPr>
        <w:rFonts w:hint="default"/>
      </w:rPr>
    </w:lvl>
    <w:lvl w:ilvl="1" w:tplc="77A0B4AC" w:tentative="1">
      <w:start w:val="1"/>
      <w:numFmt w:val="lowerLetter"/>
      <w:lvlText w:val="%2."/>
      <w:lvlJc w:val="left"/>
      <w:pPr>
        <w:ind w:left="1505" w:hanging="360"/>
      </w:pPr>
    </w:lvl>
    <w:lvl w:ilvl="2" w:tplc="C5A61B0C" w:tentative="1">
      <w:start w:val="1"/>
      <w:numFmt w:val="lowerRoman"/>
      <w:lvlText w:val="%3."/>
      <w:lvlJc w:val="right"/>
      <w:pPr>
        <w:ind w:left="2225" w:hanging="180"/>
      </w:pPr>
    </w:lvl>
    <w:lvl w:ilvl="3" w:tplc="F0FCADAC" w:tentative="1">
      <w:start w:val="1"/>
      <w:numFmt w:val="decimal"/>
      <w:lvlText w:val="%4."/>
      <w:lvlJc w:val="left"/>
      <w:pPr>
        <w:ind w:left="2945" w:hanging="360"/>
      </w:pPr>
    </w:lvl>
    <w:lvl w:ilvl="4" w:tplc="18DAACDC" w:tentative="1">
      <w:start w:val="1"/>
      <w:numFmt w:val="lowerLetter"/>
      <w:lvlText w:val="%5."/>
      <w:lvlJc w:val="left"/>
      <w:pPr>
        <w:ind w:left="3665" w:hanging="360"/>
      </w:pPr>
    </w:lvl>
    <w:lvl w:ilvl="5" w:tplc="2500E6B4" w:tentative="1">
      <w:start w:val="1"/>
      <w:numFmt w:val="lowerRoman"/>
      <w:lvlText w:val="%6."/>
      <w:lvlJc w:val="right"/>
      <w:pPr>
        <w:ind w:left="4385" w:hanging="180"/>
      </w:pPr>
    </w:lvl>
    <w:lvl w:ilvl="6" w:tplc="2070D344" w:tentative="1">
      <w:start w:val="1"/>
      <w:numFmt w:val="decimal"/>
      <w:lvlText w:val="%7."/>
      <w:lvlJc w:val="left"/>
      <w:pPr>
        <w:ind w:left="5105" w:hanging="360"/>
      </w:pPr>
    </w:lvl>
    <w:lvl w:ilvl="7" w:tplc="7D30117E" w:tentative="1">
      <w:start w:val="1"/>
      <w:numFmt w:val="lowerLetter"/>
      <w:lvlText w:val="%8."/>
      <w:lvlJc w:val="left"/>
      <w:pPr>
        <w:ind w:left="5825" w:hanging="360"/>
      </w:pPr>
    </w:lvl>
    <w:lvl w:ilvl="8" w:tplc="6C1CE20A" w:tentative="1">
      <w:start w:val="1"/>
      <w:numFmt w:val="lowerRoman"/>
      <w:lvlText w:val="%9."/>
      <w:lvlJc w:val="right"/>
      <w:pPr>
        <w:ind w:left="6545" w:hanging="180"/>
      </w:pPr>
    </w:lvl>
  </w:abstractNum>
  <w:abstractNum w:abstractNumId="22" w15:restartNumberingAfterBreak="0">
    <w:nsid w:val="6AE77EB1"/>
    <w:multiLevelType w:val="hybridMultilevel"/>
    <w:tmpl w:val="2BA245A0"/>
    <w:lvl w:ilvl="0" w:tplc="33FA5E94">
      <w:start w:val="1"/>
      <w:numFmt w:val="lowerLetter"/>
      <w:lvlText w:val="%1."/>
      <w:lvlJc w:val="left"/>
      <w:pPr>
        <w:ind w:left="845" w:hanging="420"/>
      </w:pPr>
      <w:rPr>
        <w:rFonts w:hint="default"/>
      </w:rPr>
    </w:lvl>
    <w:lvl w:ilvl="1" w:tplc="DC6CDD0C" w:tentative="1">
      <w:start w:val="1"/>
      <w:numFmt w:val="lowerLetter"/>
      <w:lvlText w:val="%2."/>
      <w:lvlJc w:val="left"/>
      <w:pPr>
        <w:ind w:left="1505" w:hanging="360"/>
      </w:pPr>
    </w:lvl>
    <w:lvl w:ilvl="2" w:tplc="BEB80C04" w:tentative="1">
      <w:start w:val="1"/>
      <w:numFmt w:val="lowerRoman"/>
      <w:lvlText w:val="%3."/>
      <w:lvlJc w:val="right"/>
      <w:pPr>
        <w:ind w:left="2225" w:hanging="180"/>
      </w:pPr>
    </w:lvl>
    <w:lvl w:ilvl="3" w:tplc="6F185A72" w:tentative="1">
      <w:start w:val="1"/>
      <w:numFmt w:val="decimal"/>
      <w:lvlText w:val="%4."/>
      <w:lvlJc w:val="left"/>
      <w:pPr>
        <w:ind w:left="2945" w:hanging="360"/>
      </w:pPr>
    </w:lvl>
    <w:lvl w:ilvl="4" w:tplc="22B0042E" w:tentative="1">
      <w:start w:val="1"/>
      <w:numFmt w:val="lowerLetter"/>
      <w:lvlText w:val="%5."/>
      <w:lvlJc w:val="left"/>
      <w:pPr>
        <w:ind w:left="3665" w:hanging="360"/>
      </w:pPr>
    </w:lvl>
    <w:lvl w:ilvl="5" w:tplc="DB724F5A" w:tentative="1">
      <w:start w:val="1"/>
      <w:numFmt w:val="lowerRoman"/>
      <w:lvlText w:val="%6."/>
      <w:lvlJc w:val="right"/>
      <w:pPr>
        <w:ind w:left="4385" w:hanging="180"/>
      </w:pPr>
    </w:lvl>
    <w:lvl w:ilvl="6" w:tplc="91A299B2" w:tentative="1">
      <w:start w:val="1"/>
      <w:numFmt w:val="decimal"/>
      <w:lvlText w:val="%7."/>
      <w:lvlJc w:val="left"/>
      <w:pPr>
        <w:ind w:left="5105" w:hanging="360"/>
      </w:pPr>
    </w:lvl>
    <w:lvl w:ilvl="7" w:tplc="B4524112" w:tentative="1">
      <w:start w:val="1"/>
      <w:numFmt w:val="lowerLetter"/>
      <w:lvlText w:val="%8."/>
      <w:lvlJc w:val="left"/>
      <w:pPr>
        <w:ind w:left="5825" w:hanging="360"/>
      </w:pPr>
    </w:lvl>
    <w:lvl w:ilvl="8" w:tplc="9EBAB378" w:tentative="1">
      <w:start w:val="1"/>
      <w:numFmt w:val="lowerRoman"/>
      <w:lvlText w:val="%9."/>
      <w:lvlJc w:val="right"/>
      <w:pPr>
        <w:ind w:left="6545" w:hanging="180"/>
      </w:pPr>
    </w:lvl>
  </w:abstractNum>
  <w:abstractNum w:abstractNumId="23" w15:restartNumberingAfterBreak="0">
    <w:nsid w:val="724643A6"/>
    <w:multiLevelType w:val="hybridMultilevel"/>
    <w:tmpl w:val="2BA245A0"/>
    <w:lvl w:ilvl="0" w:tplc="8310A250">
      <w:start w:val="1"/>
      <w:numFmt w:val="lowerLetter"/>
      <w:lvlText w:val="%1."/>
      <w:lvlJc w:val="left"/>
      <w:pPr>
        <w:ind w:left="845" w:hanging="420"/>
      </w:pPr>
      <w:rPr>
        <w:rFonts w:hint="default"/>
      </w:rPr>
    </w:lvl>
    <w:lvl w:ilvl="1" w:tplc="7FB82128" w:tentative="1">
      <w:start w:val="1"/>
      <w:numFmt w:val="lowerLetter"/>
      <w:lvlText w:val="%2."/>
      <w:lvlJc w:val="left"/>
      <w:pPr>
        <w:ind w:left="1505" w:hanging="360"/>
      </w:pPr>
    </w:lvl>
    <w:lvl w:ilvl="2" w:tplc="7668DE8E" w:tentative="1">
      <w:start w:val="1"/>
      <w:numFmt w:val="lowerRoman"/>
      <w:lvlText w:val="%3."/>
      <w:lvlJc w:val="right"/>
      <w:pPr>
        <w:ind w:left="2225" w:hanging="180"/>
      </w:pPr>
    </w:lvl>
    <w:lvl w:ilvl="3" w:tplc="6FB884D0" w:tentative="1">
      <w:start w:val="1"/>
      <w:numFmt w:val="decimal"/>
      <w:lvlText w:val="%4."/>
      <w:lvlJc w:val="left"/>
      <w:pPr>
        <w:ind w:left="2945" w:hanging="360"/>
      </w:pPr>
    </w:lvl>
    <w:lvl w:ilvl="4" w:tplc="AB66097C" w:tentative="1">
      <w:start w:val="1"/>
      <w:numFmt w:val="lowerLetter"/>
      <w:lvlText w:val="%5."/>
      <w:lvlJc w:val="left"/>
      <w:pPr>
        <w:ind w:left="3665" w:hanging="360"/>
      </w:pPr>
    </w:lvl>
    <w:lvl w:ilvl="5" w:tplc="3692DD66" w:tentative="1">
      <w:start w:val="1"/>
      <w:numFmt w:val="lowerRoman"/>
      <w:lvlText w:val="%6."/>
      <w:lvlJc w:val="right"/>
      <w:pPr>
        <w:ind w:left="4385" w:hanging="180"/>
      </w:pPr>
    </w:lvl>
    <w:lvl w:ilvl="6" w:tplc="3294ADB2" w:tentative="1">
      <w:start w:val="1"/>
      <w:numFmt w:val="decimal"/>
      <w:lvlText w:val="%7."/>
      <w:lvlJc w:val="left"/>
      <w:pPr>
        <w:ind w:left="5105" w:hanging="360"/>
      </w:pPr>
    </w:lvl>
    <w:lvl w:ilvl="7" w:tplc="1CB49348" w:tentative="1">
      <w:start w:val="1"/>
      <w:numFmt w:val="lowerLetter"/>
      <w:lvlText w:val="%8."/>
      <w:lvlJc w:val="left"/>
      <w:pPr>
        <w:ind w:left="5825" w:hanging="360"/>
      </w:pPr>
    </w:lvl>
    <w:lvl w:ilvl="8" w:tplc="A7260D1C" w:tentative="1">
      <w:start w:val="1"/>
      <w:numFmt w:val="lowerRoman"/>
      <w:lvlText w:val="%9."/>
      <w:lvlJc w:val="right"/>
      <w:pPr>
        <w:ind w:left="6545" w:hanging="180"/>
      </w:pPr>
    </w:lvl>
  </w:abstractNum>
  <w:abstractNum w:abstractNumId="24" w15:restartNumberingAfterBreak="0">
    <w:nsid w:val="74885284"/>
    <w:multiLevelType w:val="hybridMultilevel"/>
    <w:tmpl w:val="2BA245A0"/>
    <w:lvl w:ilvl="0" w:tplc="4A225366">
      <w:start w:val="1"/>
      <w:numFmt w:val="lowerLetter"/>
      <w:lvlText w:val="%1."/>
      <w:lvlJc w:val="left"/>
      <w:pPr>
        <w:ind w:left="845" w:hanging="420"/>
      </w:pPr>
      <w:rPr>
        <w:rFonts w:hint="default"/>
      </w:rPr>
    </w:lvl>
    <w:lvl w:ilvl="1" w:tplc="DF04258A" w:tentative="1">
      <w:start w:val="1"/>
      <w:numFmt w:val="lowerLetter"/>
      <w:lvlText w:val="%2."/>
      <w:lvlJc w:val="left"/>
      <w:pPr>
        <w:ind w:left="1505" w:hanging="360"/>
      </w:pPr>
    </w:lvl>
    <w:lvl w:ilvl="2" w:tplc="64BE3270" w:tentative="1">
      <w:start w:val="1"/>
      <w:numFmt w:val="lowerRoman"/>
      <w:lvlText w:val="%3."/>
      <w:lvlJc w:val="right"/>
      <w:pPr>
        <w:ind w:left="2225" w:hanging="180"/>
      </w:pPr>
    </w:lvl>
    <w:lvl w:ilvl="3" w:tplc="4B241A6C" w:tentative="1">
      <w:start w:val="1"/>
      <w:numFmt w:val="decimal"/>
      <w:lvlText w:val="%4."/>
      <w:lvlJc w:val="left"/>
      <w:pPr>
        <w:ind w:left="2945" w:hanging="360"/>
      </w:pPr>
    </w:lvl>
    <w:lvl w:ilvl="4" w:tplc="0E485AB6" w:tentative="1">
      <w:start w:val="1"/>
      <w:numFmt w:val="lowerLetter"/>
      <w:lvlText w:val="%5."/>
      <w:lvlJc w:val="left"/>
      <w:pPr>
        <w:ind w:left="3665" w:hanging="360"/>
      </w:pPr>
    </w:lvl>
    <w:lvl w:ilvl="5" w:tplc="5FEC3944" w:tentative="1">
      <w:start w:val="1"/>
      <w:numFmt w:val="lowerRoman"/>
      <w:lvlText w:val="%6."/>
      <w:lvlJc w:val="right"/>
      <w:pPr>
        <w:ind w:left="4385" w:hanging="180"/>
      </w:pPr>
    </w:lvl>
    <w:lvl w:ilvl="6" w:tplc="334AFA32" w:tentative="1">
      <w:start w:val="1"/>
      <w:numFmt w:val="decimal"/>
      <w:lvlText w:val="%7."/>
      <w:lvlJc w:val="left"/>
      <w:pPr>
        <w:ind w:left="5105" w:hanging="360"/>
      </w:pPr>
    </w:lvl>
    <w:lvl w:ilvl="7" w:tplc="F288CB18" w:tentative="1">
      <w:start w:val="1"/>
      <w:numFmt w:val="lowerLetter"/>
      <w:lvlText w:val="%8."/>
      <w:lvlJc w:val="left"/>
      <w:pPr>
        <w:ind w:left="5825" w:hanging="360"/>
      </w:pPr>
    </w:lvl>
    <w:lvl w:ilvl="8" w:tplc="D026D594" w:tentative="1">
      <w:start w:val="1"/>
      <w:numFmt w:val="lowerRoman"/>
      <w:lvlText w:val="%9."/>
      <w:lvlJc w:val="right"/>
      <w:pPr>
        <w:ind w:left="6545" w:hanging="180"/>
      </w:pPr>
    </w:lvl>
  </w:abstractNum>
  <w:abstractNum w:abstractNumId="25" w15:restartNumberingAfterBreak="0">
    <w:nsid w:val="7857612F"/>
    <w:multiLevelType w:val="hybridMultilevel"/>
    <w:tmpl w:val="2BA245A0"/>
    <w:lvl w:ilvl="0" w:tplc="1F1E3DB6">
      <w:start w:val="1"/>
      <w:numFmt w:val="lowerLetter"/>
      <w:lvlText w:val="%1."/>
      <w:lvlJc w:val="left"/>
      <w:pPr>
        <w:ind w:left="845" w:hanging="420"/>
      </w:pPr>
      <w:rPr>
        <w:rFonts w:hint="default"/>
      </w:rPr>
    </w:lvl>
    <w:lvl w:ilvl="1" w:tplc="BA168DDA" w:tentative="1">
      <w:start w:val="1"/>
      <w:numFmt w:val="lowerLetter"/>
      <w:lvlText w:val="%2."/>
      <w:lvlJc w:val="left"/>
      <w:pPr>
        <w:ind w:left="1505" w:hanging="360"/>
      </w:pPr>
    </w:lvl>
    <w:lvl w:ilvl="2" w:tplc="5CAEED80" w:tentative="1">
      <w:start w:val="1"/>
      <w:numFmt w:val="lowerRoman"/>
      <w:lvlText w:val="%3."/>
      <w:lvlJc w:val="right"/>
      <w:pPr>
        <w:ind w:left="2225" w:hanging="180"/>
      </w:pPr>
    </w:lvl>
    <w:lvl w:ilvl="3" w:tplc="EC30AB14" w:tentative="1">
      <w:start w:val="1"/>
      <w:numFmt w:val="decimal"/>
      <w:lvlText w:val="%4."/>
      <w:lvlJc w:val="left"/>
      <w:pPr>
        <w:ind w:left="2945" w:hanging="360"/>
      </w:pPr>
    </w:lvl>
    <w:lvl w:ilvl="4" w:tplc="8C0ABD4E" w:tentative="1">
      <w:start w:val="1"/>
      <w:numFmt w:val="lowerLetter"/>
      <w:lvlText w:val="%5."/>
      <w:lvlJc w:val="left"/>
      <w:pPr>
        <w:ind w:left="3665" w:hanging="360"/>
      </w:pPr>
    </w:lvl>
    <w:lvl w:ilvl="5" w:tplc="EABA7C0A" w:tentative="1">
      <w:start w:val="1"/>
      <w:numFmt w:val="lowerRoman"/>
      <w:lvlText w:val="%6."/>
      <w:lvlJc w:val="right"/>
      <w:pPr>
        <w:ind w:left="4385" w:hanging="180"/>
      </w:pPr>
    </w:lvl>
    <w:lvl w:ilvl="6" w:tplc="02EC806E" w:tentative="1">
      <w:start w:val="1"/>
      <w:numFmt w:val="decimal"/>
      <w:lvlText w:val="%7."/>
      <w:lvlJc w:val="left"/>
      <w:pPr>
        <w:ind w:left="5105" w:hanging="360"/>
      </w:pPr>
    </w:lvl>
    <w:lvl w:ilvl="7" w:tplc="9378E57A" w:tentative="1">
      <w:start w:val="1"/>
      <w:numFmt w:val="lowerLetter"/>
      <w:lvlText w:val="%8."/>
      <w:lvlJc w:val="left"/>
      <w:pPr>
        <w:ind w:left="5825" w:hanging="360"/>
      </w:pPr>
    </w:lvl>
    <w:lvl w:ilvl="8" w:tplc="2040A654" w:tentative="1">
      <w:start w:val="1"/>
      <w:numFmt w:val="lowerRoman"/>
      <w:lvlText w:val="%9."/>
      <w:lvlJc w:val="right"/>
      <w:pPr>
        <w:ind w:left="6545" w:hanging="180"/>
      </w:pPr>
    </w:lvl>
  </w:abstractNum>
  <w:abstractNum w:abstractNumId="26" w15:restartNumberingAfterBreak="0">
    <w:nsid w:val="7893625E"/>
    <w:multiLevelType w:val="hybridMultilevel"/>
    <w:tmpl w:val="5A9C7B24"/>
    <w:lvl w:ilvl="0" w:tplc="69BCEB9E">
      <w:start w:val="1"/>
      <w:numFmt w:val="lowerLetter"/>
      <w:lvlText w:val="%1."/>
      <w:lvlJc w:val="left"/>
      <w:pPr>
        <w:ind w:left="845" w:hanging="420"/>
      </w:pPr>
      <w:rPr>
        <w:rFonts w:hint="default"/>
      </w:rPr>
    </w:lvl>
    <w:lvl w:ilvl="1" w:tplc="D45C514A">
      <w:start w:val="1"/>
      <w:numFmt w:val="lowerRoman"/>
      <w:lvlText w:val="%2."/>
      <w:lvlJc w:val="right"/>
      <w:pPr>
        <w:ind w:left="1505" w:hanging="360"/>
      </w:pPr>
    </w:lvl>
    <w:lvl w:ilvl="2" w:tplc="FF786D88" w:tentative="1">
      <w:start w:val="1"/>
      <w:numFmt w:val="lowerRoman"/>
      <w:lvlText w:val="%3."/>
      <w:lvlJc w:val="right"/>
      <w:pPr>
        <w:ind w:left="2225" w:hanging="180"/>
      </w:pPr>
    </w:lvl>
    <w:lvl w:ilvl="3" w:tplc="94087806" w:tentative="1">
      <w:start w:val="1"/>
      <w:numFmt w:val="decimal"/>
      <w:lvlText w:val="%4."/>
      <w:lvlJc w:val="left"/>
      <w:pPr>
        <w:ind w:left="2945" w:hanging="360"/>
      </w:pPr>
    </w:lvl>
    <w:lvl w:ilvl="4" w:tplc="11F2EA0A" w:tentative="1">
      <w:start w:val="1"/>
      <w:numFmt w:val="lowerLetter"/>
      <w:lvlText w:val="%5."/>
      <w:lvlJc w:val="left"/>
      <w:pPr>
        <w:ind w:left="3665" w:hanging="360"/>
      </w:pPr>
    </w:lvl>
    <w:lvl w:ilvl="5" w:tplc="361AE622" w:tentative="1">
      <w:start w:val="1"/>
      <w:numFmt w:val="lowerRoman"/>
      <w:lvlText w:val="%6."/>
      <w:lvlJc w:val="right"/>
      <w:pPr>
        <w:ind w:left="4385" w:hanging="180"/>
      </w:pPr>
    </w:lvl>
    <w:lvl w:ilvl="6" w:tplc="6D20DC2A" w:tentative="1">
      <w:start w:val="1"/>
      <w:numFmt w:val="decimal"/>
      <w:lvlText w:val="%7."/>
      <w:lvlJc w:val="left"/>
      <w:pPr>
        <w:ind w:left="5105" w:hanging="360"/>
      </w:pPr>
    </w:lvl>
    <w:lvl w:ilvl="7" w:tplc="E312D4DC" w:tentative="1">
      <w:start w:val="1"/>
      <w:numFmt w:val="lowerLetter"/>
      <w:lvlText w:val="%8."/>
      <w:lvlJc w:val="left"/>
      <w:pPr>
        <w:ind w:left="5825" w:hanging="360"/>
      </w:pPr>
    </w:lvl>
    <w:lvl w:ilvl="8" w:tplc="A7668188" w:tentative="1">
      <w:start w:val="1"/>
      <w:numFmt w:val="lowerRoman"/>
      <w:lvlText w:val="%9."/>
      <w:lvlJc w:val="right"/>
      <w:pPr>
        <w:ind w:left="6545" w:hanging="180"/>
      </w:pPr>
    </w:lvl>
  </w:abstractNum>
  <w:abstractNum w:abstractNumId="27" w15:restartNumberingAfterBreak="0">
    <w:nsid w:val="78A77B51"/>
    <w:multiLevelType w:val="hybridMultilevel"/>
    <w:tmpl w:val="5A9C7B24"/>
    <w:lvl w:ilvl="0" w:tplc="35D24458">
      <w:start w:val="1"/>
      <w:numFmt w:val="lowerLetter"/>
      <w:lvlText w:val="%1."/>
      <w:lvlJc w:val="left"/>
      <w:pPr>
        <w:ind w:left="845" w:hanging="420"/>
      </w:pPr>
      <w:rPr>
        <w:rFonts w:hint="default"/>
      </w:rPr>
    </w:lvl>
    <w:lvl w:ilvl="1" w:tplc="5D10B238">
      <w:start w:val="1"/>
      <w:numFmt w:val="lowerRoman"/>
      <w:lvlText w:val="%2."/>
      <w:lvlJc w:val="right"/>
      <w:pPr>
        <w:ind w:left="1505" w:hanging="360"/>
      </w:pPr>
    </w:lvl>
    <w:lvl w:ilvl="2" w:tplc="8E64300C" w:tentative="1">
      <w:start w:val="1"/>
      <w:numFmt w:val="lowerRoman"/>
      <w:lvlText w:val="%3."/>
      <w:lvlJc w:val="right"/>
      <w:pPr>
        <w:ind w:left="2225" w:hanging="180"/>
      </w:pPr>
    </w:lvl>
    <w:lvl w:ilvl="3" w:tplc="BE1E00D0" w:tentative="1">
      <w:start w:val="1"/>
      <w:numFmt w:val="decimal"/>
      <w:lvlText w:val="%4."/>
      <w:lvlJc w:val="left"/>
      <w:pPr>
        <w:ind w:left="2945" w:hanging="360"/>
      </w:pPr>
    </w:lvl>
    <w:lvl w:ilvl="4" w:tplc="884E9184" w:tentative="1">
      <w:start w:val="1"/>
      <w:numFmt w:val="lowerLetter"/>
      <w:lvlText w:val="%5."/>
      <w:lvlJc w:val="left"/>
      <w:pPr>
        <w:ind w:left="3665" w:hanging="360"/>
      </w:pPr>
    </w:lvl>
    <w:lvl w:ilvl="5" w:tplc="FDFA1EB2" w:tentative="1">
      <w:start w:val="1"/>
      <w:numFmt w:val="lowerRoman"/>
      <w:lvlText w:val="%6."/>
      <w:lvlJc w:val="right"/>
      <w:pPr>
        <w:ind w:left="4385" w:hanging="180"/>
      </w:pPr>
    </w:lvl>
    <w:lvl w:ilvl="6" w:tplc="E1726348" w:tentative="1">
      <w:start w:val="1"/>
      <w:numFmt w:val="decimal"/>
      <w:lvlText w:val="%7."/>
      <w:lvlJc w:val="left"/>
      <w:pPr>
        <w:ind w:left="5105" w:hanging="360"/>
      </w:pPr>
    </w:lvl>
    <w:lvl w:ilvl="7" w:tplc="4F9EC760" w:tentative="1">
      <w:start w:val="1"/>
      <w:numFmt w:val="lowerLetter"/>
      <w:lvlText w:val="%8."/>
      <w:lvlJc w:val="left"/>
      <w:pPr>
        <w:ind w:left="5825" w:hanging="360"/>
      </w:pPr>
    </w:lvl>
    <w:lvl w:ilvl="8" w:tplc="312CF530" w:tentative="1">
      <w:start w:val="1"/>
      <w:numFmt w:val="lowerRoman"/>
      <w:lvlText w:val="%9."/>
      <w:lvlJc w:val="right"/>
      <w:pPr>
        <w:ind w:left="6545" w:hanging="180"/>
      </w:pPr>
    </w:lvl>
  </w:abstractNum>
  <w:num w:numId="1">
    <w:abstractNumId w:val="13"/>
  </w:num>
  <w:num w:numId="2">
    <w:abstractNumId w:val="11"/>
  </w:num>
  <w:num w:numId="3">
    <w:abstractNumId w:val="22"/>
  </w:num>
  <w:num w:numId="4">
    <w:abstractNumId w:val="19"/>
  </w:num>
  <w:num w:numId="5">
    <w:abstractNumId w:val="25"/>
  </w:num>
  <w:num w:numId="6">
    <w:abstractNumId w:val="3"/>
  </w:num>
  <w:num w:numId="7">
    <w:abstractNumId w:val="9"/>
  </w:num>
  <w:num w:numId="8">
    <w:abstractNumId w:val="10"/>
  </w:num>
  <w:num w:numId="9">
    <w:abstractNumId w:val="15"/>
  </w:num>
  <w:num w:numId="10">
    <w:abstractNumId w:val="8"/>
  </w:num>
  <w:num w:numId="11">
    <w:abstractNumId w:val="26"/>
  </w:num>
  <w:num w:numId="12">
    <w:abstractNumId w:val="27"/>
  </w:num>
  <w:num w:numId="13">
    <w:abstractNumId w:val="16"/>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num>
  <w:num w:numId="17">
    <w:abstractNumId w:val="23"/>
  </w:num>
  <w:num w:numId="18">
    <w:abstractNumId w:val="24"/>
  </w:num>
  <w:num w:numId="19">
    <w:abstractNumId w:val="1"/>
  </w:num>
  <w:num w:numId="20">
    <w:abstractNumId w:val="7"/>
  </w:num>
  <w:num w:numId="21">
    <w:abstractNumId w:val="21"/>
  </w:num>
  <w:num w:numId="22">
    <w:abstractNumId w:val="20"/>
  </w:num>
  <w:num w:numId="23">
    <w:abstractNumId w:val="17"/>
  </w:num>
  <w:num w:numId="24">
    <w:abstractNumId w:val="4"/>
  </w:num>
  <w:num w:numId="25">
    <w:abstractNumId w:val="6"/>
  </w:num>
  <w:num w:numId="26">
    <w:abstractNumId w:val="12"/>
  </w:num>
  <w:num w:numId="27">
    <w:abstractNumId w:val="5"/>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584"/>
    <w:rsid w:val="00003206"/>
    <w:rsid w:val="00004458"/>
    <w:rsid w:val="0000487A"/>
    <w:rsid w:val="00004BEE"/>
    <w:rsid w:val="00004FE1"/>
    <w:rsid w:val="00006DA7"/>
    <w:rsid w:val="00007443"/>
    <w:rsid w:val="000074E7"/>
    <w:rsid w:val="000132A0"/>
    <w:rsid w:val="00013388"/>
    <w:rsid w:val="00014000"/>
    <w:rsid w:val="0001440C"/>
    <w:rsid w:val="0002390F"/>
    <w:rsid w:val="00025285"/>
    <w:rsid w:val="00030749"/>
    <w:rsid w:val="0003175C"/>
    <w:rsid w:val="00031771"/>
    <w:rsid w:val="00031C8C"/>
    <w:rsid w:val="000327CE"/>
    <w:rsid w:val="000333DF"/>
    <w:rsid w:val="000346A0"/>
    <w:rsid w:val="00035258"/>
    <w:rsid w:val="00035F54"/>
    <w:rsid w:val="00036F90"/>
    <w:rsid w:val="00037E3F"/>
    <w:rsid w:val="00040A20"/>
    <w:rsid w:val="00041642"/>
    <w:rsid w:val="00046C35"/>
    <w:rsid w:val="0004721F"/>
    <w:rsid w:val="00047F95"/>
    <w:rsid w:val="00050176"/>
    <w:rsid w:val="000525C6"/>
    <w:rsid w:val="000529D5"/>
    <w:rsid w:val="00053558"/>
    <w:rsid w:val="0005437B"/>
    <w:rsid w:val="000601B2"/>
    <w:rsid w:val="00061BCF"/>
    <w:rsid w:val="00062439"/>
    <w:rsid w:val="00062C4A"/>
    <w:rsid w:val="00063D2B"/>
    <w:rsid w:val="00064CD0"/>
    <w:rsid w:val="00065565"/>
    <w:rsid w:val="0006682C"/>
    <w:rsid w:val="00071063"/>
    <w:rsid w:val="000719B7"/>
    <w:rsid w:val="00071C3F"/>
    <w:rsid w:val="000727DB"/>
    <w:rsid w:val="00073A3B"/>
    <w:rsid w:val="00074094"/>
    <w:rsid w:val="0007483D"/>
    <w:rsid w:val="000748B8"/>
    <w:rsid w:val="00077133"/>
    <w:rsid w:val="0007777D"/>
    <w:rsid w:val="00077EFA"/>
    <w:rsid w:val="00083086"/>
    <w:rsid w:val="000835B2"/>
    <w:rsid w:val="000839DC"/>
    <w:rsid w:val="00084913"/>
    <w:rsid w:val="00087088"/>
    <w:rsid w:val="00090AD2"/>
    <w:rsid w:val="000914D0"/>
    <w:rsid w:val="000941C3"/>
    <w:rsid w:val="000948D2"/>
    <w:rsid w:val="00094EF5"/>
    <w:rsid w:val="000956E4"/>
    <w:rsid w:val="000A1064"/>
    <w:rsid w:val="000A1A88"/>
    <w:rsid w:val="000A20B8"/>
    <w:rsid w:val="000A4B27"/>
    <w:rsid w:val="000A52C2"/>
    <w:rsid w:val="000A5C41"/>
    <w:rsid w:val="000A7129"/>
    <w:rsid w:val="000A7134"/>
    <w:rsid w:val="000A7BB1"/>
    <w:rsid w:val="000B137D"/>
    <w:rsid w:val="000B2D92"/>
    <w:rsid w:val="000B3D9A"/>
    <w:rsid w:val="000B4392"/>
    <w:rsid w:val="000B4EA6"/>
    <w:rsid w:val="000C525F"/>
    <w:rsid w:val="000C6AF4"/>
    <w:rsid w:val="000D0331"/>
    <w:rsid w:val="000D49E8"/>
    <w:rsid w:val="000D4BD9"/>
    <w:rsid w:val="000D5665"/>
    <w:rsid w:val="000E448E"/>
    <w:rsid w:val="000E4A26"/>
    <w:rsid w:val="000E59F7"/>
    <w:rsid w:val="000E6072"/>
    <w:rsid w:val="000E6F31"/>
    <w:rsid w:val="000E7C33"/>
    <w:rsid w:val="000F1B69"/>
    <w:rsid w:val="000F3CCE"/>
    <w:rsid w:val="000F4079"/>
    <w:rsid w:val="000F42F2"/>
    <w:rsid w:val="000F502C"/>
    <w:rsid w:val="000F622A"/>
    <w:rsid w:val="000F626A"/>
    <w:rsid w:val="000F753D"/>
    <w:rsid w:val="001039D6"/>
    <w:rsid w:val="00103FB3"/>
    <w:rsid w:val="00104A37"/>
    <w:rsid w:val="00105326"/>
    <w:rsid w:val="00105B48"/>
    <w:rsid w:val="00110184"/>
    <w:rsid w:val="001112D3"/>
    <w:rsid w:val="001117A9"/>
    <w:rsid w:val="00111C84"/>
    <w:rsid w:val="001128EE"/>
    <w:rsid w:val="00114363"/>
    <w:rsid w:val="00115580"/>
    <w:rsid w:val="001169DE"/>
    <w:rsid w:val="001221AA"/>
    <w:rsid w:val="001229BE"/>
    <w:rsid w:val="001237E3"/>
    <w:rsid w:val="001245C1"/>
    <w:rsid w:val="00124818"/>
    <w:rsid w:val="001258C4"/>
    <w:rsid w:val="00126AA2"/>
    <w:rsid w:val="00127032"/>
    <w:rsid w:val="0013001E"/>
    <w:rsid w:val="001306B5"/>
    <w:rsid w:val="001319E0"/>
    <w:rsid w:val="00131FCD"/>
    <w:rsid w:val="001321B9"/>
    <w:rsid w:val="00135145"/>
    <w:rsid w:val="00135AC6"/>
    <w:rsid w:val="001363D3"/>
    <w:rsid w:val="001372C3"/>
    <w:rsid w:val="0014150D"/>
    <w:rsid w:val="00142537"/>
    <w:rsid w:val="0014597F"/>
    <w:rsid w:val="00145D89"/>
    <w:rsid w:val="001463B2"/>
    <w:rsid w:val="00146AA5"/>
    <w:rsid w:val="00146E32"/>
    <w:rsid w:val="00147E77"/>
    <w:rsid w:val="00147F40"/>
    <w:rsid w:val="001552C6"/>
    <w:rsid w:val="00155DDD"/>
    <w:rsid w:val="0015607A"/>
    <w:rsid w:val="00156AE8"/>
    <w:rsid w:val="00163C41"/>
    <w:rsid w:val="001648F4"/>
    <w:rsid w:val="00165E2C"/>
    <w:rsid w:val="00167906"/>
    <w:rsid w:val="00167FDD"/>
    <w:rsid w:val="00170480"/>
    <w:rsid w:val="0017173D"/>
    <w:rsid w:val="001726C9"/>
    <w:rsid w:val="00172B69"/>
    <w:rsid w:val="0017379C"/>
    <w:rsid w:val="00175498"/>
    <w:rsid w:val="001777D5"/>
    <w:rsid w:val="001778C1"/>
    <w:rsid w:val="00177FB4"/>
    <w:rsid w:val="0018425E"/>
    <w:rsid w:val="00193F39"/>
    <w:rsid w:val="0019456B"/>
    <w:rsid w:val="001955B2"/>
    <w:rsid w:val="00195E41"/>
    <w:rsid w:val="00196374"/>
    <w:rsid w:val="001A051C"/>
    <w:rsid w:val="001A21F2"/>
    <w:rsid w:val="001A2FC8"/>
    <w:rsid w:val="001A48CB"/>
    <w:rsid w:val="001A4B2A"/>
    <w:rsid w:val="001A55D6"/>
    <w:rsid w:val="001A6829"/>
    <w:rsid w:val="001A7ADD"/>
    <w:rsid w:val="001B06F3"/>
    <w:rsid w:val="001B1F91"/>
    <w:rsid w:val="001B24DC"/>
    <w:rsid w:val="001B3672"/>
    <w:rsid w:val="001B3810"/>
    <w:rsid w:val="001B38B7"/>
    <w:rsid w:val="001B3BB3"/>
    <w:rsid w:val="001B40B5"/>
    <w:rsid w:val="001B532E"/>
    <w:rsid w:val="001C1377"/>
    <w:rsid w:val="001C39DF"/>
    <w:rsid w:val="001C54B0"/>
    <w:rsid w:val="001D23EF"/>
    <w:rsid w:val="001D5314"/>
    <w:rsid w:val="001D5C60"/>
    <w:rsid w:val="001D66CA"/>
    <w:rsid w:val="001E128C"/>
    <w:rsid w:val="001E2D14"/>
    <w:rsid w:val="001E3391"/>
    <w:rsid w:val="001E3B81"/>
    <w:rsid w:val="001E4427"/>
    <w:rsid w:val="001E4ED3"/>
    <w:rsid w:val="001E6677"/>
    <w:rsid w:val="001E7234"/>
    <w:rsid w:val="001F008F"/>
    <w:rsid w:val="001F0635"/>
    <w:rsid w:val="001F1380"/>
    <w:rsid w:val="001F3FC1"/>
    <w:rsid w:val="001F5D1E"/>
    <w:rsid w:val="001F616B"/>
    <w:rsid w:val="001F6B40"/>
    <w:rsid w:val="001F6E4A"/>
    <w:rsid w:val="001F6E7F"/>
    <w:rsid w:val="00201E97"/>
    <w:rsid w:val="00201F44"/>
    <w:rsid w:val="002063CC"/>
    <w:rsid w:val="00206B74"/>
    <w:rsid w:val="002129D1"/>
    <w:rsid w:val="0021393A"/>
    <w:rsid w:val="00215947"/>
    <w:rsid w:val="0021736C"/>
    <w:rsid w:val="00220760"/>
    <w:rsid w:val="002212E8"/>
    <w:rsid w:val="00221893"/>
    <w:rsid w:val="00221C5E"/>
    <w:rsid w:val="00221E58"/>
    <w:rsid w:val="00221ECC"/>
    <w:rsid w:val="0022418B"/>
    <w:rsid w:val="00224874"/>
    <w:rsid w:val="00224DBF"/>
    <w:rsid w:val="002255EC"/>
    <w:rsid w:val="002258E5"/>
    <w:rsid w:val="00225C40"/>
    <w:rsid w:val="00230F95"/>
    <w:rsid w:val="00231AA7"/>
    <w:rsid w:val="002349F5"/>
    <w:rsid w:val="0023522C"/>
    <w:rsid w:val="00236340"/>
    <w:rsid w:val="00240F76"/>
    <w:rsid w:val="00241776"/>
    <w:rsid w:val="002438BA"/>
    <w:rsid w:val="0024569D"/>
    <w:rsid w:val="00245D5D"/>
    <w:rsid w:val="0024659E"/>
    <w:rsid w:val="00246804"/>
    <w:rsid w:val="00246946"/>
    <w:rsid w:val="002509B7"/>
    <w:rsid w:val="00251209"/>
    <w:rsid w:val="00252374"/>
    <w:rsid w:val="00252B1B"/>
    <w:rsid w:val="00255F07"/>
    <w:rsid w:val="0026238E"/>
    <w:rsid w:val="00262CD3"/>
    <w:rsid w:val="0026571D"/>
    <w:rsid w:val="002657B1"/>
    <w:rsid w:val="002665BF"/>
    <w:rsid w:val="00266C0B"/>
    <w:rsid w:val="00267C1F"/>
    <w:rsid w:val="00267D24"/>
    <w:rsid w:val="002700A9"/>
    <w:rsid w:val="00272391"/>
    <w:rsid w:val="0027287E"/>
    <w:rsid w:val="00272CF8"/>
    <w:rsid w:val="00272E08"/>
    <w:rsid w:val="002738C5"/>
    <w:rsid w:val="00273B73"/>
    <w:rsid w:val="00274EEE"/>
    <w:rsid w:val="0027537A"/>
    <w:rsid w:val="002755BA"/>
    <w:rsid w:val="00276A28"/>
    <w:rsid w:val="00277857"/>
    <w:rsid w:val="00277EB3"/>
    <w:rsid w:val="00283228"/>
    <w:rsid w:val="00283A40"/>
    <w:rsid w:val="00283EB6"/>
    <w:rsid w:val="002844FE"/>
    <w:rsid w:val="00284D29"/>
    <w:rsid w:val="0028555F"/>
    <w:rsid w:val="00285D3B"/>
    <w:rsid w:val="00287C4C"/>
    <w:rsid w:val="00290F45"/>
    <w:rsid w:val="002911DB"/>
    <w:rsid w:val="00292C78"/>
    <w:rsid w:val="002936C2"/>
    <w:rsid w:val="00293F10"/>
    <w:rsid w:val="002948A2"/>
    <w:rsid w:val="00295931"/>
    <w:rsid w:val="00296C98"/>
    <w:rsid w:val="002A053D"/>
    <w:rsid w:val="002A129D"/>
    <w:rsid w:val="002A264E"/>
    <w:rsid w:val="002A2F94"/>
    <w:rsid w:val="002A3FCA"/>
    <w:rsid w:val="002A5243"/>
    <w:rsid w:val="002A5562"/>
    <w:rsid w:val="002A7BCA"/>
    <w:rsid w:val="002B0214"/>
    <w:rsid w:val="002B067B"/>
    <w:rsid w:val="002B08DA"/>
    <w:rsid w:val="002B0947"/>
    <w:rsid w:val="002B0F11"/>
    <w:rsid w:val="002B1031"/>
    <w:rsid w:val="002B20A6"/>
    <w:rsid w:val="002B47A1"/>
    <w:rsid w:val="002B489E"/>
    <w:rsid w:val="002B56BD"/>
    <w:rsid w:val="002C0F1B"/>
    <w:rsid w:val="002C1282"/>
    <w:rsid w:val="002C2ADF"/>
    <w:rsid w:val="002C2C6B"/>
    <w:rsid w:val="002C377C"/>
    <w:rsid w:val="002C3945"/>
    <w:rsid w:val="002C3A23"/>
    <w:rsid w:val="002C3BEB"/>
    <w:rsid w:val="002C4513"/>
    <w:rsid w:val="002C5927"/>
    <w:rsid w:val="002C7433"/>
    <w:rsid w:val="002C786D"/>
    <w:rsid w:val="002C7A64"/>
    <w:rsid w:val="002D102B"/>
    <w:rsid w:val="002D38D0"/>
    <w:rsid w:val="002D4FF0"/>
    <w:rsid w:val="002D6E3F"/>
    <w:rsid w:val="002D7410"/>
    <w:rsid w:val="002D7C06"/>
    <w:rsid w:val="002E06AF"/>
    <w:rsid w:val="002E101E"/>
    <w:rsid w:val="002E2339"/>
    <w:rsid w:val="002E24D2"/>
    <w:rsid w:val="002E2BDB"/>
    <w:rsid w:val="002E4A85"/>
    <w:rsid w:val="002E5B0A"/>
    <w:rsid w:val="002E6613"/>
    <w:rsid w:val="002E78B6"/>
    <w:rsid w:val="002F3DBD"/>
    <w:rsid w:val="002F6BAF"/>
    <w:rsid w:val="002F6ED6"/>
    <w:rsid w:val="002F7941"/>
    <w:rsid w:val="002F79E1"/>
    <w:rsid w:val="00303D5C"/>
    <w:rsid w:val="00304201"/>
    <w:rsid w:val="00304E3B"/>
    <w:rsid w:val="00305605"/>
    <w:rsid w:val="00305A4F"/>
    <w:rsid w:val="00310C90"/>
    <w:rsid w:val="00313450"/>
    <w:rsid w:val="00313649"/>
    <w:rsid w:val="0031383C"/>
    <w:rsid w:val="003156D7"/>
    <w:rsid w:val="003158FE"/>
    <w:rsid w:val="00315F3D"/>
    <w:rsid w:val="003165BA"/>
    <w:rsid w:val="00316D8B"/>
    <w:rsid w:val="00321279"/>
    <w:rsid w:val="00321497"/>
    <w:rsid w:val="0032214D"/>
    <w:rsid w:val="003238A4"/>
    <w:rsid w:val="00323EC0"/>
    <w:rsid w:val="00324500"/>
    <w:rsid w:val="00324C3C"/>
    <w:rsid w:val="00324E9A"/>
    <w:rsid w:val="00327E2F"/>
    <w:rsid w:val="00330583"/>
    <w:rsid w:val="00330B4B"/>
    <w:rsid w:val="00331A22"/>
    <w:rsid w:val="0033388E"/>
    <w:rsid w:val="003339B7"/>
    <w:rsid w:val="003353BD"/>
    <w:rsid w:val="0033687B"/>
    <w:rsid w:val="0033709D"/>
    <w:rsid w:val="003379BA"/>
    <w:rsid w:val="00344ABA"/>
    <w:rsid w:val="003454BA"/>
    <w:rsid w:val="00346BB8"/>
    <w:rsid w:val="00347704"/>
    <w:rsid w:val="00347F7B"/>
    <w:rsid w:val="00350A76"/>
    <w:rsid w:val="003515C0"/>
    <w:rsid w:val="003550A9"/>
    <w:rsid w:val="00356C8D"/>
    <w:rsid w:val="0036010B"/>
    <w:rsid w:val="003604B1"/>
    <w:rsid w:val="00360910"/>
    <w:rsid w:val="00364B7A"/>
    <w:rsid w:val="003714AC"/>
    <w:rsid w:val="0037366C"/>
    <w:rsid w:val="00373883"/>
    <w:rsid w:val="003739CC"/>
    <w:rsid w:val="00376237"/>
    <w:rsid w:val="003772CC"/>
    <w:rsid w:val="003801E3"/>
    <w:rsid w:val="0038055B"/>
    <w:rsid w:val="00382BE0"/>
    <w:rsid w:val="003853C0"/>
    <w:rsid w:val="003860DF"/>
    <w:rsid w:val="00394D20"/>
    <w:rsid w:val="00394E42"/>
    <w:rsid w:val="003952D1"/>
    <w:rsid w:val="0039653F"/>
    <w:rsid w:val="00396FF5"/>
    <w:rsid w:val="003A1DFB"/>
    <w:rsid w:val="003A2D7A"/>
    <w:rsid w:val="003A61AB"/>
    <w:rsid w:val="003A7375"/>
    <w:rsid w:val="003B0982"/>
    <w:rsid w:val="003B0DDF"/>
    <w:rsid w:val="003B164E"/>
    <w:rsid w:val="003B28B5"/>
    <w:rsid w:val="003B2CC2"/>
    <w:rsid w:val="003B4B90"/>
    <w:rsid w:val="003B5505"/>
    <w:rsid w:val="003B60B7"/>
    <w:rsid w:val="003C0DAE"/>
    <w:rsid w:val="003C63EA"/>
    <w:rsid w:val="003D0EB0"/>
    <w:rsid w:val="003D183E"/>
    <w:rsid w:val="003D30FD"/>
    <w:rsid w:val="003D37AA"/>
    <w:rsid w:val="003D620C"/>
    <w:rsid w:val="003D7EAD"/>
    <w:rsid w:val="003E0B40"/>
    <w:rsid w:val="003E25DC"/>
    <w:rsid w:val="003E3A4E"/>
    <w:rsid w:val="003E5EDC"/>
    <w:rsid w:val="003E64FD"/>
    <w:rsid w:val="003E6559"/>
    <w:rsid w:val="003F1917"/>
    <w:rsid w:val="003F31F3"/>
    <w:rsid w:val="003F34F5"/>
    <w:rsid w:val="003F3CC7"/>
    <w:rsid w:val="003F446D"/>
    <w:rsid w:val="003F4BD0"/>
    <w:rsid w:val="004013E4"/>
    <w:rsid w:val="00404678"/>
    <w:rsid w:val="00404C23"/>
    <w:rsid w:val="00405721"/>
    <w:rsid w:val="00406D26"/>
    <w:rsid w:val="00407DC6"/>
    <w:rsid w:val="00410606"/>
    <w:rsid w:val="004110F6"/>
    <w:rsid w:val="00413B97"/>
    <w:rsid w:val="00414CA7"/>
    <w:rsid w:val="004156A3"/>
    <w:rsid w:val="00416B45"/>
    <w:rsid w:val="004176E7"/>
    <w:rsid w:val="004179A1"/>
    <w:rsid w:val="00417F69"/>
    <w:rsid w:val="00420DD2"/>
    <w:rsid w:val="004217B5"/>
    <w:rsid w:val="004248B4"/>
    <w:rsid w:val="00426DB4"/>
    <w:rsid w:val="004270CD"/>
    <w:rsid w:val="00430DF0"/>
    <w:rsid w:val="004317C4"/>
    <w:rsid w:val="00434CDD"/>
    <w:rsid w:val="00435BB5"/>
    <w:rsid w:val="00437283"/>
    <w:rsid w:val="004378A0"/>
    <w:rsid w:val="004378C3"/>
    <w:rsid w:val="004408C2"/>
    <w:rsid w:val="004429C3"/>
    <w:rsid w:val="0044410B"/>
    <w:rsid w:val="00444D4D"/>
    <w:rsid w:val="00446E69"/>
    <w:rsid w:val="00447773"/>
    <w:rsid w:val="00447BB3"/>
    <w:rsid w:val="00451116"/>
    <w:rsid w:val="00452697"/>
    <w:rsid w:val="0045303F"/>
    <w:rsid w:val="004533DE"/>
    <w:rsid w:val="0045392F"/>
    <w:rsid w:val="00454819"/>
    <w:rsid w:val="00455A93"/>
    <w:rsid w:val="004636A0"/>
    <w:rsid w:val="00466206"/>
    <w:rsid w:val="00466DB1"/>
    <w:rsid w:val="00470137"/>
    <w:rsid w:val="0047017B"/>
    <w:rsid w:val="00470C43"/>
    <w:rsid w:val="00471B30"/>
    <w:rsid w:val="004724E8"/>
    <w:rsid w:val="0047380A"/>
    <w:rsid w:val="0047395A"/>
    <w:rsid w:val="00475D4A"/>
    <w:rsid w:val="0047713F"/>
    <w:rsid w:val="004773BD"/>
    <w:rsid w:val="0048055E"/>
    <w:rsid w:val="00482C1C"/>
    <w:rsid w:val="004850FB"/>
    <w:rsid w:val="0048650E"/>
    <w:rsid w:val="00487C8A"/>
    <w:rsid w:val="00491604"/>
    <w:rsid w:val="00492F97"/>
    <w:rsid w:val="004937FE"/>
    <w:rsid w:val="0049445A"/>
    <w:rsid w:val="00494FF8"/>
    <w:rsid w:val="00495771"/>
    <w:rsid w:val="00496A13"/>
    <w:rsid w:val="00496CCD"/>
    <w:rsid w:val="004A061D"/>
    <w:rsid w:val="004A483A"/>
    <w:rsid w:val="004A5B88"/>
    <w:rsid w:val="004B162D"/>
    <w:rsid w:val="004B2061"/>
    <w:rsid w:val="004B2EF1"/>
    <w:rsid w:val="004B41AF"/>
    <w:rsid w:val="004B48AF"/>
    <w:rsid w:val="004B4FD4"/>
    <w:rsid w:val="004B5D78"/>
    <w:rsid w:val="004C0CF3"/>
    <w:rsid w:val="004C0E7A"/>
    <w:rsid w:val="004C4868"/>
    <w:rsid w:val="004C4AD2"/>
    <w:rsid w:val="004C7C43"/>
    <w:rsid w:val="004D0BAD"/>
    <w:rsid w:val="004D14AC"/>
    <w:rsid w:val="004D1A4E"/>
    <w:rsid w:val="004D1AA4"/>
    <w:rsid w:val="004D6620"/>
    <w:rsid w:val="004D68FD"/>
    <w:rsid w:val="004D7825"/>
    <w:rsid w:val="004F3DCC"/>
    <w:rsid w:val="00500E00"/>
    <w:rsid w:val="00500F24"/>
    <w:rsid w:val="00501EC0"/>
    <w:rsid w:val="005023F3"/>
    <w:rsid w:val="00503DCE"/>
    <w:rsid w:val="00504498"/>
    <w:rsid w:val="0050527A"/>
    <w:rsid w:val="00505799"/>
    <w:rsid w:val="00506C31"/>
    <w:rsid w:val="00506D9A"/>
    <w:rsid w:val="005074FC"/>
    <w:rsid w:val="0050767D"/>
    <w:rsid w:val="00510E6A"/>
    <w:rsid w:val="005128E1"/>
    <w:rsid w:val="00513106"/>
    <w:rsid w:val="0051313F"/>
    <w:rsid w:val="0051369D"/>
    <w:rsid w:val="00514612"/>
    <w:rsid w:val="00515134"/>
    <w:rsid w:val="005164C3"/>
    <w:rsid w:val="00516C8E"/>
    <w:rsid w:val="00516CDB"/>
    <w:rsid w:val="0051714B"/>
    <w:rsid w:val="00517AEE"/>
    <w:rsid w:val="00517D50"/>
    <w:rsid w:val="0052164A"/>
    <w:rsid w:val="00521FBD"/>
    <w:rsid w:val="005232E0"/>
    <w:rsid w:val="005245B1"/>
    <w:rsid w:val="00524B52"/>
    <w:rsid w:val="0052560D"/>
    <w:rsid w:val="00526FE2"/>
    <w:rsid w:val="005330E0"/>
    <w:rsid w:val="00534258"/>
    <w:rsid w:val="00534936"/>
    <w:rsid w:val="00535193"/>
    <w:rsid w:val="00537261"/>
    <w:rsid w:val="00537B8C"/>
    <w:rsid w:val="00537C8B"/>
    <w:rsid w:val="00540644"/>
    <w:rsid w:val="00542517"/>
    <w:rsid w:val="00544E57"/>
    <w:rsid w:val="00545805"/>
    <w:rsid w:val="005460D4"/>
    <w:rsid w:val="00546624"/>
    <w:rsid w:val="005507A1"/>
    <w:rsid w:val="00552224"/>
    <w:rsid w:val="005541A5"/>
    <w:rsid w:val="005565BB"/>
    <w:rsid w:val="00557337"/>
    <w:rsid w:val="005577E1"/>
    <w:rsid w:val="00557FEB"/>
    <w:rsid w:val="00560CC5"/>
    <w:rsid w:val="005618A2"/>
    <w:rsid w:val="00562468"/>
    <w:rsid w:val="00562F53"/>
    <w:rsid w:val="0056464F"/>
    <w:rsid w:val="005649E2"/>
    <w:rsid w:val="0056505D"/>
    <w:rsid w:val="00566155"/>
    <w:rsid w:val="00566EFB"/>
    <w:rsid w:val="00567039"/>
    <w:rsid w:val="0056705A"/>
    <w:rsid w:val="00570A02"/>
    <w:rsid w:val="0057724E"/>
    <w:rsid w:val="005803C7"/>
    <w:rsid w:val="00580558"/>
    <w:rsid w:val="00580DAC"/>
    <w:rsid w:val="00584CE0"/>
    <w:rsid w:val="00585125"/>
    <w:rsid w:val="00586490"/>
    <w:rsid w:val="00586BCE"/>
    <w:rsid w:val="00590F4C"/>
    <w:rsid w:val="00592579"/>
    <w:rsid w:val="00595A6A"/>
    <w:rsid w:val="00595F88"/>
    <w:rsid w:val="005A3F94"/>
    <w:rsid w:val="005A407A"/>
    <w:rsid w:val="005A4112"/>
    <w:rsid w:val="005A438A"/>
    <w:rsid w:val="005A7823"/>
    <w:rsid w:val="005B0284"/>
    <w:rsid w:val="005B0EF2"/>
    <w:rsid w:val="005B161C"/>
    <w:rsid w:val="005B2A09"/>
    <w:rsid w:val="005B60AB"/>
    <w:rsid w:val="005B6782"/>
    <w:rsid w:val="005B790F"/>
    <w:rsid w:val="005C0329"/>
    <w:rsid w:val="005C1877"/>
    <w:rsid w:val="005C2DA7"/>
    <w:rsid w:val="005C323A"/>
    <w:rsid w:val="005C4663"/>
    <w:rsid w:val="005C5426"/>
    <w:rsid w:val="005C5F1A"/>
    <w:rsid w:val="005D029D"/>
    <w:rsid w:val="005D02C9"/>
    <w:rsid w:val="005D2A17"/>
    <w:rsid w:val="005D3A40"/>
    <w:rsid w:val="005D3B12"/>
    <w:rsid w:val="005D4E1B"/>
    <w:rsid w:val="005D5542"/>
    <w:rsid w:val="005E04C6"/>
    <w:rsid w:val="005E0FF2"/>
    <w:rsid w:val="005E1D5E"/>
    <w:rsid w:val="005E46CA"/>
    <w:rsid w:val="005E566C"/>
    <w:rsid w:val="005E78FE"/>
    <w:rsid w:val="005F125F"/>
    <w:rsid w:val="005F17F2"/>
    <w:rsid w:val="005F391A"/>
    <w:rsid w:val="005F428B"/>
    <w:rsid w:val="005F5199"/>
    <w:rsid w:val="005F56B1"/>
    <w:rsid w:val="005F6873"/>
    <w:rsid w:val="005F728F"/>
    <w:rsid w:val="0060039D"/>
    <w:rsid w:val="0060042A"/>
    <w:rsid w:val="00604236"/>
    <w:rsid w:val="0060512A"/>
    <w:rsid w:val="00606232"/>
    <w:rsid w:val="00606C1A"/>
    <w:rsid w:val="006074E0"/>
    <w:rsid w:val="00611AC8"/>
    <w:rsid w:val="006132F4"/>
    <w:rsid w:val="0061493F"/>
    <w:rsid w:val="0061721F"/>
    <w:rsid w:val="006238C3"/>
    <w:rsid w:val="00623FD5"/>
    <w:rsid w:val="006256E6"/>
    <w:rsid w:val="00625A79"/>
    <w:rsid w:val="00625B52"/>
    <w:rsid w:val="00625C2B"/>
    <w:rsid w:val="00625C76"/>
    <w:rsid w:val="00627679"/>
    <w:rsid w:val="00630416"/>
    <w:rsid w:val="00630DB8"/>
    <w:rsid w:val="00631A7C"/>
    <w:rsid w:val="00637B48"/>
    <w:rsid w:val="00643DF4"/>
    <w:rsid w:val="0064648C"/>
    <w:rsid w:val="00651525"/>
    <w:rsid w:val="00653629"/>
    <w:rsid w:val="0065532D"/>
    <w:rsid w:val="00655F91"/>
    <w:rsid w:val="00656748"/>
    <w:rsid w:val="00660AE1"/>
    <w:rsid w:val="00660C7F"/>
    <w:rsid w:val="006641F2"/>
    <w:rsid w:val="00666341"/>
    <w:rsid w:val="00667FC4"/>
    <w:rsid w:val="006713C9"/>
    <w:rsid w:val="0067400C"/>
    <w:rsid w:val="00675D78"/>
    <w:rsid w:val="006778E1"/>
    <w:rsid w:val="00677F38"/>
    <w:rsid w:val="00680812"/>
    <w:rsid w:val="00681DA9"/>
    <w:rsid w:val="006842EA"/>
    <w:rsid w:val="00685615"/>
    <w:rsid w:val="00685E57"/>
    <w:rsid w:val="00686706"/>
    <w:rsid w:val="00687804"/>
    <w:rsid w:val="006900FA"/>
    <w:rsid w:val="0069042E"/>
    <w:rsid w:val="00691CEA"/>
    <w:rsid w:val="00692D7F"/>
    <w:rsid w:val="00693F68"/>
    <w:rsid w:val="0069476B"/>
    <w:rsid w:val="00696AA5"/>
    <w:rsid w:val="006A0595"/>
    <w:rsid w:val="006A1FA6"/>
    <w:rsid w:val="006A21C6"/>
    <w:rsid w:val="006A333B"/>
    <w:rsid w:val="006A40EA"/>
    <w:rsid w:val="006A4189"/>
    <w:rsid w:val="006A74B8"/>
    <w:rsid w:val="006A7C10"/>
    <w:rsid w:val="006A7DC3"/>
    <w:rsid w:val="006B10B8"/>
    <w:rsid w:val="006B1191"/>
    <w:rsid w:val="006B1CA5"/>
    <w:rsid w:val="006B57D2"/>
    <w:rsid w:val="006B7767"/>
    <w:rsid w:val="006B7ECC"/>
    <w:rsid w:val="006C076A"/>
    <w:rsid w:val="006C2C1A"/>
    <w:rsid w:val="006C3648"/>
    <w:rsid w:val="006C4D87"/>
    <w:rsid w:val="006C59A4"/>
    <w:rsid w:val="006C5AC9"/>
    <w:rsid w:val="006C661D"/>
    <w:rsid w:val="006C78B4"/>
    <w:rsid w:val="006C7FEF"/>
    <w:rsid w:val="006D03D2"/>
    <w:rsid w:val="006D0811"/>
    <w:rsid w:val="006D137A"/>
    <w:rsid w:val="006D13CA"/>
    <w:rsid w:val="006D679D"/>
    <w:rsid w:val="006D79C0"/>
    <w:rsid w:val="006E00A8"/>
    <w:rsid w:val="006E15CD"/>
    <w:rsid w:val="006E321E"/>
    <w:rsid w:val="006E40E6"/>
    <w:rsid w:val="006E419C"/>
    <w:rsid w:val="006E4210"/>
    <w:rsid w:val="006E4988"/>
    <w:rsid w:val="006E5046"/>
    <w:rsid w:val="006E6DA9"/>
    <w:rsid w:val="006F03CC"/>
    <w:rsid w:val="006F27B6"/>
    <w:rsid w:val="006F3388"/>
    <w:rsid w:val="006F752E"/>
    <w:rsid w:val="007000D6"/>
    <w:rsid w:val="00700F0E"/>
    <w:rsid w:val="0070263C"/>
    <w:rsid w:val="007031EF"/>
    <w:rsid w:val="00705F7F"/>
    <w:rsid w:val="00706AAB"/>
    <w:rsid w:val="007075A1"/>
    <w:rsid w:val="007101CA"/>
    <w:rsid w:val="00710594"/>
    <w:rsid w:val="00710B96"/>
    <w:rsid w:val="007145CC"/>
    <w:rsid w:val="007166CC"/>
    <w:rsid w:val="0071672A"/>
    <w:rsid w:val="00720E45"/>
    <w:rsid w:val="00721A45"/>
    <w:rsid w:val="007222AE"/>
    <w:rsid w:val="007231F3"/>
    <w:rsid w:val="00724589"/>
    <w:rsid w:val="00725E20"/>
    <w:rsid w:val="00726B33"/>
    <w:rsid w:val="00731EE8"/>
    <w:rsid w:val="0073312E"/>
    <w:rsid w:val="0073412E"/>
    <w:rsid w:val="007352AE"/>
    <w:rsid w:val="00737453"/>
    <w:rsid w:val="0073798F"/>
    <w:rsid w:val="007409F9"/>
    <w:rsid w:val="00740F38"/>
    <w:rsid w:val="00741875"/>
    <w:rsid w:val="0074195A"/>
    <w:rsid w:val="00743087"/>
    <w:rsid w:val="0074484D"/>
    <w:rsid w:val="0074642E"/>
    <w:rsid w:val="00746B0A"/>
    <w:rsid w:val="0074704E"/>
    <w:rsid w:val="0074777B"/>
    <w:rsid w:val="007512CB"/>
    <w:rsid w:val="007520DB"/>
    <w:rsid w:val="0075273D"/>
    <w:rsid w:val="00753881"/>
    <w:rsid w:val="007548DB"/>
    <w:rsid w:val="00755B7C"/>
    <w:rsid w:val="00756598"/>
    <w:rsid w:val="00761FEC"/>
    <w:rsid w:val="0076389C"/>
    <w:rsid w:val="00763B70"/>
    <w:rsid w:val="00763E1A"/>
    <w:rsid w:val="007654ED"/>
    <w:rsid w:val="00766196"/>
    <w:rsid w:val="00766C11"/>
    <w:rsid w:val="00767DFF"/>
    <w:rsid w:val="00770BA1"/>
    <w:rsid w:val="00771299"/>
    <w:rsid w:val="007713F5"/>
    <w:rsid w:val="00771EB2"/>
    <w:rsid w:val="00772392"/>
    <w:rsid w:val="007726B4"/>
    <w:rsid w:val="00774669"/>
    <w:rsid w:val="00775F4D"/>
    <w:rsid w:val="00776322"/>
    <w:rsid w:val="00777027"/>
    <w:rsid w:val="00777DB6"/>
    <w:rsid w:val="007801FE"/>
    <w:rsid w:val="00783974"/>
    <w:rsid w:val="00785C6F"/>
    <w:rsid w:val="00786DF0"/>
    <w:rsid w:val="007875A8"/>
    <w:rsid w:val="00787FC4"/>
    <w:rsid w:val="00790041"/>
    <w:rsid w:val="0079113F"/>
    <w:rsid w:val="00792126"/>
    <w:rsid w:val="00794AD5"/>
    <w:rsid w:val="00795422"/>
    <w:rsid w:val="0079559F"/>
    <w:rsid w:val="00795E03"/>
    <w:rsid w:val="00796250"/>
    <w:rsid w:val="007A231A"/>
    <w:rsid w:val="007A2D67"/>
    <w:rsid w:val="007A7425"/>
    <w:rsid w:val="007A7F53"/>
    <w:rsid w:val="007B11BC"/>
    <w:rsid w:val="007B257E"/>
    <w:rsid w:val="007B2C2F"/>
    <w:rsid w:val="007B3A94"/>
    <w:rsid w:val="007B3B28"/>
    <w:rsid w:val="007B4A40"/>
    <w:rsid w:val="007B5728"/>
    <w:rsid w:val="007B7462"/>
    <w:rsid w:val="007B7812"/>
    <w:rsid w:val="007C3BCC"/>
    <w:rsid w:val="007C3F48"/>
    <w:rsid w:val="007C601C"/>
    <w:rsid w:val="007D0FBC"/>
    <w:rsid w:val="007D3BB2"/>
    <w:rsid w:val="007D4A35"/>
    <w:rsid w:val="007D6CF4"/>
    <w:rsid w:val="007D7A4E"/>
    <w:rsid w:val="007D7C85"/>
    <w:rsid w:val="007E176B"/>
    <w:rsid w:val="007E1C75"/>
    <w:rsid w:val="007E34C4"/>
    <w:rsid w:val="007E4614"/>
    <w:rsid w:val="007E4C0E"/>
    <w:rsid w:val="007E7DC5"/>
    <w:rsid w:val="007E7E05"/>
    <w:rsid w:val="007F0EC6"/>
    <w:rsid w:val="007F2A0D"/>
    <w:rsid w:val="007F3F5D"/>
    <w:rsid w:val="007F6E68"/>
    <w:rsid w:val="0080080A"/>
    <w:rsid w:val="00801819"/>
    <w:rsid w:val="0080187A"/>
    <w:rsid w:val="00801937"/>
    <w:rsid w:val="00801E1F"/>
    <w:rsid w:val="008020C9"/>
    <w:rsid w:val="00805F00"/>
    <w:rsid w:val="00807E9A"/>
    <w:rsid w:val="008112CE"/>
    <w:rsid w:val="008117D2"/>
    <w:rsid w:val="00812781"/>
    <w:rsid w:val="00813E80"/>
    <w:rsid w:val="0081490A"/>
    <w:rsid w:val="008154CF"/>
    <w:rsid w:val="008200BC"/>
    <w:rsid w:val="00820CB3"/>
    <w:rsid w:val="008213E9"/>
    <w:rsid w:val="00821E2C"/>
    <w:rsid w:val="00823203"/>
    <w:rsid w:val="008247E7"/>
    <w:rsid w:val="00825782"/>
    <w:rsid w:val="00826427"/>
    <w:rsid w:val="00831004"/>
    <w:rsid w:val="00831196"/>
    <w:rsid w:val="0083303F"/>
    <w:rsid w:val="008330F8"/>
    <w:rsid w:val="008339C9"/>
    <w:rsid w:val="008345FC"/>
    <w:rsid w:val="00835EF0"/>
    <w:rsid w:val="00842A9E"/>
    <w:rsid w:val="00842E28"/>
    <w:rsid w:val="00843FD0"/>
    <w:rsid w:val="0084595E"/>
    <w:rsid w:val="0085196E"/>
    <w:rsid w:val="00852070"/>
    <w:rsid w:val="00854DD9"/>
    <w:rsid w:val="00856653"/>
    <w:rsid w:val="00856D68"/>
    <w:rsid w:val="008606FA"/>
    <w:rsid w:val="00860FC5"/>
    <w:rsid w:val="00861308"/>
    <w:rsid w:val="0086389A"/>
    <w:rsid w:val="0086446B"/>
    <w:rsid w:val="0086599F"/>
    <w:rsid w:val="00865B9E"/>
    <w:rsid w:val="0086776B"/>
    <w:rsid w:val="00872964"/>
    <w:rsid w:val="00874538"/>
    <w:rsid w:val="00875EF3"/>
    <w:rsid w:val="00876356"/>
    <w:rsid w:val="008766C6"/>
    <w:rsid w:val="008771C8"/>
    <w:rsid w:val="00880940"/>
    <w:rsid w:val="008846B8"/>
    <w:rsid w:val="00885473"/>
    <w:rsid w:val="008860A2"/>
    <w:rsid w:val="00886D59"/>
    <w:rsid w:val="00890D74"/>
    <w:rsid w:val="008942F7"/>
    <w:rsid w:val="0089509D"/>
    <w:rsid w:val="00896F2D"/>
    <w:rsid w:val="008976A2"/>
    <w:rsid w:val="008A0EF8"/>
    <w:rsid w:val="008A13B3"/>
    <w:rsid w:val="008A3703"/>
    <w:rsid w:val="008A440C"/>
    <w:rsid w:val="008A4E98"/>
    <w:rsid w:val="008A5066"/>
    <w:rsid w:val="008A553E"/>
    <w:rsid w:val="008A5809"/>
    <w:rsid w:val="008A5FD3"/>
    <w:rsid w:val="008A7E0B"/>
    <w:rsid w:val="008B3AD3"/>
    <w:rsid w:val="008B572C"/>
    <w:rsid w:val="008B75E8"/>
    <w:rsid w:val="008C0F68"/>
    <w:rsid w:val="008C1507"/>
    <w:rsid w:val="008C1CF9"/>
    <w:rsid w:val="008C355C"/>
    <w:rsid w:val="008C4972"/>
    <w:rsid w:val="008C65B8"/>
    <w:rsid w:val="008C7AC6"/>
    <w:rsid w:val="008D098A"/>
    <w:rsid w:val="008D3381"/>
    <w:rsid w:val="008D441A"/>
    <w:rsid w:val="008D652D"/>
    <w:rsid w:val="008D6E31"/>
    <w:rsid w:val="008E00C7"/>
    <w:rsid w:val="008E141D"/>
    <w:rsid w:val="008E172C"/>
    <w:rsid w:val="008E22A4"/>
    <w:rsid w:val="008E258F"/>
    <w:rsid w:val="008E2E53"/>
    <w:rsid w:val="008E3313"/>
    <w:rsid w:val="008E3892"/>
    <w:rsid w:val="008E4A62"/>
    <w:rsid w:val="008E55E8"/>
    <w:rsid w:val="008E5683"/>
    <w:rsid w:val="008E5D39"/>
    <w:rsid w:val="008F0097"/>
    <w:rsid w:val="008F033F"/>
    <w:rsid w:val="008F0574"/>
    <w:rsid w:val="008F0B3E"/>
    <w:rsid w:val="008F27CD"/>
    <w:rsid w:val="008F2CE5"/>
    <w:rsid w:val="008F3842"/>
    <w:rsid w:val="008F5453"/>
    <w:rsid w:val="008F5A9A"/>
    <w:rsid w:val="008F684B"/>
    <w:rsid w:val="00902682"/>
    <w:rsid w:val="0090488C"/>
    <w:rsid w:val="0090548E"/>
    <w:rsid w:val="0090750B"/>
    <w:rsid w:val="0090753B"/>
    <w:rsid w:val="0091028D"/>
    <w:rsid w:val="00912277"/>
    <w:rsid w:val="00912DE6"/>
    <w:rsid w:val="00916283"/>
    <w:rsid w:val="00916867"/>
    <w:rsid w:val="009212E7"/>
    <w:rsid w:val="00923732"/>
    <w:rsid w:val="009242AB"/>
    <w:rsid w:val="00924BAA"/>
    <w:rsid w:val="00926712"/>
    <w:rsid w:val="009276E7"/>
    <w:rsid w:val="00930E49"/>
    <w:rsid w:val="00930E87"/>
    <w:rsid w:val="0093177E"/>
    <w:rsid w:val="00932B5B"/>
    <w:rsid w:val="00935CB1"/>
    <w:rsid w:val="009376D2"/>
    <w:rsid w:val="009449B8"/>
    <w:rsid w:val="009449F8"/>
    <w:rsid w:val="00945F28"/>
    <w:rsid w:val="00946F81"/>
    <w:rsid w:val="00947F86"/>
    <w:rsid w:val="009501DD"/>
    <w:rsid w:val="009510B1"/>
    <w:rsid w:val="0095335C"/>
    <w:rsid w:val="00960848"/>
    <w:rsid w:val="00961D54"/>
    <w:rsid w:val="00961F4D"/>
    <w:rsid w:val="00963AD9"/>
    <w:rsid w:val="0096421A"/>
    <w:rsid w:val="00965FB8"/>
    <w:rsid w:val="00967258"/>
    <w:rsid w:val="00967BA7"/>
    <w:rsid w:val="009707DA"/>
    <w:rsid w:val="00973856"/>
    <w:rsid w:val="009738B5"/>
    <w:rsid w:val="009758C9"/>
    <w:rsid w:val="00977E93"/>
    <w:rsid w:val="00981539"/>
    <w:rsid w:val="00982365"/>
    <w:rsid w:val="00984000"/>
    <w:rsid w:val="00984F2C"/>
    <w:rsid w:val="00985190"/>
    <w:rsid w:val="009A12DD"/>
    <w:rsid w:val="009A2C0E"/>
    <w:rsid w:val="009A6504"/>
    <w:rsid w:val="009A6EFA"/>
    <w:rsid w:val="009A71AD"/>
    <w:rsid w:val="009B0616"/>
    <w:rsid w:val="009B2613"/>
    <w:rsid w:val="009B342B"/>
    <w:rsid w:val="009B4BA0"/>
    <w:rsid w:val="009B5018"/>
    <w:rsid w:val="009B6E9A"/>
    <w:rsid w:val="009C0396"/>
    <w:rsid w:val="009C109E"/>
    <w:rsid w:val="009C4A02"/>
    <w:rsid w:val="009C508C"/>
    <w:rsid w:val="009C6015"/>
    <w:rsid w:val="009C60AF"/>
    <w:rsid w:val="009C613A"/>
    <w:rsid w:val="009C7D84"/>
    <w:rsid w:val="009C7E8E"/>
    <w:rsid w:val="009D0150"/>
    <w:rsid w:val="009D1B97"/>
    <w:rsid w:val="009D2F32"/>
    <w:rsid w:val="009D5EDF"/>
    <w:rsid w:val="009D73C9"/>
    <w:rsid w:val="009E3423"/>
    <w:rsid w:val="009E35AE"/>
    <w:rsid w:val="009E406B"/>
    <w:rsid w:val="009E4864"/>
    <w:rsid w:val="009E6942"/>
    <w:rsid w:val="009F0260"/>
    <w:rsid w:val="009F0E9C"/>
    <w:rsid w:val="009F1EEB"/>
    <w:rsid w:val="009F2489"/>
    <w:rsid w:val="009F2505"/>
    <w:rsid w:val="009F6167"/>
    <w:rsid w:val="009F62E6"/>
    <w:rsid w:val="00A02C2A"/>
    <w:rsid w:val="00A03089"/>
    <w:rsid w:val="00A03497"/>
    <w:rsid w:val="00A036C3"/>
    <w:rsid w:val="00A05220"/>
    <w:rsid w:val="00A05D40"/>
    <w:rsid w:val="00A06590"/>
    <w:rsid w:val="00A067AB"/>
    <w:rsid w:val="00A10FD3"/>
    <w:rsid w:val="00A11182"/>
    <w:rsid w:val="00A121BE"/>
    <w:rsid w:val="00A159B5"/>
    <w:rsid w:val="00A2156E"/>
    <w:rsid w:val="00A21D4A"/>
    <w:rsid w:val="00A24ADB"/>
    <w:rsid w:val="00A27F49"/>
    <w:rsid w:val="00A318F1"/>
    <w:rsid w:val="00A33CD2"/>
    <w:rsid w:val="00A33F19"/>
    <w:rsid w:val="00A35202"/>
    <w:rsid w:val="00A35CD6"/>
    <w:rsid w:val="00A417EE"/>
    <w:rsid w:val="00A4220F"/>
    <w:rsid w:val="00A4225C"/>
    <w:rsid w:val="00A42574"/>
    <w:rsid w:val="00A42C8B"/>
    <w:rsid w:val="00A44C95"/>
    <w:rsid w:val="00A44EF5"/>
    <w:rsid w:val="00A45510"/>
    <w:rsid w:val="00A45E0D"/>
    <w:rsid w:val="00A465AB"/>
    <w:rsid w:val="00A47CAC"/>
    <w:rsid w:val="00A47F88"/>
    <w:rsid w:val="00A50133"/>
    <w:rsid w:val="00A50B44"/>
    <w:rsid w:val="00A50C5E"/>
    <w:rsid w:val="00A52655"/>
    <w:rsid w:val="00A5444B"/>
    <w:rsid w:val="00A55705"/>
    <w:rsid w:val="00A57EC3"/>
    <w:rsid w:val="00A60B45"/>
    <w:rsid w:val="00A60B9B"/>
    <w:rsid w:val="00A61A0D"/>
    <w:rsid w:val="00A6279E"/>
    <w:rsid w:val="00A70DFE"/>
    <w:rsid w:val="00A7130B"/>
    <w:rsid w:val="00A731F2"/>
    <w:rsid w:val="00A73D28"/>
    <w:rsid w:val="00A74501"/>
    <w:rsid w:val="00A751B0"/>
    <w:rsid w:val="00A76165"/>
    <w:rsid w:val="00A76435"/>
    <w:rsid w:val="00A76AAF"/>
    <w:rsid w:val="00A77470"/>
    <w:rsid w:val="00A8258C"/>
    <w:rsid w:val="00A82B53"/>
    <w:rsid w:val="00A83683"/>
    <w:rsid w:val="00A83FF3"/>
    <w:rsid w:val="00A85330"/>
    <w:rsid w:val="00A9172A"/>
    <w:rsid w:val="00A91F5C"/>
    <w:rsid w:val="00A9278D"/>
    <w:rsid w:val="00A92ED5"/>
    <w:rsid w:val="00A95F91"/>
    <w:rsid w:val="00A973DE"/>
    <w:rsid w:val="00A978C3"/>
    <w:rsid w:val="00AA3878"/>
    <w:rsid w:val="00AA6758"/>
    <w:rsid w:val="00AA6A65"/>
    <w:rsid w:val="00AB0B44"/>
    <w:rsid w:val="00AB0C0F"/>
    <w:rsid w:val="00AB1ABC"/>
    <w:rsid w:val="00AB2FED"/>
    <w:rsid w:val="00AB3222"/>
    <w:rsid w:val="00AB33B4"/>
    <w:rsid w:val="00AB3636"/>
    <w:rsid w:val="00AB42EB"/>
    <w:rsid w:val="00AB501B"/>
    <w:rsid w:val="00AB6595"/>
    <w:rsid w:val="00AB71E2"/>
    <w:rsid w:val="00AB7C38"/>
    <w:rsid w:val="00AB7CDD"/>
    <w:rsid w:val="00AB7EC1"/>
    <w:rsid w:val="00AC340E"/>
    <w:rsid w:val="00AC3FF2"/>
    <w:rsid w:val="00AC4594"/>
    <w:rsid w:val="00AC4DF5"/>
    <w:rsid w:val="00AC61AC"/>
    <w:rsid w:val="00AC65D2"/>
    <w:rsid w:val="00AC6700"/>
    <w:rsid w:val="00AC73CB"/>
    <w:rsid w:val="00AD43DE"/>
    <w:rsid w:val="00AD5B0C"/>
    <w:rsid w:val="00AD6E50"/>
    <w:rsid w:val="00AD7C01"/>
    <w:rsid w:val="00AE1166"/>
    <w:rsid w:val="00AE1220"/>
    <w:rsid w:val="00AE377C"/>
    <w:rsid w:val="00AE5875"/>
    <w:rsid w:val="00AE62BF"/>
    <w:rsid w:val="00AE7E3D"/>
    <w:rsid w:val="00AF1BFB"/>
    <w:rsid w:val="00AF1D28"/>
    <w:rsid w:val="00AF20CB"/>
    <w:rsid w:val="00AF2D2C"/>
    <w:rsid w:val="00AF321C"/>
    <w:rsid w:val="00AF32AF"/>
    <w:rsid w:val="00AF3336"/>
    <w:rsid w:val="00AF6D80"/>
    <w:rsid w:val="00AF7CD1"/>
    <w:rsid w:val="00B022EB"/>
    <w:rsid w:val="00B03BBB"/>
    <w:rsid w:val="00B05898"/>
    <w:rsid w:val="00B0751E"/>
    <w:rsid w:val="00B106C9"/>
    <w:rsid w:val="00B10C07"/>
    <w:rsid w:val="00B121C7"/>
    <w:rsid w:val="00B12FE2"/>
    <w:rsid w:val="00B13469"/>
    <w:rsid w:val="00B136CF"/>
    <w:rsid w:val="00B13A1B"/>
    <w:rsid w:val="00B15B1C"/>
    <w:rsid w:val="00B15B83"/>
    <w:rsid w:val="00B16E73"/>
    <w:rsid w:val="00B16EAD"/>
    <w:rsid w:val="00B17F3B"/>
    <w:rsid w:val="00B20355"/>
    <w:rsid w:val="00B23244"/>
    <w:rsid w:val="00B2630F"/>
    <w:rsid w:val="00B33171"/>
    <w:rsid w:val="00B33BAF"/>
    <w:rsid w:val="00B353C9"/>
    <w:rsid w:val="00B37B86"/>
    <w:rsid w:val="00B428CD"/>
    <w:rsid w:val="00B42CDF"/>
    <w:rsid w:val="00B44723"/>
    <w:rsid w:val="00B45B9C"/>
    <w:rsid w:val="00B468EE"/>
    <w:rsid w:val="00B46AF8"/>
    <w:rsid w:val="00B51111"/>
    <w:rsid w:val="00B51516"/>
    <w:rsid w:val="00B52067"/>
    <w:rsid w:val="00B52793"/>
    <w:rsid w:val="00B536C3"/>
    <w:rsid w:val="00B53B0C"/>
    <w:rsid w:val="00B55490"/>
    <w:rsid w:val="00B608F2"/>
    <w:rsid w:val="00B61B67"/>
    <w:rsid w:val="00B638E7"/>
    <w:rsid w:val="00B640AE"/>
    <w:rsid w:val="00B666C2"/>
    <w:rsid w:val="00B677CE"/>
    <w:rsid w:val="00B679C7"/>
    <w:rsid w:val="00B70BFE"/>
    <w:rsid w:val="00B745FF"/>
    <w:rsid w:val="00B74762"/>
    <w:rsid w:val="00B75E21"/>
    <w:rsid w:val="00B7619D"/>
    <w:rsid w:val="00B80411"/>
    <w:rsid w:val="00B80B7A"/>
    <w:rsid w:val="00B83713"/>
    <w:rsid w:val="00B837BC"/>
    <w:rsid w:val="00B83AC9"/>
    <w:rsid w:val="00B84D08"/>
    <w:rsid w:val="00B879CF"/>
    <w:rsid w:val="00B90674"/>
    <w:rsid w:val="00B90759"/>
    <w:rsid w:val="00B92C8E"/>
    <w:rsid w:val="00B93A92"/>
    <w:rsid w:val="00B9558C"/>
    <w:rsid w:val="00B96225"/>
    <w:rsid w:val="00B97E24"/>
    <w:rsid w:val="00BA10A8"/>
    <w:rsid w:val="00BA1CC4"/>
    <w:rsid w:val="00BA2D06"/>
    <w:rsid w:val="00BA463A"/>
    <w:rsid w:val="00BA6EA8"/>
    <w:rsid w:val="00BB1457"/>
    <w:rsid w:val="00BB22B8"/>
    <w:rsid w:val="00BB2AE8"/>
    <w:rsid w:val="00BB6BB9"/>
    <w:rsid w:val="00BB79FF"/>
    <w:rsid w:val="00BC0DD0"/>
    <w:rsid w:val="00BC305B"/>
    <w:rsid w:val="00BC408D"/>
    <w:rsid w:val="00BC54EA"/>
    <w:rsid w:val="00BC6D31"/>
    <w:rsid w:val="00BD12E0"/>
    <w:rsid w:val="00BD20E1"/>
    <w:rsid w:val="00BD2500"/>
    <w:rsid w:val="00BD3ED7"/>
    <w:rsid w:val="00BD7B48"/>
    <w:rsid w:val="00BE0E90"/>
    <w:rsid w:val="00BE1DF0"/>
    <w:rsid w:val="00BE73BD"/>
    <w:rsid w:val="00BF07CB"/>
    <w:rsid w:val="00BF1448"/>
    <w:rsid w:val="00BF254D"/>
    <w:rsid w:val="00BF361F"/>
    <w:rsid w:val="00BF39C4"/>
    <w:rsid w:val="00BF45FA"/>
    <w:rsid w:val="00BF68B6"/>
    <w:rsid w:val="00BF7A4A"/>
    <w:rsid w:val="00C022D4"/>
    <w:rsid w:val="00C02407"/>
    <w:rsid w:val="00C0345C"/>
    <w:rsid w:val="00C0464C"/>
    <w:rsid w:val="00C04BC4"/>
    <w:rsid w:val="00C04EEE"/>
    <w:rsid w:val="00C05356"/>
    <w:rsid w:val="00C05BA6"/>
    <w:rsid w:val="00C1006F"/>
    <w:rsid w:val="00C11456"/>
    <w:rsid w:val="00C11507"/>
    <w:rsid w:val="00C121DB"/>
    <w:rsid w:val="00C12955"/>
    <w:rsid w:val="00C12C48"/>
    <w:rsid w:val="00C133A1"/>
    <w:rsid w:val="00C14401"/>
    <w:rsid w:val="00C14AD2"/>
    <w:rsid w:val="00C162BC"/>
    <w:rsid w:val="00C172F4"/>
    <w:rsid w:val="00C17382"/>
    <w:rsid w:val="00C17987"/>
    <w:rsid w:val="00C20203"/>
    <w:rsid w:val="00C2146A"/>
    <w:rsid w:val="00C21FCD"/>
    <w:rsid w:val="00C2273A"/>
    <w:rsid w:val="00C23083"/>
    <w:rsid w:val="00C2473C"/>
    <w:rsid w:val="00C300AB"/>
    <w:rsid w:val="00C303C4"/>
    <w:rsid w:val="00C312F0"/>
    <w:rsid w:val="00C323AB"/>
    <w:rsid w:val="00C32AF6"/>
    <w:rsid w:val="00C32B9B"/>
    <w:rsid w:val="00C35D69"/>
    <w:rsid w:val="00C37E98"/>
    <w:rsid w:val="00C408BB"/>
    <w:rsid w:val="00C41F64"/>
    <w:rsid w:val="00C428F0"/>
    <w:rsid w:val="00C431ED"/>
    <w:rsid w:val="00C43687"/>
    <w:rsid w:val="00C45FD6"/>
    <w:rsid w:val="00C46252"/>
    <w:rsid w:val="00C476AA"/>
    <w:rsid w:val="00C4789E"/>
    <w:rsid w:val="00C50471"/>
    <w:rsid w:val="00C518DA"/>
    <w:rsid w:val="00C51B83"/>
    <w:rsid w:val="00C51CB0"/>
    <w:rsid w:val="00C52D42"/>
    <w:rsid w:val="00C53EBC"/>
    <w:rsid w:val="00C546F2"/>
    <w:rsid w:val="00C54792"/>
    <w:rsid w:val="00C55B66"/>
    <w:rsid w:val="00C56146"/>
    <w:rsid w:val="00C57473"/>
    <w:rsid w:val="00C6040E"/>
    <w:rsid w:val="00C6046C"/>
    <w:rsid w:val="00C609BA"/>
    <w:rsid w:val="00C6319C"/>
    <w:rsid w:val="00C637C5"/>
    <w:rsid w:val="00C66CF1"/>
    <w:rsid w:val="00C67274"/>
    <w:rsid w:val="00C67A1F"/>
    <w:rsid w:val="00C71249"/>
    <w:rsid w:val="00C7580D"/>
    <w:rsid w:val="00C768CA"/>
    <w:rsid w:val="00C8120D"/>
    <w:rsid w:val="00C815DC"/>
    <w:rsid w:val="00C82A32"/>
    <w:rsid w:val="00C90E83"/>
    <w:rsid w:val="00C91C52"/>
    <w:rsid w:val="00C92F7B"/>
    <w:rsid w:val="00C93108"/>
    <w:rsid w:val="00C93663"/>
    <w:rsid w:val="00C93836"/>
    <w:rsid w:val="00C95D6D"/>
    <w:rsid w:val="00C96DEF"/>
    <w:rsid w:val="00CA0E7E"/>
    <w:rsid w:val="00CA13B0"/>
    <w:rsid w:val="00CA21FA"/>
    <w:rsid w:val="00CA2DD7"/>
    <w:rsid w:val="00CA5649"/>
    <w:rsid w:val="00CA628D"/>
    <w:rsid w:val="00CA6851"/>
    <w:rsid w:val="00CA6CFB"/>
    <w:rsid w:val="00CB1005"/>
    <w:rsid w:val="00CB1E7C"/>
    <w:rsid w:val="00CB26C0"/>
    <w:rsid w:val="00CB328D"/>
    <w:rsid w:val="00CB3CD1"/>
    <w:rsid w:val="00CB51C3"/>
    <w:rsid w:val="00CB57E4"/>
    <w:rsid w:val="00CB61A6"/>
    <w:rsid w:val="00CB69BC"/>
    <w:rsid w:val="00CC05BB"/>
    <w:rsid w:val="00CC087C"/>
    <w:rsid w:val="00CC25CE"/>
    <w:rsid w:val="00CC35EB"/>
    <w:rsid w:val="00CC3FF3"/>
    <w:rsid w:val="00CC4E7B"/>
    <w:rsid w:val="00CC6226"/>
    <w:rsid w:val="00CC7B78"/>
    <w:rsid w:val="00CD0123"/>
    <w:rsid w:val="00CD03DC"/>
    <w:rsid w:val="00CD25A7"/>
    <w:rsid w:val="00CD2D5F"/>
    <w:rsid w:val="00CD2E84"/>
    <w:rsid w:val="00CD34F0"/>
    <w:rsid w:val="00CD45A3"/>
    <w:rsid w:val="00CD5726"/>
    <w:rsid w:val="00CD5741"/>
    <w:rsid w:val="00CD5D33"/>
    <w:rsid w:val="00CD5D93"/>
    <w:rsid w:val="00CD60B6"/>
    <w:rsid w:val="00CE10A7"/>
    <w:rsid w:val="00CE12EA"/>
    <w:rsid w:val="00CE172C"/>
    <w:rsid w:val="00CE32E4"/>
    <w:rsid w:val="00CE4FA4"/>
    <w:rsid w:val="00CE622F"/>
    <w:rsid w:val="00CE74C0"/>
    <w:rsid w:val="00CE7A2E"/>
    <w:rsid w:val="00CF252C"/>
    <w:rsid w:val="00CF3801"/>
    <w:rsid w:val="00CF3E93"/>
    <w:rsid w:val="00CF49C9"/>
    <w:rsid w:val="00CF4C53"/>
    <w:rsid w:val="00CF527D"/>
    <w:rsid w:val="00CF64AB"/>
    <w:rsid w:val="00CF7FEA"/>
    <w:rsid w:val="00D017B2"/>
    <w:rsid w:val="00D01A13"/>
    <w:rsid w:val="00D035CA"/>
    <w:rsid w:val="00D03E83"/>
    <w:rsid w:val="00D04D88"/>
    <w:rsid w:val="00D04EB8"/>
    <w:rsid w:val="00D05E89"/>
    <w:rsid w:val="00D067A8"/>
    <w:rsid w:val="00D07ADB"/>
    <w:rsid w:val="00D07DD3"/>
    <w:rsid w:val="00D11857"/>
    <w:rsid w:val="00D11ABB"/>
    <w:rsid w:val="00D12150"/>
    <w:rsid w:val="00D132BD"/>
    <w:rsid w:val="00D156E6"/>
    <w:rsid w:val="00D15A38"/>
    <w:rsid w:val="00D16686"/>
    <w:rsid w:val="00D21752"/>
    <w:rsid w:val="00D24564"/>
    <w:rsid w:val="00D25024"/>
    <w:rsid w:val="00D26CB0"/>
    <w:rsid w:val="00D27716"/>
    <w:rsid w:val="00D31D5B"/>
    <w:rsid w:val="00D33195"/>
    <w:rsid w:val="00D33B5E"/>
    <w:rsid w:val="00D40135"/>
    <w:rsid w:val="00D40F2E"/>
    <w:rsid w:val="00D4205E"/>
    <w:rsid w:val="00D42726"/>
    <w:rsid w:val="00D42AE8"/>
    <w:rsid w:val="00D43D60"/>
    <w:rsid w:val="00D45809"/>
    <w:rsid w:val="00D45D1F"/>
    <w:rsid w:val="00D45E92"/>
    <w:rsid w:val="00D46183"/>
    <w:rsid w:val="00D4641F"/>
    <w:rsid w:val="00D4690E"/>
    <w:rsid w:val="00D50B9E"/>
    <w:rsid w:val="00D5357C"/>
    <w:rsid w:val="00D54952"/>
    <w:rsid w:val="00D55E7C"/>
    <w:rsid w:val="00D56727"/>
    <w:rsid w:val="00D575C2"/>
    <w:rsid w:val="00D605EE"/>
    <w:rsid w:val="00D61CC2"/>
    <w:rsid w:val="00D627D9"/>
    <w:rsid w:val="00D66306"/>
    <w:rsid w:val="00D666A4"/>
    <w:rsid w:val="00D66841"/>
    <w:rsid w:val="00D66A42"/>
    <w:rsid w:val="00D66BA6"/>
    <w:rsid w:val="00D66E4A"/>
    <w:rsid w:val="00D66F7A"/>
    <w:rsid w:val="00D7024B"/>
    <w:rsid w:val="00D715A8"/>
    <w:rsid w:val="00D715B6"/>
    <w:rsid w:val="00D71E06"/>
    <w:rsid w:val="00D743C2"/>
    <w:rsid w:val="00D757DE"/>
    <w:rsid w:val="00D76A67"/>
    <w:rsid w:val="00D76C32"/>
    <w:rsid w:val="00D77A6F"/>
    <w:rsid w:val="00D77B06"/>
    <w:rsid w:val="00D77C52"/>
    <w:rsid w:val="00D8096B"/>
    <w:rsid w:val="00D81220"/>
    <w:rsid w:val="00D821B2"/>
    <w:rsid w:val="00D827C7"/>
    <w:rsid w:val="00D83D2D"/>
    <w:rsid w:val="00D841F7"/>
    <w:rsid w:val="00D84C97"/>
    <w:rsid w:val="00D850E1"/>
    <w:rsid w:val="00D865DB"/>
    <w:rsid w:val="00D86B36"/>
    <w:rsid w:val="00D928A1"/>
    <w:rsid w:val="00D93B2A"/>
    <w:rsid w:val="00D96BE1"/>
    <w:rsid w:val="00D9759F"/>
    <w:rsid w:val="00DA01DB"/>
    <w:rsid w:val="00DA0768"/>
    <w:rsid w:val="00DA0A10"/>
    <w:rsid w:val="00DA16EB"/>
    <w:rsid w:val="00DA33D9"/>
    <w:rsid w:val="00DA59A8"/>
    <w:rsid w:val="00DB11E4"/>
    <w:rsid w:val="00DB2CC1"/>
    <w:rsid w:val="00DB479C"/>
    <w:rsid w:val="00DB56BA"/>
    <w:rsid w:val="00DB6166"/>
    <w:rsid w:val="00DC072B"/>
    <w:rsid w:val="00DC4C85"/>
    <w:rsid w:val="00DC5C22"/>
    <w:rsid w:val="00DC7C6C"/>
    <w:rsid w:val="00DD5411"/>
    <w:rsid w:val="00DD63B4"/>
    <w:rsid w:val="00DD64E4"/>
    <w:rsid w:val="00DD6593"/>
    <w:rsid w:val="00DD7EE6"/>
    <w:rsid w:val="00DE32EE"/>
    <w:rsid w:val="00DE350A"/>
    <w:rsid w:val="00DE70AE"/>
    <w:rsid w:val="00DF00EB"/>
    <w:rsid w:val="00DF03A6"/>
    <w:rsid w:val="00DF0BD1"/>
    <w:rsid w:val="00DF4292"/>
    <w:rsid w:val="00DF5461"/>
    <w:rsid w:val="00DF592F"/>
    <w:rsid w:val="00DF5CAE"/>
    <w:rsid w:val="00DF6317"/>
    <w:rsid w:val="00DF6CC3"/>
    <w:rsid w:val="00DF79BF"/>
    <w:rsid w:val="00E011D5"/>
    <w:rsid w:val="00E023BD"/>
    <w:rsid w:val="00E0376B"/>
    <w:rsid w:val="00E05139"/>
    <w:rsid w:val="00E054DF"/>
    <w:rsid w:val="00E05B01"/>
    <w:rsid w:val="00E06940"/>
    <w:rsid w:val="00E138D9"/>
    <w:rsid w:val="00E14383"/>
    <w:rsid w:val="00E16095"/>
    <w:rsid w:val="00E162AC"/>
    <w:rsid w:val="00E205F0"/>
    <w:rsid w:val="00E22B6D"/>
    <w:rsid w:val="00E25646"/>
    <w:rsid w:val="00E272DF"/>
    <w:rsid w:val="00E305B0"/>
    <w:rsid w:val="00E3069E"/>
    <w:rsid w:val="00E3138F"/>
    <w:rsid w:val="00E32033"/>
    <w:rsid w:val="00E32355"/>
    <w:rsid w:val="00E32F1A"/>
    <w:rsid w:val="00E336E5"/>
    <w:rsid w:val="00E35B4E"/>
    <w:rsid w:val="00E36DF2"/>
    <w:rsid w:val="00E378DD"/>
    <w:rsid w:val="00E37AA9"/>
    <w:rsid w:val="00E37C0F"/>
    <w:rsid w:val="00E42A13"/>
    <w:rsid w:val="00E43323"/>
    <w:rsid w:val="00E43685"/>
    <w:rsid w:val="00E43BF6"/>
    <w:rsid w:val="00E43D72"/>
    <w:rsid w:val="00E44902"/>
    <w:rsid w:val="00E45654"/>
    <w:rsid w:val="00E45BC8"/>
    <w:rsid w:val="00E477BE"/>
    <w:rsid w:val="00E50A52"/>
    <w:rsid w:val="00E50C26"/>
    <w:rsid w:val="00E51F05"/>
    <w:rsid w:val="00E54D0B"/>
    <w:rsid w:val="00E550CD"/>
    <w:rsid w:val="00E5618B"/>
    <w:rsid w:val="00E566FF"/>
    <w:rsid w:val="00E57831"/>
    <w:rsid w:val="00E60CCF"/>
    <w:rsid w:val="00E61577"/>
    <w:rsid w:val="00E649D8"/>
    <w:rsid w:val="00E64CE3"/>
    <w:rsid w:val="00E67C19"/>
    <w:rsid w:val="00E67F10"/>
    <w:rsid w:val="00E70540"/>
    <w:rsid w:val="00E72D14"/>
    <w:rsid w:val="00E769A3"/>
    <w:rsid w:val="00E76C00"/>
    <w:rsid w:val="00E76EF0"/>
    <w:rsid w:val="00E77E80"/>
    <w:rsid w:val="00E800D6"/>
    <w:rsid w:val="00E819DC"/>
    <w:rsid w:val="00E84F37"/>
    <w:rsid w:val="00E86D51"/>
    <w:rsid w:val="00E86EF4"/>
    <w:rsid w:val="00E87AB1"/>
    <w:rsid w:val="00E9066F"/>
    <w:rsid w:val="00E907E5"/>
    <w:rsid w:val="00E929F3"/>
    <w:rsid w:val="00E92D21"/>
    <w:rsid w:val="00E9325E"/>
    <w:rsid w:val="00E93CF6"/>
    <w:rsid w:val="00E94559"/>
    <w:rsid w:val="00E95313"/>
    <w:rsid w:val="00E95CA5"/>
    <w:rsid w:val="00E95EDA"/>
    <w:rsid w:val="00E9635F"/>
    <w:rsid w:val="00EA19D6"/>
    <w:rsid w:val="00EA2C93"/>
    <w:rsid w:val="00EA307B"/>
    <w:rsid w:val="00EA5E32"/>
    <w:rsid w:val="00EA7E4F"/>
    <w:rsid w:val="00EA7EAD"/>
    <w:rsid w:val="00EB0B4F"/>
    <w:rsid w:val="00EB1698"/>
    <w:rsid w:val="00EB21C8"/>
    <w:rsid w:val="00EB5A2F"/>
    <w:rsid w:val="00EB6462"/>
    <w:rsid w:val="00EC0915"/>
    <w:rsid w:val="00EC498E"/>
    <w:rsid w:val="00EC4C76"/>
    <w:rsid w:val="00EC54CC"/>
    <w:rsid w:val="00EC6069"/>
    <w:rsid w:val="00ED06C5"/>
    <w:rsid w:val="00ED083A"/>
    <w:rsid w:val="00ED1476"/>
    <w:rsid w:val="00ED1896"/>
    <w:rsid w:val="00ED3723"/>
    <w:rsid w:val="00ED3C50"/>
    <w:rsid w:val="00ED4460"/>
    <w:rsid w:val="00ED6607"/>
    <w:rsid w:val="00ED763E"/>
    <w:rsid w:val="00ED7BFD"/>
    <w:rsid w:val="00EE1D3C"/>
    <w:rsid w:val="00EE3758"/>
    <w:rsid w:val="00EE61AA"/>
    <w:rsid w:val="00EE6C1C"/>
    <w:rsid w:val="00EE709A"/>
    <w:rsid w:val="00EF4864"/>
    <w:rsid w:val="00EF6850"/>
    <w:rsid w:val="00EF6986"/>
    <w:rsid w:val="00EF7124"/>
    <w:rsid w:val="00EF7B2B"/>
    <w:rsid w:val="00F05AA6"/>
    <w:rsid w:val="00F10A72"/>
    <w:rsid w:val="00F10F18"/>
    <w:rsid w:val="00F119AC"/>
    <w:rsid w:val="00F13A54"/>
    <w:rsid w:val="00F13A8C"/>
    <w:rsid w:val="00F151DC"/>
    <w:rsid w:val="00F152A9"/>
    <w:rsid w:val="00F158E9"/>
    <w:rsid w:val="00F16B9D"/>
    <w:rsid w:val="00F20949"/>
    <w:rsid w:val="00F21C18"/>
    <w:rsid w:val="00F24ACB"/>
    <w:rsid w:val="00F25109"/>
    <w:rsid w:val="00F26AA6"/>
    <w:rsid w:val="00F27116"/>
    <w:rsid w:val="00F3375D"/>
    <w:rsid w:val="00F33E8B"/>
    <w:rsid w:val="00F3561E"/>
    <w:rsid w:val="00F35970"/>
    <w:rsid w:val="00F362B0"/>
    <w:rsid w:val="00F364E4"/>
    <w:rsid w:val="00F45F7D"/>
    <w:rsid w:val="00F51AE3"/>
    <w:rsid w:val="00F530A8"/>
    <w:rsid w:val="00F55C7E"/>
    <w:rsid w:val="00F577F4"/>
    <w:rsid w:val="00F61632"/>
    <w:rsid w:val="00F62478"/>
    <w:rsid w:val="00F626FD"/>
    <w:rsid w:val="00F64584"/>
    <w:rsid w:val="00F647EC"/>
    <w:rsid w:val="00F66D84"/>
    <w:rsid w:val="00F670EF"/>
    <w:rsid w:val="00F678BC"/>
    <w:rsid w:val="00F67B1C"/>
    <w:rsid w:val="00F67F71"/>
    <w:rsid w:val="00F73495"/>
    <w:rsid w:val="00F749F3"/>
    <w:rsid w:val="00F7542F"/>
    <w:rsid w:val="00F76961"/>
    <w:rsid w:val="00F82EE0"/>
    <w:rsid w:val="00F84954"/>
    <w:rsid w:val="00F87970"/>
    <w:rsid w:val="00F922CE"/>
    <w:rsid w:val="00F94093"/>
    <w:rsid w:val="00FA0967"/>
    <w:rsid w:val="00FA162E"/>
    <w:rsid w:val="00FA26D0"/>
    <w:rsid w:val="00FA2B0C"/>
    <w:rsid w:val="00FA3683"/>
    <w:rsid w:val="00FA4321"/>
    <w:rsid w:val="00FA57DD"/>
    <w:rsid w:val="00FA7010"/>
    <w:rsid w:val="00FA7274"/>
    <w:rsid w:val="00FA7804"/>
    <w:rsid w:val="00FA7FEB"/>
    <w:rsid w:val="00FB03B1"/>
    <w:rsid w:val="00FB145A"/>
    <w:rsid w:val="00FB3487"/>
    <w:rsid w:val="00FB3F6E"/>
    <w:rsid w:val="00FB6F69"/>
    <w:rsid w:val="00FC20FE"/>
    <w:rsid w:val="00FC64E9"/>
    <w:rsid w:val="00FC6590"/>
    <w:rsid w:val="00FC7E97"/>
    <w:rsid w:val="00FC7EEF"/>
    <w:rsid w:val="00FD1205"/>
    <w:rsid w:val="00FD2986"/>
    <w:rsid w:val="00FD4074"/>
    <w:rsid w:val="00FD6D6E"/>
    <w:rsid w:val="00FE06E7"/>
    <w:rsid w:val="00FE09B1"/>
    <w:rsid w:val="00FE3098"/>
    <w:rsid w:val="00FE33DB"/>
    <w:rsid w:val="00FE41F1"/>
    <w:rsid w:val="00FE5385"/>
    <w:rsid w:val="00FE63B7"/>
    <w:rsid w:val="00FE685E"/>
    <w:rsid w:val="00FE6DBA"/>
    <w:rsid w:val="00FE74E0"/>
    <w:rsid w:val="00FE7B50"/>
    <w:rsid w:val="00FF1136"/>
    <w:rsid w:val="00FF16BB"/>
    <w:rsid w:val="00FF1E72"/>
    <w:rsid w:val="00FF5B9D"/>
    <w:rsid w:val="00FF5C23"/>
    <w:rsid w:val="00FF7FF9"/>
    <w:rsid w:val="01E092CC"/>
    <w:rsid w:val="048A16D0"/>
    <w:rsid w:val="0496F8F3"/>
    <w:rsid w:val="057FF164"/>
    <w:rsid w:val="153B3880"/>
    <w:rsid w:val="1758FE71"/>
    <w:rsid w:val="200A631F"/>
    <w:rsid w:val="2679A4A3"/>
    <w:rsid w:val="370570EC"/>
    <w:rsid w:val="49CC5222"/>
    <w:rsid w:val="4A7C4D16"/>
    <w:rsid w:val="7907C778"/>
    <w:rsid w:val="7A77C947"/>
    <w:rsid w:val="7ADF678A"/>
    <w:rsid w:val="7F770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70AB"/>
  <w15:docId w15:val="{6E778E10-A55D-4CC9-965F-04840C2C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E0C"/>
  </w:style>
  <w:style w:type="paragraph" w:styleId="Heading1">
    <w:name w:val="heading 1"/>
    <w:basedOn w:val="Normal"/>
    <w:next w:val="Normal"/>
    <w:link w:val="Heading1Char"/>
    <w:uiPriority w:val="9"/>
    <w:qFormat/>
    <w:rsid w:val="00FA5AB6"/>
    <w:pPr>
      <w:keepNext/>
      <w:keepLines/>
      <w:spacing w:before="480"/>
      <w:outlineLvl w:val="0"/>
    </w:pPr>
    <w:rPr>
      <w:rFonts w:ascii="Garamond" w:eastAsia="MS Gothic" w:hAnsi="Garamond"/>
      <w:b/>
      <w:bCs/>
      <w:color w:val="345A8A"/>
      <w:szCs w:val="32"/>
      <w:lang w:eastAsia="ja-JP"/>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52C5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styleId="CommentReference">
    <w:name w:val="annotation reference"/>
    <w:uiPriority w:val="99"/>
    <w:semiHidden/>
    <w:unhideWhenUsed/>
    <w:qFormat/>
    <w:rsid w:val="00372E0C"/>
    <w:rPr>
      <w:sz w:val="16"/>
      <w:szCs w:val="16"/>
    </w:rPr>
  </w:style>
  <w:style w:type="paragraph" w:styleId="CommentText">
    <w:name w:val="annotation text"/>
    <w:basedOn w:val="Normal"/>
    <w:link w:val="CommentTextChar"/>
    <w:uiPriority w:val="99"/>
    <w:unhideWhenUsed/>
    <w:rsid w:val="00372E0C"/>
    <w:rPr>
      <w:sz w:val="20"/>
      <w:szCs w:val="20"/>
      <w:lang w:val="x-none" w:eastAsia="x-none"/>
    </w:rPr>
  </w:style>
  <w:style w:type="character" w:customStyle="1" w:styleId="CommentTextChar">
    <w:name w:val="Comment Text Char"/>
    <w:link w:val="CommentText"/>
    <w:uiPriority w:val="99"/>
    <w:rsid w:val="00372E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E0C"/>
    <w:rPr>
      <w:b/>
      <w:bCs/>
    </w:rPr>
  </w:style>
  <w:style w:type="character" w:customStyle="1" w:styleId="CommentSubjectChar">
    <w:name w:val="Comment Subject Char"/>
    <w:link w:val="CommentSubject"/>
    <w:uiPriority w:val="99"/>
    <w:semiHidden/>
    <w:rsid w:val="00372E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2E0C"/>
    <w:rPr>
      <w:rFonts w:ascii="Tahoma" w:hAnsi="Tahoma"/>
      <w:sz w:val="16"/>
      <w:szCs w:val="16"/>
      <w:lang w:val="x-none" w:eastAsia="x-none"/>
    </w:rPr>
  </w:style>
  <w:style w:type="character" w:customStyle="1" w:styleId="BalloonTextChar">
    <w:name w:val="Balloon Text Char"/>
    <w:link w:val="BalloonText"/>
    <w:uiPriority w:val="99"/>
    <w:semiHidden/>
    <w:rsid w:val="00372E0C"/>
    <w:rPr>
      <w:rFonts w:ascii="Tahoma" w:eastAsia="Times New Roman" w:hAnsi="Tahoma" w:cs="Tahoma"/>
      <w:sz w:val="16"/>
      <w:szCs w:val="16"/>
    </w:rPr>
  </w:style>
  <w:style w:type="paragraph" w:styleId="Header">
    <w:name w:val="header"/>
    <w:basedOn w:val="Normal"/>
    <w:link w:val="HeaderChar"/>
    <w:uiPriority w:val="99"/>
    <w:unhideWhenUsed/>
    <w:rsid w:val="00B92085"/>
    <w:pPr>
      <w:tabs>
        <w:tab w:val="center" w:pos="4680"/>
        <w:tab w:val="right" w:pos="9360"/>
      </w:tabs>
    </w:pPr>
  </w:style>
  <w:style w:type="character" w:customStyle="1" w:styleId="HeaderChar">
    <w:name w:val="Header Char"/>
    <w:basedOn w:val="DefaultParagraphFont"/>
    <w:link w:val="Header"/>
    <w:uiPriority w:val="99"/>
    <w:rsid w:val="00B92085"/>
    <w:rPr>
      <w:rFonts w:ascii="Times New Roman" w:eastAsia="Times New Roman" w:hAnsi="Times New Roman"/>
      <w:sz w:val="24"/>
      <w:szCs w:val="24"/>
    </w:rPr>
  </w:style>
  <w:style w:type="paragraph" w:styleId="Footer">
    <w:name w:val="footer"/>
    <w:basedOn w:val="Normal"/>
    <w:link w:val="FooterChar"/>
    <w:uiPriority w:val="99"/>
    <w:unhideWhenUsed/>
    <w:rsid w:val="00B92085"/>
    <w:pPr>
      <w:tabs>
        <w:tab w:val="center" w:pos="4680"/>
        <w:tab w:val="right" w:pos="9360"/>
      </w:tabs>
    </w:pPr>
  </w:style>
  <w:style w:type="character" w:customStyle="1" w:styleId="FooterChar">
    <w:name w:val="Footer Char"/>
    <w:basedOn w:val="DefaultParagraphFont"/>
    <w:link w:val="Footer"/>
    <w:uiPriority w:val="99"/>
    <w:rsid w:val="00B920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A5AB6"/>
    <w:rPr>
      <w:rFonts w:ascii="Garamond" w:eastAsia="MS Gothic" w:hAnsi="Garamond"/>
      <w:b/>
      <w:bCs/>
      <w:color w:val="345A8A"/>
      <w:sz w:val="24"/>
      <w:szCs w:val="32"/>
      <w:lang w:val="en-GB" w:eastAsia="ja-JP"/>
    </w:rPr>
  </w:style>
  <w:style w:type="paragraph" w:styleId="ListParagraph">
    <w:name w:val="List Paragraph"/>
    <w:basedOn w:val="Normal"/>
    <w:uiPriority w:val="34"/>
    <w:qFormat/>
    <w:rsid w:val="00FA5AB6"/>
    <w:pPr>
      <w:ind w:left="720"/>
      <w:contextualSpacing/>
    </w:pPr>
    <w:rPr>
      <w:rFonts w:eastAsia="MS Mincho"/>
      <w:sz w:val="22"/>
      <w:lang w:eastAsia="ja-JP"/>
    </w:rPr>
  </w:style>
  <w:style w:type="character" w:styleId="Hyperlink">
    <w:name w:val="Hyperlink"/>
    <w:basedOn w:val="DefaultParagraphFont"/>
    <w:uiPriority w:val="99"/>
    <w:unhideWhenUsed/>
    <w:rsid w:val="00FA5AB6"/>
    <w:rPr>
      <w:color w:val="0000FF"/>
      <w:u w:val="single"/>
    </w:rPr>
  </w:style>
  <w:style w:type="paragraph" w:styleId="TOCHeading">
    <w:name w:val="TOC Heading"/>
    <w:basedOn w:val="TOC1"/>
    <w:next w:val="Normal"/>
    <w:uiPriority w:val="39"/>
    <w:unhideWhenUsed/>
    <w:qFormat/>
    <w:rsid w:val="00FA5AB6"/>
  </w:style>
  <w:style w:type="paragraph" w:styleId="TOC1">
    <w:name w:val="toc 1"/>
    <w:basedOn w:val="Heading1"/>
    <w:next w:val="Normal"/>
    <w:autoRedefine/>
    <w:uiPriority w:val="39"/>
    <w:unhideWhenUsed/>
    <w:rsid w:val="00FA5AB6"/>
    <w:pPr>
      <w:keepNext w:val="0"/>
      <w:keepLines w:val="0"/>
      <w:tabs>
        <w:tab w:val="left" w:pos="450"/>
        <w:tab w:val="left" w:pos="522"/>
        <w:tab w:val="right" w:leader="dot" w:pos="9350"/>
      </w:tabs>
      <w:spacing w:before="120"/>
      <w:outlineLvl w:val="9"/>
    </w:pPr>
    <w:rPr>
      <w:rFonts w:ascii="Cambria" w:eastAsia="MS Mincho" w:hAnsi="Cambria"/>
      <w:bCs w:val="0"/>
      <w:caps/>
      <w:color w:val="auto"/>
      <w:sz w:val="22"/>
      <w:szCs w:val="22"/>
    </w:rPr>
  </w:style>
  <w:style w:type="paragraph" w:styleId="PlainText">
    <w:name w:val="Plain Text"/>
    <w:basedOn w:val="Normal"/>
    <w:link w:val="PlainTextChar"/>
    <w:uiPriority w:val="99"/>
    <w:semiHidden/>
    <w:rsid w:val="00CE22E2"/>
    <w:rPr>
      <w:rFonts w:ascii="Calibri" w:hAnsi="Calibri"/>
      <w:color w:val="000000"/>
      <w:sz w:val="21"/>
      <w:szCs w:val="20"/>
      <w:lang w:val="da-DK" w:eastAsia="da-DK"/>
    </w:rPr>
  </w:style>
  <w:style w:type="character" w:customStyle="1" w:styleId="PlainTextChar">
    <w:name w:val="Plain Text Char"/>
    <w:basedOn w:val="DefaultParagraphFont"/>
    <w:link w:val="PlainText"/>
    <w:uiPriority w:val="99"/>
    <w:semiHidden/>
    <w:rsid w:val="00CE22E2"/>
    <w:rPr>
      <w:rFonts w:eastAsia="Times New Roman"/>
      <w:color w:val="000000"/>
      <w:sz w:val="21"/>
      <w:lang w:val="da-DK" w:eastAsia="da-DK"/>
    </w:rPr>
  </w:style>
  <w:style w:type="paragraph" w:customStyle="1" w:styleId="Default">
    <w:name w:val="Default"/>
    <w:rsid w:val="00CE22E2"/>
    <w:pPr>
      <w:autoSpaceDE w:val="0"/>
      <w:autoSpaceDN w:val="0"/>
      <w:adjustRightInd w:val="0"/>
    </w:pPr>
    <w:rPr>
      <w:rFonts w:ascii="Garamond" w:hAnsi="Garamond" w:cs="Garamond"/>
      <w:color w:val="000000"/>
      <w:lang w:val="da-DK" w:eastAsia="da-DK"/>
    </w:rPr>
  </w:style>
  <w:style w:type="character" w:styleId="PageNumber">
    <w:name w:val="page number"/>
    <w:basedOn w:val="DefaultParagraphFont"/>
    <w:uiPriority w:val="99"/>
    <w:rsid w:val="00CE22E2"/>
    <w:rPr>
      <w:rFonts w:cs="Times New Roman"/>
    </w:rPr>
  </w:style>
  <w:style w:type="character" w:customStyle="1" w:styleId="Heading3Char">
    <w:name w:val="Heading 3 Char"/>
    <w:basedOn w:val="DefaultParagraphFont"/>
    <w:link w:val="Heading3"/>
    <w:uiPriority w:val="9"/>
    <w:rsid w:val="00752C5C"/>
    <w:rPr>
      <w:rFonts w:ascii="Cambria" w:eastAsia="Times New Roman" w:hAnsi="Cambria" w:cs="Times New Roman"/>
      <w:b/>
      <w:bCs/>
      <w:sz w:val="26"/>
      <w:szCs w:val="26"/>
    </w:rPr>
  </w:style>
  <w:style w:type="paragraph" w:styleId="FootnoteText">
    <w:name w:val="footnote text"/>
    <w:basedOn w:val="Normal"/>
    <w:link w:val="FootnoteTextChar"/>
    <w:uiPriority w:val="99"/>
    <w:semiHidden/>
    <w:rsid w:val="00752C5C"/>
    <w:rPr>
      <w:sz w:val="20"/>
      <w:szCs w:val="20"/>
      <w:lang w:eastAsia="en-GB"/>
    </w:rPr>
  </w:style>
  <w:style w:type="character" w:customStyle="1" w:styleId="FootnoteTextChar">
    <w:name w:val="Footnote Text Char"/>
    <w:basedOn w:val="DefaultParagraphFont"/>
    <w:link w:val="FootnoteText"/>
    <w:uiPriority w:val="99"/>
    <w:semiHidden/>
    <w:rsid w:val="00752C5C"/>
    <w:rPr>
      <w:rFonts w:ascii="Times New Roman" w:eastAsia="Times New Roman" w:hAnsi="Times New Roman"/>
      <w:lang w:val="en-GB" w:eastAsia="en-GB"/>
    </w:rPr>
  </w:style>
  <w:style w:type="character" w:styleId="FootnoteReference">
    <w:name w:val="footnote reference"/>
    <w:uiPriority w:val="99"/>
    <w:semiHidden/>
    <w:rsid w:val="00752C5C"/>
    <w:rPr>
      <w:vertAlign w:val="superscript"/>
    </w:rPr>
  </w:style>
  <w:style w:type="table" w:styleId="TableGrid">
    <w:name w:val="Table Grid"/>
    <w:basedOn w:val="TableNormal"/>
    <w:uiPriority w:val="3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4A1A"/>
    <w:rPr>
      <w:rFonts w:asciiTheme="minorHAnsi" w:eastAsiaTheme="minorEastAsia"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14A1A"/>
    <w:rPr>
      <w:rFonts w:asciiTheme="minorHAnsi" w:hAnsiTheme="minorHAnsi" w:cstheme="minorBidi"/>
      <w:b/>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AC67A7"/>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885D6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left w:w="115" w:type="dxa"/>
        <w:right w:w="115" w:type="dxa"/>
      </w:tblCellMar>
    </w:tblPr>
  </w:style>
  <w:style w:type="table" w:customStyle="1" w:styleId="aa">
    <w:name w:val="aa"/>
    <w:basedOn w:val="TableNormal"/>
    <w:tblPr>
      <w:tblStyleRowBandSize w:val="1"/>
      <w:tblStyleColBandSize w:val="1"/>
      <w:tblCellMar>
        <w:left w:w="115" w:type="dxa"/>
        <w:right w:w="115" w:type="dxa"/>
      </w:tblCellMar>
    </w:tblPr>
  </w:style>
  <w:style w:type="table" w:customStyle="1" w:styleId="ab">
    <w:name w:val="ab"/>
    <w:basedOn w:val="TableNormal"/>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left w:w="115" w:type="dxa"/>
        <w:right w:w="115" w:type="dxa"/>
      </w:tblCellMar>
    </w:tblPr>
  </w:style>
  <w:style w:type="table" w:customStyle="1" w:styleId="ad">
    <w:name w:val="ad"/>
    <w:basedOn w:val="TableNormal"/>
    <w:tblPr>
      <w:tblStyleRowBandSize w:val="1"/>
      <w:tblStyleColBandSize w:val="1"/>
      <w:tblCellMar>
        <w:left w:w="115" w:type="dxa"/>
        <w:right w:w="115" w:type="dxa"/>
      </w:tblCellMar>
    </w:tblPr>
  </w:style>
  <w:style w:type="table" w:customStyle="1" w:styleId="ae">
    <w:name w:val="ae"/>
    <w:basedOn w:val="TableNormal"/>
    <w:tblPr>
      <w:tblStyleRowBandSize w:val="1"/>
      <w:tblStyleColBandSize w:val="1"/>
      <w:tblCellMar>
        <w:left w:w="115" w:type="dxa"/>
        <w:right w:w="115" w:type="dxa"/>
      </w:tblCellMar>
    </w:tblPr>
  </w:style>
  <w:style w:type="table" w:customStyle="1" w:styleId="af">
    <w:name w:val="af"/>
    <w:basedOn w:val="TableNormal"/>
    <w:tblPr>
      <w:tblStyleRowBandSize w:val="1"/>
      <w:tblStyleColBandSize w:val="1"/>
      <w:tblCellMar>
        <w:left w:w="115" w:type="dxa"/>
        <w:right w:w="115" w:type="dxa"/>
      </w:tblCellMar>
    </w:tblPr>
  </w:style>
  <w:style w:type="table" w:customStyle="1" w:styleId="af0">
    <w:name w:val="af0"/>
    <w:basedOn w:val="TableNormal"/>
    <w:tblPr>
      <w:tblStyleRowBandSize w:val="1"/>
      <w:tblStyleColBandSize w:val="1"/>
      <w:tblCellMar>
        <w:left w:w="115" w:type="dxa"/>
        <w:right w:w="115" w:type="dxa"/>
      </w:tblCellMar>
    </w:tblPr>
  </w:style>
  <w:style w:type="table" w:customStyle="1" w:styleId="af1">
    <w:name w:val="af1"/>
    <w:basedOn w:val="TableNormal"/>
    <w:tblPr>
      <w:tblStyleRowBandSize w:val="1"/>
      <w:tblStyleColBandSize w:val="1"/>
      <w:tblCellMar>
        <w:left w:w="115" w:type="dxa"/>
        <w:right w:w="115" w:type="dxa"/>
      </w:tblCellMar>
    </w:tblPr>
  </w:style>
  <w:style w:type="table" w:customStyle="1" w:styleId="af2">
    <w:name w:val="af2"/>
    <w:basedOn w:val="TableNormal"/>
    <w:tblPr>
      <w:tblStyleRowBandSize w:val="1"/>
      <w:tblStyleColBandSize w:val="1"/>
      <w:tblCellMar>
        <w:left w:w="115" w:type="dxa"/>
        <w:right w:w="115" w:type="dxa"/>
      </w:tblCellMar>
    </w:tblPr>
  </w:style>
  <w:style w:type="table" w:customStyle="1" w:styleId="af3">
    <w:name w:val="af3"/>
    <w:basedOn w:val="TableNormal"/>
    <w:tblPr>
      <w:tblStyleRowBandSize w:val="1"/>
      <w:tblStyleColBandSize w:val="1"/>
      <w:tblCellMar>
        <w:left w:w="115" w:type="dxa"/>
        <w:right w:w="115" w:type="dxa"/>
      </w:tblCellMar>
    </w:tblPr>
  </w:style>
  <w:style w:type="table" w:customStyle="1" w:styleId="af4">
    <w:name w:val="af4"/>
    <w:basedOn w:val="TableNormal"/>
    <w:rPr>
      <w:rFonts w:ascii="Cambria" w:eastAsia="Cambria" w:hAnsi="Cambria" w:cs="Cambria"/>
      <w:b/>
    </w:rPr>
    <w:tblPr>
      <w:tblStyleRowBandSize w:val="1"/>
      <w:tblStyleColBandSize w:val="1"/>
    </w:tblPr>
  </w:style>
  <w:style w:type="character" w:customStyle="1" w:styleId="cf01">
    <w:name w:val="cf01"/>
    <w:basedOn w:val="DefaultParagraphFont"/>
    <w:rsid w:val="004B5D78"/>
    <w:rPr>
      <w:rFonts w:ascii="Segoe UI" w:hAnsi="Segoe UI" w:cs="Segoe UI" w:hint="default"/>
      <w:sz w:val="18"/>
      <w:szCs w:val="18"/>
    </w:rPr>
  </w:style>
  <w:style w:type="character" w:customStyle="1" w:styleId="cf11">
    <w:name w:val="cf11"/>
    <w:basedOn w:val="DefaultParagraphFont"/>
    <w:rsid w:val="004B5D78"/>
    <w:rPr>
      <w:rFonts w:ascii="Segoe UI" w:hAnsi="Segoe UI" w:cs="Segoe UI" w:hint="default"/>
      <w:sz w:val="18"/>
      <w:szCs w:val="18"/>
    </w:rPr>
  </w:style>
  <w:style w:type="character" w:customStyle="1" w:styleId="cf21">
    <w:name w:val="cf21"/>
    <w:basedOn w:val="DefaultParagraphFont"/>
    <w:rsid w:val="004B5D78"/>
    <w:rPr>
      <w:rFonts w:ascii="Segoe UI" w:hAnsi="Segoe UI" w:cs="Segoe UI" w:hint="default"/>
      <w:sz w:val="18"/>
      <w:szCs w:val="18"/>
    </w:rPr>
  </w:style>
  <w:style w:type="character" w:customStyle="1" w:styleId="cf31">
    <w:name w:val="cf31"/>
    <w:basedOn w:val="DefaultParagraphFont"/>
    <w:rsid w:val="004B5D78"/>
    <w:rPr>
      <w:rFonts w:ascii="Segoe UI" w:hAnsi="Segoe UI" w:cs="Segoe UI" w:hint="default"/>
      <w:sz w:val="18"/>
      <w:szCs w:val="18"/>
    </w:rPr>
  </w:style>
  <w:style w:type="character" w:styleId="UnresolvedMention">
    <w:name w:val="Unresolved Mention"/>
    <w:basedOn w:val="DefaultParagraphFont"/>
    <w:uiPriority w:val="99"/>
    <w:semiHidden/>
    <w:unhideWhenUsed/>
    <w:rsid w:val="00B12FE2"/>
    <w:rPr>
      <w:color w:val="605E5C"/>
      <w:shd w:val="clear" w:color="auto" w:fill="E1DFDD"/>
    </w:rPr>
  </w:style>
  <w:style w:type="character" w:styleId="FollowedHyperlink">
    <w:name w:val="FollowedHyperlink"/>
    <w:basedOn w:val="DefaultParagraphFont"/>
    <w:uiPriority w:val="99"/>
    <w:semiHidden/>
    <w:unhideWhenUsed/>
    <w:rsid w:val="00CE7A2E"/>
    <w:rPr>
      <w:color w:val="800080" w:themeColor="followedHyperlink"/>
      <w:u w:val="single"/>
    </w:rPr>
  </w:style>
  <w:style w:type="paragraph" w:customStyle="1" w:styleId="ColorfulList-Accent11">
    <w:name w:val="Colorful List - Accent 11"/>
    <w:basedOn w:val="Normal"/>
    <w:uiPriority w:val="34"/>
    <w:qFormat/>
    <w:rsid w:val="007101CA"/>
    <w:pPr>
      <w:ind w:left="720" w:hanging="425"/>
      <w:contextualSpacing/>
    </w:pPr>
    <w:rPr>
      <w:rFonts w:ascii="Calibri" w:eastAsia="Calibri" w:hAnsi="Calibri"/>
      <w:sz w:val="22"/>
      <w:szCs w:val="22"/>
    </w:rPr>
  </w:style>
  <w:style w:type="character" w:customStyle="1" w:styleId="TitleChar">
    <w:name w:val="Title Char"/>
    <w:basedOn w:val="DefaultParagraphFont"/>
    <w:link w:val="Title"/>
    <w:uiPriority w:val="10"/>
    <w:rsid w:val="00B106C9"/>
    <w:rPr>
      <w:b/>
      <w:sz w:val="72"/>
      <w:szCs w:val="72"/>
    </w:rPr>
  </w:style>
  <w:style w:type="paragraph" w:styleId="NormalWeb">
    <w:name w:val="Normal (Web)"/>
    <w:basedOn w:val="Normal"/>
    <w:uiPriority w:val="99"/>
    <w:semiHidden/>
    <w:unhideWhenUsed/>
    <w:rsid w:val="00B106C9"/>
    <w:pPr>
      <w:spacing w:before="100" w:beforeAutospacing="1" w:after="100" w:afterAutospacing="1"/>
    </w:pPr>
    <w:rPr>
      <w:lang w:eastAsia="en-GB"/>
    </w:rPr>
  </w:style>
  <w:style w:type="character" w:styleId="Strong">
    <w:name w:val="Strong"/>
    <w:basedOn w:val="DefaultParagraphFont"/>
    <w:uiPriority w:val="22"/>
    <w:qFormat/>
    <w:rsid w:val="00B106C9"/>
    <w:rPr>
      <w:b/>
      <w:bCs/>
    </w:rPr>
  </w:style>
  <w:style w:type="paragraph" w:styleId="NoSpacing">
    <w:name w:val="No Spacing"/>
    <w:uiPriority w:val="1"/>
    <w:qFormat/>
    <w:rsid w:val="00B106C9"/>
    <w:pPr>
      <w:jc w:val="both"/>
    </w:pPr>
    <w:rPr>
      <w:rFonts w:ascii="Proxima Nova Rg" w:eastAsiaTheme="minorHAnsi" w:hAnsi="Proxima Nova Rg" w:cstheme="minorBidi"/>
      <w:sz w:val="22"/>
      <w:szCs w:val="22"/>
    </w:rPr>
  </w:style>
  <w:style w:type="paragraph" w:customStyle="1" w:styleId="paragraph">
    <w:name w:val="paragraph"/>
    <w:basedOn w:val="Normal"/>
    <w:uiPriority w:val="99"/>
    <w:rsid w:val="00B106C9"/>
    <w:pPr>
      <w:spacing w:before="100" w:beforeAutospacing="1" w:after="100" w:afterAutospacing="1"/>
    </w:pPr>
    <w:rPr>
      <w:lang w:eastAsia="en-GB"/>
    </w:rPr>
  </w:style>
  <w:style w:type="paragraph" w:customStyle="1" w:styleId="m5766248821821379695msolistparagraph">
    <w:name w:val="m_5766248821821379695msolistparagraph"/>
    <w:basedOn w:val="Normal"/>
    <w:uiPriority w:val="99"/>
    <w:rsid w:val="00B106C9"/>
    <w:pPr>
      <w:spacing w:before="100" w:beforeAutospacing="1" w:after="100" w:afterAutospacing="1"/>
    </w:pPr>
    <w:rPr>
      <w:lang w:eastAsia="en-GB"/>
    </w:rPr>
  </w:style>
  <w:style w:type="character" w:customStyle="1" w:styleId="normaltextrun">
    <w:name w:val="normaltextrun"/>
    <w:basedOn w:val="DefaultParagraphFont"/>
    <w:rsid w:val="00B106C9"/>
  </w:style>
  <w:style w:type="character" w:customStyle="1" w:styleId="eop">
    <w:name w:val="eop"/>
    <w:basedOn w:val="DefaultParagraphFont"/>
    <w:rsid w:val="00B106C9"/>
  </w:style>
  <w:style w:type="character" w:customStyle="1" w:styleId="apple-converted-space">
    <w:name w:val="apple-converted-space"/>
    <w:basedOn w:val="DefaultParagraphFont"/>
    <w:rsid w:val="00B10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094">
      <w:bodyDiv w:val="1"/>
      <w:marLeft w:val="0"/>
      <w:marRight w:val="0"/>
      <w:marTop w:val="0"/>
      <w:marBottom w:val="0"/>
      <w:divBdr>
        <w:top w:val="none" w:sz="0" w:space="0" w:color="auto"/>
        <w:left w:val="none" w:sz="0" w:space="0" w:color="auto"/>
        <w:bottom w:val="none" w:sz="0" w:space="0" w:color="auto"/>
        <w:right w:val="none" w:sz="0" w:space="0" w:color="auto"/>
      </w:divBdr>
      <w:divsChild>
        <w:div w:id="1771664192">
          <w:marLeft w:val="0"/>
          <w:marRight w:val="0"/>
          <w:marTop w:val="0"/>
          <w:marBottom w:val="0"/>
          <w:divBdr>
            <w:top w:val="none" w:sz="0" w:space="0" w:color="auto"/>
            <w:left w:val="none" w:sz="0" w:space="0" w:color="auto"/>
            <w:bottom w:val="none" w:sz="0" w:space="0" w:color="auto"/>
            <w:right w:val="none" w:sz="0" w:space="0" w:color="auto"/>
          </w:divBdr>
          <w:divsChild>
            <w:div w:id="2015260479">
              <w:marLeft w:val="0"/>
              <w:marRight w:val="0"/>
              <w:marTop w:val="0"/>
              <w:marBottom w:val="0"/>
              <w:divBdr>
                <w:top w:val="none" w:sz="0" w:space="0" w:color="auto"/>
                <w:left w:val="none" w:sz="0" w:space="0" w:color="auto"/>
                <w:bottom w:val="none" w:sz="0" w:space="0" w:color="auto"/>
                <w:right w:val="none" w:sz="0" w:space="0" w:color="auto"/>
              </w:divBdr>
              <w:divsChild>
                <w:div w:id="14705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5670">
      <w:bodyDiv w:val="1"/>
      <w:marLeft w:val="0"/>
      <w:marRight w:val="0"/>
      <w:marTop w:val="0"/>
      <w:marBottom w:val="0"/>
      <w:divBdr>
        <w:top w:val="none" w:sz="0" w:space="0" w:color="auto"/>
        <w:left w:val="none" w:sz="0" w:space="0" w:color="auto"/>
        <w:bottom w:val="none" w:sz="0" w:space="0" w:color="auto"/>
        <w:right w:val="none" w:sz="0" w:space="0" w:color="auto"/>
      </w:divBdr>
      <w:divsChild>
        <w:div w:id="256524377">
          <w:marLeft w:val="0"/>
          <w:marRight w:val="0"/>
          <w:marTop w:val="0"/>
          <w:marBottom w:val="0"/>
          <w:divBdr>
            <w:top w:val="none" w:sz="0" w:space="0" w:color="auto"/>
            <w:left w:val="none" w:sz="0" w:space="0" w:color="auto"/>
            <w:bottom w:val="none" w:sz="0" w:space="0" w:color="auto"/>
            <w:right w:val="none" w:sz="0" w:space="0" w:color="auto"/>
          </w:divBdr>
          <w:divsChild>
            <w:div w:id="1772819211">
              <w:marLeft w:val="0"/>
              <w:marRight w:val="0"/>
              <w:marTop w:val="0"/>
              <w:marBottom w:val="0"/>
              <w:divBdr>
                <w:top w:val="none" w:sz="0" w:space="0" w:color="auto"/>
                <w:left w:val="none" w:sz="0" w:space="0" w:color="auto"/>
                <w:bottom w:val="none" w:sz="0" w:space="0" w:color="auto"/>
                <w:right w:val="none" w:sz="0" w:space="0" w:color="auto"/>
              </w:divBdr>
              <w:divsChild>
                <w:div w:id="16939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ost-2020indicators.org/component-indicators" TargetMode="External"/><Relationship Id="rId21" Type="http://schemas.openxmlformats.org/officeDocument/2006/relationships/hyperlink" Target="https://www.cbd.int/waters/inland-waters" TargetMode="External"/><Relationship Id="rId42" Type="http://schemas.openxmlformats.org/officeDocument/2006/relationships/hyperlink" Target="https://www.post-2020indicators.org/metadata/headline/7-2" TargetMode="External"/><Relationship Id="rId47" Type="http://schemas.openxmlformats.org/officeDocument/2006/relationships/hyperlink" Target="https://www.post-2020indicators.org/metadata/headline/10-1" TargetMode="External"/><Relationship Id="rId63" Type="http://schemas.openxmlformats.org/officeDocument/2006/relationships/hyperlink" Target="https://www.ramsar.org/sites/default/files/documents/library/xiv.10_wetland_city_accreditation_e.pdf" TargetMode="External"/><Relationship Id="rId68" Type="http://schemas.openxmlformats.org/officeDocument/2006/relationships/footer" Target="footer2.xm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15/cop-15-dec-13-en.pdf" TargetMode="External"/><Relationship Id="rId29" Type="http://schemas.openxmlformats.org/officeDocument/2006/relationships/hyperlink" Target="https://www.sdg661.app/" TargetMode="External"/><Relationship Id="rId11" Type="http://schemas.openxmlformats.org/officeDocument/2006/relationships/endnotes" Target="endnotes.xml"/><Relationship Id="rId24" Type="http://schemas.openxmlformats.org/officeDocument/2006/relationships/hyperlink" Target="https://unstats.un.org/sdgs/metadata/files/Metadata-06-06-01a.pdf" TargetMode="External"/><Relationship Id="rId32" Type="http://schemas.openxmlformats.org/officeDocument/2006/relationships/hyperlink" Target="https://www.freshwaterhealthindex.org" TargetMode="External"/><Relationship Id="rId37" Type="http://schemas.openxmlformats.org/officeDocument/2006/relationships/hyperlink" Target="https://www.fao.org/3/ca0388en/CA0388EN.pdf" TargetMode="External"/><Relationship Id="rId40" Type="http://schemas.openxmlformats.org/officeDocument/2006/relationships/hyperlink" Target="https://eunis.eea.europa.eu/references/2327/species" TargetMode="External"/><Relationship Id="rId45" Type="http://schemas.openxmlformats.org/officeDocument/2006/relationships/hyperlink" Target="https://www.unwater.org/our-work/integrated-monitoring-initiative-sdg-6/indicator-632-proportion-bodies-water-good-ambient" TargetMode="External"/><Relationship Id="rId53" Type="http://schemas.openxmlformats.org/officeDocument/2006/relationships/hyperlink" Target="https://www.fao.org/faostat/en/" TargetMode="External"/><Relationship Id="rId58" Type="http://schemas.openxmlformats.org/officeDocument/2006/relationships/hyperlink" Target="https://www.nature.com/articles/s41467-023-43832-9"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ramsar.org/our-work/activities/wetland-city-accreditation" TargetMode="External"/><Relationship Id="rId19" Type="http://schemas.openxmlformats.org/officeDocument/2006/relationships/hyperlink" Target="https://www.ramsar.org/sites/default/files/documents/library/current_convention_text_e.pdf" TargetMode="External"/><Relationship Id="rId14" Type="http://schemas.openxmlformats.org/officeDocument/2006/relationships/hyperlink" Target="https://www.ramsar.org/sites/default/files/2023-09/STRP_workplan_2023_2025_e.pdf" TargetMode="External"/><Relationship Id="rId22" Type="http://schemas.openxmlformats.org/officeDocument/2006/relationships/hyperlink" Target="https://www.post-2020indicators.org/" TargetMode="External"/><Relationship Id="rId27" Type="http://schemas.openxmlformats.org/officeDocument/2006/relationships/hyperlink" Target="https://www.cms.int/sites/default/files/uploads/meetings/cop14/Global%20Partnership%20on%20Ecological%20Connectivity%20Concept%20Note.pdf" TargetMode="External"/><Relationship Id="rId30" Type="http://schemas.openxmlformats.org/officeDocument/2006/relationships/hyperlink" Target="https://www.globalmangrovewatch.org/" TargetMode="External"/><Relationship Id="rId35" Type="http://schemas.openxmlformats.org/officeDocument/2006/relationships/hyperlink" Target="https://www.freshwaterchallenge.org/" TargetMode="External"/><Relationship Id="rId43" Type="http://schemas.openxmlformats.org/officeDocument/2006/relationships/hyperlink" Target="https://www.sdg661.app/productsmethods" TargetMode="External"/><Relationship Id="rId48" Type="http://schemas.openxmlformats.org/officeDocument/2006/relationships/hyperlink" Target="https://www.ramsar.org/sites/default/files/documents/library/rpb6_agriculture_e.pdf" TargetMode="External"/><Relationship Id="rId56" Type="http://schemas.openxmlformats.org/officeDocument/2006/relationships/hyperlink" Target="https://www.fao.org/3/cc0461en/online/sofia/2022/aquaculture-production.html" TargetMode="External"/><Relationship Id="rId64" Type="http://schemas.openxmlformats.org/officeDocument/2006/relationships/hyperlink" Target="https://www.ramsar.org/sites/default/files/documents/library/wca_operational_guidance_2022_e.pdf" TargetMode="External"/><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globalwetlandwatch.org/hom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ramsar.org/sites/default/files/documents/library/guidelines_nrf_target8_2019_e.pdf" TargetMode="External"/><Relationship Id="rId17" Type="http://schemas.openxmlformats.org/officeDocument/2006/relationships/hyperlink" Target="https://www.cbd.int/decisions/cop/3/21" TargetMode="External"/><Relationship Id="rId25" Type="http://schemas.openxmlformats.org/officeDocument/2006/relationships/hyperlink" Target="https://www.sdg661.app/" TargetMode="External"/><Relationship Id="rId33" Type="http://schemas.openxmlformats.org/officeDocument/2006/relationships/hyperlink" Target="https://www.sdg6data.org/en/indicator/6.4.2" TargetMode="External"/><Relationship Id="rId38" Type="http://schemas.openxmlformats.org/officeDocument/2006/relationships/hyperlink" Target="https://ebcd.org/wp-content/uploads/2022/06/BriefingDoc_InlandWaters_InlandFisheriesIndicator_FINAL_17Nov2022_144dpi.pdf" TargetMode="External"/><Relationship Id="rId46" Type="http://schemas.openxmlformats.org/officeDocument/2006/relationships/hyperlink" Target="https://www.ramsar.org/sites/default/files/documents/library/rpb6_agriculture_e.pdf" TargetMode="External"/><Relationship Id="rId59" Type="http://schemas.openxmlformats.org/officeDocument/2006/relationships/hyperlink" Target="https://www.globalmangrovewatch.org/" TargetMode="External"/><Relationship Id="rId67" Type="http://schemas.openxmlformats.org/officeDocument/2006/relationships/footer" Target="footer1.xml"/><Relationship Id="rId20" Type="http://schemas.openxmlformats.org/officeDocument/2006/relationships/hyperlink" Target="https://www.cbd.int/decisions/cop/3/21" TargetMode="External"/><Relationship Id="rId41" Type="http://schemas.openxmlformats.org/officeDocument/2006/relationships/hyperlink" Target="https://www.ramsar.org/sites/default/files/documents/library/bn13_agriculture_e.pdf" TargetMode="External"/><Relationship Id="rId54" Type="http://schemas.openxmlformats.org/officeDocument/2006/relationships/hyperlink" Target="https://www.fao.org/aquastat/en/databases/maindatabase/" TargetMode="External"/><Relationship Id="rId62" Type="http://schemas.openxmlformats.org/officeDocument/2006/relationships/hyperlink" Target="https://www.ramsar.org/sites/default/files/documents/library/cop12_res10_wetland_cities_e_0.pdf"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ramsar.org/sites/default/files/2023-11/GBF_NBSAP_e.pdf" TargetMode="External"/><Relationship Id="rId23" Type="http://schemas.openxmlformats.org/officeDocument/2006/relationships/hyperlink" Target="https://www.unwater.org/our-work/integrated-monitoring-initiative-sdg-6/indicator-661-change-extent-water-related" TargetMode="External"/><Relationship Id="rId28" Type="http://schemas.openxmlformats.org/officeDocument/2006/relationships/hyperlink" Target="https://world-wildlife-fund.gitbook.io/free-flowing-rivers/introduction-to-free-flowing-river-assessments" TargetMode="External"/><Relationship Id="rId36" Type="http://schemas.openxmlformats.org/officeDocument/2006/relationships/hyperlink" Target="https://s3.amazonaws.com/cbddocumentspublic-imagebucket-15w2zyxk3prl8/416705076b58135c0d1b27b6dfbaa907" TargetMode="External"/><Relationship Id="rId49" Type="http://schemas.openxmlformats.org/officeDocument/2006/relationships/hyperlink" Target="https://www.ramsar.org/sites/default/files/documents/library/bn13_agriculture_e.pdf" TargetMode="External"/><Relationship Id="rId57" Type="http://schemas.openxmlformats.org/officeDocument/2006/relationships/hyperlink" Target="https://www.undrr.org/news/protect-wetlands-reduce-disaster-risk" TargetMode="External"/><Relationship Id="rId10" Type="http://schemas.openxmlformats.org/officeDocument/2006/relationships/footnotes" Target="footnotes.xml"/><Relationship Id="rId31" Type="http://schemas.openxmlformats.org/officeDocument/2006/relationships/hyperlink" Target="https://world-wildlife-fund.gitbook.io/free-flowing-rivers/introduction-to-free-flowing-river-assessments" TargetMode="External"/><Relationship Id="rId44" Type="http://schemas.openxmlformats.org/officeDocument/2006/relationships/hyperlink" Target="https://www.fao.org/faostat/en/" TargetMode="External"/><Relationship Id="rId52" Type="http://schemas.openxmlformats.org/officeDocument/2006/relationships/hyperlink" Target="https://www.fao.org/faostat/en/" TargetMode="External"/><Relationship Id="rId60" Type="http://schemas.openxmlformats.org/officeDocument/2006/relationships/hyperlink" Target="https://www.globalmangrovewatch.org/?category=%22ecosystem_services%22"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bd.int/doc/decisions/cop-15/cop-15-dec-05-en.pdf" TargetMode="External"/><Relationship Id="rId18" Type="http://schemas.openxmlformats.org/officeDocument/2006/relationships/hyperlink" Target="https://www.post-2020indicators.org/" TargetMode="External"/><Relationship Id="rId39" Type="http://schemas.openxmlformats.org/officeDocument/2006/relationships/hyperlink" Target="https://www.ramsar.org/sites/default/files/documents/library/rtr7-disease.pdf" TargetMode="External"/><Relationship Id="rId34" Type="http://schemas.openxmlformats.org/officeDocument/2006/relationships/hyperlink" Target="https://www.globalwetlandwatch.org/home/" TargetMode="External"/><Relationship Id="rId50" Type="http://schemas.openxmlformats.org/officeDocument/2006/relationships/hyperlink" Target="https://clarklabs.org/aquaculture/" TargetMode="External"/><Relationship Id="rId55" Type="http://schemas.openxmlformats.org/officeDocument/2006/relationships/hyperlink" Target="https://www.fao.org/aquastat/en/databases/main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7" ma:contentTypeDescription="Create a new document." ma:contentTypeScope="" ma:versionID="7d9e97de71247fe5cb2b543d5863ee40">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789c9f18d235ea56072a3aed20598ce1"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0qlRm7VmOi4YYfBaazzz04LGw==">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b3f875c2-34b6-4961-b59d-2cfc4c8c9e2d">
      <UserInfo>
        <DisplayName>Science &amp; Policy Members</DisplayName>
        <AccountId>7</AccountId>
        <AccountType/>
      </UserInfo>
    </SharedWithUsers>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4956E-B734-4FE4-9073-0E0CB6572F05}">
  <ds:schemaRefs>
    <ds:schemaRef ds:uri="http://schemas.microsoft.com/sharepoint/v3/contenttype/forms"/>
  </ds:schemaRefs>
</ds:datastoreItem>
</file>

<file path=customXml/itemProps2.xml><?xml version="1.0" encoding="utf-8"?>
<ds:datastoreItem xmlns:ds="http://schemas.openxmlformats.org/officeDocument/2006/customXml" ds:itemID="{D94F8C50-54BD-48B0-B9E7-9372A736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5E6F120-3A0A-437A-8817-DF59B0F90C3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b3f875c2-34b6-4961-b59d-2cfc4c8c9e2d"/>
    <ds:schemaRef ds:uri="http://www.w3.org/XML/1998/namespace"/>
    <ds:schemaRef ds:uri="http://schemas.microsoft.com/office/infopath/2007/PartnerControls"/>
    <ds:schemaRef ds:uri="7f63c67b-b937-46be-bc24-2bcbcc7e8e15"/>
  </ds:schemaRefs>
</ds:datastoreItem>
</file>

<file path=customXml/itemProps5.xml><?xml version="1.0" encoding="utf-8"?>
<ds:datastoreItem xmlns:ds="http://schemas.openxmlformats.org/officeDocument/2006/customXml" ds:itemID="{F62DDD35-E50E-402E-B3BD-D85F1631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8163</Words>
  <Characters>46530</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54584</CharactersWithSpaces>
  <SharedDoc>false</SharedDoc>
  <HLinks>
    <vt:vector size="126" baseType="variant">
      <vt:variant>
        <vt:i4>1572875</vt:i4>
      </vt:variant>
      <vt:variant>
        <vt:i4>60</vt:i4>
      </vt:variant>
      <vt:variant>
        <vt:i4>0</vt:i4>
      </vt:variant>
      <vt:variant>
        <vt:i4>5</vt:i4>
      </vt:variant>
      <vt:variant>
        <vt:lpwstr>https://www.ramsar.org/document/resolution-xiv18-waterbird-population-estimates-support-new-existing-ramsar-site</vt:lpwstr>
      </vt:variant>
      <vt:variant>
        <vt:lpwstr/>
      </vt:variant>
      <vt:variant>
        <vt:i4>7995461</vt:i4>
      </vt:variant>
      <vt:variant>
        <vt:i4>57</vt:i4>
      </vt:variant>
      <vt:variant>
        <vt:i4>0</vt:i4>
      </vt:variant>
      <vt:variant>
        <vt:i4>5</vt:i4>
      </vt:variant>
      <vt:variant>
        <vt:lpwstr>https://www.ramsar.org/sites/default/files/documents/pdf/ris/key_ris_criterion9_2006.pdf</vt:lpwstr>
      </vt:variant>
      <vt:variant>
        <vt:lpwstr/>
      </vt:variant>
      <vt:variant>
        <vt:i4>5767244</vt:i4>
      </vt:variant>
      <vt:variant>
        <vt:i4>54</vt:i4>
      </vt:variant>
      <vt:variant>
        <vt:i4>0</vt:i4>
      </vt:variant>
      <vt:variant>
        <vt:i4>5</vt:i4>
      </vt:variant>
      <vt:variant>
        <vt:lpwstr>https://www.rightsofwetlands.org/support</vt:lpwstr>
      </vt:variant>
      <vt:variant>
        <vt:lpwstr/>
      </vt:variant>
      <vt:variant>
        <vt:i4>2752637</vt:i4>
      </vt:variant>
      <vt:variant>
        <vt:i4>51</vt:i4>
      </vt:variant>
      <vt:variant>
        <vt:i4>0</vt:i4>
      </vt:variant>
      <vt:variant>
        <vt:i4>5</vt:i4>
      </vt:variant>
      <vt:variant>
        <vt:lpwstr>https://www.cbd.int/article/biodiversityloss-2</vt:lpwstr>
      </vt:variant>
      <vt:variant>
        <vt:lpwstr/>
      </vt:variant>
      <vt:variant>
        <vt:i4>6946937</vt:i4>
      </vt:variant>
      <vt:variant>
        <vt:i4>48</vt:i4>
      </vt:variant>
      <vt:variant>
        <vt:i4>0</vt:i4>
      </vt:variant>
      <vt:variant>
        <vt:i4>5</vt:i4>
      </vt:variant>
      <vt:variant>
        <vt:lpwstr>https://global-ecosystems.org/</vt:lpwstr>
      </vt:variant>
      <vt:variant>
        <vt:lpwstr/>
      </vt:variant>
      <vt:variant>
        <vt:i4>5963819</vt:i4>
      </vt:variant>
      <vt:variant>
        <vt:i4>45</vt:i4>
      </vt:variant>
      <vt:variant>
        <vt:i4>0</vt:i4>
      </vt:variant>
      <vt:variant>
        <vt:i4>5</vt:i4>
      </vt:variant>
      <vt:variant>
        <vt:lpwstr>https://www.ramsar.org/sites/default/files/documents/library/xi.8_annex2_framework_for_new_rsis_e_revcop14.pdf</vt:lpwstr>
      </vt:variant>
      <vt:variant>
        <vt:lpwstr/>
      </vt:variant>
      <vt:variant>
        <vt:i4>1245214</vt:i4>
      </vt:variant>
      <vt:variant>
        <vt:i4>42</vt:i4>
      </vt:variant>
      <vt:variant>
        <vt:i4>0</vt:i4>
      </vt:variant>
      <vt:variant>
        <vt:i4>5</vt:i4>
      </vt:variant>
      <vt:variant>
        <vt:lpwstr>https://seea.un.org/</vt:lpwstr>
      </vt:variant>
      <vt:variant>
        <vt:lpwstr/>
      </vt:variant>
      <vt:variant>
        <vt:i4>262228</vt:i4>
      </vt:variant>
      <vt:variant>
        <vt:i4>39</vt:i4>
      </vt:variant>
      <vt:variant>
        <vt:i4>0</vt:i4>
      </vt:variant>
      <vt:variant>
        <vt:i4>5</vt:i4>
      </vt:variant>
      <vt:variant>
        <vt:lpwstr>https://www.globalwetlandwatch.org/home/</vt:lpwstr>
      </vt:variant>
      <vt:variant>
        <vt:lpwstr/>
      </vt:variant>
      <vt:variant>
        <vt:i4>4587542</vt:i4>
      </vt:variant>
      <vt:variant>
        <vt:i4>36</vt:i4>
      </vt:variant>
      <vt:variant>
        <vt:i4>0</vt:i4>
      </vt:variant>
      <vt:variant>
        <vt:i4>5</vt:i4>
      </vt:variant>
      <vt:variant>
        <vt:lpwstr>https://www.ramsar.org/document/kunming-montreal-global-biodiversity-framework-upscaling-wetland-conservation-restoration</vt:lpwstr>
      </vt:variant>
      <vt:variant>
        <vt:lpwstr/>
      </vt:variant>
      <vt:variant>
        <vt:i4>4587542</vt:i4>
      </vt:variant>
      <vt:variant>
        <vt:i4>33</vt:i4>
      </vt:variant>
      <vt:variant>
        <vt:i4>0</vt:i4>
      </vt:variant>
      <vt:variant>
        <vt:i4>5</vt:i4>
      </vt:variant>
      <vt:variant>
        <vt:lpwstr>https://www.ramsar.org/document/kunming-montreal-global-biodiversity-framework-upscaling-wetland-conservation-restoration</vt:lpwstr>
      </vt:variant>
      <vt:variant>
        <vt:lpwstr/>
      </vt:variant>
      <vt:variant>
        <vt:i4>2097213</vt:i4>
      </vt:variant>
      <vt:variant>
        <vt:i4>30</vt:i4>
      </vt:variant>
      <vt:variant>
        <vt:i4>0</vt:i4>
      </vt:variant>
      <vt:variant>
        <vt:i4>5</vt:i4>
      </vt:variant>
      <vt:variant>
        <vt:lpwstr>https://elearning.fao.org/</vt:lpwstr>
      </vt:variant>
      <vt:variant>
        <vt:lpwstr/>
      </vt:variant>
      <vt:variant>
        <vt:i4>5308425</vt:i4>
      </vt:variant>
      <vt:variant>
        <vt:i4>27</vt:i4>
      </vt:variant>
      <vt:variant>
        <vt:i4>0</vt:i4>
      </vt:variant>
      <vt:variant>
        <vt:i4>5</vt:i4>
      </vt:variant>
      <vt:variant>
        <vt:lpwstr>https://www.ramsar.org/document/scientific-technical-review-panel-strp-workplan-2023-2025</vt:lpwstr>
      </vt:variant>
      <vt:variant>
        <vt:lpwstr/>
      </vt:variant>
      <vt:variant>
        <vt:i4>1572875</vt:i4>
      </vt:variant>
      <vt:variant>
        <vt:i4>24</vt:i4>
      </vt:variant>
      <vt:variant>
        <vt:i4>0</vt:i4>
      </vt:variant>
      <vt:variant>
        <vt:i4>5</vt:i4>
      </vt:variant>
      <vt:variant>
        <vt:lpwstr>https://www.ramsar.org/document/resolution-xiv18-waterbird-population-estimates-support-new-existing-ramsar-site</vt:lpwstr>
      </vt:variant>
      <vt:variant>
        <vt:lpwstr/>
      </vt:variant>
      <vt:variant>
        <vt:i4>5963819</vt:i4>
      </vt:variant>
      <vt:variant>
        <vt:i4>21</vt:i4>
      </vt:variant>
      <vt:variant>
        <vt:i4>0</vt:i4>
      </vt:variant>
      <vt:variant>
        <vt:i4>5</vt:i4>
      </vt:variant>
      <vt:variant>
        <vt:lpwstr>https://www.ramsar.org/sites/default/files/documents/library/xi.8_annex2_framework_for_new_rsis_e_revcop14.pdf</vt:lpwstr>
      </vt:variant>
      <vt:variant>
        <vt:lpwstr/>
      </vt:variant>
      <vt:variant>
        <vt:i4>262228</vt:i4>
      </vt:variant>
      <vt:variant>
        <vt:i4>18</vt:i4>
      </vt:variant>
      <vt:variant>
        <vt:i4>0</vt:i4>
      </vt:variant>
      <vt:variant>
        <vt:i4>5</vt:i4>
      </vt:variant>
      <vt:variant>
        <vt:lpwstr>https://www.globalwetlandwatch.org/home/</vt:lpwstr>
      </vt:variant>
      <vt:variant>
        <vt:lpwstr/>
      </vt:variant>
      <vt:variant>
        <vt:i4>4128892</vt:i4>
      </vt:variant>
      <vt:variant>
        <vt:i4>15</vt:i4>
      </vt:variant>
      <vt:variant>
        <vt:i4>0</vt:i4>
      </vt:variant>
      <vt:variant>
        <vt:i4>5</vt:i4>
      </vt:variant>
      <vt:variant>
        <vt:lpwstr>https://www.sdg661.app/home</vt:lpwstr>
      </vt:variant>
      <vt:variant>
        <vt:lpwstr/>
      </vt:variant>
      <vt:variant>
        <vt:i4>5636177</vt:i4>
      </vt:variant>
      <vt:variant>
        <vt:i4>12</vt:i4>
      </vt:variant>
      <vt:variant>
        <vt:i4>0</vt:i4>
      </vt:variant>
      <vt:variant>
        <vt:i4>5</vt:i4>
      </vt:variant>
      <vt:variant>
        <vt:lpwstr>https://www.ramsar.org/meeting/26th-meeting-scientific-technical-review-panel</vt:lpwstr>
      </vt:variant>
      <vt:variant>
        <vt:lpwstr/>
      </vt:variant>
      <vt:variant>
        <vt:i4>5308425</vt:i4>
      </vt:variant>
      <vt:variant>
        <vt:i4>9</vt:i4>
      </vt:variant>
      <vt:variant>
        <vt:i4>0</vt:i4>
      </vt:variant>
      <vt:variant>
        <vt:i4>5</vt:i4>
      </vt:variant>
      <vt:variant>
        <vt:lpwstr>https://www.ramsar.org/document/scientific-technical-review-panel-strp-workplan-2023-2025</vt:lpwstr>
      </vt:variant>
      <vt:variant>
        <vt:lpwstr/>
      </vt:variant>
      <vt:variant>
        <vt:i4>1769566</vt:i4>
      </vt:variant>
      <vt:variant>
        <vt:i4>6</vt:i4>
      </vt:variant>
      <vt:variant>
        <vt:i4>0</vt:i4>
      </vt:variant>
      <vt:variant>
        <vt:i4>5</vt:i4>
      </vt:variant>
      <vt:variant>
        <vt:lpwstr>https://www.ramsar.org/strp-workspace</vt:lpwstr>
      </vt:variant>
      <vt:variant>
        <vt:lpwstr/>
      </vt:variant>
      <vt:variant>
        <vt:i4>5636178</vt:i4>
      </vt:variant>
      <vt:variant>
        <vt:i4>3</vt:i4>
      </vt:variant>
      <vt:variant>
        <vt:i4>0</vt:i4>
      </vt:variant>
      <vt:variant>
        <vt:i4>5</vt:i4>
      </vt:variant>
      <vt:variant>
        <vt:lpwstr>https://www.ramsar.org/meeting/25th-meeting-scientific-technical-review-panel</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2</cp:revision>
  <cp:lastPrinted>2024-03-04T12:04:00Z</cp:lastPrinted>
  <dcterms:created xsi:type="dcterms:W3CDTF">2024-03-28T17:02:00Z</dcterms:created>
  <dcterms:modified xsi:type="dcterms:W3CDTF">2024-03-28T17:02:00Z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ies>
</file>