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6DE92" w14:textId="2425D4FC" w:rsidR="00275F13" w:rsidRPr="005F3F7B" w:rsidRDefault="00824762"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sidRPr="005F3F7B">
        <w:rPr>
          <w:bCs/>
        </w:rPr>
        <w:t xml:space="preserve">THE </w:t>
      </w:r>
      <w:r w:rsidR="00DF2386" w:rsidRPr="005F3F7B">
        <w:rPr>
          <w:bCs/>
        </w:rPr>
        <w:t>CONVENTION ON WETLANDS</w:t>
      </w:r>
    </w:p>
    <w:p w14:paraId="46F54754" w14:textId="2D0E1945" w:rsidR="00DF2386" w:rsidRDefault="00D15D8B"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Pr>
          <w:bCs/>
        </w:rPr>
        <w:t>63rd</w:t>
      </w:r>
      <w:r w:rsidRPr="005F3F7B">
        <w:rPr>
          <w:bCs/>
        </w:rPr>
        <w:t xml:space="preserve"> </w:t>
      </w:r>
      <w:r w:rsidR="007457A8">
        <w:rPr>
          <w:bCs/>
        </w:rPr>
        <w:t>m</w:t>
      </w:r>
      <w:r w:rsidR="00DF2386" w:rsidRPr="005F3F7B">
        <w:rPr>
          <w:bCs/>
        </w:rPr>
        <w:t>eeting of the St</w:t>
      </w:r>
      <w:bookmarkStart w:id="0" w:name="_GoBack"/>
      <w:bookmarkEnd w:id="0"/>
      <w:r w:rsidR="00DF2386" w:rsidRPr="005F3F7B">
        <w:rPr>
          <w:bCs/>
        </w:rPr>
        <w:t>anding Committee</w:t>
      </w:r>
    </w:p>
    <w:p w14:paraId="4ABE3583" w14:textId="4130D64F" w:rsidR="00DF2386" w:rsidRDefault="00DF2386" w:rsidP="009417F9">
      <w:pPr>
        <w:pBdr>
          <w:top w:val="single" w:sz="12" w:space="0" w:color="auto" w:shadow="1"/>
          <w:left w:val="single" w:sz="12" w:space="4" w:color="auto" w:shadow="1"/>
          <w:bottom w:val="single" w:sz="12" w:space="1" w:color="auto" w:shadow="1"/>
          <w:right w:val="single" w:sz="12" w:space="7" w:color="auto" w:shadow="1"/>
        </w:pBdr>
        <w:ind w:right="4490"/>
        <w:rPr>
          <w:bCs/>
          <w:sz w:val="24"/>
          <w:szCs w:val="24"/>
        </w:rPr>
      </w:pPr>
      <w:r w:rsidRPr="005F3F7B">
        <w:rPr>
          <w:bCs/>
        </w:rPr>
        <w:t xml:space="preserve">Gland, Switzerland, </w:t>
      </w:r>
      <w:r w:rsidR="00D15D8B">
        <w:rPr>
          <w:bCs/>
        </w:rPr>
        <w:t>3-7 June 2024</w:t>
      </w:r>
    </w:p>
    <w:p w14:paraId="7E17ADD0" w14:textId="77777777" w:rsidR="00DF2386" w:rsidRDefault="00BE5EAA" w:rsidP="00014168">
      <w:pPr>
        <w:outlineLvl w:val="0"/>
        <w:rPr>
          <w:b/>
        </w:rPr>
      </w:pPr>
      <w:r>
        <w:rPr>
          <w:b/>
        </w:rPr>
        <w:tab/>
      </w:r>
    </w:p>
    <w:p w14:paraId="6D7412D9" w14:textId="0CEA18CC" w:rsidR="00DF2386" w:rsidRPr="00D245A1" w:rsidRDefault="007804BE" w:rsidP="00014168">
      <w:pPr>
        <w:jc w:val="right"/>
        <w:rPr>
          <w:rFonts w:cs="Arial"/>
          <w:sz w:val="28"/>
          <w:szCs w:val="28"/>
        </w:rPr>
      </w:pPr>
      <w:r>
        <w:rPr>
          <w:rFonts w:cs="Arial"/>
          <w:b/>
          <w:sz w:val="28"/>
          <w:szCs w:val="28"/>
        </w:rPr>
        <w:t>SC</w:t>
      </w:r>
      <w:r w:rsidR="002905E6">
        <w:rPr>
          <w:rFonts w:cs="Arial"/>
          <w:b/>
          <w:sz w:val="28"/>
          <w:szCs w:val="28"/>
        </w:rPr>
        <w:t>6</w:t>
      </w:r>
      <w:r w:rsidR="00D15D8B">
        <w:rPr>
          <w:rFonts w:cs="Arial"/>
          <w:b/>
          <w:sz w:val="28"/>
          <w:szCs w:val="28"/>
        </w:rPr>
        <w:t>3</w:t>
      </w:r>
      <w:r>
        <w:rPr>
          <w:rFonts w:cs="Arial"/>
          <w:b/>
          <w:sz w:val="28"/>
          <w:szCs w:val="28"/>
        </w:rPr>
        <w:t xml:space="preserve"> </w:t>
      </w:r>
      <w:r w:rsidR="00AA5053">
        <w:rPr>
          <w:rFonts w:cs="Arial"/>
          <w:b/>
          <w:sz w:val="28"/>
          <w:szCs w:val="28"/>
        </w:rPr>
        <w:t>Doc.</w:t>
      </w:r>
      <w:r w:rsidR="00330DD7">
        <w:rPr>
          <w:rFonts w:cs="Arial"/>
          <w:b/>
          <w:sz w:val="28"/>
          <w:szCs w:val="28"/>
        </w:rPr>
        <w:t>9</w:t>
      </w:r>
      <w:r w:rsidR="00BE241D" w:rsidRPr="00CA54C1">
        <w:rPr>
          <w:rFonts w:cs="Arial"/>
          <w:b/>
          <w:sz w:val="28"/>
          <w:szCs w:val="28"/>
        </w:rPr>
        <w:t>.</w:t>
      </w:r>
      <w:r>
        <w:rPr>
          <w:rFonts w:cs="Arial"/>
          <w:b/>
          <w:sz w:val="28"/>
          <w:szCs w:val="28"/>
        </w:rPr>
        <w:t xml:space="preserve">2 </w:t>
      </w:r>
    </w:p>
    <w:p w14:paraId="19040CA4" w14:textId="77777777" w:rsidR="00DF2386" w:rsidRDefault="00DF2386" w:rsidP="00014168">
      <w:pPr>
        <w:rPr>
          <w:rFonts w:cs="Arial"/>
          <w:b/>
          <w:sz w:val="28"/>
          <w:szCs w:val="28"/>
        </w:rPr>
      </w:pPr>
    </w:p>
    <w:p w14:paraId="6F8E9CD8" w14:textId="551669EA" w:rsidR="007804BE" w:rsidRPr="002B74BA" w:rsidRDefault="007804BE" w:rsidP="0016536F">
      <w:pPr>
        <w:ind w:left="0" w:firstLine="0"/>
        <w:jc w:val="center"/>
        <w:rPr>
          <w:rFonts w:cs="Arial"/>
          <w:b/>
          <w:sz w:val="28"/>
          <w:szCs w:val="28"/>
        </w:rPr>
      </w:pPr>
      <w:r w:rsidRPr="002B74BA">
        <w:rPr>
          <w:rFonts w:cs="Arial"/>
          <w:b/>
          <w:sz w:val="28"/>
          <w:szCs w:val="28"/>
        </w:rPr>
        <w:t>Financial and budgetary matters</w:t>
      </w:r>
      <w:r w:rsidR="006E60AF">
        <w:rPr>
          <w:rFonts w:cs="Arial"/>
          <w:b/>
          <w:sz w:val="28"/>
          <w:szCs w:val="28"/>
        </w:rPr>
        <w:t>:</w:t>
      </w:r>
    </w:p>
    <w:p w14:paraId="150AA350" w14:textId="1D375A44" w:rsidR="00DF2386" w:rsidRDefault="00C96693" w:rsidP="0016536F">
      <w:pPr>
        <w:ind w:left="0" w:firstLine="0"/>
        <w:jc w:val="center"/>
        <w:rPr>
          <w:rFonts w:cs="Arial"/>
          <w:b/>
          <w:sz w:val="28"/>
          <w:szCs w:val="28"/>
        </w:rPr>
      </w:pPr>
      <w:r>
        <w:rPr>
          <w:rFonts w:cs="Arial"/>
          <w:b/>
          <w:sz w:val="28"/>
          <w:szCs w:val="28"/>
        </w:rPr>
        <w:t>Status of annual contributions</w:t>
      </w:r>
    </w:p>
    <w:p w14:paraId="5427F22D" w14:textId="77777777" w:rsidR="00DF2386" w:rsidRDefault="00DF2386" w:rsidP="00014168">
      <w:pPr>
        <w:rPr>
          <w:rFonts w:ascii="Garamond" w:hAnsi="Garamond" w:cs="Arial"/>
        </w:rPr>
      </w:pPr>
    </w:p>
    <w:p w14:paraId="1B829871"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192CD903" wp14:editId="6BF55B45">
                <wp:extent cx="5840083" cy="2946400"/>
                <wp:effectExtent l="0" t="0" r="2794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2946400"/>
                        </a:xfrm>
                        <a:prstGeom prst="rect">
                          <a:avLst/>
                        </a:prstGeom>
                        <a:solidFill>
                          <a:srgbClr val="FFFFFF"/>
                        </a:solidFill>
                        <a:ln w="9525">
                          <a:solidFill>
                            <a:srgbClr val="000000"/>
                          </a:solidFill>
                          <a:miter lim="800000"/>
                          <a:headEnd/>
                          <a:tailEnd/>
                        </a:ln>
                      </wps:spPr>
                      <wps:txbx>
                        <w:txbxContent>
                          <w:p w14:paraId="346B3836" w14:textId="7B8C9BD1" w:rsidR="00EE4B6F" w:rsidRDefault="00EE4B6F" w:rsidP="000C2489">
                            <w:pPr>
                              <w:rPr>
                                <w:b/>
                                <w:bCs/>
                              </w:rPr>
                            </w:pPr>
                            <w:r>
                              <w:rPr>
                                <w:b/>
                                <w:bCs/>
                              </w:rPr>
                              <w:t xml:space="preserve">Action requested: </w:t>
                            </w:r>
                          </w:p>
                          <w:p w14:paraId="10582C63" w14:textId="77777777" w:rsidR="00EE4B6F" w:rsidRDefault="00EE4B6F" w:rsidP="000C2489">
                            <w:pPr>
                              <w:pStyle w:val="ColorfulList-Accent11"/>
                              <w:ind w:left="0"/>
                            </w:pPr>
                          </w:p>
                          <w:p w14:paraId="21AB915B" w14:textId="2C166CA4" w:rsidR="00EE4B6F" w:rsidRDefault="00EE4B6F" w:rsidP="00275F13">
                            <w:pPr>
                              <w:pStyle w:val="ColorfulList-Accent11"/>
                              <w:ind w:left="0" w:firstLine="0"/>
                              <w:rPr>
                                <w:rFonts w:cs="Calibri"/>
                              </w:rPr>
                            </w:pPr>
                            <w:r>
                              <w:t xml:space="preserve">The Standing Committee is </w:t>
                            </w:r>
                            <w:r>
                              <w:rPr>
                                <w:rFonts w:cs="Calibri"/>
                              </w:rPr>
                              <w:t>invited to:</w:t>
                            </w:r>
                          </w:p>
                          <w:p w14:paraId="73529BDA" w14:textId="77777777" w:rsidR="00EE4B6F" w:rsidRDefault="00EE4B6F" w:rsidP="00275F13">
                            <w:pPr>
                              <w:pStyle w:val="ColorfulList-Accent11"/>
                              <w:ind w:left="0" w:firstLine="0"/>
                              <w:rPr>
                                <w:rFonts w:cs="Calibri"/>
                              </w:rPr>
                            </w:pPr>
                          </w:p>
                          <w:p w14:paraId="4DF41D29" w14:textId="27580F21" w:rsidR="00EE4B6F" w:rsidRPr="00CD1946" w:rsidRDefault="00EE4B6F" w:rsidP="00406F37">
                            <w:pPr>
                              <w:pStyle w:val="ColorfulList-Accent11"/>
                              <w:ind w:left="425"/>
                              <w:rPr>
                                <w:rFonts w:cs="Calibri"/>
                              </w:rPr>
                            </w:pPr>
                            <w:proofErr w:type="spellStart"/>
                            <w:r w:rsidRPr="00CD1946">
                              <w:rPr>
                                <w:rFonts w:cs="Calibri"/>
                              </w:rPr>
                              <w:t>i</w:t>
                            </w:r>
                            <w:proofErr w:type="spellEnd"/>
                            <w:r w:rsidRPr="00CD1946">
                              <w:rPr>
                                <w:rFonts w:cs="Calibri"/>
                              </w:rPr>
                              <w:t>.</w:t>
                            </w:r>
                            <w:r w:rsidRPr="00CD1946">
                              <w:rPr>
                                <w:rFonts w:cs="Calibri"/>
                              </w:rPr>
                              <w:tab/>
                            </w:r>
                            <w:proofErr w:type="gramStart"/>
                            <w:r w:rsidRPr="00CD1946">
                              <w:rPr>
                                <w:rFonts w:cs="Calibri"/>
                              </w:rPr>
                              <w:t>take</w:t>
                            </w:r>
                            <w:proofErr w:type="gramEnd"/>
                            <w:r w:rsidRPr="00CD1946">
                              <w:rPr>
                                <w:rFonts w:cs="Calibri"/>
                              </w:rPr>
                              <w:t xml:space="preserve"> note of the status of annual contributions; </w:t>
                            </w:r>
                          </w:p>
                          <w:p w14:paraId="78492E91" w14:textId="77777777" w:rsidR="00EE4B6F" w:rsidRPr="00CD1946" w:rsidRDefault="00EE4B6F" w:rsidP="00406F37">
                            <w:pPr>
                              <w:pStyle w:val="ColorfulList-Accent11"/>
                              <w:ind w:left="425"/>
                            </w:pPr>
                          </w:p>
                          <w:p w14:paraId="290F8437" w14:textId="065032FE" w:rsidR="00EE4B6F" w:rsidRPr="00211A70" w:rsidRDefault="00EE4B6F" w:rsidP="00406F37">
                            <w:pPr>
                              <w:pStyle w:val="ColorfulList-Accent11"/>
                              <w:ind w:left="425"/>
                              <w:rPr>
                                <w:rFonts w:cs="Calibri"/>
                              </w:rPr>
                            </w:pPr>
                            <w:r w:rsidRPr="00CD1946">
                              <w:rPr>
                                <w:rFonts w:cs="Calibri"/>
                              </w:rPr>
                              <w:t>ii.</w:t>
                            </w:r>
                            <w:r w:rsidRPr="00CD1946">
                              <w:rPr>
                                <w:rFonts w:cs="Calibri"/>
                              </w:rPr>
                              <w:tab/>
                            </w:r>
                            <w:r w:rsidRPr="00CD1946">
                              <w:t xml:space="preserve">note the actions listed in </w:t>
                            </w:r>
                            <w:r w:rsidRPr="00211A70">
                              <w:t xml:space="preserve">paragraphs 12 and 13 on group confirmation of outstanding contributions as part of the audit process; </w:t>
                            </w:r>
                          </w:p>
                          <w:p w14:paraId="29360983" w14:textId="4141EA66" w:rsidR="00EE4B6F" w:rsidRPr="00211A70" w:rsidRDefault="00EE4B6F" w:rsidP="00406F37">
                            <w:pPr>
                              <w:pStyle w:val="ColorfulList-Accent11"/>
                              <w:ind w:left="425"/>
                            </w:pPr>
                          </w:p>
                          <w:p w14:paraId="18CA0F51" w14:textId="451B6774" w:rsidR="00EE4B6F" w:rsidRPr="00CD1946" w:rsidRDefault="00EE4B6F" w:rsidP="00406F37">
                            <w:pPr>
                              <w:pStyle w:val="ColorfulList-Accent11"/>
                              <w:ind w:left="425"/>
                            </w:pPr>
                            <w:r w:rsidRPr="00211A70">
                              <w:t>iii.</w:t>
                            </w:r>
                            <w:r w:rsidRPr="00211A70">
                              <w:tab/>
                            </w:r>
                            <w:r w:rsidRPr="00211A70">
                              <w:rPr>
                                <w:rFonts w:cs="Calibri"/>
                              </w:rPr>
                              <w:t>note the actions listed in paragraphs 15, 17, 18 and 19</w:t>
                            </w:r>
                            <w:r w:rsidRPr="00CD1946">
                              <w:rPr>
                                <w:rFonts w:cs="Calibri"/>
                              </w:rPr>
                              <w:t xml:space="preserve"> </w:t>
                            </w:r>
                            <w:r w:rsidRPr="00CD1946" w:rsidDel="0037602C">
                              <w:rPr>
                                <w:rFonts w:cs="Calibri"/>
                              </w:rPr>
                              <w:t>to continue encouraging the payment of annual contributions</w:t>
                            </w:r>
                            <w:r w:rsidRPr="00CD1946">
                              <w:rPr>
                                <w:rFonts w:cs="Calibri"/>
                              </w:rPr>
                              <w:t>;</w:t>
                            </w:r>
                          </w:p>
                          <w:p w14:paraId="577DAFD9" w14:textId="77777777" w:rsidR="00EE4B6F" w:rsidRPr="00CD1946" w:rsidRDefault="00EE4B6F" w:rsidP="00406F37">
                            <w:pPr>
                              <w:pStyle w:val="ColorfulList-Accent11"/>
                              <w:ind w:left="425"/>
                            </w:pPr>
                          </w:p>
                          <w:p w14:paraId="3720E525" w14:textId="0CD9C102" w:rsidR="00EE4B6F" w:rsidRPr="00CD1946" w:rsidRDefault="00EE4B6F" w:rsidP="000E047B">
                            <w:pPr>
                              <w:pStyle w:val="ColorfulList-Accent11"/>
                              <w:ind w:left="425"/>
                              <w:rPr>
                                <w:rFonts w:cs="Calibri"/>
                              </w:rPr>
                            </w:pPr>
                            <w:r w:rsidRPr="00CD1946">
                              <w:rPr>
                                <w:rFonts w:cs="Calibri"/>
                              </w:rPr>
                              <w:t>iv.</w:t>
                            </w:r>
                            <w:r w:rsidRPr="00CD1946">
                              <w:rPr>
                                <w:rFonts w:cs="Calibri"/>
                              </w:rPr>
                              <w:tab/>
                              <w:t xml:space="preserve">note the change in annual contributions receivable and in the annual provision against contributions receivable; and </w:t>
                            </w:r>
                          </w:p>
                          <w:p w14:paraId="315D6335" w14:textId="31AD2AD3" w:rsidR="00EE4B6F" w:rsidRPr="00CD1946" w:rsidRDefault="00EE4B6F" w:rsidP="000E047B">
                            <w:pPr>
                              <w:pStyle w:val="ColorfulList-Accent11"/>
                              <w:ind w:left="425"/>
                              <w:rPr>
                                <w:rFonts w:cs="Calibri"/>
                              </w:rPr>
                            </w:pPr>
                          </w:p>
                          <w:p w14:paraId="5A7708BE" w14:textId="18CE2A64" w:rsidR="00EE4B6F" w:rsidRDefault="00EE4B6F" w:rsidP="00B17F54">
                            <w:pPr>
                              <w:pStyle w:val="ColorfulList-Accent11"/>
                              <w:ind w:left="425"/>
                              <w:rPr>
                                <w:rFonts w:cs="Calibri"/>
                              </w:rPr>
                            </w:pPr>
                            <w:r w:rsidRPr="00CD1946">
                              <w:rPr>
                                <w:rFonts w:cs="Calibri"/>
                              </w:rPr>
                              <w:t>v.</w:t>
                            </w:r>
                            <w:r w:rsidRPr="00CD1946">
                              <w:rPr>
                                <w:rFonts w:cs="Calibri"/>
                              </w:rPr>
                              <w:tab/>
                            </w:r>
                            <w:proofErr w:type="gramStart"/>
                            <w:r w:rsidRPr="00CD1946">
                              <w:rPr>
                                <w:rFonts w:cs="Calibri"/>
                              </w:rPr>
                              <w:t>note</w:t>
                            </w:r>
                            <w:proofErr w:type="gramEnd"/>
                            <w:r w:rsidRPr="00CD1946">
                              <w:rPr>
                                <w:rFonts w:cs="Calibri"/>
                              </w:rPr>
                              <w:t xml:space="preserve"> the status of the African voluntary contributions.</w:t>
                            </w:r>
                            <w:r>
                              <w:rPr>
                                <w:rFonts w:cs="Calibri"/>
                              </w:rPr>
                              <w:t xml:space="preserve"> </w:t>
                            </w:r>
                          </w:p>
                          <w:p w14:paraId="239738D7" w14:textId="77777777" w:rsidR="00EE4B6F" w:rsidRDefault="00EE4B6F" w:rsidP="0021123F">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192CD903" id="_x0000_t202" coordsize="21600,21600" o:spt="202" path="m,l,21600r21600,l21600,xe">
                <v:stroke joinstyle="miter"/>
                <v:path gradientshapeok="t" o:connecttype="rect"/>
              </v:shapetype>
              <v:shape id="Text Box 1" o:spid="_x0000_s1026" type="#_x0000_t202" style="width:459.8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">
                <v:textbox>
                  <w:txbxContent>
                    <w:p w14:paraId="346B3836" w14:textId="7B8C9BD1" w:rsidR="00EE4B6F" w:rsidRDefault="00EE4B6F" w:rsidP="000C2489">
                      <w:pPr>
                        <w:rPr>
                          <w:b/>
                          <w:bCs/>
                        </w:rPr>
                      </w:pPr>
                      <w:r>
                        <w:rPr>
                          <w:b/>
                          <w:bCs/>
                        </w:rPr>
                        <w:t xml:space="preserve">Action requested: </w:t>
                      </w:r>
                    </w:p>
                    <w:p w14:paraId="10582C63" w14:textId="77777777" w:rsidR="00EE4B6F" w:rsidRDefault="00EE4B6F" w:rsidP="000C2489">
                      <w:pPr>
                        <w:pStyle w:val="ColorfulList-Accent11"/>
                        <w:ind w:left="0"/>
                      </w:pPr>
                    </w:p>
                    <w:p w14:paraId="21AB915B" w14:textId="2C166CA4" w:rsidR="00EE4B6F" w:rsidRDefault="00EE4B6F" w:rsidP="00275F13">
                      <w:pPr>
                        <w:pStyle w:val="ColorfulList-Accent11"/>
                        <w:ind w:left="0" w:firstLine="0"/>
                        <w:rPr>
                          <w:rFonts w:cs="Calibri"/>
                        </w:rPr>
                      </w:pPr>
                      <w:r>
                        <w:t xml:space="preserve">The Standing Committee is </w:t>
                      </w:r>
                      <w:r>
                        <w:rPr>
                          <w:rFonts w:cs="Calibri"/>
                        </w:rPr>
                        <w:t>invited to:</w:t>
                      </w:r>
                    </w:p>
                    <w:p w14:paraId="73529BDA" w14:textId="77777777" w:rsidR="00EE4B6F" w:rsidRDefault="00EE4B6F" w:rsidP="00275F13">
                      <w:pPr>
                        <w:pStyle w:val="ColorfulList-Accent11"/>
                        <w:ind w:left="0" w:firstLine="0"/>
                        <w:rPr>
                          <w:rFonts w:cs="Calibri"/>
                        </w:rPr>
                      </w:pPr>
                    </w:p>
                    <w:p w14:paraId="4DF41D29" w14:textId="27580F21" w:rsidR="00EE4B6F" w:rsidRPr="00CD1946" w:rsidRDefault="00EE4B6F" w:rsidP="00406F37">
                      <w:pPr>
                        <w:pStyle w:val="ColorfulList-Accent11"/>
                        <w:ind w:left="425"/>
                        <w:rPr>
                          <w:rFonts w:cs="Calibri"/>
                        </w:rPr>
                      </w:pPr>
                      <w:proofErr w:type="spellStart"/>
                      <w:r w:rsidRPr="00CD1946">
                        <w:rPr>
                          <w:rFonts w:cs="Calibri"/>
                        </w:rPr>
                        <w:t>i</w:t>
                      </w:r>
                      <w:proofErr w:type="spellEnd"/>
                      <w:r w:rsidRPr="00CD1946">
                        <w:rPr>
                          <w:rFonts w:cs="Calibri"/>
                        </w:rPr>
                        <w:t>.</w:t>
                      </w:r>
                      <w:r w:rsidRPr="00CD1946">
                        <w:rPr>
                          <w:rFonts w:cs="Calibri"/>
                        </w:rPr>
                        <w:tab/>
                      </w:r>
                      <w:proofErr w:type="gramStart"/>
                      <w:r w:rsidRPr="00CD1946">
                        <w:rPr>
                          <w:rFonts w:cs="Calibri"/>
                        </w:rPr>
                        <w:t>take</w:t>
                      </w:r>
                      <w:proofErr w:type="gramEnd"/>
                      <w:r w:rsidRPr="00CD1946">
                        <w:rPr>
                          <w:rFonts w:cs="Calibri"/>
                        </w:rPr>
                        <w:t xml:space="preserve"> note of the status of annual contributions; </w:t>
                      </w:r>
                    </w:p>
                    <w:p w14:paraId="78492E91" w14:textId="77777777" w:rsidR="00EE4B6F" w:rsidRPr="00CD1946" w:rsidRDefault="00EE4B6F" w:rsidP="00406F37">
                      <w:pPr>
                        <w:pStyle w:val="ColorfulList-Accent11"/>
                        <w:ind w:left="425"/>
                      </w:pPr>
                    </w:p>
                    <w:p w14:paraId="290F8437" w14:textId="065032FE" w:rsidR="00EE4B6F" w:rsidRPr="00211A70" w:rsidRDefault="00EE4B6F" w:rsidP="00406F37">
                      <w:pPr>
                        <w:pStyle w:val="ColorfulList-Accent11"/>
                        <w:ind w:left="425"/>
                        <w:rPr>
                          <w:rFonts w:cs="Calibri"/>
                        </w:rPr>
                      </w:pPr>
                      <w:r w:rsidRPr="00CD1946">
                        <w:rPr>
                          <w:rFonts w:cs="Calibri"/>
                        </w:rPr>
                        <w:t>ii.</w:t>
                      </w:r>
                      <w:r w:rsidRPr="00CD1946">
                        <w:rPr>
                          <w:rFonts w:cs="Calibri"/>
                        </w:rPr>
                        <w:tab/>
                      </w:r>
                      <w:r w:rsidRPr="00CD1946">
                        <w:t xml:space="preserve">note the actions listed in </w:t>
                      </w:r>
                      <w:r w:rsidRPr="00211A70">
                        <w:t xml:space="preserve">paragraphs 12 and 13 on group confirmation of outstanding contributions as part of the audit process; </w:t>
                      </w:r>
                    </w:p>
                    <w:p w14:paraId="29360983" w14:textId="4141EA66" w:rsidR="00EE4B6F" w:rsidRPr="00211A70" w:rsidRDefault="00EE4B6F" w:rsidP="00406F37">
                      <w:pPr>
                        <w:pStyle w:val="ColorfulList-Accent11"/>
                        <w:ind w:left="425"/>
                      </w:pPr>
                    </w:p>
                    <w:p w14:paraId="18CA0F51" w14:textId="451B6774" w:rsidR="00EE4B6F" w:rsidRPr="00CD1946" w:rsidRDefault="00EE4B6F" w:rsidP="00406F37">
                      <w:pPr>
                        <w:pStyle w:val="ColorfulList-Accent11"/>
                        <w:ind w:left="425"/>
                      </w:pPr>
                      <w:r w:rsidRPr="00211A70">
                        <w:t>iii.</w:t>
                      </w:r>
                      <w:r w:rsidRPr="00211A70">
                        <w:tab/>
                      </w:r>
                      <w:r w:rsidRPr="00211A70">
                        <w:rPr>
                          <w:rFonts w:cs="Calibri"/>
                        </w:rPr>
                        <w:t>note the actions listed in paragraphs 15, 17, 18 and 19</w:t>
                      </w:r>
                      <w:r w:rsidRPr="00CD1946">
                        <w:rPr>
                          <w:rFonts w:cs="Calibri"/>
                        </w:rPr>
                        <w:t xml:space="preserve"> </w:t>
                      </w:r>
                      <w:r w:rsidRPr="00CD1946" w:rsidDel="0037602C">
                        <w:rPr>
                          <w:rFonts w:cs="Calibri"/>
                        </w:rPr>
                        <w:t>to continue encouraging the payment of annual contributions</w:t>
                      </w:r>
                      <w:r w:rsidRPr="00CD1946">
                        <w:rPr>
                          <w:rFonts w:cs="Calibri"/>
                        </w:rPr>
                        <w:t>;</w:t>
                      </w:r>
                    </w:p>
                    <w:p w14:paraId="577DAFD9" w14:textId="77777777" w:rsidR="00EE4B6F" w:rsidRPr="00CD1946" w:rsidRDefault="00EE4B6F" w:rsidP="00406F37">
                      <w:pPr>
                        <w:pStyle w:val="ColorfulList-Accent11"/>
                        <w:ind w:left="425"/>
                      </w:pPr>
                    </w:p>
                    <w:p w14:paraId="3720E525" w14:textId="0CD9C102" w:rsidR="00EE4B6F" w:rsidRPr="00CD1946" w:rsidRDefault="00EE4B6F" w:rsidP="000E047B">
                      <w:pPr>
                        <w:pStyle w:val="ColorfulList-Accent11"/>
                        <w:ind w:left="425"/>
                        <w:rPr>
                          <w:rFonts w:cs="Calibri"/>
                        </w:rPr>
                      </w:pPr>
                      <w:r w:rsidRPr="00CD1946">
                        <w:rPr>
                          <w:rFonts w:cs="Calibri"/>
                        </w:rPr>
                        <w:t>iv.</w:t>
                      </w:r>
                      <w:r w:rsidRPr="00CD1946">
                        <w:rPr>
                          <w:rFonts w:cs="Calibri"/>
                        </w:rPr>
                        <w:tab/>
                        <w:t xml:space="preserve">note the change in annual contributions receivable and in the annual provision against contributions receivable; and </w:t>
                      </w:r>
                    </w:p>
                    <w:p w14:paraId="315D6335" w14:textId="31AD2AD3" w:rsidR="00EE4B6F" w:rsidRPr="00CD1946" w:rsidRDefault="00EE4B6F" w:rsidP="000E047B">
                      <w:pPr>
                        <w:pStyle w:val="ColorfulList-Accent11"/>
                        <w:ind w:left="425"/>
                        <w:rPr>
                          <w:rFonts w:cs="Calibri"/>
                        </w:rPr>
                      </w:pPr>
                    </w:p>
                    <w:p w14:paraId="5A7708BE" w14:textId="18CE2A64" w:rsidR="00EE4B6F" w:rsidRDefault="00EE4B6F" w:rsidP="00B17F54">
                      <w:pPr>
                        <w:pStyle w:val="ColorfulList-Accent11"/>
                        <w:ind w:left="425"/>
                        <w:rPr>
                          <w:rFonts w:cs="Calibri"/>
                        </w:rPr>
                      </w:pPr>
                      <w:r w:rsidRPr="00CD1946">
                        <w:rPr>
                          <w:rFonts w:cs="Calibri"/>
                        </w:rPr>
                        <w:t>v.</w:t>
                      </w:r>
                      <w:r w:rsidRPr="00CD1946">
                        <w:rPr>
                          <w:rFonts w:cs="Calibri"/>
                        </w:rPr>
                        <w:tab/>
                      </w:r>
                      <w:proofErr w:type="gramStart"/>
                      <w:r w:rsidRPr="00CD1946">
                        <w:rPr>
                          <w:rFonts w:cs="Calibri"/>
                        </w:rPr>
                        <w:t>note</w:t>
                      </w:r>
                      <w:proofErr w:type="gramEnd"/>
                      <w:r w:rsidRPr="00CD1946">
                        <w:rPr>
                          <w:rFonts w:cs="Calibri"/>
                        </w:rPr>
                        <w:t xml:space="preserve"> the status of the African voluntary contributions.</w:t>
                      </w:r>
                      <w:r>
                        <w:rPr>
                          <w:rFonts w:cs="Calibri"/>
                        </w:rPr>
                        <w:t xml:space="preserve"> </w:t>
                      </w:r>
                    </w:p>
                    <w:p w14:paraId="239738D7" w14:textId="77777777" w:rsidR="00EE4B6F" w:rsidRDefault="00EE4B6F" w:rsidP="0021123F">
                      <w:pPr>
                        <w:pStyle w:val="ColorfulList-Accent11"/>
                        <w:ind w:left="0" w:firstLine="0"/>
                      </w:pPr>
                    </w:p>
                  </w:txbxContent>
                </v:textbox>
                <w10:anchorlock/>
              </v:shape>
            </w:pict>
          </mc:Fallback>
        </mc:AlternateContent>
      </w:r>
    </w:p>
    <w:p w14:paraId="7C1EF6B2" w14:textId="77777777" w:rsidR="009E0AE8" w:rsidRDefault="009E0AE8" w:rsidP="00014168">
      <w:pPr>
        <w:rPr>
          <w:rFonts w:cs="Arial"/>
          <w:b/>
        </w:rPr>
      </w:pPr>
    </w:p>
    <w:p w14:paraId="4AEB0E17" w14:textId="77777777" w:rsidR="00406F37" w:rsidRDefault="00406F37" w:rsidP="00014168">
      <w:pPr>
        <w:rPr>
          <w:rFonts w:cs="Arial"/>
          <w:b/>
        </w:rPr>
      </w:pPr>
    </w:p>
    <w:p w14:paraId="368852E9" w14:textId="77777777" w:rsidR="000C2489" w:rsidRPr="000C2489" w:rsidRDefault="00D1615B" w:rsidP="00014168">
      <w:pPr>
        <w:rPr>
          <w:rFonts w:cs="Arial"/>
          <w:b/>
        </w:rPr>
      </w:pPr>
      <w:r>
        <w:rPr>
          <w:rFonts w:cs="Arial"/>
          <w:b/>
        </w:rPr>
        <w:t>Background</w:t>
      </w:r>
    </w:p>
    <w:p w14:paraId="26E18438" w14:textId="77777777" w:rsidR="000C2489" w:rsidRDefault="000C2489" w:rsidP="00014168">
      <w:pPr>
        <w:rPr>
          <w:rFonts w:ascii="Garamond" w:hAnsi="Garamond" w:cs="Arial"/>
        </w:rPr>
      </w:pPr>
    </w:p>
    <w:p w14:paraId="349A2E70" w14:textId="7094CBE9" w:rsidR="00252F9B" w:rsidRPr="00F82AA3" w:rsidRDefault="0061090C" w:rsidP="00AD53FB">
      <w:pPr>
        <w:rPr>
          <w:rFonts w:cs="Arial"/>
        </w:rPr>
      </w:pPr>
      <w:r>
        <w:rPr>
          <w:rFonts w:cs="Arial"/>
        </w:rPr>
        <w:t>1.</w:t>
      </w:r>
      <w:r>
        <w:rPr>
          <w:rFonts w:cs="Arial"/>
        </w:rPr>
        <w:tab/>
      </w:r>
      <w:r w:rsidR="00D1615B" w:rsidRPr="00F82AA3">
        <w:rPr>
          <w:rFonts w:cs="Arial"/>
        </w:rPr>
        <w:t>Article 6.6 of the Convention states</w:t>
      </w:r>
      <w:r w:rsidR="00DA641B">
        <w:rPr>
          <w:rFonts w:cs="Arial"/>
        </w:rPr>
        <w:t xml:space="preserve"> that</w:t>
      </w:r>
      <w:r w:rsidR="00D1615B" w:rsidRPr="00F82AA3">
        <w:rPr>
          <w:rFonts w:cs="Arial"/>
        </w:rPr>
        <w:t xml:space="preserve">: </w:t>
      </w:r>
    </w:p>
    <w:p w14:paraId="679933A5" w14:textId="77777777" w:rsidR="00AA5053" w:rsidRDefault="00AA5053" w:rsidP="0061090C">
      <w:pPr>
        <w:ind w:firstLine="0"/>
        <w:rPr>
          <w:rFonts w:cs="Arial"/>
        </w:rPr>
      </w:pPr>
    </w:p>
    <w:p w14:paraId="19F44D37" w14:textId="24E45B8F" w:rsidR="00D1615B" w:rsidRDefault="00D1615B" w:rsidP="00DA641B">
      <w:pPr>
        <w:ind w:left="851" w:firstLine="0"/>
        <w:rPr>
          <w:rFonts w:cs="Arial"/>
        </w:rPr>
      </w:pPr>
      <w:r>
        <w:rPr>
          <w:rFonts w:cs="Arial"/>
        </w:rPr>
        <w:t>“</w:t>
      </w:r>
      <w:r w:rsidRPr="00D327F0">
        <w:rPr>
          <w:rFonts w:cs="Arial"/>
          <w:i/>
        </w:rPr>
        <w:t xml:space="preserve">Each Contracting Party shall contribute to the budget according to a scale of contributions adopted by unanimity of the Contracting Parties </w:t>
      </w:r>
      <w:r w:rsidR="006B1B12" w:rsidRPr="00D327F0">
        <w:rPr>
          <w:rFonts w:cs="Arial"/>
          <w:i/>
        </w:rPr>
        <w:t>p</w:t>
      </w:r>
      <w:r w:rsidRPr="00D327F0">
        <w:rPr>
          <w:rFonts w:cs="Arial"/>
          <w:i/>
        </w:rPr>
        <w:t>resent and voting at a meeting of the ordinary Conference of the Contracting Parties.</w:t>
      </w:r>
      <w:r>
        <w:rPr>
          <w:rFonts w:cs="Arial"/>
        </w:rPr>
        <w:t>”</w:t>
      </w:r>
    </w:p>
    <w:p w14:paraId="4C42F83E" w14:textId="77777777" w:rsidR="00D1615B" w:rsidRPr="00D1615B" w:rsidRDefault="00D1615B" w:rsidP="004316A3">
      <w:pPr>
        <w:rPr>
          <w:rFonts w:cs="Arial"/>
        </w:rPr>
      </w:pPr>
    </w:p>
    <w:p w14:paraId="403A4461" w14:textId="7635D896" w:rsidR="00D1615B" w:rsidRPr="00AD53FB" w:rsidRDefault="0061090C" w:rsidP="00AD53FB">
      <w:pPr>
        <w:rPr>
          <w:rFonts w:cs="Arial"/>
        </w:rPr>
      </w:pPr>
      <w:r>
        <w:rPr>
          <w:rFonts w:cs="Arial"/>
        </w:rPr>
        <w:t>2.</w:t>
      </w:r>
      <w:r>
        <w:rPr>
          <w:rFonts w:cs="Arial"/>
        </w:rPr>
        <w:tab/>
      </w:r>
      <w:r w:rsidR="00D1615B" w:rsidRPr="00AD53FB">
        <w:rPr>
          <w:rFonts w:cs="Arial"/>
        </w:rPr>
        <w:t>Annual (assessed) contributions from</w:t>
      </w:r>
      <w:r w:rsidR="00F163C1">
        <w:rPr>
          <w:rFonts w:cs="Arial"/>
        </w:rPr>
        <w:t xml:space="preserve"> Contracting</w:t>
      </w:r>
      <w:r w:rsidR="00D1615B" w:rsidRPr="00AD53FB">
        <w:rPr>
          <w:rFonts w:cs="Arial"/>
        </w:rPr>
        <w:t xml:space="preserve"> Parties are used to finance the Convention’s core budget. Each year, the Secretariat invoices Parties for their annual contributions. Swiss franc (CHF) invoicing is based upon the approved core budget and the current U</w:t>
      </w:r>
      <w:r w:rsidR="00AA5053">
        <w:rPr>
          <w:rFonts w:cs="Arial"/>
        </w:rPr>
        <w:t xml:space="preserve">nited </w:t>
      </w:r>
      <w:r w:rsidR="00D1615B" w:rsidRPr="00AD53FB">
        <w:rPr>
          <w:rFonts w:cs="Arial"/>
        </w:rPr>
        <w:t>N</w:t>
      </w:r>
      <w:r w:rsidR="00AA5053">
        <w:rPr>
          <w:rFonts w:cs="Arial"/>
        </w:rPr>
        <w:t>ations</w:t>
      </w:r>
      <w:r w:rsidR="00D1615B" w:rsidRPr="00AD53FB">
        <w:rPr>
          <w:rFonts w:cs="Arial"/>
        </w:rPr>
        <w:t xml:space="preserve"> Scale of Assessment, adjusted on a </w:t>
      </w:r>
      <w:r w:rsidR="00D1615B" w:rsidRPr="00AD53FB">
        <w:rPr>
          <w:rFonts w:cs="Arial"/>
          <w:i/>
        </w:rPr>
        <w:t>pro rata</w:t>
      </w:r>
      <w:r w:rsidR="00D1615B" w:rsidRPr="00AD53FB">
        <w:rPr>
          <w:rFonts w:cs="Arial"/>
        </w:rPr>
        <w:t xml:space="preserve"> basis to r</w:t>
      </w:r>
      <w:r w:rsidR="000E2490" w:rsidRPr="00AD53FB">
        <w:rPr>
          <w:rFonts w:cs="Arial"/>
        </w:rPr>
        <w:t>e</w:t>
      </w:r>
      <w:r w:rsidR="00D1615B" w:rsidRPr="00AD53FB">
        <w:rPr>
          <w:rFonts w:cs="Arial"/>
        </w:rPr>
        <w:t xml:space="preserve">flect </w:t>
      </w:r>
      <w:r w:rsidR="00F7459E">
        <w:rPr>
          <w:rFonts w:cs="Arial"/>
        </w:rPr>
        <w:t>which States are Parties to</w:t>
      </w:r>
      <w:r w:rsidR="00D1615B" w:rsidRPr="00AD53FB">
        <w:rPr>
          <w:rFonts w:cs="Arial"/>
        </w:rPr>
        <w:t xml:space="preserve"> the Convention at the beginning of the year.</w:t>
      </w:r>
    </w:p>
    <w:p w14:paraId="165E1F9F" w14:textId="77777777" w:rsidR="00D1615B" w:rsidRPr="00D1615B" w:rsidRDefault="00D1615B" w:rsidP="004316A3">
      <w:pPr>
        <w:rPr>
          <w:rFonts w:cs="Arial"/>
        </w:rPr>
      </w:pPr>
    </w:p>
    <w:p w14:paraId="33EFDD32" w14:textId="5EA88F9F" w:rsidR="00F7459E" w:rsidRDefault="0061090C" w:rsidP="00AD53FB">
      <w:pPr>
        <w:rPr>
          <w:rFonts w:cs="Arial"/>
        </w:rPr>
      </w:pPr>
      <w:r>
        <w:rPr>
          <w:rFonts w:cs="Arial"/>
        </w:rPr>
        <w:t>3.</w:t>
      </w:r>
      <w:r>
        <w:rPr>
          <w:rFonts w:cs="Arial"/>
        </w:rPr>
        <w:tab/>
      </w:r>
      <w:r w:rsidR="00D1615B">
        <w:rPr>
          <w:rFonts w:cs="Arial"/>
        </w:rPr>
        <w:t xml:space="preserve">In Resolution </w:t>
      </w:r>
      <w:r w:rsidR="00CD6459">
        <w:rPr>
          <w:rFonts w:cs="Arial"/>
        </w:rPr>
        <w:t>XIV</w:t>
      </w:r>
      <w:r w:rsidR="00186290">
        <w:rPr>
          <w:rFonts w:cs="Arial"/>
        </w:rPr>
        <w:t>.</w:t>
      </w:r>
      <w:r w:rsidR="00CD6459">
        <w:rPr>
          <w:rFonts w:cs="Arial"/>
        </w:rPr>
        <w:t xml:space="preserve">1 </w:t>
      </w:r>
      <w:r w:rsidR="00F7459E">
        <w:rPr>
          <w:rFonts w:cs="Arial"/>
        </w:rPr>
        <w:t xml:space="preserve">on </w:t>
      </w:r>
      <w:r w:rsidR="00F7459E">
        <w:rPr>
          <w:rFonts w:cs="Arial"/>
          <w:i/>
        </w:rPr>
        <w:t>Financial and budgetary matters,</w:t>
      </w:r>
      <w:r w:rsidR="00F7459E">
        <w:rPr>
          <w:rFonts w:cs="Arial"/>
        </w:rPr>
        <w:t xml:space="preserve"> in</w:t>
      </w:r>
      <w:r w:rsidR="00D1615B">
        <w:rPr>
          <w:rFonts w:cs="Arial"/>
        </w:rPr>
        <w:t xml:space="preserve"> paragraph</w:t>
      </w:r>
      <w:r w:rsidR="00657D8F">
        <w:rPr>
          <w:rFonts w:cs="Arial"/>
        </w:rPr>
        <w:t>s</w:t>
      </w:r>
      <w:r w:rsidR="00D1615B">
        <w:rPr>
          <w:rFonts w:cs="Arial"/>
        </w:rPr>
        <w:t xml:space="preserve"> 17</w:t>
      </w:r>
      <w:r w:rsidR="00657D8F">
        <w:rPr>
          <w:rFonts w:cs="Arial"/>
        </w:rPr>
        <w:t xml:space="preserve"> and 18</w:t>
      </w:r>
      <w:r w:rsidR="00D1615B">
        <w:rPr>
          <w:rFonts w:cs="Arial"/>
        </w:rPr>
        <w:t xml:space="preserve">, the Conference of the Contracting Parties: </w:t>
      </w:r>
    </w:p>
    <w:p w14:paraId="52A6D265" w14:textId="77777777" w:rsidR="00AA5053" w:rsidRDefault="00AA5053" w:rsidP="00AD53FB">
      <w:pPr>
        <w:rPr>
          <w:rFonts w:cs="Arial"/>
        </w:rPr>
      </w:pPr>
    </w:p>
    <w:p w14:paraId="4022D785" w14:textId="0266EE72" w:rsidR="00875511" w:rsidRDefault="00875511" w:rsidP="00875511">
      <w:pPr>
        <w:ind w:left="850"/>
        <w:rPr>
          <w:rFonts w:cs="Arial"/>
          <w:i/>
        </w:rPr>
      </w:pPr>
      <w:r w:rsidRPr="00297A1A">
        <w:rPr>
          <w:rFonts w:cs="Arial"/>
        </w:rPr>
        <w:t>“</w:t>
      </w:r>
      <w:r>
        <w:rPr>
          <w:rFonts w:cs="Arial"/>
          <w:i/>
        </w:rPr>
        <w:t>17.</w:t>
      </w:r>
      <w:r>
        <w:rPr>
          <w:rFonts w:cs="Arial"/>
          <w:i/>
        </w:rPr>
        <w:tab/>
      </w:r>
      <w:r w:rsidR="00D1615B" w:rsidRPr="00F7459E">
        <w:rPr>
          <w:rFonts w:cs="Arial"/>
          <w:i/>
        </w:rPr>
        <w:t>URGES Contracting Parties with outstanding cont</w:t>
      </w:r>
      <w:r w:rsidR="00BE241D" w:rsidRPr="00F7459E">
        <w:rPr>
          <w:rFonts w:cs="Arial"/>
          <w:i/>
        </w:rPr>
        <w:t>r</w:t>
      </w:r>
      <w:r w:rsidR="00D1615B" w:rsidRPr="00F7459E">
        <w:rPr>
          <w:rFonts w:cs="Arial"/>
          <w:i/>
        </w:rPr>
        <w:t>ibutions to make a renewed effort to settle them as expeditiously as possible to enhance the financial sustainability of the Convention through contributions by all Contracting Parties</w:t>
      </w:r>
      <w:r w:rsidRPr="00297A1A">
        <w:rPr>
          <w:rFonts w:cs="Arial"/>
        </w:rPr>
        <w:t>;</w:t>
      </w:r>
      <w:r w:rsidR="00F163C1" w:rsidRPr="00297A1A">
        <w:rPr>
          <w:rFonts w:cs="Arial"/>
        </w:rPr>
        <w:t>”</w:t>
      </w:r>
      <w:r w:rsidR="00A02847">
        <w:rPr>
          <w:rFonts w:cs="Arial"/>
          <w:i/>
        </w:rPr>
        <w:t xml:space="preserve"> </w:t>
      </w:r>
      <w:r w:rsidR="00A02847" w:rsidRPr="00A02847">
        <w:rPr>
          <w:rFonts w:cs="Arial"/>
        </w:rPr>
        <w:t>and</w:t>
      </w:r>
    </w:p>
    <w:p w14:paraId="13387751" w14:textId="77777777" w:rsidR="00875511" w:rsidRDefault="00875511" w:rsidP="00875511">
      <w:pPr>
        <w:ind w:left="850"/>
        <w:rPr>
          <w:rFonts w:cs="Arial"/>
          <w:i/>
        </w:rPr>
      </w:pPr>
    </w:p>
    <w:p w14:paraId="1405971E" w14:textId="64A83CCA" w:rsidR="00D1615B" w:rsidRPr="000E47B5" w:rsidRDefault="00875511" w:rsidP="00875511">
      <w:pPr>
        <w:ind w:left="850"/>
        <w:rPr>
          <w:rFonts w:cs="Arial"/>
          <w:i/>
          <w:spacing w:val="-2"/>
        </w:rPr>
      </w:pPr>
      <w:r w:rsidRPr="00297A1A">
        <w:rPr>
          <w:rFonts w:cs="Arial"/>
          <w:spacing w:val="-2"/>
        </w:rPr>
        <w:lastRenderedPageBreak/>
        <w:t>“</w:t>
      </w:r>
      <w:r w:rsidRPr="000E47B5">
        <w:rPr>
          <w:rFonts w:cs="Arial"/>
          <w:i/>
          <w:spacing w:val="-2"/>
        </w:rPr>
        <w:t>18</w:t>
      </w:r>
      <w:r w:rsidR="00A02847" w:rsidRPr="000E47B5">
        <w:rPr>
          <w:rFonts w:cs="Arial"/>
          <w:i/>
          <w:spacing w:val="-2"/>
        </w:rPr>
        <w:t>.</w:t>
      </w:r>
      <w:r w:rsidRPr="000E47B5">
        <w:rPr>
          <w:rFonts w:cs="Arial"/>
          <w:i/>
          <w:spacing w:val="-2"/>
        </w:rPr>
        <w:tab/>
      </w:r>
      <w:r w:rsidR="00D1615B" w:rsidRPr="000E47B5">
        <w:rPr>
          <w:rFonts w:cs="Arial"/>
          <w:i/>
          <w:spacing w:val="-2"/>
        </w:rPr>
        <w:t xml:space="preserve">REQUESTS the Secretariat to contact Contracting Parties </w:t>
      </w:r>
      <w:r w:rsidR="00143C49" w:rsidRPr="000E47B5">
        <w:rPr>
          <w:rFonts w:cs="Arial"/>
          <w:i/>
          <w:spacing w:val="-2"/>
        </w:rPr>
        <w:t xml:space="preserve">that have </w:t>
      </w:r>
      <w:r w:rsidR="00D1615B" w:rsidRPr="000E47B5">
        <w:rPr>
          <w:rFonts w:cs="Arial"/>
          <w:i/>
          <w:spacing w:val="-2"/>
        </w:rPr>
        <w:t xml:space="preserve">outstanding contributions in excess of three years and </w:t>
      </w:r>
      <w:r w:rsidR="00186290" w:rsidRPr="000E47B5">
        <w:rPr>
          <w:rFonts w:cs="Arial"/>
          <w:i/>
          <w:spacing w:val="-2"/>
        </w:rPr>
        <w:t>assist</w:t>
      </w:r>
      <w:r w:rsidR="00D1615B" w:rsidRPr="000E47B5">
        <w:rPr>
          <w:rFonts w:cs="Arial"/>
          <w:i/>
          <w:spacing w:val="-2"/>
        </w:rPr>
        <w:t xml:space="preserve"> them to identify appropriate options </w:t>
      </w:r>
      <w:r w:rsidR="00186290" w:rsidRPr="000E47B5">
        <w:rPr>
          <w:rFonts w:cs="Arial"/>
          <w:i/>
          <w:spacing w:val="-2"/>
        </w:rPr>
        <w:t>to rectify</w:t>
      </w:r>
      <w:r w:rsidR="00D1615B" w:rsidRPr="000E47B5">
        <w:rPr>
          <w:rFonts w:cs="Arial"/>
          <w:i/>
          <w:spacing w:val="-2"/>
        </w:rPr>
        <w:t xml:space="preserve"> the situation and </w:t>
      </w:r>
      <w:r w:rsidR="00186290" w:rsidRPr="000E47B5">
        <w:rPr>
          <w:rFonts w:cs="Arial"/>
          <w:i/>
          <w:spacing w:val="-2"/>
        </w:rPr>
        <w:t xml:space="preserve">to request </w:t>
      </w:r>
      <w:r w:rsidR="00D1615B" w:rsidRPr="000E47B5">
        <w:rPr>
          <w:rFonts w:cs="Arial"/>
          <w:i/>
          <w:spacing w:val="-2"/>
        </w:rPr>
        <w:t xml:space="preserve">a plan for making payment of contributions, and to report back to each </w:t>
      </w:r>
      <w:r w:rsidR="00143C49" w:rsidRPr="000E47B5">
        <w:rPr>
          <w:rFonts w:cs="Arial"/>
          <w:i/>
          <w:spacing w:val="-2"/>
        </w:rPr>
        <w:t xml:space="preserve">meeting of the </w:t>
      </w:r>
      <w:r w:rsidR="00D1615B" w:rsidRPr="000E47B5">
        <w:rPr>
          <w:rFonts w:cs="Arial"/>
          <w:i/>
          <w:spacing w:val="-2"/>
        </w:rPr>
        <w:t xml:space="preserve">Standing Committee and </w:t>
      </w:r>
      <w:r w:rsidR="00143C49" w:rsidRPr="000E47B5">
        <w:rPr>
          <w:rFonts w:cs="Arial"/>
          <w:i/>
          <w:spacing w:val="-2"/>
        </w:rPr>
        <w:t xml:space="preserve">Conference of the Contracting Parties </w:t>
      </w:r>
      <w:r w:rsidR="00D1615B" w:rsidRPr="000E47B5">
        <w:rPr>
          <w:rFonts w:cs="Arial"/>
          <w:i/>
          <w:spacing w:val="-2"/>
        </w:rPr>
        <w:t xml:space="preserve">on activities taken </w:t>
      </w:r>
      <w:r w:rsidR="00143C49" w:rsidRPr="000E47B5">
        <w:rPr>
          <w:rFonts w:cs="Arial"/>
          <w:i/>
          <w:spacing w:val="-2"/>
        </w:rPr>
        <w:t xml:space="preserve">in this regard </w:t>
      </w:r>
      <w:r w:rsidR="00D1615B" w:rsidRPr="000E47B5">
        <w:rPr>
          <w:rFonts w:cs="Arial"/>
          <w:i/>
          <w:spacing w:val="-2"/>
        </w:rPr>
        <w:t>and results achieved</w:t>
      </w:r>
      <w:r w:rsidR="00143C49" w:rsidRPr="000E47B5">
        <w:rPr>
          <w:rFonts w:cs="Arial"/>
          <w:i/>
          <w:spacing w:val="-2"/>
        </w:rPr>
        <w:t>; and AGREES that the Standing Committee should continue to consider appropriate action concerning Parties that have neither paid their outstanding contributions nor submitted a payment plan for this purpose</w:t>
      </w:r>
      <w:r w:rsidR="00297A1A" w:rsidRPr="000E47B5">
        <w:rPr>
          <w:rFonts w:cs="Arial"/>
          <w:spacing w:val="-2"/>
        </w:rPr>
        <w:t>.</w:t>
      </w:r>
      <w:r w:rsidRPr="00297A1A">
        <w:rPr>
          <w:rFonts w:cs="Arial"/>
          <w:spacing w:val="-2"/>
        </w:rPr>
        <w:t>”</w:t>
      </w:r>
    </w:p>
    <w:p w14:paraId="2A0AF8EE" w14:textId="19008E35" w:rsidR="00657D8F" w:rsidRPr="00F7459E" w:rsidRDefault="00657D8F" w:rsidP="00F7459E">
      <w:pPr>
        <w:ind w:firstLine="0"/>
        <w:rPr>
          <w:rFonts w:cs="Arial"/>
          <w:i/>
        </w:rPr>
      </w:pPr>
    </w:p>
    <w:p w14:paraId="7E8E1A17" w14:textId="55CF4115" w:rsidR="00D1615B" w:rsidRDefault="00D1615B" w:rsidP="0089531A">
      <w:pPr>
        <w:keepNext/>
        <w:rPr>
          <w:rFonts w:cs="Arial"/>
          <w:b/>
        </w:rPr>
      </w:pPr>
      <w:r>
        <w:rPr>
          <w:rFonts w:cs="Arial"/>
          <w:b/>
        </w:rPr>
        <w:t xml:space="preserve">Status of annual contributions as at </w:t>
      </w:r>
      <w:r w:rsidR="007A5AAD">
        <w:rPr>
          <w:rFonts w:cs="Arial"/>
          <w:b/>
        </w:rPr>
        <w:t>31</w:t>
      </w:r>
      <w:r>
        <w:rPr>
          <w:rFonts w:cs="Arial"/>
          <w:b/>
        </w:rPr>
        <w:t xml:space="preserve"> December </w:t>
      </w:r>
      <w:r w:rsidR="00D15D8B">
        <w:rPr>
          <w:rFonts w:cs="Arial"/>
          <w:b/>
        </w:rPr>
        <w:t>2023</w:t>
      </w:r>
    </w:p>
    <w:p w14:paraId="2C8BCDDB" w14:textId="77777777" w:rsidR="003175F8" w:rsidRPr="00D1615B" w:rsidRDefault="003175F8" w:rsidP="0089531A">
      <w:pPr>
        <w:keepNext/>
        <w:rPr>
          <w:rFonts w:cs="Arial"/>
          <w:b/>
        </w:rPr>
      </w:pPr>
    </w:p>
    <w:p w14:paraId="0A651ACF" w14:textId="4D101FA8" w:rsidR="0034030B" w:rsidRDefault="0061090C">
      <w:pPr>
        <w:rPr>
          <w:rFonts w:cs="Arial"/>
        </w:rPr>
      </w:pPr>
      <w:r>
        <w:rPr>
          <w:rFonts w:cs="Arial"/>
        </w:rPr>
        <w:t>4.</w:t>
      </w:r>
      <w:r>
        <w:rPr>
          <w:rFonts w:cs="Arial"/>
        </w:rPr>
        <w:tab/>
      </w:r>
      <w:r w:rsidR="000E2490">
        <w:rPr>
          <w:rFonts w:cs="Arial"/>
        </w:rPr>
        <w:t xml:space="preserve">The table in Annex 1 </w:t>
      </w:r>
      <w:r w:rsidR="00297A1A">
        <w:rPr>
          <w:rFonts w:cs="Arial"/>
        </w:rPr>
        <w:t xml:space="preserve">of </w:t>
      </w:r>
      <w:r w:rsidR="00062512">
        <w:rPr>
          <w:rFonts w:cs="Arial"/>
        </w:rPr>
        <w:t xml:space="preserve">this </w:t>
      </w:r>
      <w:r w:rsidR="00297A1A">
        <w:rPr>
          <w:rFonts w:cs="Arial"/>
        </w:rPr>
        <w:t xml:space="preserve">document </w:t>
      </w:r>
      <w:r w:rsidR="000E2490">
        <w:rPr>
          <w:rFonts w:cs="Arial"/>
        </w:rPr>
        <w:t>presents for each Contracting Party, listed in alphabetical order, the status of annual contributions at 1</w:t>
      </w:r>
      <w:r w:rsidR="000E2490" w:rsidRPr="00297A1A">
        <w:rPr>
          <w:rFonts w:cs="Arial"/>
        </w:rPr>
        <w:t xml:space="preserve"> </w:t>
      </w:r>
      <w:r w:rsidR="000E2490">
        <w:rPr>
          <w:rFonts w:cs="Arial"/>
        </w:rPr>
        <w:t xml:space="preserve">January </w:t>
      </w:r>
      <w:r w:rsidR="00CD6459">
        <w:rPr>
          <w:rFonts w:cs="Arial"/>
        </w:rPr>
        <w:t>202</w:t>
      </w:r>
      <w:r w:rsidR="00D15D8B">
        <w:rPr>
          <w:rFonts w:cs="Arial"/>
        </w:rPr>
        <w:t>3</w:t>
      </w:r>
      <w:r w:rsidR="000E2490">
        <w:rPr>
          <w:rFonts w:cs="Arial"/>
        </w:rPr>
        <w:t xml:space="preserve">, all payments received in </w:t>
      </w:r>
      <w:r w:rsidR="00D15D8B">
        <w:rPr>
          <w:rFonts w:cs="Arial"/>
        </w:rPr>
        <w:t xml:space="preserve">2023 </w:t>
      </w:r>
      <w:r w:rsidR="000E2490">
        <w:rPr>
          <w:rFonts w:cs="Arial"/>
        </w:rPr>
        <w:t xml:space="preserve">and the status of contributions </w:t>
      </w:r>
      <w:r w:rsidR="008E33F4">
        <w:rPr>
          <w:rFonts w:cs="Arial"/>
        </w:rPr>
        <w:t>at</w:t>
      </w:r>
      <w:r w:rsidR="000E2490">
        <w:rPr>
          <w:rFonts w:cs="Arial"/>
        </w:rPr>
        <w:t xml:space="preserve"> 31 December </w:t>
      </w:r>
      <w:r w:rsidR="00D15D8B">
        <w:rPr>
          <w:rFonts w:cs="Arial"/>
        </w:rPr>
        <w:t>2023</w:t>
      </w:r>
      <w:r w:rsidR="000E2490">
        <w:rPr>
          <w:rFonts w:cs="Arial"/>
        </w:rPr>
        <w:t>.</w:t>
      </w:r>
      <w:r w:rsidR="00E26ED0">
        <w:rPr>
          <w:rFonts w:cs="Arial"/>
        </w:rPr>
        <w:t xml:space="preserve"> </w:t>
      </w:r>
    </w:p>
    <w:p w14:paraId="63C23F47" w14:textId="77777777" w:rsidR="00677F9D" w:rsidRPr="00677F9D" w:rsidRDefault="00677F9D" w:rsidP="004316A3">
      <w:pPr>
        <w:rPr>
          <w:rFonts w:cs="Arial"/>
        </w:rPr>
      </w:pPr>
    </w:p>
    <w:p w14:paraId="2E027CF5" w14:textId="3557A95D" w:rsidR="00677F9D" w:rsidRPr="00BC227D" w:rsidRDefault="00E26ED0" w:rsidP="007E7EF5">
      <w:pPr>
        <w:rPr>
          <w:rFonts w:cs="Arial"/>
        </w:rPr>
      </w:pPr>
      <w:r>
        <w:rPr>
          <w:rFonts w:cs="Arial"/>
        </w:rPr>
        <w:t>5</w:t>
      </w:r>
      <w:r w:rsidR="0061090C">
        <w:rPr>
          <w:rFonts w:cs="Arial"/>
        </w:rPr>
        <w:t>.</w:t>
      </w:r>
      <w:r w:rsidR="0061090C">
        <w:rPr>
          <w:rFonts w:cs="Arial"/>
        </w:rPr>
        <w:tab/>
      </w:r>
      <w:r w:rsidR="001A79E2">
        <w:rPr>
          <w:rFonts w:cs="Arial"/>
        </w:rPr>
        <w:t xml:space="preserve">As </w:t>
      </w:r>
      <w:r w:rsidR="008E4CE6">
        <w:rPr>
          <w:rFonts w:cs="Arial"/>
        </w:rPr>
        <w:t xml:space="preserve">shown in </w:t>
      </w:r>
      <w:r w:rsidR="001A79E2">
        <w:rPr>
          <w:rFonts w:cs="Arial"/>
        </w:rPr>
        <w:t xml:space="preserve">the table in Annex 1, as </w:t>
      </w:r>
      <w:r w:rsidR="00922C65">
        <w:rPr>
          <w:rFonts w:cs="Arial"/>
        </w:rPr>
        <w:t>of</w:t>
      </w:r>
      <w:r w:rsidR="00677F9D">
        <w:rPr>
          <w:rFonts w:cs="Arial"/>
        </w:rPr>
        <w:t xml:space="preserve"> </w:t>
      </w:r>
      <w:r>
        <w:rPr>
          <w:rFonts w:cs="Arial"/>
        </w:rPr>
        <w:t>31</w:t>
      </w:r>
      <w:r w:rsidR="00677F9D">
        <w:rPr>
          <w:rFonts w:cs="Arial"/>
        </w:rPr>
        <w:t xml:space="preserve"> December </w:t>
      </w:r>
      <w:r w:rsidR="00D15D8B">
        <w:rPr>
          <w:rFonts w:cs="Arial"/>
        </w:rPr>
        <w:t>2023</w:t>
      </w:r>
      <w:r w:rsidR="0066095F">
        <w:rPr>
          <w:rFonts w:cs="Arial"/>
        </w:rPr>
        <w:t xml:space="preserve">, </w:t>
      </w:r>
      <w:r w:rsidR="0066095F" w:rsidRPr="003701F3">
        <w:rPr>
          <w:rFonts w:cs="Arial"/>
        </w:rPr>
        <w:t xml:space="preserve">CHF </w:t>
      </w:r>
      <w:r w:rsidR="00EB0D7B">
        <w:rPr>
          <w:rFonts w:cs="Arial"/>
        </w:rPr>
        <w:t>336</w:t>
      </w:r>
      <w:r w:rsidR="00EB0D7B" w:rsidRPr="003701F3">
        <w:rPr>
          <w:rFonts w:cs="Arial"/>
        </w:rPr>
        <w:t xml:space="preserve">K </w:t>
      </w:r>
      <w:r w:rsidR="00D16C99" w:rsidRPr="003701F3">
        <w:rPr>
          <w:rFonts w:cs="Arial"/>
        </w:rPr>
        <w:t xml:space="preserve">of contributions due </w:t>
      </w:r>
      <w:r w:rsidR="0066095F" w:rsidRPr="003701F3">
        <w:rPr>
          <w:rFonts w:cs="Arial"/>
        </w:rPr>
        <w:t xml:space="preserve">for </w:t>
      </w:r>
      <w:r w:rsidR="003F41D1" w:rsidRPr="003701F3">
        <w:rPr>
          <w:rFonts w:cs="Arial"/>
        </w:rPr>
        <w:t>20</w:t>
      </w:r>
      <w:r w:rsidR="003F41D1">
        <w:rPr>
          <w:rFonts w:cs="Arial"/>
        </w:rPr>
        <w:t>2</w:t>
      </w:r>
      <w:r w:rsidR="00EB0D7B">
        <w:rPr>
          <w:rFonts w:cs="Arial"/>
        </w:rPr>
        <w:t>3</w:t>
      </w:r>
      <w:r w:rsidR="003F41D1" w:rsidRPr="003701F3">
        <w:rPr>
          <w:rFonts w:cs="Arial"/>
        </w:rPr>
        <w:t xml:space="preserve"> </w:t>
      </w:r>
      <w:r w:rsidRPr="003701F3">
        <w:rPr>
          <w:rFonts w:cs="Arial"/>
        </w:rPr>
        <w:t xml:space="preserve">had </w:t>
      </w:r>
      <w:r w:rsidR="00677F9D" w:rsidRPr="003701F3">
        <w:rPr>
          <w:rFonts w:cs="Arial"/>
        </w:rPr>
        <w:t xml:space="preserve">not </w:t>
      </w:r>
      <w:r w:rsidRPr="003701F3">
        <w:rPr>
          <w:rFonts w:cs="Arial"/>
        </w:rPr>
        <w:t xml:space="preserve">been </w:t>
      </w:r>
      <w:r w:rsidR="00677F9D" w:rsidRPr="003701F3">
        <w:rPr>
          <w:rFonts w:cs="Arial"/>
        </w:rPr>
        <w:t xml:space="preserve">received, which </w:t>
      </w:r>
      <w:r w:rsidR="008E4CE6" w:rsidRPr="003701F3">
        <w:rPr>
          <w:rFonts w:cs="Arial"/>
        </w:rPr>
        <w:t>correspond</w:t>
      </w:r>
      <w:r w:rsidR="008E4CE6">
        <w:rPr>
          <w:rFonts w:cs="Arial"/>
        </w:rPr>
        <w:t>ed</w:t>
      </w:r>
      <w:r w:rsidR="008E4CE6" w:rsidRPr="003701F3">
        <w:rPr>
          <w:rFonts w:cs="Arial"/>
        </w:rPr>
        <w:t xml:space="preserve"> </w:t>
      </w:r>
      <w:r w:rsidR="0066095F" w:rsidRPr="003701F3">
        <w:rPr>
          <w:rFonts w:cs="Arial"/>
        </w:rPr>
        <w:t xml:space="preserve">to </w:t>
      </w:r>
      <w:r w:rsidR="00EB0D7B">
        <w:rPr>
          <w:rFonts w:cs="Arial"/>
        </w:rPr>
        <w:t>6.9</w:t>
      </w:r>
      <w:r w:rsidR="0066095F" w:rsidRPr="003701F3">
        <w:rPr>
          <w:rFonts w:cs="Arial"/>
        </w:rPr>
        <w:t xml:space="preserve">% of the </w:t>
      </w:r>
      <w:r w:rsidR="00297A1A" w:rsidRPr="003701F3">
        <w:rPr>
          <w:rFonts w:cs="Arial"/>
        </w:rPr>
        <w:t>CHF 4,845K</w:t>
      </w:r>
      <w:r w:rsidR="00297A1A">
        <w:rPr>
          <w:rFonts w:cs="Arial"/>
        </w:rPr>
        <w:t xml:space="preserve"> </w:t>
      </w:r>
      <w:r w:rsidR="00677F9D" w:rsidRPr="003701F3">
        <w:rPr>
          <w:rFonts w:cs="Arial"/>
        </w:rPr>
        <w:t>contributions</w:t>
      </w:r>
      <w:r w:rsidRPr="003701F3">
        <w:rPr>
          <w:rFonts w:cs="Arial"/>
        </w:rPr>
        <w:t xml:space="preserve"> expected</w:t>
      </w:r>
      <w:r w:rsidR="005704B0">
        <w:rPr>
          <w:rFonts w:cs="Arial"/>
        </w:rPr>
        <w:t xml:space="preserve"> </w:t>
      </w:r>
      <w:r w:rsidR="008E4CE6">
        <w:rPr>
          <w:rFonts w:cs="Arial"/>
        </w:rPr>
        <w:t xml:space="preserve">for </w:t>
      </w:r>
      <w:r w:rsidR="003F41D1" w:rsidRPr="003701F3">
        <w:rPr>
          <w:rFonts w:cs="Arial"/>
        </w:rPr>
        <w:t>20</w:t>
      </w:r>
      <w:r w:rsidR="003F41D1">
        <w:rPr>
          <w:rFonts w:cs="Arial"/>
        </w:rPr>
        <w:t>2</w:t>
      </w:r>
      <w:r w:rsidR="00EB0D7B">
        <w:rPr>
          <w:rFonts w:cs="Arial"/>
        </w:rPr>
        <w:t>3</w:t>
      </w:r>
      <w:r w:rsidR="00677F9D" w:rsidRPr="003701F3">
        <w:rPr>
          <w:rFonts w:cs="Arial"/>
        </w:rPr>
        <w:t xml:space="preserve">. </w:t>
      </w:r>
      <w:r w:rsidR="00127385" w:rsidRPr="003701F3">
        <w:rPr>
          <w:rFonts w:cs="Arial"/>
        </w:rPr>
        <w:t>T</w:t>
      </w:r>
      <w:r w:rsidR="006711CC" w:rsidRPr="003701F3">
        <w:rPr>
          <w:rFonts w:cs="Arial"/>
        </w:rPr>
        <w:t xml:space="preserve">he total </w:t>
      </w:r>
      <w:r w:rsidR="00127385" w:rsidRPr="003701F3">
        <w:rPr>
          <w:rFonts w:cs="Arial"/>
        </w:rPr>
        <w:t>due</w:t>
      </w:r>
      <w:r w:rsidR="006711CC" w:rsidRPr="003701F3">
        <w:rPr>
          <w:rFonts w:cs="Arial"/>
        </w:rPr>
        <w:t xml:space="preserve"> </w:t>
      </w:r>
      <w:r w:rsidR="00922C65" w:rsidRPr="003701F3">
        <w:rPr>
          <w:rFonts w:cs="Arial"/>
        </w:rPr>
        <w:t xml:space="preserve">for </w:t>
      </w:r>
      <w:r w:rsidR="00F240FC">
        <w:rPr>
          <w:rFonts w:cs="Arial"/>
        </w:rPr>
        <w:t xml:space="preserve">the </w:t>
      </w:r>
      <w:r w:rsidR="00922C65" w:rsidRPr="003701F3">
        <w:rPr>
          <w:rFonts w:cs="Arial"/>
        </w:rPr>
        <w:t>years</w:t>
      </w:r>
      <w:r w:rsidR="002C394F" w:rsidRPr="003701F3">
        <w:rPr>
          <w:rFonts w:cs="Arial"/>
        </w:rPr>
        <w:t xml:space="preserve"> </w:t>
      </w:r>
      <w:r w:rsidR="00F240FC">
        <w:rPr>
          <w:rFonts w:cs="Arial"/>
        </w:rPr>
        <w:t xml:space="preserve">prior to </w:t>
      </w:r>
      <w:r w:rsidR="00EB0D7B">
        <w:rPr>
          <w:rFonts w:cs="Arial"/>
        </w:rPr>
        <w:t xml:space="preserve">2023 </w:t>
      </w:r>
      <w:r w:rsidR="006711CC" w:rsidRPr="003701F3">
        <w:rPr>
          <w:rFonts w:cs="Arial"/>
        </w:rPr>
        <w:t>amounted to</w:t>
      </w:r>
      <w:r w:rsidR="00677F9D" w:rsidRPr="003701F3">
        <w:rPr>
          <w:rFonts w:cs="Arial"/>
        </w:rPr>
        <w:t xml:space="preserve"> CHF</w:t>
      </w:r>
      <w:r w:rsidR="006711CC" w:rsidRPr="003701F3">
        <w:rPr>
          <w:rFonts w:cs="Arial"/>
        </w:rPr>
        <w:t> </w:t>
      </w:r>
      <w:r w:rsidR="004A12F8">
        <w:rPr>
          <w:rFonts w:cs="Arial"/>
        </w:rPr>
        <w:t>1,</w:t>
      </w:r>
      <w:r w:rsidR="00EB0D7B">
        <w:rPr>
          <w:rFonts w:cs="Arial"/>
        </w:rPr>
        <w:t>299</w:t>
      </w:r>
      <w:r w:rsidR="00EB0D7B" w:rsidRPr="003701F3">
        <w:rPr>
          <w:rFonts w:cs="Arial"/>
        </w:rPr>
        <w:t>K</w:t>
      </w:r>
      <w:r w:rsidR="00F513BB">
        <w:rPr>
          <w:rFonts w:cs="Arial"/>
        </w:rPr>
        <w:t>,</w:t>
      </w:r>
      <w:r w:rsidR="0083596A">
        <w:rPr>
          <w:rStyle w:val="CommentReference"/>
        </w:rPr>
        <w:t xml:space="preserve"> </w:t>
      </w:r>
      <w:r w:rsidR="00297A1A" w:rsidRPr="003701F3">
        <w:rPr>
          <w:rFonts w:cs="Arial"/>
        </w:rPr>
        <w:t>compar</w:t>
      </w:r>
      <w:r w:rsidR="00297A1A">
        <w:rPr>
          <w:rFonts w:cs="Arial"/>
        </w:rPr>
        <w:t>ed</w:t>
      </w:r>
      <w:r w:rsidR="00297A1A" w:rsidRPr="003701F3">
        <w:rPr>
          <w:rFonts w:cs="Arial"/>
        </w:rPr>
        <w:t xml:space="preserve"> </w:t>
      </w:r>
      <w:r w:rsidR="00366A63" w:rsidRPr="003701F3">
        <w:rPr>
          <w:rFonts w:cs="Arial"/>
        </w:rPr>
        <w:t xml:space="preserve">to </w:t>
      </w:r>
      <w:r w:rsidR="007007E8">
        <w:rPr>
          <w:rFonts w:cs="Arial"/>
        </w:rPr>
        <w:t>CHF 1,</w:t>
      </w:r>
      <w:r w:rsidR="00EB0D7B">
        <w:rPr>
          <w:rFonts w:cs="Arial"/>
        </w:rPr>
        <w:t xml:space="preserve">143K </w:t>
      </w:r>
      <w:r w:rsidR="007007E8">
        <w:rPr>
          <w:rFonts w:cs="Arial"/>
        </w:rPr>
        <w:t xml:space="preserve">due </w:t>
      </w:r>
      <w:r w:rsidR="00B215BF">
        <w:rPr>
          <w:rFonts w:cs="Arial"/>
        </w:rPr>
        <w:t>at the end of</w:t>
      </w:r>
      <w:r w:rsidR="007007E8">
        <w:rPr>
          <w:rFonts w:cs="Arial"/>
        </w:rPr>
        <w:t xml:space="preserve"> </w:t>
      </w:r>
      <w:r w:rsidR="00EB0D7B" w:rsidRPr="003701F3">
        <w:rPr>
          <w:rFonts w:cs="Arial"/>
        </w:rPr>
        <w:t>20</w:t>
      </w:r>
      <w:r w:rsidR="00EB0D7B">
        <w:rPr>
          <w:rFonts w:cs="Arial"/>
        </w:rPr>
        <w:t>22</w:t>
      </w:r>
      <w:r w:rsidR="00F513BB">
        <w:rPr>
          <w:rFonts w:cs="Arial"/>
        </w:rPr>
        <w:t xml:space="preserve">, </w:t>
      </w:r>
      <w:r w:rsidR="00F513BB" w:rsidRPr="003701F3">
        <w:rPr>
          <w:rFonts w:cs="Arial"/>
        </w:rPr>
        <w:t>a</w:t>
      </w:r>
      <w:r w:rsidR="00F513BB">
        <w:rPr>
          <w:rFonts w:cs="Arial"/>
        </w:rPr>
        <w:t>n</w:t>
      </w:r>
      <w:r w:rsidR="00F513BB" w:rsidRPr="003701F3">
        <w:rPr>
          <w:rFonts w:cs="Arial"/>
        </w:rPr>
        <w:t xml:space="preserve"> </w:t>
      </w:r>
      <w:r w:rsidR="00F513BB">
        <w:rPr>
          <w:rFonts w:cs="Arial"/>
        </w:rPr>
        <w:t>in</w:t>
      </w:r>
      <w:r w:rsidR="00F513BB" w:rsidRPr="003701F3">
        <w:rPr>
          <w:rFonts w:cs="Arial"/>
        </w:rPr>
        <w:t xml:space="preserve">crease of </w:t>
      </w:r>
      <w:r w:rsidR="00D03291">
        <w:rPr>
          <w:rFonts w:cs="Arial"/>
        </w:rPr>
        <w:t>13.</w:t>
      </w:r>
      <w:r w:rsidR="00BD5E13">
        <w:rPr>
          <w:rFonts w:cs="Arial"/>
        </w:rPr>
        <w:t>6</w:t>
      </w:r>
      <w:r w:rsidR="00F513BB" w:rsidRPr="003701F3">
        <w:rPr>
          <w:rFonts w:cs="Arial"/>
        </w:rPr>
        <w:t>%</w:t>
      </w:r>
      <w:r w:rsidR="008E4CE6">
        <w:rPr>
          <w:rFonts w:cs="Arial"/>
        </w:rPr>
        <w:t xml:space="preserve"> from year to year</w:t>
      </w:r>
      <w:r w:rsidR="0030427E" w:rsidRPr="003701F3">
        <w:rPr>
          <w:rFonts w:cs="Arial"/>
        </w:rPr>
        <w:t>.</w:t>
      </w:r>
      <w:r w:rsidR="00487D70" w:rsidRPr="003701F3">
        <w:rPr>
          <w:rFonts w:cs="Arial"/>
        </w:rPr>
        <w:t xml:space="preserve"> </w:t>
      </w:r>
      <w:r w:rsidR="00677F9D" w:rsidRPr="003701F3">
        <w:rPr>
          <w:rFonts w:cs="Arial"/>
        </w:rPr>
        <w:t xml:space="preserve">Therefore, the total contributions </w:t>
      </w:r>
      <w:r w:rsidR="00127385" w:rsidRPr="003701F3">
        <w:rPr>
          <w:rFonts w:cs="Arial"/>
        </w:rPr>
        <w:t xml:space="preserve">due </w:t>
      </w:r>
      <w:r w:rsidRPr="003701F3">
        <w:rPr>
          <w:rFonts w:cs="Arial"/>
        </w:rPr>
        <w:t xml:space="preserve">but </w:t>
      </w:r>
      <w:r w:rsidR="00677F9D" w:rsidRPr="003701F3">
        <w:rPr>
          <w:rFonts w:cs="Arial"/>
        </w:rPr>
        <w:t xml:space="preserve">not received </w:t>
      </w:r>
      <w:r w:rsidR="00127385" w:rsidRPr="003701F3">
        <w:rPr>
          <w:rFonts w:cs="Arial"/>
        </w:rPr>
        <w:t>by that date</w:t>
      </w:r>
      <w:r w:rsidR="003175F8" w:rsidRPr="003701F3">
        <w:rPr>
          <w:rFonts w:cs="Arial"/>
        </w:rPr>
        <w:t xml:space="preserve"> </w:t>
      </w:r>
      <w:r w:rsidR="00677F9D" w:rsidRPr="003701F3">
        <w:rPr>
          <w:rFonts w:cs="Arial"/>
        </w:rPr>
        <w:t>amount</w:t>
      </w:r>
      <w:r w:rsidRPr="003701F3">
        <w:rPr>
          <w:rFonts w:cs="Arial"/>
        </w:rPr>
        <w:t>ed</w:t>
      </w:r>
      <w:r w:rsidR="00677F9D" w:rsidRPr="003701F3">
        <w:rPr>
          <w:rFonts w:cs="Arial"/>
        </w:rPr>
        <w:t xml:space="preserve"> to CHF</w:t>
      </w:r>
      <w:r w:rsidRPr="003701F3">
        <w:rPr>
          <w:rFonts w:cs="Arial"/>
        </w:rPr>
        <w:t> </w:t>
      </w:r>
      <w:r w:rsidR="00DB4623">
        <w:rPr>
          <w:rFonts w:cs="Arial"/>
        </w:rPr>
        <w:t>1,</w:t>
      </w:r>
      <w:r w:rsidR="00BD5E13">
        <w:rPr>
          <w:rFonts w:cs="Arial"/>
        </w:rPr>
        <w:t>635</w:t>
      </w:r>
      <w:r w:rsidR="00BD5E13" w:rsidRPr="003701F3">
        <w:rPr>
          <w:rFonts w:cs="Arial"/>
        </w:rPr>
        <w:t>K</w:t>
      </w:r>
      <w:r w:rsidRPr="003701F3">
        <w:rPr>
          <w:rFonts w:cs="Arial"/>
        </w:rPr>
        <w:t>,</w:t>
      </w:r>
      <w:r w:rsidR="00677F9D" w:rsidRPr="003701F3">
        <w:rPr>
          <w:rFonts w:cs="Arial"/>
        </w:rPr>
        <w:t xml:space="preserve"> </w:t>
      </w:r>
      <w:r w:rsidR="001A79E2">
        <w:rPr>
          <w:rFonts w:cs="Arial"/>
        </w:rPr>
        <w:t xml:space="preserve">which </w:t>
      </w:r>
      <w:r w:rsidR="008E4CE6">
        <w:rPr>
          <w:rFonts w:cs="Arial"/>
        </w:rPr>
        <w:t xml:space="preserve">represented </w:t>
      </w:r>
      <w:r w:rsidR="00677F9D" w:rsidRPr="003701F3">
        <w:rPr>
          <w:rFonts w:cs="Arial"/>
        </w:rPr>
        <w:t>a</w:t>
      </w:r>
      <w:r w:rsidR="004A12F8">
        <w:rPr>
          <w:rFonts w:cs="Arial"/>
        </w:rPr>
        <w:t>n</w:t>
      </w:r>
      <w:r w:rsidR="00677F9D" w:rsidRPr="003701F3">
        <w:rPr>
          <w:rFonts w:cs="Arial"/>
        </w:rPr>
        <w:t xml:space="preserve"> </w:t>
      </w:r>
      <w:r w:rsidR="004A12F8">
        <w:rPr>
          <w:rFonts w:cs="Arial"/>
        </w:rPr>
        <w:t>in</w:t>
      </w:r>
      <w:r w:rsidR="004A12F8" w:rsidRPr="003701F3">
        <w:rPr>
          <w:rFonts w:cs="Arial"/>
        </w:rPr>
        <w:t xml:space="preserve">crease </w:t>
      </w:r>
      <w:r w:rsidR="00677F9D" w:rsidRPr="003701F3">
        <w:rPr>
          <w:rFonts w:cs="Arial"/>
        </w:rPr>
        <w:t xml:space="preserve">of CHF </w:t>
      </w:r>
      <w:r w:rsidR="00BD5E13">
        <w:rPr>
          <w:rFonts w:cs="Arial"/>
        </w:rPr>
        <w:t>41</w:t>
      </w:r>
      <w:r w:rsidR="00BD5E13" w:rsidRPr="003701F3">
        <w:rPr>
          <w:rFonts w:cs="Arial"/>
        </w:rPr>
        <w:t xml:space="preserve">K </w:t>
      </w:r>
      <w:r w:rsidR="00677F9D" w:rsidRPr="003701F3">
        <w:rPr>
          <w:rFonts w:cs="Arial"/>
        </w:rPr>
        <w:t xml:space="preserve">compared to </w:t>
      </w:r>
      <w:r w:rsidR="004A12F8">
        <w:rPr>
          <w:rFonts w:cs="Arial"/>
        </w:rPr>
        <w:t>202</w:t>
      </w:r>
      <w:r w:rsidR="00BD5E13">
        <w:rPr>
          <w:rFonts w:cs="Arial"/>
        </w:rPr>
        <w:t>2</w:t>
      </w:r>
      <w:r w:rsidR="00AF27FB">
        <w:rPr>
          <w:rFonts w:cs="Arial"/>
        </w:rPr>
        <w:t xml:space="preserve">, or </w:t>
      </w:r>
      <w:r w:rsidR="0053626D">
        <w:rPr>
          <w:rFonts w:cs="Arial"/>
        </w:rPr>
        <w:t>a</w:t>
      </w:r>
      <w:r w:rsidR="004A12F8">
        <w:rPr>
          <w:rFonts w:cs="Arial"/>
        </w:rPr>
        <w:t>n</w:t>
      </w:r>
      <w:r w:rsidR="0053626D">
        <w:rPr>
          <w:rFonts w:cs="Arial"/>
        </w:rPr>
        <w:t xml:space="preserve"> </w:t>
      </w:r>
      <w:r w:rsidR="004A12F8">
        <w:rPr>
          <w:rFonts w:cs="Arial"/>
        </w:rPr>
        <w:t xml:space="preserve">increase </w:t>
      </w:r>
      <w:r w:rsidR="0053626D">
        <w:rPr>
          <w:rFonts w:cs="Arial"/>
        </w:rPr>
        <w:t xml:space="preserve">of </w:t>
      </w:r>
      <w:r w:rsidR="00BD5E13">
        <w:rPr>
          <w:rFonts w:cs="Arial"/>
        </w:rPr>
        <w:t>2.6</w:t>
      </w:r>
      <w:r w:rsidR="00AF27FB">
        <w:rPr>
          <w:rFonts w:cs="Arial"/>
        </w:rPr>
        <w:t>%</w:t>
      </w:r>
      <w:r w:rsidR="00677F9D" w:rsidRPr="003701F3">
        <w:rPr>
          <w:rFonts w:cs="Arial"/>
        </w:rPr>
        <w:t>.</w:t>
      </w:r>
      <w:r w:rsidR="00677F9D" w:rsidRPr="00BC227D">
        <w:rPr>
          <w:rFonts w:cs="Arial"/>
        </w:rPr>
        <w:t xml:space="preserve"> </w:t>
      </w:r>
    </w:p>
    <w:p w14:paraId="308087A4" w14:textId="77777777" w:rsidR="004F5EC1" w:rsidRPr="00BC227D" w:rsidRDefault="004F5EC1" w:rsidP="004316A3">
      <w:pPr>
        <w:rPr>
          <w:rFonts w:cs="Arial"/>
        </w:rPr>
      </w:pPr>
    </w:p>
    <w:p w14:paraId="4DE060BD" w14:textId="1FF8A3BD" w:rsidR="004F5EC1" w:rsidRPr="00BC227D" w:rsidRDefault="009413A3" w:rsidP="00AD53FB">
      <w:pPr>
        <w:rPr>
          <w:rFonts w:cs="Arial"/>
        </w:rPr>
      </w:pPr>
      <w:r>
        <w:rPr>
          <w:rFonts w:cs="Arial"/>
        </w:rPr>
        <w:t>6</w:t>
      </w:r>
      <w:r w:rsidR="0061090C">
        <w:rPr>
          <w:rFonts w:cs="Arial"/>
        </w:rPr>
        <w:t>.</w:t>
      </w:r>
      <w:r w:rsidR="0061090C">
        <w:rPr>
          <w:rFonts w:cs="Arial"/>
        </w:rPr>
        <w:tab/>
      </w:r>
      <w:r w:rsidR="008F436F">
        <w:rPr>
          <w:rFonts w:cs="Arial"/>
        </w:rPr>
        <w:t>C</w:t>
      </w:r>
      <w:r w:rsidR="004F5EC1" w:rsidRPr="00BC227D">
        <w:rPr>
          <w:rFonts w:cs="Arial"/>
        </w:rPr>
        <w:t xml:space="preserve">ontributions </w:t>
      </w:r>
      <w:r>
        <w:rPr>
          <w:rFonts w:cs="Arial"/>
        </w:rPr>
        <w:t xml:space="preserve">for </w:t>
      </w:r>
      <w:r w:rsidR="004A12F8">
        <w:rPr>
          <w:rFonts w:cs="Arial"/>
        </w:rPr>
        <w:t>202</w:t>
      </w:r>
      <w:r w:rsidR="00BD5E13">
        <w:rPr>
          <w:rFonts w:cs="Arial"/>
        </w:rPr>
        <w:t>3</w:t>
      </w:r>
      <w:r w:rsidR="004A12F8">
        <w:rPr>
          <w:rFonts w:cs="Arial"/>
        </w:rPr>
        <w:t xml:space="preserve"> </w:t>
      </w:r>
      <w:r w:rsidR="00302602">
        <w:rPr>
          <w:rFonts w:cs="Arial"/>
        </w:rPr>
        <w:t>had</w:t>
      </w:r>
      <w:r>
        <w:rPr>
          <w:rFonts w:cs="Arial"/>
        </w:rPr>
        <w:t xml:space="preserve"> </w:t>
      </w:r>
      <w:r w:rsidR="004F5EC1" w:rsidRPr="00BC227D">
        <w:rPr>
          <w:rFonts w:cs="Arial"/>
        </w:rPr>
        <w:t xml:space="preserve">not </w:t>
      </w:r>
      <w:r w:rsidR="00302602">
        <w:rPr>
          <w:rFonts w:cs="Arial"/>
        </w:rPr>
        <w:t xml:space="preserve">been </w:t>
      </w:r>
      <w:r>
        <w:rPr>
          <w:rFonts w:cs="Arial"/>
        </w:rPr>
        <w:t xml:space="preserve">received, </w:t>
      </w:r>
      <w:r w:rsidR="003175F8" w:rsidRPr="00BC227D">
        <w:rPr>
          <w:rFonts w:cs="Arial"/>
        </w:rPr>
        <w:t xml:space="preserve">or not </w:t>
      </w:r>
      <w:r w:rsidR="004F5EC1" w:rsidRPr="00BC227D">
        <w:rPr>
          <w:rFonts w:cs="Arial"/>
        </w:rPr>
        <w:t>received</w:t>
      </w:r>
      <w:r>
        <w:rPr>
          <w:rFonts w:cs="Arial"/>
        </w:rPr>
        <w:t xml:space="preserve"> in full,</w:t>
      </w:r>
      <w:r w:rsidR="004F5EC1" w:rsidRPr="00BC227D">
        <w:rPr>
          <w:rFonts w:cs="Arial"/>
        </w:rPr>
        <w:t xml:space="preserve"> </w:t>
      </w:r>
      <w:r w:rsidR="008F436F">
        <w:rPr>
          <w:rFonts w:cs="Arial"/>
        </w:rPr>
        <w:t xml:space="preserve">from </w:t>
      </w:r>
      <w:r w:rsidR="004A12F8">
        <w:rPr>
          <w:rFonts w:cs="Arial"/>
        </w:rPr>
        <w:t>83</w:t>
      </w:r>
      <w:r w:rsidR="004A12F8" w:rsidRPr="00BC227D">
        <w:rPr>
          <w:rFonts w:cs="Arial"/>
        </w:rPr>
        <w:t xml:space="preserve"> </w:t>
      </w:r>
      <w:r w:rsidR="008F436F" w:rsidRPr="00BC227D">
        <w:rPr>
          <w:rFonts w:cs="Arial"/>
        </w:rPr>
        <w:t xml:space="preserve">Contracting Parties </w:t>
      </w:r>
      <w:r w:rsidR="008F436F">
        <w:rPr>
          <w:rFonts w:cs="Arial"/>
        </w:rPr>
        <w:t>by</w:t>
      </w:r>
      <w:r w:rsidR="004F5EC1" w:rsidRPr="00BC227D">
        <w:rPr>
          <w:rFonts w:cs="Arial"/>
        </w:rPr>
        <w:t xml:space="preserve"> 31 December </w:t>
      </w:r>
      <w:r w:rsidR="00AB1C0C">
        <w:rPr>
          <w:rFonts w:cs="Arial"/>
        </w:rPr>
        <w:t>2023</w:t>
      </w:r>
      <w:r w:rsidR="00AB1C0C" w:rsidRPr="00BC227D">
        <w:rPr>
          <w:rFonts w:cs="Arial"/>
        </w:rPr>
        <w:t xml:space="preserve"> </w:t>
      </w:r>
      <w:r w:rsidR="004F5EC1" w:rsidRPr="00BC227D">
        <w:rPr>
          <w:rFonts w:cs="Arial"/>
        </w:rPr>
        <w:t>(</w:t>
      </w:r>
      <w:r w:rsidR="00AB1C0C">
        <w:rPr>
          <w:rFonts w:cs="Arial"/>
        </w:rPr>
        <w:t xml:space="preserve">the same </w:t>
      </w:r>
      <w:r w:rsidR="008E4CE6">
        <w:rPr>
          <w:rFonts w:cs="Arial"/>
        </w:rPr>
        <w:t xml:space="preserve">number </w:t>
      </w:r>
      <w:r w:rsidR="00AB1C0C">
        <w:rPr>
          <w:rFonts w:cs="Arial"/>
        </w:rPr>
        <w:t>as</w:t>
      </w:r>
      <w:r w:rsidR="004A12F8" w:rsidRPr="00BC227D">
        <w:rPr>
          <w:rFonts w:cs="Arial"/>
        </w:rPr>
        <w:t xml:space="preserve"> </w:t>
      </w:r>
      <w:r w:rsidR="00673D23">
        <w:rPr>
          <w:rFonts w:cs="Arial"/>
        </w:rPr>
        <w:t>at the end of</w:t>
      </w:r>
      <w:r w:rsidR="004F5EC1" w:rsidRPr="00BC227D">
        <w:rPr>
          <w:rFonts w:cs="Arial"/>
        </w:rPr>
        <w:t xml:space="preserve"> </w:t>
      </w:r>
      <w:r w:rsidR="00AB1C0C" w:rsidRPr="00BC227D">
        <w:rPr>
          <w:rFonts w:cs="Arial"/>
        </w:rPr>
        <w:t>20</w:t>
      </w:r>
      <w:r w:rsidR="00AB1C0C">
        <w:rPr>
          <w:rFonts w:cs="Arial"/>
        </w:rPr>
        <w:t>22</w:t>
      </w:r>
      <w:r w:rsidR="004F5EC1" w:rsidRPr="00BC227D">
        <w:rPr>
          <w:rFonts w:cs="Arial"/>
        </w:rPr>
        <w:t>)</w:t>
      </w:r>
      <w:r w:rsidR="003175F8" w:rsidRPr="00BC227D">
        <w:rPr>
          <w:rFonts w:cs="Arial"/>
        </w:rPr>
        <w:t>.</w:t>
      </w:r>
      <w:r w:rsidR="005440DC">
        <w:rPr>
          <w:rFonts w:cs="Arial"/>
        </w:rPr>
        <w:t xml:space="preserve"> </w:t>
      </w:r>
    </w:p>
    <w:p w14:paraId="03E46271" w14:textId="4189EC30" w:rsidR="00677F9D" w:rsidRPr="00BC227D" w:rsidRDefault="00677F9D" w:rsidP="00626DA0">
      <w:pPr>
        <w:rPr>
          <w:rFonts w:cs="Arial"/>
        </w:rPr>
      </w:pPr>
    </w:p>
    <w:p w14:paraId="215FD274" w14:textId="569E9083" w:rsidR="00133E4E" w:rsidRDefault="00F46056" w:rsidP="00AD53FB">
      <w:pPr>
        <w:rPr>
          <w:rFonts w:cs="Arial"/>
        </w:rPr>
      </w:pPr>
      <w:r>
        <w:rPr>
          <w:rFonts w:cs="Arial"/>
        </w:rPr>
        <w:t>7</w:t>
      </w:r>
      <w:r w:rsidR="0061090C">
        <w:rPr>
          <w:rFonts w:cs="Arial"/>
        </w:rPr>
        <w:t>.</w:t>
      </w:r>
      <w:r w:rsidR="0061090C">
        <w:rPr>
          <w:rFonts w:cs="Arial"/>
        </w:rPr>
        <w:tab/>
      </w:r>
      <w:r w:rsidR="00677F9D">
        <w:rPr>
          <w:rFonts w:cs="Arial"/>
        </w:rPr>
        <w:t xml:space="preserve">Table 1 below shows </w:t>
      </w:r>
      <w:r w:rsidR="003944C2">
        <w:rPr>
          <w:rFonts w:cs="Arial"/>
        </w:rPr>
        <w:t xml:space="preserve">the </w:t>
      </w:r>
      <w:r w:rsidR="00677F9D">
        <w:rPr>
          <w:rFonts w:cs="Arial"/>
        </w:rPr>
        <w:t xml:space="preserve">status of contributions from </w:t>
      </w:r>
      <w:r w:rsidR="004A12F8">
        <w:rPr>
          <w:rFonts w:cs="Arial"/>
        </w:rPr>
        <w:t>201</w:t>
      </w:r>
      <w:r w:rsidR="00AB1C0C">
        <w:rPr>
          <w:rFonts w:cs="Arial"/>
        </w:rPr>
        <w:t>9</w:t>
      </w:r>
      <w:r w:rsidR="004A12F8">
        <w:rPr>
          <w:rFonts w:cs="Arial"/>
        </w:rPr>
        <w:t xml:space="preserve"> </w:t>
      </w:r>
      <w:r w:rsidR="00677F9D">
        <w:rPr>
          <w:rFonts w:cs="Arial"/>
        </w:rPr>
        <w:t xml:space="preserve">to </w:t>
      </w:r>
      <w:r w:rsidR="00AB1C0C">
        <w:rPr>
          <w:rFonts w:cs="Arial"/>
        </w:rPr>
        <w:t xml:space="preserve">2023 </w:t>
      </w:r>
      <w:r w:rsidR="00677F9D">
        <w:rPr>
          <w:rFonts w:cs="Arial"/>
        </w:rPr>
        <w:t xml:space="preserve">and the related provision for non-collection of contributions. </w:t>
      </w:r>
      <w:r w:rsidR="00B251F4">
        <w:rPr>
          <w:rFonts w:cs="Arial"/>
        </w:rPr>
        <w:t>T</w:t>
      </w:r>
      <w:r w:rsidR="004F5EC1">
        <w:rPr>
          <w:rFonts w:cs="Arial"/>
        </w:rPr>
        <w:t>he provision</w:t>
      </w:r>
      <w:r w:rsidR="006B3B75">
        <w:rPr>
          <w:rFonts w:cs="Arial"/>
        </w:rPr>
        <w:t xml:space="preserve"> for non-collection</w:t>
      </w:r>
      <w:r w:rsidR="004F5EC1">
        <w:rPr>
          <w:rFonts w:cs="Arial"/>
        </w:rPr>
        <w:t xml:space="preserve"> </w:t>
      </w:r>
      <w:r w:rsidR="0064120D">
        <w:rPr>
          <w:rFonts w:cs="Arial"/>
        </w:rPr>
        <w:t>was</w:t>
      </w:r>
      <w:r w:rsidR="004F5EC1">
        <w:rPr>
          <w:rFonts w:cs="Arial"/>
        </w:rPr>
        <w:t xml:space="preserve"> </w:t>
      </w:r>
      <w:r w:rsidR="00741B74">
        <w:rPr>
          <w:rFonts w:cs="Arial"/>
        </w:rPr>
        <w:t xml:space="preserve">increased </w:t>
      </w:r>
      <w:r w:rsidR="004F5EC1">
        <w:rPr>
          <w:rFonts w:cs="Arial"/>
        </w:rPr>
        <w:t xml:space="preserve">by CHF </w:t>
      </w:r>
      <w:r w:rsidR="00AB1C0C">
        <w:rPr>
          <w:rFonts w:cs="Arial"/>
        </w:rPr>
        <w:t>21</w:t>
      </w:r>
      <w:r w:rsidR="00697BEF">
        <w:rPr>
          <w:rFonts w:cs="Arial"/>
        </w:rPr>
        <w:t>1</w:t>
      </w:r>
      <w:r w:rsidR="00AB1C0C">
        <w:rPr>
          <w:rFonts w:cs="Arial"/>
        </w:rPr>
        <w:t xml:space="preserve">K </w:t>
      </w:r>
      <w:r w:rsidR="004F5EC1">
        <w:rPr>
          <w:rFonts w:cs="Arial"/>
        </w:rPr>
        <w:t xml:space="preserve">to CHF </w:t>
      </w:r>
      <w:r w:rsidR="00626DA0">
        <w:rPr>
          <w:rFonts w:cs="Arial"/>
        </w:rPr>
        <w:t>1,</w:t>
      </w:r>
      <w:r w:rsidR="00AB1C0C">
        <w:rPr>
          <w:rFonts w:cs="Arial"/>
        </w:rPr>
        <w:t>41</w:t>
      </w:r>
      <w:r w:rsidR="00697BEF">
        <w:rPr>
          <w:rFonts w:cs="Arial"/>
        </w:rPr>
        <w:t>3</w:t>
      </w:r>
      <w:r w:rsidR="00AB1C0C">
        <w:rPr>
          <w:rFonts w:cs="Arial"/>
        </w:rPr>
        <w:t xml:space="preserve">K </w:t>
      </w:r>
      <w:r w:rsidR="002027B6">
        <w:rPr>
          <w:rFonts w:cs="Arial"/>
        </w:rPr>
        <w:t xml:space="preserve">at the end of </w:t>
      </w:r>
      <w:r w:rsidR="00AB1C0C">
        <w:rPr>
          <w:rFonts w:cs="Arial"/>
        </w:rPr>
        <w:t>2023</w:t>
      </w:r>
      <w:r w:rsidR="002027B6">
        <w:rPr>
          <w:rFonts w:cs="Arial"/>
        </w:rPr>
        <w:t>.</w:t>
      </w:r>
      <w:r w:rsidR="00205CC0">
        <w:rPr>
          <w:rFonts w:cs="Arial"/>
        </w:rPr>
        <w:t xml:space="preserve"> Paragraph 8 below explains the increase in </w:t>
      </w:r>
      <w:r w:rsidR="006B3B75">
        <w:rPr>
          <w:rFonts w:cs="Arial"/>
        </w:rPr>
        <w:t xml:space="preserve">this </w:t>
      </w:r>
      <w:r w:rsidR="00205CC0">
        <w:rPr>
          <w:rFonts w:cs="Arial"/>
        </w:rPr>
        <w:t>provision since 2019.</w:t>
      </w:r>
    </w:p>
    <w:p w14:paraId="74196DB3" w14:textId="77777777" w:rsidR="00133E4E" w:rsidRDefault="00133E4E" w:rsidP="00133E4E">
      <w:pPr>
        <w:rPr>
          <w:rFonts w:cs="Arial"/>
        </w:rPr>
      </w:pPr>
    </w:p>
    <w:p w14:paraId="0E9269C3" w14:textId="07B84228" w:rsidR="00186378" w:rsidRPr="00186378" w:rsidRDefault="00186378" w:rsidP="009825D5">
      <w:pPr>
        <w:rPr>
          <w:rFonts w:cs="Arial"/>
          <w:i/>
        </w:rPr>
      </w:pPr>
      <w:r w:rsidRPr="00186378">
        <w:rPr>
          <w:rFonts w:cs="Arial"/>
          <w:i/>
        </w:rPr>
        <w:t xml:space="preserve">Table 1: Status of contributions and provision for non-collection, </w:t>
      </w:r>
      <w:r w:rsidR="00AB1C0C" w:rsidRPr="00186378">
        <w:rPr>
          <w:rFonts w:cs="Arial"/>
          <w:i/>
        </w:rPr>
        <w:t>201</w:t>
      </w:r>
      <w:r w:rsidR="00AB1C0C">
        <w:rPr>
          <w:rFonts w:cs="Arial"/>
          <w:i/>
        </w:rPr>
        <w:t>9</w:t>
      </w:r>
      <w:r w:rsidRPr="00186378">
        <w:rPr>
          <w:rFonts w:cs="Arial"/>
          <w:i/>
        </w:rPr>
        <w:t>-</w:t>
      </w:r>
      <w:r w:rsidR="00AB1C0C" w:rsidRPr="00186378">
        <w:rPr>
          <w:rFonts w:cs="Arial"/>
          <w:i/>
        </w:rPr>
        <w:t>20</w:t>
      </w:r>
      <w:r w:rsidR="00AB1C0C">
        <w:rPr>
          <w:rFonts w:cs="Arial"/>
          <w:i/>
        </w:rPr>
        <w:t xml:space="preserve">23 </w:t>
      </w:r>
      <w:r w:rsidRPr="00186378">
        <w:rPr>
          <w:rFonts w:cs="Arial"/>
          <w:i/>
        </w:rPr>
        <w:t>(CHF ‘000)</w:t>
      </w:r>
    </w:p>
    <w:tbl>
      <w:tblPr>
        <w:tblW w:w="907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bottom w:w="28" w:type="dxa"/>
        </w:tblCellMar>
        <w:tblLook w:val="04A0" w:firstRow="1" w:lastRow="0" w:firstColumn="1" w:lastColumn="0" w:noHBand="0" w:noVBand="1"/>
      </w:tblPr>
      <w:tblGrid>
        <w:gridCol w:w="4253"/>
        <w:gridCol w:w="964"/>
        <w:gridCol w:w="964"/>
        <w:gridCol w:w="964"/>
        <w:gridCol w:w="964"/>
        <w:gridCol w:w="964"/>
      </w:tblGrid>
      <w:tr w:rsidR="008E4CE6" w:rsidRPr="00186378" w14:paraId="14FD7918" w14:textId="107BAD3C" w:rsidTr="008E4CE6">
        <w:trPr>
          <w:trHeight w:val="278"/>
        </w:trPr>
        <w:tc>
          <w:tcPr>
            <w:tcW w:w="4253" w:type="dxa"/>
            <w:shd w:val="clear" w:color="auto" w:fill="C6D9F1" w:themeFill="text2" w:themeFillTint="33"/>
            <w:noWrap/>
            <w:hideMark/>
          </w:tcPr>
          <w:p w14:paraId="21F00986" w14:textId="77777777" w:rsidR="008E4CE6" w:rsidRPr="00186378" w:rsidRDefault="008E4CE6" w:rsidP="00BA5F32">
            <w:pPr>
              <w:ind w:left="0" w:firstLine="0"/>
              <w:jc w:val="center"/>
              <w:rPr>
                <w:b/>
              </w:rPr>
            </w:pPr>
            <w:r w:rsidRPr="00186378">
              <w:rPr>
                <w:b/>
              </w:rPr>
              <w:t>Description</w:t>
            </w:r>
          </w:p>
        </w:tc>
        <w:tc>
          <w:tcPr>
            <w:tcW w:w="964" w:type="dxa"/>
            <w:shd w:val="clear" w:color="auto" w:fill="C6D9F1" w:themeFill="text2" w:themeFillTint="33"/>
          </w:tcPr>
          <w:p w14:paraId="3D8867E5" w14:textId="370C14F8" w:rsidR="008E4CE6" w:rsidRPr="00186378" w:rsidRDefault="008E4CE6" w:rsidP="00BA5F32">
            <w:pPr>
              <w:ind w:left="0" w:firstLine="0"/>
              <w:jc w:val="center"/>
              <w:rPr>
                <w:b/>
              </w:rPr>
            </w:pPr>
            <w:r>
              <w:rPr>
                <w:b/>
              </w:rPr>
              <w:t>2019</w:t>
            </w:r>
          </w:p>
        </w:tc>
        <w:tc>
          <w:tcPr>
            <w:tcW w:w="964" w:type="dxa"/>
            <w:shd w:val="clear" w:color="auto" w:fill="C6D9F1" w:themeFill="text2" w:themeFillTint="33"/>
          </w:tcPr>
          <w:p w14:paraId="1C627F5D" w14:textId="63472100" w:rsidR="008E4CE6" w:rsidRDefault="008E4CE6" w:rsidP="00BA5F32">
            <w:pPr>
              <w:ind w:left="0" w:firstLine="0"/>
              <w:jc w:val="center"/>
              <w:rPr>
                <w:b/>
              </w:rPr>
            </w:pPr>
            <w:r>
              <w:rPr>
                <w:b/>
              </w:rPr>
              <w:t>2020</w:t>
            </w:r>
          </w:p>
        </w:tc>
        <w:tc>
          <w:tcPr>
            <w:tcW w:w="964" w:type="dxa"/>
            <w:shd w:val="clear" w:color="auto" w:fill="C6D9F1" w:themeFill="text2" w:themeFillTint="33"/>
          </w:tcPr>
          <w:p w14:paraId="27445725" w14:textId="5532CCEA" w:rsidR="008E4CE6" w:rsidRDefault="008E4CE6" w:rsidP="00BA5F32">
            <w:pPr>
              <w:ind w:left="0" w:firstLine="0"/>
              <w:jc w:val="center"/>
              <w:rPr>
                <w:b/>
              </w:rPr>
            </w:pPr>
            <w:r>
              <w:rPr>
                <w:b/>
              </w:rPr>
              <w:t>2021</w:t>
            </w:r>
          </w:p>
        </w:tc>
        <w:tc>
          <w:tcPr>
            <w:tcW w:w="964" w:type="dxa"/>
            <w:shd w:val="clear" w:color="auto" w:fill="C6D9F1" w:themeFill="text2" w:themeFillTint="33"/>
          </w:tcPr>
          <w:p w14:paraId="69979068" w14:textId="45505633" w:rsidR="008E4CE6" w:rsidRDefault="008E4CE6" w:rsidP="00BA5F32">
            <w:pPr>
              <w:ind w:left="0" w:firstLine="0"/>
              <w:jc w:val="center"/>
              <w:rPr>
                <w:b/>
              </w:rPr>
            </w:pPr>
            <w:r>
              <w:rPr>
                <w:b/>
              </w:rPr>
              <w:t>2022</w:t>
            </w:r>
          </w:p>
        </w:tc>
        <w:tc>
          <w:tcPr>
            <w:tcW w:w="964" w:type="dxa"/>
            <w:shd w:val="clear" w:color="auto" w:fill="C6D9F1" w:themeFill="text2" w:themeFillTint="33"/>
          </w:tcPr>
          <w:p w14:paraId="73B1A29F" w14:textId="7B0C53EF" w:rsidR="008E4CE6" w:rsidRDefault="008E4CE6" w:rsidP="00BA5F32">
            <w:pPr>
              <w:ind w:left="0" w:firstLine="0"/>
              <w:jc w:val="center"/>
              <w:rPr>
                <w:b/>
              </w:rPr>
            </w:pPr>
            <w:r>
              <w:rPr>
                <w:b/>
              </w:rPr>
              <w:t>2023</w:t>
            </w:r>
          </w:p>
        </w:tc>
      </w:tr>
      <w:tr w:rsidR="008E4CE6" w:rsidRPr="00186378" w14:paraId="65836DA0" w14:textId="00B8A713" w:rsidTr="008E4CE6">
        <w:trPr>
          <w:trHeight w:val="278"/>
        </w:trPr>
        <w:tc>
          <w:tcPr>
            <w:tcW w:w="4253" w:type="dxa"/>
            <w:shd w:val="clear" w:color="auto" w:fill="auto"/>
            <w:noWrap/>
            <w:vAlign w:val="center"/>
          </w:tcPr>
          <w:p w14:paraId="5B1B580C" w14:textId="77777777" w:rsidR="008E4CE6" w:rsidRPr="00186378" w:rsidRDefault="008E4CE6" w:rsidP="00AB1C0C">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Assessed contributions from Contracting Parties</w:t>
            </w:r>
          </w:p>
        </w:tc>
        <w:tc>
          <w:tcPr>
            <w:tcW w:w="964" w:type="dxa"/>
            <w:vAlign w:val="center"/>
          </w:tcPr>
          <w:p w14:paraId="575D9219" w14:textId="0A4C4754" w:rsidR="008E4CE6" w:rsidRPr="003701F3" w:rsidRDefault="008E4CE6" w:rsidP="00AB1C0C">
            <w:pPr>
              <w:ind w:left="0" w:firstLine="0"/>
              <w:jc w:val="right"/>
              <w:rPr>
                <w:rFonts w:asciiTheme="minorHAnsi" w:eastAsia="Times New Roman" w:hAnsiTheme="minorHAnsi" w:cs="Arial"/>
                <w:color w:val="000000"/>
                <w:lang w:eastAsia="en-GB"/>
              </w:rPr>
            </w:pPr>
            <w:r w:rsidRPr="003701F3">
              <w:rPr>
                <w:rFonts w:asciiTheme="minorHAnsi" w:eastAsia="Times New Roman" w:hAnsiTheme="minorHAnsi" w:cs="Arial"/>
                <w:color w:val="000000"/>
                <w:lang w:eastAsia="en-GB"/>
              </w:rPr>
              <w:t>3,779</w:t>
            </w:r>
          </w:p>
        </w:tc>
        <w:tc>
          <w:tcPr>
            <w:tcW w:w="964" w:type="dxa"/>
            <w:vAlign w:val="center"/>
          </w:tcPr>
          <w:p w14:paraId="2A22E91C" w14:textId="499E949B" w:rsidR="008E4CE6" w:rsidRPr="003701F3"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c>
          <w:tcPr>
            <w:tcW w:w="964" w:type="dxa"/>
            <w:vAlign w:val="center"/>
          </w:tcPr>
          <w:p w14:paraId="5B5D3636" w14:textId="2EE49268"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c>
          <w:tcPr>
            <w:tcW w:w="964" w:type="dxa"/>
            <w:vAlign w:val="center"/>
          </w:tcPr>
          <w:p w14:paraId="6C0C13DE" w14:textId="56637AC0"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c>
          <w:tcPr>
            <w:tcW w:w="964" w:type="dxa"/>
            <w:vAlign w:val="center"/>
          </w:tcPr>
          <w:p w14:paraId="46EE3A60" w14:textId="6937DB10"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r>
      <w:tr w:rsidR="008E4CE6" w:rsidRPr="00186378" w14:paraId="609C718C" w14:textId="3C4250BD" w:rsidTr="008E4CE6">
        <w:trPr>
          <w:trHeight w:val="278"/>
        </w:trPr>
        <w:tc>
          <w:tcPr>
            <w:tcW w:w="4253" w:type="dxa"/>
            <w:shd w:val="clear" w:color="auto" w:fill="auto"/>
            <w:noWrap/>
            <w:vAlign w:val="center"/>
            <w:hideMark/>
          </w:tcPr>
          <w:p w14:paraId="7E1177C0" w14:textId="32458D1E" w:rsidR="008E4CE6" w:rsidRPr="00186378" w:rsidRDefault="008E4CE6" w:rsidP="00AB1C0C">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 xml:space="preserve">Voluntary contribution from </w:t>
            </w:r>
            <w:r>
              <w:rPr>
                <w:rFonts w:asciiTheme="minorHAnsi" w:eastAsia="Times New Roman" w:hAnsiTheme="minorHAnsi" w:cs="Arial"/>
                <w:color w:val="000000"/>
                <w:lang w:eastAsia="en-GB"/>
              </w:rPr>
              <w:t xml:space="preserve">the </w:t>
            </w:r>
            <w:r w:rsidRPr="00186378">
              <w:rPr>
                <w:rFonts w:asciiTheme="minorHAnsi" w:eastAsia="Times New Roman" w:hAnsiTheme="minorHAnsi" w:cs="Arial"/>
                <w:color w:val="000000"/>
                <w:lang w:eastAsia="en-GB"/>
              </w:rPr>
              <w:t>United States of America</w:t>
            </w:r>
          </w:p>
        </w:tc>
        <w:tc>
          <w:tcPr>
            <w:tcW w:w="964" w:type="dxa"/>
            <w:vAlign w:val="center"/>
          </w:tcPr>
          <w:p w14:paraId="0156D16E" w14:textId="732ABEC2" w:rsidR="008E4CE6" w:rsidRPr="003701F3" w:rsidRDefault="008E4CE6" w:rsidP="00AB1C0C">
            <w:pPr>
              <w:ind w:left="0" w:firstLine="0"/>
              <w:jc w:val="right"/>
              <w:rPr>
                <w:rFonts w:asciiTheme="minorHAnsi" w:eastAsia="Times New Roman" w:hAnsiTheme="minorHAnsi" w:cs="Arial"/>
                <w:color w:val="000000"/>
                <w:lang w:eastAsia="en-GB"/>
              </w:rPr>
            </w:pPr>
            <w:r w:rsidRPr="003701F3">
              <w:rPr>
                <w:rFonts w:asciiTheme="minorHAnsi" w:eastAsia="Times New Roman" w:hAnsiTheme="minorHAnsi" w:cs="Arial"/>
                <w:color w:val="000000"/>
                <w:lang w:eastAsia="en-GB"/>
              </w:rPr>
              <w:t>1,066</w:t>
            </w:r>
          </w:p>
        </w:tc>
        <w:tc>
          <w:tcPr>
            <w:tcW w:w="964" w:type="dxa"/>
            <w:vAlign w:val="center"/>
          </w:tcPr>
          <w:p w14:paraId="2610A454" w14:textId="3B648B03" w:rsidR="008E4CE6" w:rsidRPr="003701F3"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c>
          <w:tcPr>
            <w:tcW w:w="964" w:type="dxa"/>
            <w:vAlign w:val="center"/>
          </w:tcPr>
          <w:p w14:paraId="63FD93A4" w14:textId="11D15B21"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c>
          <w:tcPr>
            <w:tcW w:w="964" w:type="dxa"/>
            <w:vAlign w:val="center"/>
          </w:tcPr>
          <w:p w14:paraId="4511E1E4" w14:textId="41690A8A"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c>
          <w:tcPr>
            <w:tcW w:w="964" w:type="dxa"/>
            <w:vAlign w:val="center"/>
          </w:tcPr>
          <w:p w14:paraId="57203C20" w14:textId="1EDBE67B"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r>
      <w:tr w:rsidR="008E4CE6" w:rsidRPr="00186378" w14:paraId="49DE6109" w14:textId="0AAF6CD2" w:rsidTr="008E4CE6">
        <w:trPr>
          <w:trHeight w:val="278"/>
        </w:trPr>
        <w:tc>
          <w:tcPr>
            <w:tcW w:w="4253" w:type="dxa"/>
            <w:shd w:val="clear" w:color="auto" w:fill="auto"/>
            <w:noWrap/>
            <w:vAlign w:val="center"/>
            <w:hideMark/>
          </w:tcPr>
          <w:p w14:paraId="6CBCF8C6" w14:textId="7903E9D5" w:rsidR="008E4CE6" w:rsidRPr="00186378" w:rsidRDefault="008E4CE6" w:rsidP="00AB1C0C">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Cumulative contributions not received</w:t>
            </w:r>
            <w:r>
              <w:rPr>
                <w:rFonts w:asciiTheme="minorHAnsi" w:eastAsia="Times New Roman" w:hAnsiTheme="minorHAnsi" w:cs="Arial"/>
                <w:color w:val="000000"/>
                <w:lang w:eastAsia="en-GB"/>
              </w:rPr>
              <w:t xml:space="preserve"> by year end</w:t>
            </w:r>
          </w:p>
        </w:tc>
        <w:tc>
          <w:tcPr>
            <w:tcW w:w="964" w:type="dxa"/>
            <w:vAlign w:val="center"/>
          </w:tcPr>
          <w:p w14:paraId="5C235DA3" w14:textId="1BB2E6FB" w:rsidR="008E4CE6" w:rsidRPr="003701F3" w:rsidRDefault="008E4CE6" w:rsidP="00AB1C0C">
            <w:pPr>
              <w:ind w:left="0" w:firstLine="0"/>
              <w:jc w:val="right"/>
              <w:rPr>
                <w:rFonts w:asciiTheme="minorHAnsi" w:eastAsia="Times New Roman" w:hAnsiTheme="minorHAnsi" w:cs="Arial"/>
                <w:color w:val="000000"/>
                <w:lang w:eastAsia="en-GB"/>
              </w:rPr>
            </w:pPr>
            <w:r w:rsidRPr="003701F3">
              <w:rPr>
                <w:rFonts w:asciiTheme="minorHAnsi" w:eastAsia="Times New Roman" w:hAnsiTheme="minorHAnsi" w:cs="Arial"/>
                <w:color w:val="000000"/>
                <w:lang w:eastAsia="en-GB"/>
              </w:rPr>
              <w:t>3,210</w:t>
            </w:r>
          </w:p>
        </w:tc>
        <w:tc>
          <w:tcPr>
            <w:tcW w:w="964" w:type="dxa"/>
            <w:vAlign w:val="center"/>
          </w:tcPr>
          <w:p w14:paraId="420E8961" w14:textId="2E562A7E" w:rsidR="008E4CE6" w:rsidRPr="003701F3"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1,674</w:t>
            </w:r>
          </w:p>
        </w:tc>
        <w:tc>
          <w:tcPr>
            <w:tcW w:w="964" w:type="dxa"/>
            <w:vAlign w:val="center"/>
          </w:tcPr>
          <w:p w14:paraId="6C93C6BF" w14:textId="4D509604"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1,536</w:t>
            </w:r>
          </w:p>
        </w:tc>
        <w:tc>
          <w:tcPr>
            <w:tcW w:w="964" w:type="dxa"/>
            <w:vAlign w:val="center"/>
          </w:tcPr>
          <w:p w14:paraId="439D676C" w14:textId="12225D6D" w:rsidR="008E4CE6" w:rsidRDefault="008E4CE6" w:rsidP="00AB1C0C">
            <w:pPr>
              <w:ind w:left="0" w:firstLine="0"/>
              <w:jc w:val="right"/>
              <w:rPr>
                <w:rFonts w:asciiTheme="minorHAnsi" w:eastAsia="Times New Roman" w:hAnsiTheme="minorHAnsi" w:cs="Arial"/>
                <w:color w:val="000000"/>
                <w:lang w:eastAsia="en-GB"/>
              </w:rPr>
            </w:pPr>
            <w:r w:rsidRPr="00863FB4">
              <w:rPr>
                <w:rFonts w:asciiTheme="minorHAnsi" w:eastAsia="Times New Roman" w:hAnsiTheme="minorHAnsi" w:cs="Arial"/>
                <w:color w:val="000000"/>
                <w:lang w:eastAsia="en-GB"/>
              </w:rPr>
              <w:t>1,594</w:t>
            </w:r>
          </w:p>
        </w:tc>
        <w:tc>
          <w:tcPr>
            <w:tcW w:w="964" w:type="dxa"/>
            <w:vAlign w:val="center"/>
          </w:tcPr>
          <w:p w14:paraId="06EE7BED" w14:textId="1F07E7E0"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1,635</w:t>
            </w:r>
          </w:p>
        </w:tc>
      </w:tr>
      <w:tr w:rsidR="008E4CE6" w:rsidRPr="00186378" w14:paraId="4B83F38F" w14:textId="0614D917" w:rsidTr="008E4CE6">
        <w:trPr>
          <w:trHeight w:val="552"/>
        </w:trPr>
        <w:tc>
          <w:tcPr>
            <w:tcW w:w="4253" w:type="dxa"/>
            <w:shd w:val="clear" w:color="auto" w:fill="auto"/>
            <w:vAlign w:val="center"/>
            <w:hideMark/>
          </w:tcPr>
          <w:p w14:paraId="733D8037" w14:textId="0F2036CF" w:rsidR="008E4CE6" w:rsidRPr="00186378" w:rsidRDefault="008E4CE6" w:rsidP="00AB1C0C">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Provision for non-collec</w:t>
            </w:r>
            <w:r>
              <w:rPr>
                <w:rFonts w:asciiTheme="minorHAnsi" w:eastAsia="Times New Roman" w:hAnsiTheme="minorHAnsi" w:cs="Arial"/>
                <w:color w:val="000000"/>
                <w:lang w:eastAsia="en-GB"/>
              </w:rPr>
              <w:t xml:space="preserve">tion (i.e. provision against </w:t>
            </w:r>
            <w:r w:rsidRPr="00186378">
              <w:rPr>
                <w:rFonts w:asciiTheme="minorHAnsi" w:eastAsia="Times New Roman" w:hAnsiTheme="minorHAnsi" w:cs="Arial"/>
                <w:color w:val="000000"/>
                <w:lang w:eastAsia="en-GB"/>
              </w:rPr>
              <w:t>contributions not received)</w:t>
            </w:r>
          </w:p>
        </w:tc>
        <w:tc>
          <w:tcPr>
            <w:tcW w:w="964" w:type="dxa"/>
            <w:vAlign w:val="center"/>
          </w:tcPr>
          <w:p w14:paraId="5A28915F" w14:textId="1B201D3F" w:rsidR="008E4CE6" w:rsidRPr="003701F3" w:rsidRDefault="008E4CE6" w:rsidP="00AB1C0C">
            <w:pPr>
              <w:ind w:left="0" w:firstLine="0"/>
              <w:jc w:val="right"/>
              <w:rPr>
                <w:rFonts w:asciiTheme="minorHAnsi" w:eastAsia="Times New Roman" w:hAnsiTheme="minorHAnsi" w:cs="Arial"/>
                <w:color w:val="000000"/>
                <w:lang w:eastAsia="en-GB"/>
              </w:rPr>
            </w:pPr>
            <w:r w:rsidRPr="003701F3">
              <w:rPr>
                <w:rFonts w:asciiTheme="minorHAnsi" w:eastAsia="Times New Roman" w:hAnsiTheme="minorHAnsi" w:cs="Arial"/>
                <w:color w:val="000000"/>
                <w:lang w:eastAsia="en-GB"/>
              </w:rPr>
              <w:t>896</w:t>
            </w:r>
          </w:p>
        </w:tc>
        <w:tc>
          <w:tcPr>
            <w:tcW w:w="964" w:type="dxa"/>
            <w:vAlign w:val="center"/>
          </w:tcPr>
          <w:p w14:paraId="5188D85D" w14:textId="62774224" w:rsidR="008E4CE6" w:rsidRPr="003701F3"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990</w:t>
            </w:r>
          </w:p>
        </w:tc>
        <w:tc>
          <w:tcPr>
            <w:tcW w:w="964" w:type="dxa"/>
            <w:vAlign w:val="center"/>
          </w:tcPr>
          <w:p w14:paraId="35989F13" w14:textId="687D422A"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1,050</w:t>
            </w:r>
          </w:p>
        </w:tc>
        <w:tc>
          <w:tcPr>
            <w:tcW w:w="964" w:type="dxa"/>
            <w:vAlign w:val="center"/>
          </w:tcPr>
          <w:p w14:paraId="67CC777F" w14:textId="3A9D6E07"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1,202</w:t>
            </w:r>
          </w:p>
        </w:tc>
        <w:tc>
          <w:tcPr>
            <w:tcW w:w="964" w:type="dxa"/>
            <w:vAlign w:val="center"/>
          </w:tcPr>
          <w:p w14:paraId="68D8FE5A" w14:textId="014A8AEA" w:rsidR="008E4CE6" w:rsidRDefault="008E4CE6" w:rsidP="00AB1C0C">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1,413</w:t>
            </w:r>
          </w:p>
        </w:tc>
      </w:tr>
    </w:tbl>
    <w:p w14:paraId="20238114" w14:textId="77777777" w:rsidR="00186378" w:rsidRPr="00133E4E" w:rsidRDefault="00186378" w:rsidP="009825D5">
      <w:pPr>
        <w:rPr>
          <w:rFonts w:cs="Arial"/>
        </w:rPr>
      </w:pPr>
    </w:p>
    <w:p w14:paraId="0D1BA4BA" w14:textId="77777777" w:rsidR="00133E4E" w:rsidRPr="00133E4E" w:rsidRDefault="00133E4E" w:rsidP="004316A3">
      <w:pPr>
        <w:rPr>
          <w:rFonts w:cs="Arial"/>
        </w:rPr>
      </w:pPr>
    </w:p>
    <w:p w14:paraId="52300A9D" w14:textId="38E41D2C" w:rsidR="00D336C4" w:rsidRDefault="00F46056" w:rsidP="00F848A7">
      <w:pPr>
        <w:rPr>
          <w:rFonts w:cs="Arial"/>
        </w:rPr>
      </w:pPr>
      <w:r>
        <w:rPr>
          <w:rFonts w:cs="Arial"/>
        </w:rPr>
        <w:t>8</w:t>
      </w:r>
      <w:r w:rsidR="0061090C">
        <w:rPr>
          <w:rFonts w:cs="Arial"/>
        </w:rPr>
        <w:t>.</w:t>
      </w:r>
      <w:r w:rsidR="0061090C">
        <w:rPr>
          <w:rFonts w:cs="Arial"/>
        </w:rPr>
        <w:tab/>
      </w:r>
      <w:r w:rsidR="00985C26">
        <w:rPr>
          <w:rFonts w:cs="Arial"/>
        </w:rPr>
        <w:t>In accordance</w:t>
      </w:r>
      <w:r w:rsidR="007031F1">
        <w:rPr>
          <w:rFonts w:cs="Arial"/>
        </w:rPr>
        <w:t xml:space="preserve"> </w:t>
      </w:r>
      <w:r w:rsidR="00985C26">
        <w:rPr>
          <w:rFonts w:cs="Arial"/>
        </w:rPr>
        <w:t>with D</w:t>
      </w:r>
      <w:r w:rsidR="007031F1">
        <w:rPr>
          <w:rFonts w:cs="Arial"/>
        </w:rPr>
        <w:t>ecision</w:t>
      </w:r>
      <w:r w:rsidR="00744514">
        <w:rPr>
          <w:rFonts w:cs="Arial"/>
        </w:rPr>
        <w:t xml:space="preserve"> SC57-39 </w:t>
      </w:r>
      <w:r w:rsidR="00635C82">
        <w:rPr>
          <w:rFonts w:cs="Arial"/>
        </w:rPr>
        <w:t>of</w:t>
      </w:r>
      <w:r w:rsidR="00744514">
        <w:rPr>
          <w:rFonts w:cs="Arial"/>
        </w:rPr>
        <w:t xml:space="preserve"> the Standing Committee</w:t>
      </w:r>
      <w:r w:rsidR="00541457">
        <w:rPr>
          <w:rFonts w:cs="Arial"/>
        </w:rPr>
        <w:t xml:space="preserve">, </w:t>
      </w:r>
      <w:r w:rsidR="00541457" w:rsidRPr="00FF0CE5">
        <w:rPr>
          <w:rFonts w:cs="Arial"/>
        </w:rPr>
        <w:t>t</w:t>
      </w:r>
      <w:r w:rsidR="0064120D" w:rsidRPr="00FF0CE5">
        <w:rPr>
          <w:rFonts w:cs="Arial"/>
        </w:rPr>
        <w:t xml:space="preserve">he provision </w:t>
      </w:r>
      <w:r w:rsidR="00744514">
        <w:rPr>
          <w:rFonts w:cs="Arial"/>
        </w:rPr>
        <w:t xml:space="preserve">for non-collection of outstanding contributions </w:t>
      </w:r>
      <w:r w:rsidR="00EE40BE">
        <w:rPr>
          <w:rFonts w:cs="Arial"/>
        </w:rPr>
        <w:t>has been</w:t>
      </w:r>
      <w:r w:rsidR="002027B6" w:rsidRPr="00FF0CE5">
        <w:rPr>
          <w:rFonts w:cs="Arial"/>
        </w:rPr>
        <w:t xml:space="preserve"> calculated</w:t>
      </w:r>
      <w:r w:rsidR="00FC773D">
        <w:rPr>
          <w:rFonts w:cs="Arial"/>
        </w:rPr>
        <w:t xml:space="preserve"> since 2019</w:t>
      </w:r>
      <w:r w:rsidR="002027B6" w:rsidRPr="00FF0CE5">
        <w:rPr>
          <w:rFonts w:cs="Arial"/>
        </w:rPr>
        <w:t xml:space="preserve"> in accordance with the method </w:t>
      </w:r>
      <w:r w:rsidR="00541457" w:rsidRPr="00FF0CE5">
        <w:rPr>
          <w:rFonts w:cs="Arial"/>
        </w:rPr>
        <w:t>p</w:t>
      </w:r>
      <w:r w:rsidR="002C74CE" w:rsidRPr="00FF0CE5">
        <w:rPr>
          <w:rFonts w:cs="Arial"/>
        </w:rPr>
        <w:t>roposed by the external auditor</w:t>
      </w:r>
      <w:r w:rsidR="000B70C4" w:rsidRPr="00544D57">
        <w:rPr>
          <w:rFonts w:cs="Arial"/>
        </w:rPr>
        <w:t>.</w:t>
      </w:r>
      <w:r w:rsidR="002C74CE" w:rsidRPr="00544D57">
        <w:rPr>
          <w:rFonts w:cs="Arial"/>
        </w:rPr>
        <w:t xml:space="preserve"> </w:t>
      </w:r>
      <w:r w:rsidR="00635C82">
        <w:rPr>
          <w:rFonts w:cs="Arial"/>
        </w:rPr>
        <w:t>Accordingly</w:t>
      </w:r>
      <w:r w:rsidR="008C1309" w:rsidRPr="00544D57">
        <w:rPr>
          <w:rFonts w:cs="Arial"/>
        </w:rPr>
        <w:t xml:space="preserve">, </w:t>
      </w:r>
      <w:r w:rsidR="00F1191B">
        <w:rPr>
          <w:rFonts w:cs="Arial"/>
        </w:rPr>
        <w:t xml:space="preserve">in 2023 </w:t>
      </w:r>
      <w:r w:rsidR="008C1309" w:rsidRPr="00544D57">
        <w:rPr>
          <w:rFonts w:cs="Arial"/>
        </w:rPr>
        <w:t xml:space="preserve">a </w:t>
      </w:r>
      <w:r w:rsidR="00302F39" w:rsidRPr="00544D57">
        <w:rPr>
          <w:rFonts w:cs="Arial"/>
        </w:rPr>
        <w:t xml:space="preserve">provision of </w:t>
      </w:r>
      <w:r w:rsidR="002027B6" w:rsidRPr="00544D57">
        <w:rPr>
          <w:rFonts w:cs="Arial"/>
        </w:rPr>
        <w:t xml:space="preserve">20% </w:t>
      </w:r>
      <w:r w:rsidR="00985C26" w:rsidRPr="00544D57">
        <w:rPr>
          <w:rFonts w:cs="Arial"/>
        </w:rPr>
        <w:t xml:space="preserve">was </w:t>
      </w:r>
      <w:r w:rsidR="00302F39" w:rsidRPr="00544D57">
        <w:rPr>
          <w:rFonts w:cs="Arial"/>
        </w:rPr>
        <w:t xml:space="preserve">applied </w:t>
      </w:r>
      <w:r w:rsidR="002027B6" w:rsidRPr="00544D57">
        <w:rPr>
          <w:rFonts w:cs="Arial"/>
        </w:rPr>
        <w:t xml:space="preserve">on contributions </w:t>
      </w:r>
      <w:r w:rsidR="006B3B75">
        <w:rPr>
          <w:rFonts w:cs="Arial"/>
        </w:rPr>
        <w:t>which had been outstanding for up to</w:t>
      </w:r>
      <w:r w:rsidR="00F1191B" w:rsidRPr="00544D57">
        <w:rPr>
          <w:rFonts w:cs="Arial"/>
        </w:rPr>
        <w:t xml:space="preserve"> </w:t>
      </w:r>
      <w:r w:rsidR="00ED569A" w:rsidRPr="00544D57">
        <w:rPr>
          <w:rFonts w:cs="Arial"/>
        </w:rPr>
        <w:t>two</w:t>
      </w:r>
      <w:r w:rsidR="002027B6" w:rsidRPr="00544D57">
        <w:rPr>
          <w:rFonts w:cs="Arial"/>
        </w:rPr>
        <w:t xml:space="preserve"> years, 60% on contributions </w:t>
      </w:r>
      <w:r w:rsidR="006B3B75">
        <w:rPr>
          <w:rFonts w:cs="Arial"/>
        </w:rPr>
        <w:t xml:space="preserve">which had been outstanding </w:t>
      </w:r>
      <w:r w:rsidR="00635C82">
        <w:rPr>
          <w:rFonts w:cs="Arial"/>
        </w:rPr>
        <w:t>for</w:t>
      </w:r>
      <w:r w:rsidR="006B3B75">
        <w:rPr>
          <w:rFonts w:cs="Arial"/>
        </w:rPr>
        <w:t xml:space="preserve"> </w:t>
      </w:r>
      <w:r w:rsidR="00ED569A" w:rsidRPr="00544D57">
        <w:rPr>
          <w:rFonts w:cs="Arial"/>
        </w:rPr>
        <w:t>three</w:t>
      </w:r>
      <w:r w:rsidR="002027B6" w:rsidRPr="00544D57">
        <w:rPr>
          <w:rFonts w:cs="Arial"/>
        </w:rPr>
        <w:t xml:space="preserve"> years, </w:t>
      </w:r>
      <w:r w:rsidR="008C1309" w:rsidRPr="00544D57">
        <w:rPr>
          <w:rFonts w:cs="Arial"/>
        </w:rPr>
        <w:t xml:space="preserve">and </w:t>
      </w:r>
      <w:r w:rsidR="002027B6" w:rsidRPr="00544D57">
        <w:rPr>
          <w:rFonts w:cs="Arial"/>
        </w:rPr>
        <w:t xml:space="preserve">80% on contributions </w:t>
      </w:r>
      <w:r w:rsidR="006B3B75">
        <w:rPr>
          <w:rFonts w:cs="Arial"/>
        </w:rPr>
        <w:t xml:space="preserve">which had been outstanding </w:t>
      </w:r>
      <w:r w:rsidR="00635C82">
        <w:rPr>
          <w:rFonts w:cs="Arial"/>
        </w:rPr>
        <w:t>for</w:t>
      </w:r>
      <w:r w:rsidR="006B3B75">
        <w:rPr>
          <w:rFonts w:cs="Arial"/>
        </w:rPr>
        <w:t xml:space="preserve"> </w:t>
      </w:r>
      <w:r w:rsidR="00ED569A" w:rsidRPr="00544D57">
        <w:rPr>
          <w:rFonts w:cs="Arial"/>
        </w:rPr>
        <w:t>four</w:t>
      </w:r>
      <w:r w:rsidR="002027B6" w:rsidRPr="00544D57">
        <w:rPr>
          <w:rFonts w:cs="Arial"/>
        </w:rPr>
        <w:t xml:space="preserve"> years</w:t>
      </w:r>
      <w:r w:rsidR="002C74CE" w:rsidRPr="00544D57">
        <w:rPr>
          <w:rFonts w:cs="Arial"/>
        </w:rPr>
        <w:t xml:space="preserve">. </w:t>
      </w:r>
      <w:r w:rsidR="00635C82">
        <w:rPr>
          <w:rFonts w:cs="Arial"/>
        </w:rPr>
        <w:t>A</w:t>
      </w:r>
      <w:r w:rsidR="00635C82" w:rsidRPr="00544D57">
        <w:rPr>
          <w:rFonts w:cs="Arial"/>
        </w:rPr>
        <w:t xml:space="preserve"> </w:t>
      </w:r>
      <w:r w:rsidR="00302F39" w:rsidRPr="00544D57">
        <w:rPr>
          <w:rFonts w:cs="Arial"/>
        </w:rPr>
        <w:t>p</w:t>
      </w:r>
      <w:r w:rsidR="002C74CE" w:rsidRPr="00544D57">
        <w:rPr>
          <w:rFonts w:cs="Arial"/>
        </w:rPr>
        <w:t xml:space="preserve">rovision of </w:t>
      </w:r>
      <w:r w:rsidR="002027B6" w:rsidRPr="00544D57">
        <w:rPr>
          <w:rFonts w:cs="Arial"/>
        </w:rPr>
        <w:t xml:space="preserve">100% </w:t>
      </w:r>
      <w:r w:rsidR="00985C26" w:rsidRPr="00544D57">
        <w:rPr>
          <w:rFonts w:cs="Arial"/>
        </w:rPr>
        <w:t xml:space="preserve">was </w:t>
      </w:r>
      <w:r w:rsidR="002C74CE" w:rsidRPr="00544D57">
        <w:rPr>
          <w:rFonts w:cs="Arial"/>
        </w:rPr>
        <w:t xml:space="preserve">applied </w:t>
      </w:r>
      <w:r w:rsidR="002027B6" w:rsidRPr="00544D57">
        <w:rPr>
          <w:rFonts w:cs="Arial"/>
        </w:rPr>
        <w:t>on</w:t>
      </w:r>
      <w:r w:rsidR="002C74CE" w:rsidRPr="00FF0CE5">
        <w:rPr>
          <w:rFonts w:cs="Arial"/>
        </w:rPr>
        <w:t xml:space="preserve"> </w:t>
      </w:r>
      <w:r w:rsidR="00635C82">
        <w:rPr>
          <w:rFonts w:cs="Arial"/>
        </w:rPr>
        <w:t xml:space="preserve">balances </w:t>
      </w:r>
      <w:r w:rsidR="002C74CE" w:rsidRPr="00FF0CE5">
        <w:rPr>
          <w:rFonts w:cs="Arial"/>
        </w:rPr>
        <w:t xml:space="preserve">outstanding </w:t>
      </w:r>
      <w:r w:rsidR="00372066" w:rsidRPr="00FF0CE5">
        <w:rPr>
          <w:rFonts w:cs="Arial"/>
        </w:rPr>
        <w:t xml:space="preserve">for </w:t>
      </w:r>
      <w:r w:rsidR="00635C82">
        <w:rPr>
          <w:rFonts w:cs="Arial"/>
        </w:rPr>
        <w:t>more than four</w:t>
      </w:r>
      <w:r w:rsidR="00372066" w:rsidRPr="00FF0CE5">
        <w:rPr>
          <w:rFonts w:cs="Arial"/>
        </w:rPr>
        <w:t xml:space="preserve"> years</w:t>
      </w:r>
      <w:r w:rsidR="002C74CE" w:rsidRPr="00FF0CE5">
        <w:rPr>
          <w:rFonts w:cs="Arial"/>
        </w:rPr>
        <w:t>.</w:t>
      </w:r>
    </w:p>
    <w:p w14:paraId="6D3F2548" w14:textId="77777777" w:rsidR="00D336C4" w:rsidRDefault="00D336C4" w:rsidP="00F848A7">
      <w:pPr>
        <w:rPr>
          <w:rFonts w:cs="Arial"/>
        </w:rPr>
      </w:pPr>
    </w:p>
    <w:p w14:paraId="31B7E2DE" w14:textId="3B6477C0" w:rsidR="00A03B7B" w:rsidRDefault="00F46056" w:rsidP="004E1861">
      <w:pPr>
        <w:rPr>
          <w:rFonts w:cs="Arial"/>
        </w:rPr>
      </w:pPr>
      <w:r>
        <w:rPr>
          <w:rFonts w:cs="Arial"/>
        </w:rPr>
        <w:lastRenderedPageBreak/>
        <w:t>9</w:t>
      </w:r>
      <w:r w:rsidR="004E1861">
        <w:rPr>
          <w:rFonts w:cs="Arial"/>
        </w:rPr>
        <w:t>.</w:t>
      </w:r>
      <w:r w:rsidR="004E1861">
        <w:rPr>
          <w:rFonts w:cs="Arial"/>
        </w:rPr>
        <w:tab/>
      </w:r>
      <w:r w:rsidR="00233ED6" w:rsidRPr="00233ED6">
        <w:rPr>
          <w:rFonts w:cs="Arial"/>
        </w:rPr>
        <w:t xml:space="preserve">In </w:t>
      </w:r>
      <w:r w:rsidR="00AB1C0C" w:rsidRPr="00233ED6">
        <w:rPr>
          <w:rFonts w:cs="Arial"/>
        </w:rPr>
        <w:t>20</w:t>
      </w:r>
      <w:r w:rsidR="00AB1C0C">
        <w:rPr>
          <w:rFonts w:cs="Arial"/>
        </w:rPr>
        <w:t>23</w:t>
      </w:r>
      <w:r w:rsidR="00AB1C0C" w:rsidRPr="00233ED6">
        <w:rPr>
          <w:rFonts w:cs="Arial"/>
        </w:rPr>
        <w:t xml:space="preserve"> </w:t>
      </w:r>
      <w:r w:rsidR="00233ED6" w:rsidRPr="00233ED6">
        <w:rPr>
          <w:rFonts w:cs="Arial"/>
        </w:rPr>
        <w:t xml:space="preserve">the full provision of 100% </w:t>
      </w:r>
      <w:r w:rsidR="004E1861">
        <w:rPr>
          <w:rFonts w:cs="Arial"/>
        </w:rPr>
        <w:t>was</w:t>
      </w:r>
      <w:r w:rsidR="00233ED6" w:rsidRPr="00233ED6">
        <w:rPr>
          <w:rFonts w:cs="Arial"/>
        </w:rPr>
        <w:t xml:space="preserve"> applied to </w:t>
      </w:r>
      <w:r w:rsidR="0093048B">
        <w:rPr>
          <w:rFonts w:cs="Arial"/>
        </w:rPr>
        <w:t>44</w:t>
      </w:r>
      <w:r w:rsidR="0093048B" w:rsidRPr="00233ED6">
        <w:rPr>
          <w:rFonts w:cs="Arial"/>
        </w:rPr>
        <w:t xml:space="preserve"> </w:t>
      </w:r>
      <w:r w:rsidR="004E1861">
        <w:rPr>
          <w:rFonts w:cs="Arial"/>
        </w:rPr>
        <w:t>Contracting Parties</w:t>
      </w:r>
      <w:r w:rsidR="004E1861" w:rsidRPr="00233ED6">
        <w:rPr>
          <w:rFonts w:cs="Arial"/>
        </w:rPr>
        <w:t xml:space="preserve"> </w:t>
      </w:r>
      <w:r w:rsidR="00233ED6" w:rsidRPr="00233ED6">
        <w:rPr>
          <w:rFonts w:cs="Arial"/>
        </w:rPr>
        <w:t>with total</w:t>
      </w:r>
      <w:r w:rsidR="00233ED6">
        <w:rPr>
          <w:rFonts w:cs="Arial"/>
        </w:rPr>
        <w:t xml:space="preserve"> </w:t>
      </w:r>
      <w:r w:rsidR="00233ED6" w:rsidRPr="00233ED6">
        <w:rPr>
          <w:rFonts w:cs="Arial"/>
        </w:rPr>
        <w:t xml:space="preserve">outstanding </w:t>
      </w:r>
      <w:r w:rsidR="00851934">
        <w:rPr>
          <w:rFonts w:cs="Arial"/>
        </w:rPr>
        <w:t>contributions</w:t>
      </w:r>
      <w:r w:rsidR="00851934" w:rsidRPr="00233ED6">
        <w:rPr>
          <w:rFonts w:cs="Arial"/>
        </w:rPr>
        <w:t xml:space="preserve"> </w:t>
      </w:r>
      <w:r w:rsidR="00233ED6" w:rsidRPr="00233ED6">
        <w:rPr>
          <w:rFonts w:cs="Arial"/>
        </w:rPr>
        <w:t xml:space="preserve">of CHF </w:t>
      </w:r>
      <w:r w:rsidR="0093048B">
        <w:rPr>
          <w:rFonts w:cs="Arial"/>
        </w:rPr>
        <w:t>1,</w:t>
      </w:r>
      <w:r w:rsidR="009E4907">
        <w:rPr>
          <w:rFonts w:cs="Arial"/>
        </w:rPr>
        <w:t>324</w:t>
      </w:r>
      <w:r w:rsidR="009E4907" w:rsidRPr="00233ED6">
        <w:rPr>
          <w:rFonts w:cs="Arial"/>
        </w:rPr>
        <w:t>K</w:t>
      </w:r>
      <w:r w:rsidR="009E4907">
        <w:rPr>
          <w:rFonts w:cs="Arial"/>
        </w:rPr>
        <w:t xml:space="preserve"> </w:t>
      </w:r>
      <w:r w:rsidR="0050488F">
        <w:rPr>
          <w:rFonts w:cs="Arial"/>
        </w:rPr>
        <w:t>(</w:t>
      </w:r>
      <w:r w:rsidR="009E4907">
        <w:rPr>
          <w:rFonts w:cs="Arial"/>
        </w:rPr>
        <w:t xml:space="preserve">the same number of </w:t>
      </w:r>
      <w:r w:rsidR="0050488F">
        <w:rPr>
          <w:rFonts w:cs="Arial"/>
        </w:rPr>
        <w:t xml:space="preserve">Parties </w:t>
      </w:r>
      <w:r w:rsidR="002D7C2D">
        <w:rPr>
          <w:rFonts w:cs="Arial"/>
        </w:rPr>
        <w:t xml:space="preserve">as in 2022, which then had </w:t>
      </w:r>
      <w:r w:rsidR="0050488F">
        <w:rPr>
          <w:rFonts w:cs="Arial"/>
        </w:rPr>
        <w:t xml:space="preserve">total outstanding </w:t>
      </w:r>
      <w:r w:rsidR="00851934">
        <w:rPr>
          <w:rFonts w:cs="Arial"/>
        </w:rPr>
        <w:t>contributions</w:t>
      </w:r>
      <w:r w:rsidR="0050488F">
        <w:rPr>
          <w:rFonts w:cs="Arial"/>
        </w:rPr>
        <w:t xml:space="preserve"> of CHF</w:t>
      </w:r>
      <w:r w:rsidR="00074B0E">
        <w:rPr>
          <w:rFonts w:cs="Arial"/>
        </w:rPr>
        <w:t xml:space="preserve"> </w:t>
      </w:r>
      <w:r w:rsidR="009E4907">
        <w:rPr>
          <w:rFonts w:cs="Arial"/>
        </w:rPr>
        <w:t>1,071K</w:t>
      </w:r>
      <w:r w:rsidR="0050488F">
        <w:rPr>
          <w:rFonts w:cs="Arial"/>
        </w:rPr>
        <w:t>)</w:t>
      </w:r>
      <w:r w:rsidR="002D7C2D">
        <w:rPr>
          <w:rFonts w:cs="Arial"/>
        </w:rPr>
        <w:t xml:space="preserve">. Of these </w:t>
      </w:r>
      <w:r w:rsidR="004E1861">
        <w:rPr>
          <w:rFonts w:cs="Arial"/>
        </w:rPr>
        <w:t>Parties</w:t>
      </w:r>
      <w:r w:rsidR="002D7C2D">
        <w:rPr>
          <w:rFonts w:cs="Arial"/>
        </w:rPr>
        <w:t>, 11</w:t>
      </w:r>
      <w:r w:rsidR="00DF35C0">
        <w:rPr>
          <w:rFonts w:cs="Arial"/>
        </w:rPr>
        <w:t xml:space="preserve"> </w:t>
      </w:r>
      <w:r w:rsidR="00073BC6">
        <w:rPr>
          <w:rFonts w:cs="Arial"/>
        </w:rPr>
        <w:t xml:space="preserve">had </w:t>
      </w:r>
      <w:r w:rsidR="0050488F">
        <w:rPr>
          <w:rFonts w:cs="Arial"/>
        </w:rPr>
        <w:t xml:space="preserve">not </w:t>
      </w:r>
      <w:r w:rsidR="00DF35C0">
        <w:rPr>
          <w:rFonts w:cs="Arial"/>
        </w:rPr>
        <w:t>paid any contributions</w:t>
      </w:r>
      <w:r w:rsidR="0050488F">
        <w:rPr>
          <w:rFonts w:cs="Arial"/>
        </w:rPr>
        <w:t xml:space="preserve"> for more than </w:t>
      </w:r>
      <w:r w:rsidR="00074B0E">
        <w:rPr>
          <w:rFonts w:cs="Arial"/>
        </w:rPr>
        <w:t>ten</w:t>
      </w:r>
      <w:r w:rsidR="0050488F">
        <w:rPr>
          <w:rFonts w:cs="Arial"/>
        </w:rPr>
        <w:t xml:space="preserve"> years</w:t>
      </w:r>
      <w:r w:rsidR="00DF35C0">
        <w:rPr>
          <w:rFonts w:cs="Arial"/>
        </w:rPr>
        <w:t>.</w:t>
      </w:r>
    </w:p>
    <w:p w14:paraId="0B5D8071" w14:textId="77777777" w:rsidR="002027B6" w:rsidRDefault="002027B6" w:rsidP="004316A3">
      <w:pPr>
        <w:rPr>
          <w:rFonts w:cs="Arial"/>
        </w:rPr>
      </w:pPr>
    </w:p>
    <w:p w14:paraId="1D15332A" w14:textId="1584F45D" w:rsidR="002027B6" w:rsidRDefault="00F46056" w:rsidP="00AD53FB">
      <w:pPr>
        <w:rPr>
          <w:rFonts w:cs="Arial"/>
        </w:rPr>
      </w:pPr>
      <w:r>
        <w:rPr>
          <w:rFonts w:cs="Arial"/>
        </w:rPr>
        <w:t>10</w:t>
      </w:r>
      <w:r w:rsidR="0061090C">
        <w:rPr>
          <w:rFonts w:cs="Arial"/>
        </w:rPr>
        <w:t>.</w:t>
      </w:r>
      <w:r w:rsidR="0061090C">
        <w:rPr>
          <w:rFonts w:cs="Arial"/>
        </w:rPr>
        <w:tab/>
      </w:r>
      <w:r w:rsidR="002027B6">
        <w:rPr>
          <w:rFonts w:cs="Arial"/>
        </w:rPr>
        <w:t xml:space="preserve">As </w:t>
      </w:r>
      <w:r w:rsidR="00922C65">
        <w:rPr>
          <w:rFonts w:cs="Arial"/>
        </w:rPr>
        <w:t>of</w:t>
      </w:r>
      <w:r w:rsidR="002027B6">
        <w:rPr>
          <w:rFonts w:cs="Arial"/>
        </w:rPr>
        <w:t xml:space="preserve"> 31 December </w:t>
      </w:r>
      <w:r w:rsidR="00500057">
        <w:rPr>
          <w:rFonts w:cs="Arial"/>
        </w:rPr>
        <w:t>202</w:t>
      </w:r>
      <w:r w:rsidR="009E4907">
        <w:rPr>
          <w:rFonts w:cs="Arial"/>
        </w:rPr>
        <w:t>3</w:t>
      </w:r>
      <w:r w:rsidR="002027B6">
        <w:rPr>
          <w:rFonts w:cs="Arial"/>
        </w:rPr>
        <w:t xml:space="preserve">, </w:t>
      </w:r>
      <w:r w:rsidR="00500057">
        <w:rPr>
          <w:rFonts w:cs="Arial"/>
        </w:rPr>
        <w:t xml:space="preserve">106 </w:t>
      </w:r>
      <w:r w:rsidR="00C05307">
        <w:rPr>
          <w:rFonts w:cs="Arial"/>
        </w:rPr>
        <w:t xml:space="preserve">Contracting Parties had paid all their contributions up to and including </w:t>
      </w:r>
      <w:r w:rsidR="009E4907">
        <w:rPr>
          <w:rFonts w:cs="Arial"/>
        </w:rPr>
        <w:t xml:space="preserve">2022 </w:t>
      </w:r>
      <w:r w:rsidR="002A3078">
        <w:rPr>
          <w:rFonts w:cs="Arial"/>
        </w:rPr>
        <w:t>(</w:t>
      </w:r>
      <w:r w:rsidR="00282923">
        <w:rPr>
          <w:rFonts w:cs="Arial"/>
        </w:rPr>
        <w:t xml:space="preserve">the same number as at the end of 2022 when </w:t>
      </w:r>
      <w:r w:rsidR="009E4907">
        <w:rPr>
          <w:rFonts w:cs="Arial"/>
        </w:rPr>
        <w:t xml:space="preserve">106 </w:t>
      </w:r>
      <w:r w:rsidR="002A3078">
        <w:rPr>
          <w:rFonts w:cs="Arial"/>
        </w:rPr>
        <w:t xml:space="preserve">Parties </w:t>
      </w:r>
      <w:r w:rsidR="00F54FBD">
        <w:rPr>
          <w:rFonts w:cs="Arial"/>
        </w:rPr>
        <w:t xml:space="preserve">had paid their contributions for the years up to </w:t>
      </w:r>
      <w:r w:rsidR="009E4907">
        <w:rPr>
          <w:rFonts w:cs="Arial"/>
        </w:rPr>
        <w:t>2021</w:t>
      </w:r>
      <w:r w:rsidR="002A3078">
        <w:rPr>
          <w:rFonts w:cs="Arial"/>
        </w:rPr>
        <w:t>)</w:t>
      </w:r>
      <w:r w:rsidR="00C05307">
        <w:rPr>
          <w:rFonts w:cs="Arial"/>
        </w:rPr>
        <w:t xml:space="preserve">. </w:t>
      </w:r>
      <w:r w:rsidR="006154B7">
        <w:rPr>
          <w:rFonts w:cs="Arial"/>
        </w:rPr>
        <w:t>O</w:t>
      </w:r>
      <w:r w:rsidR="00C05307">
        <w:rPr>
          <w:rFonts w:cs="Arial"/>
        </w:rPr>
        <w:t>f these</w:t>
      </w:r>
      <w:r w:rsidR="006154B7">
        <w:rPr>
          <w:rFonts w:cs="Arial"/>
        </w:rPr>
        <w:t xml:space="preserve"> </w:t>
      </w:r>
      <w:r w:rsidR="00500057">
        <w:rPr>
          <w:rFonts w:cs="Arial"/>
        </w:rPr>
        <w:t>10</w:t>
      </w:r>
      <w:r w:rsidR="00263CEA">
        <w:rPr>
          <w:rFonts w:cs="Arial"/>
        </w:rPr>
        <w:t>6</w:t>
      </w:r>
      <w:r w:rsidR="00500057">
        <w:rPr>
          <w:rFonts w:cs="Arial"/>
        </w:rPr>
        <w:t xml:space="preserve"> </w:t>
      </w:r>
      <w:r w:rsidR="006154B7">
        <w:rPr>
          <w:rFonts w:cs="Arial"/>
        </w:rPr>
        <w:t>Parties</w:t>
      </w:r>
      <w:r w:rsidR="00C05307">
        <w:rPr>
          <w:rFonts w:cs="Arial"/>
        </w:rPr>
        <w:t xml:space="preserve">, </w:t>
      </w:r>
      <w:r w:rsidR="009E4907">
        <w:rPr>
          <w:rFonts w:cs="Arial"/>
        </w:rPr>
        <w:t xml:space="preserve">89 </w:t>
      </w:r>
      <w:r w:rsidR="00186378">
        <w:rPr>
          <w:rFonts w:cs="Arial"/>
        </w:rPr>
        <w:t xml:space="preserve">had </w:t>
      </w:r>
      <w:r w:rsidR="00B91FD6">
        <w:rPr>
          <w:rFonts w:cs="Arial"/>
        </w:rPr>
        <w:t xml:space="preserve">also </w:t>
      </w:r>
      <w:r w:rsidR="00C05307">
        <w:rPr>
          <w:rFonts w:cs="Arial"/>
        </w:rPr>
        <w:t xml:space="preserve">paid their full contributions for </w:t>
      </w:r>
      <w:r w:rsidR="009E4907">
        <w:rPr>
          <w:rFonts w:cs="Arial"/>
        </w:rPr>
        <w:t xml:space="preserve">2023 </w:t>
      </w:r>
      <w:r w:rsidR="004B1E90">
        <w:rPr>
          <w:rFonts w:cs="Arial"/>
        </w:rPr>
        <w:t xml:space="preserve">(compared to </w:t>
      </w:r>
      <w:r w:rsidR="009E4907">
        <w:rPr>
          <w:rFonts w:cs="Arial"/>
        </w:rPr>
        <w:t xml:space="preserve">88 </w:t>
      </w:r>
      <w:r w:rsidR="004B1E90">
        <w:rPr>
          <w:rFonts w:cs="Arial"/>
        </w:rPr>
        <w:t xml:space="preserve">Parties in </w:t>
      </w:r>
      <w:r w:rsidR="009E4907">
        <w:rPr>
          <w:rFonts w:cs="Arial"/>
        </w:rPr>
        <w:t>2022</w:t>
      </w:r>
      <w:r w:rsidR="004B1E90">
        <w:rPr>
          <w:rFonts w:cs="Arial"/>
        </w:rPr>
        <w:t>)</w:t>
      </w:r>
      <w:r w:rsidR="00C05307">
        <w:rPr>
          <w:rFonts w:cs="Arial"/>
        </w:rPr>
        <w:t xml:space="preserve">. </w:t>
      </w:r>
      <w:r w:rsidR="00282923" w:rsidRPr="003701F3">
        <w:rPr>
          <w:rFonts w:cs="Arial"/>
        </w:rPr>
        <w:t xml:space="preserve">The Secretariat acknowledges, with appreciation, the consistent and prompt payment of these Contracting Parties. </w:t>
      </w:r>
      <w:r w:rsidR="00282923">
        <w:rPr>
          <w:rFonts w:cs="Arial"/>
        </w:rPr>
        <w:t xml:space="preserve">In addition, during </w:t>
      </w:r>
      <w:r w:rsidR="009E4907">
        <w:rPr>
          <w:rFonts w:cs="Arial"/>
        </w:rPr>
        <w:t>2023</w:t>
      </w:r>
      <w:r w:rsidR="00074B0E">
        <w:rPr>
          <w:rFonts w:cs="Arial"/>
        </w:rPr>
        <w:t>,</w:t>
      </w:r>
      <w:r w:rsidR="003E38C5">
        <w:rPr>
          <w:rFonts w:cs="Arial"/>
        </w:rPr>
        <w:t xml:space="preserve"> </w:t>
      </w:r>
      <w:r w:rsidR="00CC1EB3">
        <w:rPr>
          <w:rFonts w:cs="Arial"/>
        </w:rPr>
        <w:t xml:space="preserve">11 </w:t>
      </w:r>
      <w:r w:rsidR="00B91FD6">
        <w:rPr>
          <w:rFonts w:cs="Arial"/>
        </w:rPr>
        <w:t>Parties</w:t>
      </w:r>
      <w:r w:rsidR="005F039D">
        <w:rPr>
          <w:rFonts w:cs="Arial"/>
        </w:rPr>
        <w:t xml:space="preserve"> </w:t>
      </w:r>
      <w:r w:rsidR="00186378">
        <w:rPr>
          <w:rFonts w:cs="Arial"/>
        </w:rPr>
        <w:t>had</w:t>
      </w:r>
      <w:r w:rsidR="00EC705C">
        <w:rPr>
          <w:rFonts w:cs="Arial"/>
        </w:rPr>
        <w:t xml:space="preserve"> </w:t>
      </w:r>
      <w:r w:rsidR="00B91FD6">
        <w:rPr>
          <w:rFonts w:cs="Arial"/>
        </w:rPr>
        <w:t xml:space="preserve">already paid </w:t>
      </w:r>
      <w:r w:rsidR="006154B7">
        <w:rPr>
          <w:rFonts w:cs="Arial"/>
        </w:rPr>
        <w:t xml:space="preserve">a total of </w:t>
      </w:r>
      <w:r w:rsidR="006154B7" w:rsidRPr="003701F3">
        <w:rPr>
          <w:rFonts w:cs="Arial"/>
        </w:rPr>
        <w:t xml:space="preserve">CHF </w:t>
      </w:r>
      <w:r w:rsidR="00CC1EB3">
        <w:rPr>
          <w:rFonts w:cs="Arial"/>
        </w:rPr>
        <w:t>483</w:t>
      </w:r>
      <w:r w:rsidR="00CC1EB3" w:rsidRPr="003701F3">
        <w:rPr>
          <w:rFonts w:cs="Arial"/>
        </w:rPr>
        <w:t xml:space="preserve">K </w:t>
      </w:r>
      <w:r w:rsidR="00B91FD6" w:rsidRPr="003701F3">
        <w:rPr>
          <w:rFonts w:cs="Arial"/>
        </w:rPr>
        <w:t>t</w:t>
      </w:r>
      <w:r w:rsidR="003175F8" w:rsidRPr="003701F3">
        <w:rPr>
          <w:rFonts w:cs="Arial"/>
        </w:rPr>
        <w:t>owards t</w:t>
      </w:r>
      <w:r w:rsidR="00B91FD6" w:rsidRPr="003701F3">
        <w:rPr>
          <w:rFonts w:cs="Arial"/>
        </w:rPr>
        <w:t xml:space="preserve">heir contributions </w:t>
      </w:r>
      <w:r w:rsidR="008E6F86" w:rsidRPr="003701F3">
        <w:rPr>
          <w:rFonts w:cs="Arial"/>
        </w:rPr>
        <w:t xml:space="preserve">for </w:t>
      </w:r>
      <w:r w:rsidR="00CC1EB3" w:rsidRPr="003701F3">
        <w:rPr>
          <w:rFonts w:cs="Arial"/>
        </w:rPr>
        <w:t>202</w:t>
      </w:r>
      <w:r w:rsidR="00CC1EB3">
        <w:rPr>
          <w:rFonts w:cs="Arial"/>
        </w:rPr>
        <w:t>4</w:t>
      </w:r>
      <w:r w:rsidR="00B91FD6" w:rsidRPr="003701F3">
        <w:rPr>
          <w:rFonts w:cs="Arial"/>
        </w:rPr>
        <w:t xml:space="preserve">. </w:t>
      </w:r>
      <w:r w:rsidR="00E90249">
        <w:rPr>
          <w:rFonts w:cs="Arial"/>
        </w:rPr>
        <w:t>These findings are summarized in Figure 1 below.</w:t>
      </w:r>
    </w:p>
    <w:p w14:paraId="63E91B54" w14:textId="00CA5C35" w:rsidR="00E90249" w:rsidRDefault="00E90249" w:rsidP="00AD53FB">
      <w:pPr>
        <w:rPr>
          <w:rFonts w:cs="Arial"/>
        </w:rPr>
      </w:pPr>
    </w:p>
    <w:p w14:paraId="40A1E1FF" w14:textId="77777777" w:rsidR="00E90249" w:rsidRPr="00E90249" w:rsidRDefault="00E90249" w:rsidP="00E90249">
      <w:pPr>
        <w:rPr>
          <w:rFonts w:cs="Arial"/>
          <w:i/>
        </w:rPr>
      </w:pPr>
      <w:r w:rsidRPr="00E90249">
        <w:rPr>
          <w:rFonts w:cs="Arial"/>
          <w:i/>
        </w:rPr>
        <w:t>Figure 1: Number of Contracting Parties, by status of outstanding contributions, as of end 2023</w:t>
      </w:r>
    </w:p>
    <w:p w14:paraId="7A89D774" w14:textId="797877F0" w:rsidR="00863FB4" w:rsidRPr="003701F3" w:rsidRDefault="00F51F92" w:rsidP="00AD53FB">
      <w:pPr>
        <w:rPr>
          <w:rFonts w:cs="Arial"/>
        </w:rPr>
      </w:pPr>
      <w:r>
        <w:rPr>
          <w:noProof/>
        </w:rPr>
        <w:drawing>
          <wp:inline distT="0" distB="0" distL="0" distR="0" wp14:anchorId="6EDCDA7E" wp14:editId="41B63323">
            <wp:extent cx="5610225" cy="3095625"/>
            <wp:effectExtent l="0" t="0" r="9525" b="9525"/>
            <wp:docPr id="4" name="Chart 4">
              <a:extLst xmlns:a="http://schemas.openxmlformats.org/drawingml/2006/main">
                <a:ext uri="{FF2B5EF4-FFF2-40B4-BE49-F238E27FC236}">
                  <a16:creationId xmlns:a16="http://schemas.microsoft.com/office/drawing/2014/main" id="{D571954A-FD08-4508-881E-E35B3D4123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588A01" w14:textId="1560315A" w:rsidR="00C05307" w:rsidRDefault="00C05307" w:rsidP="004316A3">
      <w:pPr>
        <w:rPr>
          <w:rFonts w:cs="Arial"/>
        </w:rPr>
      </w:pPr>
    </w:p>
    <w:p w14:paraId="2651FC6C" w14:textId="77777777" w:rsidR="00E90249" w:rsidRPr="003701F3" w:rsidRDefault="00E90249" w:rsidP="004316A3">
      <w:pPr>
        <w:rPr>
          <w:rFonts w:cs="Arial"/>
        </w:rPr>
      </w:pPr>
    </w:p>
    <w:p w14:paraId="4D38C94A" w14:textId="25E8A4F1" w:rsidR="00952B54" w:rsidRDefault="00F46056" w:rsidP="00AD53FB">
      <w:pPr>
        <w:rPr>
          <w:rFonts w:cs="Arial"/>
        </w:rPr>
      </w:pPr>
      <w:r>
        <w:rPr>
          <w:rFonts w:cs="Arial"/>
        </w:rPr>
        <w:t>11</w:t>
      </w:r>
      <w:r w:rsidR="0061090C" w:rsidRPr="003701F3">
        <w:rPr>
          <w:rFonts w:cs="Arial"/>
        </w:rPr>
        <w:t>.</w:t>
      </w:r>
      <w:r w:rsidR="0061090C" w:rsidRPr="003701F3">
        <w:rPr>
          <w:rFonts w:cs="Arial"/>
        </w:rPr>
        <w:tab/>
      </w:r>
      <w:r w:rsidR="00385B80" w:rsidRPr="003701F3">
        <w:rPr>
          <w:rFonts w:cs="Arial"/>
        </w:rPr>
        <w:t>A breakdown of the balance</w:t>
      </w:r>
      <w:r w:rsidR="00DB7498" w:rsidRPr="003701F3">
        <w:rPr>
          <w:rFonts w:cs="Arial"/>
        </w:rPr>
        <w:t>s</w:t>
      </w:r>
      <w:r w:rsidR="00385B80" w:rsidRPr="003701F3">
        <w:rPr>
          <w:rFonts w:cs="Arial"/>
        </w:rPr>
        <w:t xml:space="preserve"> of outstanding contributions </w:t>
      </w:r>
      <w:r w:rsidR="00F167D7">
        <w:rPr>
          <w:rFonts w:cs="Arial"/>
        </w:rPr>
        <w:t>according to</w:t>
      </w:r>
      <w:r w:rsidR="00F167D7" w:rsidRPr="003701F3">
        <w:rPr>
          <w:rFonts w:cs="Arial"/>
        </w:rPr>
        <w:t xml:space="preserve"> </w:t>
      </w:r>
      <w:r w:rsidR="00385B80" w:rsidRPr="003701F3">
        <w:rPr>
          <w:rFonts w:cs="Arial"/>
        </w:rPr>
        <w:t xml:space="preserve">the year due, at 31 December </w:t>
      </w:r>
      <w:r w:rsidR="00CC1EB3" w:rsidRPr="003701F3">
        <w:rPr>
          <w:rFonts w:cs="Arial"/>
        </w:rPr>
        <w:t>20</w:t>
      </w:r>
      <w:r w:rsidR="00CC1EB3">
        <w:rPr>
          <w:rFonts w:cs="Arial"/>
        </w:rPr>
        <w:t>23</w:t>
      </w:r>
      <w:r w:rsidR="00CC1EB3" w:rsidRPr="003701F3">
        <w:rPr>
          <w:rFonts w:cs="Arial"/>
        </w:rPr>
        <w:t xml:space="preserve"> </w:t>
      </w:r>
      <w:r w:rsidR="00385B80" w:rsidRPr="003701F3">
        <w:rPr>
          <w:rFonts w:cs="Arial"/>
        </w:rPr>
        <w:t xml:space="preserve">and 31 December </w:t>
      </w:r>
      <w:r w:rsidR="00CC1EB3" w:rsidRPr="003701F3">
        <w:rPr>
          <w:rFonts w:cs="Arial"/>
        </w:rPr>
        <w:t>20</w:t>
      </w:r>
      <w:r w:rsidR="00CC1EB3">
        <w:rPr>
          <w:rFonts w:cs="Arial"/>
        </w:rPr>
        <w:t>22</w:t>
      </w:r>
      <w:r w:rsidR="00385B80" w:rsidRPr="003701F3">
        <w:rPr>
          <w:rFonts w:cs="Arial"/>
        </w:rPr>
        <w:t>, is shown in Table 2 below</w:t>
      </w:r>
      <w:r w:rsidR="00B91FD6" w:rsidRPr="003701F3">
        <w:rPr>
          <w:rFonts w:cs="Arial"/>
        </w:rPr>
        <w:t xml:space="preserve">. </w:t>
      </w:r>
      <w:r w:rsidR="00FA361D" w:rsidRPr="003701F3">
        <w:rPr>
          <w:rFonts w:cs="Arial"/>
        </w:rPr>
        <w:t xml:space="preserve">Table 2 also shows </w:t>
      </w:r>
      <w:r w:rsidR="00F167D7">
        <w:rPr>
          <w:rFonts w:cs="Arial"/>
        </w:rPr>
        <w:t>the</w:t>
      </w:r>
      <w:r w:rsidR="00F167D7" w:rsidRPr="003701F3">
        <w:rPr>
          <w:rFonts w:cs="Arial"/>
        </w:rPr>
        <w:t xml:space="preserve"> </w:t>
      </w:r>
      <w:r w:rsidR="00FA361D" w:rsidRPr="003701F3">
        <w:rPr>
          <w:rFonts w:cs="Arial"/>
        </w:rPr>
        <w:t xml:space="preserve">overall </w:t>
      </w:r>
      <w:r w:rsidR="001D78EF">
        <w:rPr>
          <w:rFonts w:cs="Arial"/>
        </w:rPr>
        <w:t>in</w:t>
      </w:r>
      <w:r w:rsidR="001D78EF" w:rsidRPr="003701F3">
        <w:rPr>
          <w:rFonts w:cs="Arial"/>
        </w:rPr>
        <w:t xml:space="preserve">crease </w:t>
      </w:r>
      <w:r w:rsidR="00FA361D" w:rsidRPr="003701F3">
        <w:rPr>
          <w:rFonts w:cs="Arial"/>
        </w:rPr>
        <w:t>in</w:t>
      </w:r>
      <w:r w:rsidR="00A530F2" w:rsidRPr="003701F3">
        <w:rPr>
          <w:rFonts w:cs="Arial"/>
        </w:rPr>
        <w:t xml:space="preserve"> </w:t>
      </w:r>
      <w:r w:rsidR="000C4536" w:rsidRPr="003701F3">
        <w:rPr>
          <w:rFonts w:cs="Arial"/>
        </w:rPr>
        <w:t xml:space="preserve">balances of </w:t>
      </w:r>
      <w:r w:rsidR="00A530F2" w:rsidRPr="003701F3">
        <w:rPr>
          <w:rFonts w:cs="Arial"/>
        </w:rPr>
        <w:t>outstanding contribution</w:t>
      </w:r>
      <w:r w:rsidR="00393FD5" w:rsidRPr="003701F3">
        <w:rPr>
          <w:rFonts w:cs="Arial"/>
        </w:rPr>
        <w:t>s</w:t>
      </w:r>
      <w:r w:rsidR="00A530F2" w:rsidRPr="003701F3">
        <w:rPr>
          <w:rFonts w:cs="Arial"/>
        </w:rPr>
        <w:t xml:space="preserve"> of CHF </w:t>
      </w:r>
      <w:r w:rsidR="001C1724">
        <w:rPr>
          <w:rFonts w:cs="Arial"/>
        </w:rPr>
        <w:t>41</w:t>
      </w:r>
      <w:r w:rsidR="001C1724" w:rsidRPr="003701F3">
        <w:rPr>
          <w:rFonts w:cs="Arial"/>
        </w:rPr>
        <w:t>K</w:t>
      </w:r>
      <w:r w:rsidR="00A530F2" w:rsidRPr="00544D57">
        <w:rPr>
          <w:rFonts w:cs="Arial"/>
        </w:rPr>
        <w:t>.</w:t>
      </w:r>
      <w:r w:rsidR="00F167D7" w:rsidRPr="00544D57" w:rsidDel="00F167D7">
        <w:rPr>
          <w:rFonts w:cs="Arial"/>
        </w:rPr>
        <w:t xml:space="preserve"> </w:t>
      </w:r>
      <w:r w:rsidR="00236CB7" w:rsidRPr="003701F3">
        <w:rPr>
          <w:rFonts w:cs="Arial"/>
        </w:rPr>
        <w:t xml:space="preserve">The balances of contributions outstanding for over three years increased from CHF </w:t>
      </w:r>
      <w:r w:rsidR="00236CB7">
        <w:rPr>
          <w:rFonts w:cs="Arial"/>
        </w:rPr>
        <w:t>738</w:t>
      </w:r>
      <w:r w:rsidR="00236CB7" w:rsidRPr="003701F3">
        <w:rPr>
          <w:rFonts w:cs="Arial"/>
        </w:rPr>
        <w:t>K at 31 December 20</w:t>
      </w:r>
      <w:r w:rsidR="00236CB7">
        <w:rPr>
          <w:rFonts w:cs="Arial"/>
        </w:rPr>
        <w:t>22</w:t>
      </w:r>
      <w:r w:rsidR="00236CB7" w:rsidRPr="003701F3">
        <w:rPr>
          <w:rFonts w:cs="Arial"/>
        </w:rPr>
        <w:t xml:space="preserve"> to CHF </w:t>
      </w:r>
      <w:r w:rsidR="00236CB7">
        <w:rPr>
          <w:rFonts w:cs="Arial"/>
        </w:rPr>
        <w:t>848</w:t>
      </w:r>
      <w:r w:rsidR="00236CB7" w:rsidRPr="003701F3">
        <w:rPr>
          <w:rFonts w:cs="Arial"/>
        </w:rPr>
        <w:t>K at 31 December 20</w:t>
      </w:r>
      <w:r w:rsidR="00236CB7">
        <w:rPr>
          <w:rFonts w:cs="Arial"/>
        </w:rPr>
        <w:t>23</w:t>
      </w:r>
      <w:r w:rsidR="00236CB7" w:rsidRPr="003701F3">
        <w:rPr>
          <w:rFonts w:cs="Arial"/>
        </w:rPr>
        <w:t>.</w:t>
      </w:r>
      <w:r w:rsidR="00891737">
        <w:rPr>
          <w:rFonts w:cs="Arial"/>
        </w:rPr>
        <w:t xml:space="preserve"> </w:t>
      </w:r>
      <w:r w:rsidR="00891737" w:rsidRPr="00891737">
        <w:rPr>
          <w:rFonts w:cs="Arial"/>
        </w:rPr>
        <w:t xml:space="preserve">Figure </w:t>
      </w:r>
      <w:r w:rsidR="00E90249">
        <w:rPr>
          <w:rFonts w:cs="Arial"/>
        </w:rPr>
        <w:t>2</w:t>
      </w:r>
      <w:r w:rsidR="00891737">
        <w:rPr>
          <w:rFonts w:cs="Arial"/>
        </w:rPr>
        <w:t>, also found</w:t>
      </w:r>
      <w:r w:rsidR="00891737" w:rsidRPr="00891737">
        <w:rPr>
          <w:rFonts w:cs="Arial"/>
        </w:rPr>
        <w:t xml:space="preserve"> below</w:t>
      </w:r>
      <w:r w:rsidR="00891737">
        <w:rPr>
          <w:rFonts w:cs="Arial"/>
        </w:rPr>
        <w:t>,</w:t>
      </w:r>
      <w:r w:rsidR="00891737" w:rsidRPr="00891737">
        <w:rPr>
          <w:rFonts w:cs="Arial"/>
        </w:rPr>
        <w:t xml:space="preserve"> shows the changes from 2022 to 2023 in the balances of outstanding contributions, by the number of years for which they had been due.</w:t>
      </w:r>
    </w:p>
    <w:p w14:paraId="77050654" w14:textId="6E296794" w:rsidR="00F109E7" w:rsidRDefault="00F109E7" w:rsidP="00AD53FB">
      <w:pPr>
        <w:rPr>
          <w:rFonts w:cs="Arial"/>
        </w:rPr>
      </w:pPr>
    </w:p>
    <w:p w14:paraId="3A41435C" w14:textId="7A83F3E9" w:rsidR="004B1E90" w:rsidRPr="0038249A" w:rsidRDefault="00186378" w:rsidP="004927F4">
      <w:pPr>
        <w:keepNext/>
        <w:ind w:left="0" w:firstLine="0"/>
        <w:rPr>
          <w:rFonts w:cs="Arial"/>
        </w:rPr>
      </w:pPr>
      <w:r w:rsidRPr="00186378">
        <w:rPr>
          <w:rFonts w:cs="Arial"/>
          <w:i/>
        </w:rPr>
        <w:lastRenderedPageBreak/>
        <w:t xml:space="preserve">Table 2: </w:t>
      </w:r>
      <w:r w:rsidR="000C4536">
        <w:rPr>
          <w:rFonts w:cs="Arial"/>
          <w:i/>
        </w:rPr>
        <w:t>B</w:t>
      </w:r>
      <w:r w:rsidRPr="00186378">
        <w:rPr>
          <w:rFonts w:cs="Arial"/>
          <w:i/>
        </w:rPr>
        <w:t xml:space="preserve">alances </w:t>
      </w:r>
      <w:r w:rsidR="000C4536">
        <w:rPr>
          <w:rFonts w:cs="Arial"/>
          <w:i/>
        </w:rPr>
        <w:t xml:space="preserve">of </w:t>
      </w:r>
      <w:r w:rsidR="00F54608">
        <w:rPr>
          <w:rFonts w:cs="Arial"/>
          <w:i/>
        </w:rPr>
        <w:t>outstanding</w:t>
      </w:r>
      <w:r w:rsidR="000C4536">
        <w:rPr>
          <w:rFonts w:cs="Arial"/>
          <w:i/>
        </w:rPr>
        <w:t xml:space="preserve"> contributions, </w:t>
      </w:r>
      <w:r w:rsidRPr="00186378">
        <w:rPr>
          <w:rFonts w:cs="Arial"/>
          <w:i/>
        </w:rPr>
        <w:t xml:space="preserve">31 December </w:t>
      </w:r>
      <w:r w:rsidR="00CC1EB3" w:rsidRPr="00186378">
        <w:rPr>
          <w:rFonts w:cs="Arial"/>
          <w:i/>
        </w:rPr>
        <w:t>20</w:t>
      </w:r>
      <w:r w:rsidR="00CC1EB3">
        <w:rPr>
          <w:rFonts w:cs="Arial"/>
          <w:i/>
        </w:rPr>
        <w:t>23</w:t>
      </w:r>
      <w:r w:rsidR="00CC1EB3" w:rsidRPr="00186378">
        <w:rPr>
          <w:rFonts w:cs="Arial"/>
          <w:i/>
        </w:rPr>
        <w:t xml:space="preserve"> </w:t>
      </w:r>
      <w:r w:rsidRPr="00186378">
        <w:rPr>
          <w:rFonts w:cs="Arial"/>
          <w:i/>
        </w:rPr>
        <w:t xml:space="preserve">compared to 31 December </w:t>
      </w:r>
      <w:r w:rsidR="00CC1EB3" w:rsidRPr="00186378">
        <w:rPr>
          <w:rFonts w:cs="Arial"/>
          <w:i/>
        </w:rPr>
        <w:t>20</w:t>
      </w:r>
      <w:r w:rsidR="00CC1EB3">
        <w:rPr>
          <w:rFonts w:cs="Arial"/>
          <w:i/>
        </w:rPr>
        <w:t xml:space="preserve">22 </w:t>
      </w:r>
      <w:r w:rsidR="00A95BAC">
        <w:rPr>
          <w:rFonts w:cs="Arial"/>
          <w:i/>
        </w:rPr>
        <w:t xml:space="preserve">(in </w:t>
      </w:r>
      <w:r w:rsidR="00A95BAC">
        <w:rPr>
          <w:i/>
          <w:iCs/>
        </w:rPr>
        <w:t>‘000 CHF, includes possible rounding differences)</w:t>
      </w:r>
    </w:p>
    <w:tbl>
      <w:tblPr>
        <w:tblW w:w="929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96"/>
        <w:gridCol w:w="2299"/>
        <w:gridCol w:w="2299"/>
        <w:gridCol w:w="2299"/>
      </w:tblGrid>
      <w:tr w:rsidR="00D4106E" w:rsidRPr="00186378" w14:paraId="769E69E0" w14:textId="77777777" w:rsidTr="00C56839">
        <w:trPr>
          <w:trHeight w:val="829"/>
        </w:trPr>
        <w:tc>
          <w:tcPr>
            <w:tcW w:w="2396" w:type="dxa"/>
            <w:shd w:val="clear" w:color="auto" w:fill="C6D9F1" w:themeFill="text2" w:themeFillTint="33"/>
            <w:noWrap/>
            <w:vAlign w:val="center"/>
            <w:hideMark/>
          </w:tcPr>
          <w:p w14:paraId="56B81537" w14:textId="62D05CC5" w:rsidR="00D4106E" w:rsidRPr="00186378" w:rsidRDefault="00D4106E" w:rsidP="004927F4">
            <w:pPr>
              <w:keepNext/>
              <w:ind w:left="0" w:firstLine="0"/>
              <w:jc w:val="center"/>
              <w:rPr>
                <w:b/>
              </w:rPr>
            </w:pPr>
            <w:r w:rsidRPr="00186378">
              <w:rPr>
                <w:b/>
              </w:rPr>
              <w:t>Year</w:t>
            </w:r>
            <w:r>
              <w:rPr>
                <w:b/>
              </w:rPr>
              <w:t xml:space="preserve"> due </w:t>
            </w:r>
          </w:p>
        </w:tc>
        <w:tc>
          <w:tcPr>
            <w:tcW w:w="2299" w:type="dxa"/>
            <w:shd w:val="clear" w:color="auto" w:fill="C6D9F1" w:themeFill="text2" w:themeFillTint="33"/>
            <w:vAlign w:val="bottom"/>
            <w:hideMark/>
          </w:tcPr>
          <w:p w14:paraId="3C6BA069" w14:textId="17856544" w:rsidR="00D4106E" w:rsidRPr="00186378" w:rsidRDefault="00D4106E" w:rsidP="004927F4">
            <w:pPr>
              <w:keepNext/>
              <w:ind w:left="0" w:firstLine="0"/>
              <w:jc w:val="center"/>
              <w:rPr>
                <w:b/>
              </w:rPr>
            </w:pPr>
            <w:r>
              <w:rPr>
                <w:b/>
              </w:rPr>
              <w:t>Outstanding c</w:t>
            </w:r>
            <w:r w:rsidRPr="00186378">
              <w:rPr>
                <w:b/>
              </w:rPr>
              <w:t>ontribution balance</w:t>
            </w:r>
            <w:r>
              <w:rPr>
                <w:b/>
              </w:rPr>
              <w:t>s</w:t>
            </w:r>
            <w:r w:rsidRPr="00186378">
              <w:rPr>
                <w:b/>
              </w:rPr>
              <w:t xml:space="preserve"> (CHF </w:t>
            </w:r>
            <w:r>
              <w:rPr>
                <w:b/>
              </w:rPr>
              <w:t>‘</w:t>
            </w:r>
            <w:r w:rsidRPr="00186378">
              <w:rPr>
                <w:b/>
              </w:rPr>
              <w:t>000)</w:t>
            </w:r>
            <w:r w:rsidRPr="00186378">
              <w:rPr>
                <w:b/>
              </w:rPr>
              <w:br/>
              <w:t>31/12/</w:t>
            </w:r>
            <w:r w:rsidR="00CC1EB3" w:rsidRPr="00186378">
              <w:rPr>
                <w:b/>
              </w:rPr>
              <w:t>20</w:t>
            </w:r>
            <w:r w:rsidR="00CC1EB3">
              <w:rPr>
                <w:b/>
              </w:rPr>
              <w:t>22</w:t>
            </w:r>
          </w:p>
        </w:tc>
        <w:tc>
          <w:tcPr>
            <w:tcW w:w="2299" w:type="dxa"/>
            <w:shd w:val="clear" w:color="auto" w:fill="C6D9F1" w:themeFill="text2" w:themeFillTint="33"/>
          </w:tcPr>
          <w:p w14:paraId="5E3E76D6" w14:textId="738AA0A4" w:rsidR="00D4106E" w:rsidRPr="00186378" w:rsidRDefault="00D4106E" w:rsidP="004927F4">
            <w:pPr>
              <w:keepNext/>
              <w:ind w:left="0" w:firstLine="0"/>
              <w:jc w:val="center"/>
              <w:rPr>
                <w:b/>
              </w:rPr>
            </w:pPr>
            <w:r>
              <w:rPr>
                <w:b/>
              </w:rPr>
              <w:t>Outstanding c</w:t>
            </w:r>
            <w:r w:rsidRPr="00186378">
              <w:rPr>
                <w:b/>
              </w:rPr>
              <w:t>ontribution balance</w:t>
            </w:r>
            <w:r>
              <w:rPr>
                <w:b/>
              </w:rPr>
              <w:t>s</w:t>
            </w:r>
            <w:r w:rsidRPr="00186378">
              <w:rPr>
                <w:b/>
              </w:rPr>
              <w:t xml:space="preserve"> (CHF </w:t>
            </w:r>
            <w:r>
              <w:rPr>
                <w:b/>
              </w:rPr>
              <w:t>‘</w:t>
            </w:r>
            <w:r w:rsidRPr="00186378">
              <w:rPr>
                <w:b/>
              </w:rPr>
              <w:t>000)</w:t>
            </w:r>
            <w:r w:rsidRPr="00186378">
              <w:rPr>
                <w:b/>
              </w:rPr>
              <w:br/>
              <w:t>31/12/</w:t>
            </w:r>
            <w:r w:rsidR="005E5BD9" w:rsidRPr="00186378">
              <w:rPr>
                <w:b/>
              </w:rPr>
              <w:t>20</w:t>
            </w:r>
            <w:r w:rsidR="005E5BD9">
              <w:rPr>
                <w:b/>
              </w:rPr>
              <w:t>2</w:t>
            </w:r>
            <w:r w:rsidR="00CC1EB3">
              <w:rPr>
                <w:b/>
              </w:rPr>
              <w:t>3</w:t>
            </w:r>
          </w:p>
        </w:tc>
        <w:tc>
          <w:tcPr>
            <w:tcW w:w="2299" w:type="dxa"/>
            <w:shd w:val="clear" w:color="auto" w:fill="C6D9F1" w:themeFill="text2" w:themeFillTint="33"/>
            <w:vAlign w:val="center"/>
            <w:hideMark/>
          </w:tcPr>
          <w:p w14:paraId="07F5AA99" w14:textId="429A5DD2" w:rsidR="00D4106E" w:rsidRPr="00186378" w:rsidRDefault="00D4106E" w:rsidP="004927F4">
            <w:pPr>
              <w:keepNext/>
              <w:ind w:left="0" w:firstLine="0"/>
              <w:jc w:val="center"/>
              <w:rPr>
                <w:b/>
              </w:rPr>
            </w:pPr>
            <w:r w:rsidRPr="00186378">
              <w:rPr>
                <w:b/>
              </w:rPr>
              <w:t xml:space="preserve">Change (CHF </w:t>
            </w:r>
            <w:r>
              <w:rPr>
                <w:b/>
              </w:rPr>
              <w:t>‘</w:t>
            </w:r>
            <w:r w:rsidRPr="00186378">
              <w:rPr>
                <w:b/>
              </w:rPr>
              <w:t>000)</w:t>
            </w:r>
            <w:r w:rsidRPr="00186378">
              <w:rPr>
                <w:b/>
              </w:rPr>
              <w:br/>
              <w:t>(</w:t>
            </w:r>
            <w:r w:rsidR="00354000" w:rsidRPr="00186378">
              <w:rPr>
                <w:b/>
              </w:rPr>
              <w:t>20</w:t>
            </w:r>
            <w:r w:rsidR="00354000">
              <w:rPr>
                <w:b/>
              </w:rPr>
              <w:t xml:space="preserve">22 to </w:t>
            </w:r>
            <w:r w:rsidR="005E5BD9">
              <w:rPr>
                <w:b/>
              </w:rPr>
              <w:t>202</w:t>
            </w:r>
            <w:r w:rsidR="00354000">
              <w:rPr>
                <w:b/>
              </w:rPr>
              <w:t>3</w:t>
            </w:r>
            <w:r w:rsidRPr="00186378">
              <w:rPr>
                <w:b/>
              </w:rPr>
              <w:t xml:space="preserve">) </w:t>
            </w:r>
          </w:p>
        </w:tc>
      </w:tr>
      <w:tr w:rsidR="005E5BD9" w:rsidRPr="00186378" w14:paraId="2D3AC8FF" w14:textId="77777777" w:rsidTr="006C54D5">
        <w:tc>
          <w:tcPr>
            <w:tcW w:w="2396" w:type="dxa"/>
            <w:shd w:val="clear" w:color="auto" w:fill="auto"/>
            <w:noWrap/>
            <w:hideMark/>
          </w:tcPr>
          <w:p w14:paraId="711EB55D" w14:textId="514C1791" w:rsidR="005E5BD9" w:rsidRPr="00186378" w:rsidRDefault="005E5BD9" w:rsidP="004927F4">
            <w:pPr>
              <w:keepNext/>
              <w:ind w:left="0" w:firstLine="0"/>
              <w:jc w:val="center"/>
              <w:rPr>
                <w:rFonts w:asciiTheme="minorHAnsi" w:eastAsia="Times New Roman" w:hAnsiTheme="minorHAnsi" w:cs="Arial"/>
                <w:color w:val="000000"/>
                <w:lang w:eastAsia="en-GB"/>
              </w:rPr>
            </w:pPr>
            <w:r w:rsidRPr="008126AB">
              <w:t>2014</w:t>
            </w:r>
            <w:r w:rsidR="00CC1EB3">
              <w:t xml:space="preserve"> or before</w:t>
            </w:r>
          </w:p>
        </w:tc>
        <w:tc>
          <w:tcPr>
            <w:tcW w:w="2299" w:type="dxa"/>
            <w:shd w:val="clear" w:color="auto" w:fill="auto"/>
            <w:noWrap/>
            <w:hideMark/>
          </w:tcPr>
          <w:p w14:paraId="78025062" w14:textId="30BA9E48" w:rsidR="005E5BD9" w:rsidRPr="00186378" w:rsidRDefault="00CC1EB3" w:rsidP="004927F4">
            <w:pPr>
              <w:keepNext/>
              <w:ind w:left="0" w:firstLine="0"/>
              <w:jc w:val="right"/>
              <w:rPr>
                <w:rFonts w:asciiTheme="minorHAnsi" w:eastAsia="Times New Roman" w:hAnsiTheme="minorHAnsi" w:cs="Arial"/>
                <w:color w:val="000000"/>
                <w:lang w:eastAsia="en-GB"/>
              </w:rPr>
            </w:pPr>
            <w:r>
              <w:t>29</w:t>
            </w:r>
            <w:r w:rsidR="00697BEF">
              <w:t>5</w:t>
            </w:r>
          </w:p>
        </w:tc>
        <w:tc>
          <w:tcPr>
            <w:tcW w:w="2299" w:type="dxa"/>
            <w:vAlign w:val="center"/>
          </w:tcPr>
          <w:p w14:paraId="2832C72D" w14:textId="025702CE" w:rsidR="005E5BD9" w:rsidRPr="00B167C8" w:rsidRDefault="00CC1EB3" w:rsidP="004927F4">
            <w:pPr>
              <w:keepNext/>
              <w:ind w:left="0" w:firstLine="0"/>
              <w:jc w:val="right"/>
            </w:pPr>
            <w:r>
              <w:rPr>
                <w:rFonts w:cs="Calibri"/>
                <w:color w:val="000000"/>
              </w:rPr>
              <w:t>289</w:t>
            </w:r>
          </w:p>
        </w:tc>
        <w:tc>
          <w:tcPr>
            <w:tcW w:w="2299" w:type="dxa"/>
            <w:shd w:val="clear" w:color="auto" w:fill="auto"/>
            <w:noWrap/>
            <w:vAlign w:val="center"/>
            <w:hideMark/>
          </w:tcPr>
          <w:p w14:paraId="0BD2B372" w14:textId="5F1359B9" w:rsidR="005E5BD9" w:rsidRPr="00186378" w:rsidRDefault="00294BC8" w:rsidP="004927F4">
            <w:pPr>
              <w:keepNext/>
              <w:ind w:left="0" w:firstLine="0"/>
              <w:jc w:val="right"/>
              <w:rPr>
                <w:rFonts w:asciiTheme="minorHAnsi" w:eastAsia="Times New Roman" w:hAnsiTheme="minorHAnsi" w:cs="Arial"/>
                <w:color w:val="000000"/>
                <w:lang w:eastAsia="en-GB"/>
              </w:rPr>
            </w:pPr>
            <w:r>
              <w:rPr>
                <w:rFonts w:cs="Calibri"/>
                <w:color w:val="000000"/>
              </w:rPr>
              <w:t>-6</w:t>
            </w:r>
          </w:p>
        </w:tc>
      </w:tr>
      <w:tr w:rsidR="005E5BD9" w:rsidRPr="00186378" w14:paraId="19B1CFB1" w14:textId="77777777" w:rsidTr="006C54D5">
        <w:tc>
          <w:tcPr>
            <w:tcW w:w="2396" w:type="dxa"/>
            <w:shd w:val="clear" w:color="auto" w:fill="auto"/>
            <w:noWrap/>
            <w:hideMark/>
          </w:tcPr>
          <w:p w14:paraId="433DBB66" w14:textId="3178BACF" w:rsidR="005E5BD9" w:rsidRPr="00186378" w:rsidRDefault="005E5BD9" w:rsidP="004927F4">
            <w:pPr>
              <w:keepNext/>
              <w:ind w:left="0" w:firstLine="0"/>
              <w:jc w:val="center"/>
              <w:rPr>
                <w:rFonts w:asciiTheme="minorHAnsi" w:eastAsia="Times New Roman" w:hAnsiTheme="minorHAnsi" w:cs="Arial"/>
                <w:color w:val="000000"/>
                <w:lang w:eastAsia="en-GB"/>
              </w:rPr>
            </w:pPr>
            <w:r w:rsidRPr="008126AB">
              <w:t>2015</w:t>
            </w:r>
          </w:p>
        </w:tc>
        <w:tc>
          <w:tcPr>
            <w:tcW w:w="2299" w:type="dxa"/>
            <w:shd w:val="clear" w:color="auto" w:fill="auto"/>
            <w:noWrap/>
            <w:hideMark/>
          </w:tcPr>
          <w:p w14:paraId="043C9867" w14:textId="0465F397" w:rsidR="005E5BD9" w:rsidRPr="00186378" w:rsidRDefault="00CC1EB3" w:rsidP="004927F4">
            <w:pPr>
              <w:keepNext/>
              <w:ind w:left="0" w:firstLine="0"/>
              <w:jc w:val="right"/>
              <w:rPr>
                <w:rFonts w:asciiTheme="minorHAnsi" w:eastAsia="Times New Roman" w:hAnsiTheme="minorHAnsi" w:cs="Arial"/>
                <w:color w:val="000000"/>
                <w:lang w:eastAsia="en-GB"/>
              </w:rPr>
            </w:pPr>
            <w:r>
              <w:t>71</w:t>
            </w:r>
          </w:p>
        </w:tc>
        <w:tc>
          <w:tcPr>
            <w:tcW w:w="2299" w:type="dxa"/>
            <w:vAlign w:val="center"/>
          </w:tcPr>
          <w:p w14:paraId="5AC2F133" w14:textId="563EA91E" w:rsidR="005E5BD9" w:rsidRPr="00B167C8" w:rsidRDefault="00CC1EB3" w:rsidP="004927F4">
            <w:pPr>
              <w:keepNext/>
              <w:ind w:left="0" w:firstLine="0"/>
              <w:jc w:val="right"/>
            </w:pPr>
            <w:r>
              <w:rPr>
                <w:rFonts w:cs="Calibri"/>
                <w:color w:val="000000"/>
              </w:rPr>
              <w:t>70</w:t>
            </w:r>
          </w:p>
        </w:tc>
        <w:tc>
          <w:tcPr>
            <w:tcW w:w="2299" w:type="dxa"/>
            <w:shd w:val="clear" w:color="auto" w:fill="auto"/>
            <w:noWrap/>
            <w:vAlign w:val="center"/>
            <w:hideMark/>
          </w:tcPr>
          <w:p w14:paraId="23AF5DE5" w14:textId="3CEAC5C1" w:rsidR="005E5BD9" w:rsidRPr="00186378" w:rsidRDefault="00294BC8" w:rsidP="004927F4">
            <w:pPr>
              <w:keepNext/>
              <w:ind w:left="0" w:firstLine="0"/>
              <w:jc w:val="right"/>
              <w:rPr>
                <w:rFonts w:asciiTheme="minorHAnsi" w:eastAsia="Times New Roman" w:hAnsiTheme="minorHAnsi" w:cs="Arial"/>
                <w:color w:val="000000"/>
                <w:lang w:eastAsia="en-GB"/>
              </w:rPr>
            </w:pPr>
            <w:r>
              <w:rPr>
                <w:rFonts w:cs="Calibri"/>
                <w:color w:val="000000"/>
              </w:rPr>
              <w:t>-</w:t>
            </w:r>
            <w:r w:rsidR="00697BEF">
              <w:rPr>
                <w:rFonts w:cs="Calibri"/>
                <w:color w:val="000000"/>
              </w:rPr>
              <w:t>1</w:t>
            </w:r>
          </w:p>
        </w:tc>
      </w:tr>
      <w:tr w:rsidR="005E5BD9" w:rsidRPr="00186378" w14:paraId="1203FECA" w14:textId="77777777" w:rsidTr="006C54D5">
        <w:tc>
          <w:tcPr>
            <w:tcW w:w="2396" w:type="dxa"/>
            <w:shd w:val="clear" w:color="auto" w:fill="auto"/>
            <w:noWrap/>
            <w:hideMark/>
          </w:tcPr>
          <w:p w14:paraId="5579874D" w14:textId="78E8AE4F" w:rsidR="005E5BD9" w:rsidRPr="00186378" w:rsidRDefault="005E5BD9" w:rsidP="004927F4">
            <w:pPr>
              <w:keepNext/>
              <w:ind w:left="0" w:firstLine="0"/>
              <w:jc w:val="center"/>
              <w:rPr>
                <w:rFonts w:asciiTheme="minorHAnsi" w:eastAsia="Times New Roman" w:hAnsiTheme="minorHAnsi" w:cs="Arial"/>
                <w:color w:val="000000"/>
                <w:lang w:eastAsia="en-GB"/>
              </w:rPr>
            </w:pPr>
            <w:r w:rsidRPr="008126AB">
              <w:t>2016</w:t>
            </w:r>
          </w:p>
        </w:tc>
        <w:tc>
          <w:tcPr>
            <w:tcW w:w="2299" w:type="dxa"/>
            <w:shd w:val="clear" w:color="auto" w:fill="auto"/>
            <w:noWrap/>
            <w:hideMark/>
          </w:tcPr>
          <w:p w14:paraId="20514D6B" w14:textId="15B15F7F" w:rsidR="005E5BD9" w:rsidRPr="00186378" w:rsidRDefault="00CC1EB3" w:rsidP="004927F4">
            <w:pPr>
              <w:keepNext/>
              <w:ind w:left="0" w:firstLine="0"/>
              <w:jc w:val="right"/>
              <w:rPr>
                <w:rFonts w:asciiTheme="minorHAnsi" w:eastAsia="Times New Roman" w:hAnsiTheme="minorHAnsi" w:cs="Arial"/>
                <w:color w:val="000000"/>
                <w:lang w:eastAsia="en-GB"/>
              </w:rPr>
            </w:pPr>
            <w:r>
              <w:t>76</w:t>
            </w:r>
          </w:p>
        </w:tc>
        <w:tc>
          <w:tcPr>
            <w:tcW w:w="2299" w:type="dxa"/>
            <w:vAlign w:val="center"/>
          </w:tcPr>
          <w:p w14:paraId="7E8CB528" w14:textId="50A95192" w:rsidR="005E5BD9" w:rsidRPr="00B167C8" w:rsidRDefault="00CC1EB3" w:rsidP="004927F4">
            <w:pPr>
              <w:keepNext/>
              <w:ind w:left="0" w:firstLine="0"/>
              <w:jc w:val="right"/>
            </w:pPr>
            <w:r>
              <w:rPr>
                <w:rFonts w:cs="Calibri"/>
                <w:color w:val="000000"/>
              </w:rPr>
              <w:t>75</w:t>
            </w:r>
          </w:p>
        </w:tc>
        <w:tc>
          <w:tcPr>
            <w:tcW w:w="2299" w:type="dxa"/>
            <w:shd w:val="clear" w:color="auto" w:fill="auto"/>
            <w:noWrap/>
            <w:vAlign w:val="center"/>
            <w:hideMark/>
          </w:tcPr>
          <w:p w14:paraId="6A13BB44" w14:textId="37BE3AF5" w:rsidR="005E5BD9" w:rsidRPr="00186378" w:rsidRDefault="005E5BD9" w:rsidP="004927F4">
            <w:pPr>
              <w:keepNext/>
              <w:ind w:left="0" w:firstLine="0"/>
              <w:jc w:val="right"/>
              <w:rPr>
                <w:rFonts w:asciiTheme="minorHAnsi" w:eastAsia="Times New Roman" w:hAnsiTheme="minorHAnsi" w:cs="Arial"/>
                <w:color w:val="000000"/>
                <w:lang w:eastAsia="en-GB"/>
              </w:rPr>
            </w:pPr>
            <w:r>
              <w:rPr>
                <w:rFonts w:cs="Calibri"/>
                <w:color w:val="000000"/>
              </w:rPr>
              <w:t>-</w:t>
            </w:r>
            <w:r w:rsidR="00AB040E">
              <w:rPr>
                <w:rFonts w:cs="Calibri"/>
                <w:color w:val="000000"/>
              </w:rPr>
              <w:t>1</w:t>
            </w:r>
          </w:p>
        </w:tc>
      </w:tr>
      <w:tr w:rsidR="005E5BD9" w:rsidRPr="00186378" w14:paraId="29C219E2" w14:textId="77777777" w:rsidTr="006C54D5">
        <w:tc>
          <w:tcPr>
            <w:tcW w:w="2396" w:type="dxa"/>
            <w:shd w:val="clear" w:color="auto" w:fill="auto"/>
            <w:noWrap/>
            <w:hideMark/>
          </w:tcPr>
          <w:p w14:paraId="3E52521E" w14:textId="69E66654" w:rsidR="005E5BD9" w:rsidRPr="00186378" w:rsidRDefault="005E5BD9" w:rsidP="004927F4">
            <w:pPr>
              <w:keepNext/>
              <w:ind w:left="0" w:firstLine="0"/>
              <w:jc w:val="center"/>
              <w:rPr>
                <w:rFonts w:asciiTheme="minorHAnsi" w:eastAsia="Times New Roman" w:hAnsiTheme="minorHAnsi" w:cs="Arial"/>
                <w:color w:val="000000"/>
                <w:lang w:eastAsia="en-GB"/>
              </w:rPr>
            </w:pPr>
            <w:r w:rsidRPr="008126AB">
              <w:t>2017</w:t>
            </w:r>
          </w:p>
        </w:tc>
        <w:tc>
          <w:tcPr>
            <w:tcW w:w="2299" w:type="dxa"/>
            <w:shd w:val="clear" w:color="auto" w:fill="auto"/>
            <w:noWrap/>
            <w:hideMark/>
          </w:tcPr>
          <w:p w14:paraId="63A4A182" w14:textId="0AAB1DFE" w:rsidR="005E5BD9" w:rsidRPr="00186378" w:rsidRDefault="00CC1EB3" w:rsidP="004927F4">
            <w:pPr>
              <w:keepNext/>
              <w:ind w:left="0" w:firstLine="0"/>
              <w:jc w:val="right"/>
              <w:rPr>
                <w:rFonts w:asciiTheme="minorHAnsi" w:eastAsia="Times New Roman" w:hAnsiTheme="minorHAnsi" w:cs="Arial"/>
                <w:color w:val="000000"/>
                <w:lang w:eastAsia="en-GB"/>
              </w:rPr>
            </w:pPr>
            <w:r>
              <w:t>83</w:t>
            </w:r>
          </w:p>
        </w:tc>
        <w:tc>
          <w:tcPr>
            <w:tcW w:w="2299" w:type="dxa"/>
            <w:vAlign w:val="center"/>
          </w:tcPr>
          <w:p w14:paraId="0A5D3260" w14:textId="5C385FF7" w:rsidR="005E5BD9" w:rsidRPr="00B167C8" w:rsidRDefault="00CC1EB3" w:rsidP="004927F4">
            <w:pPr>
              <w:keepNext/>
              <w:ind w:left="0" w:firstLine="0"/>
              <w:jc w:val="right"/>
            </w:pPr>
            <w:r>
              <w:rPr>
                <w:rFonts w:cs="Calibri"/>
                <w:color w:val="000000"/>
              </w:rPr>
              <w:t>82</w:t>
            </w:r>
          </w:p>
        </w:tc>
        <w:tc>
          <w:tcPr>
            <w:tcW w:w="2299" w:type="dxa"/>
            <w:shd w:val="clear" w:color="auto" w:fill="auto"/>
            <w:noWrap/>
            <w:vAlign w:val="center"/>
            <w:hideMark/>
          </w:tcPr>
          <w:p w14:paraId="3DD4DA29" w14:textId="79C6703A" w:rsidR="005E5BD9" w:rsidRPr="00186378" w:rsidRDefault="005E5BD9" w:rsidP="004927F4">
            <w:pPr>
              <w:keepNext/>
              <w:ind w:left="0" w:firstLine="0"/>
              <w:jc w:val="right"/>
              <w:rPr>
                <w:rFonts w:asciiTheme="minorHAnsi" w:eastAsia="Times New Roman" w:hAnsiTheme="minorHAnsi" w:cs="Arial"/>
                <w:color w:val="000000"/>
                <w:lang w:eastAsia="en-GB"/>
              </w:rPr>
            </w:pPr>
            <w:r>
              <w:rPr>
                <w:rFonts w:cs="Calibri"/>
                <w:color w:val="000000"/>
              </w:rPr>
              <w:t>-</w:t>
            </w:r>
            <w:r w:rsidR="00294BC8">
              <w:rPr>
                <w:rFonts w:cs="Calibri"/>
                <w:color w:val="000000"/>
              </w:rPr>
              <w:t>1</w:t>
            </w:r>
          </w:p>
        </w:tc>
      </w:tr>
      <w:tr w:rsidR="005E5BD9" w:rsidRPr="00186378" w14:paraId="3BDF6C96" w14:textId="77777777" w:rsidTr="006C54D5">
        <w:tc>
          <w:tcPr>
            <w:tcW w:w="2396" w:type="dxa"/>
            <w:shd w:val="clear" w:color="auto" w:fill="auto"/>
            <w:noWrap/>
            <w:hideMark/>
          </w:tcPr>
          <w:p w14:paraId="1667B56A" w14:textId="37F12625" w:rsidR="005E5BD9" w:rsidRPr="00186378" w:rsidRDefault="005E5BD9" w:rsidP="004927F4">
            <w:pPr>
              <w:keepNext/>
              <w:ind w:left="0" w:firstLine="0"/>
              <w:jc w:val="center"/>
              <w:rPr>
                <w:rFonts w:asciiTheme="minorHAnsi" w:eastAsia="Times New Roman" w:hAnsiTheme="minorHAnsi" w:cs="Arial"/>
                <w:color w:val="000000"/>
                <w:lang w:eastAsia="en-GB"/>
              </w:rPr>
            </w:pPr>
            <w:r w:rsidRPr="008126AB">
              <w:t>2018</w:t>
            </w:r>
          </w:p>
        </w:tc>
        <w:tc>
          <w:tcPr>
            <w:tcW w:w="2299" w:type="dxa"/>
            <w:shd w:val="clear" w:color="auto" w:fill="auto"/>
            <w:noWrap/>
            <w:hideMark/>
          </w:tcPr>
          <w:p w14:paraId="6A13816D" w14:textId="4CCC57AE" w:rsidR="005E5BD9" w:rsidRPr="00186378" w:rsidRDefault="00CC1EB3" w:rsidP="004927F4">
            <w:pPr>
              <w:keepNext/>
              <w:ind w:left="0" w:firstLine="0"/>
              <w:jc w:val="right"/>
              <w:rPr>
                <w:rFonts w:asciiTheme="minorHAnsi" w:eastAsia="Times New Roman" w:hAnsiTheme="minorHAnsi" w:cs="Arial"/>
                <w:color w:val="000000"/>
                <w:lang w:eastAsia="en-GB"/>
              </w:rPr>
            </w:pPr>
            <w:r>
              <w:t>89</w:t>
            </w:r>
          </w:p>
        </w:tc>
        <w:tc>
          <w:tcPr>
            <w:tcW w:w="2299" w:type="dxa"/>
            <w:vAlign w:val="center"/>
          </w:tcPr>
          <w:p w14:paraId="3B8D28DD" w14:textId="564C9CBB" w:rsidR="005E5BD9" w:rsidRPr="00B167C8" w:rsidRDefault="00CC1EB3" w:rsidP="004927F4">
            <w:pPr>
              <w:keepNext/>
              <w:ind w:left="0" w:firstLine="0"/>
              <w:jc w:val="right"/>
            </w:pPr>
            <w:r>
              <w:rPr>
                <w:rFonts w:cs="Calibri"/>
                <w:color w:val="000000"/>
              </w:rPr>
              <w:t>86</w:t>
            </w:r>
          </w:p>
        </w:tc>
        <w:tc>
          <w:tcPr>
            <w:tcW w:w="2299" w:type="dxa"/>
            <w:shd w:val="clear" w:color="auto" w:fill="auto"/>
            <w:noWrap/>
            <w:vAlign w:val="center"/>
            <w:hideMark/>
          </w:tcPr>
          <w:p w14:paraId="095924A4" w14:textId="542588B3" w:rsidR="005E5BD9" w:rsidRPr="00186378" w:rsidRDefault="005E5BD9" w:rsidP="004927F4">
            <w:pPr>
              <w:keepNext/>
              <w:ind w:left="0" w:firstLine="0"/>
              <w:jc w:val="right"/>
              <w:rPr>
                <w:rFonts w:asciiTheme="minorHAnsi" w:eastAsia="Times New Roman" w:hAnsiTheme="minorHAnsi" w:cs="Arial"/>
                <w:color w:val="000000"/>
                <w:lang w:eastAsia="en-GB"/>
              </w:rPr>
            </w:pPr>
            <w:r>
              <w:rPr>
                <w:rFonts w:cs="Calibri"/>
                <w:color w:val="000000"/>
              </w:rPr>
              <w:t>-</w:t>
            </w:r>
            <w:r w:rsidR="00294BC8">
              <w:rPr>
                <w:rFonts w:cs="Calibri"/>
                <w:color w:val="000000"/>
              </w:rPr>
              <w:t>3</w:t>
            </w:r>
          </w:p>
        </w:tc>
      </w:tr>
      <w:tr w:rsidR="005E5BD9" w:rsidRPr="00186378" w14:paraId="70FEB112" w14:textId="77777777" w:rsidTr="006C54D5">
        <w:tc>
          <w:tcPr>
            <w:tcW w:w="2396" w:type="dxa"/>
            <w:shd w:val="clear" w:color="auto" w:fill="auto"/>
            <w:noWrap/>
            <w:hideMark/>
          </w:tcPr>
          <w:p w14:paraId="05559B80" w14:textId="787360D6" w:rsidR="005E5BD9" w:rsidRPr="00186378" w:rsidRDefault="005E5BD9" w:rsidP="004927F4">
            <w:pPr>
              <w:keepNext/>
              <w:ind w:left="0" w:firstLine="0"/>
              <w:jc w:val="center"/>
              <w:rPr>
                <w:rFonts w:asciiTheme="minorHAnsi" w:eastAsia="Times New Roman" w:hAnsiTheme="minorHAnsi" w:cs="Arial"/>
                <w:color w:val="000000"/>
                <w:lang w:eastAsia="en-GB"/>
              </w:rPr>
            </w:pPr>
            <w:r w:rsidRPr="008126AB">
              <w:t>2019</w:t>
            </w:r>
          </w:p>
        </w:tc>
        <w:tc>
          <w:tcPr>
            <w:tcW w:w="2299" w:type="dxa"/>
            <w:shd w:val="clear" w:color="auto" w:fill="auto"/>
            <w:noWrap/>
            <w:hideMark/>
          </w:tcPr>
          <w:p w14:paraId="38F84252" w14:textId="3EFA21E7" w:rsidR="005E5BD9" w:rsidRPr="00186378" w:rsidRDefault="00CC1EB3" w:rsidP="004927F4">
            <w:pPr>
              <w:keepNext/>
              <w:ind w:left="0" w:firstLine="0"/>
              <w:jc w:val="right"/>
              <w:rPr>
                <w:rFonts w:asciiTheme="minorHAnsi" w:eastAsia="Times New Roman" w:hAnsiTheme="minorHAnsi" w:cs="Arial"/>
                <w:color w:val="000000"/>
                <w:lang w:eastAsia="en-GB"/>
              </w:rPr>
            </w:pPr>
            <w:r>
              <w:t>12</w:t>
            </w:r>
            <w:r w:rsidR="00697BEF">
              <w:t>4</w:t>
            </w:r>
          </w:p>
        </w:tc>
        <w:tc>
          <w:tcPr>
            <w:tcW w:w="2299" w:type="dxa"/>
            <w:vAlign w:val="center"/>
          </w:tcPr>
          <w:p w14:paraId="1CFFA82A" w14:textId="1CF383D2" w:rsidR="005E5BD9" w:rsidRPr="00B167C8" w:rsidRDefault="00CC1EB3" w:rsidP="004927F4">
            <w:pPr>
              <w:keepNext/>
              <w:ind w:left="0" w:firstLine="0"/>
              <w:jc w:val="right"/>
            </w:pPr>
            <w:r>
              <w:rPr>
                <w:rFonts w:cs="Calibri"/>
                <w:color w:val="000000"/>
              </w:rPr>
              <w:t>119</w:t>
            </w:r>
          </w:p>
        </w:tc>
        <w:tc>
          <w:tcPr>
            <w:tcW w:w="2299" w:type="dxa"/>
            <w:shd w:val="clear" w:color="auto" w:fill="auto"/>
            <w:noWrap/>
            <w:vAlign w:val="center"/>
            <w:hideMark/>
          </w:tcPr>
          <w:p w14:paraId="27152379" w14:textId="4514CE27" w:rsidR="005E5BD9" w:rsidRPr="00186378" w:rsidRDefault="005E5BD9" w:rsidP="004927F4">
            <w:pPr>
              <w:keepNext/>
              <w:ind w:left="0" w:firstLine="0"/>
              <w:jc w:val="right"/>
              <w:rPr>
                <w:rFonts w:asciiTheme="minorHAnsi" w:eastAsia="Times New Roman" w:hAnsiTheme="minorHAnsi" w:cs="Arial"/>
                <w:color w:val="000000"/>
                <w:lang w:eastAsia="en-GB"/>
              </w:rPr>
            </w:pPr>
            <w:r>
              <w:rPr>
                <w:rFonts w:cs="Calibri"/>
                <w:color w:val="000000"/>
              </w:rPr>
              <w:t>-</w:t>
            </w:r>
            <w:r w:rsidR="00294BC8">
              <w:rPr>
                <w:rFonts w:cs="Calibri"/>
                <w:color w:val="000000"/>
              </w:rPr>
              <w:t>5</w:t>
            </w:r>
          </w:p>
        </w:tc>
      </w:tr>
      <w:tr w:rsidR="005E5BD9" w:rsidRPr="00186378" w14:paraId="4780031C" w14:textId="77777777" w:rsidTr="006C54D5">
        <w:tc>
          <w:tcPr>
            <w:tcW w:w="2396" w:type="dxa"/>
            <w:shd w:val="clear" w:color="auto" w:fill="auto"/>
            <w:noWrap/>
          </w:tcPr>
          <w:p w14:paraId="75DBF0C1" w14:textId="4308832E" w:rsidR="005E5BD9" w:rsidRPr="00186378" w:rsidRDefault="005E5BD9" w:rsidP="004927F4">
            <w:pPr>
              <w:keepNext/>
              <w:ind w:left="0" w:firstLine="0"/>
              <w:jc w:val="center"/>
              <w:rPr>
                <w:rFonts w:asciiTheme="minorHAnsi" w:eastAsia="Times New Roman" w:hAnsiTheme="minorHAnsi" w:cs="Arial"/>
                <w:color w:val="000000"/>
                <w:lang w:eastAsia="en-GB"/>
              </w:rPr>
            </w:pPr>
            <w:r w:rsidRPr="008126AB">
              <w:t>2020</w:t>
            </w:r>
          </w:p>
        </w:tc>
        <w:tc>
          <w:tcPr>
            <w:tcW w:w="2299" w:type="dxa"/>
            <w:shd w:val="clear" w:color="auto" w:fill="auto"/>
            <w:noWrap/>
          </w:tcPr>
          <w:p w14:paraId="2921C4DE" w14:textId="4A359738" w:rsidR="005E5BD9" w:rsidRPr="00186378" w:rsidRDefault="00CC1EB3" w:rsidP="004927F4">
            <w:pPr>
              <w:keepNext/>
              <w:ind w:left="0" w:firstLine="0"/>
              <w:jc w:val="right"/>
              <w:rPr>
                <w:rFonts w:asciiTheme="minorHAnsi" w:eastAsia="Times New Roman" w:hAnsiTheme="minorHAnsi" w:cs="Arial"/>
                <w:color w:val="000000"/>
                <w:lang w:eastAsia="en-GB"/>
              </w:rPr>
            </w:pPr>
            <w:r>
              <w:t>135</w:t>
            </w:r>
          </w:p>
        </w:tc>
        <w:tc>
          <w:tcPr>
            <w:tcW w:w="2299" w:type="dxa"/>
            <w:vAlign w:val="center"/>
          </w:tcPr>
          <w:p w14:paraId="1E976B32" w14:textId="04F70C26" w:rsidR="005E5BD9" w:rsidRPr="00B167C8" w:rsidRDefault="00CC1EB3" w:rsidP="004927F4">
            <w:pPr>
              <w:keepNext/>
              <w:ind w:left="0" w:firstLine="0"/>
              <w:jc w:val="right"/>
            </w:pPr>
            <w:r>
              <w:rPr>
                <w:rFonts w:cs="Calibri"/>
                <w:color w:val="000000"/>
              </w:rPr>
              <w:t>128</w:t>
            </w:r>
          </w:p>
        </w:tc>
        <w:tc>
          <w:tcPr>
            <w:tcW w:w="2299" w:type="dxa"/>
            <w:shd w:val="clear" w:color="auto" w:fill="auto"/>
            <w:noWrap/>
            <w:vAlign w:val="center"/>
          </w:tcPr>
          <w:p w14:paraId="0F8A4B86" w14:textId="1499C840" w:rsidR="005E5BD9" w:rsidRPr="00186378" w:rsidRDefault="005E5BD9" w:rsidP="004927F4">
            <w:pPr>
              <w:keepNext/>
              <w:ind w:left="0" w:firstLine="0"/>
              <w:jc w:val="right"/>
              <w:rPr>
                <w:rFonts w:asciiTheme="minorHAnsi" w:eastAsia="Times New Roman" w:hAnsiTheme="minorHAnsi" w:cs="Arial"/>
                <w:color w:val="000000"/>
                <w:lang w:eastAsia="en-GB"/>
              </w:rPr>
            </w:pPr>
            <w:r>
              <w:rPr>
                <w:rFonts w:cs="Calibri"/>
                <w:color w:val="000000"/>
              </w:rPr>
              <w:t>-</w:t>
            </w:r>
            <w:r w:rsidR="00294BC8">
              <w:rPr>
                <w:rFonts w:cs="Calibri"/>
                <w:color w:val="000000"/>
              </w:rPr>
              <w:t>7</w:t>
            </w:r>
          </w:p>
        </w:tc>
      </w:tr>
      <w:tr w:rsidR="005E5BD9" w:rsidRPr="00186378" w14:paraId="699877EA" w14:textId="77777777" w:rsidTr="006C54D5">
        <w:tc>
          <w:tcPr>
            <w:tcW w:w="2396" w:type="dxa"/>
            <w:shd w:val="clear" w:color="auto" w:fill="auto"/>
            <w:noWrap/>
          </w:tcPr>
          <w:p w14:paraId="02ABFCFC" w14:textId="14C819E8" w:rsidR="005E5BD9" w:rsidRDefault="005E5BD9" w:rsidP="004927F4">
            <w:pPr>
              <w:keepNext/>
              <w:ind w:left="0" w:firstLine="0"/>
              <w:jc w:val="center"/>
              <w:rPr>
                <w:rFonts w:cs="Calibri"/>
                <w:color w:val="000000"/>
              </w:rPr>
            </w:pPr>
            <w:r w:rsidRPr="008126AB">
              <w:t>2021</w:t>
            </w:r>
          </w:p>
        </w:tc>
        <w:tc>
          <w:tcPr>
            <w:tcW w:w="2299" w:type="dxa"/>
            <w:shd w:val="clear" w:color="auto" w:fill="auto"/>
            <w:noWrap/>
          </w:tcPr>
          <w:p w14:paraId="122CF752" w14:textId="6AA40CCC" w:rsidR="005E5BD9" w:rsidRPr="00B167C8" w:rsidRDefault="00CC1EB3" w:rsidP="004927F4">
            <w:pPr>
              <w:keepNext/>
              <w:ind w:left="0" w:firstLine="0"/>
              <w:jc w:val="right"/>
            </w:pPr>
            <w:r>
              <w:t>271</w:t>
            </w:r>
          </w:p>
        </w:tc>
        <w:tc>
          <w:tcPr>
            <w:tcW w:w="2299" w:type="dxa"/>
            <w:vAlign w:val="center"/>
          </w:tcPr>
          <w:p w14:paraId="169D1E7E" w14:textId="328BEE3D" w:rsidR="005E5BD9" w:rsidRPr="00B167C8" w:rsidRDefault="00CC1EB3" w:rsidP="004927F4">
            <w:pPr>
              <w:keepNext/>
              <w:ind w:left="0" w:firstLine="0"/>
              <w:jc w:val="right"/>
            </w:pPr>
            <w:r>
              <w:rPr>
                <w:rFonts w:cs="Calibri"/>
                <w:color w:val="000000"/>
              </w:rPr>
              <w:t>186</w:t>
            </w:r>
          </w:p>
        </w:tc>
        <w:tc>
          <w:tcPr>
            <w:tcW w:w="2299" w:type="dxa"/>
            <w:shd w:val="clear" w:color="auto" w:fill="auto"/>
            <w:noWrap/>
            <w:vAlign w:val="center"/>
          </w:tcPr>
          <w:p w14:paraId="6218B9B0" w14:textId="3D3F64DD" w:rsidR="005E5BD9" w:rsidRPr="00B167C8" w:rsidRDefault="005E5BD9" w:rsidP="004927F4">
            <w:pPr>
              <w:keepNext/>
              <w:ind w:left="0" w:firstLine="0"/>
              <w:jc w:val="right"/>
            </w:pPr>
            <w:r>
              <w:rPr>
                <w:rFonts w:cs="Calibri"/>
                <w:color w:val="000000"/>
              </w:rPr>
              <w:t>-</w:t>
            </w:r>
            <w:r w:rsidR="00294BC8">
              <w:rPr>
                <w:rFonts w:cs="Calibri"/>
                <w:color w:val="000000"/>
              </w:rPr>
              <w:t>85</w:t>
            </w:r>
          </w:p>
        </w:tc>
      </w:tr>
      <w:tr w:rsidR="005E5BD9" w:rsidRPr="00186378" w14:paraId="6DF8D5DC" w14:textId="77777777" w:rsidTr="006C54D5">
        <w:tc>
          <w:tcPr>
            <w:tcW w:w="2396" w:type="dxa"/>
            <w:shd w:val="clear" w:color="auto" w:fill="auto"/>
            <w:noWrap/>
          </w:tcPr>
          <w:p w14:paraId="79311AC6" w14:textId="48875124" w:rsidR="005E5BD9" w:rsidRDefault="005E5BD9" w:rsidP="004927F4">
            <w:pPr>
              <w:keepNext/>
              <w:ind w:left="0" w:firstLine="0"/>
              <w:jc w:val="center"/>
              <w:rPr>
                <w:rFonts w:cs="Calibri"/>
                <w:color w:val="000000"/>
              </w:rPr>
            </w:pPr>
            <w:r w:rsidRPr="008126AB">
              <w:t>2022</w:t>
            </w:r>
          </w:p>
        </w:tc>
        <w:tc>
          <w:tcPr>
            <w:tcW w:w="2299" w:type="dxa"/>
            <w:shd w:val="clear" w:color="auto" w:fill="auto"/>
            <w:noWrap/>
          </w:tcPr>
          <w:p w14:paraId="6BDD0C5F" w14:textId="440D4FCC" w:rsidR="005E5BD9" w:rsidRPr="00B167C8" w:rsidRDefault="00CC1EB3" w:rsidP="004927F4">
            <w:pPr>
              <w:keepNext/>
              <w:ind w:left="0" w:firstLine="0"/>
              <w:jc w:val="right"/>
            </w:pPr>
            <w:r>
              <w:t>451</w:t>
            </w:r>
          </w:p>
        </w:tc>
        <w:tc>
          <w:tcPr>
            <w:tcW w:w="2299" w:type="dxa"/>
            <w:vAlign w:val="center"/>
          </w:tcPr>
          <w:p w14:paraId="1A308ED3" w14:textId="4DBB12F6" w:rsidR="005E5BD9" w:rsidRDefault="00CC1EB3" w:rsidP="004927F4">
            <w:pPr>
              <w:keepNext/>
              <w:ind w:left="0" w:firstLine="0"/>
              <w:jc w:val="right"/>
            </w:pPr>
            <w:r>
              <w:rPr>
                <w:rFonts w:cs="Calibri"/>
                <w:color w:val="000000"/>
              </w:rPr>
              <w:t>265</w:t>
            </w:r>
          </w:p>
        </w:tc>
        <w:tc>
          <w:tcPr>
            <w:tcW w:w="2299" w:type="dxa"/>
            <w:shd w:val="clear" w:color="auto" w:fill="auto"/>
            <w:noWrap/>
            <w:vAlign w:val="center"/>
          </w:tcPr>
          <w:p w14:paraId="53E4074C" w14:textId="1CD336A5" w:rsidR="005E5BD9" w:rsidRPr="001D1924" w:rsidRDefault="00294BC8" w:rsidP="004927F4">
            <w:pPr>
              <w:keepNext/>
              <w:ind w:left="0" w:firstLine="0"/>
              <w:jc w:val="right"/>
            </w:pPr>
            <w:r>
              <w:rPr>
                <w:rFonts w:cs="Calibri"/>
                <w:color w:val="000000"/>
              </w:rPr>
              <w:t>-186</w:t>
            </w:r>
          </w:p>
        </w:tc>
      </w:tr>
      <w:tr w:rsidR="00CC1EB3" w:rsidRPr="00186378" w14:paraId="007A48CD" w14:textId="77777777" w:rsidTr="006C54D5">
        <w:tc>
          <w:tcPr>
            <w:tcW w:w="2396" w:type="dxa"/>
            <w:shd w:val="clear" w:color="auto" w:fill="auto"/>
            <w:noWrap/>
          </w:tcPr>
          <w:p w14:paraId="67882A6D" w14:textId="76CD7B21" w:rsidR="00CC1EB3" w:rsidRPr="008126AB" w:rsidRDefault="00CC1EB3" w:rsidP="004927F4">
            <w:pPr>
              <w:keepNext/>
              <w:ind w:left="0" w:firstLine="0"/>
              <w:jc w:val="center"/>
            </w:pPr>
            <w:r>
              <w:t>2023</w:t>
            </w:r>
          </w:p>
        </w:tc>
        <w:tc>
          <w:tcPr>
            <w:tcW w:w="2299" w:type="dxa"/>
            <w:shd w:val="clear" w:color="auto" w:fill="auto"/>
            <w:noWrap/>
          </w:tcPr>
          <w:p w14:paraId="6DD0855D" w14:textId="43F99427" w:rsidR="00CC1EB3" w:rsidRPr="00330D14" w:rsidRDefault="00CC1EB3" w:rsidP="004927F4">
            <w:pPr>
              <w:keepNext/>
              <w:ind w:left="0" w:firstLine="0"/>
              <w:jc w:val="right"/>
            </w:pPr>
            <w:r>
              <w:t>0</w:t>
            </w:r>
          </w:p>
        </w:tc>
        <w:tc>
          <w:tcPr>
            <w:tcW w:w="2299" w:type="dxa"/>
            <w:vAlign w:val="center"/>
          </w:tcPr>
          <w:p w14:paraId="739944F5" w14:textId="66AB851E" w:rsidR="00CC1EB3" w:rsidRDefault="00697BEF" w:rsidP="004927F4">
            <w:pPr>
              <w:keepNext/>
              <w:ind w:left="0" w:firstLine="0"/>
              <w:jc w:val="right"/>
              <w:rPr>
                <w:rFonts w:cs="Calibri"/>
                <w:color w:val="000000"/>
              </w:rPr>
            </w:pPr>
            <w:r>
              <w:rPr>
                <w:rFonts w:cs="Calibri"/>
                <w:color w:val="000000"/>
              </w:rPr>
              <w:t>336</w:t>
            </w:r>
          </w:p>
        </w:tc>
        <w:tc>
          <w:tcPr>
            <w:tcW w:w="2299" w:type="dxa"/>
            <w:shd w:val="clear" w:color="auto" w:fill="auto"/>
            <w:noWrap/>
            <w:vAlign w:val="center"/>
          </w:tcPr>
          <w:p w14:paraId="59F754BA" w14:textId="651D2A6E" w:rsidR="00CC1EB3" w:rsidRDefault="00294BC8" w:rsidP="004927F4">
            <w:pPr>
              <w:keepNext/>
              <w:ind w:left="0" w:firstLine="0"/>
              <w:jc w:val="right"/>
              <w:rPr>
                <w:rFonts w:cs="Calibri"/>
                <w:color w:val="000000"/>
              </w:rPr>
            </w:pPr>
            <w:r>
              <w:rPr>
                <w:rFonts w:cs="Calibri"/>
                <w:color w:val="000000"/>
              </w:rPr>
              <w:t>336</w:t>
            </w:r>
          </w:p>
        </w:tc>
      </w:tr>
      <w:tr w:rsidR="00D4106E" w:rsidRPr="00C56839" w14:paraId="53C1D816" w14:textId="77777777" w:rsidTr="00C56839">
        <w:trPr>
          <w:trHeight w:val="278"/>
        </w:trPr>
        <w:tc>
          <w:tcPr>
            <w:tcW w:w="2396" w:type="dxa"/>
            <w:shd w:val="clear" w:color="auto" w:fill="C6D9F1" w:themeFill="text2" w:themeFillTint="33"/>
            <w:noWrap/>
            <w:vAlign w:val="bottom"/>
            <w:hideMark/>
          </w:tcPr>
          <w:p w14:paraId="15042231" w14:textId="77777777" w:rsidR="00D4106E" w:rsidRPr="00C56839" w:rsidRDefault="00D4106E" w:rsidP="00D4106E">
            <w:pPr>
              <w:ind w:left="0" w:firstLine="0"/>
              <w:jc w:val="center"/>
              <w:rPr>
                <w:rFonts w:asciiTheme="minorHAnsi" w:eastAsia="Times New Roman" w:hAnsiTheme="minorHAnsi" w:cs="Arial"/>
                <w:b/>
                <w:bCs/>
                <w:color w:val="000000"/>
                <w:lang w:eastAsia="en-GB"/>
              </w:rPr>
            </w:pPr>
            <w:r w:rsidRPr="00C56839">
              <w:rPr>
                <w:rFonts w:asciiTheme="minorHAnsi" w:eastAsia="Times New Roman" w:hAnsiTheme="minorHAnsi" w:cs="Arial"/>
                <w:b/>
                <w:bCs/>
                <w:color w:val="000000"/>
                <w:lang w:eastAsia="en-GB"/>
              </w:rPr>
              <w:t>Total</w:t>
            </w:r>
          </w:p>
        </w:tc>
        <w:tc>
          <w:tcPr>
            <w:tcW w:w="2299" w:type="dxa"/>
            <w:shd w:val="clear" w:color="auto" w:fill="C6D9F1" w:themeFill="text2" w:themeFillTint="33"/>
            <w:noWrap/>
            <w:hideMark/>
          </w:tcPr>
          <w:p w14:paraId="5523B46E" w14:textId="6DE41229" w:rsidR="00D4106E" w:rsidRPr="00C56839" w:rsidRDefault="00CC1EB3" w:rsidP="00D4106E">
            <w:pPr>
              <w:ind w:left="0" w:firstLine="0"/>
              <w:jc w:val="right"/>
              <w:rPr>
                <w:rFonts w:asciiTheme="minorHAnsi" w:eastAsia="Times New Roman" w:hAnsiTheme="minorHAnsi" w:cs="Arial"/>
                <w:b/>
                <w:bCs/>
                <w:color w:val="000000"/>
                <w:lang w:eastAsia="en-GB"/>
              </w:rPr>
            </w:pPr>
            <w:r>
              <w:rPr>
                <w:b/>
              </w:rPr>
              <w:t>1,594</w:t>
            </w:r>
          </w:p>
        </w:tc>
        <w:tc>
          <w:tcPr>
            <w:tcW w:w="2299" w:type="dxa"/>
            <w:shd w:val="clear" w:color="auto" w:fill="C6D9F1" w:themeFill="text2" w:themeFillTint="33"/>
          </w:tcPr>
          <w:p w14:paraId="48A8D27D" w14:textId="61998DE7" w:rsidR="00D4106E" w:rsidRPr="00C56839" w:rsidRDefault="00CC1EB3" w:rsidP="00D0652E">
            <w:pPr>
              <w:ind w:left="0" w:firstLine="0"/>
              <w:jc w:val="right"/>
              <w:rPr>
                <w:b/>
              </w:rPr>
            </w:pPr>
            <w:r>
              <w:rPr>
                <w:b/>
              </w:rPr>
              <w:t>1,635</w:t>
            </w:r>
          </w:p>
        </w:tc>
        <w:tc>
          <w:tcPr>
            <w:tcW w:w="2299" w:type="dxa"/>
            <w:shd w:val="clear" w:color="auto" w:fill="C6D9F1" w:themeFill="text2" w:themeFillTint="33"/>
            <w:noWrap/>
            <w:hideMark/>
          </w:tcPr>
          <w:p w14:paraId="55CDD06D" w14:textId="5AE5BD0B" w:rsidR="00D4106E" w:rsidRPr="00C56839" w:rsidRDefault="00CC1EB3" w:rsidP="00D0652E">
            <w:pPr>
              <w:ind w:left="0" w:firstLine="0"/>
              <w:jc w:val="right"/>
              <w:rPr>
                <w:rFonts w:asciiTheme="minorHAnsi" w:eastAsia="Times New Roman" w:hAnsiTheme="minorHAnsi" w:cs="Arial"/>
                <w:b/>
                <w:bCs/>
                <w:color w:val="000000"/>
                <w:lang w:eastAsia="en-GB"/>
              </w:rPr>
            </w:pPr>
            <w:r>
              <w:rPr>
                <w:b/>
              </w:rPr>
              <w:t>41</w:t>
            </w:r>
          </w:p>
        </w:tc>
      </w:tr>
    </w:tbl>
    <w:p w14:paraId="4E8BB2D0" w14:textId="77777777" w:rsidR="00186378" w:rsidRDefault="00186378" w:rsidP="002027B6">
      <w:pPr>
        <w:pStyle w:val="ListParagraph"/>
        <w:ind w:left="780" w:firstLine="0"/>
        <w:rPr>
          <w:rFonts w:cs="Arial"/>
        </w:rPr>
      </w:pPr>
    </w:p>
    <w:p w14:paraId="15A78EAA" w14:textId="4CB15289" w:rsidR="00AE281A" w:rsidRDefault="00AE281A" w:rsidP="002B4764">
      <w:pPr>
        <w:ind w:left="0" w:firstLine="0"/>
        <w:rPr>
          <w:rFonts w:cs="Arial"/>
        </w:rPr>
      </w:pPr>
    </w:p>
    <w:p w14:paraId="77828802" w14:textId="57D6EAE0" w:rsidR="00E33ED2" w:rsidRPr="00236CB7" w:rsidRDefault="00236CB7" w:rsidP="00E90249">
      <w:pPr>
        <w:rPr>
          <w:rFonts w:cs="Arial"/>
          <w:i/>
        </w:rPr>
      </w:pPr>
      <w:r w:rsidRPr="00236CB7">
        <w:rPr>
          <w:rFonts w:cs="Arial"/>
          <w:i/>
        </w:rPr>
        <w:t xml:space="preserve">Figure </w:t>
      </w:r>
      <w:r w:rsidR="00E90249">
        <w:rPr>
          <w:rFonts w:cs="Arial"/>
          <w:i/>
        </w:rPr>
        <w:t>2</w:t>
      </w:r>
      <w:r w:rsidRPr="00236CB7">
        <w:rPr>
          <w:rFonts w:cs="Arial"/>
          <w:i/>
        </w:rPr>
        <w:t>: Outstanding contributions</w:t>
      </w:r>
      <w:r w:rsidR="00483585">
        <w:rPr>
          <w:rFonts w:cs="Arial"/>
          <w:i/>
        </w:rPr>
        <w:t xml:space="preserve"> (in ‘000 CHF)</w:t>
      </w:r>
      <w:r w:rsidRPr="00236CB7">
        <w:rPr>
          <w:rFonts w:cs="Arial"/>
          <w:i/>
        </w:rPr>
        <w:t>, number of years due, 2022 and 2023</w:t>
      </w:r>
    </w:p>
    <w:p w14:paraId="211555B7" w14:textId="502693A7" w:rsidR="00E33ED2" w:rsidRDefault="00236CB7" w:rsidP="002B4764">
      <w:pPr>
        <w:ind w:left="0" w:firstLine="0"/>
        <w:rPr>
          <w:rFonts w:cs="Arial"/>
        </w:rPr>
      </w:pPr>
      <w:r>
        <w:rPr>
          <w:noProof/>
        </w:rPr>
        <w:drawing>
          <wp:inline distT="0" distB="0" distL="0" distR="0" wp14:anchorId="72FB4EFF" wp14:editId="6114CD84">
            <wp:extent cx="5731510" cy="2711669"/>
            <wp:effectExtent l="0" t="0" r="2540" b="12700"/>
            <wp:docPr id="2" name="Chart 2">
              <a:extLst xmlns:a="http://schemas.openxmlformats.org/drawingml/2006/main">
                <a:ext uri="{FF2B5EF4-FFF2-40B4-BE49-F238E27FC236}">
                  <a16:creationId xmlns:a16="http://schemas.microsoft.com/office/drawing/2014/main" id="{FE5C2A5B-0161-4D70-901B-5DB25E3543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5817BD" w14:textId="3DDA6B6F" w:rsidR="00E33ED2" w:rsidRDefault="00E33ED2" w:rsidP="002B4764">
      <w:pPr>
        <w:ind w:left="0" w:firstLine="0"/>
        <w:rPr>
          <w:rFonts w:cs="Arial"/>
        </w:rPr>
      </w:pPr>
    </w:p>
    <w:p w14:paraId="7F5849ED" w14:textId="77777777" w:rsidR="00E90249" w:rsidRDefault="00E90249" w:rsidP="002B4764">
      <w:pPr>
        <w:ind w:left="0" w:firstLine="0"/>
        <w:rPr>
          <w:rFonts w:cs="Arial"/>
        </w:rPr>
      </w:pPr>
    </w:p>
    <w:p w14:paraId="44EBB075" w14:textId="633AB15F" w:rsidR="00D128DB" w:rsidRDefault="00F46056" w:rsidP="00FA5A1B">
      <w:pPr>
        <w:rPr>
          <w:rFonts w:cs="Arial"/>
        </w:rPr>
      </w:pPr>
      <w:r>
        <w:rPr>
          <w:rFonts w:cs="Arial"/>
        </w:rPr>
        <w:t>12</w:t>
      </w:r>
      <w:r w:rsidR="00FA5A1B">
        <w:rPr>
          <w:rFonts w:cs="Arial"/>
        </w:rPr>
        <w:t>.</w:t>
      </w:r>
      <w:r w:rsidR="00FA5A1B">
        <w:rPr>
          <w:rFonts w:cs="Arial"/>
        </w:rPr>
        <w:tab/>
      </w:r>
      <w:r w:rsidR="00DC56EF" w:rsidRPr="00B93EF5">
        <w:rPr>
          <w:rFonts w:cs="Arial"/>
        </w:rPr>
        <w:t>T</w:t>
      </w:r>
      <w:r w:rsidR="00A3612F" w:rsidRPr="00B93EF5">
        <w:rPr>
          <w:rFonts w:cs="Arial"/>
        </w:rPr>
        <w:t xml:space="preserve">he Standing Committee </w:t>
      </w:r>
      <w:r w:rsidR="006B0D78" w:rsidRPr="00B93EF5">
        <w:rPr>
          <w:rFonts w:cs="Arial"/>
        </w:rPr>
        <w:t>considered the external auditor’s proposal on group confirmation of outstanding Contracting Party balances in response to Decision SC57-40</w:t>
      </w:r>
      <w:r w:rsidR="00B93EF5">
        <w:rPr>
          <w:rFonts w:cs="Arial"/>
        </w:rPr>
        <w:t xml:space="preserve"> and, in </w:t>
      </w:r>
      <w:r w:rsidR="00B93EF5" w:rsidRPr="00B93EF5">
        <w:rPr>
          <w:rFonts w:cs="Arial"/>
        </w:rPr>
        <w:t>Decision SC58-18</w:t>
      </w:r>
      <w:r w:rsidR="006B0D78" w:rsidRPr="00B93EF5">
        <w:rPr>
          <w:rFonts w:cs="Arial"/>
        </w:rPr>
        <w:t xml:space="preserve">, </w:t>
      </w:r>
      <w:r w:rsidR="00FA5A1B">
        <w:rPr>
          <w:rFonts w:cs="Arial"/>
        </w:rPr>
        <w:t>decided that it</w:t>
      </w:r>
      <w:r w:rsidR="00D128DB" w:rsidRPr="00B93EF5">
        <w:rPr>
          <w:rFonts w:cs="Arial"/>
        </w:rPr>
        <w:t xml:space="preserve"> </w:t>
      </w:r>
      <w:r w:rsidR="00B93EF5">
        <w:rPr>
          <w:rFonts w:cs="Arial"/>
        </w:rPr>
        <w:t>would a</w:t>
      </w:r>
      <w:r w:rsidR="00D128DB" w:rsidRPr="00B93EF5">
        <w:rPr>
          <w:rFonts w:cs="Arial"/>
        </w:rPr>
        <w:t xml:space="preserve">cknowledge the status of the annual contributions </w:t>
      </w:r>
      <w:proofErr w:type="spellStart"/>
      <w:r w:rsidR="00D128DB" w:rsidRPr="00B93EF5">
        <w:rPr>
          <w:rFonts w:cs="Arial"/>
        </w:rPr>
        <w:t>intersessionally</w:t>
      </w:r>
      <w:proofErr w:type="spellEnd"/>
      <w:r w:rsidR="00D128DB" w:rsidRPr="00B93EF5">
        <w:rPr>
          <w:rFonts w:cs="Arial"/>
        </w:rPr>
        <w:t xml:space="preserve">. The </w:t>
      </w:r>
      <w:r w:rsidR="00B93EF5" w:rsidRPr="00B93EF5">
        <w:rPr>
          <w:rFonts w:cs="Arial"/>
        </w:rPr>
        <w:t xml:space="preserve">Secretariat would </w:t>
      </w:r>
      <w:r w:rsidR="00B93EF5">
        <w:rPr>
          <w:rFonts w:cs="Arial"/>
        </w:rPr>
        <w:t xml:space="preserve">send the </w:t>
      </w:r>
      <w:r w:rsidR="00D128DB" w:rsidRPr="00B93EF5">
        <w:rPr>
          <w:rFonts w:cs="Arial"/>
        </w:rPr>
        <w:t>request for intersessional acknowledgement to the Standing Committee</w:t>
      </w:r>
      <w:r w:rsidR="003300FA">
        <w:rPr>
          <w:rFonts w:cs="Arial"/>
        </w:rPr>
        <w:t xml:space="preserve"> </w:t>
      </w:r>
      <w:r w:rsidR="003300FA" w:rsidRPr="00B93EF5">
        <w:rPr>
          <w:rFonts w:cs="Arial"/>
        </w:rPr>
        <w:t>on behalf of the external auditor</w:t>
      </w:r>
      <w:r w:rsidR="003300FA">
        <w:rPr>
          <w:rFonts w:cs="Arial"/>
        </w:rPr>
        <w:t xml:space="preserve"> </w:t>
      </w:r>
      <w:r w:rsidR="00D128DB" w:rsidRPr="00B93EF5">
        <w:rPr>
          <w:rFonts w:cs="Arial"/>
        </w:rPr>
        <w:t>in the period following the closing of accounts and prior to the signing of the financial statements by the auditors.</w:t>
      </w:r>
    </w:p>
    <w:p w14:paraId="4503114C" w14:textId="77777777" w:rsidR="00D128DB" w:rsidRDefault="00D128DB" w:rsidP="007E7EF5">
      <w:pPr>
        <w:ind w:firstLine="0"/>
        <w:rPr>
          <w:rFonts w:cs="Arial"/>
        </w:rPr>
      </w:pPr>
    </w:p>
    <w:p w14:paraId="162EE8CF" w14:textId="55B38E41" w:rsidR="006B0D78" w:rsidRDefault="00F46056" w:rsidP="00FA5A1B">
      <w:pPr>
        <w:rPr>
          <w:rFonts w:cs="Arial"/>
        </w:rPr>
      </w:pPr>
      <w:r>
        <w:rPr>
          <w:rFonts w:cs="Arial"/>
        </w:rPr>
        <w:t>13</w:t>
      </w:r>
      <w:r w:rsidR="00FA5A1B">
        <w:rPr>
          <w:rFonts w:cs="Arial"/>
        </w:rPr>
        <w:t>.</w:t>
      </w:r>
      <w:r w:rsidR="00FA5A1B">
        <w:rPr>
          <w:rFonts w:cs="Arial"/>
        </w:rPr>
        <w:tab/>
      </w:r>
      <w:r w:rsidR="00434579">
        <w:rPr>
          <w:rFonts w:cs="Arial"/>
        </w:rPr>
        <w:t xml:space="preserve">Consequently, </w:t>
      </w:r>
      <w:r w:rsidR="00BF0EBE">
        <w:rPr>
          <w:rFonts w:cs="Arial"/>
        </w:rPr>
        <w:t xml:space="preserve">on </w:t>
      </w:r>
      <w:r w:rsidR="00294BC8">
        <w:rPr>
          <w:rFonts w:cs="Arial"/>
        </w:rPr>
        <w:t xml:space="preserve">23 </w:t>
      </w:r>
      <w:r w:rsidR="00BF0EBE">
        <w:rPr>
          <w:rFonts w:cs="Arial"/>
        </w:rPr>
        <w:t xml:space="preserve">January </w:t>
      </w:r>
      <w:r w:rsidR="00294BC8">
        <w:rPr>
          <w:rFonts w:cs="Arial"/>
        </w:rPr>
        <w:t xml:space="preserve">2024 </w:t>
      </w:r>
      <w:r w:rsidR="00434579">
        <w:rPr>
          <w:rFonts w:cs="Arial"/>
        </w:rPr>
        <w:t xml:space="preserve">the Secretariat sent </w:t>
      </w:r>
      <w:r w:rsidR="00DB38CC">
        <w:rPr>
          <w:rFonts w:cs="Arial"/>
        </w:rPr>
        <w:t>a</w:t>
      </w:r>
      <w:r w:rsidR="00434579">
        <w:rPr>
          <w:rFonts w:cs="Arial"/>
        </w:rPr>
        <w:t xml:space="preserve"> request to </w:t>
      </w:r>
      <w:r w:rsidR="00434579" w:rsidRPr="00434579">
        <w:rPr>
          <w:rFonts w:cs="Arial"/>
        </w:rPr>
        <w:t>the Standing Committee</w:t>
      </w:r>
      <w:r w:rsidR="00434579" w:rsidRPr="00434579">
        <w:t xml:space="preserve"> </w:t>
      </w:r>
      <w:r w:rsidR="00434579">
        <w:rPr>
          <w:rFonts w:cs="Arial"/>
        </w:rPr>
        <w:t xml:space="preserve">to acknowledge the status of assessed contributions as at 31 December </w:t>
      </w:r>
      <w:r w:rsidR="00294BC8">
        <w:rPr>
          <w:rFonts w:cs="Arial"/>
        </w:rPr>
        <w:t>2023</w:t>
      </w:r>
      <w:r w:rsidR="00434579" w:rsidRPr="00434579">
        <w:rPr>
          <w:rFonts w:cs="Arial"/>
        </w:rPr>
        <w:t>.</w:t>
      </w:r>
      <w:r w:rsidR="00434579">
        <w:rPr>
          <w:rFonts w:cs="Arial"/>
        </w:rPr>
        <w:t xml:space="preserve"> Since no comment</w:t>
      </w:r>
      <w:r w:rsidR="006C3C44">
        <w:rPr>
          <w:rFonts w:cs="Arial"/>
        </w:rPr>
        <w:t>s</w:t>
      </w:r>
      <w:r w:rsidR="00434579">
        <w:rPr>
          <w:rFonts w:cs="Arial"/>
        </w:rPr>
        <w:t xml:space="preserve"> were received within the given period of time, the outstanding contributions </w:t>
      </w:r>
      <w:r w:rsidR="00455ECB" w:rsidRPr="003300FA">
        <w:rPr>
          <w:rFonts w:cs="Arial"/>
        </w:rPr>
        <w:t xml:space="preserve">as at 31 December </w:t>
      </w:r>
      <w:r w:rsidR="00294BC8" w:rsidRPr="003300FA">
        <w:rPr>
          <w:rFonts w:cs="Arial"/>
        </w:rPr>
        <w:t>202</w:t>
      </w:r>
      <w:r w:rsidR="00294BC8">
        <w:rPr>
          <w:rFonts w:cs="Arial"/>
        </w:rPr>
        <w:t>3</w:t>
      </w:r>
      <w:r w:rsidR="00294BC8" w:rsidRPr="003300FA">
        <w:rPr>
          <w:rFonts w:cs="Arial"/>
        </w:rPr>
        <w:t xml:space="preserve"> </w:t>
      </w:r>
      <w:r w:rsidR="00434579" w:rsidRPr="003300FA">
        <w:rPr>
          <w:rFonts w:cs="Arial"/>
        </w:rPr>
        <w:t>are considered as acknowledged.</w:t>
      </w:r>
    </w:p>
    <w:p w14:paraId="42D3EC95" w14:textId="4BCF9FFF" w:rsidR="000355FF" w:rsidRPr="00C515A9" w:rsidRDefault="000355FF" w:rsidP="00C515A9">
      <w:pPr>
        <w:ind w:left="0" w:firstLine="0"/>
        <w:rPr>
          <w:rFonts w:cs="Arial"/>
        </w:rPr>
      </w:pPr>
    </w:p>
    <w:p w14:paraId="1CE88B80" w14:textId="0B366DCE" w:rsidR="00B91FD6" w:rsidRPr="003175F8" w:rsidRDefault="004410A9" w:rsidP="00C515A9">
      <w:pPr>
        <w:keepNext/>
        <w:rPr>
          <w:rFonts w:cs="Arial"/>
          <w:b/>
        </w:rPr>
      </w:pPr>
      <w:r>
        <w:rPr>
          <w:rFonts w:cs="Arial"/>
          <w:b/>
        </w:rPr>
        <w:lastRenderedPageBreak/>
        <w:t>A</w:t>
      </w:r>
      <w:r w:rsidR="003175F8">
        <w:rPr>
          <w:rFonts w:cs="Arial"/>
          <w:b/>
        </w:rPr>
        <w:t xml:space="preserve">ctions for </w:t>
      </w:r>
      <w:r w:rsidR="00294BC8">
        <w:rPr>
          <w:rFonts w:cs="Arial"/>
          <w:b/>
        </w:rPr>
        <w:t>2024</w:t>
      </w:r>
    </w:p>
    <w:p w14:paraId="203C718A" w14:textId="77777777" w:rsidR="003175F8" w:rsidRDefault="003175F8" w:rsidP="00C515A9">
      <w:pPr>
        <w:keepNext/>
        <w:rPr>
          <w:rFonts w:cs="Arial"/>
        </w:rPr>
      </w:pPr>
    </w:p>
    <w:p w14:paraId="20F53A49" w14:textId="421F2B29" w:rsidR="00DE6781" w:rsidRDefault="002E6CA8" w:rsidP="00CD64D1">
      <w:pPr>
        <w:rPr>
          <w:rFonts w:cs="Arial"/>
        </w:rPr>
      </w:pPr>
      <w:r>
        <w:rPr>
          <w:rFonts w:cs="Arial"/>
        </w:rPr>
        <w:t>14</w:t>
      </w:r>
      <w:r w:rsidR="0061090C">
        <w:rPr>
          <w:rFonts w:cs="Arial"/>
        </w:rPr>
        <w:t>.</w:t>
      </w:r>
      <w:r w:rsidR="0061090C">
        <w:rPr>
          <w:rFonts w:cs="Arial"/>
        </w:rPr>
        <w:tab/>
      </w:r>
      <w:r w:rsidR="00672AD9">
        <w:rPr>
          <w:rFonts w:cs="Arial"/>
        </w:rPr>
        <w:t xml:space="preserve">In </w:t>
      </w:r>
      <w:r w:rsidR="002B21E1">
        <w:rPr>
          <w:rFonts w:cs="Arial"/>
        </w:rPr>
        <w:t xml:space="preserve">accordance with </w:t>
      </w:r>
      <w:r w:rsidR="00AB6F7A">
        <w:rPr>
          <w:rFonts w:cs="Arial"/>
        </w:rPr>
        <w:t>R</w:t>
      </w:r>
      <w:r w:rsidR="00C738A6">
        <w:rPr>
          <w:rFonts w:cs="Arial"/>
        </w:rPr>
        <w:t xml:space="preserve">esolution </w:t>
      </w:r>
      <w:r w:rsidR="0067636F">
        <w:rPr>
          <w:rFonts w:cs="Arial"/>
        </w:rPr>
        <w:t>XIV.1</w:t>
      </w:r>
      <w:r w:rsidR="004410A9">
        <w:rPr>
          <w:rFonts w:cs="Arial"/>
        </w:rPr>
        <w:t>,</w:t>
      </w:r>
      <w:r w:rsidR="00C738A6">
        <w:rPr>
          <w:rFonts w:cs="Arial"/>
        </w:rPr>
        <w:t xml:space="preserve"> par</w:t>
      </w:r>
      <w:r w:rsidR="00D814B0">
        <w:rPr>
          <w:rFonts w:cs="Arial"/>
        </w:rPr>
        <w:t>a</w:t>
      </w:r>
      <w:r w:rsidR="00C738A6">
        <w:rPr>
          <w:rFonts w:cs="Arial"/>
        </w:rPr>
        <w:t>graph 18</w:t>
      </w:r>
      <w:r w:rsidR="00672AD9">
        <w:rPr>
          <w:rFonts w:cs="Arial"/>
        </w:rPr>
        <w:t xml:space="preserve">, the Secretariat </w:t>
      </w:r>
      <w:r w:rsidR="00143C49">
        <w:rPr>
          <w:rFonts w:cs="Arial"/>
        </w:rPr>
        <w:t xml:space="preserve">will </w:t>
      </w:r>
      <w:r w:rsidR="00C738A6">
        <w:rPr>
          <w:rFonts w:cs="Arial"/>
        </w:rPr>
        <w:t>continue</w:t>
      </w:r>
      <w:r w:rsidR="00672AD9">
        <w:rPr>
          <w:rFonts w:cs="Arial"/>
        </w:rPr>
        <w:t xml:space="preserve"> to engage with Contracting Parties on contributions not received, </w:t>
      </w:r>
      <w:r w:rsidR="00A81BCB">
        <w:rPr>
          <w:rFonts w:cs="Arial"/>
        </w:rPr>
        <w:t xml:space="preserve">and </w:t>
      </w:r>
      <w:r w:rsidR="00672AD9">
        <w:rPr>
          <w:rFonts w:cs="Arial"/>
        </w:rPr>
        <w:t xml:space="preserve">especially those </w:t>
      </w:r>
      <w:r w:rsidR="00A81BCB">
        <w:rPr>
          <w:rFonts w:cs="Arial"/>
        </w:rPr>
        <w:t xml:space="preserve">due for more </w:t>
      </w:r>
      <w:r w:rsidR="00672AD9">
        <w:rPr>
          <w:rFonts w:cs="Arial"/>
        </w:rPr>
        <w:t xml:space="preserve">than three years at the end of </w:t>
      </w:r>
      <w:r w:rsidR="00294BC8">
        <w:rPr>
          <w:rFonts w:cs="Arial"/>
        </w:rPr>
        <w:t>2023</w:t>
      </w:r>
      <w:r w:rsidR="00AB0844">
        <w:rPr>
          <w:rFonts w:cs="Arial"/>
        </w:rPr>
        <w:t>,</w:t>
      </w:r>
      <w:r w:rsidR="00672AD9">
        <w:rPr>
          <w:rFonts w:cs="Arial"/>
        </w:rPr>
        <w:t xml:space="preserve"> including </w:t>
      </w:r>
      <w:r w:rsidR="001B48DF">
        <w:rPr>
          <w:rFonts w:cs="Arial"/>
        </w:rPr>
        <w:t xml:space="preserve">with </w:t>
      </w:r>
      <w:r w:rsidR="00672AD9">
        <w:rPr>
          <w:rFonts w:cs="Arial"/>
        </w:rPr>
        <w:t xml:space="preserve">the Contracting Parties </w:t>
      </w:r>
      <w:r w:rsidR="00AB0844">
        <w:rPr>
          <w:rFonts w:cs="Arial"/>
        </w:rPr>
        <w:t xml:space="preserve">that </w:t>
      </w:r>
      <w:r w:rsidR="00672AD9">
        <w:rPr>
          <w:rFonts w:cs="Arial"/>
        </w:rPr>
        <w:t xml:space="preserve">have never paid </w:t>
      </w:r>
      <w:r w:rsidR="00AB0844">
        <w:rPr>
          <w:rFonts w:cs="Arial"/>
        </w:rPr>
        <w:t>any</w:t>
      </w:r>
      <w:r w:rsidR="00672AD9">
        <w:rPr>
          <w:rFonts w:cs="Arial"/>
        </w:rPr>
        <w:t xml:space="preserve"> contribution.</w:t>
      </w:r>
      <w:r w:rsidR="00487D70">
        <w:rPr>
          <w:rFonts w:cs="Arial"/>
        </w:rPr>
        <w:t xml:space="preserve"> </w:t>
      </w:r>
    </w:p>
    <w:p w14:paraId="19AEBA89" w14:textId="77777777" w:rsidR="00DE6781" w:rsidRDefault="00DE6781" w:rsidP="004316A3">
      <w:pPr>
        <w:rPr>
          <w:rFonts w:cs="Arial"/>
        </w:rPr>
      </w:pPr>
    </w:p>
    <w:p w14:paraId="220DAD4C" w14:textId="6CF1A770" w:rsidR="00B14613" w:rsidRDefault="002E6CA8" w:rsidP="00AD53FB">
      <w:pPr>
        <w:rPr>
          <w:rFonts w:asciiTheme="minorHAnsi" w:hAnsiTheme="minorHAnsi"/>
        </w:rPr>
      </w:pPr>
      <w:r>
        <w:rPr>
          <w:rFonts w:asciiTheme="minorHAnsi" w:hAnsiTheme="minorHAnsi"/>
        </w:rPr>
        <w:t>15</w:t>
      </w:r>
      <w:r w:rsidR="0061090C">
        <w:rPr>
          <w:rFonts w:asciiTheme="minorHAnsi" w:hAnsiTheme="minorHAnsi"/>
        </w:rPr>
        <w:t>.</w:t>
      </w:r>
      <w:r w:rsidR="0061090C">
        <w:rPr>
          <w:rFonts w:asciiTheme="minorHAnsi" w:hAnsiTheme="minorHAnsi"/>
        </w:rPr>
        <w:tab/>
      </w:r>
      <w:r w:rsidR="00B07E37">
        <w:rPr>
          <w:rFonts w:asciiTheme="minorHAnsi" w:hAnsiTheme="minorHAnsi"/>
        </w:rPr>
        <w:t>I</w:t>
      </w:r>
      <w:r w:rsidR="00B14613">
        <w:rPr>
          <w:rFonts w:asciiTheme="minorHAnsi" w:hAnsiTheme="minorHAnsi"/>
        </w:rPr>
        <w:t xml:space="preserve">n accordance with </w:t>
      </w:r>
      <w:r w:rsidR="00CE7F6C">
        <w:rPr>
          <w:rFonts w:asciiTheme="minorHAnsi" w:hAnsiTheme="minorHAnsi"/>
        </w:rPr>
        <w:t>D</w:t>
      </w:r>
      <w:r w:rsidR="00B14613">
        <w:rPr>
          <w:rFonts w:asciiTheme="minorHAnsi" w:hAnsiTheme="minorHAnsi"/>
        </w:rPr>
        <w:t xml:space="preserve">ecision </w:t>
      </w:r>
      <w:r w:rsidR="00B14613" w:rsidRPr="00ED2A95">
        <w:rPr>
          <w:rFonts w:asciiTheme="minorHAnsi" w:hAnsiTheme="minorHAnsi"/>
        </w:rPr>
        <w:t>SC5</w:t>
      </w:r>
      <w:r w:rsidR="00ED2A95" w:rsidRPr="00ED2A95">
        <w:rPr>
          <w:rFonts w:asciiTheme="minorHAnsi" w:hAnsiTheme="minorHAnsi"/>
        </w:rPr>
        <w:t>4</w:t>
      </w:r>
      <w:r w:rsidR="00B14613" w:rsidRPr="00ED2A95">
        <w:rPr>
          <w:rFonts w:asciiTheme="minorHAnsi" w:hAnsiTheme="minorHAnsi"/>
        </w:rPr>
        <w:t>-</w:t>
      </w:r>
      <w:r w:rsidR="00ED2A95" w:rsidRPr="00ED2A95">
        <w:rPr>
          <w:rFonts w:asciiTheme="minorHAnsi" w:hAnsiTheme="minorHAnsi"/>
        </w:rPr>
        <w:t>26</w:t>
      </w:r>
      <w:r w:rsidR="00B14613">
        <w:rPr>
          <w:rFonts w:asciiTheme="minorHAnsi" w:hAnsiTheme="minorHAnsi"/>
        </w:rPr>
        <w:t xml:space="preserve">, </w:t>
      </w:r>
      <w:r w:rsidR="00CE7F6C">
        <w:rPr>
          <w:rFonts w:asciiTheme="minorHAnsi" w:hAnsiTheme="minorHAnsi"/>
        </w:rPr>
        <w:t xml:space="preserve">and </w:t>
      </w:r>
      <w:r w:rsidR="00B14613">
        <w:rPr>
          <w:rFonts w:asciiTheme="minorHAnsi" w:hAnsiTheme="minorHAnsi"/>
        </w:rPr>
        <w:t>in line with other Conventions</w:t>
      </w:r>
      <w:r w:rsidR="00CE7F6C">
        <w:rPr>
          <w:rFonts w:asciiTheme="minorHAnsi" w:hAnsiTheme="minorHAnsi"/>
        </w:rPr>
        <w:t>,</w:t>
      </w:r>
      <w:r w:rsidR="00B14613">
        <w:rPr>
          <w:rFonts w:asciiTheme="minorHAnsi" w:hAnsiTheme="minorHAnsi"/>
        </w:rPr>
        <w:t xml:space="preserve"> </w:t>
      </w:r>
      <w:r w:rsidR="00CE7F6C">
        <w:rPr>
          <w:rFonts w:asciiTheme="minorHAnsi" w:hAnsiTheme="minorHAnsi"/>
        </w:rPr>
        <w:t xml:space="preserve">the Secretariat </w:t>
      </w:r>
      <w:r w:rsidR="00ED2A95">
        <w:rPr>
          <w:rFonts w:asciiTheme="minorHAnsi" w:hAnsiTheme="minorHAnsi"/>
        </w:rPr>
        <w:t xml:space="preserve">continues to </w:t>
      </w:r>
      <w:r w:rsidR="00B14613">
        <w:rPr>
          <w:rFonts w:asciiTheme="minorHAnsi" w:hAnsiTheme="minorHAnsi"/>
        </w:rPr>
        <w:t xml:space="preserve">publish the updated status of contributions on the </w:t>
      </w:r>
      <w:r w:rsidR="00CE7F6C">
        <w:rPr>
          <w:rFonts w:asciiTheme="minorHAnsi" w:hAnsiTheme="minorHAnsi"/>
        </w:rPr>
        <w:t>Convention</w:t>
      </w:r>
      <w:r w:rsidR="00AD237F">
        <w:rPr>
          <w:rFonts w:asciiTheme="minorHAnsi" w:hAnsiTheme="minorHAnsi"/>
        </w:rPr>
        <w:t xml:space="preserve"> </w:t>
      </w:r>
      <w:r w:rsidR="00B14613">
        <w:rPr>
          <w:rFonts w:asciiTheme="minorHAnsi" w:hAnsiTheme="minorHAnsi"/>
        </w:rPr>
        <w:t>website on a monthly basis</w:t>
      </w:r>
      <w:r w:rsidR="00821458">
        <w:rPr>
          <w:rStyle w:val="FootnoteReference"/>
          <w:rFonts w:asciiTheme="minorHAnsi" w:hAnsiTheme="minorHAnsi"/>
        </w:rPr>
        <w:footnoteReference w:id="1"/>
      </w:r>
      <w:r w:rsidR="00CE7F6C">
        <w:rPr>
          <w:rFonts w:asciiTheme="minorHAnsi" w:hAnsiTheme="minorHAnsi"/>
        </w:rPr>
        <w:t>,</w:t>
      </w:r>
      <w:r w:rsidR="003175F8">
        <w:rPr>
          <w:rFonts w:asciiTheme="minorHAnsi" w:hAnsiTheme="minorHAnsi"/>
        </w:rPr>
        <w:t xml:space="preserve"> in the same format as the </w:t>
      </w:r>
      <w:r w:rsidR="00576DCE">
        <w:rPr>
          <w:rFonts w:asciiTheme="minorHAnsi" w:hAnsiTheme="minorHAnsi"/>
        </w:rPr>
        <w:t>table</w:t>
      </w:r>
      <w:r w:rsidR="003175F8">
        <w:rPr>
          <w:rFonts w:asciiTheme="minorHAnsi" w:hAnsiTheme="minorHAnsi"/>
        </w:rPr>
        <w:t xml:space="preserve"> presented in Annex 1</w:t>
      </w:r>
      <w:r w:rsidR="00B14613">
        <w:rPr>
          <w:rFonts w:asciiTheme="minorHAnsi" w:hAnsiTheme="minorHAnsi"/>
        </w:rPr>
        <w:t xml:space="preserve">. </w:t>
      </w:r>
    </w:p>
    <w:p w14:paraId="3C73CF58" w14:textId="43218681" w:rsidR="00AD237F" w:rsidRDefault="00AD237F" w:rsidP="00AD53FB">
      <w:pPr>
        <w:rPr>
          <w:rFonts w:asciiTheme="minorHAnsi" w:hAnsiTheme="minorHAnsi"/>
        </w:rPr>
      </w:pPr>
    </w:p>
    <w:p w14:paraId="69DEFD49" w14:textId="53611512" w:rsidR="00AD237F" w:rsidRPr="00256946" w:rsidRDefault="002E6CA8" w:rsidP="0038249A">
      <w:pPr>
        <w:rPr>
          <w:rFonts w:asciiTheme="minorHAnsi" w:hAnsiTheme="minorHAnsi"/>
          <w:spacing w:val="-4"/>
        </w:rPr>
      </w:pPr>
      <w:r w:rsidRPr="00256946">
        <w:rPr>
          <w:rFonts w:asciiTheme="minorHAnsi" w:hAnsiTheme="minorHAnsi"/>
          <w:spacing w:val="-4"/>
        </w:rPr>
        <w:t>16</w:t>
      </w:r>
      <w:r w:rsidR="0038249A" w:rsidRPr="00256946">
        <w:rPr>
          <w:rFonts w:asciiTheme="minorHAnsi" w:hAnsiTheme="minorHAnsi"/>
          <w:spacing w:val="-4"/>
        </w:rPr>
        <w:t>.</w:t>
      </w:r>
      <w:r w:rsidR="0038249A" w:rsidRPr="00256946">
        <w:rPr>
          <w:rFonts w:asciiTheme="minorHAnsi" w:hAnsiTheme="minorHAnsi"/>
          <w:spacing w:val="-4"/>
        </w:rPr>
        <w:tab/>
      </w:r>
      <w:r w:rsidR="00AD237F" w:rsidRPr="00256946">
        <w:rPr>
          <w:rFonts w:asciiTheme="minorHAnsi" w:hAnsiTheme="minorHAnsi"/>
          <w:spacing w:val="-4"/>
        </w:rPr>
        <w:t xml:space="preserve">Resolution </w:t>
      </w:r>
      <w:r w:rsidR="0067636F" w:rsidRPr="00256946">
        <w:rPr>
          <w:rFonts w:asciiTheme="minorHAnsi" w:hAnsiTheme="minorHAnsi"/>
          <w:spacing w:val="-4"/>
        </w:rPr>
        <w:t>XIV.1</w:t>
      </w:r>
      <w:r w:rsidR="00AD237F" w:rsidRPr="00256946">
        <w:rPr>
          <w:rFonts w:asciiTheme="minorHAnsi" w:hAnsiTheme="minorHAnsi"/>
          <w:spacing w:val="-4"/>
        </w:rPr>
        <w:t xml:space="preserve">, paragraph 19, “requests Regional Representatives in the Standing Committee to engage Parties from their respective regions with outstanding contributions to encourage them to identify appropriate options to rectify the situation”. Regional Representatives may wish to share with the Standing Committee their efforts, outcomes and challenges encountered in implementing this request from the </w:t>
      </w:r>
      <w:r w:rsidR="0067636F" w:rsidRPr="00256946">
        <w:rPr>
          <w:rFonts w:asciiTheme="minorHAnsi" w:hAnsiTheme="minorHAnsi"/>
          <w:spacing w:val="-4"/>
        </w:rPr>
        <w:t xml:space="preserve">14th </w:t>
      </w:r>
      <w:r w:rsidR="00AD237F" w:rsidRPr="00256946">
        <w:rPr>
          <w:rFonts w:asciiTheme="minorHAnsi" w:hAnsiTheme="minorHAnsi"/>
          <w:spacing w:val="-4"/>
        </w:rPr>
        <w:t>meeting of the Conference of the Contracting Parties (</w:t>
      </w:r>
      <w:r w:rsidR="0067636F" w:rsidRPr="00256946">
        <w:rPr>
          <w:rFonts w:asciiTheme="minorHAnsi" w:hAnsiTheme="minorHAnsi"/>
          <w:spacing w:val="-4"/>
        </w:rPr>
        <w:t>COP14</w:t>
      </w:r>
      <w:r w:rsidR="00AD237F" w:rsidRPr="00256946">
        <w:rPr>
          <w:rFonts w:asciiTheme="minorHAnsi" w:hAnsiTheme="minorHAnsi"/>
          <w:spacing w:val="-4"/>
        </w:rPr>
        <w:t>).</w:t>
      </w:r>
    </w:p>
    <w:p w14:paraId="552556A0" w14:textId="77777777" w:rsidR="00D336C4" w:rsidRDefault="00D336C4" w:rsidP="00D336C4">
      <w:pPr>
        <w:ind w:firstLine="0"/>
        <w:rPr>
          <w:rFonts w:cs="Arial"/>
        </w:rPr>
      </w:pPr>
    </w:p>
    <w:p w14:paraId="21DD232D" w14:textId="0E7C46C4" w:rsidR="001E3C22" w:rsidRPr="00256946" w:rsidRDefault="002E6CA8" w:rsidP="0038249A">
      <w:pPr>
        <w:rPr>
          <w:rFonts w:asciiTheme="minorHAnsi" w:hAnsiTheme="minorHAnsi"/>
          <w:spacing w:val="-4"/>
        </w:rPr>
      </w:pPr>
      <w:r w:rsidRPr="00256946">
        <w:rPr>
          <w:rFonts w:asciiTheme="minorHAnsi" w:hAnsiTheme="minorHAnsi"/>
          <w:spacing w:val="-4"/>
        </w:rPr>
        <w:t>17</w:t>
      </w:r>
      <w:r w:rsidR="0038249A" w:rsidRPr="00256946">
        <w:rPr>
          <w:rFonts w:asciiTheme="minorHAnsi" w:hAnsiTheme="minorHAnsi"/>
          <w:spacing w:val="-4"/>
        </w:rPr>
        <w:t>.</w:t>
      </w:r>
      <w:r w:rsidR="0038249A" w:rsidRPr="00256946">
        <w:rPr>
          <w:rFonts w:asciiTheme="minorHAnsi" w:hAnsiTheme="minorHAnsi"/>
          <w:spacing w:val="-4"/>
        </w:rPr>
        <w:tab/>
      </w:r>
      <w:r w:rsidR="001E3C22" w:rsidRPr="00256946">
        <w:rPr>
          <w:rFonts w:asciiTheme="minorHAnsi" w:hAnsiTheme="minorHAnsi"/>
          <w:spacing w:val="-4"/>
        </w:rPr>
        <w:t xml:space="preserve">In </w:t>
      </w:r>
      <w:r w:rsidR="00294BC8" w:rsidRPr="00256946">
        <w:rPr>
          <w:rFonts w:asciiTheme="minorHAnsi" w:hAnsiTheme="minorHAnsi"/>
          <w:spacing w:val="-4"/>
        </w:rPr>
        <w:t>202</w:t>
      </w:r>
      <w:r w:rsidR="00294BC8">
        <w:rPr>
          <w:rFonts w:asciiTheme="minorHAnsi" w:hAnsiTheme="minorHAnsi"/>
          <w:spacing w:val="-4"/>
        </w:rPr>
        <w:t>4</w:t>
      </w:r>
      <w:r w:rsidR="00294BC8" w:rsidRPr="00256946">
        <w:rPr>
          <w:rFonts w:asciiTheme="minorHAnsi" w:hAnsiTheme="minorHAnsi"/>
          <w:spacing w:val="-4"/>
        </w:rPr>
        <w:t xml:space="preserve"> </w:t>
      </w:r>
      <w:r w:rsidR="0038249A" w:rsidRPr="00256946">
        <w:rPr>
          <w:rFonts w:asciiTheme="minorHAnsi" w:hAnsiTheme="minorHAnsi"/>
          <w:spacing w:val="-4"/>
        </w:rPr>
        <w:t xml:space="preserve">the </w:t>
      </w:r>
      <w:r w:rsidR="001E3C22" w:rsidRPr="00256946">
        <w:rPr>
          <w:rFonts w:asciiTheme="minorHAnsi" w:hAnsiTheme="minorHAnsi"/>
          <w:spacing w:val="-4"/>
        </w:rPr>
        <w:t>Secretariat will</w:t>
      </w:r>
      <w:r w:rsidR="00032BD7" w:rsidRPr="00256946">
        <w:rPr>
          <w:rFonts w:asciiTheme="minorHAnsi" w:hAnsiTheme="minorHAnsi"/>
          <w:spacing w:val="-4"/>
        </w:rPr>
        <w:t xml:space="preserve"> continue, as in </w:t>
      </w:r>
      <w:r w:rsidR="00294BC8" w:rsidRPr="00256946">
        <w:rPr>
          <w:rFonts w:asciiTheme="minorHAnsi" w:hAnsiTheme="minorHAnsi"/>
          <w:spacing w:val="-4"/>
        </w:rPr>
        <w:t>202</w:t>
      </w:r>
      <w:r w:rsidR="00294BC8">
        <w:rPr>
          <w:rFonts w:asciiTheme="minorHAnsi" w:hAnsiTheme="minorHAnsi"/>
          <w:spacing w:val="-4"/>
        </w:rPr>
        <w:t>3</w:t>
      </w:r>
      <w:r w:rsidR="00032BD7" w:rsidRPr="00256946">
        <w:rPr>
          <w:rFonts w:asciiTheme="minorHAnsi" w:hAnsiTheme="minorHAnsi"/>
          <w:spacing w:val="-4"/>
        </w:rPr>
        <w:t>,</w:t>
      </w:r>
      <w:r w:rsidR="001E3C22" w:rsidRPr="00256946">
        <w:rPr>
          <w:rFonts w:asciiTheme="minorHAnsi" w:hAnsiTheme="minorHAnsi"/>
          <w:spacing w:val="-4"/>
        </w:rPr>
        <w:t xml:space="preserve"> </w:t>
      </w:r>
      <w:r w:rsidR="00032BD7" w:rsidRPr="00256946">
        <w:rPr>
          <w:rFonts w:asciiTheme="minorHAnsi" w:hAnsiTheme="minorHAnsi"/>
          <w:spacing w:val="-4"/>
        </w:rPr>
        <w:t xml:space="preserve">to </w:t>
      </w:r>
      <w:r w:rsidR="001E3C22" w:rsidRPr="00256946">
        <w:rPr>
          <w:rFonts w:asciiTheme="minorHAnsi" w:hAnsiTheme="minorHAnsi"/>
          <w:spacing w:val="-4"/>
        </w:rPr>
        <w:t xml:space="preserve">share with Regional Representatives the status of outstanding contributions on a quarterly basis, for further action in line with the above </w:t>
      </w:r>
      <w:r w:rsidR="001B48DF" w:rsidRPr="00256946">
        <w:rPr>
          <w:rFonts w:asciiTheme="minorHAnsi" w:hAnsiTheme="minorHAnsi"/>
          <w:spacing w:val="-4"/>
        </w:rPr>
        <w:t>instructions</w:t>
      </w:r>
      <w:r w:rsidR="001E3C22" w:rsidRPr="00256946">
        <w:rPr>
          <w:rFonts w:asciiTheme="minorHAnsi" w:hAnsiTheme="minorHAnsi"/>
          <w:spacing w:val="-4"/>
        </w:rPr>
        <w:t>.</w:t>
      </w:r>
    </w:p>
    <w:p w14:paraId="7E19F486" w14:textId="77777777" w:rsidR="001E3C22" w:rsidRDefault="001E3C22" w:rsidP="00AD237F">
      <w:pPr>
        <w:rPr>
          <w:rFonts w:asciiTheme="minorHAnsi" w:hAnsiTheme="minorHAnsi"/>
        </w:rPr>
      </w:pPr>
    </w:p>
    <w:p w14:paraId="7E3DF63E" w14:textId="17294422" w:rsidR="00235E7D" w:rsidRDefault="002E6CA8" w:rsidP="001B48DF">
      <w:pPr>
        <w:rPr>
          <w:rFonts w:asciiTheme="minorHAnsi" w:hAnsiTheme="minorHAnsi"/>
        </w:rPr>
      </w:pPr>
      <w:r>
        <w:rPr>
          <w:rFonts w:asciiTheme="minorHAnsi" w:hAnsiTheme="minorHAnsi"/>
        </w:rPr>
        <w:t>18</w:t>
      </w:r>
      <w:r w:rsidR="001B48DF">
        <w:rPr>
          <w:rFonts w:asciiTheme="minorHAnsi" w:hAnsiTheme="minorHAnsi"/>
        </w:rPr>
        <w:t>.</w:t>
      </w:r>
      <w:r w:rsidR="001B48DF">
        <w:rPr>
          <w:rFonts w:asciiTheme="minorHAnsi" w:hAnsiTheme="minorHAnsi"/>
        </w:rPr>
        <w:tab/>
      </w:r>
      <w:r w:rsidR="00235E7D" w:rsidRPr="0001527D">
        <w:rPr>
          <w:rFonts w:asciiTheme="minorHAnsi" w:hAnsiTheme="minorHAnsi"/>
        </w:rPr>
        <w:t xml:space="preserve">In accordance with Decision SC57-44, and </w:t>
      </w:r>
      <w:r w:rsidR="00AD237F" w:rsidRPr="0001527D">
        <w:rPr>
          <w:rFonts w:asciiTheme="minorHAnsi" w:hAnsiTheme="minorHAnsi"/>
        </w:rPr>
        <w:t xml:space="preserve">following the experience of </w:t>
      </w:r>
      <w:r w:rsidR="00235E7D" w:rsidRPr="0001527D">
        <w:rPr>
          <w:rFonts w:asciiTheme="minorHAnsi" w:hAnsiTheme="minorHAnsi"/>
        </w:rPr>
        <w:t>other Conventions, the Secretariat will continue to encourage timely payments of annual contributions by sending out reminders</w:t>
      </w:r>
      <w:r w:rsidR="008E178B" w:rsidRPr="0001527D">
        <w:rPr>
          <w:rFonts w:asciiTheme="minorHAnsi" w:hAnsiTheme="minorHAnsi"/>
        </w:rPr>
        <w:t xml:space="preserve">. </w:t>
      </w:r>
    </w:p>
    <w:p w14:paraId="7E920528" w14:textId="1F363261" w:rsidR="00C36ED2" w:rsidRDefault="00C36ED2" w:rsidP="001B48DF">
      <w:pPr>
        <w:rPr>
          <w:rFonts w:asciiTheme="minorHAnsi" w:hAnsiTheme="minorHAnsi"/>
        </w:rPr>
      </w:pPr>
    </w:p>
    <w:p w14:paraId="65A948CD" w14:textId="059E29E2" w:rsidR="009618BB" w:rsidRDefault="002E6CA8" w:rsidP="009618BB">
      <w:pPr>
        <w:rPr>
          <w:rFonts w:asciiTheme="minorHAnsi" w:hAnsiTheme="minorHAnsi"/>
        </w:rPr>
      </w:pPr>
      <w:r>
        <w:rPr>
          <w:rFonts w:asciiTheme="minorHAnsi" w:hAnsiTheme="minorHAnsi"/>
        </w:rPr>
        <w:t>19</w:t>
      </w:r>
      <w:r w:rsidR="001B48DF">
        <w:rPr>
          <w:rFonts w:asciiTheme="minorHAnsi" w:hAnsiTheme="minorHAnsi"/>
        </w:rPr>
        <w:t>.</w:t>
      </w:r>
      <w:r w:rsidR="001B48DF">
        <w:rPr>
          <w:rFonts w:asciiTheme="minorHAnsi" w:hAnsiTheme="minorHAnsi"/>
        </w:rPr>
        <w:tab/>
      </w:r>
      <w:r w:rsidR="00A3612F">
        <w:rPr>
          <w:rFonts w:asciiTheme="minorHAnsi" w:hAnsiTheme="minorHAnsi"/>
        </w:rPr>
        <w:t xml:space="preserve">In </w:t>
      </w:r>
      <w:r w:rsidR="009618BB">
        <w:rPr>
          <w:rFonts w:asciiTheme="minorHAnsi" w:hAnsiTheme="minorHAnsi"/>
        </w:rPr>
        <w:t xml:space="preserve">accordance with </w:t>
      </w:r>
      <w:r w:rsidR="009618BB" w:rsidRPr="00D26D7C">
        <w:rPr>
          <w:rFonts w:asciiTheme="minorHAnsi" w:hAnsiTheme="minorHAnsi"/>
        </w:rPr>
        <w:t>Decision SC58-15</w:t>
      </w:r>
      <w:r w:rsidR="007E7EF5" w:rsidRPr="00D26D7C">
        <w:rPr>
          <w:rFonts w:asciiTheme="minorHAnsi" w:hAnsiTheme="minorHAnsi"/>
        </w:rPr>
        <w:t>,</w:t>
      </w:r>
      <w:r w:rsidR="007E7EF5">
        <w:rPr>
          <w:rFonts w:asciiTheme="minorHAnsi" w:hAnsiTheme="minorHAnsi"/>
        </w:rPr>
        <w:t xml:space="preserve"> </w:t>
      </w:r>
      <w:r w:rsidR="00EC0DC4">
        <w:rPr>
          <w:rFonts w:asciiTheme="minorHAnsi" w:hAnsiTheme="minorHAnsi"/>
        </w:rPr>
        <w:t xml:space="preserve">the </w:t>
      </w:r>
      <w:r w:rsidR="009618BB">
        <w:rPr>
          <w:rFonts w:asciiTheme="minorHAnsi" w:hAnsiTheme="minorHAnsi"/>
        </w:rPr>
        <w:t xml:space="preserve">Parties with outstanding contributions </w:t>
      </w:r>
      <w:r w:rsidR="00EC0DC4">
        <w:rPr>
          <w:rFonts w:asciiTheme="minorHAnsi" w:hAnsiTheme="minorHAnsi"/>
        </w:rPr>
        <w:t xml:space="preserve">are invited </w:t>
      </w:r>
      <w:r w:rsidR="009618BB">
        <w:rPr>
          <w:rFonts w:asciiTheme="minorHAnsi" w:hAnsiTheme="minorHAnsi"/>
        </w:rPr>
        <w:t xml:space="preserve">to agree on a payment plan in </w:t>
      </w:r>
      <w:r w:rsidR="00273686">
        <w:rPr>
          <w:rFonts w:asciiTheme="minorHAnsi" w:hAnsiTheme="minorHAnsi"/>
        </w:rPr>
        <w:t>discussion with the Secretariat</w:t>
      </w:r>
      <w:r w:rsidR="00891737">
        <w:rPr>
          <w:rFonts w:asciiTheme="minorHAnsi" w:hAnsiTheme="minorHAnsi"/>
        </w:rPr>
        <w:t>,</w:t>
      </w:r>
      <w:r w:rsidR="00273686">
        <w:rPr>
          <w:rFonts w:asciiTheme="minorHAnsi" w:hAnsiTheme="minorHAnsi"/>
        </w:rPr>
        <w:t xml:space="preserve"> and t</w:t>
      </w:r>
      <w:r w:rsidR="009618BB">
        <w:rPr>
          <w:rFonts w:asciiTheme="minorHAnsi" w:hAnsiTheme="minorHAnsi"/>
        </w:rPr>
        <w:t xml:space="preserve">he Secretariat </w:t>
      </w:r>
      <w:r w:rsidR="00273686">
        <w:rPr>
          <w:rFonts w:asciiTheme="minorHAnsi" w:hAnsiTheme="minorHAnsi"/>
        </w:rPr>
        <w:t>is instructed to</w:t>
      </w:r>
      <w:r w:rsidR="009618BB">
        <w:rPr>
          <w:rFonts w:asciiTheme="minorHAnsi" w:hAnsiTheme="minorHAnsi"/>
        </w:rPr>
        <w:t xml:space="preserve"> work with Parties which have been able to pay outstanding </w:t>
      </w:r>
      <w:r w:rsidR="00FE0365">
        <w:rPr>
          <w:rFonts w:asciiTheme="minorHAnsi" w:hAnsiTheme="minorHAnsi"/>
        </w:rPr>
        <w:t>contributions</w:t>
      </w:r>
      <w:r w:rsidR="009618BB">
        <w:rPr>
          <w:rFonts w:asciiTheme="minorHAnsi" w:hAnsiTheme="minorHAnsi"/>
        </w:rPr>
        <w:t xml:space="preserve">, particularly the long-standing ones, to identify good practices </w:t>
      </w:r>
      <w:r w:rsidR="00FE0365">
        <w:rPr>
          <w:rFonts w:asciiTheme="minorHAnsi" w:hAnsiTheme="minorHAnsi"/>
        </w:rPr>
        <w:t>and efforts that could be shared.</w:t>
      </w:r>
    </w:p>
    <w:p w14:paraId="5615BF2C" w14:textId="578D6003" w:rsidR="00E858F5" w:rsidRPr="00707F4E" w:rsidRDefault="006F293F" w:rsidP="009618BB">
      <w:pPr>
        <w:rPr>
          <w:rFonts w:asciiTheme="minorHAnsi" w:hAnsiTheme="minorHAnsi"/>
        </w:rPr>
      </w:pPr>
      <w:r>
        <w:rPr>
          <w:rFonts w:asciiTheme="minorHAnsi" w:hAnsiTheme="minorHAnsi"/>
        </w:rPr>
        <w:t xml:space="preserve"> </w:t>
      </w:r>
    </w:p>
    <w:p w14:paraId="4DB43863" w14:textId="0EAE84C0" w:rsidR="00122C0E" w:rsidRPr="00256946" w:rsidRDefault="002E6CA8" w:rsidP="004316A3">
      <w:pPr>
        <w:rPr>
          <w:rFonts w:asciiTheme="minorHAnsi" w:hAnsiTheme="minorHAnsi"/>
          <w:spacing w:val="-4"/>
        </w:rPr>
      </w:pPr>
      <w:r w:rsidRPr="00256946">
        <w:rPr>
          <w:rFonts w:asciiTheme="minorHAnsi" w:hAnsiTheme="minorHAnsi"/>
          <w:spacing w:val="-4"/>
        </w:rPr>
        <w:t>20</w:t>
      </w:r>
      <w:r w:rsidR="00AA6157" w:rsidRPr="00256946">
        <w:rPr>
          <w:rFonts w:asciiTheme="minorHAnsi" w:hAnsiTheme="minorHAnsi"/>
          <w:spacing w:val="-4"/>
        </w:rPr>
        <w:t>.</w:t>
      </w:r>
      <w:r w:rsidR="00122C0E" w:rsidRPr="00256946">
        <w:rPr>
          <w:rFonts w:asciiTheme="minorHAnsi" w:hAnsiTheme="minorHAnsi"/>
          <w:spacing w:val="-4"/>
        </w:rPr>
        <w:tab/>
      </w:r>
      <w:r w:rsidR="00B0332F">
        <w:rPr>
          <w:rFonts w:asciiTheme="minorHAnsi" w:hAnsiTheme="minorHAnsi"/>
          <w:spacing w:val="-4"/>
        </w:rPr>
        <w:t>Any continued increase in</w:t>
      </w:r>
      <w:r w:rsidR="000B5464" w:rsidRPr="00256946">
        <w:rPr>
          <w:rFonts w:asciiTheme="minorHAnsi" w:hAnsiTheme="minorHAnsi"/>
          <w:spacing w:val="-4"/>
        </w:rPr>
        <w:t xml:space="preserve"> </w:t>
      </w:r>
      <w:r w:rsidR="00122C0E" w:rsidRPr="00256946">
        <w:rPr>
          <w:rFonts w:asciiTheme="minorHAnsi" w:hAnsiTheme="minorHAnsi"/>
          <w:spacing w:val="-4"/>
        </w:rPr>
        <w:t>t</w:t>
      </w:r>
      <w:r w:rsidR="00C3223E" w:rsidRPr="00256946">
        <w:rPr>
          <w:rFonts w:asciiTheme="minorHAnsi" w:hAnsiTheme="minorHAnsi"/>
          <w:spacing w:val="-4"/>
        </w:rPr>
        <w:t xml:space="preserve">he total of </w:t>
      </w:r>
      <w:r w:rsidR="00122C0E" w:rsidRPr="00256946">
        <w:rPr>
          <w:rFonts w:asciiTheme="minorHAnsi" w:hAnsiTheme="minorHAnsi"/>
          <w:spacing w:val="-4"/>
        </w:rPr>
        <w:t>outstanding contribution</w:t>
      </w:r>
      <w:r w:rsidR="00EE35F9" w:rsidRPr="00256946">
        <w:rPr>
          <w:rFonts w:asciiTheme="minorHAnsi" w:hAnsiTheme="minorHAnsi"/>
          <w:spacing w:val="-4"/>
        </w:rPr>
        <w:t>s</w:t>
      </w:r>
      <w:r w:rsidR="00122C0E" w:rsidRPr="00256946">
        <w:rPr>
          <w:rFonts w:asciiTheme="minorHAnsi" w:hAnsiTheme="minorHAnsi"/>
          <w:spacing w:val="-4"/>
        </w:rPr>
        <w:t xml:space="preserve"> </w:t>
      </w:r>
      <w:r w:rsidR="000B5464" w:rsidRPr="00256946">
        <w:rPr>
          <w:rFonts w:asciiTheme="minorHAnsi" w:hAnsiTheme="minorHAnsi"/>
          <w:spacing w:val="-4"/>
        </w:rPr>
        <w:t xml:space="preserve">will </w:t>
      </w:r>
      <w:r w:rsidR="001E3C22" w:rsidRPr="00256946">
        <w:rPr>
          <w:rFonts w:asciiTheme="minorHAnsi" w:hAnsiTheme="minorHAnsi"/>
          <w:spacing w:val="-4"/>
        </w:rPr>
        <w:t xml:space="preserve">result in </w:t>
      </w:r>
      <w:r w:rsidR="006C0EDE" w:rsidRPr="00256946">
        <w:rPr>
          <w:rFonts w:asciiTheme="minorHAnsi" w:hAnsiTheme="minorHAnsi"/>
          <w:spacing w:val="-4"/>
        </w:rPr>
        <w:t xml:space="preserve">further </w:t>
      </w:r>
      <w:r w:rsidR="00122C0E" w:rsidRPr="00256946">
        <w:rPr>
          <w:rFonts w:asciiTheme="minorHAnsi" w:hAnsiTheme="minorHAnsi"/>
          <w:spacing w:val="-4"/>
        </w:rPr>
        <w:t>increase</w:t>
      </w:r>
      <w:r w:rsidR="001E3C22" w:rsidRPr="00256946">
        <w:rPr>
          <w:rFonts w:asciiTheme="minorHAnsi" w:hAnsiTheme="minorHAnsi"/>
          <w:spacing w:val="-4"/>
        </w:rPr>
        <w:t>s in</w:t>
      </w:r>
      <w:r w:rsidR="00122C0E" w:rsidRPr="00256946">
        <w:rPr>
          <w:rFonts w:asciiTheme="minorHAnsi" w:hAnsiTheme="minorHAnsi"/>
          <w:spacing w:val="-4"/>
        </w:rPr>
        <w:t xml:space="preserve"> the provision</w:t>
      </w:r>
      <w:r w:rsidR="000B5464" w:rsidRPr="00256946">
        <w:rPr>
          <w:rFonts w:asciiTheme="minorHAnsi" w:hAnsiTheme="minorHAnsi"/>
          <w:spacing w:val="-4"/>
        </w:rPr>
        <w:t xml:space="preserve">s for outstanding </w:t>
      </w:r>
      <w:r w:rsidR="00851934" w:rsidRPr="00256946">
        <w:rPr>
          <w:rFonts w:asciiTheme="minorHAnsi" w:hAnsiTheme="minorHAnsi"/>
          <w:spacing w:val="-4"/>
        </w:rPr>
        <w:t xml:space="preserve">contributions </w:t>
      </w:r>
      <w:r w:rsidR="00122C0E" w:rsidRPr="00256946">
        <w:rPr>
          <w:rFonts w:asciiTheme="minorHAnsi" w:hAnsiTheme="minorHAnsi"/>
          <w:spacing w:val="-4"/>
        </w:rPr>
        <w:t>in the budget</w:t>
      </w:r>
      <w:r w:rsidR="001E3C22" w:rsidRPr="00256946">
        <w:rPr>
          <w:rFonts w:asciiTheme="minorHAnsi" w:hAnsiTheme="minorHAnsi"/>
          <w:spacing w:val="-4"/>
        </w:rPr>
        <w:t xml:space="preserve">, thus decreasing resources available for the regular </w:t>
      </w:r>
      <w:r w:rsidR="00086C58" w:rsidRPr="00256946">
        <w:rPr>
          <w:rFonts w:asciiTheme="minorHAnsi" w:hAnsiTheme="minorHAnsi"/>
          <w:spacing w:val="-4"/>
        </w:rPr>
        <w:t xml:space="preserve">budget of the </w:t>
      </w:r>
      <w:r w:rsidR="001E3C22" w:rsidRPr="00256946">
        <w:rPr>
          <w:rFonts w:asciiTheme="minorHAnsi" w:hAnsiTheme="minorHAnsi"/>
          <w:spacing w:val="-4"/>
        </w:rPr>
        <w:t xml:space="preserve">Secretariat. </w:t>
      </w:r>
    </w:p>
    <w:p w14:paraId="003E374F" w14:textId="77777777" w:rsidR="00032BD7" w:rsidRDefault="00032BD7" w:rsidP="004410A9">
      <w:pPr>
        <w:keepNext/>
        <w:rPr>
          <w:rFonts w:cs="Arial"/>
          <w:b/>
        </w:rPr>
      </w:pPr>
    </w:p>
    <w:p w14:paraId="7459A6FF" w14:textId="0E878677" w:rsidR="0080200D" w:rsidRDefault="0080200D" w:rsidP="004410A9">
      <w:pPr>
        <w:keepNext/>
        <w:rPr>
          <w:rFonts w:cs="Arial"/>
          <w:b/>
        </w:rPr>
      </w:pPr>
      <w:r>
        <w:rPr>
          <w:rFonts w:cs="Arial"/>
          <w:b/>
        </w:rPr>
        <w:t>African voluntary contributions</w:t>
      </w:r>
    </w:p>
    <w:p w14:paraId="2E686B24" w14:textId="77777777" w:rsidR="0080200D" w:rsidRDefault="0080200D" w:rsidP="004410A9">
      <w:pPr>
        <w:keepNext/>
        <w:rPr>
          <w:rFonts w:cs="Arial"/>
          <w:b/>
        </w:rPr>
      </w:pPr>
    </w:p>
    <w:p w14:paraId="76E30A22" w14:textId="5827668E" w:rsidR="0080200D" w:rsidRDefault="002E6CA8" w:rsidP="00AD53FB">
      <w:pPr>
        <w:rPr>
          <w:rFonts w:cs="Arial"/>
        </w:rPr>
      </w:pPr>
      <w:r>
        <w:rPr>
          <w:rFonts w:cs="Arial"/>
        </w:rPr>
        <w:t>21</w:t>
      </w:r>
      <w:r w:rsidR="00A60AD7">
        <w:rPr>
          <w:rFonts w:cs="Arial"/>
        </w:rPr>
        <w:t>.</w:t>
      </w:r>
      <w:r w:rsidR="0061090C">
        <w:rPr>
          <w:rFonts w:cs="Arial"/>
        </w:rPr>
        <w:tab/>
      </w:r>
      <w:r w:rsidR="0080200D">
        <w:rPr>
          <w:rFonts w:cs="Arial"/>
        </w:rPr>
        <w:t xml:space="preserve">At </w:t>
      </w:r>
      <w:r w:rsidR="004410A9">
        <w:rPr>
          <w:rFonts w:cs="Arial"/>
        </w:rPr>
        <w:t>COP10</w:t>
      </w:r>
      <w:r w:rsidR="0080200D">
        <w:rPr>
          <w:rFonts w:cs="Arial"/>
        </w:rPr>
        <w:t xml:space="preserve">, through </w:t>
      </w:r>
      <w:r w:rsidR="00472A3C">
        <w:rPr>
          <w:rFonts w:cs="Arial"/>
        </w:rPr>
        <w:t xml:space="preserve">paragraph 23 of </w:t>
      </w:r>
      <w:r w:rsidR="00855451">
        <w:rPr>
          <w:rFonts w:cs="Arial"/>
        </w:rPr>
        <w:t>R</w:t>
      </w:r>
      <w:r w:rsidR="0091539C">
        <w:rPr>
          <w:rFonts w:cs="Arial"/>
        </w:rPr>
        <w:t>esolution X.2</w:t>
      </w:r>
      <w:r w:rsidR="0080200D">
        <w:rPr>
          <w:rFonts w:cs="Arial"/>
        </w:rPr>
        <w:t xml:space="preserve"> </w:t>
      </w:r>
      <w:r w:rsidR="00855451">
        <w:rPr>
          <w:rFonts w:cs="Arial"/>
        </w:rPr>
        <w:t xml:space="preserve">on </w:t>
      </w:r>
      <w:r w:rsidR="00855451">
        <w:rPr>
          <w:rFonts w:cs="Arial"/>
          <w:i/>
        </w:rPr>
        <w:t>Financial and budgetary matters,</w:t>
      </w:r>
      <w:r w:rsidR="00855451">
        <w:rPr>
          <w:rFonts w:cs="Arial"/>
        </w:rPr>
        <w:t xml:space="preserve"> </w:t>
      </w:r>
      <w:r w:rsidR="0080200D">
        <w:rPr>
          <w:rFonts w:cs="Arial"/>
        </w:rPr>
        <w:t xml:space="preserve">the Contracting Parties of Africa assessed with an annual contribution </w:t>
      </w:r>
      <w:r w:rsidR="00A96D52">
        <w:rPr>
          <w:rFonts w:cs="Arial"/>
        </w:rPr>
        <w:t xml:space="preserve">of </w:t>
      </w:r>
      <w:r w:rsidR="0080200D">
        <w:rPr>
          <w:rFonts w:cs="Arial"/>
        </w:rPr>
        <w:t xml:space="preserve">less than CHF 2,000 agreed to increase their payments to that level. The difference between CHF 2,000 and their assessed contribution was to be in the form of a voluntary contribution specifically earmarked for African </w:t>
      </w:r>
      <w:r w:rsidR="00312FBA">
        <w:rPr>
          <w:rFonts w:cs="Arial"/>
        </w:rPr>
        <w:t xml:space="preserve">Ramsar </w:t>
      </w:r>
      <w:r w:rsidR="0080200D">
        <w:rPr>
          <w:rFonts w:cs="Arial"/>
        </w:rPr>
        <w:t>Regional Initiatives.</w:t>
      </w:r>
    </w:p>
    <w:p w14:paraId="7F08B42E" w14:textId="3DB0E7FC" w:rsidR="0080200D" w:rsidRDefault="0080200D" w:rsidP="004316A3">
      <w:pPr>
        <w:rPr>
          <w:rFonts w:cs="Arial"/>
        </w:rPr>
      </w:pPr>
    </w:p>
    <w:p w14:paraId="46C07A73" w14:textId="47BA1852" w:rsidR="000A78B6" w:rsidRPr="00912031" w:rsidRDefault="002E6CA8" w:rsidP="004316A3">
      <w:pPr>
        <w:rPr>
          <w:rFonts w:cs="Arial"/>
        </w:rPr>
      </w:pPr>
      <w:r>
        <w:rPr>
          <w:rFonts w:cs="Arial"/>
        </w:rPr>
        <w:t>22</w:t>
      </w:r>
      <w:r w:rsidR="000A78B6">
        <w:rPr>
          <w:rFonts w:cs="Arial"/>
        </w:rPr>
        <w:t>.</w:t>
      </w:r>
      <w:r w:rsidR="000A78B6">
        <w:rPr>
          <w:rFonts w:cs="Arial"/>
        </w:rPr>
        <w:tab/>
      </w:r>
      <w:r w:rsidR="000A78B6" w:rsidRPr="0055060C">
        <w:rPr>
          <w:rFonts w:cs="Arial"/>
        </w:rPr>
        <w:t xml:space="preserve">Voluntary contributions received from the Contracting Parties in the Africa region in </w:t>
      </w:r>
      <w:r w:rsidR="00294BC8" w:rsidRPr="0055060C">
        <w:rPr>
          <w:rFonts w:cs="Arial"/>
        </w:rPr>
        <w:t>202</w:t>
      </w:r>
      <w:r w:rsidR="00294BC8">
        <w:rPr>
          <w:rFonts w:cs="Arial"/>
        </w:rPr>
        <w:t>3</w:t>
      </w:r>
      <w:r w:rsidR="00294BC8" w:rsidRPr="0055060C">
        <w:rPr>
          <w:rFonts w:cs="Arial"/>
        </w:rPr>
        <w:t xml:space="preserve"> </w:t>
      </w:r>
      <w:r w:rsidR="000A78B6" w:rsidRPr="0055060C">
        <w:rPr>
          <w:rFonts w:cs="Arial"/>
        </w:rPr>
        <w:t xml:space="preserve">amounted to CHF </w:t>
      </w:r>
      <w:r w:rsidR="00294BC8">
        <w:rPr>
          <w:rFonts w:cs="Arial"/>
        </w:rPr>
        <w:t>2</w:t>
      </w:r>
      <w:r w:rsidR="000A78B6" w:rsidRPr="0055060C">
        <w:rPr>
          <w:rFonts w:cs="Arial"/>
        </w:rPr>
        <w:t xml:space="preserve">K. This amount along with the balance of </w:t>
      </w:r>
      <w:r w:rsidR="00294BC8" w:rsidRPr="0055060C">
        <w:rPr>
          <w:rFonts w:cs="Arial"/>
        </w:rPr>
        <w:t>2</w:t>
      </w:r>
      <w:r w:rsidR="00294BC8">
        <w:rPr>
          <w:rFonts w:cs="Arial"/>
        </w:rPr>
        <w:t>8</w:t>
      </w:r>
      <w:r w:rsidR="00294BC8" w:rsidRPr="0055060C">
        <w:rPr>
          <w:rFonts w:cs="Arial"/>
        </w:rPr>
        <w:t xml:space="preserve">K </w:t>
      </w:r>
      <w:r w:rsidR="000A78B6" w:rsidRPr="0055060C">
        <w:rPr>
          <w:rFonts w:cs="Arial"/>
        </w:rPr>
        <w:t xml:space="preserve">at the end of </w:t>
      </w:r>
      <w:r w:rsidR="00294BC8" w:rsidRPr="0055060C">
        <w:rPr>
          <w:rFonts w:cs="Arial"/>
        </w:rPr>
        <w:t>202</w:t>
      </w:r>
      <w:r w:rsidR="00294BC8">
        <w:rPr>
          <w:rFonts w:cs="Arial"/>
        </w:rPr>
        <w:t>2</w:t>
      </w:r>
      <w:r w:rsidR="00294BC8" w:rsidRPr="0055060C">
        <w:rPr>
          <w:rFonts w:cs="Arial"/>
        </w:rPr>
        <w:t xml:space="preserve"> </w:t>
      </w:r>
      <w:r w:rsidR="000A78B6" w:rsidRPr="0055060C">
        <w:rPr>
          <w:rFonts w:cs="Arial"/>
        </w:rPr>
        <w:t xml:space="preserve">brings the total available for future allocations to CHF </w:t>
      </w:r>
      <w:r w:rsidR="00294BC8">
        <w:rPr>
          <w:rFonts w:cs="Arial"/>
        </w:rPr>
        <w:t>30</w:t>
      </w:r>
      <w:r w:rsidR="00294BC8" w:rsidRPr="0055060C">
        <w:rPr>
          <w:rFonts w:cs="Arial"/>
        </w:rPr>
        <w:t>K</w:t>
      </w:r>
      <w:r w:rsidR="000A78B6" w:rsidRPr="0055060C">
        <w:rPr>
          <w:rFonts w:cs="Arial"/>
        </w:rPr>
        <w:t>. The table in Annex 2 of this document presents the total voluntary contributions received.</w:t>
      </w:r>
    </w:p>
    <w:p w14:paraId="1964C9F2" w14:textId="4AA3F7D2" w:rsidR="000A78B6" w:rsidRPr="00912031" w:rsidRDefault="000A78B6" w:rsidP="004316A3">
      <w:pPr>
        <w:rPr>
          <w:rFonts w:cs="Arial"/>
        </w:rPr>
      </w:pPr>
    </w:p>
    <w:p w14:paraId="63116165" w14:textId="4F61233D" w:rsidR="00F13D9B" w:rsidRDefault="002E6CA8" w:rsidP="00256946">
      <w:pPr>
        <w:rPr>
          <w:rFonts w:cs="Arial"/>
        </w:rPr>
      </w:pPr>
      <w:r>
        <w:rPr>
          <w:rFonts w:cs="Arial"/>
        </w:rPr>
        <w:t>23</w:t>
      </w:r>
      <w:r w:rsidR="0061090C" w:rsidRPr="00912031">
        <w:rPr>
          <w:rFonts w:cs="Arial"/>
        </w:rPr>
        <w:t>.</w:t>
      </w:r>
      <w:r w:rsidR="0061090C" w:rsidRPr="00912031">
        <w:rPr>
          <w:rFonts w:cs="Arial"/>
        </w:rPr>
        <w:tab/>
      </w:r>
      <w:r w:rsidR="00F13D9B" w:rsidRPr="00912031">
        <w:rPr>
          <w:rFonts w:cs="Arial"/>
        </w:rPr>
        <w:t xml:space="preserve">In </w:t>
      </w:r>
      <w:r w:rsidR="008E2BCA" w:rsidRPr="00912031">
        <w:rPr>
          <w:rFonts w:cs="Arial"/>
        </w:rPr>
        <w:t>Resolu</w:t>
      </w:r>
      <w:r w:rsidR="00063B50" w:rsidRPr="00912031">
        <w:rPr>
          <w:rFonts w:cs="Arial"/>
        </w:rPr>
        <w:t xml:space="preserve">tion </w:t>
      </w:r>
      <w:r w:rsidR="0067636F" w:rsidRPr="00912031">
        <w:rPr>
          <w:rFonts w:cs="Arial"/>
        </w:rPr>
        <w:t>XIV.1</w:t>
      </w:r>
      <w:r w:rsidR="00951FE9" w:rsidRPr="00912031">
        <w:rPr>
          <w:rFonts w:cs="Arial"/>
        </w:rPr>
        <w:t>,</w:t>
      </w:r>
      <w:r w:rsidR="00063B50" w:rsidRPr="00912031">
        <w:rPr>
          <w:rFonts w:cs="Arial"/>
        </w:rPr>
        <w:t xml:space="preserve"> paragraph</w:t>
      </w:r>
      <w:r w:rsidR="00BF0EBE">
        <w:rPr>
          <w:rFonts w:cs="Arial"/>
        </w:rPr>
        <w:t>s</w:t>
      </w:r>
      <w:r w:rsidR="008E2BCA" w:rsidRPr="00912031">
        <w:rPr>
          <w:rFonts w:cs="Arial"/>
        </w:rPr>
        <w:t xml:space="preserve"> 24</w:t>
      </w:r>
      <w:r w:rsidR="00F13D9B" w:rsidRPr="00912031">
        <w:rPr>
          <w:rFonts w:cs="Arial"/>
        </w:rPr>
        <w:t xml:space="preserve"> and </w:t>
      </w:r>
      <w:r w:rsidR="003474F5" w:rsidRPr="00912031">
        <w:rPr>
          <w:rFonts w:cs="Arial"/>
        </w:rPr>
        <w:t>25</w:t>
      </w:r>
      <w:r w:rsidR="00F13D9B" w:rsidRPr="00912031">
        <w:rPr>
          <w:rFonts w:cs="Arial"/>
        </w:rPr>
        <w:t xml:space="preserve">, </w:t>
      </w:r>
      <w:r w:rsidR="003474F5" w:rsidRPr="00912031">
        <w:rPr>
          <w:rFonts w:cs="Arial"/>
        </w:rPr>
        <w:t xml:space="preserve">the </w:t>
      </w:r>
      <w:r w:rsidR="00F13D9B" w:rsidRPr="00912031">
        <w:rPr>
          <w:rFonts w:cs="Arial"/>
        </w:rPr>
        <w:t xml:space="preserve">Parties agreed on the process of the allocation of these contributions. </w:t>
      </w:r>
    </w:p>
    <w:p w14:paraId="18D0D4D2" w14:textId="77777777" w:rsidR="00744819" w:rsidRDefault="00744819" w:rsidP="00F13D9B">
      <w:pPr>
        <w:rPr>
          <w:rFonts w:cs="Arial"/>
        </w:rPr>
      </w:pPr>
    </w:p>
    <w:p w14:paraId="225D3C87" w14:textId="77777777" w:rsidR="007B0696" w:rsidRDefault="007B0696">
      <w:pPr>
        <w:rPr>
          <w:rFonts w:asciiTheme="minorHAnsi" w:eastAsia="Times New Roman" w:hAnsiTheme="minorHAnsi" w:cs="Arial"/>
          <w:b/>
          <w:bCs/>
          <w:color w:val="000000"/>
          <w:sz w:val="24"/>
          <w:szCs w:val="24"/>
          <w:lang w:eastAsia="en-GB"/>
        </w:rPr>
        <w:sectPr w:rsidR="007B0696" w:rsidSect="00AB1CD8">
          <w:footerReference w:type="default" r:id="rId13"/>
          <w:pgSz w:w="11906" w:h="16838" w:code="9"/>
          <w:pgMar w:top="1440" w:right="1440" w:bottom="1440" w:left="1440" w:header="709" w:footer="709" w:gutter="0"/>
          <w:cols w:space="708"/>
          <w:titlePg/>
          <w:docGrid w:linePitch="360"/>
        </w:sectPr>
      </w:pPr>
    </w:p>
    <w:p w14:paraId="6BF63D2E" w14:textId="0DFBE201" w:rsidR="0091539C" w:rsidRPr="0091539C" w:rsidRDefault="0091539C">
      <w:pPr>
        <w:rPr>
          <w:rFonts w:asciiTheme="minorHAnsi" w:eastAsia="Times New Roman" w:hAnsiTheme="minorHAnsi" w:cs="Arial"/>
          <w:b/>
          <w:bCs/>
          <w:color w:val="000000"/>
          <w:sz w:val="24"/>
          <w:szCs w:val="24"/>
          <w:lang w:eastAsia="en-GB"/>
        </w:rPr>
      </w:pPr>
      <w:r w:rsidRPr="00FF0CE5">
        <w:rPr>
          <w:rFonts w:asciiTheme="minorHAnsi" w:eastAsia="Times New Roman" w:hAnsiTheme="minorHAnsi" w:cs="Arial"/>
          <w:b/>
          <w:bCs/>
          <w:color w:val="000000"/>
          <w:sz w:val="24"/>
          <w:szCs w:val="24"/>
          <w:lang w:eastAsia="en-GB"/>
        </w:rPr>
        <w:lastRenderedPageBreak/>
        <w:t>Annex 1</w:t>
      </w:r>
    </w:p>
    <w:p w14:paraId="74594184" w14:textId="16711588" w:rsidR="00CA6594" w:rsidRDefault="0091539C">
      <w:pPr>
        <w:rPr>
          <w:rFonts w:asciiTheme="minorHAnsi" w:eastAsia="Times New Roman" w:hAnsiTheme="minorHAnsi" w:cs="Arial"/>
          <w:b/>
          <w:bCs/>
          <w:color w:val="000000"/>
          <w:sz w:val="24"/>
          <w:szCs w:val="24"/>
          <w:lang w:eastAsia="en-GB"/>
        </w:rPr>
      </w:pPr>
      <w:r w:rsidRPr="0091539C">
        <w:rPr>
          <w:rFonts w:asciiTheme="minorHAnsi" w:eastAsia="Times New Roman" w:hAnsiTheme="minorHAnsi" w:cs="Arial"/>
          <w:b/>
          <w:bCs/>
          <w:color w:val="000000"/>
          <w:sz w:val="24"/>
          <w:szCs w:val="24"/>
          <w:lang w:eastAsia="en-GB"/>
        </w:rPr>
        <w:t xml:space="preserve">Status of </w:t>
      </w:r>
      <w:r w:rsidR="009954C9">
        <w:rPr>
          <w:rFonts w:asciiTheme="minorHAnsi" w:eastAsia="Times New Roman" w:hAnsiTheme="minorHAnsi" w:cs="Arial"/>
          <w:b/>
          <w:bCs/>
          <w:color w:val="000000"/>
          <w:sz w:val="24"/>
          <w:szCs w:val="24"/>
          <w:lang w:eastAsia="en-GB"/>
        </w:rPr>
        <w:t>a</w:t>
      </w:r>
      <w:r w:rsidRPr="0091539C">
        <w:rPr>
          <w:rFonts w:asciiTheme="minorHAnsi" w:eastAsia="Times New Roman" w:hAnsiTheme="minorHAnsi" w:cs="Arial"/>
          <w:b/>
          <w:bCs/>
          <w:color w:val="000000"/>
          <w:sz w:val="24"/>
          <w:szCs w:val="24"/>
          <w:lang w:eastAsia="en-GB"/>
        </w:rPr>
        <w:t xml:space="preserve">ssessed </w:t>
      </w:r>
      <w:r w:rsidR="009954C9">
        <w:rPr>
          <w:rFonts w:asciiTheme="minorHAnsi" w:eastAsia="Times New Roman" w:hAnsiTheme="minorHAnsi" w:cs="Arial"/>
          <w:b/>
          <w:bCs/>
          <w:color w:val="000000"/>
          <w:sz w:val="24"/>
          <w:szCs w:val="24"/>
          <w:lang w:eastAsia="en-GB"/>
        </w:rPr>
        <w:t>c</w:t>
      </w:r>
      <w:r w:rsidRPr="0091539C">
        <w:rPr>
          <w:rFonts w:asciiTheme="minorHAnsi" w:eastAsia="Times New Roman" w:hAnsiTheme="minorHAnsi" w:cs="Arial"/>
          <w:b/>
          <w:bCs/>
          <w:color w:val="000000"/>
          <w:sz w:val="24"/>
          <w:szCs w:val="24"/>
          <w:lang w:eastAsia="en-GB"/>
        </w:rPr>
        <w:t xml:space="preserve">ontributions as at 31 December </w:t>
      </w:r>
      <w:r w:rsidR="00211A70" w:rsidRPr="0091539C">
        <w:rPr>
          <w:rFonts w:asciiTheme="minorHAnsi" w:eastAsia="Times New Roman" w:hAnsiTheme="minorHAnsi" w:cs="Arial"/>
          <w:b/>
          <w:bCs/>
          <w:color w:val="000000"/>
          <w:sz w:val="24"/>
          <w:szCs w:val="24"/>
          <w:lang w:eastAsia="en-GB"/>
        </w:rPr>
        <w:t>20</w:t>
      </w:r>
      <w:r w:rsidR="00211A70">
        <w:rPr>
          <w:rFonts w:asciiTheme="minorHAnsi" w:eastAsia="Times New Roman" w:hAnsiTheme="minorHAnsi" w:cs="Arial"/>
          <w:b/>
          <w:bCs/>
          <w:color w:val="000000"/>
          <w:sz w:val="24"/>
          <w:szCs w:val="24"/>
          <w:lang w:eastAsia="en-GB"/>
        </w:rPr>
        <w:t>23</w:t>
      </w:r>
      <w:r w:rsidR="00211A70" w:rsidRPr="0091539C">
        <w:rPr>
          <w:rFonts w:asciiTheme="minorHAnsi" w:eastAsia="Times New Roman" w:hAnsiTheme="minorHAnsi" w:cs="Arial"/>
          <w:b/>
          <w:bCs/>
          <w:color w:val="000000"/>
          <w:sz w:val="24"/>
          <w:szCs w:val="24"/>
          <w:lang w:eastAsia="en-GB"/>
        </w:rPr>
        <w:t xml:space="preserve"> </w:t>
      </w:r>
      <w:r w:rsidRPr="0091539C">
        <w:rPr>
          <w:rFonts w:asciiTheme="minorHAnsi" w:eastAsia="Times New Roman" w:hAnsiTheme="minorHAnsi" w:cs="Arial"/>
          <w:b/>
          <w:bCs/>
          <w:color w:val="000000"/>
          <w:sz w:val="24"/>
          <w:szCs w:val="24"/>
          <w:lang w:eastAsia="en-GB"/>
        </w:rPr>
        <w:t>(in CHF)</w:t>
      </w:r>
    </w:p>
    <w:p w14:paraId="234ACD29" w14:textId="23C1BEFD" w:rsidR="00BF0EBE" w:rsidRDefault="00BF0EBE">
      <w:pPr>
        <w:rPr>
          <w:rFonts w:asciiTheme="minorHAnsi" w:eastAsia="Times New Roman" w:hAnsiTheme="minorHAnsi" w:cs="Arial"/>
          <w:b/>
          <w:bCs/>
          <w:color w:val="000000"/>
          <w:sz w:val="24"/>
          <w:szCs w:val="24"/>
          <w:lang w:eastAsia="en-GB"/>
        </w:rPr>
      </w:pPr>
    </w:p>
    <w:p w14:paraId="5AC8B4C5" w14:textId="77777777" w:rsidR="00006D8E" w:rsidRDefault="00006D8E">
      <w:pPr>
        <w:rPr>
          <w:rFonts w:asciiTheme="minorHAnsi" w:eastAsia="Times New Roman" w:hAnsiTheme="minorHAnsi" w:cs="Arial"/>
          <w:b/>
          <w:bCs/>
          <w:color w:val="000000"/>
          <w:sz w:val="24"/>
          <w:szCs w:val="24"/>
          <w:lang w:eastAsia="en-GB"/>
        </w:rPr>
      </w:pPr>
    </w:p>
    <w:tbl>
      <w:tblPr>
        <w:tblStyle w:val="GridTable2-Accent1"/>
        <w:tblW w:w="10428" w:type="dxa"/>
        <w:tblInd w:w="-714" w:type="dxa"/>
        <w:tblLayout w:type="fixed"/>
        <w:tblCellMar>
          <w:top w:w="28" w:type="dxa"/>
          <w:left w:w="28" w:type="dxa"/>
          <w:bottom w:w="28" w:type="dxa"/>
          <w:right w:w="28" w:type="dxa"/>
        </w:tblCellMar>
        <w:tblLook w:val="04A0" w:firstRow="1" w:lastRow="0" w:firstColumn="1" w:lastColumn="0" w:noHBand="0" w:noVBand="1"/>
      </w:tblPr>
      <w:tblGrid>
        <w:gridCol w:w="2028"/>
        <w:gridCol w:w="933"/>
        <w:gridCol w:w="947"/>
        <w:gridCol w:w="920"/>
        <w:gridCol w:w="933"/>
        <w:gridCol w:w="982"/>
        <w:gridCol w:w="885"/>
        <w:gridCol w:w="933"/>
        <w:gridCol w:w="933"/>
        <w:gridCol w:w="934"/>
      </w:tblGrid>
      <w:tr w:rsidR="00BF0EBE" w:rsidRPr="00BF0EBE" w14:paraId="27C6CA1E" w14:textId="77777777" w:rsidTr="00AE368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28"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B8CCE4" w:themeFill="accent1" w:themeFillTint="66"/>
            <w:noWrap/>
            <w:vAlign w:val="center"/>
            <w:hideMark/>
          </w:tcPr>
          <w:p w14:paraId="3F539BD6" w14:textId="77777777" w:rsidR="00BF0EBE" w:rsidRPr="00D25CEB" w:rsidRDefault="00BF0EBE" w:rsidP="00A70EC8">
            <w:pPr>
              <w:ind w:left="0" w:firstLine="0"/>
              <w:jc w:val="center"/>
              <w:rPr>
                <w:rFonts w:asciiTheme="minorHAnsi" w:hAnsiTheme="minorHAnsi" w:cstheme="minorHAnsi"/>
                <w:b w:val="0"/>
                <w:bCs w:val="0"/>
                <w:sz w:val="20"/>
                <w:szCs w:val="20"/>
              </w:rPr>
            </w:pPr>
            <w:r w:rsidRPr="00D25CEB">
              <w:rPr>
                <w:rFonts w:asciiTheme="minorHAnsi" w:hAnsiTheme="minorHAnsi" w:cstheme="minorHAnsi"/>
                <w:sz w:val="20"/>
                <w:szCs w:val="20"/>
              </w:rPr>
              <w:t>Country</w:t>
            </w:r>
          </w:p>
          <w:p w14:paraId="3CB7D44F" w14:textId="0B860C02" w:rsidR="00BF0EBE" w:rsidRPr="00D25CEB" w:rsidRDefault="00BF0EBE" w:rsidP="00A70EC8">
            <w:pPr>
              <w:ind w:left="0" w:firstLine="0"/>
              <w:jc w:val="center"/>
              <w:rPr>
                <w:rFonts w:asciiTheme="minorHAnsi" w:hAnsiTheme="minorHAnsi" w:cstheme="minorHAnsi"/>
                <w:sz w:val="20"/>
                <w:szCs w:val="20"/>
              </w:rPr>
            </w:pPr>
          </w:p>
        </w:tc>
        <w:tc>
          <w:tcPr>
            <w:tcW w:w="2800"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2B1ACC62" w14:textId="07068086" w:rsidR="00BF0EBE" w:rsidRPr="00BF0EBE"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fr-FR" w:eastAsia="en-GB"/>
              </w:rPr>
            </w:pPr>
            <w:proofErr w:type="spellStart"/>
            <w:r w:rsidRPr="00FC24FB">
              <w:rPr>
                <w:rFonts w:asciiTheme="minorHAnsi" w:eastAsia="Times New Roman" w:hAnsiTheme="minorHAnsi" w:cs="Arial"/>
                <w:spacing w:val="-4"/>
                <w:sz w:val="20"/>
                <w:szCs w:val="20"/>
                <w:lang w:val="fr-FR" w:eastAsia="en-GB"/>
              </w:rPr>
              <w:t>Status</w:t>
            </w:r>
            <w:proofErr w:type="spellEnd"/>
            <w:r w:rsidRPr="00FC24FB">
              <w:rPr>
                <w:rFonts w:asciiTheme="minorHAnsi" w:eastAsia="Times New Roman" w:hAnsiTheme="minorHAnsi" w:cs="Arial"/>
                <w:spacing w:val="-4"/>
                <w:sz w:val="20"/>
                <w:szCs w:val="20"/>
                <w:lang w:val="fr-FR" w:eastAsia="en-GB"/>
              </w:rPr>
              <w:t xml:space="preserve"> as of 1 </w:t>
            </w:r>
            <w:proofErr w:type="spellStart"/>
            <w:r w:rsidRPr="00FC24FB">
              <w:rPr>
                <w:rFonts w:asciiTheme="minorHAnsi" w:eastAsia="Times New Roman" w:hAnsiTheme="minorHAnsi" w:cs="Arial"/>
                <w:spacing w:val="-4"/>
                <w:sz w:val="20"/>
                <w:szCs w:val="20"/>
                <w:lang w:val="fr-FR" w:eastAsia="en-GB"/>
              </w:rPr>
              <w:t>January</w:t>
            </w:r>
            <w:proofErr w:type="spellEnd"/>
            <w:r w:rsidRPr="00FC24FB">
              <w:rPr>
                <w:rFonts w:asciiTheme="minorHAnsi" w:eastAsia="Times New Roman" w:hAnsiTheme="minorHAnsi" w:cs="Arial"/>
                <w:spacing w:val="-4"/>
                <w:sz w:val="20"/>
                <w:szCs w:val="20"/>
                <w:lang w:val="fr-FR" w:eastAsia="en-GB"/>
              </w:rPr>
              <w:t xml:space="preserve"> </w:t>
            </w:r>
            <w:r w:rsidR="00211A70" w:rsidRPr="00FC24FB">
              <w:rPr>
                <w:rFonts w:asciiTheme="minorHAnsi" w:eastAsia="Times New Roman" w:hAnsiTheme="minorHAnsi" w:cs="Arial"/>
                <w:spacing w:val="-4"/>
                <w:sz w:val="20"/>
                <w:szCs w:val="20"/>
                <w:lang w:val="fr-FR" w:eastAsia="en-GB"/>
              </w:rPr>
              <w:t>202</w:t>
            </w:r>
            <w:r w:rsidR="00211A70">
              <w:rPr>
                <w:rFonts w:asciiTheme="minorHAnsi" w:eastAsia="Times New Roman" w:hAnsiTheme="minorHAnsi" w:cs="Arial"/>
                <w:spacing w:val="-4"/>
                <w:sz w:val="20"/>
                <w:szCs w:val="20"/>
                <w:lang w:val="fr-FR" w:eastAsia="en-GB"/>
              </w:rPr>
              <w:t>3</w:t>
            </w:r>
          </w:p>
        </w:tc>
        <w:tc>
          <w:tcPr>
            <w:tcW w:w="2800"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482283C1" w14:textId="23BEDE49" w:rsidR="00BF0EBE" w:rsidRPr="00BF0EBE"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es-ES" w:eastAsia="en-GB"/>
              </w:rPr>
            </w:pPr>
            <w:proofErr w:type="spellStart"/>
            <w:r w:rsidRPr="00502880">
              <w:rPr>
                <w:rFonts w:asciiTheme="minorHAnsi" w:eastAsia="Times New Roman" w:hAnsiTheme="minorHAnsi" w:cs="Arial"/>
                <w:spacing w:val="-4"/>
                <w:sz w:val="20"/>
                <w:szCs w:val="20"/>
                <w:lang w:val="es-ES" w:eastAsia="en-GB"/>
              </w:rPr>
              <w:t>Received</w:t>
            </w:r>
            <w:proofErr w:type="spellEnd"/>
            <w:r w:rsidRPr="00502880">
              <w:rPr>
                <w:rFonts w:asciiTheme="minorHAnsi" w:eastAsia="Times New Roman" w:hAnsiTheme="minorHAnsi" w:cs="Arial"/>
                <w:spacing w:val="-4"/>
                <w:sz w:val="20"/>
                <w:szCs w:val="20"/>
                <w:lang w:val="es-ES" w:eastAsia="en-GB"/>
              </w:rPr>
              <w:t xml:space="preserve"> in </w:t>
            </w:r>
            <w:r w:rsidR="00211A70" w:rsidRPr="00502880">
              <w:rPr>
                <w:rFonts w:asciiTheme="minorHAnsi" w:eastAsia="Times New Roman" w:hAnsiTheme="minorHAnsi" w:cs="Arial"/>
                <w:spacing w:val="-4"/>
                <w:sz w:val="20"/>
                <w:szCs w:val="20"/>
                <w:lang w:val="es-ES" w:eastAsia="en-GB"/>
              </w:rPr>
              <w:t>202</w:t>
            </w:r>
            <w:r w:rsidR="00211A70">
              <w:rPr>
                <w:rFonts w:asciiTheme="minorHAnsi" w:eastAsia="Times New Roman" w:hAnsiTheme="minorHAnsi" w:cs="Arial"/>
                <w:spacing w:val="-4"/>
                <w:sz w:val="20"/>
                <w:szCs w:val="20"/>
                <w:lang w:val="es-ES" w:eastAsia="en-GB"/>
              </w:rPr>
              <w:t>3</w:t>
            </w:r>
          </w:p>
        </w:tc>
        <w:tc>
          <w:tcPr>
            <w:tcW w:w="2800"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0E8BE46C" w14:textId="6C624B6B" w:rsidR="00BF0EBE" w:rsidRPr="00BF0EBE"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fr-FR" w:eastAsia="en-GB"/>
              </w:rPr>
            </w:pPr>
            <w:proofErr w:type="spellStart"/>
            <w:r w:rsidRPr="001358F5">
              <w:rPr>
                <w:rFonts w:asciiTheme="minorHAnsi" w:eastAsia="Times New Roman" w:hAnsiTheme="minorHAnsi" w:cs="Arial"/>
                <w:spacing w:val="-4"/>
                <w:sz w:val="20"/>
                <w:szCs w:val="20"/>
                <w:lang w:val="fr-FR" w:eastAsia="en-GB"/>
              </w:rPr>
              <w:t>Status</w:t>
            </w:r>
            <w:proofErr w:type="spellEnd"/>
            <w:r w:rsidRPr="001358F5">
              <w:rPr>
                <w:rFonts w:asciiTheme="minorHAnsi" w:eastAsia="Times New Roman" w:hAnsiTheme="minorHAnsi" w:cs="Arial"/>
                <w:spacing w:val="-4"/>
                <w:sz w:val="20"/>
                <w:szCs w:val="20"/>
                <w:lang w:val="fr-FR" w:eastAsia="en-GB"/>
              </w:rPr>
              <w:t xml:space="preserve"> as of </w:t>
            </w:r>
            <w:r w:rsidRPr="009C28D8">
              <w:rPr>
                <w:rFonts w:asciiTheme="minorHAnsi" w:eastAsia="Times New Roman" w:hAnsiTheme="minorHAnsi" w:cs="Arial"/>
                <w:spacing w:val="-4"/>
                <w:sz w:val="20"/>
                <w:szCs w:val="20"/>
                <w:lang w:val="fr-FR" w:eastAsia="en-GB"/>
              </w:rPr>
              <w:t>3</w:t>
            </w:r>
            <w:r>
              <w:rPr>
                <w:rFonts w:asciiTheme="minorHAnsi" w:eastAsia="Times New Roman" w:hAnsiTheme="minorHAnsi" w:cs="Arial"/>
                <w:spacing w:val="-4"/>
                <w:sz w:val="20"/>
                <w:szCs w:val="20"/>
                <w:lang w:val="fr-FR" w:eastAsia="en-GB"/>
              </w:rPr>
              <w:t xml:space="preserve">1 </w:t>
            </w:r>
            <w:proofErr w:type="spellStart"/>
            <w:r>
              <w:rPr>
                <w:rFonts w:asciiTheme="minorHAnsi" w:eastAsia="Times New Roman" w:hAnsiTheme="minorHAnsi" w:cs="Arial"/>
                <w:spacing w:val="-4"/>
                <w:sz w:val="20"/>
                <w:szCs w:val="20"/>
                <w:lang w:val="fr-FR" w:eastAsia="en-GB"/>
              </w:rPr>
              <w:t>Decem</w:t>
            </w:r>
            <w:r w:rsidRPr="009C28D8">
              <w:rPr>
                <w:rFonts w:asciiTheme="minorHAnsi" w:eastAsia="Times New Roman" w:hAnsiTheme="minorHAnsi" w:cs="Arial"/>
                <w:spacing w:val="-4"/>
                <w:sz w:val="20"/>
                <w:szCs w:val="20"/>
                <w:lang w:val="fr-FR" w:eastAsia="en-GB"/>
              </w:rPr>
              <w:t>ber</w:t>
            </w:r>
            <w:proofErr w:type="spellEnd"/>
            <w:r w:rsidRPr="009C28D8">
              <w:rPr>
                <w:rFonts w:asciiTheme="minorHAnsi" w:eastAsia="Times New Roman" w:hAnsiTheme="minorHAnsi" w:cs="Arial"/>
                <w:spacing w:val="-4"/>
                <w:sz w:val="20"/>
                <w:szCs w:val="20"/>
                <w:lang w:val="fr-FR" w:eastAsia="en-GB"/>
              </w:rPr>
              <w:t xml:space="preserve"> </w:t>
            </w:r>
            <w:r w:rsidRPr="001358F5">
              <w:rPr>
                <w:rFonts w:asciiTheme="minorHAnsi" w:eastAsia="Times New Roman" w:hAnsiTheme="minorHAnsi" w:cs="Arial"/>
                <w:spacing w:val="-4"/>
                <w:sz w:val="20"/>
                <w:szCs w:val="20"/>
                <w:lang w:val="fr-FR" w:eastAsia="en-GB"/>
              </w:rPr>
              <w:t>202</w:t>
            </w:r>
            <w:r w:rsidR="00211A70">
              <w:rPr>
                <w:rFonts w:asciiTheme="minorHAnsi" w:eastAsia="Times New Roman" w:hAnsiTheme="minorHAnsi" w:cs="Arial"/>
                <w:spacing w:val="-4"/>
                <w:sz w:val="20"/>
                <w:szCs w:val="20"/>
                <w:lang w:val="fr-FR" w:eastAsia="en-GB"/>
              </w:rPr>
              <w:t>3</w:t>
            </w:r>
            <w:r w:rsidRPr="009C28D8">
              <w:rPr>
                <w:rFonts w:asciiTheme="minorHAnsi" w:eastAsia="Times New Roman" w:hAnsiTheme="minorHAnsi" w:cs="Arial"/>
                <w:spacing w:val="-8"/>
                <w:sz w:val="20"/>
                <w:szCs w:val="20"/>
                <w:lang w:val="es-ES" w:eastAsia="en-GB"/>
              </w:rPr>
              <w:t xml:space="preserve"> </w:t>
            </w:r>
          </w:p>
        </w:tc>
      </w:tr>
      <w:tr w:rsidR="00924861" w:rsidRPr="00941661" w14:paraId="1959B309" w14:textId="77777777" w:rsidTr="00AE368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28" w:type="dxa"/>
            <w:vMerge/>
            <w:tcBorders>
              <w:left w:val="single" w:sz="4" w:space="0" w:color="365F91" w:themeColor="accent1" w:themeShade="BF"/>
              <w:right w:val="single" w:sz="4" w:space="0" w:color="365F91" w:themeColor="accent1" w:themeShade="BF"/>
            </w:tcBorders>
            <w:shd w:val="clear" w:color="auto" w:fill="B8CCE4" w:themeFill="accent1" w:themeFillTint="66"/>
            <w:hideMark/>
          </w:tcPr>
          <w:p w14:paraId="1044B44C" w14:textId="77777777" w:rsidR="00BF0EBE" w:rsidRPr="00D25CEB" w:rsidRDefault="00BF0EBE" w:rsidP="00A70EC8">
            <w:pPr>
              <w:ind w:left="0" w:firstLine="0"/>
              <w:rPr>
                <w:rFonts w:asciiTheme="minorHAnsi" w:hAnsiTheme="minorHAnsi" w:cstheme="minorHAnsi"/>
                <w:sz w:val="20"/>
                <w:szCs w:val="20"/>
                <w:lang w:val="es-ES"/>
              </w:rPr>
            </w:pPr>
          </w:p>
        </w:tc>
        <w:tc>
          <w:tcPr>
            <w:tcW w:w="933"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36C58174" w14:textId="77777777" w:rsidR="00BF0EBE" w:rsidRPr="007C5B06"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spacing w:val="-8"/>
                <w:sz w:val="18"/>
                <w:szCs w:val="18"/>
                <w:lang w:eastAsia="en-GB"/>
              </w:rPr>
            </w:pPr>
            <w:r w:rsidRPr="007C5B06">
              <w:rPr>
                <w:rFonts w:asciiTheme="minorHAnsi" w:eastAsia="Times New Roman" w:hAnsiTheme="minorHAnsi" w:cs="Arial"/>
                <w:b w:val="0"/>
                <w:spacing w:val="-8"/>
                <w:sz w:val="18"/>
                <w:szCs w:val="18"/>
                <w:lang w:eastAsia="en-GB"/>
              </w:rPr>
              <w:t xml:space="preserve">Not received for prior years </w:t>
            </w:r>
          </w:p>
        </w:tc>
        <w:tc>
          <w:tcPr>
            <w:tcW w:w="947"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520421AC" w14:textId="11F42ADB" w:rsidR="00BF0EBE" w:rsidRPr="007C5B06"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spacing w:val="-8"/>
                <w:sz w:val="18"/>
                <w:szCs w:val="20"/>
                <w:lang w:eastAsia="en-GB"/>
              </w:rPr>
            </w:pPr>
            <w:r w:rsidRPr="00FC24FB">
              <w:rPr>
                <w:rFonts w:asciiTheme="minorHAnsi" w:eastAsia="Times New Roman" w:hAnsiTheme="minorHAnsi" w:cs="Arial"/>
                <w:b w:val="0"/>
                <w:spacing w:val="-8"/>
                <w:sz w:val="18"/>
                <w:szCs w:val="18"/>
                <w:lang w:eastAsia="en-GB"/>
              </w:rPr>
              <w:t>Anticipated for 202</w:t>
            </w:r>
            <w:r w:rsidR="00211A70">
              <w:rPr>
                <w:rFonts w:asciiTheme="minorHAnsi" w:eastAsia="Times New Roman" w:hAnsiTheme="minorHAnsi" w:cs="Arial"/>
                <w:b w:val="0"/>
                <w:spacing w:val="-8"/>
                <w:sz w:val="18"/>
                <w:szCs w:val="18"/>
                <w:lang w:eastAsia="en-GB"/>
              </w:rPr>
              <w:t>3</w:t>
            </w:r>
            <w:r w:rsidRPr="00FC24FB">
              <w:rPr>
                <w:rFonts w:asciiTheme="minorHAnsi" w:eastAsia="Times New Roman" w:hAnsiTheme="minorHAnsi" w:cs="Arial"/>
                <w:b w:val="0"/>
                <w:spacing w:val="-8"/>
                <w:sz w:val="18"/>
                <w:szCs w:val="18"/>
                <w:lang w:eastAsia="en-GB"/>
              </w:rPr>
              <w:t xml:space="preserve"> </w:t>
            </w:r>
          </w:p>
        </w:tc>
        <w:tc>
          <w:tcPr>
            <w:tcW w:w="920"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038C97DC" w14:textId="77777777" w:rsidR="00BF0EBE" w:rsidRPr="00FC24FB"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spacing w:val="-8"/>
                <w:sz w:val="18"/>
                <w:szCs w:val="18"/>
                <w:lang w:val="fr-FR" w:eastAsia="en-GB"/>
              </w:rPr>
            </w:pPr>
            <w:proofErr w:type="spellStart"/>
            <w:r w:rsidRPr="00FC24FB">
              <w:rPr>
                <w:rFonts w:asciiTheme="minorHAnsi" w:eastAsia="Times New Roman" w:hAnsiTheme="minorHAnsi" w:cs="Arial"/>
                <w:b w:val="0"/>
                <w:spacing w:val="-8"/>
                <w:sz w:val="18"/>
                <w:szCs w:val="18"/>
                <w:lang w:val="fr-FR" w:eastAsia="en-GB"/>
              </w:rPr>
              <w:t>Paid</w:t>
            </w:r>
            <w:proofErr w:type="spellEnd"/>
            <w:r w:rsidRPr="00FC24FB">
              <w:rPr>
                <w:rFonts w:asciiTheme="minorHAnsi" w:eastAsia="Times New Roman" w:hAnsiTheme="minorHAnsi" w:cs="Arial"/>
                <w:b w:val="0"/>
                <w:spacing w:val="-8"/>
                <w:sz w:val="18"/>
                <w:szCs w:val="18"/>
                <w:lang w:val="fr-FR" w:eastAsia="en-GB"/>
              </w:rPr>
              <w:t xml:space="preserve"> for future </w:t>
            </w:r>
            <w:proofErr w:type="spellStart"/>
            <w:r w:rsidRPr="00FC24FB">
              <w:rPr>
                <w:rFonts w:asciiTheme="minorHAnsi" w:eastAsia="Times New Roman" w:hAnsiTheme="minorHAnsi" w:cs="Arial"/>
                <w:b w:val="0"/>
                <w:spacing w:val="-8"/>
                <w:sz w:val="18"/>
                <w:szCs w:val="18"/>
                <w:lang w:val="fr-FR" w:eastAsia="en-GB"/>
              </w:rPr>
              <w:t>years</w:t>
            </w:r>
            <w:proofErr w:type="spellEnd"/>
            <w:r w:rsidRPr="00FC24FB">
              <w:rPr>
                <w:rFonts w:asciiTheme="minorHAnsi" w:eastAsia="Times New Roman" w:hAnsiTheme="minorHAnsi" w:cs="Arial"/>
                <w:b w:val="0"/>
                <w:spacing w:val="-8"/>
                <w:sz w:val="18"/>
                <w:szCs w:val="18"/>
                <w:lang w:val="fr-FR" w:eastAsia="en-GB"/>
              </w:rPr>
              <w:t xml:space="preserve"> </w:t>
            </w:r>
          </w:p>
        </w:tc>
        <w:tc>
          <w:tcPr>
            <w:tcW w:w="933"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43AA7444" w14:textId="77777777" w:rsidR="00BF0EBE" w:rsidRPr="007C5B06"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pacing w:val="-8"/>
                <w:sz w:val="18"/>
                <w:szCs w:val="18"/>
                <w:lang w:val="fr-FR" w:eastAsia="en-GB"/>
              </w:rPr>
            </w:pPr>
            <w:r w:rsidRPr="00FC24FB">
              <w:rPr>
                <w:rFonts w:asciiTheme="minorHAnsi" w:eastAsia="Times New Roman" w:hAnsiTheme="minorHAnsi" w:cs="Arial"/>
                <w:b w:val="0"/>
                <w:spacing w:val="-8"/>
                <w:sz w:val="18"/>
                <w:szCs w:val="18"/>
                <w:lang w:val="fr-FR" w:eastAsia="en-GB"/>
              </w:rPr>
              <w:t xml:space="preserve">For </w:t>
            </w:r>
            <w:proofErr w:type="spellStart"/>
            <w:r w:rsidRPr="00FC24FB">
              <w:rPr>
                <w:rFonts w:asciiTheme="minorHAnsi" w:eastAsia="Times New Roman" w:hAnsiTheme="minorHAnsi" w:cs="Arial"/>
                <w:b w:val="0"/>
                <w:spacing w:val="-8"/>
                <w:sz w:val="18"/>
                <w:szCs w:val="18"/>
                <w:lang w:val="fr-FR" w:eastAsia="en-GB"/>
              </w:rPr>
              <w:t>prior</w:t>
            </w:r>
            <w:proofErr w:type="spellEnd"/>
            <w:r w:rsidRPr="00FC24FB">
              <w:rPr>
                <w:rFonts w:asciiTheme="minorHAnsi" w:eastAsia="Times New Roman" w:hAnsiTheme="minorHAnsi" w:cs="Arial"/>
                <w:b w:val="0"/>
                <w:spacing w:val="-8"/>
                <w:sz w:val="18"/>
                <w:szCs w:val="18"/>
                <w:lang w:val="fr-FR" w:eastAsia="en-GB"/>
              </w:rPr>
              <w:t xml:space="preserve"> </w:t>
            </w:r>
            <w:proofErr w:type="spellStart"/>
            <w:r w:rsidRPr="00FC24FB">
              <w:rPr>
                <w:rFonts w:asciiTheme="minorHAnsi" w:eastAsia="Times New Roman" w:hAnsiTheme="minorHAnsi" w:cs="Arial"/>
                <w:b w:val="0"/>
                <w:spacing w:val="-8"/>
                <w:sz w:val="18"/>
                <w:szCs w:val="18"/>
                <w:lang w:val="fr-FR" w:eastAsia="en-GB"/>
              </w:rPr>
              <w:t>years</w:t>
            </w:r>
            <w:proofErr w:type="spellEnd"/>
          </w:p>
        </w:tc>
        <w:tc>
          <w:tcPr>
            <w:tcW w:w="982"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7D3B2805" w14:textId="5F1CC516" w:rsidR="00BF0EBE" w:rsidRPr="007C5B06"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val="fr-FR" w:eastAsia="en-GB"/>
              </w:rPr>
            </w:pPr>
            <w:r w:rsidRPr="00FC24FB">
              <w:rPr>
                <w:rFonts w:asciiTheme="minorHAnsi" w:eastAsia="Times New Roman" w:hAnsiTheme="minorHAnsi" w:cs="Arial"/>
                <w:b w:val="0"/>
                <w:spacing w:val="-8"/>
                <w:sz w:val="18"/>
                <w:szCs w:val="18"/>
                <w:lang w:val="fr-FR" w:eastAsia="en-GB"/>
              </w:rPr>
              <w:t>For 202</w:t>
            </w:r>
            <w:r w:rsidR="00211A70">
              <w:rPr>
                <w:rFonts w:asciiTheme="minorHAnsi" w:eastAsia="Times New Roman" w:hAnsiTheme="minorHAnsi" w:cs="Arial"/>
                <w:b w:val="0"/>
                <w:spacing w:val="-8"/>
                <w:sz w:val="18"/>
                <w:szCs w:val="18"/>
                <w:lang w:val="fr-FR" w:eastAsia="en-GB"/>
              </w:rPr>
              <w:t>3</w:t>
            </w:r>
          </w:p>
        </w:tc>
        <w:tc>
          <w:tcPr>
            <w:tcW w:w="885"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617B476B" w14:textId="77777777" w:rsidR="00BF0EBE" w:rsidRPr="007C5B06"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val="fr-FR" w:eastAsia="en-GB"/>
              </w:rPr>
            </w:pPr>
            <w:r w:rsidRPr="00FC24FB">
              <w:rPr>
                <w:rFonts w:asciiTheme="minorHAnsi" w:eastAsia="Times New Roman" w:hAnsiTheme="minorHAnsi" w:cs="Arial"/>
                <w:b w:val="0"/>
                <w:spacing w:val="-8"/>
                <w:sz w:val="18"/>
                <w:szCs w:val="18"/>
                <w:lang w:val="fr-FR" w:eastAsia="en-GB"/>
              </w:rPr>
              <w:t xml:space="preserve">For future </w:t>
            </w:r>
            <w:proofErr w:type="spellStart"/>
            <w:r w:rsidRPr="00FC24FB">
              <w:rPr>
                <w:rFonts w:asciiTheme="minorHAnsi" w:eastAsia="Times New Roman" w:hAnsiTheme="minorHAnsi" w:cs="Arial"/>
                <w:b w:val="0"/>
                <w:spacing w:val="-8"/>
                <w:sz w:val="18"/>
                <w:szCs w:val="18"/>
                <w:lang w:val="fr-FR" w:eastAsia="en-GB"/>
              </w:rPr>
              <w:t>years</w:t>
            </w:r>
            <w:proofErr w:type="spellEnd"/>
          </w:p>
        </w:tc>
        <w:tc>
          <w:tcPr>
            <w:tcW w:w="933"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516FBA99" w14:textId="77777777" w:rsidR="00BF0EBE" w:rsidRPr="007C5B06"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pacing w:val="-8"/>
                <w:sz w:val="18"/>
                <w:szCs w:val="18"/>
                <w:lang w:eastAsia="en-GB"/>
              </w:rPr>
            </w:pPr>
            <w:r w:rsidRPr="007C5B06">
              <w:rPr>
                <w:rFonts w:asciiTheme="minorHAnsi" w:eastAsia="Times New Roman" w:hAnsiTheme="minorHAnsi" w:cs="Arial"/>
                <w:b w:val="0"/>
                <w:spacing w:val="-8"/>
                <w:sz w:val="18"/>
                <w:szCs w:val="18"/>
                <w:lang w:eastAsia="en-GB"/>
              </w:rPr>
              <w:t>Not received for prior years</w:t>
            </w:r>
          </w:p>
        </w:tc>
        <w:tc>
          <w:tcPr>
            <w:tcW w:w="93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46565A8B" w14:textId="3BEEB6C9" w:rsidR="00BF0EBE" w:rsidRPr="007C5B06"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eastAsia="en-GB"/>
              </w:rPr>
            </w:pPr>
            <w:r w:rsidRPr="00FC24FB">
              <w:rPr>
                <w:rFonts w:asciiTheme="minorHAnsi" w:eastAsia="Times New Roman" w:hAnsiTheme="minorHAnsi" w:cs="Arial"/>
                <w:b w:val="0"/>
                <w:spacing w:val="-8"/>
                <w:sz w:val="18"/>
                <w:szCs w:val="18"/>
                <w:lang w:eastAsia="en-GB"/>
              </w:rPr>
              <w:t xml:space="preserve">Not received for </w:t>
            </w:r>
            <w:r w:rsidR="00211A70" w:rsidRPr="00FC24FB">
              <w:rPr>
                <w:rFonts w:asciiTheme="minorHAnsi" w:eastAsia="Times New Roman" w:hAnsiTheme="minorHAnsi" w:cs="Arial"/>
                <w:b w:val="0"/>
                <w:spacing w:val="-8"/>
                <w:sz w:val="18"/>
                <w:szCs w:val="18"/>
                <w:lang w:eastAsia="en-GB"/>
              </w:rPr>
              <w:t>202</w:t>
            </w:r>
            <w:r w:rsidR="00211A70">
              <w:rPr>
                <w:rFonts w:asciiTheme="minorHAnsi" w:eastAsia="Times New Roman" w:hAnsiTheme="minorHAnsi" w:cs="Arial"/>
                <w:b w:val="0"/>
                <w:spacing w:val="-8"/>
                <w:sz w:val="18"/>
                <w:szCs w:val="18"/>
                <w:lang w:eastAsia="en-GB"/>
              </w:rPr>
              <w:t>3</w:t>
            </w:r>
          </w:p>
        </w:tc>
        <w:tc>
          <w:tcPr>
            <w:tcW w:w="934"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79DC73F7" w14:textId="77777777" w:rsidR="00BF0EBE" w:rsidRPr="007C5B06" w:rsidRDefault="00BF0EBE"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eastAsia="en-GB"/>
              </w:rPr>
            </w:pPr>
            <w:r w:rsidRPr="00FC24FB">
              <w:rPr>
                <w:rFonts w:asciiTheme="minorHAnsi" w:eastAsia="Times New Roman" w:hAnsiTheme="minorHAnsi" w:cs="Arial"/>
                <w:b w:val="0"/>
                <w:spacing w:val="-8"/>
                <w:sz w:val="18"/>
                <w:szCs w:val="18"/>
                <w:lang w:eastAsia="en-GB"/>
              </w:rPr>
              <w:t>Received for future years</w:t>
            </w:r>
          </w:p>
        </w:tc>
      </w:tr>
      <w:tr w:rsidR="00773BE0" w:rsidRPr="00C07416" w14:paraId="2DD82866"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top w:val="single" w:sz="4" w:space="0" w:color="365F91" w:themeColor="accent1" w:themeShade="BF"/>
              <w:left w:val="single" w:sz="4" w:space="0" w:color="365F91" w:themeColor="accent1" w:themeShade="BF"/>
              <w:right w:val="single" w:sz="4" w:space="0" w:color="365F91" w:themeColor="accent1" w:themeShade="BF"/>
            </w:tcBorders>
            <w:noWrap/>
          </w:tcPr>
          <w:p w14:paraId="724BCE1A"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Albania</w:t>
            </w:r>
          </w:p>
        </w:tc>
        <w:tc>
          <w:tcPr>
            <w:tcW w:w="933" w:type="dxa"/>
            <w:tcBorders>
              <w:top w:val="single" w:sz="4" w:space="0" w:color="365F91" w:themeColor="accent1" w:themeShade="BF"/>
              <w:left w:val="single" w:sz="4" w:space="0" w:color="365F91" w:themeColor="accent1" w:themeShade="BF"/>
            </w:tcBorders>
          </w:tcPr>
          <w:p w14:paraId="612EBF18" w14:textId="7A96474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Borders>
              <w:top w:val="single" w:sz="4" w:space="0" w:color="auto"/>
            </w:tcBorders>
          </w:tcPr>
          <w:p w14:paraId="5965DB1A" w14:textId="7238512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top w:val="single" w:sz="4" w:space="0" w:color="365F91" w:themeColor="accent1" w:themeShade="BF"/>
              <w:right w:val="single" w:sz="4" w:space="0" w:color="365F91" w:themeColor="accent1" w:themeShade="BF"/>
            </w:tcBorders>
          </w:tcPr>
          <w:p w14:paraId="3393570D" w14:textId="758DCBA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top w:val="single" w:sz="4" w:space="0" w:color="365F91" w:themeColor="accent1" w:themeShade="BF"/>
              <w:left w:val="single" w:sz="4" w:space="0" w:color="365F91" w:themeColor="accent1" w:themeShade="BF"/>
            </w:tcBorders>
          </w:tcPr>
          <w:p w14:paraId="367F6910" w14:textId="5BCBF14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Borders>
              <w:top w:val="single" w:sz="4" w:space="0" w:color="365F91" w:themeColor="accent1" w:themeShade="BF"/>
            </w:tcBorders>
          </w:tcPr>
          <w:p w14:paraId="50EE4E66" w14:textId="39F448F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top w:val="single" w:sz="4" w:space="0" w:color="365F91" w:themeColor="accent1" w:themeShade="BF"/>
              <w:right w:val="single" w:sz="4" w:space="0" w:color="365F91" w:themeColor="accent1" w:themeShade="BF"/>
            </w:tcBorders>
          </w:tcPr>
          <w:p w14:paraId="614272BF" w14:textId="6BA04EE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top w:val="single" w:sz="4" w:space="0" w:color="365F91" w:themeColor="accent1" w:themeShade="BF"/>
              <w:left w:val="single" w:sz="4" w:space="0" w:color="365F91" w:themeColor="accent1" w:themeShade="BF"/>
            </w:tcBorders>
          </w:tcPr>
          <w:p w14:paraId="4D390578" w14:textId="0000A51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top w:val="single" w:sz="4" w:space="0" w:color="365F91" w:themeColor="accent1" w:themeShade="BF"/>
            </w:tcBorders>
          </w:tcPr>
          <w:p w14:paraId="1F939EA4" w14:textId="33CAA98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top w:val="single" w:sz="4" w:space="0" w:color="365F91" w:themeColor="accent1" w:themeShade="BF"/>
              <w:right w:val="single" w:sz="4" w:space="0" w:color="365F91" w:themeColor="accent1" w:themeShade="BF"/>
            </w:tcBorders>
          </w:tcPr>
          <w:p w14:paraId="7D39CF71" w14:textId="00D6FDD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57C7D27"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8929EC1"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Algeria</w:t>
            </w:r>
          </w:p>
        </w:tc>
        <w:tc>
          <w:tcPr>
            <w:tcW w:w="933" w:type="dxa"/>
            <w:tcBorders>
              <w:left w:val="single" w:sz="4" w:space="0" w:color="365F91" w:themeColor="accent1" w:themeShade="BF"/>
            </w:tcBorders>
          </w:tcPr>
          <w:p w14:paraId="0BE139D1" w14:textId="52D4AED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5A73C963" w14:textId="44436AF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5,337 </w:t>
            </w:r>
          </w:p>
        </w:tc>
        <w:tc>
          <w:tcPr>
            <w:tcW w:w="920" w:type="dxa"/>
            <w:tcBorders>
              <w:right w:val="single" w:sz="4" w:space="0" w:color="365F91" w:themeColor="accent1" w:themeShade="BF"/>
            </w:tcBorders>
          </w:tcPr>
          <w:p w14:paraId="2701B93A" w14:textId="696C096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82BACE2" w14:textId="70B2B08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E94002B" w14:textId="122B16A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5,337 </w:t>
            </w:r>
          </w:p>
        </w:tc>
        <w:tc>
          <w:tcPr>
            <w:tcW w:w="885" w:type="dxa"/>
            <w:tcBorders>
              <w:right w:val="single" w:sz="4" w:space="0" w:color="365F91" w:themeColor="accent1" w:themeShade="BF"/>
            </w:tcBorders>
          </w:tcPr>
          <w:p w14:paraId="5ED72F96" w14:textId="1A10652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0496FA7" w14:textId="0204446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C4D0B33" w14:textId="78C1241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52B3597A" w14:textId="24919BA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359CF0A9"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3DA2738"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Andorra</w:t>
            </w:r>
          </w:p>
        </w:tc>
        <w:tc>
          <w:tcPr>
            <w:tcW w:w="933" w:type="dxa"/>
            <w:tcBorders>
              <w:left w:val="single" w:sz="4" w:space="0" w:color="365F91" w:themeColor="accent1" w:themeShade="BF"/>
            </w:tcBorders>
          </w:tcPr>
          <w:p w14:paraId="731F7851" w14:textId="010D7A2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47" w:type="dxa"/>
          </w:tcPr>
          <w:p w14:paraId="1957A7A0" w14:textId="7D135F1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2C663B0" w14:textId="6B33CF0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FEB4A7B" w14:textId="3D9ACEB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82" w:type="dxa"/>
          </w:tcPr>
          <w:p w14:paraId="2095079C" w14:textId="76F8DD6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1051A49F" w14:textId="4451B41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7251D0A" w14:textId="0D76DF4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5D7C1BA" w14:textId="245F6E9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512FE625" w14:textId="7B907BE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AD2F0CD"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0C9475A"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Angola</w:t>
            </w:r>
          </w:p>
        </w:tc>
        <w:tc>
          <w:tcPr>
            <w:tcW w:w="933" w:type="dxa"/>
            <w:tcBorders>
              <w:left w:val="single" w:sz="4" w:space="0" w:color="365F91" w:themeColor="accent1" w:themeShade="BF"/>
            </w:tcBorders>
          </w:tcPr>
          <w:p w14:paraId="24C33E3C" w14:textId="70EE993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47" w:type="dxa"/>
          </w:tcPr>
          <w:p w14:paraId="713744E8" w14:textId="0C79EC9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05B7290" w14:textId="3C771E1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F46E8EF" w14:textId="40C98CF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E6304F2" w14:textId="0F32370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7C195F4" w14:textId="1474CF3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8A2638A" w14:textId="603E777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3" w:type="dxa"/>
          </w:tcPr>
          <w:p w14:paraId="08D1A44A" w14:textId="577A5EE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6D9867CC" w14:textId="0C96DC9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60793ED"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96CAD55"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Antigua and Barbuda</w:t>
            </w:r>
          </w:p>
        </w:tc>
        <w:tc>
          <w:tcPr>
            <w:tcW w:w="933" w:type="dxa"/>
            <w:tcBorders>
              <w:left w:val="single" w:sz="4" w:space="0" w:color="365F91" w:themeColor="accent1" w:themeShade="BF"/>
            </w:tcBorders>
          </w:tcPr>
          <w:p w14:paraId="39426CF2" w14:textId="12997A8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15,000 </w:t>
            </w:r>
          </w:p>
        </w:tc>
        <w:tc>
          <w:tcPr>
            <w:tcW w:w="947" w:type="dxa"/>
          </w:tcPr>
          <w:p w14:paraId="445A5C4D" w14:textId="24FF4A1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993CE63" w14:textId="70C935A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66192B2" w14:textId="721C52C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8456B44" w14:textId="43A1B4E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A30D6CF" w14:textId="2DA4E1F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EADAB80" w14:textId="297CE25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15,000 </w:t>
            </w:r>
          </w:p>
        </w:tc>
        <w:tc>
          <w:tcPr>
            <w:tcW w:w="933" w:type="dxa"/>
          </w:tcPr>
          <w:p w14:paraId="07992159" w14:textId="370342B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18A110A0" w14:textId="1323925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007F127"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BC2E815"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Argentina</w:t>
            </w:r>
          </w:p>
        </w:tc>
        <w:tc>
          <w:tcPr>
            <w:tcW w:w="933" w:type="dxa"/>
            <w:tcBorders>
              <w:left w:val="single" w:sz="4" w:space="0" w:color="365F91" w:themeColor="accent1" w:themeShade="BF"/>
            </w:tcBorders>
          </w:tcPr>
          <w:p w14:paraId="1F4E2035" w14:textId="56B2EDD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79,990 </w:t>
            </w:r>
          </w:p>
        </w:tc>
        <w:tc>
          <w:tcPr>
            <w:tcW w:w="947" w:type="dxa"/>
          </w:tcPr>
          <w:p w14:paraId="13365C09" w14:textId="295B858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35,204 </w:t>
            </w:r>
          </w:p>
        </w:tc>
        <w:tc>
          <w:tcPr>
            <w:tcW w:w="920" w:type="dxa"/>
            <w:tcBorders>
              <w:right w:val="single" w:sz="4" w:space="0" w:color="365F91" w:themeColor="accent1" w:themeShade="BF"/>
            </w:tcBorders>
          </w:tcPr>
          <w:p w14:paraId="27758363" w14:textId="371E9B3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23E36B1" w14:textId="2C3604B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7C51A51" w14:textId="2F5EE77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F8F4C20" w14:textId="66E2D96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7683208" w14:textId="27BA68E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79,990 </w:t>
            </w:r>
          </w:p>
        </w:tc>
        <w:tc>
          <w:tcPr>
            <w:tcW w:w="933" w:type="dxa"/>
          </w:tcPr>
          <w:p w14:paraId="63541E8B" w14:textId="3558549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35,204 </w:t>
            </w:r>
          </w:p>
        </w:tc>
        <w:tc>
          <w:tcPr>
            <w:tcW w:w="934" w:type="dxa"/>
            <w:tcBorders>
              <w:right w:val="single" w:sz="4" w:space="0" w:color="365F91" w:themeColor="accent1" w:themeShade="BF"/>
            </w:tcBorders>
          </w:tcPr>
          <w:p w14:paraId="2D2498D5" w14:textId="18B3094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E6A62A2"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BBB53D5"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Armenia</w:t>
            </w:r>
          </w:p>
        </w:tc>
        <w:tc>
          <w:tcPr>
            <w:tcW w:w="933" w:type="dxa"/>
            <w:tcBorders>
              <w:left w:val="single" w:sz="4" w:space="0" w:color="365F91" w:themeColor="accent1" w:themeShade="BF"/>
            </w:tcBorders>
          </w:tcPr>
          <w:p w14:paraId="5C8C1D85" w14:textId="2778383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06555CFF" w14:textId="4A10A79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3DD68C6" w14:textId="7BFAF68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0092802" w14:textId="65D026E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A50916B" w14:textId="7D715CF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2FE794A8" w14:textId="01090D1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23EC240" w14:textId="5346C64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CAF0D8F" w14:textId="5D32473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2A7E78B" w14:textId="07DCD2D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513BF972"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256E85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Australia</w:t>
            </w:r>
          </w:p>
        </w:tc>
        <w:tc>
          <w:tcPr>
            <w:tcW w:w="933" w:type="dxa"/>
            <w:tcBorders>
              <w:left w:val="single" w:sz="4" w:space="0" w:color="365F91" w:themeColor="accent1" w:themeShade="BF"/>
            </w:tcBorders>
          </w:tcPr>
          <w:p w14:paraId="6B1B924A" w14:textId="3D90716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BC80E6E" w14:textId="695BF96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103,361 </w:t>
            </w:r>
          </w:p>
        </w:tc>
        <w:tc>
          <w:tcPr>
            <w:tcW w:w="920" w:type="dxa"/>
            <w:tcBorders>
              <w:right w:val="single" w:sz="4" w:space="0" w:color="365F91" w:themeColor="accent1" w:themeShade="BF"/>
            </w:tcBorders>
          </w:tcPr>
          <w:p w14:paraId="64DE5B04" w14:textId="087ABA1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4,710 </w:t>
            </w:r>
          </w:p>
        </w:tc>
        <w:tc>
          <w:tcPr>
            <w:tcW w:w="933" w:type="dxa"/>
            <w:tcBorders>
              <w:left w:val="single" w:sz="4" w:space="0" w:color="365F91" w:themeColor="accent1" w:themeShade="BF"/>
            </w:tcBorders>
          </w:tcPr>
          <w:p w14:paraId="4156861D" w14:textId="67427CA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F63E253" w14:textId="7CB5844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98,651 </w:t>
            </w:r>
          </w:p>
        </w:tc>
        <w:tc>
          <w:tcPr>
            <w:tcW w:w="885" w:type="dxa"/>
            <w:tcBorders>
              <w:right w:val="single" w:sz="4" w:space="0" w:color="365F91" w:themeColor="accent1" w:themeShade="BF"/>
            </w:tcBorders>
          </w:tcPr>
          <w:p w14:paraId="25EE5130" w14:textId="5AA1C2E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103,361 </w:t>
            </w:r>
          </w:p>
        </w:tc>
        <w:tc>
          <w:tcPr>
            <w:tcW w:w="933" w:type="dxa"/>
            <w:tcBorders>
              <w:left w:val="single" w:sz="4" w:space="0" w:color="365F91" w:themeColor="accent1" w:themeShade="BF"/>
            </w:tcBorders>
          </w:tcPr>
          <w:p w14:paraId="42AD5968" w14:textId="0ABE3F6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0F4BC2C0" w14:textId="3F9424F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87AFCAA" w14:textId="315A246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103,361 </w:t>
            </w:r>
          </w:p>
        </w:tc>
      </w:tr>
      <w:tr w:rsidR="00773BE0" w:rsidRPr="00F8347B" w14:paraId="6F8A4897"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4DD75A4"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Austria</w:t>
            </w:r>
          </w:p>
        </w:tc>
        <w:tc>
          <w:tcPr>
            <w:tcW w:w="933" w:type="dxa"/>
            <w:tcBorders>
              <w:left w:val="single" w:sz="4" w:space="0" w:color="365F91" w:themeColor="accent1" w:themeShade="BF"/>
            </w:tcBorders>
          </w:tcPr>
          <w:p w14:paraId="3EF6C548" w14:textId="6A33E1C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BFB378C" w14:textId="636A79D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33,246 </w:t>
            </w:r>
          </w:p>
        </w:tc>
        <w:tc>
          <w:tcPr>
            <w:tcW w:w="920" w:type="dxa"/>
            <w:tcBorders>
              <w:right w:val="single" w:sz="4" w:space="0" w:color="365F91" w:themeColor="accent1" w:themeShade="BF"/>
            </w:tcBorders>
          </w:tcPr>
          <w:p w14:paraId="0F8EA7EA" w14:textId="06D2384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ECC7C5E" w14:textId="49C5D49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5CC237A" w14:textId="45793B5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33,246 </w:t>
            </w:r>
          </w:p>
        </w:tc>
        <w:tc>
          <w:tcPr>
            <w:tcW w:w="885" w:type="dxa"/>
            <w:tcBorders>
              <w:right w:val="single" w:sz="4" w:space="0" w:color="365F91" w:themeColor="accent1" w:themeShade="BF"/>
            </w:tcBorders>
          </w:tcPr>
          <w:p w14:paraId="7379C693" w14:textId="56E6189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1C3EBA4" w14:textId="544A94E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433BE54" w14:textId="4C401EC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0198EDC" w14:textId="77C002E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36B2F217"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70FAB51"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Azerbaijan</w:t>
            </w:r>
          </w:p>
        </w:tc>
        <w:tc>
          <w:tcPr>
            <w:tcW w:w="933" w:type="dxa"/>
            <w:tcBorders>
              <w:left w:val="single" w:sz="4" w:space="0" w:color="365F91" w:themeColor="accent1" w:themeShade="BF"/>
            </w:tcBorders>
          </w:tcPr>
          <w:p w14:paraId="1F2BF741" w14:textId="1C3C3CC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4B92E42" w14:textId="4DF43E4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1,469 </w:t>
            </w:r>
          </w:p>
        </w:tc>
        <w:tc>
          <w:tcPr>
            <w:tcW w:w="920" w:type="dxa"/>
            <w:tcBorders>
              <w:right w:val="single" w:sz="4" w:space="0" w:color="365F91" w:themeColor="accent1" w:themeShade="BF"/>
            </w:tcBorders>
          </w:tcPr>
          <w:p w14:paraId="7F309C46" w14:textId="2E0665D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6E824D7" w14:textId="467EA5F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2DA05E1" w14:textId="03B247B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1,469 </w:t>
            </w:r>
          </w:p>
        </w:tc>
        <w:tc>
          <w:tcPr>
            <w:tcW w:w="885" w:type="dxa"/>
            <w:tcBorders>
              <w:right w:val="single" w:sz="4" w:space="0" w:color="365F91" w:themeColor="accent1" w:themeShade="BF"/>
            </w:tcBorders>
          </w:tcPr>
          <w:p w14:paraId="51203DF0" w14:textId="6976979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CF4F8AD" w14:textId="05A260B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3CF4F28B" w14:textId="4164EC5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C099557" w14:textId="57CB0D8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F7BEDD4"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9FE1AC6"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Bahamas</w:t>
            </w:r>
          </w:p>
        </w:tc>
        <w:tc>
          <w:tcPr>
            <w:tcW w:w="933" w:type="dxa"/>
            <w:tcBorders>
              <w:left w:val="single" w:sz="4" w:space="0" w:color="365F91" w:themeColor="accent1" w:themeShade="BF"/>
            </w:tcBorders>
          </w:tcPr>
          <w:p w14:paraId="7455DD2B" w14:textId="23D405E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D12A027" w14:textId="17F28E4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E96B070" w14:textId="4F486E0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5FBA257" w14:textId="28B25D5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18F9B94" w14:textId="5DB36EB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3D504A8B" w14:textId="47AACDA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C487ECD" w14:textId="7EA0467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435632E" w14:textId="65BC82B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5F2A93FB" w14:textId="0BF0BDB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59436601"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05FE290"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Bahrain</w:t>
            </w:r>
          </w:p>
        </w:tc>
        <w:tc>
          <w:tcPr>
            <w:tcW w:w="933" w:type="dxa"/>
            <w:tcBorders>
              <w:left w:val="single" w:sz="4" w:space="0" w:color="365F91" w:themeColor="accent1" w:themeShade="BF"/>
            </w:tcBorders>
          </w:tcPr>
          <w:p w14:paraId="09839498" w14:textId="2DAAF7A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2,844 </w:t>
            </w:r>
          </w:p>
        </w:tc>
        <w:tc>
          <w:tcPr>
            <w:tcW w:w="947" w:type="dxa"/>
          </w:tcPr>
          <w:p w14:paraId="17E83C60" w14:textId="12EB001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2,644 </w:t>
            </w:r>
          </w:p>
        </w:tc>
        <w:tc>
          <w:tcPr>
            <w:tcW w:w="920" w:type="dxa"/>
            <w:tcBorders>
              <w:right w:val="single" w:sz="4" w:space="0" w:color="365F91" w:themeColor="accent1" w:themeShade="BF"/>
            </w:tcBorders>
          </w:tcPr>
          <w:p w14:paraId="4360E858" w14:textId="5C6FE81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7BE5E05" w14:textId="4C28BEB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2,844 </w:t>
            </w:r>
          </w:p>
        </w:tc>
        <w:tc>
          <w:tcPr>
            <w:tcW w:w="982" w:type="dxa"/>
          </w:tcPr>
          <w:p w14:paraId="5D29CECA" w14:textId="5229109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2,644 </w:t>
            </w:r>
          </w:p>
        </w:tc>
        <w:tc>
          <w:tcPr>
            <w:tcW w:w="885" w:type="dxa"/>
            <w:tcBorders>
              <w:right w:val="single" w:sz="4" w:space="0" w:color="365F91" w:themeColor="accent1" w:themeShade="BF"/>
            </w:tcBorders>
          </w:tcPr>
          <w:p w14:paraId="27EF07A8" w14:textId="0C6EBE8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8057D91" w14:textId="0F90586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5AEECBC" w14:textId="2F9C179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2BC9F98" w14:textId="12421A8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2B534445"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9AD21C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Bangladesh</w:t>
            </w:r>
          </w:p>
        </w:tc>
        <w:tc>
          <w:tcPr>
            <w:tcW w:w="933" w:type="dxa"/>
            <w:tcBorders>
              <w:left w:val="single" w:sz="4" w:space="0" w:color="365F91" w:themeColor="accent1" w:themeShade="BF"/>
            </w:tcBorders>
          </w:tcPr>
          <w:p w14:paraId="51F4F0CF" w14:textId="0D01887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CC70D2A" w14:textId="0EDDE12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3B50E78A" w14:textId="7113626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9CF6676" w14:textId="0FB3872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49A81BB" w14:textId="7553B1F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066F93A4" w14:textId="26DF145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17FB09B" w14:textId="571B3B4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AA6DC5D" w14:textId="4ABDA9B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E609C27" w14:textId="6924E80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57217A65"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46EE0D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Barbados</w:t>
            </w:r>
          </w:p>
        </w:tc>
        <w:tc>
          <w:tcPr>
            <w:tcW w:w="933" w:type="dxa"/>
            <w:tcBorders>
              <w:left w:val="single" w:sz="4" w:space="0" w:color="365F91" w:themeColor="accent1" w:themeShade="BF"/>
            </w:tcBorders>
          </w:tcPr>
          <w:p w14:paraId="1CB3C101" w14:textId="47E591B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70003FD" w14:textId="4D13A5B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6A5E115" w14:textId="05C8687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4B8AE74" w14:textId="745B9B8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C099172" w14:textId="796A7A2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61DC59D" w14:textId="04DC605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F32F3F8" w14:textId="1569ACE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0C66C6D" w14:textId="121BAB1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373A6AD7" w14:textId="4A800EB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13327A24"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A6148B0"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Belarus</w:t>
            </w:r>
          </w:p>
        </w:tc>
        <w:tc>
          <w:tcPr>
            <w:tcW w:w="933" w:type="dxa"/>
            <w:tcBorders>
              <w:left w:val="single" w:sz="4" w:space="0" w:color="365F91" w:themeColor="accent1" w:themeShade="BF"/>
            </w:tcBorders>
          </w:tcPr>
          <w:p w14:paraId="412E532A" w14:textId="2DC054A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48 </w:t>
            </w:r>
          </w:p>
        </w:tc>
        <w:tc>
          <w:tcPr>
            <w:tcW w:w="947" w:type="dxa"/>
          </w:tcPr>
          <w:p w14:paraId="29395A2F" w14:textId="467C2E8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2,007 </w:t>
            </w:r>
          </w:p>
        </w:tc>
        <w:tc>
          <w:tcPr>
            <w:tcW w:w="920" w:type="dxa"/>
            <w:tcBorders>
              <w:right w:val="single" w:sz="4" w:space="0" w:color="365F91" w:themeColor="accent1" w:themeShade="BF"/>
            </w:tcBorders>
          </w:tcPr>
          <w:p w14:paraId="18459471" w14:textId="2512FE0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05C84F3" w14:textId="64A79FA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48 </w:t>
            </w:r>
          </w:p>
        </w:tc>
        <w:tc>
          <w:tcPr>
            <w:tcW w:w="982" w:type="dxa"/>
          </w:tcPr>
          <w:p w14:paraId="38652636" w14:textId="0DA5302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2,007 </w:t>
            </w:r>
          </w:p>
        </w:tc>
        <w:tc>
          <w:tcPr>
            <w:tcW w:w="885" w:type="dxa"/>
            <w:tcBorders>
              <w:right w:val="single" w:sz="4" w:space="0" w:color="365F91" w:themeColor="accent1" w:themeShade="BF"/>
            </w:tcBorders>
          </w:tcPr>
          <w:p w14:paraId="1B77A77B" w14:textId="1534F12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860E68F" w14:textId="2B144CB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879E3BA" w14:textId="44D009B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7222001" w14:textId="7C12316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322839B2"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2847E4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Belgium</w:t>
            </w:r>
          </w:p>
        </w:tc>
        <w:tc>
          <w:tcPr>
            <w:tcW w:w="933" w:type="dxa"/>
            <w:tcBorders>
              <w:left w:val="single" w:sz="4" w:space="0" w:color="365F91" w:themeColor="accent1" w:themeShade="BF"/>
            </w:tcBorders>
          </w:tcPr>
          <w:p w14:paraId="7FEC993E" w14:textId="60FF5BB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2BFD59D" w14:textId="3F6F81E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40,541 </w:t>
            </w:r>
          </w:p>
        </w:tc>
        <w:tc>
          <w:tcPr>
            <w:tcW w:w="920" w:type="dxa"/>
            <w:tcBorders>
              <w:right w:val="single" w:sz="4" w:space="0" w:color="365F91" w:themeColor="accent1" w:themeShade="BF"/>
            </w:tcBorders>
          </w:tcPr>
          <w:p w14:paraId="0472A5B5" w14:textId="33D8759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D4BB0AD" w14:textId="1224959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BC59EDD" w14:textId="208BE3B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40,541 </w:t>
            </w:r>
          </w:p>
        </w:tc>
        <w:tc>
          <w:tcPr>
            <w:tcW w:w="885" w:type="dxa"/>
            <w:tcBorders>
              <w:right w:val="single" w:sz="4" w:space="0" w:color="365F91" w:themeColor="accent1" w:themeShade="BF"/>
            </w:tcBorders>
          </w:tcPr>
          <w:p w14:paraId="076C38BD" w14:textId="31AB310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DC963D4" w14:textId="0F85B69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207AC90" w14:textId="17B968F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B73BD0B" w14:textId="3EFB82A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A5BA197"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C3A2E51"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Belize</w:t>
            </w:r>
          </w:p>
        </w:tc>
        <w:tc>
          <w:tcPr>
            <w:tcW w:w="933" w:type="dxa"/>
            <w:tcBorders>
              <w:left w:val="single" w:sz="4" w:space="0" w:color="365F91" w:themeColor="accent1" w:themeShade="BF"/>
            </w:tcBorders>
          </w:tcPr>
          <w:p w14:paraId="6F0FAC4B" w14:textId="51CEF9E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11,000 </w:t>
            </w:r>
          </w:p>
        </w:tc>
        <w:tc>
          <w:tcPr>
            <w:tcW w:w="947" w:type="dxa"/>
          </w:tcPr>
          <w:p w14:paraId="4751B567" w14:textId="0C55311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4A90982" w14:textId="3B48041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3DE98F2" w14:textId="54D2831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D9E31CA" w14:textId="2AFB9F7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08E8DCDD" w14:textId="12213BC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86DD2E3" w14:textId="1FFDEBF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11,000 </w:t>
            </w:r>
          </w:p>
        </w:tc>
        <w:tc>
          <w:tcPr>
            <w:tcW w:w="933" w:type="dxa"/>
          </w:tcPr>
          <w:p w14:paraId="58404F0A" w14:textId="6B52844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36252726" w14:textId="57A962F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1F65A60C"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852EDF4"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Benin</w:t>
            </w:r>
          </w:p>
        </w:tc>
        <w:tc>
          <w:tcPr>
            <w:tcW w:w="933" w:type="dxa"/>
            <w:tcBorders>
              <w:left w:val="single" w:sz="4" w:space="0" w:color="365F91" w:themeColor="accent1" w:themeShade="BF"/>
            </w:tcBorders>
          </w:tcPr>
          <w:p w14:paraId="607F8A26" w14:textId="1845BEF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47" w:type="dxa"/>
          </w:tcPr>
          <w:p w14:paraId="17E3ABD9" w14:textId="46BB2C5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44467B8" w14:textId="15A205E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F4BC70D" w14:textId="03C9ADD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82" w:type="dxa"/>
          </w:tcPr>
          <w:p w14:paraId="392002F5" w14:textId="6B1EBDA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1C1E448D" w14:textId="155FE5B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2,005 </w:t>
            </w:r>
          </w:p>
        </w:tc>
        <w:tc>
          <w:tcPr>
            <w:tcW w:w="933" w:type="dxa"/>
            <w:tcBorders>
              <w:left w:val="single" w:sz="4" w:space="0" w:color="365F91" w:themeColor="accent1" w:themeShade="BF"/>
            </w:tcBorders>
          </w:tcPr>
          <w:p w14:paraId="50389D01" w14:textId="1AFBD91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6EC09A7" w14:textId="4AC3679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83B20C9" w14:textId="456A2D2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2,005 </w:t>
            </w:r>
          </w:p>
        </w:tc>
      </w:tr>
      <w:tr w:rsidR="00773BE0" w:rsidRPr="00F8347B" w14:paraId="034626BB"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99FEAD6"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Bhutan</w:t>
            </w:r>
          </w:p>
        </w:tc>
        <w:tc>
          <w:tcPr>
            <w:tcW w:w="933" w:type="dxa"/>
            <w:tcBorders>
              <w:left w:val="single" w:sz="4" w:space="0" w:color="365F91" w:themeColor="accent1" w:themeShade="BF"/>
            </w:tcBorders>
          </w:tcPr>
          <w:p w14:paraId="2700CA5E" w14:textId="1553F3F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4603B95" w14:textId="50C2EB5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ADAAF40" w14:textId="60CAA98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2820837" w14:textId="59D6090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181D0EB" w14:textId="0325A78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0C387DEC" w14:textId="569929F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E438333" w14:textId="4CEC5BA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F0D2BC5" w14:textId="2284DB8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2755024E" w14:textId="5DE5A26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7FCB31A"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54896D8"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Bolivia (</w:t>
            </w:r>
            <w:proofErr w:type="spellStart"/>
            <w:r w:rsidRPr="00D25CEB">
              <w:rPr>
                <w:rFonts w:asciiTheme="minorHAnsi" w:hAnsiTheme="minorHAnsi" w:cstheme="minorHAnsi"/>
                <w:sz w:val="20"/>
                <w:szCs w:val="20"/>
              </w:rPr>
              <w:t>Plurinational</w:t>
            </w:r>
            <w:proofErr w:type="spellEnd"/>
            <w:r w:rsidRPr="00D25CEB">
              <w:rPr>
                <w:rFonts w:asciiTheme="minorHAnsi" w:hAnsiTheme="minorHAnsi" w:cstheme="minorHAnsi"/>
                <w:sz w:val="20"/>
                <w:szCs w:val="20"/>
              </w:rPr>
              <w:t xml:space="preserve"> State of)</w:t>
            </w:r>
          </w:p>
        </w:tc>
        <w:tc>
          <w:tcPr>
            <w:tcW w:w="933" w:type="dxa"/>
            <w:tcBorders>
              <w:left w:val="single" w:sz="4" w:space="0" w:color="365F91" w:themeColor="accent1" w:themeShade="BF"/>
            </w:tcBorders>
          </w:tcPr>
          <w:p w14:paraId="3CCFBE2E" w14:textId="4D95232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47" w:type="dxa"/>
          </w:tcPr>
          <w:p w14:paraId="08BFAFCC" w14:textId="6D71D30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3CC7EAB8" w14:textId="42B8864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C8464DE" w14:textId="3C05605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E1E7230" w14:textId="354DA2B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10F7799" w14:textId="7E67969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96C1274" w14:textId="6709692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33" w:type="dxa"/>
          </w:tcPr>
          <w:p w14:paraId="220CDF3C" w14:textId="6F14343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62DCB445" w14:textId="7524188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6363A7AC"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46FC5D6"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Bosnia and Herzegovina</w:t>
            </w:r>
          </w:p>
        </w:tc>
        <w:tc>
          <w:tcPr>
            <w:tcW w:w="933" w:type="dxa"/>
            <w:tcBorders>
              <w:left w:val="single" w:sz="4" w:space="0" w:color="365F91" w:themeColor="accent1" w:themeShade="BF"/>
            </w:tcBorders>
          </w:tcPr>
          <w:p w14:paraId="0F0570F8" w14:textId="04CD679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47" w:type="dxa"/>
          </w:tcPr>
          <w:p w14:paraId="5ECBA5D8" w14:textId="570B7AB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5A641CF" w14:textId="6E6EE80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6378316" w14:textId="2FC7A3C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AAC9125" w14:textId="18E2669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9493472" w14:textId="4086F7F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86DEADC" w14:textId="14E3864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3" w:type="dxa"/>
          </w:tcPr>
          <w:p w14:paraId="7BD7ADB2" w14:textId="77A38A4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1C2F7336" w14:textId="57FC342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1E70D6F"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1244F26"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Botswana</w:t>
            </w:r>
          </w:p>
        </w:tc>
        <w:tc>
          <w:tcPr>
            <w:tcW w:w="933" w:type="dxa"/>
            <w:tcBorders>
              <w:left w:val="single" w:sz="4" w:space="0" w:color="365F91" w:themeColor="accent1" w:themeShade="BF"/>
            </w:tcBorders>
          </w:tcPr>
          <w:p w14:paraId="68FD1A3A" w14:textId="016AD50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50E41077" w14:textId="7A7C35B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8589206" w14:textId="7162C4A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8E6E67E" w14:textId="751E517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D254259" w14:textId="2728418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096F0A41" w14:textId="4E66EF9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3E922C1" w14:textId="5E03923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1E6F000" w14:textId="4A0CE73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3391F815" w14:textId="6C0F6C1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2997DD36"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7FAF999"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Brazil</w:t>
            </w:r>
          </w:p>
        </w:tc>
        <w:tc>
          <w:tcPr>
            <w:tcW w:w="933" w:type="dxa"/>
            <w:tcBorders>
              <w:left w:val="single" w:sz="4" w:space="0" w:color="365F91" w:themeColor="accent1" w:themeShade="BF"/>
            </w:tcBorders>
          </w:tcPr>
          <w:p w14:paraId="124624C0" w14:textId="26B2AE4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171,511 </w:t>
            </w:r>
          </w:p>
        </w:tc>
        <w:tc>
          <w:tcPr>
            <w:tcW w:w="947" w:type="dxa"/>
          </w:tcPr>
          <w:p w14:paraId="27FC8CC7" w14:textId="2FD3F63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98,562 </w:t>
            </w:r>
          </w:p>
        </w:tc>
        <w:tc>
          <w:tcPr>
            <w:tcW w:w="920" w:type="dxa"/>
            <w:tcBorders>
              <w:right w:val="single" w:sz="4" w:space="0" w:color="365F91" w:themeColor="accent1" w:themeShade="BF"/>
            </w:tcBorders>
          </w:tcPr>
          <w:p w14:paraId="1EB17C85" w14:textId="7199667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A02C612" w14:textId="24FC857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171,511 </w:t>
            </w:r>
          </w:p>
        </w:tc>
        <w:tc>
          <w:tcPr>
            <w:tcW w:w="982" w:type="dxa"/>
          </w:tcPr>
          <w:p w14:paraId="77756C83" w14:textId="06994D4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98,562 </w:t>
            </w:r>
          </w:p>
        </w:tc>
        <w:tc>
          <w:tcPr>
            <w:tcW w:w="885" w:type="dxa"/>
            <w:tcBorders>
              <w:right w:val="single" w:sz="4" w:space="0" w:color="365F91" w:themeColor="accent1" w:themeShade="BF"/>
            </w:tcBorders>
          </w:tcPr>
          <w:p w14:paraId="6ED0E4D5" w14:textId="42353F0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EE7BA56" w14:textId="0FBEF06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AE451ED" w14:textId="2B18FCC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2427E563" w14:textId="78A7217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20BE066E"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20E16B7"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Bulgaria</w:t>
            </w:r>
          </w:p>
        </w:tc>
        <w:tc>
          <w:tcPr>
            <w:tcW w:w="933" w:type="dxa"/>
            <w:tcBorders>
              <w:left w:val="single" w:sz="4" w:space="0" w:color="365F91" w:themeColor="accent1" w:themeShade="BF"/>
            </w:tcBorders>
          </w:tcPr>
          <w:p w14:paraId="318A49DE" w14:textId="3EBB6F4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14085E5" w14:textId="37A9C91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2,742 </w:t>
            </w:r>
          </w:p>
        </w:tc>
        <w:tc>
          <w:tcPr>
            <w:tcW w:w="920" w:type="dxa"/>
            <w:tcBorders>
              <w:right w:val="single" w:sz="4" w:space="0" w:color="365F91" w:themeColor="accent1" w:themeShade="BF"/>
            </w:tcBorders>
          </w:tcPr>
          <w:p w14:paraId="435D572A" w14:textId="07947BA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EE5D034" w14:textId="6659938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17154F4" w14:textId="157CBF2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2,742 </w:t>
            </w:r>
          </w:p>
        </w:tc>
        <w:tc>
          <w:tcPr>
            <w:tcW w:w="885" w:type="dxa"/>
            <w:tcBorders>
              <w:right w:val="single" w:sz="4" w:space="0" w:color="365F91" w:themeColor="accent1" w:themeShade="BF"/>
            </w:tcBorders>
          </w:tcPr>
          <w:p w14:paraId="73D4C411" w14:textId="6DBD848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472BF8E" w14:textId="1A92B8B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012B87E0" w14:textId="09C6086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7E085551" w14:textId="0D3CED7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3CDE530"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5096EAC"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Burkina Faso</w:t>
            </w:r>
          </w:p>
        </w:tc>
        <w:tc>
          <w:tcPr>
            <w:tcW w:w="933" w:type="dxa"/>
            <w:tcBorders>
              <w:left w:val="single" w:sz="4" w:space="0" w:color="365F91" w:themeColor="accent1" w:themeShade="BF"/>
            </w:tcBorders>
          </w:tcPr>
          <w:p w14:paraId="45E7859D" w14:textId="756E17A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4,824 </w:t>
            </w:r>
          </w:p>
        </w:tc>
        <w:tc>
          <w:tcPr>
            <w:tcW w:w="947" w:type="dxa"/>
          </w:tcPr>
          <w:p w14:paraId="5DFDBCAA" w14:textId="1B8F9CA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A3B9D6C" w14:textId="6F793A6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C132602" w14:textId="18C1B6A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4,824 </w:t>
            </w:r>
          </w:p>
        </w:tc>
        <w:tc>
          <w:tcPr>
            <w:tcW w:w="982" w:type="dxa"/>
          </w:tcPr>
          <w:p w14:paraId="55A5D22C" w14:textId="5A8880E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557CCBB5" w14:textId="41C6EBA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F9FC3E9" w14:textId="074B1A3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F2B7D5D" w14:textId="6738B04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27529B5" w14:textId="04D0666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87E410E"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CDE3382"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Burundi</w:t>
            </w:r>
          </w:p>
        </w:tc>
        <w:tc>
          <w:tcPr>
            <w:tcW w:w="933" w:type="dxa"/>
            <w:tcBorders>
              <w:left w:val="single" w:sz="4" w:space="0" w:color="365F91" w:themeColor="accent1" w:themeShade="BF"/>
            </w:tcBorders>
          </w:tcPr>
          <w:p w14:paraId="036AF09A" w14:textId="49F5042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8,151 </w:t>
            </w:r>
          </w:p>
        </w:tc>
        <w:tc>
          <w:tcPr>
            <w:tcW w:w="947" w:type="dxa"/>
          </w:tcPr>
          <w:p w14:paraId="389CE66A" w14:textId="57AD801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6403943" w14:textId="361710F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8E1A77E" w14:textId="2DF20F0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82" w:type="dxa"/>
          </w:tcPr>
          <w:p w14:paraId="23E352D5" w14:textId="3A371D5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62ED88D9" w14:textId="6F6E5DD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DA7D402" w14:textId="7813C26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7,151 </w:t>
            </w:r>
          </w:p>
        </w:tc>
        <w:tc>
          <w:tcPr>
            <w:tcW w:w="933" w:type="dxa"/>
          </w:tcPr>
          <w:p w14:paraId="3A7D2F23" w14:textId="2915981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6F862675" w14:textId="3C78D73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59AEB6E"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E9274F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Cabo Verde</w:t>
            </w:r>
          </w:p>
        </w:tc>
        <w:tc>
          <w:tcPr>
            <w:tcW w:w="933" w:type="dxa"/>
            <w:tcBorders>
              <w:left w:val="single" w:sz="4" w:space="0" w:color="365F91" w:themeColor="accent1" w:themeShade="BF"/>
            </w:tcBorders>
          </w:tcPr>
          <w:p w14:paraId="039D7755" w14:textId="02E5348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17,000 </w:t>
            </w:r>
          </w:p>
        </w:tc>
        <w:tc>
          <w:tcPr>
            <w:tcW w:w="947" w:type="dxa"/>
          </w:tcPr>
          <w:p w14:paraId="4AF79E77" w14:textId="2E1D90F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88729FA" w14:textId="3F50013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4622122" w14:textId="7B4C955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39DC981" w14:textId="440B1BE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7481D86" w14:textId="793B38C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4A17859" w14:textId="6FFDF06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17,000 </w:t>
            </w:r>
          </w:p>
        </w:tc>
        <w:tc>
          <w:tcPr>
            <w:tcW w:w="933" w:type="dxa"/>
          </w:tcPr>
          <w:p w14:paraId="11929992" w14:textId="7BFD600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401A2219" w14:textId="425A1C6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949AF7A"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346A656"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Cambodia</w:t>
            </w:r>
          </w:p>
        </w:tc>
        <w:tc>
          <w:tcPr>
            <w:tcW w:w="933" w:type="dxa"/>
            <w:tcBorders>
              <w:left w:val="single" w:sz="4" w:space="0" w:color="365F91" w:themeColor="accent1" w:themeShade="BF"/>
            </w:tcBorders>
          </w:tcPr>
          <w:p w14:paraId="2868271B" w14:textId="16005AE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47" w:type="dxa"/>
          </w:tcPr>
          <w:p w14:paraId="3EB105EF" w14:textId="26AB642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83D7479" w14:textId="182EBE2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8AA06D8" w14:textId="5442CE8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DD571DA" w14:textId="21F975B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07D6274" w14:textId="7A24FC0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536E70F" w14:textId="77E5E55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33" w:type="dxa"/>
          </w:tcPr>
          <w:p w14:paraId="564B325E" w14:textId="499B64F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1DD82D2C" w14:textId="697D1A0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2DB9AEF4"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ADDA187"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Cameroon</w:t>
            </w:r>
          </w:p>
        </w:tc>
        <w:tc>
          <w:tcPr>
            <w:tcW w:w="933" w:type="dxa"/>
            <w:tcBorders>
              <w:left w:val="single" w:sz="4" w:space="0" w:color="365F91" w:themeColor="accent1" w:themeShade="BF"/>
            </w:tcBorders>
          </w:tcPr>
          <w:p w14:paraId="538A9973" w14:textId="7F5CE85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11,247 </w:t>
            </w:r>
          </w:p>
        </w:tc>
        <w:tc>
          <w:tcPr>
            <w:tcW w:w="947" w:type="dxa"/>
          </w:tcPr>
          <w:p w14:paraId="072DAFB7" w14:textId="2A4960D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EBAB846" w14:textId="5C14E3D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C3C497E" w14:textId="28763AE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FDC4E8D" w14:textId="5ABE6A7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1BE40A8" w14:textId="56061F3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AC320CE" w14:textId="43E809E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11,247 </w:t>
            </w:r>
          </w:p>
        </w:tc>
        <w:tc>
          <w:tcPr>
            <w:tcW w:w="933" w:type="dxa"/>
          </w:tcPr>
          <w:p w14:paraId="3ACE6C62" w14:textId="37D087A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1C20B482" w14:textId="55F02BD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0629549"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779844E"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Canada</w:t>
            </w:r>
          </w:p>
        </w:tc>
        <w:tc>
          <w:tcPr>
            <w:tcW w:w="933" w:type="dxa"/>
            <w:tcBorders>
              <w:left w:val="single" w:sz="4" w:space="0" w:color="365F91" w:themeColor="accent1" w:themeShade="BF"/>
            </w:tcBorders>
          </w:tcPr>
          <w:p w14:paraId="1BD590FC" w14:textId="79CEB6B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B27D58E" w14:textId="0A445BA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128,674 </w:t>
            </w:r>
          </w:p>
        </w:tc>
        <w:tc>
          <w:tcPr>
            <w:tcW w:w="920" w:type="dxa"/>
            <w:tcBorders>
              <w:right w:val="single" w:sz="4" w:space="0" w:color="365F91" w:themeColor="accent1" w:themeShade="BF"/>
            </w:tcBorders>
          </w:tcPr>
          <w:p w14:paraId="7238A9C2" w14:textId="7B7BFE8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175,725 </w:t>
            </w:r>
          </w:p>
        </w:tc>
        <w:tc>
          <w:tcPr>
            <w:tcW w:w="933" w:type="dxa"/>
            <w:tcBorders>
              <w:left w:val="single" w:sz="4" w:space="0" w:color="365F91" w:themeColor="accent1" w:themeShade="BF"/>
            </w:tcBorders>
          </w:tcPr>
          <w:p w14:paraId="02D57D61" w14:textId="5EE0BFC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3379621" w14:textId="6F2B53B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6874A0F" w14:textId="6C37ACC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33" w:type="dxa"/>
            <w:tcBorders>
              <w:left w:val="single" w:sz="4" w:space="0" w:color="365F91" w:themeColor="accent1" w:themeShade="BF"/>
            </w:tcBorders>
          </w:tcPr>
          <w:p w14:paraId="5F30D24D" w14:textId="2EEC671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F00BE4B" w14:textId="3E3B057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A9139C9" w14:textId="794D7D9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47,051 </w:t>
            </w:r>
          </w:p>
        </w:tc>
      </w:tr>
      <w:tr w:rsidR="00773BE0" w:rsidRPr="00F8347B" w14:paraId="1B563715"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105CD0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Central African Republic</w:t>
            </w:r>
          </w:p>
        </w:tc>
        <w:tc>
          <w:tcPr>
            <w:tcW w:w="933" w:type="dxa"/>
            <w:tcBorders>
              <w:left w:val="single" w:sz="4" w:space="0" w:color="365F91" w:themeColor="accent1" w:themeShade="BF"/>
            </w:tcBorders>
          </w:tcPr>
          <w:p w14:paraId="3696CE79" w14:textId="2CD8287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4,605 </w:t>
            </w:r>
          </w:p>
        </w:tc>
        <w:tc>
          <w:tcPr>
            <w:tcW w:w="947" w:type="dxa"/>
          </w:tcPr>
          <w:p w14:paraId="527BCCC6" w14:textId="7B95BEB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26BB971" w14:textId="3AC1552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9B62B5F" w14:textId="25EBC21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CAAB726" w14:textId="60826DF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C410C43" w14:textId="06C13C4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6804FE9" w14:textId="3E32355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4,605 </w:t>
            </w:r>
          </w:p>
        </w:tc>
        <w:tc>
          <w:tcPr>
            <w:tcW w:w="933" w:type="dxa"/>
          </w:tcPr>
          <w:p w14:paraId="33869B3A" w14:textId="2734A09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4DFDC408" w14:textId="2900DEB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13EBDEF4"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58BE1BE"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Chad</w:t>
            </w:r>
          </w:p>
        </w:tc>
        <w:tc>
          <w:tcPr>
            <w:tcW w:w="933" w:type="dxa"/>
            <w:tcBorders>
              <w:left w:val="single" w:sz="4" w:space="0" w:color="365F91" w:themeColor="accent1" w:themeShade="BF"/>
            </w:tcBorders>
          </w:tcPr>
          <w:p w14:paraId="726009F1" w14:textId="216C54D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2,155 </w:t>
            </w:r>
          </w:p>
        </w:tc>
        <w:tc>
          <w:tcPr>
            <w:tcW w:w="947" w:type="dxa"/>
          </w:tcPr>
          <w:p w14:paraId="696A4D2C" w14:textId="53FE9CF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E1F7D1B" w14:textId="28C26F3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90F52C6" w14:textId="4631278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BE720DD" w14:textId="66C6801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CE49B32" w14:textId="682D03F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922AFFF" w14:textId="21FD0B9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2,155 </w:t>
            </w:r>
          </w:p>
        </w:tc>
        <w:tc>
          <w:tcPr>
            <w:tcW w:w="933" w:type="dxa"/>
          </w:tcPr>
          <w:p w14:paraId="52C69384" w14:textId="03B388C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7160C8A" w14:textId="19935F7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14BBD9B3"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AD501CB"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Chile</w:t>
            </w:r>
          </w:p>
        </w:tc>
        <w:tc>
          <w:tcPr>
            <w:tcW w:w="933" w:type="dxa"/>
            <w:tcBorders>
              <w:left w:val="single" w:sz="4" w:space="0" w:color="365F91" w:themeColor="accent1" w:themeShade="BF"/>
            </w:tcBorders>
          </w:tcPr>
          <w:p w14:paraId="38B2A9B4" w14:textId="45C10C0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92539E1" w14:textId="19F829B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20,564 </w:t>
            </w:r>
          </w:p>
        </w:tc>
        <w:tc>
          <w:tcPr>
            <w:tcW w:w="920" w:type="dxa"/>
            <w:tcBorders>
              <w:right w:val="single" w:sz="4" w:space="0" w:color="365F91" w:themeColor="accent1" w:themeShade="BF"/>
            </w:tcBorders>
          </w:tcPr>
          <w:p w14:paraId="642A3E42" w14:textId="60640C0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3A35BCB" w14:textId="792EEA4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D055136" w14:textId="17DF397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13,200 </w:t>
            </w:r>
          </w:p>
        </w:tc>
        <w:tc>
          <w:tcPr>
            <w:tcW w:w="885" w:type="dxa"/>
            <w:tcBorders>
              <w:right w:val="single" w:sz="4" w:space="0" w:color="365F91" w:themeColor="accent1" w:themeShade="BF"/>
            </w:tcBorders>
          </w:tcPr>
          <w:p w14:paraId="000975FD" w14:textId="69ABFAD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60017A5" w14:textId="05C40DC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C97D947" w14:textId="4D51AA8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7,364 </w:t>
            </w:r>
          </w:p>
        </w:tc>
        <w:tc>
          <w:tcPr>
            <w:tcW w:w="934" w:type="dxa"/>
            <w:tcBorders>
              <w:right w:val="single" w:sz="4" w:space="0" w:color="365F91" w:themeColor="accent1" w:themeShade="BF"/>
            </w:tcBorders>
          </w:tcPr>
          <w:p w14:paraId="78775319" w14:textId="5107634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1CE3F29C"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59B65FF"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China</w:t>
            </w:r>
          </w:p>
        </w:tc>
        <w:tc>
          <w:tcPr>
            <w:tcW w:w="933" w:type="dxa"/>
            <w:tcBorders>
              <w:left w:val="single" w:sz="4" w:space="0" w:color="365F91" w:themeColor="accent1" w:themeShade="BF"/>
            </w:tcBorders>
          </w:tcPr>
          <w:p w14:paraId="35A4A36E" w14:textId="2378155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081E8ADB" w14:textId="50D6E10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746,880 </w:t>
            </w:r>
          </w:p>
        </w:tc>
        <w:tc>
          <w:tcPr>
            <w:tcW w:w="920" w:type="dxa"/>
            <w:tcBorders>
              <w:right w:val="single" w:sz="4" w:space="0" w:color="365F91" w:themeColor="accent1" w:themeShade="BF"/>
            </w:tcBorders>
          </w:tcPr>
          <w:p w14:paraId="16C1A983" w14:textId="5E83952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E90B1AD" w14:textId="78FD90D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FFCFE55" w14:textId="32AA979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746,880 </w:t>
            </w:r>
          </w:p>
        </w:tc>
        <w:tc>
          <w:tcPr>
            <w:tcW w:w="885" w:type="dxa"/>
            <w:tcBorders>
              <w:right w:val="single" w:sz="4" w:space="0" w:color="365F91" w:themeColor="accent1" w:themeShade="BF"/>
            </w:tcBorders>
          </w:tcPr>
          <w:p w14:paraId="17B5DD78" w14:textId="5586761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6FE0F39" w14:textId="226C277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B9AD440" w14:textId="2A32F06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DCD6D3A" w14:textId="7F3D4FA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6A4ED5B6"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FDF0869"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Colombia</w:t>
            </w:r>
          </w:p>
        </w:tc>
        <w:tc>
          <w:tcPr>
            <w:tcW w:w="933" w:type="dxa"/>
            <w:tcBorders>
              <w:left w:val="single" w:sz="4" w:space="0" w:color="365F91" w:themeColor="accent1" w:themeShade="BF"/>
            </w:tcBorders>
          </w:tcPr>
          <w:p w14:paraId="5A5297C2" w14:textId="6E26526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11,640 </w:t>
            </w:r>
          </w:p>
        </w:tc>
        <w:tc>
          <w:tcPr>
            <w:tcW w:w="947" w:type="dxa"/>
          </w:tcPr>
          <w:p w14:paraId="2D94D1CF" w14:textId="4F34EA7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12,045 </w:t>
            </w:r>
          </w:p>
        </w:tc>
        <w:tc>
          <w:tcPr>
            <w:tcW w:w="920" w:type="dxa"/>
            <w:tcBorders>
              <w:right w:val="single" w:sz="4" w:space="0" w:color="365F91" w:themeColor="accent1" w:themeShade="BF"/>
            </w:tcBorders>
          </w:tcPr>
          <w:p w14:paraId="4141ADFE" w14:textId="3C13294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FBCC12B" w14:textId="46243B8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11,640 </w:t>
            </w:r>
          </w:p>
        </w:tc>
        <w:tc>
          <w:tcPr>
            <w:tcW w:w="982" w:type="dxa"/>
          </w:tcPr>
          <w:p w14:paraId="574B4492" w14:textId="770D5C1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12,045 </w:t>
            </w:r>
          </w:p>
        </w:tc>
        <w:tc>
          <w:tcPr>
            <w:tcW w:w="885" w:type="dxa"/>
            <w:tcBorders>
              <w:right w:val="single" w:sz="4" w:space="0" w:color="365F91" w:themeColor="accent1" w:themeShade="BF"/>
            </w:tcBorders>
          </w:tcPr>
          <w:p w14:paraId="7D92667C" w14:textId="5694118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4728DE4" w14:textId="0971B3C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9BA64ED" w14:textId="6A0A883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2EBED71A" w14:textId="3117DB2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5659A8D"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D699C14"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Comoros</w:t>
            </w:r>
          </w:p>
        </w:tc>
        <w:tc>
          <w:tcPr>
            <w:tcW w:w="933" w:type="dxa"/>
            <w:tcBorders>
              <w:left w:val="single" w:sz="4" w:space="0" w:color="365F91" w:themeColor="accent1" w:themeShade="BF"/>
            </w:tcBorders>
          </w:tcPr>
          <w:p w14:paraId="079599DD" w14:textId="7B3E493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10,000 </w:t>
            </w:r>
          </w:p>
        </w:tc>
        <w:tc>
          <w:tcPr>
            <w:tcW w:w="947" w:type="dxa"/>
          </w:tcPr>
          <w:p w14:paraId="113C6AA9" w14:textId="1F8BC71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5D491C9" w14:textId="50612D1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6E9B54B" w14:textId="3B0BE1F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EDCDFF3" w14:textId="51E877F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A886815" w14:textId="5E4EA07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E0DE2AB" w14:textId="096E9A0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10,000 </w:t>
            </w:r>
          </w:p>
        </w:tc>
        <w:tc>
          <w:tcPr>
            <w:tcW w:w="933" w:type="dxa"/>
          </w:tcPr>
          <w:p w14:paraId="35BD8952" w14:textId="731792C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4349E867" w14:textId="6A66916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37AEEA41"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5E6D29D"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Congo</w:t>
            </w:r>
          </w:p>
        </w:tc>
        <w:tc>
          <w:tcPr>
            <w:tcW w:w="933" w:type="dxa"/>
            <w:tcBorders>
              <w:left w:val="single" w:sz="4" w:space="0" w:color="365F91" w:themeColor="accent1" w:themeShade="BF"/>
            </w:tcBorders>
          </w:tcPr>
          <w:p w14:paraId="232A9E23" w14:textId="7BE5877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9,000 </w:t>
            </w:r>
          </w:p>
        </w:tc>
        <w:tc>
          <w:tcPr>
            <w:tcW w:w="947" w:type="dxa"/>
          </w:tcPr>
          <w:p w14:paraId="35017B09" w14:textId="2F8AD90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4D9C557" w14:textId="7CB440C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1744F82" w14:textId="2A26C3D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61AEAD7" w14:textId="2C3451D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31B03849" w14:textId="6E34A88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06C2954" w14:textId="753233C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9,000 </w:t>
            </w:r>
          </w:p>
        </w:tc>
        <w:tc>
          <w:tcPr>
            <w:tcW w:w="933" w:type="dxa"/>
          </w:tcPr>
          <w:p w14:paraId="607A4911" w14:textId="21FA744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4E51EAF0" w14:textId="204B86C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A05E791"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C5D9D20"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lastRenderedPageBreak/>
              <w:t>Costa Rica</w:t>
            </w:r>
          </w:p>
        </w:tc>
        <w:tc>
          <w:tcPr>
            <w:tcW w:w="933" w:type="dxa"/>
            <w:tcBorders>
              <w:left w:val="single" w:sz="4" w:space="0" w:color="365F91" w:themeColor="accent1" w:themeShade="BF"/>
            </w:tcBorders>
          </w:tcPr>
          <w:p w14:paraId="3E61A27A" w14:textId="0C7F83D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8,726 </w:t>
            </w:r>
          </w:p>
        </w:tc>
        <w:tc>
          <w:tcPr>
            <w:tcW w:w="947" w:type="dxa"/>
          </w:tcPr>
          <w:p w14:paraId="42A2F198" w14:textId="12F0FA3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3,378 </w:t>
            </w:r>
          </w:p>
        </w:tc>
        <w:tc>
          <w:tcPr>
            <w:tcW w:w="920" w:type="dxa"/>
            <w:tcBorders>
              <w:right w:val="single" w:sz="4" w:space="0" w:color="365F91" w:themeColor="accent1" w:themeShade="BF"/>
            </w:tcBorders>
          </w:tcPr>
          <w:p w14:paraId="001B34CE" w14:textId="41BBCB2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EC57B7C" w14:textId="0D2DFF7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91F03CF" w14:textId="38AEB9C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65E21A87" w14:textId="22199B3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E209053" w14:textId="4B64BFA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8,726 </w:t>
            </w:r>
          </w:p>
        </w:tc>
        <w:tc>
          <w:tcPr>
            <w:tcW w:w="933" w:type="dxa"/>
          </w:tcPr>
          <w:p w14:paraId="324D8D7B" w14:textId="731A7E9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3,378 </w:t>
            </w:r>
          </w:p>
        </w:tc>
        <w:tc>
          <w:tcPr>
            <w:tcW w:w="934" w:type="dxa"/>
            <w:tcBorders>
              <w:right w:val="single" w:sz="4" w:space="0" w:color="365F91" w:themeColor="accent1" w:themeShade="BF"/>
            </w:tcBorders>
          </w:tcPr>
          <w:p w14:paraId="64396C8A" w14:textId="5A76E41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F27033E"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F915BB4"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Côte d'Ivoire</w:t>
            </w:r>
          </w:p>
        </w:tc>
        <w:tc>
          <w:tcPr>
            <w:tcW w:w="933" w:type="dxa"/>
            <w:tcBorders>
              <w:left w:val="single" w:sz="4" w:space="0" w:color="365F91" w:themeColor="accent1" w:themeShade="BF"/>
            </w:tcBorders>
          </w:tcPr>
          <w:p w14:paraId="2677BA72" w14:textId="1E18DE4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5A3867C7" w14:textId="3B1361A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1,077 </w:t>
            </w:r>
          </w:p>
        </w:tc>
        <w:tc>
          <w:tcPr>
            <w:tcW w:w="920" w:type="dxa"/>
            <w:tcBorders>
              <w:right w:val="single" w:sz="4" w:space="0" w:color="365F91" w:themeColor="accent1" w:themeShade="BF"/>
            </w:tcBorders>
          </w:tcPr>
          <w:p w14:paraId="40F21842" w14:textId="7195BE5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1,663 </w:t>
            </w:r>
          </w:p>
        </w:tc>
        <w:tc>
          <w:tcPr>
            <w:tcW w:w="933" w:type="dxa"/>
            <w:tcBorders>
              <w:left w:val="single" w:sz="4" w:space="0" w:color="365F91" w:themeColor="accent1" w:themeShade="BF"/>
            </w:tcBorders>
          </w:tcPr>
          <w:p w14:paraId="22996316" w14:textId="18B43A2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17B04ED" w14:textId="552760C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778F24F" w14:textId="62B97DA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5F47E12" w14:textId="0115453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F9522F2" w14:textId="280CD32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776A96C5" w14:textId="0F0E45C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586 </w:t>
            </w:r>
          </w:p>
        </w:tc>
      </w:tr>
      <w:tr w:rsidR="00773BE0" w:rsidRPr="00F8347B" w14:paraId="43246187"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6B44F25"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Croatia</w:t>
            </w:r>
          </w:p>
        </w:tc>
        <w:tc>
          <w:tcPr>
            <w:tcW w:w="933" w:type="dxa"/>
            <w:tcBorders>
              <w:left w:val="single" w:sz="4" w:space="0" w:color="365F91" w:themeColor="accent1" w:themeShade="BF"/>
            </w:tcBorders>
          </w:tcPr>
          <w:p w14:paraId="6E4D0E50" w14:textId="3197E63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D2B0508" w14:textId="2B683C1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4,456 </w:t>
            </w:r>
          </w:p>
        </w:tc>
        <w:tc>
          <w:tcPr>
            <w:tcW w:w="920" w:type="dxa"/>
            <w:tcBorders>
              <w:right w:val="single" w:sz="4" w:space="0" w:color="365F91" w:themeColor="accent1" w:themeShade="BF"/>
            </w:tcBorders>
          </w:tcPr>
          <w:p w14:paraId="166CC206" w14:textId="58D6079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55C29E8" w14:textId="25EE547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BC09F4C" w14:textId="03F2CF9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4,456 </w:t>
            </w:r>
          </w:p>
        </w:tc>
        <w:tc>
          <w:tcPr>
            <w:tcW w:w="885" w:type="dxa"/>
            <w:tcBorders>
              <w:right w:val="single" w:sz="4" w:space="0" w:color="365F91" w:themeColor="accent1" w:themeShade="BF"/>
            </w:tcBorders>
          </w:tcPr>
          <w:p w14:paraId="47ABDD4F" w14:textId="15130A3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755EA1B" w14:textId="167C579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602CF73" w14:textId="3B3A2E9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54DD26BF" w14:textId="421A9A7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CD96B47"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5BE4059"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Cuba</w:t>
            </w:r>
          </w:p>
        </w:tc>
        <w:tc>
          <w:tcPr>
            <w:tcW w:w="933" w:type="dxa"/>
            <w:tcBorders>
              <w:left w:val="single" w:sz="4" w:space="0" w:color="365F91" w:themeColor="accent1" w:themeShade="BF"/>
            </w:tcBorders>
          </w:tcPr>
          <w:p w14:paraId="4EB77B09" w14:textId="11A5B7B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32,903 </w:t>
            </w:r>
          </w:p>
        </w:tc>
        <w:tc>
          <w:tcPr>
            <w:tcW w:w="947" w:type="dxa"/>
          </w:tcPr>
          <w:p w14:paraId="6FF7E6E7" w14:textId="1D86404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4,651 </w:t>
            </w:r>
          </w:p>
        </w:tc>
        <w:tc>
          <w:tcPr>
            <w:tcW w:w="920" w:type="dxa"/>
            <w:tcBorders>
              <w:right w:val="single" w:sz="4" w:space="0" w:color="365F91" w:themeColor="accent1" w:themeShade="BF"/>
            </w:tcBorders>
          </w:tcPr>
          <w:p w14:paraId="14621592" w14:textId="425B9D6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1E23A03" w14:textId="4FB1930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ED852DE" w14:textId="6A62C9B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3BEFD6F4" w14:textId="6AE043B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B163357" w14:textId="3892E16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32,903 </w:t>
            </w:r>
          </w:p>
        </w:tc>
        <w:tc>
          <w:tcPr>
            <w:tcW w:w="933" w:type="dxa"/>
          </w:tcPr>
          <w:p w14:paraId="1DBC959B" w14:textId="75DF0EE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4,651 </w:t>
            </w:r>
          </w:p>
        </w:tc>
        <w:tc>
          <w:tcPr>
            <w:tcW w:w="934" w:type="dxa"/>
            <w:tcBorders>
              <w:right w:val="single" w:sz="4" w:space="0" w:color="365F91" w:themeColor="accent1" w:themeShade="BF"/>
            </w:tcBorders>
          </w:tcPr>
          <w:p w14:paraId="66C41EAB" w14:textId="094B9AE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63169229"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BF53E84"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Cyprus</w:t>
            </w:r>
          </w:p>
        </w:tc>
        <w:tc>
          <w:tcPr>
            <w:tcW w:w="933" w:type="dxa"/>
            <w:tcBorders>
              <w:left w:val="single" w:sz="4" w:space="0" w:color="365F91" w:themeColor="accent1" w:themeShade="BF"/>
            </w:tcBorders>
          </w:tcPr>
          <w:p w14:paraId="5A6BF883" w14:textId="348126A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B299A05" w14:textId="59B536C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1,763 </w:t>
            </w:r>
          </w:p>
        </w:tc>
        <w:tc>
          <w:tcPr>
            <w:tcW w:w="920" w:type="dxa"/>
            <w:tcBorders>
              <w:right w:val="single" w:sz="4" w:space="0" w:color="365F91" w:themeColor="accent1" w:themeShade="BF"/>
            </w:tcBorders>
          </w:tcPr>
          <w:p w14:paraId="0606A942" w14:textId="180437A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897EAC5" w14:textId="74D7F20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7165E56" w14:textId="1B6E14F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1,763 </w:t>
            </w:r>
          </w:p>
        </w:tc>
        <w:tc>
          <w:tcPr>
            <w:tcW w:w="885" w:type="dxa"/>
            <w:tcBorders>
              <w:right w:val="single" w:sz="4" w:space="0" w:color="365F91" w:themeColor="accent1" w:themeShade="BF"/>
            </w:tcBorders>
          </w:tcPr>
          <w:p w14:paraId="002DC9C2" w14:textId="6927611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7A1DA03" w14:textId="26C5420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7358A52" w14:textId="788375C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7C083CEF" w14:textId="664A9F6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415C8F7"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3F21A1D"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Czechia</w:t>
            </w:r>
          </w:p>
        </w:tc>
        <w:tc>
          <w:tcPr>
            <w:tcW w:w="933" w:type="dxa"/>
            <w:tcBorders>
              <w:left w:val="single" w:sz="4" w:space="0" w:color="365F91" w:themeColor="accent1" w:themeShade="BF"/>
            </w:tcBorders>
          </w:tcPr>
          <w:p w14:paraId="29E0C7F8" w14:textId="57D1DDC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0 </w:t>
            </w:r>
          </w:p>
        </w:tc>
        <w:tc>
          <w:tcPr>
            <w:tcW w:w="947" w:type="dxa"/>
          </w:tcPr>
          <w:p w14:paraId="2F642B45" w14:textId="2936E1D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16,647 </w:t>
            </w:r>
          </w:p>
        </w:tc>
        <w:tc>
          <w:tcPr>
            <w:tcW w:w="920" w:type="dxa"/>
            <w:tcBorders>
              <w:right w:val="single" w:sz="4" w:space="0" w:color="365F91" w:themeColor="accent1" w:themeShade="BF"/>
            </w:tcBorders>
          </w:tcPr>
          <w:p w14:paraId="30DCB60E" w14:textId="3982727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16,647 </w:t>
            </w:r>
          </w:p>
        </w:tc>
        <w:tc>
          <w:tcPr>
            <w:tcW w:w="933" w:type="dxa"/>
            <w:tcBorders>
              <w:left w:val="single" w:sz="4" w:space="0" w:color="365F91" w:themeColor="accent1" w:themeShade="BF"/>
            </w:tcBorders>
          </w:tcPr>
          <w:p w14:paraId="1E411593" w14:textId="5C6ECB2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1E55DC0" w14:textId="217545C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74A752E" w14:textId="2B03BC1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16,647 </w:t>
            </w:r>
          </w:p>
        </w:tc>
        <w:tc>
          <w:tcPr>
            <w:tcW w:w="933" w:type="dxa"/>
            <w:tcBorders>
              <w:left w:val="single" w:sz="4" w:space="0" w:color="365F91" w:themeColor="accent1" w:themeShade="BF"/>
            </w:tcBorders>
          </w:tcPr>
          <w:p w14:paraId="1E7E24CE" w14:textId="49547AED" w:rsidR="00773BE0"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pPr>
            <w:r w:rsidRPr="00582BB6">
              <w:rPr>
                <w:sz w:val="20"/>
                <w:szCs w:val="20"/>
              </w:rPr>
              <w:t xml:space="preserve"> 0 </w:t>
            </w:r>
          </w:p>
        </w:tc>
        <w:tc>
          <w:tcPr>
            <w:tcW w:w="933" w:type="dxa"/>
          </w:tcPr>
          <w:p w14:paraId="6856A410" w14:textId="48FCC07F" w:rsidR="00773BE0"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pPr>
            <w:r w:rsidRPr="00582BB6">
              <w:rPr>
                <w:sz w:val="20"/>
                <w:szCs w:val="20"/>
              </w:rPr>
              <w:t xml:space="preserve"> -   </w:t>
            </w:r>
          </w:p>
        </w:tc>
        <w:tc>
          <w:tcPr>
            <w:tcW w:w="934" w:type="dxa"/>
            <w:tcBorders>
              <w:right w:val="single" w:sz="4" w:space="0" w:color="365F91" w:themeColor="accent1" w:themeShade="BF"/>
            </w:tcBorders>
          </w:tcPr>
          <w:p w14:paraId="5EE0E09D" w14:textId="23719F4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16,647 </w:t>
            </w:r>
          </w:p>
        </w:tc>
      </w:tr>
      <w:tr w:rsidR="00773BE0" w:rsidRPr="00F8347B" w14:paraId="0315657B" w14:textId="77777777" w:rsidTr="00716CDC">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9502178" w14:textId="34540283"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 xml:space="preserve">Democratic People's Republic of </w:t>
            </w:r>
            <w:r>
              <w:rPr>
                <w:rFonts w:asciiTheme="minorHAnsi" w:hAnsiTheme="minorHAnsi" w:cstheme="minorHAnsi"/>
                <w:sz w:val="20"/>
                <w:szCs w:val="20"/>
              </w:rPr>
              <w:t xml:space="preserve">Korea </w:t>
            </w:r>
          </w:p>
        </w:tc>
        <w:tc>
          <w:tcPr>
            <w:tcW w:w="933" w:type="dxa"/>
            <w:tcBorders>
              <w:left w:val="single" w:sz="4" w:space="0" w:color="365F91" w:themeColor="accent1" w:themeShade="BF"/>
            </w:tcBorders>
          </w:tcPr>
          <w:p w14:paraId="5220C565" w14:textId="58F84A2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2,000 </w:t>
            </w:r>
          </w:p>
        </w:tc>
        <w:tc>
          <w:tcPr>
            <w:tcW w:w="947" w:type="dxa"/>
          </w:tcPr>
          <w:p w14:paraId="4E419480" w14:textId="4841681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4EAC00D" w14:textId="10436E3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CD68C7C" w14:textId="05E6D88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DD8621D" w14:textId="057DF41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0138D020" w14:textId="4C0A4BA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B950A14" w14:textId="420641E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2,000 </w:t>
            </w:r>
          </w:p>
        </w:tc>
        <w:tc>
          <w:tcPr>
            <w:tcW w:w="933" w:type="dxa"/>
          </w:tcPr>
          <w:p w14:paraId="1FB092C9" w14:textId="051C1AA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53FBEF3A" w14:textId="2236842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5C9F9A55"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2CB9515"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Democratic Republic of the Congo</w:t>
            </w:r>
          </w:p>
        </w:tc>
        <w:tc>
          <w:tcPr>
            <w:tcW w:w="933" w:type="dxa"/>
            <w:tcBorders>
              <w:left w:val="single" w:sz="4" w:space="0" w:color="365F91" w:themeColor="accent1" w:themeShade="BF"/>
            </w:tcBorders>
          </w:tcPr>
          <w:p w14:paraId="57230917" w14:textId="2078BB1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23,846 </w:t>
            </w:r>
          </w:p>
        </w:tc>
        <w:tc>
          <w:tcPr>
            <w:tcW w:w="947" w:type="dxa"/>
          </w:tcPr>
          <w:p w14:paraId="7620959D" w14:textId="52AD280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B18AC35" w14:textId="57E699B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C9356FA" w14:textId="44A4129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82" w:type="dxa"/>
          </w:tcPr>
          <w:p w14:paraId="1B7C99FA" w14:textId="656B0B0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62BC78B" w14:textId="56928D9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892CA0F" w14:textId="4F4DC9D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23,846 </w:t>
            </w:r>
          </w:p>
        </w:tc>
        <w:tc>
          <w:tcPr>
            <w:tcW w:w="933" w:type="dxa"/>
          </w:tcPr>
          <w:p w14:paraId="225E5B85" w14:textId="764538F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18E9CE64" w14:textId="58A718D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2AE01D21"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1F09E12"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Denmark</w:t>
            </w:r>
          </w:p>
        </w:tc>
        <w:tc>
          <w:tcPr>
            <w:tcW w:w="933" w:type="dxa"/>
            <w:tcBorders>
              <w:left w:val="single" w:sz="4" w:space="0" w:color="365F91" w:themeColor="accent1" w:themeShade="BF"/>
            </w:tcBorders>
          </w:tcPr>
          <w:p w14:paraId="36ED07A9" w14:textId="1D72053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E4BA042" w14:textId="3A3FFA6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27,076 </w:t>
            </w:r>
          </w:p>
        </w:tc>
        <w:tc>
          <w:tcPr>
            <w:tcW w:w="920" w:type="dxa"/>
            <w:tcBorders>
              <w:right w:val="single" w:sz="4" w:space="0" w:color="365F91" w:themeColor="accent1" w:themeShade="BF"/>
            </w:tcBorders>
          </w:tcPr>
          <w:p w14:paraId="764FD0DA" w14:textId="437559C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F0C22F8" w14:textId="0802929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FA673F6" w14:textId="65BDAC0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27,076 </w:t>
            </w:r>
          </w:p>
        </w:tc>
        <w:tc>
          <w:tcPr>
            <w:tcW w:w="885" w:type="dxa"/>
            <w:tcBorders>
              <w:right w:val="single" w:sz="4" w:space="0" w:color="365F91" w:themeColor="accent1" w:themeShade="BF"/>
            </w:tcBorders>
          </w:tcPr>
          <w:p w14:paraId="6FBB858C" w14:textId="387C685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7FF3C41" w14:textId="17BBEAD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5B74EC5" w14:textId="1F2CD8A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455CE82" w14:textId="168142E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11AAD9DE"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2CA54E6"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Djibouti</w:t>
            </w:r>
          </w:p>
        </w:tc>
        <w:tc>
          <w:tcPr>
            <w:tcW w:w="933" w:type="dxa"/>
            <w:tcBorders>
              <w:left w:val="single" w:sz="4" w:space="0" w:color="365F91" w:themeColor="accent1" w:themeShade="BF"/>
            </w:tcBorders>
          </w:tcPr>
          <w:p w14:paraId="5727FA8F" w14:textId="77EFB05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20,000 </w:t>
            </w:r>
          </w:p>
        </w:tc>
        <w:tc>
          <w:tcPr>
            <w:tcW w:w="947" w:type="dxa"/>
          </w:tcPr>
          <w:p w14:paraId="33C4154B" w14:textId="414DDEF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0471B3D1" w14:textId="636E807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90C1D0A" w14:textId="214348E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0C2C062" w14:textId="2D514A9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A5B2879" w14:textId="22A7804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62C7EA1" w14:textId="0EF14CE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20,000 </w:t>
            </w:r>
          </w:p>
        </w:tc>
        <w:tc>
          <w:tcPr>
            <w:tcW w:w="933" w:type="dxa"/>
          </w:tcPr>
          <w:p w14:paraId="1402AF2C" w14:textId="5A2038B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4606E5CE" w14:textId="212BEB6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6B96DA69"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274DECE"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Dominican Republic</w:t>
            </w:r>
          </w:p>
        </w:tc>
        <w:tc>
          <w:tcPr>
            <w:tcW w:w="933" w:type="dxa"/>
            <w:tcBorders>
              <w:left w:val="single" w:sz="4" w:space="0" w:color="365F91" w:themeColor="accent1" w:themeShade="BF"/>
            </w:tcBorders>
          </w:tcPr>
          <w:p w14:paraId="389477C7" w14:textId="2CF2364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12,066 </w:t>
            </w:r>
          </w:p>
        </w:tc>
        <w:tc>
          <w:tcPr>
            <w:tcW w:w="947" w:type="dxa"/>
          </w:tcPr>
          <w:p w14:paraId="32C3D932" w14:textId="6319A25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3,281 </w:t>
            </w:r>
          </w:p>
        </w:tc>
        <w:tc>
          <w:tcPr>
            <w:tcW w:w="920" w:type="dxa"/>
            <w:tcBorders>
              <w:right w:val="single" w:sz="4" w:space="0" w:color="365F91" w:themeColor="accent1" w:themeShade="BF"/>
            </w:tcBorders>
          </w:tcPr>
          <w:p w14:paraId="1E702D15" w14:textId="785B907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07E30E8" w14:textId="6BC2A25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12,066 </w:t>
            </w:r>
          </w:p>
        </w:tc>
        <w:tc>
          <w:tcPr>
            <w:tcW w:w="982" w:type="dxa"/>
          </w:tcPr>
          <w:p w14:paraId="1427098D" w14:textId="24DAAD9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3,281 </w:t>
            </w:r>
          </w:p>
        </w:tc>
        <w:tc>
          <w:tcPr>
            <w:tcW w:w="885" w:type="dxa"/>
            <w:tcBorders>
              <w:right w:val="single" w:sz="4" w:space="0" w:color="365F91" w:themeColor="accent1" w:themeShade="BF"/>
            </w:tcBorders>
          </w:tcPr>
          <w:p w14:paraId="38A634D3" w14:textId="74412B9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B454AE2" w14:textId="0331A47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0C569DD7" w14:textId="227DFDE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71F1FD7F" w14:textId="56818C7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1A7603B2"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545CFEE"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Ecuador</w:t>
            </w:r>
          </w:p>
        </w:tc>
        <w:tc>
          <w:tcPr>
            <w:tcW w:w="933" w:type="dxa"/>
            <w:tcBorders>
              <w:left w:val="single" w:sz="4" w:space="0" w:color="365F91" w:themeColor="accent1" w:themeShade="BF"/>
            </w:tcBorders>
          </w:tcPr>
          <w:p w14:paraId="32469296" w14:textId="42F7698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19,703 </w:t>
            </w:r>
          </w:p>
        </w:tc>
        <w:tc>
          <w:tcPr>
            <w:tcW w:w="947" w:type="dxa"/>
          </w:tcPr>
          <w:p w14:paraId="58725603" w14:textId="2898633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3,770 </w:t>
            </w:r>
          </w:p>
        </w:tc>
        <w:tc>
          <w:tcPr>
            <w:tcW w:w="920" w:type="dxa"/>
            <w:tcBorders>
              <w:right w:val="single" w:sz="4" w:space="0" w:color="365F91" w:themeColor="accent1" w:themeShade="BF"/>
            </w:tcBorders>
          </w:tcPr>
          <w:p w14:paraId="355AA2E8" w14:textId="79241D6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12874BF" w14:textId="79882CF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813B4C1" w14:textId="7831DD0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670A2335" w14:textId="2BF8C1D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AF592F5" w14:textId="0131116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19,703 </w:t>
            </w:r>
          </w:p>
        </w:tc>
        <w:tc>
          <w:tcPr>
            <w:tcW w:w="933" w:type="dxa"/>
          </w:tcPr>
          <w:p w14:paraId="0A13674C" w14:textId="52763E8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3,770 </w:t>
            </w:r>
          </w:p>
        </w:tc>
        <w:tc>
          <w:tcPr>
            <w:tcW w:w="934" w:type="dxa"/>
            <w:tcBorders>
              <w:right w:val="single" w:sz="4" w:space="0" w:color="365F91" w:themeColor="accent1" w:themeShade="BF"/>
            </w:tcBorders>
          </w:tcPr>
          <w:p w14:paraId="256E7B1E" w14:textId="1D4A19F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636DDB61"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C787651"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Egypt</w:t>
            </w:r>
          </w:p>
        </w:tc>
        <w:tc>
          <w:tcPr>
            <w:tcW w:w="933" w:type="dxa"/>
            <w:tcBorders>
              <w:left w:val="single" w:sz="4" w:space="0" w:color="365F91" w:themeColor="accent1" w:themeShade="BF"/>
            </w:tcBorders>
          </w:tcPr>
          <w:p w14:paraId="745FD32B" w14:textId="3ED2D1E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B351F58" w14:textId="38CB551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6,806 </w:t>
            </w:r>
          </w:p>
        </w:tc>
        <w:tc>
          <w:tcPr>
            <w:tcW w:w="920" w:type="dxa"/>
            <w:tcBorders>
              <w:right w:val="single" w:sz="4" w:space="0" w:color="365F91" w:themeColor="accent1" w:themeShade="BF"/>
            </w:tcBorders>
          </w:tcPr>
          <w:p w14:paraId="60003D39" w14:textId="6B8C732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4398DC6" w14:textId="4B76490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F00A525" w14:textId="13DBCAF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6,806 </w:t>
            </w:r>
          </w:p>
        </w:tc>
        <w:tc>
          <w:tcPr>
            <w:tcW w:w="885" w:type="dxa"/>
            <w:tcBorders>
              <w:right w:val="single" w:sz="4" w:space="0" w:color="365F91" w:themeColor="accent1" w:themeShade="BF"/>
            </w:tcBorders>
          </w:tcPr>
          <w:p w14:paraId="46CC4978" w14:textId="7206152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62B4FF2" w14:textId="6E669EE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6A6B81A" w14:textId="71EB226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24F19856" w14:textId="649336C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1FACAB7"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88604AA"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El Salvador</w:t>
            </w:r>
          </w:p>
        </w:tc>
        <w:tc>
          <w:tcPr>
            <w:tcW w:w="933" w:type="dxa"/>
            <w:tcBorders>
              <w:left w:val="single" w:sz="4" w:space="0" w:color="365F91" w:themeColor="accent1" w:themeShade="BF"/>
            </w:tcBorders>
          </w:tcPr>
          <w:p w14:paraId="186D9ADE" w14:textId="7EA8A7F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1,999 </w:t>
            </w:r>
          </w:p>
        </w:tc>
        <w:tc>
          <w:tcPr>
            <w:tcW w:w="947" w:type="dxa"/>
          </w:tcPr>
          <w:p w14:paraId="3FDAF776" w14:textId="274163E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E544847" w14:textId="12A1C05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265A08A" w14:textId="625C073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FCC9251" w14:textId="7F8DCBB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6161281" w14:textId="7DCD9D5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7D0B9FA" w14:textId="541A460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1,999 </w:t>
            </w:r>
          </w:p>
        </w:tc>
        <w:tc>
          <w:tcPr>
            <w:tcW w:w="933" w:type="dxa"/>
          </w:tcPr>
          <w:p w14:paraId="7D7B80DC" w14:textId="0EFE887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060B7E59" w14:textId="55C6F17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249D465E"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D3F92AB"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Equatorial Guinea</w:t>
            </w:r>
          </w:p>
        </w:tc>
        <w:tc>
          <w:tcPr>
            <w:tcW w:w="933" w:type="dxa"/>
            <w:tcBorders>
              <w:left w:val="single" w:sz="4" w:space="0" w:color="365F91" w:themeColor="accent1" w:themeShade="BF"/>
            </w:tcBorders>
          </w:tcPr>
          <w:p w14:paraId="5AEA68D6" w14:textId="4C2B063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9,000 </w:t>
            </w:r>
          </w:p>
        </w:tc>
        <w:tc>
          <w:tcPr>
            <w:tcW w:w="947" w:type="dxa"/>
          </w:tcPr>
          <w:p w14:paraId="6DC4CBD9" w14:textId="299AB34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31CD26E3" w14:textId="2EDCFE0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659B167" w14:textId="635860F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9F77536" w14:textId="508BEB5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05588CAF" w14:textId="22CF869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119D6EA" w14:textId="0E6B854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9,000 </w:t>
            </w:r>
          </w:p>
        </w:tc>
        <w:tc>
          <w:tcPr>
            <w:tcW w:w="933" w:type="dxa"/>
          </w:tcPr>
          <w:p w14:paraId="47569178" w14:textId="4DE5E67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5F1786DA" w14:textId="07C82B7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39A40C45"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0A1509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Estonia</w:t>
            </w:r>
          </w:p>
        </w:tc>
        <w:tc>
          <w:tcPr>
            <w:tcW w:w="933" w:type="dxa"/>
            <w:tcBorders>
              <w:left w:val="single" w:sz="4" w:space="0" w:color="365F91" w:themeColor="accent1" w:themeShade="BF"/>
            </w:tcBorders>
          </w:tcPr>
          <w:p w14:paraId="079CFBBC" w14:textId="253951B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C721717" w14:textId="22FFFA1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2,154 </w:t>
            </w:r>
          </w:p>
        </w:tc>
        <w:tc>
          <w:tcPr>
            <w:tcW w:w="920" w:type="dxa"/>
            <w:tcBorders>
              <w:right w:val="single" w:sz="4" w:space="0" w:color="365F91" w:themeColor="accent1" w:themeShade="BF"/>
            </w:tcBorders>
          </w:tcPr>
          <w:p w14:paraId="2FECA53F" w14:textId="512A622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48C3E33" w14:textId="6204608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33AFBFA" w14:textId="5CF856F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2,154 </w:t>
            </w:r>
          </w:p>
        </w:tc>
        <w:tc>
          <w:tcPr>
            <w:tcW w:w="885" w:type="dxa"/>
            <w:tcBorders>
              <w:right w:val="single" w:sz="4" w:space="0" w:color="365F91" w:themeColor="accent1" w:themeShade="BF"/>
            </w:tcBorders>
          </w:tcPr>
          <w:p w14:paraId="78E16A4D" w14:textId="3E2D0A7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AB80CEC" w14:textId="60F81F3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01D4AACE" w14:textId="29D1AD7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56A9580F" w14:textId="6BF7673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66FE5AC"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5779538" w14:textId="77777777" w:rsidR="00773BE0" w:rsidRPr="00D25CEB" w:rsidRDefault="00773BE0" w:rsidP="00A70EC8">
            <w:pPr>
              <w:ind w:left="0" w:firstLine="0"/>
              <w:rPr>
                <w:rFonts w:asciiTheme="minorHAnsi" w:hAnsiTheme="minorHAnsi" w:cstheme="minorHAnsi"/>
                <w:sz w:val="20"/>
                <w:szCs w:val="20"/>
              </w:rPr>
            </w:pPr>
            <w:proofErr w:type="spellStart"/>
            <w:r w:rsidRPr="00D25CEB">
              <w:rPr>
                <w:rFonts w:asciiTheme="minorHAnsi" w:hAnsiTheme="minorHAnsi" w:cstheme="minorHAnsi"/>
                <w:sz w:val="20"/>
                <w:szCs w:val="20"/>
              </w:rPr>
              <w:t>Eswatini</w:t>
            </w:r>
            <w:proofErr w:type="spellEnd"/>
          </w:p>
        </w:tc>
        <w:tc>
          <w:tcPr>
            <w:tcW w:w="933" w:type="dxa"/>
            <w:tcBorders>
              <w:left w:val="single" w:sz="4" w:space="0" w:color="365F91" w:themeColor="accent1" w:themeShade="BF"/>
            </w:tcBorders>
          </w:tcPr>
          <w:p w14:paraId="37A48399" w14:textId="0D3FBEC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2,000 </w:t>
            </w:r>
          </w:p>
        </w:tc>
        <w:tc>
          <w:tcPr>
            <w:tcW w:w="947" w:type="dxa"/>
          </w:tcPr>
          <w:p w14:paraId="3D5960E5" w14:textId="61861C9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8E702A4" w14:textId="7103162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15D1210" w14:textId="1E75E5C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A8ACA67" w14:textId="2BFDF19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9839C0C" w14:textId="482B15D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9064EE7" w14:textId="37F0971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2,000 </w:t>
            </w:r>
          </w:p>
        </w:tc>
        <w:tc>
          <w:tcPr>
            <w:tcW w:w="933" w:type="dxa"/>
          </w:tcPr>
          <w:p w14:paraId="420DC5E4" w14:textId="23E2297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56D8ABB" w14:textId="365DDD0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28A85578"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DCAEB19"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Fiji</w:t>
            </w:r>
          </w:p>
        </w:tc>
        <w:tc>
          <w:tcPr>
            <w:tcW w:w="933" w:type="dxa"/>
            <w:tcBorders>
              <w:left w:val="single" w:sz="4" w:space="0" w:color="365F91" w:themeColor="accent1" w:themeShade="BF"/>
            </w:tcBorders>
          </w:tcPr>
          <w:p w14:paraId="2CAA026A" w14:textId="49F60A3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12B584E" w14:textId="7EF3FA8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6E759DD" w14:textId="70DE557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46F4F99" w14:textId="1C80D8F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D4D7208" w14:textId="160F905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0F1C6165" w14:textId="6E21E81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ED113EA" w14:textId="25D1D64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5F5E900" w14:textId="7E1661D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5F87B8C" w14:textId="3BB4859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6F25C87C"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CE3AB7E"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Finland</w:t>
            </w:r>
          </w:p>
        </w:tc>
        <w:tc>
          <w:tcPr>
            <w:tcW w:w="933" w:type="dxa"/>
            <w:tcBorders>
              <w:left w:val="single" w:sz="4" w:space="0" w:color="365F91" w:themeColor="accent1" w:themeShade="BF"/>
            </w:tcBorders>
          </w:tcPr>
          <w:p w14:paraId="2536E4E1" w14:textId="1774ED4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5F758FD" w14:textId="7BC0BD2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20,417 </w:t>
            </w:r>
          </w:p>
        </w:tc>
        <w:tc>
          <w:tcPr>
            <w:tcW w:w="920" w:type="dxa"/>
            <w:tcBorders>
              <w:right w:val="single" w:sz="4" w:space="0" w:color="365F91" w:themeColor="accent1" w:themeShade="BF"/>
            </w:tcBorders>
          </w:tcPr>
          <w:p w14:paraId="3D1DC62A" w14:textId="2C263A2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A481472" w14:textId="51916C5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A45356C" w14:textId="52F629B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20,417 </w:t>
            </w:r>
          </w:p>
        </w:tc>
        <w:tc>
          <w:tcPr>
            <w:tcW w:w="885" w:type="dxa"/>
            <w:tcBorders>
              <w:right w:val="single" w:sz="4" w:space="0" w:color="365F91" w:themeColor="accent1" w:themeShade="BF"/>
            </w:tcBorders>
          </w:tcPr>
          <w:p w14:paraId="4C1F7289" w14:textId="48AAF85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D79C6D0" w14:textId="6207126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3CCF99E" w14:textId="4459D49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9911D82" w14:textId="453E1A5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DD43C62"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7892919"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France</w:t>
            </w:r>
          </w:p>
        </w:tc>
        <w:tc>
          <w:tcPr>
            <w:tcW w:w="933" w:type="dxa"/>
            <w:tcBorders>
              <w:left w:val="single" w:sz="4" w:space="0" w:color="365F91" w:themeColor="accent1" w:themeShade="BF"/>
            </w:tcBorders>
          </w:tcPr>
          <w:p w14:paraId="03FA54DD" w14:textId="7A8497B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5965F47" w14:textId="4BBD8F8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211,421 </w:t>
            </w:r>
          </w:p>
        </w:tc>
        <w:tc>
          <w:tcPr>
            <w:tcW w:w="920" w:type="dxa"/>
            <w:tcBorders>
              <w:right w:val="single" w:sz="4" w:space="0" w:color="365F91" w:themeColor="accent1" w:themeShade="BF"/>
            </w:tcBorders>
          </w:tcPr>
          <w:p w14:paraId="64D1FB16" w14:textId="42387A5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211,421 </w:t>
            </w:r>
          </w:p>
        </w:tc>
        <w:tc>
          <w:tcPr>
            <w:tcW w:w="933" w:type="dxa"/>
            <w:tcBorders>
              <w:left w:val="single" w:sz="4" w:space="0" w:color="365F91" w:themeColor="accent1" w:themeShade="BF"/>
            </w:tcBorders>
          </w:tcPr>
          <w:p w14:paraId="669A6217" w14:textId="0BBB752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BB20A29" w14:textId="318AA04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083C9FC3" w14:textId="2E32A8D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33" w:type="dxa"/>
            <w:tcBorders>
              <w:left w:val="single" w:sz="4" w:space="0" w:color="365F91" w:themeColor="accent1" w:themeShade="BF"/>
            </w:tcBorders>
          </w:tcPr>
          <w:p w14:paraId="18C9BFA7" w14:textId="6884280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0ECA2BE8" w14:textId="3100924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7D032CA2" w14:textId="7DF8595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8E8A7B4"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21D6D6B"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Gabon</w:t>
            </w:r>
          </w:p>
        </w:tc>
        <w:tc>
          <w:tcPr>
            <w:tcW w:w="933" w:type="dxa"/>
            <w:tcBorders>
              <w:left w:val="single" w:sz="4" w:space="0" w:color="365F91" w:themeColor="accent1" w:themeShade="BF"/>
            </w:tcBorders>
          </w:tcPr>
          <w:p w14:paraId="4DFB786A" w14:textId="3B87B37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4,236 </w:t>
            </w:r>
          </w:p>
        </w:tc>
        <w:tc>
          <w:tcPr>
            <w:tcW w:w="947" w:type="dxa"/>
          </w:tcPr>
          <w:p w14:paraId="43474C7B" w14:textId="5FFC04A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14DD996" w14:textId="624AD47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2A10D3C" w14:textId="6BC54DE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785840C" w14:textId="0B4AF9C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827A49E" w14:textId="565E079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3E2F639" w14:textId="7056D93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4,236 </w:t>
            </w:r>
          </w:p>
        </w:tc>
        <w:tc>
          <w:tcPr>
            <w:tcW w:w="933" w:type="dxa"/>
          </w:tcPr>
          <w:p w14:paraId="750CC4B7" w14:textId="4ED8024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05E3A2C9" w14:textId="4FDB210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560AEA66"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0765E15"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Gambia</w:t>
            </w:r>
          </w:p>
        </w:tc>
        <w:tc>
          <w:tcPr>
            <w:tcW w:w="933" w:type="dxa"/>
            <w:tcBorders>
              <w:left w:val="single" w:sz="4" w:space="0" w:color="365F91" w:themeColor="accent1" w:themeShade="BF"/>
            </w:tcBorders>
          </w:tcPr>
          <w:p w14:paraId="38044696" w14:textId="248FB45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11,261 </w:t>
            </w:r>
          </w:p>
        </w:tc>
        <w:tc>
          <w:tcPr>
            <w:tcW w:w="947" w:type="dxa"/>
          </w:tcPr>
          <w:p w14:paraId="1714C51B" w14:textId="3806EF9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2DA63C5" w14:textId="7D220FE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F323091" w14:textId="1EC8020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37E06C4" w14:textId="7A02B7E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34D649BF" w14:textId="555638A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BD7F53D" w14:textId="67C8B57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11,261 </w:t>
            </w:r>
          </w:p>
        </w:tc>
        <w:tc>
          <w:tcPr>
            <w:tcW w:w="933" w:type="dxa"/>
          </w:tcPr>
          <w:p w14:paraId="46E7D843" w14:textId="19E74D2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47605788" w14:textId="5988D69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DE31E9A"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BCF3DC4"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Georgia</w:t>
            </w:r>
          </w:p>
        </w:tc>
        <w:tc>
          <w:tcPr>
            <w:tcW w:w="933" w:type="dxa"/>
            <w:tcBorders>
              <w:left w:val="single" w:sz="4" w:space="0" w:color="365F91" w:themeColor="accent1" w:themeShade="BF"/>
            </w:tcBorders>
          </w:tcPr>
          <w:p w14:paraId="58818BED" w14:textId="719C785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CE1E985" w14:textId="1AC2025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01C89F23" w14:textId="1FDFAD6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88DB319" w14:textId="630B0E7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F1C6E19" w14:textId="3A360BB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40B87F67" w14:textId="466B952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0FC642B" w14:textId="28463C8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D9B7F9D" w14:textId="298C0F4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17B9A82" w14:textId="7D34197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06E661A"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D19EEB0"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Germany</w:t>
            </w:r>
          </w:p>
        </w:tc>
        <w:tc>
          <w:tcPr>
            <w:tcW w:w="933" w:type="dxa"/>
            <w:tcBorders>
              <w:left w:val="single" w:sz="4" w:space="0" w:color="365F91" w:themeColor="accent1" w:themeShade="BF"/>
            </w:tcBorders>
          </w:tcPr>
          <w:p w14:paraId="36E694CE" w14:textId="52C3082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6E76586" w14:textId="1F1BE8E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299,212 </w:t>
            </w:r>
          </w:p>
        </w:tc>
        <w:tc>
          <w:tcPr>
            <w:tcW w:w="920" w:type="dxa"/>
            <w:tcBorders>
              <w:right w:val="single" w:sz="4" w:space="0" w:color="365F91" w:themeColor="accent1" w:themeShade="BF"/>
            </w:tcBorders>
          </w:tcPr>
          <w:p w14:paraId="362E927B" w14:textId="0CC1C22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3B6597E" w14:textId="00411CE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5940452" w14:textId="5CFF2E4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299,212 </w:t>
            </w:r>
          </w:p>
        </w:tc>
        <w:tc>
          <w:tcPr>
            <w:tcW w:w="885" w:type="dxa"/>
            <w:tcBorders>
              <w:right w:val="single" w:sz="4" w:space="0" w:color="365F91" w:themeColor="accent1" w:themeShade="BF"/>
            </w:tcBorders>
          </w:tcPr>
          <w:p w14:paraId="4A76BDEB" w14:textId="44A00C0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860AB39" w14:textId="4AFA386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3F959528" w14:textId="7C532C7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887E523" w14:textId="1DDE025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08C564E8"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64FCCFC"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Ghana</w:t>
            </w:r>
          </w:p>
        </w:tc>
        <w:tc>
          <w:tcPr>
            <w:tcW w:w="933" w:type="dxa"/>
            <w:tcBorders>
              <w:left w:val="single" w:sz="4" w:space="0" w:color="365F91" w:themeColor="accent1" w:themeShade="BF"/>
            </w:tcBorders>
          </w:tcPr>
          <w:p w14:paraId="1E77BBB6" w14:textId="690D6C8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268F8A0" w14:textId="430A0AA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1,175 </w:t>
            </w:r>
          </w:p>
        </w:tc>
        <w:tc>
          <w:tcPr>
            <w:tcW w:w="920" w:type="dxa"/>
            <w:tcBorders>
              <w:right w:val="single" w:sz="4" w:space="0" w:color="365F91" w:themeColor="accent1" w:themeShade="BF"/>
            </w:tcBorders>
          </w:tcPr>
          <w:p w14:paraId="40170537" w14:textId="73469F2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2,831 </w:t>
            </w:r>
          </w:p>
        </w:tc>
        <w:tc>
          <w:tcPr>
            <w:tcW w:w="933" w:type="dxa"/>
            <w:tcBorders>
              <w:left w:val="single" w:sz="4" w:space="0" w:color="365F91" w:themeColor="accent1" w:themeShade="BF"/>
            </w:tcBorders>
          </w:tcPr>
          <w:p w14:paraId="4E2FE8D2" w14:textId="77554F4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F0391F7" w14:textId="1ECF06A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670363C1" w14:textId="073FD10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33" w:type="dxa"/>
            <w:tcBorders>
              <w:left w:val="single" w:sz="4" w:space="0" w:color="365F91" w:themeColor="accent1" w:themeShade="BF"/>
            </w:tcBorders>
          </w:tcPr>
          <w:p w14:paraId="0816D7B5" w14:textId="3642932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F5DE024" w14:textId="3314B71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7F6CB76A" w14:textId="3CC1628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1,656 </w:t>
            </w:r>
          </w:p>
        </w:tc>
      </w:tr>
      <w:tr w:rsidR="00773BE0" w:rsidRPr="00F8347B" w14:paraId="75326F3E"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7BCD474"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Greece</w:t>
            </w:r>
          </w:p>
        </w:tc>
        <w:tc>
          <w:tcPr>
            <w:tcW w:w="933" w:type="dxa"/>
            <w:tcBorders>
              <w:left w:val="single" w:sz="4" w:space="0" w:color="365F91" w:themeColor="accent1" w:themeShade="BF"/>
            </w:tcBorders>
          </w:tcPr>
          <w:p w14:paraId="422F1426" w14:textId="61ED6EB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15,913 </w:t>
            </w:r>
          </w:p>
        </w:tc>
        <w:tc>
          <w:tcPr>
            <w:tcW w:w="947" w:type="dxa"/>
          </w:tcPr>
          <w:p w14:paraId="2324BD83" w14:textId="6CBE547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15,913 </w:t>
            </w:r>
          </w:p>
        </w:tc>
        <w:tc>
          <w:tcPr>
            <w:tcW w:w="920" w:type="dxa"/>
            <w:tcBorders>
              <w:right w:val="single" w:sz="4" w:space="0" w:color="365F91" w:themeColor="accent1" w:themeShade="BF"/>
            </w:tcBorders>
          </w:tcPr>
          <w:p w14:paraId="53871DE9" w14:textId="5CBBA3E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1934CE3" w14:textId="258C088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AF960C2" w14:textId="082FBF3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C01A01D" w14:textId="2AC7863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56828E8" w14:textId="4374884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15,913 </w:t>
            </w:r>
          </w:p>
        </w:tc>
        <w:tc>
          <w:tcPr>
            <w:tcW w:w="933" w:type="dxa"/>
          </w:tcPr>
          <w:p w14:paraId="07F5F622" w14:textId="689DE52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15,913 </w:t>
            </w:r>
          </w:p>
        </w:tc>
        <w:tc>
          <w:tcPr>
            <w:tcW w:w="934" w:type="dxa"/>
            <w:tcBorders>
              <w:right w:val="single" w:sz="4" w:space="0" w:color="365F91" w:themeColor="accent1" w:themeShade="BF"/>
            </w:tcBorders>
          </w:tcPr>
          <w:p w14:paraId="01F027C5" w14:textId="0C6C508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6A59AF89"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AE28856"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Grenada</w:t>
            </w:r>
          </w:p>
        </w:tc>
        <w:tc>
          <w:tcPr>
            <w:tcW w:w="933" w:type="dxa"/>
            <w:tcBorders>
              <w:left w:val="single" w:sz="4" w:space="0" w:color="365F91" w:themeColor="accent1" w:themeShade="BF"/>
            </w:tcBorders>
          </w:tcPr>
          <w:p w14:paraId="4F952648" w14:textId="3259F23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10,000 </w:t>
            </w:r>
          </w:p>
        </w:tc>
        <w:tc>
          <w:tcPr>
            <w:tcW w:w="947" w:type="dxa"/>
          </w:tcPr>
          <w:p w14:paraId="27EA663C" w14:textId="3FAE9B3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660C99C" w14:textId="2884BE3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A236042" w14:textId="0782BAF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A307DBF" w14:textId="3D4AA3C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154E3F4" w14:textId="7379657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0B9B9C4" w14:textId="1336D9E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10,000 </w:t>
            </w:r>
          </w:p>
        </w:tc>
        <w:tc>
          <w:tcPr>
            <w:tcW w:w="933" w:type="dxa"/>
          </w:tcPr>
          <w:p w14:paraId="001881E7" w14:textId="3A52520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473C2B65" w14:textId="0320B71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968BCD5"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DB00D30"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Guatemala</w:t>
            </w:r>
          </w:p>
        </w:tc>
        <w:tc>
          <w:tcPr>
            <w:tcW w:w="933" w:type="dxa"/>
            <w:tcBorders>
              <w:left w:val="single" w:sz="4" w:space="0" w:color="365F91" w:themeColor="accent1" w:themeShade="BF"/>
            </w:tcBorders>
          </w:tcPr>
          <w:p w14:paraId="35F6ABED" w14:textId="191CFF8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532E737F" w14:textId="0884399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2,007 </w:t>
            </w:r>
          </w:p>
        </w:tc>
        <w:tc>
          <w:tcPr>
            <w:tcW w:w="920" w:type="dxa"/>
            <w:tcBorders>
              <w:right w:val="single" w:sz="4" w:space="0" w:color="365F91" w:themeColor="accent1" w:themeShade="BF"/>
            </w:tcBorders>
          </w:tcPr>
          <w:p w14:paraId="3811A528" w14:textId="53A201E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7F9B717" w14:textId="0930405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1F1B2BD" w14:textId="1B21AE7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062DE25" w14:textId="762DCE2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BF0F0FB" w14:textId="564BD69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559A839" w14:textId="367324F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2,007 </w:t>
            </w:r>
          </w:p>
        </w:tc>
        <w:tc>
          <w:tcPr>
            <w:tcW w:w="934" w:type="dxa"/>
            <w:tcBorders>
              <w:right w:val="single" w:sz="4" w:space="0" w:color="365F91" w:themeColor="accent1" w:themeShade="BF"/>
            </w:tcBorders>
          </w:tcPr>
          <w:p w14:paraId="7B9760C7" w14:textId="7A5DB24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4CAE1BB"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2213209"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Guinea</w:t>
            </w:r>
          </w:p>
        </w:tc>
        <w:tc>
          <w:tcPr>
            <w:tcW w:w="933" w:type="dxa"/>
            <w:tcBorders>
              <w:left w:val="single" w:sz="4" w:space="0" w:color="365F91" w:themeColor="accent1" w:themeShade="BF"/>
            </w:tcBorders>
          </w:tcPr>
          <w:p w14:paraId="0E896A73" w14:textId="778C4CF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9,000 </w:t>
            </w:r>
          </w:p>
        </w:tc>
        <w:tc>
          <w:tcPr>
            <w:tcW w:w="947" w:type="dxa"/>
          </w:tcPr>
          <w:p w14:paraId="48C575D3" w14:textId="5C727CF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A45F465" w14:textId="2F31281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8BDB13D" w14:textId="0BDAABD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045563D" w14:textId="5EFFB35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6F0A3D45" w14:textId="128F249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6DD7B78" w14:textId="187A5EA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9,000 </w:t>
            </w:r>
          </w:p>
        </w:tc>
        <w:tc>
          <w:tcPr>
            <w:tcW w:w="933" w:type="dxa"/>
          </w:tcPr>
          <w:p w14:paraId="29D6B117" w14:textId="298D612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C549AFF" w14:textId="2FD4785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20748D57"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642AC82"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Guinea-Bissau</w:t>
            </w:r>
          </w:p>
        </w:tc>
        <w:tc>
          <w:tcPr>
            <w:tcW w:w="933" w:type="dxa"/>
            <w:tcBorders>
              <w:left w:val="single" w:sz="4" w:space="0" w:color="365F91" w:themeColor="accent1" w:themeShade="BF"/>
            </w:tcBorders>
          </w:tcPr>
          <w:p w14:paraId="36E0CE72" w14:textId="0518BE4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15,110 </w:t>
            </w:r>
          </w:p>
        </w:tc>
        <w:tc>
          <w:tcPr>
            <w:tcW w:w="947" w:type="dxa"/>
          </w:tcPr>
          <w:p w14:paraId="695CAF5F" w14:textId="21477CA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3C0C60D" w14:textId="4E85357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57AA1D6" w14:textId="6760A4D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C9F62AA" w14:textId="01A0B60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998D804" w14:textId="0D750AC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7A3FD81" w14:textId="5E2B706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15,110 </w:t>
            </w:r>
          </w:p>
        </w:tc>
        <w:tc>
          <w:tcPr>
            <w:tcW w:w="933" w:type="dxa"/>
          </w:tcPr>
          <w:p w14:paraId="3940EE7E" w14:textId="4382F06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0B0A2D32" w14:textId="114E43C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3D6BEACD"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25F0298"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Honduras</w:t>
            </w:r>
          </w:p>
        </w:tc>
        <w:tc>
          <w:tcPr>
            <w:tcW w:w="933" w:type="dxa"/>
            <w:tcBorders>
              <w:left w:val="single" w:sz="4" w:space="0" w:color="365F91" w:themeColor="accent1" w:themeShade="BF"/>
            </w:tcBorders>
          </w:tcPr>
          <w:p w14:paraId="01F35FB5" w14:textId="028B6D1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0AB581A" w14:textId="39E48A2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85FC3DF" w14:textId="0F94FDF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167 </w:t>
            </w:r>
          </w:p>
        </w:tc>
        <w:tc>
          <w:tcPr>
            <w:tcW w:w="933" w:type="dxa"/>
            <w:tcBorders>
              <w:left w:val="single" w:sz="4" w:space="0" w:color="365F91" w:themeColor="accent1" w:themeShade="BF"/>
            </w:tcBorders>
          </w:tcPr>
          <w:p w14:paraId="0CEA3E79" w14:textId="61DFF0F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16B5032" w14:textId="672C978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833 </w:t>
            </w:r>
          </w:p>
        </w:tc>
        <w:tc>
          <w:tcPr>
            <w:tcW w:w="885" w:type="dxa"/>
            <w:tcBorders>
              <w:right w:val="single" w:sz="4" w:space="0" w:color="365F91" w:themeColor="accent1" w:themeShade="BF"/>
            </w:tcBorders>
          </w:tcPr>
          <w:p w14:paraId="5CF05665" w14:textId="34BD5D9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179 </w:t>
            </w:r>
          </w:p>
        </w:tc>
        <w:tc>
          <w:tcPr>
            <w:tcW w:w="933" w:type="dxa"/>
            <w:tcBorders>
              <w:left w:val="single" w:sz="4" w:space="0" w:color="365F91" w:themeColor="accent1" w:themeShade="BF"/>
            </w:tcBorders>
          </w:tcPr>
          <w:p w14:paraId="0B2F3E6E" w14:textId="5FBD7F3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E7ABE5B" w14:textId="03C654C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35E56BF8" w14:textId="0F3AD7D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179 </w:t>
            </w:r>
          </w:p>
        </w:tc>
      </w:tr>
      <w:tr w:rsidR="00773BE0" w:rsidRPr="00F8347B" w14:paraId="42E9EE9E"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01B8EEA"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Hungary</w:t>
            </w:r>
          </w:p>
        </w:tc>
        <w:tc>
          <w:tcPr>
            <w:tcW w:w="933" w:type="dxa"/>
            <w:tcBorders>
              <w:left w:val="single" w:sz="4" w:space="0" w:color="365F91" w:themeColor="accent1" w:themeShade="BF"/>
            </w:tcBorders>
          </w:tcPr>
          <w:p w14:paraId="6C469C0B" w14:textId="5F77E7D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11,164 </w:t>
            </w:r>
          </w:p>
        </w:tc>
        <w:tc>
          <w:tcPr>
            <w:tcW w:w="947" w:type="dxa"/>
          </w:tcPr>
          <w:p w14:paraId="6BDD47B5" w14:textId="16050F0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11,164 </w:t>
            </w:r>
          </w:p>
        </w:tc>
        <w:tc>
          <w:tcPr>
            <w:tcW w:w="920" w:type="dxa"/>
            <w:tcBorders>
              <w:right w:val="single" w:sz="4" w:space="0" w:color="365F91" w:themeColor="accent1" w:themeShade="BF"/>
            </w:tcBorders>
          </w:tcPr>
          <w:p w14:paraId="2314D262" w14:textId="5B1F1C3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0D7B52B" w14:textId="5389860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11,164 </w:t>
            </w:r>
          </w:p>
        </w:tc>
        <w:tc>
          <w:tcPr>
            <w:tcW w:w="982" w:type="dxa"/>
          </w:tcPr>
          <w:p w14:paraId="1E4E1BF9" w14:textId="5DE7888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11,164 </w:t>
            </w:r>
          </w:p>
        </w:tc>
        <w:tc>
          <w:tcPr>
            <w:tcW w:w="885" w:type="dxa"/>
            <w:tcBorders>
              <w:right w:val="single" w:sz="4" w:space="0" w:color="365F91" w:themeColor="accent1" w:themeShade="BF"/>
            </w:tcBorders>
          </w:tcPr>
          <w:p w14:paraId="3593E1EB" w14:textId="166E19B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54ED2A3" w14:textId="18DD0D1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3BF357A9" w14:textId="734C317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176BAD3" w14:textId="4D12F46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656FDC6C"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374058F"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Iceland</w:t>
            </w:r>
          </w:p>
        </w:tc>
        <w:tc>
          <w:tcPr>
            <w:tcW w:w="933" w:type="dxa"/>
            <w:tcBorders>
              <w:left w:val="single" w:sz="4" w:space="0" w:color="365F91" w:themeColor="accent1" w:themeShade="BF"/>
            </w:tcBorders>
          </w:tcPr>
          <w:p w14:paraId="3505FBF1" w14:textId="6B37009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19F20D8" w14:textId="381E6D4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1,763 </w:t>
            </w:r>
          </w:p>
        </w:tc>
        <w:tc>
          <w:tcPr>
            <w:tcW w:w="920" w:type="dxa"/>
            <w:tcBorders>
              <w:right w:val="single" w:sz="4" w:space="0" w:color="365F91" w:themeColor="accent1" w:themeShade="BF"/>
            </w:tcBorders>
          </w:tcPr>
          <w:p w14:paraId="10BBE593" w14:textId="0253477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362E97C" w14:textId="4FEA423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4A3EC8C" w14:textId="68FA9CC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1,763 </w:t>
            </w:r>
          </w:p>
        </w:tc>
        <w:tc>
          <w:tcPr>
            <w:tcW w:w="885" w:type="dxa"/>
            <w:tcBorders>
              <w:right w:val="single" w:sz="4" w:space="0" w:color="365F91" w:themeColor="accent1" w:themeShade="BF"/>
            </w:tcBorders>
          </w:tcPr>
          <w:p w14:paraId="2FB6A109" w14:textId="715D97F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C4C9882" w14:textId="2E9BF3D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1837C94" w14:textId="2FE6449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5C4F334C" w14:textId="2FE130C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76DB367F"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F681811"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India</w:t>
            </w:r>
          </w:p>
        </w:tc>
        <w:tc>
          <w:tcPr>
            <w:tcW w:w="933" w:type="dxa"/>
            <w:tcBorders>
              <w:left w:val="single" w:sz="4" w:space="0" w:color="365F91" w:themeColor="accent1" w:themeShade="BF"/>
            </w:tcBorders>
          </w:tcPr>
          <w:p w14:paraId="27700F2E" w14:textId="6D188A9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1032ABC" w14:textId="618AD12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51,117 </w:t>
            </w:r>
          </w:p>
        </w:tc>
        <w:tc>
          <w:tcPr>
            <w:tcW w:w="920" w:type="dxa"/>
            <w:tcBorders>
              <w:right w:val="single" w:sz="4" w:space="0" w:color="365F91" w:themeColor="accent1" w:themeShade="BF"/>
            </w:tcBorders>
          </w:tcPr>
          <w:p w14:paraId="418B2BAA" w14:textId="258775E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316E989" w14:textId="58C2EE7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109D8E6" w14:textId="49442DD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51,117 </w:t>
            </w:r>
          </w:p>
        </w:tc>
        <w:tc>
          <w:tcPr>
            <w:tcW w:w="885" w:type="dxa"/>
            <w:tcBorders>
              <w:right w:val="single" w:sz="4" w:space="0" w:color="365F91" w:themeColor="accent1" w:themeShade="BF"/>
            </w:tcBorders>
          </w:tcPr>
          <w:p w14:paraId="21D2EF3C" w14:textId="57A06C2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430980E" w14:textId="4062BB9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74620F6" w14:textId="26C43188"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86B48F8" w14:textId="4FACEA6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55577095"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2C68F4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Indonesia</w:t>
            </w:r>
          </w:p>
        </w:tc>
        <w:tc>
          <w:tcPr>
            <w:tcW w:w="933" w:type="dxa"/>
            <w:tcBorders>
              <w:left w:val="single" w:sz="4" w:space="0" w:color="365F91" w:themeColor="accent1" w:themeShade="BF"/>
            </w:tcBorders>
          </w:tcPr>
          <w:p w14:paraId="2672D130" w14:textId="37AA1E0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505 </w:t>
            </w:r>
          </w:p>
        </w:tc>
        <w:tc>
          <w:tcPr>
            <w:tcW w:w="947" w:type="dxa"/>
          </w:tcPr>
          <w:p w14:paraId="1DCFDBBB" w14:textId="144EE8D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26,881 </w:t>
            </w:r>
          </w:p>
        </w:tc>
        <w:tc>
          <w:tcPr>
            <w:tcW w:w="920" w:type="dxa"/>
            <w:tcBorders>
              <w:right w:val="single" w:sz="4" w:space="0" w:color="365F91" w:themeColor="accent1" w:themeShade="BF"/>
            </w:tcBorders>
          </w:tcPr>
          <w:p w14:paraId="4A2D5EBD" w14:textId="3247EC2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9984F47" w14:textId="0C3A8E4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505 </w:t>
            </w:r>
          </w:p>
        </w:tc>
        <w:tc>
          <w:tcPr>
            <w:tcW w:w="982" w:type="dxa"/>
          </w:tcPr>
          <w:p w14:paraId="73262FBB" w14:textId="3D70D69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26,881 </w:t>
            </w:r>
          </w:p>
        </w:tc>
        <w:tc>
          <w:tcPr>
            <w:tcW w:w="885" w:type="dxa"/>
            <w:tcBorders>
              <w:right w:val="single" w:sz="4" w:space="0" w:color="365F91" w:themeColor="accent1" w:themeShade="BF"/>
            </w:tcBorders>
          </w:tcPr>
          <w:p w14:paraId="1B020A14" w14:textId="2CE448E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8495F88" w14:textId="4CCE742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1E2BC12" w14:textId="274BD88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2255EC50" w14:textId="23BDDE3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3DB83C3C"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686F4D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Iran (Islamic Republic of)</w:t>
            </w:r>
          </w:p>
        </w:tc>
        <w:tc>
          <w:tcPr>
            <w:tcW w:w="933" w:type="dxa"/>
            <w:tcBorders>
              <w:left w:val="single" w:sz="4" w:space="0" w:color="365F91" w:themeColor="accent1" w:themeShade="BF"/>
            </w:tcBorders>
          </w:tcPr>
          <w:p w14:paraId="526AFD52" w14:textId="4603193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73,987 </w:t>
            </w:r>
          </w:p>
        </w:tc>
        <w:tc>
          <w:tcPr>
            <w:tcW w:w="947" w:type="dxa"/>
          </w:tcPr>
          <w:p w14:paraId="6D85153E" w14:textId="7FEBD52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18,165 </w:t>
            </w:r>
          </w:p>
        </w:tc>
        <w:tc>
          <w:tcPr>
            <w:tcW w:w="920" w:type="dxa"/>
            <w:tcBorders>
              <w:right w:val="single" w:sz="4" w:space="0" w:color="365F91" w:themeColor="accent1" w:themeShade="BF"/>
            </w:tcBorders>
          </w:tcPr>
          <w:p w14:paraId="258CDF4A" w14:textId="155E435E"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85EE5C9" w14:textId="5C4B382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BA229EF" w14:textId="4CB6033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72F8E76" w14:textId="7DA52C2A"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679407F" w14:textId="449C3E6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73,987 </w:t>
            </w:r>
          </w:p>
        </w:tc>
        <w:tc>
          <w:tcPr>
            <w:tcW w:w="933" w:type="dxa"/>
          </w:tcPr>
          <w:p w14:paraId="24AC3D40" w14:textId="39127B5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18,165 </w:t>
            </w:r>
          </w:p>
        </w:tc>
        <w:tc>
          <w:tcPr>
            <w:tcW w:w="934" w:type="dxa"/>
            <w:tcBorders>
              <w:right w:val="single" w:sz="4" w:space="0" w:color="365F91" w:themeColor="accent1" w:themeShade="BF"/>
            </w:tcBorders>
          </w:tcPr>
          <w:p w14:paraId="7EB6967D" w14:textId="1512797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6AF9A4F8"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FEBA954"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Iraq</w:t>
            </w:r>
          </w:p>
        </w:tc>
        <w:tc>
          <w:tcPr>
            <w:tcW w:w="933" w:type="dxa"/>
            <w:tcBorders>
              <w:left w:val="single" w:sz="4" w:space="0" w:color="365F91" w:themeColor="accent1" w:themeShade="BF"/>
            </w:tcBorders>
          </w:tcPr>
          <w:p w14:paraId="6ECBEC0E" w14:textId="00CBBC2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25,211 </w:t>
            </w:r>
          </w:p>
        </w:tc>
        <w:tc>
          <w:tcPr>
            <w:tcW w:w="947" w:type="dxa"/>
          </w:tcPr>
          <w:p w14:paraId="202BCE8C" w14:textId="22FDF4C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6,267 </w:t>
            </w:r>
          </w:p>
        </w:tc>
        <w:tc>
          <w:tcPr>
            <w:tcW w:w="920" w:type="dxa"/>
            <w:tcBorders>
              <w:right w:val="single" w:sz="4" w:space="0" w:color="365F91" w:themeColor="accent1" w:themeShade="BF"/>
            </w:tcBorders>
          </w:tcPr>
          <w:p w14:paraId="4B9F9545" w14:textId="03A4D450"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42E4BB0" w14:textId="6571A16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F1A6DB0" w14:textId="534974D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3EECF1A" w14:textId="4414803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B8C144E" w14:textId="6186F66C"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25,211 </w:t>
            </w:r>
          </w:p>
        </w:tc>
        <w:tc>
          <w:tcPr>
            <w:tcW w:w="933" w:type="dxa"/>
          </w:tcPr>
          <w:p w14:paraId="37F3B18E" w14:textId="11A87B88"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6,267 </w:t>
            </w:r>
          </w:p>
        </w:tc>
        <w:tc>
          <w:tcPr>
            <w:tcW w:w="934" w:type="dxa"/>
            <w:tcBorders>
              <w:right w:val="single" w:sz="4" w:space="0" w:color="365F91" w:themeColor="accent1" w:themeShade="BF"/>
            </w:tcBorders>
          </w:tcPr>
          <w:p w14:paraId="1AEF576D" w14:textId="0797D246"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326D033A"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63ABD07"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Ireland</w:t>
            </w:r>
          </w:p>
        </w:tc>
        <w:tc>
          <w:tcPr>
            <w:tcW w:w="933" w:type="dxa"/>
            <w:tcBorders>
              <w:left w:val="single" w:sz="4" w:space="0" w:color="365F91" w:themeColor="accent1" w:themeShade="BF"/>
            </w:tcBorders>
          </w:tcPr>
          <w:p w14:paraId="16725DA2" w14:textId="666A6DF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C7ECA25" w14:textId="1C089E5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21,495 </w:t>
            </w:r>
          </w:p>
        </w:tc>
        <w:tc>
          <w:tcPr>
            <w:tcW w:w="920" w:type="dxa"/>
            <w:tcBorders>
              <w:right w:val="single" w:sz="4" w:space="0" w:color="365F91" w:themeColor="accent1" w:themeShade="BF"/>
            </w:tcBorders>
          </w:tcPr>
          <w:p w14:paraId="671DD36B" w14:textId="11AEC5F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E4491E0" w14:textId="78ECAF0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79D2EB2" w14:textId="2B04734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21,495 </w:t>
            </w:r>
          </w:p>
        </w:tc>
        <w:tc>
          <w:tcPr>
            <w:tcW w:w="885" w:type="dxa"/>
            <w:tcBorders>
              <w:right w:val="single" w:sz="4" w:space="0" w:color="365F91" w:themeColor="accent1" w:themeShade="BF"/>
            </w:tcBorders>
          </w:tcPr>
          <w:p w14:paraId="541520EE" w14:textId="64C6E71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99D2220" w14:textId="3D9D6DE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C331365" w14:textId="5B8ED28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3E7BE781" w14:textId="112F25B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5AAF32B4"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B2186DD"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Israel</w:t>
            </w:r>
          </w:p>
        </w:tc>
        <w:tc>
          <w:tcPr>
            <w:tcW w:w="933" w:type="dxa"/>
            <w:tcBorders>
              <w:left w:val="single" w:sz="4" w:space="0" w:color="365F91" w:themeColor="accent1" w:themeShade="BF"/>
            </w:tcBorders>
          </w:tcPr>
          <w:p w14:paraId="703F8800" w14:textId="58C6987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27,468 </w:t>
            </w:r>
          </w:p>
        </w:tc>
        <w:tc>
          <w:tcPr>
            <w:tcW w:w="947" w:type="dxa"/>
          </w:tcPr>
          <w:p w14:paraId="50515F49" w14:textId="55D34BB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27,468 </w:t>
            </w:r>
          </w:p>
        </w:tc>
        <w:tc>
          <w:tcPr>
            <w:tcW w:w="920" w:type="dxa"/>
            <w:tcBorders>
              <w:right w:val="single" w:sz="4" w:space="0" w:color="365F91" w:themeColor="accent1" w:themeShade="BF"/>
            </w:tcBorders>
          </w:tcPr>
          <w:p w14:paraId="5CC153F3" w14:textId="260D9B4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FBE88B6" w14:textId="730BCCA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27,468 </w:t>
            </w:r>
          </w:p>
        </w:tc>
        <w:tc>
          <w:tcPr>
            <w:tcW w:w="982" w:type="dxa"/>
          </w:tcPr>
          <w:p w14:paraId="4B8F9C7C" w14:textId="26B75A9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F733050" w14:textId="631C368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1116326" w14:textId="4C652F7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3158CD5" w14:textId="60DBA2B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27,468 </w:t>
            </w:r>
          </w:p>
        </w:tc>
        <w:tc>
          <w:tcPr>
            <w:tcW w:w="934" w:type="dxa"/>
            <w:tcBorders>
              <w:right w:val="single" w:sz="4" w:space="0" w:color="365F91" w:themeColor="accent1" w:themeShade="BF"/>
            </w:tcBorders>
          </w:tcPr>
          <w:p w14:paraId="1CC8B407" w14:textId="64FDBA7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B545942"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E390C25"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Italy</w:t>
            </w:r>
          </w:p>
        </w:tc>
        <w:tc>
          <w:tcPr>
            <w:tcW w:w="933" w:type="dxa"/>
            <w:tcBorders>
              <w:left w:val="single" w:sz="4" w:space="0" w:color="365F91" w:themeColor="accent1" w:themeShade="BF"/>
            </w:tcBorders>
          </w:tcPr>
          <w:p w14:paraId="3D93985F" w14:textId="74E84B3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2493F70" w14:textId="51DC29CB"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156,142 </w:t>
            </w:r>
          </w:p>
        </w:tc>
        <w:tc>
          <w:tcPr>
            <w:tcW w:w="920" w:type="dxa"/>
            <w:tcBorders>
              <w:right w:val="single" w:sz="4" w:space="0" w:color="365F91" w:themeColor="accent1" w:themeShade="BF"/>
            </w:tcBorders>
          </w:tcPr>
          <w:p w14:paraId="2F139E1B" w14:textId="063C20E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EA5334C" w14:textId="4BC7BED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2ADBB02" w14:textId="48F15EC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151,376 </w:t>
            </w:r>
          </w:p>
        </w:tc>
        <w:tc>
          <w:tcPr>
            <w:tcW w:w="885" w:type="dxa"/>
            <w:tcBorders>
              <w:right w:val="single" w:sz="4" w:space="0" w:color="365F91" w:themeColor="accent1" w:themeShade="BF"/>
            </w:tcBorders>
          </w:tcPr>
          <w:p w14:paraId="1DEC11BF" w14:textId="6ECCD65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47193F2" w14:textId="4348E68F"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445704D" w14:textId="5EC1D31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4,766 </w:t>
            </w:r>
          </w:p>
        </w:tc>
        <w:tc>
          <w:tcPr>
            <w:tcW w:w="934" w:type="dxa"/>
            <w:tcBorders>
              <w:right w:val="single" w:sz="4" w:space="0" w:color="365F91" w:themeColor="accent1" w:themeShade="BF"/>
            </w:tcBorders>
          </w:tcPr>
          <w:p w14:paraId="46F1F517" w14:textId="4CCBFCB6"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1067C142"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DF11403"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lastRenderedPageBreak/>
              <w:t>Jamaica</w:t>
            </w:r>
          </w:p>
        </w:tc>
        <w:tc>
          <w:tcPr>
            <w:tcW w:w="933" w:type="dxa"/>
            <w:tcBorders>
              <w:left w:val="single" w:sz="4" w:space="0" w:color="365F91" w:themeColor="accent1" w:themeShade="BF"/>
            </w:tcBorders>
          </w:tcPr>
          <w:p w14:paraId="2499AB88" w14:textId="48AAA66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6563E5F" w14:textId="55BEF13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5A3A4AB" w14:textId="1939D55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35 </w:t>
            </w:r>
          </w:p>
        </w:tc>
        <w:tc>
          <w:tcPr>
            <w:tcW w:w="933" w:type="dxa"/>
            <w:tcBorders>
              <w:left w:val="single" w:sz="4" w:space="0" w:color="365F91" w:themeColor="accent1" w:themeShade="BF"/>
            </w:tcBorders>
          </w:tcPr>
          <w:p w14:paraId="11F10C04" w14:textId="5AB9D06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766AB66" w14:textId="257C036A"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965 </w:t>
            </w:r>
          </w:p>
        </w:tc>
        <w:tc>
          <w:tcPr>
            <w:tcW w:w="885" w:type="dxa"/>
            <w:tcBorders>
              <w:right w:val="single" w:sz="4" w:space="0" w:color="365F91" w:themeColor="accent1" w:themeShade="BF"/>
            </w:tcBorders>
          </w:tcPr>
          <w:p w14:paraId="68CA5FDD" w14:textId="219BBBB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25 </w:t>
            </w:r>
          </w:p>
        </w:tc>
        <w:tc>
          <w:tcPr>
            <w:tcW w:w="933" w:type="dxa"/>
            <w:tcBorders>
              <w:left w:val="single" w:sz="4" w:space="0" w:color="365F91" w:themeColor="accent1" w:themeShade="BF"/>
            </w:tcBorders>
          </w:tcPr>
          <w:p w14:paraId="36CC8C22" w14:textId="6E7E57B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028CEF0" w14:textId="7FF8E731"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897BE2F" w14:textId="0ACA349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25 </w:t>
            </w:r>
          </w:p>
        </w:tc>
      </w:tr>
      <w:tr w:rsidR="00773BE0" w:rsidRPr="00F8347B" w14:paraId="1019CE92"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76DAC95"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Japan</w:t>
            </w:r>
          </w:p>
        </w:tc>
        <w:tc>
          <w:tcPr>
            <w:tcW w:w="933" w:type="dxa"/>
            <w:tcBorders>
              <w:left w:val="single" w:sz="4" w:space="0" w:color="365F91" w:themeColor="accent1" w:themeShade="BF"/>
            </w:tcBorders>
          </w:tcPr>
          <w:p w14:paraId="4582C564" w14:textId="0A5167F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4DB7182" w14:textId="700D5A8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393,318 </w:t>
            </w:r>
          </w:p>
        </w:tc>
        <w:tc>
          <w:tcPr>
            <w:tcW w:w="920" w:type="dxa"/>
            <w:tcBorders>
              <w:right w:val="single" w:sz="4" w:space="0" w:color="365F91" w:themeColor="accent1" w:themeShade="BF"/>
            </w:tcBorders>
          </w:tcPr>
          <w:p w14:paraId="319E5C72" w14:textId="4B56959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34D618D" w14:textId="53B532F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AA4136B" w14:textId="6970422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393,318 </w:t>
            </w:r>
          </w:p>
        </w:tc>
        <w:tc>
          <w:tcPr>
            <w:tcW w:w="885" w:type="dxa"/>
            <w:tcBorders>
              <w:right w:val="single" w:sz="4" w:space="0" w:color="365F91" w:themeColor="accent1" w:themeShade="BF"/>
            </w:tcBorders>
          </w:tcPr>
          <w:p w14:paraId="3389EEBA" w14:textId="12A5F27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D981CE7" w14:textId="03545A9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F99A0C2" w14:textId="5624EB2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23B92053" w14:textId="615E719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5401F6F1"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9167647"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Jordan</w:t>
            </w:r>
          </w:p>
        </w:tc>
        <w:tc>
          <w:tcPr>
            <w:tcW w:w="933" w:type="dxa"/>
            <w:tcBorders>
              <w:left w:val="single" w:sz="4" w:space="0" w:color="365F91" w:themeColor="accent1" w:themeShade="BF"/>
            </w:tcBorders>
          </w:tcPr>
          <w:p w14:paraId="7DC46751" w14:textId="7F389BB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2,105 </w:t>
            </w:r>
          </w:p>
        </w:tc>
        <w:tc>
          <w:tcPr>
            <w:tcW w:w="947" w:type="dxa"/>
          </w:tcPr>
          <w:p w14:paraId="72BC9359" w14:textId="39BA06C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1,077 </w:t>
            </w:r>
          </w:p>
        </w:tc>
        <w:tc>
          <w:tcPr>
            <w:tcW w:w="920" w:type="dxa"/>
            <w:tcBorders>
              <w:right w:val="single" w:sz="4" w:space="0" w:color="365F91" w:themeColor="accent1" w:themeShade="BF"/>
            </w:tcBorders>
          </w:tcPr>
          <w:p w14:paraId="476DA02A" w14:textId="30A3F284"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3A63536" w14:textId="1C9B7817"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A543D2C" w14:textId="135ABE6F"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CBB91AE" w14:textId="1B48650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2D0B21A" w14:textId="4358293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2,105 </w:t>
            </w:r>
          </w:p>
        </w:tc>
        <w:tc>
          <w:tcPr>
            <w:tcW w:w="933" w:type="dxa"/>
          </w:tcPr>
          <w:p w14:paraId="5B4D6CE1" w14:textId="2832DA6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1,077 </w:t>
            </w:r>
          </w:p>
        </w:tc>
        <w:tc>
          <w:tcPr>
            <w:tcW w:w="934" w:type="dxa"/>
            <w:tcBorders>
              <w:right w:val="single" w:sz="4" w:space="0" w:color="365F91" w:themeColor="accent1" w:themeShade="BF"/>
            </w:tcBorders>
          </w:tcPr>
          <w:p w14:paraId="4456E0FC" w14:textId="41F0B78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1823CA61"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A6B5BC2"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Kazakhstan</w:t>
            </w:r>
          </w:p>
        </w:tc>
        <w:tc>
          <w:tcPr>
            <w:tcW w:w="933" w:type="dxa"/>
            <w:tcBorders>
              <w:left w:val="single" w:sz="4" w:space="0" w:color="365F91" w:themeColor="accent1" w:themeShade="BF"/>
            </w:tcBorders>
          </w:tcPr>
          <w:p w14:paraId="33AC0402" w14:textId="4ABE3672"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9229518" w14:textId="7E3BA347"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6,512 </w:t>
            </w:r>
          </w:p>
        </w:tc>
        <w:tc>
          <w:tcPr>
            <w:tcW w:w="920" w:type="dxa"/>
            <w:tcBorders>
              <w:right w:val="single" w:sz="4" w:space="0" w:color="365F91" w:themeColor="accent1" w:themeShade="BF"/>
            </w:tcBorders>
          </w:tcPr>
          <w:p w14:paraId="6EBEA7C9" w14:textId="50F3E24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337C3B5" w14:textId="373C0DC4"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D5BA9A2" w14:textId="221F1E4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6,512 </w:t>
            </w:r>
          </w:p>
        </w:tc>
        <w:tc>
          <w:tcPr>
            <w:tcW w:w="885" w:type="dxa"/>
            <w:tcBorders>
              <w:right w:val="single" w:sz="4" w:space="0" w:color="365F91" w:themeColor="accent1" w:themeShade="BF"/>
            </w:tcBorders>
          </w:tcPr>
          <w:p w14:paraId="30876C24" w14:textId="1ED84CAD"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64C7512" w14:textId="6B02510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E342521" w14:textId="52EA6A21"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1814AEA" w14:textId="05F65B0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773BE0" w:rsidRPr="00F8347B" w14:paraId="485AEB99"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01796C6"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Kenya</w:t>
            </w:r>
          </w:p>
        </w:tc>
        <w:tc>
          <w:tcPr>
            <w:tcW w:w="933" w:type="dxa"/>
            <w:tcBorders>
              <w:left w:val="single" w:sz="4" w:space="0" w:color="365F91" w:themeColor="accent1" w:themeShade="BF"/>
            </w:tcBorders>
          </w:tcPr>
          <w:p w14:paraId="13FFF1DD" w14:textId="570E78E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5CEE6D25" w14:textId="6141F915"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1,469 </w:t>
            </w:r>
          </w:p>
        </w:tc>
        <w:tc>
          <w:tcPr>
            <w:tcW w:w="920" w:type="dxa"/>
            <w:tcBorders>
              <w:right w:val="single" w:sz="4" w:space="0" w:color="365F91" w:themeColor="accent1" w:themeShade="BF"/>
            </w:tcBorders>
          </w:tcPr>
          <w:p w14:paraId="41DE17AE" w14:textId="3AFD846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03F55FE" w14:textId="2ACE35B9"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8D29458" w14:textId="43EFB1CE"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1,469 </w:t>
            </w:r>
          </w:p>
        </w:tc>
        <w:tc>
          <w:tcPr>
            <w:tcW w:w="885" w:type="dxa"/>
            <w:tcBorders>
              <w:right w:val="single" w:sz="4" w:space="0" w:color="365F91" w:themeColor="accent1" w:themeShade="BF"/>
            </w:tcBorders>
          </w:tcPr>
          <w:p w14:paraId="6191A7BE" w14:textId="5D84FD22"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531 </w:t>
            </w:r>
          </w:p>
        </w:tc>
        <w:tc>
          <w:tcPr>
            <w:tcW w:w="933" w:type="dxa"/>
            <w:tcBorders>
              <w:left w:val="single" w:sz="4" w:space="0" w:color="365F91" w:themeColor="accent1" w:themeShade="BF"/>
            </w:tcBorders>
          </w:tcPr>
          <w:p w14:paraId="2BDD1FF0" w14:textId="51EFDE43"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D1F062A" w14:textId="7A2E932B"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A3C5A25" w14:textId="67D0C8DD" w:rsidR="00773BE0" w:rsidRPr="00D25CEB" w:rsidRDefault="00773BE0"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531 </w:t>
            </w:r>
          </w:p>
        </w:tc>
      </w:tr>
      <w:tr w:rsidR="00773BE0" w:rsidRPr="00F8347B" w14:paraId="79F317BA"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30D2239" w14:textId="77777777" w:rsidR="00773BE0" w:rsidRPr="00D25CEB" w:rsidRDefault="00773BE0"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Kiribati</w:t>
            </w:r>
          </w:p>
        </w:tc>
        <w:tc>
          <w:tcPr>
            <w:tcW w:w="933" w:type="dxa"/>
            <w:tcBorders>
              <w:left w:val="single" w:sz="4" w:space="0" w:color="365F91" w:themeColor="accent1" w:themeShade="BF"/>
            </w:tcBorders>
          </w:tcPr>
          <w:p w14:paraId="09E6D627" w14:textId="4FB6A40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7B249CA" w14:textId="2CBF369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0DC5D05C" w14:textId="3E9D6850"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8D70434" w14:textId="37B7A6C5"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BC9343A" w14:textId="1B85A80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20E5804C" w14:textId="718B49C3"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F779464" w14:textId="2E84501C"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9847D52" w14:textId="250205E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7AC88715" w14:textId="59A976E9" w:rsidR="00773BE0" w:rsidRPr="00D25CEB" w:rsidRDefault="00773BE0"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329439F0"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72D0930"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Kuwait</w:t>
            </w:r>
          </w:p>
        </w:tc>
        <w:tc>
          <w:tcPr>
            <w:tcW w:w="933" w:type="dxa"/>
            <w:tcBorders>
              <w:left w:val="single" w:sz="4" w:space="0" w:color="365F91" w:themeColor="accent1" w:themeShade="BF"/>
            </w:tcBorders>
          </w:tcPr>
          <w:p w14:paraId="55C65034" w14:textId="5543BC7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3FFB10F" w14:textId="22A2B3D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11,457 </w:t>
            </w:r>
          </w:p>
        </w:tc>
        <w:tc>
          <w:tcPr>
            <w:tcW w:w="920" w:type="dxa"/>
            <w:tcBorders>
              <w:right w:val="single" w:sz="4" w:space="0" w:color="365F91" w:themeColor="accent1" w:themeShade="BF"/>
            </w:tcBorders>
          </w:tcPr>
          <w:p w14:paraId="733861F1" w14:textId="56DA344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5123E0E" w14:textId="0C14FE6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7E38151" w14:textId="1C6FC6F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11,457 </w:t>
            </w:r>
          </w:p>
        </w:tc>
        <w:tc>
          <w:tcPr>
            <w:tcW w:w="885" w:type="dxa"/>
            <w:tcBorders>
              <w:right w:val="single" w:sz="4" w:space="0" w:color="365F91" w:themeColor="accent1" w:themeShade="BF"/>
            </w:tcBorders>
          </w:tcPr>
          <w:p w14:paraId="2DE4DF49" w14:textId="0731225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056CBB6" w14:textId="02FF1BF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CD1D6F0" w14:textId="0FE029E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792F9C83" w14:textId="25B4104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54541D2F"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B7F78D6"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Kyrgyzstan</w:t>
            </w:r>
          </w:p>
        </w:tc>
        <w:tc>
          <w:tcPr>
            <w:tcW w:w="933" w:type="dxa"/>
            <w:tcBorders>
              <w:left w:val="single" w:sz="4" w:space="0" w:color="365F91" w:themeColor="accent1" w:themeShade="BF"/>
            </w:tcBorders>
          </w:tcPr>
          <w:p w14:paraId="644BA2F9" w14:textId="07E08B3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47" w:type="dxa"/>
          </w:tcPr>
          <w:p w14:paraId="44B826C3" w14:textId="4C48C12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7B3EDCA" w14:textId="1E25B8C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CB64E3F" w14:textId="282F519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8E4CE5B" w14:textId="3A59BB6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CCD627B" w14:textId="1F7795C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E47F866" w14:textId="49B96C4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33" w:type="dxa"/>
          </w:tcPr>
          <w:p w14:paraId="5A115AA9" w14:textId="697AAA3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66CFFE1A" w14:textId="21E1E1F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0318E9F7"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9F089F0"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Lao People's Democratic Republic</w:t>
            </w:r>
          </w:p>
        </w:tc>
        <w:tc>
          <w:tcPr>
            <w:tcW w:w="933" w:type="dxa"/>
            <w:tcBorders>
              <w:left w:val="single" w:sz="4" w:space="0" w:color="365F91" w:themeColor="accent1" w:themeShade="BF"/>
            </w:tcBorders>
          </w:tcPr>
          <w:p w14:paraId="5BE88B4F" w14:textId="71A5B71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03354EB6" w14:textId="7D6DAD5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F195D02" w14:textId="739FE79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B11D4BE" w14:textId="5884E8A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61B64A5" w14:textId="7DDECD5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13F1163D" w14:textId="6778B86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2EEE539" w14:textId="1D46548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1DC84FD" w14:textId="2E2693F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3E6AA1D" w14:textId="1907566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4B29D7DB"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DD44A85"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Latvia</w:t>
            </w:r>
          </w:p>
        </w:tc>
        <w:tc>
          <w:tcPr>
            <w:tcW w:w="933" w:type="dxa"/>
            <w:tcBorders>
              <w:left w:val="single" w:sz="4" w:space="0" w:color="365F91" w:themeColor="accent1" w:themeShade="BF"/>
            </w:tcBorders>
          </w:tcPr>
          <w:p w14:paraId="043BCD74" w14:textId="498A87EE"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05458C5F" w14:textId="628D9F7C"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2,448 </w:t>
            </w:r>
          </w:p>
        </w:tc>
        <w:tc>
          <w:tcPr>
            <w:tcW w:w="920" w:type="dxa"/>
            <w:tcBorders>
              <w:right w:val="single" w:sz="4" w:space="0" w:color="365F91" w:themeColor="accent1" w:themeShade="BF"/>
            </w:tcBorders>
          </w:tcPr>
          <w:p w14:paraId="5826D8F3" w14:textId="6E2C32B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55DC435" w14:textId="30A241B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93D0E9A" w14:textId="5BBFDBF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2,448 </w:t>
            </w:r>
          </w:p>
        </w:tc>
        <w:tc>
          <w:tcPr>
            <w:tcW w:w="885" w:type="dxa"/>
            <w:tcBorders>
              <w:right w:val="single" w:sz="4" w:space="0" w:color="365F91" w:themeColor="accent1" w:themeShade="BF"/>
            </w:tcBorders>
          </w:tcPr>
          <w:p w14:paraId="1666129F" w14:textId="6A66DF2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4E52E15" w14:textId="7BE4085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725D10B" w14:textId="7620707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0D15EAD" w14:textId="5588032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225AB47B"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F4AD190"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Lebanon</w:t>
            </w:r>
          </w:p>
        </w:tc>
        <w:tc>
          <w:tcPr>
            <w:tcW w:w="933" w:type="dxa"/>
            <w:tcBorders>
              <w:left w:val="single" w:sz="4" w:space="0" w:color="365F91" w:themeColor="accent1" w:themeShade="BF"/>
            </w:tcBorders>
          </w:tcPr>
          <w:p w14:paraId="14565576" w14:textId="5DEE2C1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13,768 </w:t>
            </w:r>
          </w:p>
        </w:tc>
        <w:tc>
          <w:tcPr>
            <w:tcW w:w="947" w:type="dxa"/>
          </w:tcPr>
          <w:p w14:paraId="4F1942AB" w14:textId="151D386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1,763 </w:t>
            </w:r>
          </w:p>
        </w:tc>
        <w:tc>
          <w:tcPr>
            <w:tcW w:w="920" w:type="dxa"/>
            <w:tcBorders>
              <w:right w:val="single" w:sz="4" w:space="0" w:color="365F91" w:themeColor="accent1" w:themeShade="BF"/>
            </w:tcBorders>
          </w:tcPr>
          <w:p w14:paraId="171F79CF" w14:textId="1D0AACE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D90ABF4" w14:textId="3D97E4B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2217A7F" w14:textId="072D652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9651F38" w14:textId="738E062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76B9351" w14:textId="2A8F95A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13,768 </w:t>
            </w:r>
          </w:p>
        </w:tc>
        <w:tc>
          <w:tcPr>
            <w:tcW w:w="933" w:type="dxa"/>
          </w:tcPr>
          <w:p w14:paraId="34FF5A86" w14:textId="616C44F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1,763 </w:t>
            </w:r>
          </w:p>
        </w:tc>
        <w:tc>
          <w:tcPr>
            <w:tcW w:w="934" w:type="dxa"/>
            <w:tcBorders>
              <w:right w:val="single" w:sz="4" w:space="0" w:color="365F91" w:themeColor="accent1" w:themeShade="BF"/>
            </w:tcBorders>
          </w:tcPr>
          <w:p w14:paraId="4340A730" w14:textId="119F6F4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633F8891"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CCA9692"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Lesotho</w:t>
            </w:r>
          </w:p>
        </w:tc>
        <w:tc>
          <w:tcPr>
            <w:tcW w:w="933" w:type="dxa"/>
            <w:tcBorders>
              <w:left w:val="single" w:sz="4" w:space="0" w:color="365F91" w:themeColor="accent1" w:themeShade="BF"/>
            </w:tcBorders>
          </w:tcPr>
          <w:p w14:paraId="52FF283E" w14:textId="2C7D010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1B7BE1F" w14:textId="529D94F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1057ECF" w14:textId="02692B7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1,205 </w:t>
            </w:r>
          </w:p>
        </w:tc>
        <w:tc>
          <w:tcPr>
            <w:tcW w:w="933" w:type="dxa"/>
            <w:tcBorders>
              <w:left w:val="single" w:sz="4" w:space="0" w:color="365F91" w:themeColor="accent1" w:themeShade="BF"/>
            </w:tcBorders>
          </w:tcPr>
          <w:p w14:paraId="6ADE92FA" w14:textId="17B441C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7B98178" w14:textId="794B495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2A8D427" w14:textId="5848FF8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1DFA3E0" w14:textId="0380643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3B9E9BB2" w14:textId="3C1B23D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EC7D4E7" w14:textId="783AF57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205 </w:t>
            </w:r>
          </w:p>
        </w:tc>
      </w:tr>
      <w:tr w:rsidR="00AC457A" w:rsidRPr="00F8347B" w14:paraId="76FF0DA4"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7671D09"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Liberia</w:t>
            </w:r>
          </w:p>
        </w:tc>
        <w:tc>
          <w:tcPr>
            <w:tcW w:w="933" w:type="dxa"/>
            <w:tcBorders>
              <w:left w:val="single" w:sz="4" w:space="0" w:color="365F91" w:themeColor="accent1" w:themeShade="BF"/>
            </w:tcBorders>
          </w:tcPr>
          <w:p w14:paraId="69D1AD7F" w14:textId="08E730C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17,110 </w:t>
            </w:r>
          </w:p>
        </w:tc>
        <w:tc>
          <w:tcPr>
            <w:tcW w:w="947" w:type="dxa"/>
          </w:tcPr>
          <w:p w14:paraId="2BF9C910" w14:textId="2846AFF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8A3422E" w14:textId="3AD850C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A2EB09C" w14:textId="179F737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C3A189B" w14:textId="5B1CF37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BCEB42C" w14:textId="00B523A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3E2C8DD" w14:textId="4024939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17,110 </w:t>
            </w:r>
          </w:p>
        </w:tc>
        <w:tc>
          <w:tcPr>
            <w:tcW w:w="933" w:type="dxa"/>
          </w:tcPr>
          <w:p w14:paraId="1E4087B3" w14:textId="563E888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CA2A775" w14:textId="3808A0B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68C986F2"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1BB3A20"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Libya</w:t>
            </w:r>
          </w:p>
        </w:tc>
        <w:tc>
          <w:tcPr>
            <w:tcW w:w="933" w:type="dxa"/>
            <w:tcBorders>
              <w:left w:val="single" w:sz="4" w:space="0" w:color="365F91" w:themeColor="accent1" w:themeShade="BF"/>
            </w:tcBorders>
          </w:tcPr>
          <w:p w14:paraId="76B1A6AD" w14:textId="3E09BDF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58,151 </w:t>
            </w:r>
          </w:p>
        </w:tc>
        <w:tc>
          <w:tcPr>
            <w:tcW w:w="947" w:type="dxa"/>
          </w:tcPr>
          <w:p w14:paraId="18543EE0" w14:textId="16C92C0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2FCCCF2" w14:textId="3EABFCF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74F5B3E" w14:textId="6713539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A6C5920" w14:textId="6B7A778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9A40747" w14:textId="5447A42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4B802CB" w14:textId="5B710B4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58,151 </w:t>
            </w:r>
          </w:p>
        </w:tc>
        <w:tc>
          <w:tcPr>
            <w:tcW w:w="933" w:type="dxa"/>
          </w:tcPr>
          <w:p w14:paraId="224FCA9D" w14:textId="504DB42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6A1CAA98" w14:textId="50058AA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546CE549"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64AEA2D"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Liechtenstein</w:t>
            </w:r>
          </w:p>
        </w:tc>
        <w:tc>
          <w:tcPr>
            <w:tcW w:w="933" w:type="dxa"/>
            <w:tcBorders>
              <w:left w:val="single" w:sz="4" w:space="0" w:color="365F91" w:themeColor="accent1" w:themeShade="BF"/>
            </w:tcBorders>
          </w:tcPr>
          <w:p w14:paraId="53068847" w14:textId="7FA5B30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CA6F405" w14:textId="12D2563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BEC30B1" w14:textId="2A42057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F14DE13" w14:textId="41D9B59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E986EC5" w14:textId="58188DF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78DE5CAC" w14:textId="410B1F5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5961BEA" w14:textId="62BE019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AB982FF" w14:textId="2E4F74B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9E36A2B" w14:textId="393D642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46B6209B"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0A51069"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Lithuania</w:t>
            </w:r>
          </w:p>
        </w:tc>
        <w:tc>
          <w:tcPr>
            <w:tcW w:w="933" w:type="dxa"/>
            <w:tcBorders>
              <w:left w:val="single" w:sz="4" w:space="0" w:color="365F91" w:themeColor="accent1" w:themeShade="BF"/>
            </w:tcBorders>
          </w:tcPr>
          <w:p w14:paraId="077385C2" w14:textId="0338E81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5DF0F75" w14:textId="392BA63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3,770 </w:t>
            </w:r>
          </w:p>
        </w:tc>
        <w:tc>
          <w:tcPr>
            <w:tcW w:w="920" w:type="dxa"/>
            <w:tcBorders>
              <w:right w:val="single" w:sz="4" w:space="0" w:color="365F91" w:themeColor="accent1" w:themeShade="BF"/>
            </w:tcBorders>
          </w:tcPr>
          <w:p w14:paraId="0960ED40" w14:textId="5A94AE9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67A5989" w14:textId="14FA346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EC9B9D4" w14:textId="5DB8A4E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3,770 </w:t>
            </w:r>
          </w:p>
        </w:tc>
        <w:tc>
          <w:tcPr>
            <w:tcW w:w="885" w:type="dxa"/>
            <w:tcBorders>
              <w:right w:val="single" w:sz="4" w:space="0" w:color="365F91" w:themeColor="accent1" w:themeShade="BF"/>
            </w:tcBorders>
          </w:tcPr>
          <w:p w14:paraId="1BEAEAC9" w14:textId="0F9A7A0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E3DE2BC" w14:textId="3447FEB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730053D" w14:textId="49027CD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845BED1" w14:textId="7F7CAC0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7C321F3C"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40DBB7D"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Luxembourg</w:t>
            </w:r>
          </w:p>
        </w:tc>
        <w:tc>
          <w:tcPr>
            <w:tcW w:w="933" w:type="dxa"/>
            <w:tcBorders>
              <w:left w:val="single" w:sz="4" w:space="0" w:color="365F91" w:themeColor="accent1" w:themeShade="BF"/>
            </w:tcBorders>
          </w:tcPr>
          <w:p w14:paraId="2DDE9ACE" w14:textId="6CDFA96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FE595FE" w14:textId="5B71FAB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3,329 </w:t>
            </w:r>
          </w:p>
        </w:tc>
        <w:tc>
          <w:tcPr>
            <w:tcW w:w="920" w:type="dxa"/>
            <w:tcBorders>
              <w:right w:val="single" w:sz="4" w:space="0" w:color="365F91" w:themeColor="accent1" w:themeShade="BF"/>
            </w:tcBorders>
          </w:tcPr>
          <w:p w14:paraId="35B82437" w14:textId="3EACA19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4521DE1" w14:textId="7FBFE68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D514105" w14:textId="7FFBF6F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3,329 </w:t>
            </w:r>
          </w:p>
        </w:tc>
        <w:tc>
          <w:tcPr>
            <w:tcW w:w="885" w:type="dxa"/>
            <w:tcBorders>
              <w:right w:val="single" w:sz="4" w:space="0" w:color="365F91" w:themeColor="accent1" w:themeShade="BF"/>
            </w:tcBorders>
          </w:tcPr>
          <w:p w14:paraId="01380F19" w14:textId="003DB8C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EA7E0FC" w14:textId="5AE5439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96F1882" w14:textId="285EC74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60C2D48" w14:textId="570FEBB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775D97AC"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9E53935"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Madagascar</w:t>
            </w:r>
          </w:p>
        </w:tc>
        <w:tc>
          <w:tcPr>
            <w:tcW w:w="933" w:type="dxa"/>
            <w:tcBorders>
              <w:left w:val="single" w:sz="4" w:space="0" w:color="365F91" w:themeColor="accent1" w:themeShade="BF"/>
            </w:tcBorders>
          </w:tcPr>
          <w:p w14:paraId="59D07C32" w14:textId="18D2040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E39711E" w14:textId="4BF042E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CB55567" w14:textId="5B4355A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39A3187" w14:textId="413A01A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D6ACB1A" w14:textId="695DFB3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4FE9417" w14:textId="557A885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5840290" w14:textId="58CDC0B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3462F760" w14:textId="6866BBB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53B8E608" w14:textId="483B4A4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5005B42A"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C90885C"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Malawi</w:t>
            </w:r>
          </w:p>
        </w:tc>
        <w:tc>
          <w:tcPr>
            <w:tcW w:w="933" w:type="dxa"/>
            <w:tcBorders>
              <w:left w:val="single" w:sz="4" w:space="0" w:color="365F91" w:themeColor="accent1" w:themeShade="BF"/>
            </w:tcBorders>
          </w:tcPr>
          <w:p w14:paraId="2FCC1A66" w14:textId="259D122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966 </w:t>
            </w:r>
          </w:p>
        </w:tc>
        <w:tc>
          <w:tcPr>
            <w:tcW w:w="947" w:type="dxa"/>
          </w:tcPr>
          <w:p w14:paraId="441D80E3" w14:textId="15CE614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3AE66965" w14:textId="29758A2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46614DE" w14:textId="1D40B81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B3B65EF" w14:textId="56E3AC6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0C26122" w14:textId="775A38B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C1530FC" w14:textId="5B3EDF5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966 </w:t>
            </w:r>
          </w:p>
        </w:tc>
        <w:tc>
          <w:tcPr>
            <w:tcW w:w="933" w:type="dxa"/>
          </w:tcPr>
          <w:p w14:paraId="5405395E" w14:textId="160B914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6776B4DF" w14:textId="54D14E3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2B8B8B45"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5DD9158"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Malaysia</w:t>
            </w:r>
          </w:p>
        </w:tc>
        <w:tc>
          <w:tcPr>
            <w:tcW w:w="933" w:type="dxa"/>
            <w:tcBorders>
              <w:left w:val="single" w:sz="4" w:space="0" w:color="365F91" w:themeColor="accent1" w:themeShade="BF"/>
            </w:tcBorders>
          </w:tcPr>
          <w:p w14:paraId="201D8788" w14:textId="7CB2BD1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7E5267A" w14:textId="700D1A2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17,039 </w:t>
            </w:r>
          </w:p>
        </w:tc>
        <w:tc>
          <w:tcPr>
            <w:tcW w:w="920" w:type="dxa"/>
            <w:tcBorders>
              <w:right w:val="single" w:sz="4" w:space="0" w:color="365F91" w:themeColor="accent1" w:themeShade="BF"/>
            </w:tcBorders>
          </w:tcPr>
          <w:p w14:paraId="1D01E765" w14:textId="41B0711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D16D5B2" w14:textId="28EEE74E"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010FCDC" w14:textId="702C696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17,039 </w:t>
            </w:r>
          </w:p>
        </w:tc>
        <w:tc>
          <w:tcPr>
            <w:tcW w:w="885" w:type="dxa"/>
            <w:tcBorders>
              <w:right w:val="single" w:sz="4" w:space="0" w:color="365F91" w:themeColor="accent1" w:themeShade="BF"/>
            </w:tcBorders>
          </w:tcPr>
          <w:p w14:paraId="46C14CAD" w14:textId="72D4C55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0A77101" w14:textId="67A2D57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32A6D2E9" w14:textId="6CE35D9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4F5FA2E" w14:textId="698A484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5DF7865D"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36A9C0D"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Mali</w:t>
            </w:r>
          </w:p>
        </w:tc>
        <w:tc>
          <w:tcPr>
            <w:tcW w:w="933" w:type="dxa"/>
            <w:tcBorders>
              <w:left w:val="single" w:sz="4" w:space="0" w:color="365F91" w:themeColor="accent1" w:themeShade="BF"/>
            </w:tcBorders>
          </w:tcPr>
          <w:p w14:paraId="4BF16B39" w14:textId="79032D7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07AB5502" w14:textId="09F358F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2E8E566" w14:textId="7F0B424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3,060 </w:t>
            </w:r>
          </w:p>
        </w:tc>
        <w:tc>
          <w:tcPr>
            <w:tcW w:w="933" w:type="dxa"/>
            <w:tcBorders>
              <w:left w:val="single" w:sz="4" w:space="0" w:color="365F91" w:themeColor="accent1" w:themeShade="BF"/>
            </w:tcBorders>
          </w:tcPr>
          <w:p w14:paraId="4BB55252" w14:textId="6DFA1DD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623EC95" w14:textId="2F58AE8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B37CCF9" w14:textId="782C6BF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6BF32D1" w14:textId="5B38189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00D44E8" w14:textId="121505F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58194EF9" w14:textId="4B93BBA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2,060 </w:t>
            </w:r>
          </w:p>
        </w:tc>
      </w:tr>
      <w:tr w:rsidR="00AC457A" w:rsidRPr="00F8347B" w14:paraId="5583754B"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BEA8ACD"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Malta</w:t>
            </w:r>
          </w:p>
        </w:tc>
        <w:tc>
          <w:tcPr>
            <w:tcW w:w="933" w:type="dxa"/>
            <w:tcBorders>
              <w:left w:val="single" w:sz="4" w:space="0" w:color="365F91" w:themeColor="accent1" w:themeShade="BF"/>
            </w:tcBorders>
          </w:tcPr>
          <w:p w14:paraId="6FDBE5B0" w14:textId="7D92384C"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2077DA8" w14:textId="6D86C4E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46C8573" w14:textId="663BBC9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2486A70" w14:textId="1CBEA00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F28267A" w14:textId="580E2F1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1258DD5B" w14:textId="3330890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630A706" w14:textId="6806847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3848F82" w14:textId="5D14099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F8251A8" w14:textId="64C1C41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3555F89C"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F37A13A"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Marshall Islands</w:t>
            </w:r>
          </w:p>
        </w:tc>
        <w:tc>
          <w:tcPr>
            <w:tcW w:w="933" w:type="dxa"/>
            <w:tcBorders>
              <w:left w:val="single" w:sz="4" w:space="0" w:color="365F91" w:themeColor="accent1" w:themeShade="BF"/>
            </w:tcBorders>
          </w:tcPr>
          <w:p w14:paraId="043105E4" w14:textId="788BBFE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7,161 </w:t>
            </w:r>
          </w:p>
        </w:tc>
        <w:tc>
          <w:tcPr>
            <w:tcW w:w="947" w:type="dxa"/>
          </w:tcPr>
          <w:p w14:paraId="67BBAACE" w14:textId="244EDBB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5949CC5" w14:textId="004EBAB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14EF5AD" w14:textId="71AE58A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D33CBF5" w14:textId="488CC7C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724553D" w14:textId="5BD807F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7E6D9D4" w14:textId="09B641D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7,161 </w:t>
            </w:r>
          </w:p>
        </w:tc>
        <w:tc>
          <w:tcPr>
            <w:tcW w:w="933" w:type="dxa"/>
          </w:tcPr>
          <w:p w14:paraId="2E3F7D99" w14:textId="30085D9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54C2196B" w14:textId="4BFA980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628A1859"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E2F513D"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Mauritania</w:t>
            </w:r>
          </w:p>
        </w:tc>
        <w:tc>
          <w:tcPr>
            <w:tcW w:w="933" w:type="dxa"/>
            <w:tcBorders>
              <w:left w:val="single" w:sz="4" w:space="0" w:color="365F91" w:themeColor="accent1" w:themeShade="BF"/>
            </w:tcBorders>
          </w:tcPr>
          <w:p w14:paraId="384C5F76" w14:textId="67A75D9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4F70496" w14:textId="1ABF7A2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377DCB5" w14:textId="3EBCDD8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85B135F" w14:textId="6E8BCEA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9031B06" w14:textId="0483962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7308427" w14:textId="4723A2D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B4AB73E" w14:textId="3D2B020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C648EA7" w14:textId="35FA6E7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68C1814B" w14:textId="636B7DA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67DB2A85"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6D50311"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Mauritius</w:t>
            </w:r>
          </w:p>
        </w:tc>
        <w:tc>
          <w:tcPr>
            <w:tcW w:w="933" w:type="dxa"/>
            <w:tcBorders>
              <w:left w:val="single" w:sz="4" w:space="0" w:color="365F91" w:themeColor="accent1" w:themeShade="BF"/>
            </w:tcBorders>
          </w:tcPr>
          <w:p w14:paraId="14E3A33B" w14:textId="2DBF532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BF9D22A" w14:textId="1FE57B2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3A009D41" w14:textId="41B1357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49D942A" w14:textId="465C207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C49E905" w14:textId="054C25F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6A7D55E2" w14:textId="5559DA1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5549CAF" w14:textId="731057E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A0BE0C1" w14:textId="550937E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34BA3DA1" w14:textId="5DB32E1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75B04051"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DFB12C5"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Mexico</w:t>
            </w:r>
          </w:p>
        </w:tc>
        <w:tc>
          <w:tcPr>
            <w:tcW w:w="933" w:type="dxa"/>
            <w:tcBorders>
              <w:left w:val="single" w:sz="4" w:space="0" w:color="365F91" w:themeColor="accent1" w:themeShade="BF"/>
            </w:tcBorders>
          </w:tcPr>
          <w:p w14:paraId="040C0356" w14:textId="3DFB8AD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5BE89FB4" w14:textId="7609F7D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59,784 </w:t>
            </w:r>
          </w:p>
        </w:tc>
        <w:tc>
          <w:tcPr>
            <w:tcW w:w="920" w:type="dxa"/>
            <w:tcBorders>
              <w:right w:val="single" w:sz="4" w:space="0" w:color="365F91" w:themeColor="accent1" w:themeShade="BF"/>
            </w:tcBorders>
          </w:tcPr>
          <w:p w14:paraId="0643B5B4" w14:textId="7776444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E9E70C9" w14:textId="0F27439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F59CA47" w14:textId="70580CC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59,784 </w:t>
            </w:r>
          </w:p>
        </w:tc>
        <w:tc>
          <w:tcPr>
            <w:tcW w:w="885" w:type="dxa"/>
            <w:tcBorders>
              <w:right w:val="single" w:sz="4" w:space="0" w:color="365F91" w:themeColor="accent1" w:themeShade="BF"/>
            </w:tcBorders>
          </w:tcPr>
          <w:p w14:paraId="42B1D7FD" w14:textId="7CEF3F3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BB7E8B7" w14:textId="0158931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9678C39" w14:textId="3E10CF0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347B3515" w14:textId="25E2ECF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192D7B26"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5A04D87"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Monaco</w:t>
            </w:r>
          </w:p>
        </w:tc>
        <w:tc>
          <w:tcPr>
            <w:tcW w:w="933" w:type="dxa"/>
            <w:tcBorders>
              <w:left w:val="single" w:sz="4" w:space="0" w:color="365F91" w:themeColor="accent1" w:themeShade="BF"/>
            </w:tcBorders>
          </w:tcPr>
          <w:p w14:paraId="71CAEF4F" w14:textId="0DA90E6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14B9D8B" w14:textId="299B57D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CE78A15" w14:textId="4786CB8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9A8FE06" w14:textId="193B82E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326276F" w14:textId="1B1A28A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49C3C5E2" w14:textId="559703E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68B52E7" w14:textId="7D88762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9F86605" w14:textId="772A9AA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296EC2A2" w14:textId="387CC24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64F2A0AC"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0DA206C"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Mongolia</w:t>
            </w:r>
          </w:p>
        </w:tc>
        <w:tc>
          <w:tcPr>
            <w:tcW w:w="933" w:type="dxa"/>
            <w:tcBorders>
              <w:left w:val="single" w:sz="4" w:space="0" w:color="365F91" w:themeColor="accent1" w:themeShade="BF"/>
            </w:tcBorders>
          </w:tcPr>
          <w:p w14:paraId="4B1A8AE0" w14:textId="2535F92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47" w:type="dxa"/>
          </w:tcPr>
          <w:p w14:paraId="544EA3B1" w14:textId="22A350F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7EAAD51" w14:textId="6E64DAE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107EB79" w14:textId="2E2DE5D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7E13BC7" w14:textId="31D67B5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36BF0B53" w14:textId="0C46681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A22344F" w14:textId="0414DA2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33" w:type="dxa"/>
          </w:tcPr>
          <w:p w14:paraId="6D3DADA3" w14:textId="2F01FE2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723B387A" w14:textId="7A80254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1B97C149"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B0AC62B"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Montenegro</w:t>
            </w:r>
          </w:p>
        </w:tc>
        <w:tc>
          <w:tcPr>
            <w:tcW w:w="933" w:type="dxa"/>
            <w:tcBorders>
              <w:left w:val="single" w:sz="4" w:space="0" w:color="365F91" w:themeColor="accent1" w:themeShade="BF"/>
            </w:tcBorders>
          </w:tcPr>
          <w:p w14:paraId="776137BC" w14:textId="2122684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7A41883" w14:textId="4007968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D4D451D" w14:textId="7E279DD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861361D" w14:textId="50DF8CF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465C271" w14:textId="2B3082D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4EE11C9A" w14:textId="7F17CC5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D131896" w14:textId="4F0710D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0A307C3" w14:textId="4CCB1DE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96D9271" w14:textId="274661C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0254E4F4"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7DEC4E5"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Morocco</w:t>
            </w:r>
          </w:p>
        </w:tc>
        <w:tc>
          <w:tcPr>
            <w:tcW w:w="933" w:type="dxa"/>
            <w:tcBorders>
              <w:left w:val="single" w:sz="4" w:space="0" w:color="365F91" w:themeColor="accent1" w:themeShade="BF"/>
            </w:tcBorders>
          </w:tcPr>
          <w:p w14:paraId="28344196" w14:textId="5221369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7C4DA66" w14:textId="5F37A33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2,693 </w:t>
            </w:r>
          </w:p>
        </w:tc>
        <w:tc>
          <w:tcPr>
            <w:tcW w:w="920" w:type="dxa"/>
            <w:tcBorders>
              <w:right w:val="single" w:sz="4" w:space="0" w:color="365F91" w:themeColor="accent1" w:themeShade="BF"/>
            </w:tcBorders>
          </w:tcPr>
          <w:p w14:paraId="55FB8320" w14:textId="747D011E"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CE23712" w14:textId="7AA0C61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D677C36" w14:textId="04DB893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0615192F" w14:textId="752BD36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273D366" w14:textId="2D59064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081DA27" w14:textId="4B51D98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2,693 </w:t>
            </w:r>
          </w:p>
        </w:tc>
        <w:tc>
          <w:tcPr>
            <w:tcW w:w="934" w:type="dxa"/>
            <w:tcBorders>
              <w:right w:val="single" w:sz="4" w:space="0" w:color="365F91" w:themeColor="accent1" w:themeShade="BF"/>
            </w:tcBorders>
          </w:tcPr>
          <w:p w14:paraId="709AEBCC" w14:textId="1E13222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29354083"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DE0113A"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Mozambique</w:t>
            </w:r>
          </w:p>
        </w:tc>
        <w:tc>
          <w:tcPr>
            <w:tcW w:w="933" w:type="dxa"/>
            <w:tcBorders>
              <w:left w:val="single" w:sz="4" w:space="0" w:color="365F91" w:themeColor="accent1" w:themeShade="BF"/>
            </w:tcBorders>
          </w:tcPr>
          <w:p w14:paraId="68019478" w14:textId="5F1213A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4,000 </w:t>
            </w:r>
          </w:p>
        </w:tc>
        <w:tc>
          <w:tcPr>
            <w:tcW w:w="947" w:type="dxa"/>
          </w:tcPr>
          <w:p w14:paraId="1FA9AB7E" w14:textId="5388AD3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B24C9D4" w14:textId="3D69A54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D5FA7AD" w14:textId="18F6FC5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9B073A3" w14:textId="563AB9F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150FB3F" w14:textId="25FD335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AC38138" w14:textId="7DA6643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4,000 </w:t>
            </w:r>
          </w:p>
        </w:tc>
        <w:tc>
          <w:tcPr>
            <w:tcW w:w="933" w:type="dxa"/>
          </w:tcPr>
          <w:p w14:paraId="19411950" w14:textId="735EADB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7174CEFA" w14:textId="123B913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2274E6C7"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AF8A672"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Myanmar</w:t>
            </w:r>
          </w:p>
        </w:tc>
        <w:tc>
          <w:tcPr>
            <w:tcW w:w="933" w:type="dxa"/>
            <w:tcBorders>
              <w:left w:val="single" w:sz="4" w:space="0" w:color="365F91" w:themeColor="accent1" w:themeShade="BF"/>
            </w:tcBorders>
          </w:tcPr>
          <w:p w14:paraId="301660D8" w14:textId="123E99F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58E1B01" w14:textId="06A547F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7AEDBB8" w14:textId="0DC5864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A2FD9F7" w14:textId="6DBDEFB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8C9B472" w14:textId="2AA2451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3D1C397A" w14:textId="2E40E50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ED5E2C5" w14:textId="0A9E684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E699D85" w14:textId="7A132A8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4CCDE31" w14:textId="4C52985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001E79F2"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9C6261F"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Namibia</w:t>
            </w:r>
          </w:p>
        </w:tc>
        <w:tc>
          <w:tcPr>
            <w:tcW w:w="933" w:type="dxa"/>
            <w:tcBorders>
              <w:left w:val="single" w:sz="4" w:space="0" w:color="365F91" w:themeColor="accent1" w:themeShade="BF"/>
            </w:tcBorders>
          </w:tcPr>
          <w:p w14:paraId="41B17E8E" w14:textId="17AB16A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47" w:type="dxa"/>
          </w:tcPr>
          <w:p w14:paraId="5150DAD6" w14:textId="1990BE5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5E82800" w14:textId="60E3CA6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6533CD3" w14:textId="1DD7C7D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82" w:type="dxa"/>
          </w:tcPr>
          <w:p w14:paraId="525146AA" w14:textId="7A1ABD2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310C3B3" w14:textId="6ED75B8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53058A3" w14:textId="56DF4CA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AC517F1" w14:textId="4F8C207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66345144" w14:textId="4DC777B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4152FE85"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C38DD08"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Nepal</w:t>
            </w:r>
          </w:p>
        </w:tc>
        <w:tc>
          <w:tcPr>
            <w:tcW w:w="933" w:type="dxa"/>
            <w:tcBorders>
              <w:left w:val="single" w:sz="4" w:space="0" w:color="365F91" w:themeColor="accent1" w:themeShade="BF"/>
            </w:tcBorders>
          </w:tcPr>
          <w:p w14:paraId="1C844484" w14:textId="7848573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47" w:type="dxa"/>
          </w:tcPr>
          <w:p w14:paraId="19453E31" w14:textId="0A46812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06FA729" w14:textId="4DD529B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66C7CB4" w14:textId="05ADC04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AF8D0B2" w14:textId="75B5134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66B0532" w14:textId="3EB1048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2B32268" w14:textId="2806727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3" w:type="dxa"/>
          </w:tcPr>
          <w:p w14:paraId="5D3BE86A" w14:textId="1A61785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5E50156E" w14:textId="2852CE9E"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5772A090"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7FAFAD3" w14:textId="200710C9"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Netherlands</w:t>
            </w:r>
            <w:r>
              <w:rPr>
                <w:rFonts w:asciiTheme="minorHAnsi" w:hAnsiTheme="minorHAnsi" w:cstheme="minorHAnsi"/>
                <w:sz w:val="20"/>
                <w:szCs w:val="20"/>
              </w:rPr>
              <w:t xml:space="preserve"> (Kingdom of the)</w:t>
            </w:r>
          </w:p>
        </w:tc>
        <w:tc>
          <w:tcPr>
            <w:tcW w:w="933" w:type="dxa"/>
            <w:tcBorders>
              <w:left w:val="single" w:sz="4" w:space="0" w:color="365F91" w:themeColor="accent1" w:themeShade="BF"/>
            </w:tcBorders>
          </w:tcPr>
          <w:p w14:paraId="62754791" w14:textId="0BCD468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8477A7D" w14:textId="5D17C60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67,422 </w:t>
            </w:r>
          </w:p>
        </w:tc>
        <w:tc>
          <w:tcPr>
            <w:tcW w:w="920" w:type="dxa"/>
            <w:tcBorders>
              <w:right w:val="single" w:sz="4" w:space="0" w:color="365F91" w:themeColor="accent1" w:themeShade="BF"/>
            </w:tcBorders>
          </w:tcPr>
          <w:p w14:paraId="7932EE11" w14:textId="741475E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1E3E828" w14:textId="4FFBC85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F4E0241" w14:textId="09420FC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67,422 </w:t>
            </w:r>
          </w:p>
        </w:tc>
        <w:tc>
          <w:tcPr>
            <w:tcW w:w="885" w:type="dxa"/>
            <w:tcBorders>
              <w:right w:val="single" w:sz="4" w:space="0" w:color="365F91" w:themeColor="accent1" w:themeShade="BF"/>
            </w:tcBorders>
          </w:tcPr>
          <w:p w14:paraId="3EB9222C" w14:textId="4663C1B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F60D26A" w14:textId="7C0AAE4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07523F2" w14:textId="40CD4AE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8F0C2EC" w14:textId="1EBFBA9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2CE15B94"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386A36E"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New Zealand</w:t>
            </w:r>
          </w:p>
        </w:tc>
        <w:tc>
          <w:tcPr>
            <w:tcW w:w="933" w:type="dxa"/>
            <w:tcBorders>
              <w:left w:val="single" w:sz="4" w:space="0" w:color="365F91" w:themeColor="accent1" w:themeShade="BF"/>
            </w:tcBorders>
          </w:tcPr>
          <w:p w14:paraId="3F389B1D" w14:textId="3C65120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9A36D71" w14:textId="0C72AAE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15,130 </w:t>
            </w:r>
          </w:p>
        </w:tc>
        <w:tc>
          <w:tcPr>
            <w:tcW w:w="920" w:type="dxa"/>
            <w:tcBorders>
              <w:right w:val="single" w:sz="4" w:space="0" w:color="365F91" w:themeColor="accent1" w:themeShade="BF"/>
            </w:tcBorders>
          </w:tcPr>
          <w:p w14:paraId="0DAA73F3" w14:textId="2614525E"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F2EFA55" w14:textId="74A894D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8466C8B" w14:textId="026230B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15,130 </w:t>
            </w:r>
          </w:p>
        </w:tc>
        <w:tc>
          <w:tcPr>
            <w:tcW w:w="885" w:type="dxa"/>
            <w:tcBorders>
              <w:right w:val="single" w:sz="4" w:space="0" w:color="365F91" w:themeColor="accent1" w:themeShade="BF"/>
            </w:tcBorders>
          </w:tcPr>
          <w:p w14:paraId="30BEC5EC" w14:textId="0BF433E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1BBB5C5" w14:textId="3277E0B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39390189" w14:textId="3BF4950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5AFCBCBC" w14:textId="31050B5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6365A175"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C830A17"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Nicaragua</w:t>
            </w:r>
          </w:p>
        </w:tc>
        <w:tc>
          <w:tcPr>
            <w:tcW w:w="933" w:type="dxa"/>
            <w:tcBorders>
              <w:left w:val="single" w:sz="4" w:space="0" w:color="365F91" w:themeColor="accent1" w:themeShade="BF"/>
            </w:tcBorders>
          </w:tcPr>
          <w:p w14:paraId="2A26FF94" w14:textId="2991AF3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6,000 </w:t>
            </w:r>
          </w:p>
        </w:tc>
        <w:tc>
          <w:tcPr>
            <w:tcW w:w="947" w:type="dxa"/>
          </w:tcPr>
          <w:p w14:paraId="3527A7D5" w14:textId="54FBFFA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D5E72C4" w14:textId="628AF99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B65A19E" w14:textId="0894F1F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4F61120" w14:textId="5514473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EFBD397" w14:textId="05FD97D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DF10EF7" w14:textId="6CB72B8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6,000 </w:t>
            </w:r>
          </w:p>
        </w:tc>
        <w:tc>
          <w:tcPr>
            <w:tcW w:w="933" w:type="dxa"/>
          </w:tcPr>
          <w:p w14:paraId="73D7DBAA" w14:textId="4A0D059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3B1302F7" w14:textId="709CA3A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171E454B"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CEFFCA4"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Niger</w:t>
            </w:r>
          </w:p>
        </w:tc>
        <w:tc>
          <w:tcPr>
            <w:tcW w:w="933" w:type="dxa"/>
            <w:tcBorders>
              <w:left w:val="single" w:sz="4" w:space="0" w:color="365F91" w:themeColor="accent1" w:themeShade="BF"/>
            </w:tcBorders>
          </w:tcPr>
          <w:p w14:paraId="2DBBF213" w14:textId="443F658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15,192 </w:t>
            </w:r>
          </w:p>
        </w:tc>
        <w:tc>
          <w:tcPr>
            <w:tcW w:w="947" w:type="dxa"/>
          </w:tcPr>
          <w:p w14:paraId="1E429C38" w14:textId="4F26014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C6FD799" w14:textId="000B942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9AEFED1" w14:textId="573E643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9728A0A" w14:textId="0F9794F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3A2693F9" w14:textId="453A4F9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507987C" w14:textId="690C7D3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15,192 </w:t>
            </w:r>
          </w:p>
        </w:tc>
        <w:tc>
          <w:tcPr>
            <w:tcW w:w="933" w:type="dxa"/>
          </w:tcPr>
          <w:p w14:paraId="3F71D5DE" w14:textId="1F2BAE2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0D267334" w14:textId="69C3B59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17A35C82"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F5518F2"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Nigeria</w:t>
            </w:r>
          </w:p>
        </w:tc>
        <w:tc>
          <w:tcPr>
            <w:tcW w:w="933" w:type="dxa"/>
            <w:tcBorders>
              <w:left w:val="single" w:sz="4" w:space="0" w:color="365F91" w:themeColor="accent1" w:themeShade="BF"/>
            </w:tcBorders>
          </w:tcPr>
          <w:p w14:paraId="7EAAFFC9" w14:textId="141B973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117,064 </w:t>
            </w:r>
          </w:p>
        </w:tc>
        <w:tc>
          <w:tcPr>
            <w:tcW w:w="947" w:type="dxa"/>
          </w:tcPr>
          <w:p w14:paraId="0123B63D" w14:textId="0184D58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8,911 </w:t>
            </w:r>
          </w:p>
        </w:tc>
        <w:tc>
          <w:tcPr>
            <w:tcW w:w="920" w:type="dxa"/>
            <w:tcBorders>
              <w:right w:val="single" w:sz="4" w:space="0" w:color="365F91" w:themeColor="accent1" w:themeShade="BF"/>
            </w:tcBorders>
          </w:tcPr>
          <w:p w14:paraId="5212EB25" w14:textId="6000468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AD3D1FE" w14:textId="059E828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B2BE3A0" w14:textId="2D0195E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0DC84F9D" w14:textId="30DFE51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8A2EF75" w14:textId="1864124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117,064 </w:t>
            </w:r>
          </w:p>
        </w:tc>
        <w:tc>
          <w:tcPr>
            <w:tcW w:w="933" w:type="dxa"/>
          </w:tcPr>
          <w:p w14:paraId="7DC948E5" w14:textId="521DD16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8,911 </w:t>
            </w:r>
          </w:p>
        </w:tc>
        <w:tc>
          <w:tcPr>
            <w:tcW w:w="934" w:type="dxa"/>
            <w:tcBorders>
              <w:right w:val="single" w:sz="4" w:space="0" w:color="365F91" w:themeColor="accent1" w:themeShade="BF"/>
            </w:tcBorders>
          </w:tcPr>
          <w:p w14:paraId="2DFE80E3" w14:textId="5CF6812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2323A192"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120AB1C"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North Macedonia</w:t>
            </w:r>
          </w:p>
        </w:tc>
        <w:tc>
          <w:tcPr>
            <w:tcW w:w="933" w:type="dxa"/>
            <w:tcBorders>
              <w:left w:val="single" w:sz="4" w:space="0" w:color="365F91" w:themeColor="accent1" w:themeShade="BF"/>
            </w:tcBorders>
          </w:tcPr>
          <w:p w14:paraId="0D5140BE" w14:textId="77C5AC3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11,000 </w:t>
            </w:r>
          </w:p>
        </w:tc>
        <w:tc>
          <w:tcPr>
            <w:tcW w:w="947" w:type="dxa"/>
          </w:tcPr>
          <w:p w14:paraId="012D7E56" w14:textId="756D1EF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9545D64" w14:textId="7649A0C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48FAF5A" w14:textId="01AAC5CC"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82" w:type="dxa"/>
          </w:tcPr>
          <w:p w14:paraId="5746F5D2" w14:textId="0F72D73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851693B" w14:textId="43B6092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63EE482" w14:textId="39892CC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10,000 </w:t>
            </w:r>
          </w:p>
        </w:tc>
        <w:tc>
          <w:tcPr>
            <w:tcW w:w="933" w:type="dxa"/>
          </w:tcPr>
          <w:p w14:paraId="75D13487" w14:textId="5E87967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75D90F0F" w14:textId="12A3908C"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1C8609AE"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8FA1FE7"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Norway</w:t>
            </w:r>
          </w:p>
        </w:tc>
        <w:tc>
          <w:tcPr>
            <w:tcW w:w="933" w:type="dxa"/>
            <w:tcBorders>
              <w:left w:val="single" w:sz="4" w:space="0" w:color="365F91" w:themeColor="accent1" w:themeShade="BF"/>
            </w:tcBorders>
          </w:tcPr>
          <w:p w14:paraId="1EA6ADCC" w14:textId="27ED0B6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B662C85" w14:textId="4BDA246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33,246 </w:t>
            </w:r>
          </w:p>
        </w:tc>
        <w:tc>
          <w:tcPr>
            <w:tcW w:w="920" w:type="dxa"/>
            <w:tcBorders>
              <w:right w:val="single" w:sz="4" w:space="0" w:color="365F91" w:themeColor="accent1" w:themeShade="BF"/>
            </w:tcBorders>
          </w:tcPr>
          <w:p w14:paraId="19C6DA1D" w14:textId="0AB3B56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CAA3E4F" w14:textId="2B41E69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A254A3F" w14:textId="1A36EF1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33,246 </w:t>
            </w:r>
          </w:p>
        </w:tc>
        <w:tc>
          <w:tcPr>
            <w:tcW w:w="885" w:type="dxa"/>
            <w:tcBorders>
              <w:right w:val="single" w:sz="4" w:space="0" w:color="365F91" w:themeColor="accent1" w:themeShade="BF"/>
            </w:tcBorders>
          </w:tcPr>
          <w:p w14:paraId="739E1BF0" w14:textId="48800C5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3A2CA37" w14:textId="7366598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734558D" w14:textId="38851D1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5DC2FD8E" w14:textId="65B9797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3E1BEEEF"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D2E0A90"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lastRenderedPageBreak/>
              <w:t>Oman</w:t>
            </w:r>
          </w:p>
        </w:tc>
        <w:tc>
          <w:tcPr>
            <w:tcW w:w="933" w:type="dxa"/>
            <w:tcBorders>
              <w:left w:val="single" w:sz="4" w:space="0" w:color="365F91" w:themeColor="accent1" w:themeShade="BF"/>
            </w:tcBorders>
          </w:tcPr>
          <w:p w14:paraId="4A58128D" w14:textId="17764F2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10,413 </w:t>
            </w:r>
          </w:p>
        </w:tc>
        <w:tc>
          <w:tcPr>
            <w:tcW w:w="947" w:type="dxa"/>
          </w:tcPr>
          <w:p w14:paraId="2FCC75B4" w14:textId="30C690F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5,435 </w:t>
            </w:r>
          </w:p>
        </w:tc>
        <w:tc>
          <w:tcPr>
            <w:tcW w:w="920" w:type="dxa"/>
            <w:tcBorders>
              <w:right w:val="single" w:sz="4" w:space="0" w:color="365F91" w:themeColor="accent1" w:themeShade="BF"/>
            </w:tcBorders>
          </w:tcPr>
          <w:p w14:paraId="51CC42FF" w14:textId="4CB3FD6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4330ADA" w14:textId="300CBEDE"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5341B58" w14:textId="740326C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B09EA1E" w14:textId="37F4BD1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66750FF" w14:textId="43064EB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10,413 </w:t>
            </w:r>
          </w:p>
        </w:tc>
        <w:tc>
          <w:tcPr>
            <w:tcW w:w="933" w:type="dxa"/>
          </w:tcPr>
          <w:p w14:paraId="549B2725" w14:textId="6406303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5,435 </w:t>
            </w:r>
          </w:p>
        </w:tc>
        <w:tc>
          <w:tcPr>
            <w:tcW w:w="934" w:type="dxa"/>
            <w:tcBorders>
              <w:right w:val="single" w:sz="4" w:space="0" w:color="365F91" w:themeColor="accent1" w:themeShade="BF"/>
            </w:tcBorders>
          </w:tcPr>
          <w:p w14:paraId="5F398E7B" w14:textId="5C73E21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386492DA"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0AA1007"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Pakistan</w:t>
            </w:r>
          </w:p>
        </w:tc>
        <w:tc>
          <w:tcPr>
            <w:tcW w:w="933" w:type="dxa"/>
            <w:tcBorders>
              <w:left w:val="single" w:sz="4" w:space="0" w:color="365F91" w:themeColor="accent1" w:themeShade="BF"/>
            </w:tcBorders>
          </w:tcPr>
          <w:p w14:paraId="2735C824" w14:textId="64B4F30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11,364 </w:t>
            </w:r>
          </w:p>
        </w:tc>
        <w:tc>
          <w:tcPr>
            <w:tcW w:w="947" w:type="dxa"/>
          </w:tcPr>
          <w:p w14:paraId="554BE09F" w14:textId="0CDC449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5,582 </w:t>
            </w:r>
          </w:p>
        </w:tc>
        <w:tc>
          <w:tcPr>
            <w:tcW w:w="920" w:type="dxa"/>
            <w:tcBorders>
              <w:right w:val="single" w:sz="4" w:space="0" w:color="365F91" w:themeColor="accent1" w:themeShade="BF"/>
            </w:tcBorders>
          </w:tcPr>
          <w:p w14:paraId="5AF521E8" w14:textId="7940F22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9229B93" w14:textId="4B97C2E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3,376 </w:t>
            </w:r>
          </w:p>
        </w:tc>
        <w:tc>
          <w:tcPr>
            <w:tcW w:w="982" w:type="dxa"/>
          </w:tcPr>
          <w:p w14:paraId="0FB70529" w14:textId="181DCD7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B4DB68E" w14:textId="4A5F75F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F615C6B" w14:textId="4B3D5F9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7,988 </w:t>
            </w:r>
          </w:p>
        </w:tc>
        <w:tc>
          <w:tcPr>
            <w:tcW w:w="933" w:type="dxa"/>
          </w:tcPr>
          <w:p w14:paraId="05237860" w14:textId="0C8A16E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5,582 </w:t>
            </w:r>
          </w:p>
        </w:tc>
        <w:tc>
          <w:tcPr>
            <w:tcW w:w="934" w:type="dxa"/>
            <w:tcBorders>
              <w:right w:val="single" w:sz="4" w:space="0" w:color="365F91" w:themeColor="accent1" w:themeShade="BF"/>
            </w:tcBorders>
          </w:tcPr>
          <w:p w14:paraId="3CCDA5F6" w14:textId="289D61F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042EFA98"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5628FCA"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Palau</w:t>
            </w:r>
          </w:p>
        </w:tc>
        <w:tc>
          <w:tcPr>
            <w:tcW w:w="933" w:type="dxa"/>
            <w:tcBorders>
              <w:left w:val="single" w:sz="4" w:space="0" w:color="365F91" w:themeColor="accent1" w:themeShade="BF"/>
            </w:tcBorders>
          </w:tcPr>
          <w:p w14:paraId="3132DCA6" w14:textId="38C4874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17,987 </w:t>
            </w:r>
          </w:p>
        </w:tc>
        <w:tc>
          <w:tcPr>
            <w:tcW w:w="947" w:type="dxa"/>
          </w:tcPr>
          <w:p w14:paraId="0747A2DA" w14:textId="6687090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23F30CD" w14:textId="657362D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D401DBD" w14:textId="16A466A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FC19968" w14:textId="3C03724E"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126D1AC" w14:textId="6B44FF6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9467161" w14:textId="5107609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17,987 </w:t>
            </w:r>
          </w:p>
        </w:tc>
        <w:tc>
          <w:tcPr>
            <w:tcW w:w="933" w:type="dxa"/>
          </w:tcPr>
          <w:p w14:paraId="3E784B10" w14:textId="231288C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7E480D4" w14:textId="191726E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4B0627F2"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95047D4"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Panama</w:t>
            </w:r>
          </w:p>
        </w:tc>
        <w:tc>
          <w:tcPr>
            <w:tcW w:w="933" w:type="dxa"/>
            <w:tcBorders>
              <w:left w:val="single" w:sz="4" w:space="0" w:color="365F91" w:themeColor="accent1" w:themeShade="BF"/>
            </w:tcBorders>
          </w:tcPr>
          <w:p w14:paraId="37E042BE" w14:textId="283BF3C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4,537 </w:t>
            </w:r>
          </w:p>
        </w:tc>
        <w:tc>
          <w:tcPr>
            <w:tcW w:w="947" w:type="dxa"/>
          </w:tcPr>
          <w:p w14:paraId="316D4BBD" w14:textId="1F0442A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4,407 </w:t>
            </w:r>
          </w:p>
        </w:tc>
        <w:tc>
          <w:tcPr>
            <w:tcW w:w="920" w:type="dxa"/>
            <w:tcBorders>
              <w:right w:val="single" w:sz="4" w:space="0" w:color="365F91" w:themeColor="accent1" w:themeShade="BF"/>
            </w:tcBorders>
          </w:tcPr>
          <w:p w14:paraId="48FF6DE6" w14:textId="017D07D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A27DB09" w14:textId="34A16A9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4,537 </w:t>
            </w:r>
          </w:p>
        </w:tc>
        <w:tc>
          <w:tcPr>
            <w:tcW w:w="982" w:type="dxa"/>
          </w:tcPr>
          <w:p w14:paraId="360AB0E0" w14:textId="2F81F26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4,273 </w:t>
            </w:r>
          </w:p>
        </w:tc>
        <w:tc>
          <w:tcPr>
            <w:tcW w:w="885" w:type="dxa"/>
            <w:tcBorders>
              <w:right w:val="single" w:sz="4" w:space="0" w:color="365F91" w:themeColor="accent1" w:themeShade="BF"/>
            </w:tcBorders>
          </w:tcPr>
          <w:p w14:paraId="53305B96" w14:textId="273D217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1367E03" w14:textId="6F398B5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28CD783" w14:textId="0DA448A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134 </w:t>
            </w:r>
          </w:p>
        </w:tc>
        <w:tc>
          <w:tcPr>
            <w:tcW w:w="934" w:type="dxa"/>
            <w:tcBorders>
              <w:right w:val="single" w:sz="4" w:space="0" w:color="365F91" w:themeColor="accent1" w:themeShade="BF"/>
            </w:tcBorders>
          </w:tcPr>
          <w:p w14:paraId="10348CB1" w14:textId="728463C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6517ABFD"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637559A"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Papua New Guinea</w:t>
            </w:r>
          </w:p>
        </w:tc>
        <w:tc>
          <w:tcPr>
            <w:tcW w:w="933" w:type="dxa"/>
            <w:tcBorders>
              <w:left w:val="single" w:sz="4" w:space="0" w:color="365F91" w:themeColor="accent1" w:themeShade="BF"/>
            </w:tcBorders>
          </w:tcPr>
          <w:p w14:paraId="53DBDFA4" w14:textId="5BF4576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6,000 </w:t>
            </w:r>
          </w:p>
        </w:tc>
        <w:tc>
          <w:tcPr>
            <w:tcW w:w="947" w:type="dxa"/>
          </w:tcPr>
          <w:p w14:paraId="351F8998" w14:textId="47C903C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5EE5F18" w14:textId="05A28D1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4C2CB25" w14:textId="480C3E4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FF849D1" w14:textId="18BDA16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334CF0A" w14:textId="3DE5B91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BF76CB4" w14:textId="30F9BA6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6,000 </w:t>
            </w:r>
          </w:p>
        </w:tc>
        <w:tc>
          <w:tcPr>
            <w:tcW w:w="933" w:type="dxa"/>
          </w:tcPr>
          <w:p w14:paraId="1E120677" w14:textId="777123E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348ECB3D" w14:textId="4A7C873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2DFE6025"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82DF807"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Paraguay</w:t>
            </w:r>
          </w:p>
        </w:tc>
        <w:tc>
          <w:tcPr>
            <w:tcW w:w="933" w:type="dxa"/>
            <w:tcBorders>
              <w:left w:val="single" w:sz="4" w:space="0" w:color="365F91" w:themeColor="accent1" w:themeShade="BF"/>
            </w:tcBorders>
          </w:tcPr>
          <w:p w14:paraId="76910CB1" w14:textId="265BA7A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5A0CE93" w14:textId="253AF89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1,273 </w:t>
            </w:r>
          </w:p>
        </w:tc>
        <w:tc>
          <w:tcPr>
            <w:tcW w:w="920" w:type="dxa"/>
            <w:tcBorders>
              <w:right w:val="single" w:sz="4" w:space="0" w:color="365F91" w:themeColor="accent1" w:themeShade="BF"/>
            </w:tcBorders>
          </w:tcPr>
          <w:p w14:paraId="7521A302" w14:textId="625EE98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6777A1D" w14:textId="6E30EC5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0948413" w14:textId="65E8278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1,273 </w:t>
            </w:r>
          </w:p>
        </w:tc>
        <w:tc>
          <w:tcPr>
            <w:tcW w:w="885" w:type="dxa"/>
            <w:tcBorders>
              <w:right w:val="single" w:sz="4" w:space="0" w:color="365F91" w:themeColor="accent1" w:themeShade="BF"/>
            </w:tcBorders>
          </w:tcPr>
          <w:p w14:paraId="6C9BA910" w14:textId="1640BF4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AB1B4B0" w14:textId="4CF7F0B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E6D90BC" w14:textId="5ED9C2F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C568378" w14:textId="63186F1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73842FB2"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2BB4535"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Peru</w:t>
            </w:r>
          </w:p>
        </w:tc>
        <w:tc>
          <w:tcPr>
            <w:tcW w:w="933" w:type="dxa"/>
            <w:tcBorders>
              <w:left w:val="single" w:sz="4" w:space="0" w:color="365F91" w:themeColor="accent1" w:themeShade="BF"/>
            </w:tcBorders>
          </w:tcPr>
          <w:p w14:paraId="355ACCF5" w14:textId="3B69BF0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775B083" w14:textId="62D195C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7,981 </w:t>
            </w:r>
          </w:p>
        </w:tc>
        <w:tc>
          <w:tcPr>
            <w:tcW w:w="920" w:type="dxa"/>
            <w:tcBorders>
              <w:right w:val="single" w:sz="4" w:space="0" w:color="365F91" w:themeColor="accent1" w:themeShade="BF"/>
            </w:tcBorders>
          </w:tcPr>
          <w:p w14:paraId="790185CD" w14:textId="1D6BDC4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 </w:t>
            </w:r>
          </w:p>
        </w:tc>
        <w:tc>
          <w:tcPr>
            <w:tcW w:w="933" w:type="dxa"/>
            <w:tcBorders>
              <w:left w:val="single" w:sz="4" w:space="0" w:color="365F91" w:themeColor="accent1" w:themeShade="BF"/>
            </w:tcBorders>
          </w:tcPr>
          <w:p w14:paraId="4A76FF2F" w14:textId="4DEE08E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22895B3" w14:textId="3FD8447C"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7,350 </w:t>
            </w:r>
          </w:p>
        </w:tc>
        <w:tc>
          <w:tcPr>
            <w:tcW w:w="885" w:type="dxa"/>
            <w:tcBorders>
              <w:right w:val="single" w:sz="4" w:space="0" w:color="365F91" w:themeColor="accent1" w:themeShade="BF"/>
            </w:tcBorders>
          </w:tcPr>
          <w:p w14:paraId="7A03D5E1" w14:textId="66C8163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33" w:type="dxa"/>
            <w:tcBorders>
              <w:left w:val="single" w:sz="4" w:space="0" w:color="365F91" w:themeColor="accent1" w:themeShade="BF"/>
            </w:tcBorders>
          </w:tcPr>
          <w:p w14:paraId="0031217D" w14:textId="250965F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7DE588D" w14:textId="749AA09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616 </w:t>
            </w:r>
          </w:p>
        </w:tc>
        <w:tc>
          <w:tcPr>
            <w:tcW w:w="934" w:type="dxa"/>
            <w:tcBorders>
              <w:right w:val="single" w:sz="4" w:space="0" w:color="365F91" w:themeColor="accent1" w:themeShade="BF"/>
            </w:tcBorders>
          </w:tcPr>
          <w:p w14:paraId="27F81682" w14:textId="6B0F4FC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5599B302"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126C1E4"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Philippines</w:t>
            </w:r>
          </w:p>
        </w:tc>
        <w:tc>
          <w:tcPr>
            <w:tcW w:w="933" w:type="dxa"/>
            <w:tcBorders>
              <w:left w:val="single" w:sz="4" w:space="0" w:color="365F91" w:themeColor="accent1" w:themeShade="BF"/>
            </w:tcBorders>
          </w:tcPr>
          <w:p w14:paraId="36E915FB" w14:textId="4573F1B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6FD02F8" w14:textId="0C0DA9E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10,380 </w:t>
            </w:r>
          </w:p>
        </w:tc>
        <w:tc>
          <w:tcPr>
            <w:tcW w:w="920" w:type="dxa"/>
            <w:tcBorders>
              <w:right w:val="single" w:sz="4" w:space="0" w:color="365F91" w:themeColor="accent1" w:themeShade="BF"/>
            </w:tcBorders>
          </w:tcPr>
          <w:p w14:paraId="5367B431" w14:textId="033C501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C789C4F" w14:textId="3BD8A91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A115ABD" w14:textId="01DCB0E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10,380 </w:t>
            </w:r>
          </w:p>
        </w:tc>
        <w:tc>
          <w:tcPr>
            <w:tcW w:w="885" w:type="dxa"/>
            <w:tcBorders>
              <w:right w:val="single" w:sz="4" w:space="0" w:color="365F91" w:themeColor="accent1" w:themeShade="BF"/>
            </w:tcBorders>
          </w:tcPr>
          <w:p w14:paraId="16D2EEE9" w14:textId="0A7C5A7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52429DA" w14:textId="5FA6CC4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766556E" w14:textId="1CF7190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3BE83082" w14:textId="4E88AF6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67CC8820"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4752E05"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Poland</w:t>
            </w:r>
          </w:p>
        </w:tc>
        <w:tc>
          <w:tcPr>
            <w:tcW w:w="933" w:type="dxa"/>
            <w:tcBorders>
              <w:left w:val="single" w:sz="4" w:space="0" w:color="365F91" w:themeColor="accent1" w:themeShade="BF"/>
            </w:tcBorders>
          </w:tcPr>
          <w:p w14:paraId="1E732493" w14:textId="6CBF198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24EDC11" w14:textId="7A423E1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40,982 </w:t>
            </w:r>
          </w:p>
        </w:tc>
        <w:tc>
          <w:tcPr>
            <w:tcW w:w="920" w:type="dxa"/>
            <w:tcBorders>
              <w:right w:val="single" w:sz="4" w:space="0" w:color="365F91" w:themeColor="accent1" w:themeShade="BF"/>
            </w:tcBorders>
          </w:tcPr>
          <w:p w14:paraId="665D48A6" w14:textId="5A548BC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3B8E54B" w14:textId="7882937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74131AF" w14:textId="44608EC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40,982 </w:t>
            </w:r>
          </w:p>
        </w:tc>
        <w:tc>
          <w:tcPr>
            <w:tcW w:w="885" w:type="dxa"/>
            <w:tcBorders>
              <w:right w:val="single" w:sz="4" w:space="0" w:color="365F91" w:themeColor="accent1" w:themeShade="BF"/>
            </w:tcBorders>
          </w:tcPr>
          <w:p w14:paraId="6B1BCC55" w14:textId="4752520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47AB6D7" w14:textId="3C21489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2C5278E" w14:textId="63EB446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308B3712" w14:textId="53AB8140"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5452D4F3"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C8F249E"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Portugal</w:t>
            </w:r>
          </w:p>
        </w:tc>
        <w:tc>
          <w:tcPr>
            <w:tcW w:w="933" w:type="dxa"/>
            <w:tcBorders>
              <w:left w:val="single" w:sz="4" w:space="0" w:color="365F91" w:themeColor="accent1" w:themeShade="BF"/>
            </w:tcBorders>
          </w:tcPr>
          <w:p w14:paraId="0A7C97F2" w14:textId="758A54A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8DDCA85" w14:textId="56DF8EA5"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17,284 </w:t>
            </w:r>
          </w:p>
        </w:tc>
        <w:tc>
          <w:tcPr>
            <w:tcW w:w="920" w:type="dxa"/>
            <w:tcBorders>
              <w:right w:val="single" w:sz="4" w:space="0" w:color="365F91" w:themeColor="accent1" w:themeShade="BF"/>
            </w:tcBorders>
          </w:tcPr>
          <w:p w14:paraId="1FAF4595" w14:textId="59703E7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20D22DF" w14:textId="42190BA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CFF9243" w14:textId="55E02CB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17,284 </w:t>
            </w:r>
          </w:p>
        </w:tc>
        <w:tc>
          <w:tcPr>
            <w:tcW w:w="885" w:type="dxa"/>
            <w:tcBorders>
              <w:right w:val="single" w:sz="4" w:space="0" w:color="365F91" w:themeColor="accent1" w:themeShade="BF"/>
            </w:tcBorders>
          </w:tcPr>
          <w:p w14:paraId="239AF899" w14:textId="1420C47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B3FBA8F" w14:textId="481E14D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6E4C389" w14:textId="4511A55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312E3277" w14:textId="5100C76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4EE930A7"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8C04054"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Republic of Korea</w:t>
            </w:r>
          </w:p>
        </w:tc>
        <w:tc>
          <w:tcPr>
            <w:tcW w:w="933" w:type="dxa"/>
            <w:tcBorders>
              <w:left w:val="single" w:sz="4" w:space="0" w:color="365F91" w:themeColor="accent1" w:themeShade="BF"/>
            </w:tcBorders>
          </w:tcPr>
          <w:p w14:paraId="52708605" w14:textId="25EEC19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1D24DCD" w14:textId="53858B6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126,030 </w:t>
            </w:r>
          </w:p>
        </w:tc>
        <w:tc>
          <w:tcPr>
            <w:tcW w:w="920" w:type="dxa"/>
            <w:tcBorders>
              <w:right w:val="single" w:sz="4" w:space="0" w:color="365F91" w:themeColor="accent1" w:themeShade="BF"/>
            </w:tcBorders>
          </w:tcPr>
          <w:p w14:paraId="3BFF7F19" w14:textId="0D693B9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3BBC2D0" w14:textId="191EE0D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52D9282" w14:textId="50A3CC8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113,401 </w:t>
            </w:r>
          </w:p>
        </w:tc>
        <w:tc>
          <w:tcPr>
            <w:tcW w:w="885" w:type="dxa"/>
            <w:tcBorders>
              <w:right w:val="single" w:sz="4" w:space="0" w:color="365F91" w:themeColor="accent1" w:themeShade="BF"/>
            </w:tcBorders>
          </w:tcPr>
          <w:p w14:paraId="205A631D" w14:textId="36E9402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69919DD" w14:textId="2D4E5F4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A821450" w14:textId="32AAC59F"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12,629 </w:t>
            </w:r>
          </w:p>
        </w:tc>
        <w:tc>
          <w:tcPr>
            <w:tcW w:w="934" w:type="dxa"/>
            <w:tcBorders>
              <w:right w:val="single" w:sz="4" w:space="0" w:color="365F91" w:themeColor="accent1" w:themeShade="BF"/>
            </w:tcBorders>
          </w:tcPr>
          <w:p w14:paraId="6B5249E1" w14:textId="5C6C248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3EFD64E5"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2FC5081"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 xml:space="preserve">Republic of Moldova </w:t>
            </w:r>
          </w:p>
        </w:tc>
        <w:tc>
          <w:tcPr>
            <w:tcW w:w="933" w:type="dxa"/>
            <w:tcBorders>
              <w:left w:val="single" w:sz="4" w:space="0" w:color="365F91" w:themeColor="accent1" w:themeShade="BF"/>
            </w:tcBorders>
          </w:tcPr>
          <w:p w14:paraId="04A95CE7" w14:textId="3BC218A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2,000 </w:t>
            </w:r>
          </w:p>
        </w:tc>
        <w:tc>
          <w:tcPr>
            <w:tcW w:w="947" w:type="dxa"/>
          </w:tcPr>
          <w:p w14:paraId="705DBCF1" w14:textId="203773D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7265E23" w14:textId="0A63BE0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5F656D4" w14:textId="2F7E9C04"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82" w:type="dxa"/>
          </w:tcPr>
          <w:p w14:paraId="066DF55C" w14:textId="27340E23"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36A8517" w14:textId="130F0F8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880A5CF" w14:textId="43D3C4C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3" w:type="dxa"/>
          </w:tcPr>
          <w:p w14:paraId="2A65E9F7" w14:textId="2E31B1A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2CD748F" w14:textId="4378606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26DE1C9E"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A1481F5"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Romania</w:t>
            </w:r>
          </w:p>
        </w:tc>
        <w:tc>
          <w:tcPr>
            <w:tcW w:w="933" w:type="dxa"/>
            <w:tcBorders>
              <w:left w:val="single" w:sz="4" w:space="0" w:color="365F91" w:themeColor="accent1" w:themeShade="BF"/>
            </w:tcBorders>
          </w:tcPr>
          <w:p w14:paraId="1FCA4289" w14:textId="7C1827DC"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15,276 </w:t>
            </w:r>
          </w:p>
        </w:tc>
        <w:tc>
          <w:tcPr>
            <w:tcW w:w="947" w:type="dxa"/>
          </w:tcPr>
          <w:p w14:paraId="2D6753E4" w14:textId="2A59342B"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15,276 </w:t>
            </w:r>
          </w:p>
        </w:tc>
        <w:tc>
          <w:tcPr>
            <w:tcW w:w="920" w:type="dxa"/>
            <w:tcBorders>
              <w:right w:val="single" w:sz="4" w:space="0" w:color="365F91" w:themeColor="accent1" w:themeShade="BF"/>
            </w:tcBorders>
          </w:tcPr>
          <w:p w14:paraId="700A2EA9" w14:textId="3B332AE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1AD0B9F" w14:textId="35013B6E"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15,276 </w:t>
            </w:r>
          </w:p>
        </w:tc>
        <w:tc>
          <w:tcPr>
            <w:tcW w:w="982" w:type="dxa"/>
          </w:tcPr>
          <w:p w14:paraId="76A3A0E9" w14:textId="0B51B33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15,276 </w:t>
            </w:r>
          </w:p>
        </w:tc>
        <w:tc>
          <w:tcPr>
            <w:tcW w:w="885" w:type="dxa"/>
            <w:tcBorders>
              <w:right w:val="single" w:sz="4" w:space="0" w:color="365F91" w:themeColor="accent1" w:themeShade="BF"/>
            </w:tcBorders>
          </w:tcPr>
          <w:p w14:paraId="7E60F5CA" w14:textId="58543C8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8C23CFE" w14:textId="32A33687"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EAACACA" w14:textId="3A6F9BF4"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7932A483" w14:textId="66BEC15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375A3322"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1FCA9F3"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Russian Federation</w:t>
            </w:r>
          </w:p>
        </w:tc>
        <w:tc>
          <w:tcPr>
            <w:tcW w:w="933" w:type="dxa"/>
            <w:tcBorders>
              <w:left w:val="single" w:sz="4" w:space="0" w:color="365F91" w:themeColor="accent1" w:themeShade="BF"/>
            </w:tcBorders>
          </w:tcPr>
          <w:p w14:paraId="45108CDE" w14:textId="3F0C47C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91,365 </w:t>
            </w:r>
          </w:p>
        </w:tc>
        <w:tc>
          <w:tcPr>
            <w:tcW w:w="947" w:type="dxa"/>
          </w:tcPr>
          <w:p w14:paraId="26F90654" w14:textId="552A6BF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91,365 </w:t>
            </w:r>
          </w:p>
        </w:tc>
        <w:tc>
          <w:tcPr>
            <w:tcW w:w="920" w:type="dxa"/>
            <w:tcBorders>
              <w:right w:val="single" w:sz="4" w:space="0" w:color="365F91" w:themeColor="accent1" w:themeShade="BF"/>
            </w:tcBorders>
          </w:tcPr>
          <w:p w14:paraId="3A748AA6" w14:textId="577CD84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3F7DCBF" w14:textId="6B828EDC"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6DC4813" w14:textId="0AAF710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BC6060C" w14:textId="0790E58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6E2F204" w14:textId="5CC3264A"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91,365 </w:t>
            </w:r>
          </w:p>
        </w:tc>
        <w:tc>
          <w:tcPr>
            <w:tcW w:w="933" w:type="dxa"/>
          </w:tcPr>
          <w:p w14:paraId="7B6B86CD" w14:textId="45A0DD71"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91,365 </w:t>
            </w:r>
          </w:p>
        </w:tc>
        <w:tc>
          <w:tcPr>
            <w:tcW w:w="934" w:type="dxa"/>
            <w:tcBorders>
              <w:right w:val="single" w:sz="4" w:space="0" w:color="365F91" w:themeColor="accent1" w:themeShade="BF"/>
            </w:tcBorders>
          </w:tcPr>
          <w:p w14:paraId="671F5058" w14:textId="475C1BD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1CE98FBF"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A688029"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Rwanda</w:t>
            </w:r>
          </w:p>
        </w:tc>
        <w:tc>
          <w:tcPr>
            <w:tcW w:w="933" w:type="dxa"/>
            <w:tcBorders>
              <w:left w:val="single" w:sz="4" w:space="0" w:color="365F91" w:themeColor="accent1" w:themeShade="BF"/>
            </w:tcBorders>
          </w:tcPr>
          <w:p w14:paraId="36097272" w14:textId="33A5784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2,000 </w:t>
            </w:r>
          </w:p>
        </w:tc>
        <w:tc>
          <w:tcPr>
            <w:tcW w:w="947" w:type="dxa"/>
          </w:tcPr>
          <w:p w14:paraId="2378592E" w14:textId="6E04F05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B02046A" w14:textId="4E85600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7703404" w14:textId="6DC189F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82" w:type="dxa"/>
          </w:tcPr>
          <w:p w14:paraId="268871AB" w14:textId="34D79783"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B7D7C78" w14:textId="4DDC45F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81CEF24" w14:textId="16742816"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3" w:type="dxa"/>
          </w:tcPr>
          <w:p w14:paraId="090F3955" w14:textId="01329F4D"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8173218" w14:textId="0E15EF2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7DA67CD7"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73C61BC"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Saint Lucia</w:t>
            </w:r>
          </w:p>
        </w:tc>
        <w:tc>
          <w:tcPr>
            <w:tcW w:w="933" w:type="dxa"/>
            <w:tcBorders>
              <w:left w:val="single" w:sz="4" w:space="0" w:color="365F91" w:themeColor="accent1" w:themeShade="BF"/>
            </w:tcBorders>
          </w:tcPr>
          <w:p w14:paraId="727E50D8" w14:textId="7A840B5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2F06FB8" w14:textId="36B34CE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0CFACC6D" w14:textId="179AF33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C811857" w14:textId="2E708980"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F8F718F" w14:textId="2E57C02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D045E61" w14:textId="77736B09"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BA58A80" w14:textId="21DE346E"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8BF337B" w14:textId="648E12A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3A26CD80" w14:textId="396FC2A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50C1D8AA"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7104009"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Samoa</w:t>
            </w:r>
          </w:p>
        </w:tc>
        <w:tc>
          <w:tcPr>
            <w:tcW w:w="933" w:type="dxa"/>
            <w:tcBorders>
              <w:left w:val="single" w:sz="4" w:space="0" w:color="365F91" w:themeColor="accent1" w:themeShade="BF"/>
            </w:tcBorders>
          </w:tcPr>
          <w:p w14:paraId="457583E4" w14:textId="0F8B5CE8"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47" w:type="dxa"/>
          </w:tcPr>
          <w:p w14:paraId="4851ADF3" w14:textId="7077FAC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008B213E" w14:textId="45DBD37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486F274" w14:textId="1D4B96B5"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3,000 </w:t>
            </w:r>
          </w:p>
        </w:tc>
        <w:tc>
          <w:tcPr>
            <w:tcW w:w="982" w:type="dxa"/>
          </w:tcPr>
          <w:p w14:paraId="78104F6A" w14:textId="77E14C82"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4C383E1" w14:textId="1940FE41"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BA717A4" w14:textId="6D66D42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442E4AA" w14:textId="1CE60CDA"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54B31CA" w14:textId="4087C6A9" w:rsidR="00AC457A" w:rsidRPr="00D25CEB" w:rsidRDefault="00AC457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C457A" w:rsidRPr="00F8347B" w14:paraId="2F2CFB18"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7A1DA22" w14:textId="77777777" w:rsidR="00AC457A" w:rsidRPr="00D25CEB" w:rsidRDefault="00AC457A"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Sao Tome and Principe</w:t>
            </w:r>
          </w:p>
        </w:tc>
        <w:tc>
          <w:tcPr>
            <w:tcW w:w="933" w:type="dxa"/>
            <w:tcBorders>
              <w:left w:val="single" w:sz="4" w:space="0" w:color="365F91" w:themeColor="accent1" w:themeShade="BF"/>
            </w:tcBorders>
          </w:tcPr>
          <w:p w14:paraId="573A252A" w14:textId="33DD1577"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16,000 </w:t>
            </w:r>
          </w:p>
        </w:tc>
        <w:tc>
          <w:tcPr>
            <w:tcW w:w="947" w:type="dxa"/>
          </w:tcPr>
          <w:p w14:paraId="6CB09BCA" w14:textId="438D486D"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E5584ED" w14:textId="1E20616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1D94B58" w14:textId="5B458428"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82C413D" w14:textId="14EBE74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64CFABEE" w14:textId="39141BC2"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E03C373" w14:textId="5379A536"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16,000 </w:t>
            </w:r>
          </w:p>
        </w:tc>
        <w:tc>
          <w:tcPr>
            <w:tcW w:w="933" w:type="dxa"/>
          </w:tcPr>
          <w:p w14:paraId="416DBB2A" w14:textId="7CC3EA3F"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9B2106D" w14:textId="02FE66BB" w:rsidR="00AC457A" w:rsidRPr="00D25CEB" w:rsidRDefault="00AC457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1B79D873"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BA984DC"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Senegal</w:t>
            </w:r>
          </w:p>
        </w:tc>
        <w:tc>
          <w:tcPr>
            <w:tcW w:w="933" w:type="dxa"/>
            <w:tcBorders>
              <w:left w:val="single" w:sz="4" w:space="0" w:color="365F91" w:themeColor="accent1" w:themeShade="BF"/>
            </w:tcBorders>
          </w:tcPr>
          <w:p w14:paraId="615ACE27" w14:textId="74B7C08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5,000 </w:t>
            </w:r>
          </w:p>
        </w:tc>
        <w:tc>
          <w:tcPr>
            <w:tcW w:w="947" w:type="dxa"/>
          </w:tcPr>
          <w:p w14:paraId="73A38D19" w14:textId="486164B7"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468FD9A" w14:textId="5B61AC7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AD5F129" w14:textId="4D21AE2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C91812B" w14:textId="20235AC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5152F35" w14:textId="075F2046"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8C0BCFA" w14:textId="6765E0F0"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5,000 </w:t>
            </w:r>
          </w:p>
        </w:tc>
        <w:tc>
          <w:tcPr>
            <w:tcW w:w="933" w:type="dxa"/>
          </w:tcPr>
          <w:p w14:paraId="551E898D" w14:textId="4A734A47"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0F8FD20C" w14:textId="43F55FA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367A02BC"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C716F32"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Serbia</w:t>
            </w:r>
          </w:p>
        </w:tc>
        <w:tc>
          <w:tcPr>
            <w:tcW w:w="933" w:type="dxa"/>
            <w:tcBorders>
              <w:left w:val="single" w:sz="4" w:space="0" w:color="365F91" w:themeColor="accent1" w:themeShade="BF"/>
            </w:tcBorders>
          </w:tcPr>
          <w:p w14:paraId="16C3AC94" w14:textId="37629B8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BC07451" w14:textId="5CF53D1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1,567 </w:t>
            </w:r>
          </w:p>
        </w:tc>
        <w:tc>
          <w:tcPr>
            <w:tcW w:w="920" w:type="dxa"/>
            <w:tcBorders>
              <w:right w:val="single" w:sz="4" w:space="0" w:color="365F91" w:themeColor="accent1" w:themeShade="BF"/>
            </w:tcBorders>
          </w:tcPr>
          <w:p w14:paraId="513B3D5D" w14:textId="4734A9C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8ADEF07" w14:textId="4A618FF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3B7BC00" w14:textId="1BDC75F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1,567 </w:t>
            </w:r>
          </w:p>
        </w:tc>
        <w:tc>
          <w:tcPr>
            <w:tcW w:w="885" w:type="dxa"/>
            <w:tcBorders>
              <w:right w:val="single" w:sz="4" w:space="0" w:color="365F91" w:themeColor="accent1" w:themeShade="BF"/>
            </w:tcBorders>
          </w:tcPr>
          <w:p w14:paraId="6AB451BF" w14:textId="73A6FF1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2B0EF12" w14:textId="689403B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8D0417B" w14:textId="115E994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86CF182" w14:textId="752C36C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4C45644F"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1C7BF77"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Seychelles</w:t>
            </w:r>
          </w:p>
        </w:tc>
        <w:tc>
          <w:tcPr>
            <w:tcW w:w="933" w:type="dxa"/>
            <w:tcBorders>
              <w:left w:val="single" w:sz="4" w:space="0" w:color="365F91" w:themeColor="accent1" w:themeShade="BF"/>
            </w:tcBorders>
          </w:tcPr>
          <w:p w14:paraId="6708F18C" w14:textId="3C3E4A48"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5D278657" w14:textId="3CB48BD7"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0599976" w14:textId="5434488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8612640" w14:textId="74D08178"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2052BAE" w14:textId="7E03CB88"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7B69A885" w14:textId="72A412D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F72EF41" w14:textId="1B72EA38"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7514AAF" w14:textId="2290176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24AAECA6" w14:textId="0CDF631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6A3CDC97"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D2619E5"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Sierra Leone</w:t>
            </w:r>
          </w:p>
        </w:tc>
        <w:tc>
          <w:tcPr>
            <w:tcW w:w="933" w:type="dxa"/>
            <w:tcBorders>
              <w:left w:val="single" w:sz="4" w:space="0" w:color="365F91" w:themeColor="accent1" w:themeShade="BF"/>
            </w:tcBorders>
          </w:tcPr>
          <w:p w14:paraId="59BC2EF2" w14:textId="70E9A04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6,377 </w:t>
            </w:r>
          </w:p>
        </w:tc>
        <w:tc>
          <w:tcPr>
            <w:tcW w:w="947" w:type="dxa"/>
          </w:tcPr>
          <w:p w14:paraId="2361E211" w14:textId="4DB5C63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D2A6C15" w14:textId="5181F55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F814D86" w14:textId="01ADB76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7E87FD18" w14:textId="006228D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20585BE" w14:textId="50C47C18"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8E8A5F5" w14:textId="1CD98EF7"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6,377 </w:t>
            </w:r>
          </w:p>
        </w:tc>
        <w:tc>
          <w:tcPr>
            <w:tcW w:w="933" w:type="dxa"/>
          </w:tcPr>
          <w:p w14:paraId="4033A356" w14:textId="614E52A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180DF356" w14:textId="14C6927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19D48330"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BE78F75"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Slovakia</w:t>
            </w:r>
          </w:p>
        </w:tc>
        <w:tc>
          <w:tcPr>
            <w:tcW w:w="933" w:type="dxa"/>
            <w:tcBorders>
              <w:left w:val="single" w:sz="4" w:space="0" w:color="365F91" w:themeColor="accent1" w:themeShade="BF"/>
            </w:tcBorders>
          </w:tcPr>
          <w:p w14:paraId="3D7745FC" w14:textId="20EE7E8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3C49D28" w14:textId="7878046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7,589 </w:t>
            </w:r>
          </w:p>
        </w:tc>
        <w:tc>
          <w:tcPr>
            <w:tcW w:w="920" w:type="dxa"/>
            <w:tcBorders>
              <w:right w:val="single" w:sz="4" w:space="0" w:color="365F91" w:themeColor="accent1" w:themeShade="BF"/>
            </w:tcBorders>
          </w:tcPr>
          <w:p w14:paraId="48CDBB62" w14:textId="2F4F13E8"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79A6CC1" w14:textId="3CA76DB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A4AECE6" w14:textId="7E282D2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7,589 </w:t>
            </w:r>
          </w:p>
        </w:tc>
        <w:tc>
          <w:tcPr>
            <w:tcW w:w="885" w:type="dxa"/>
            <w:tcBorders>
              <w:right w:val="single" w:sz="4" w:space="0" w:color="365F91" w:themeColor="accent1" w:themeShade="BF"/>
            </w:tcBorders>
          </w:tcPr>
          <w:p w14:paraId="476F03A7" w14:textId="665891F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8EBFE2E" w14:textId="6EE5CE4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082DC63" w14:textId="0126A607"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74DAC37" w14:textId="42BC0B5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24CFA245"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8B98DAD"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Slovenia</w:t>
            </w:r>
          </w:p>
        </w:tc>
        <w:tc>
          <w:tcPr>
            <w:tcW w:w="933" w:type="dxa"/>
            <w:tcBorders>
              <w:left w:val="single" w:sz="4" w:space="0" w:color="365F91" w:themeColor="accent1" w:themeShade="BF"/>
            </w:tcBorders>
          </w:tcPr>
          <w:p w14:paraId="517CD307" w14:textId="430B2C2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CB8A1B0" w14:textId="1EA9673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3,868 </w:t>
            </w:r>
          </w:p>
        </w:tc>
        <w:tc>
          <w:tcPr>
            <w:tcW w:w="920" w:type="dxa"/>
            <w:tcBorders>
              <w:right w:val="single" w:sz="4" w:space="0" w:color="365F91" w:themeColor="accent1" w:themeShade="BF"/>
            </w:tcBorders>
          </w:tcPr>
          <w:p w14:paraId="121FB73B" w14:textId="63E8EE9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5C50130" w14:textId="7A16C3C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1CB7577" w14:textId="5661220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3,868 </w:t>
            </w:r>
          </w:p>
        </w:tc>
        <w:tc>
          <w:tcPr>
            <w:tcW w:w="885" w:type="dxa"/>
            <w:tcBorders>
              <w:right w:val="single" w:sz="4" w:space="0" w:color="365F91" w:themeColor="accent1" w:themeShade="BF"/>
            </w:tcBorders>
          </w:tcPr>
          <w:p w14:paraId="056626B5" w14:textId="676328B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AE7A461" w14:textId="621D6A23"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399E0AC" w14:textId="1D7DBE5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214D129C" w14:textId="7BFD0D7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196D0638"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C91025D"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South Africa</w:t>
            </w:r>
          </w:p>
        </w:tc>
        <w:tc>
          <w:tcPr>
            <w:tcW w:w="933" w:type="dxa"/>
            <w:tcBorders>
              <w:left w:val="single" w:sz="4" w:space="0" w:color="365F91" w:themeColor="accent1" w:themeShade="BF"/>
            </w:tcBorders>
          </w:tcPr>
          <w:p w14:paraId="721486B2" w14:textId="35F9741B"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8803D7F" w14:textId="3DE7F15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11,947 </w:t>
            </w:r>
          </w:p>
        </w:tc>
        <w:tc>
          <w:tcPr>
            <w:tcW w:w="920" w:type="dxa"/>
            <w:tcBorders>
              <w:right w:val="single" w:sz="4" w:space="0" w:color="365F91" w:themeColor="accent1" w:themeShade="BF"/>
            </w:tcBorders>
          </w:tcPr>
          <w:p w14:paraId="0AC3FB18" w14:textId="0623A0E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B8485E9" w14:textId="1FDFA9A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6120C58" w14:textId="627B9A25"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11,947 </w:t>
            </w:r>
          </w:p>
        </w:tc>
        <w:tc>
          <w:tcPr>
            <w:tcW w:w="885" w:type="dxa"/>
            <w:tcBorders>
              <w:right w:val="single" w:sz="4" w:space="0" w:color="365F91" w:themeColor="accent1" w:themeShade="BF"/>
            </w:tcBorders>
          </w:tcPr>
          <w:p w14:paraId="3D70577F" w14:textId="3AD565AB"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9D98093" w14:textId="27AA1E00"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48264E49" w14:textId="444DA76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09619EB" w14:textId="721C56E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59A9019F"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6944E84"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South Sudan</w:t>
            </w:r>
          </w:p>
        </w:tc>
        <w:tc>
          <w:tcPr>
            <w:tcW w:w="933" w:type="dxa"/>
            <w:tcBorders>
              <w:left w:val="single" w:sz="4" w:space="0" w:color="365F91" w:themeColor="accent1" w:themeShade="BF"/>
            </w:tcBorders>
          </w:tcPr>
          <w:p w14:paraId="0294D777" w14:textId="44400F5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9,000 </w:t>
            </w:r>
          </w:p>
        </w:tc>
        <w:tc>
          <w:tcPr>
            <w:tcW w:w="947" w:type="dxa"/>
          </w:tcPr>
          <w:p w14:paraId="231AA039" w14:textId="6898D0C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F817E71" w14:textId="498E0BC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5DC9213" w14:textId="6967A97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9DCBCF7" w14:textId="48DC1217"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544A364E" w14:textId="3DAEE57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E1241BA" w14:textId="79A67373"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9,000 </w:t>
            </w:r>
          </w:p>
        </w:tc>
        <w:tc>
          <w:tcPr>
            <w:tcW w:w="933" w:type="dxa"/>
          </w:tcPr>
          <w:p w14:paraId="5D704BEB" w14:textId="01A805D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381D5DEC" w14:textId="25F4640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7C3D941C"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3B01744"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Spain</w:t>
            </w:r>
          </w:p>
        </w:tc>
        <w:tc>
          <w:tcPr>
            <w:tcW w:w="933" w:type="dxa"/>
            <w:tcBorders>
              <w:left w:val="single" w:sz="4" w:space="0" w:color="365F91" w:themeColor="accent1" w:themeShade="BF"/>
            </w:tcBorders>
          </w:tcPr>
          <w:p w14:paraId="557951C3" w14:textId="2BADCAAB"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A427950" w14:textId="4544BF9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104,487 </w:t>
            </w:r>
          </w:p>
        </w:tc>
        <w:tc>
          <w:tcPr>
            <w:tcW w:w="920" w:type="dxa"/>
            <w:tcBorders>
              <w:right w:val="single" w:sz="4" w:space="0" w:color="365F91" w:themeColor="accent1" w:themeShade="BF"/>
            </w:tcBorders>
          </w:tcPr>
          <w:p w14:paraId="5334B2E0" w14:textId="79773EFC"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7BF19C9" w14:textId="6EB84F5E"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694D08C3" w14:textId="67DFFA3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104,487 </w:t>
            </w:r>
          </w:p>
        </w:tc>
        <w:tc>
          <w:tcPr>
            <w:tcW w:w="885" w:type="dxa"/>
            <w:tcBorders>
              <w:right w:val="single" w:sz="4" w:space="0" w:color="365F91" w:themeColor="accent1" w:themeShade="BF"/>
            </w:tcBorders>
          </w:tcPr>
          <w:p w14:paraId="4B560B63" w14:textId="168FDF36"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EFFBA0B" w14:textId="2872E76C"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391131B" w14:textId="5B24D4A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F96EE38" w14:textId="2EFFE4C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4B986A26"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167F819"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Sri Lanka</w:t>
            </w:r>
          </w:p>
        </w:tc>
        <w:tc>
          <w:tcPr>
            <w:tcW w:w="933" w:type="dxa"/>
            <w:tcBorders>
              <w:left w:val="single" w:sz="4" w:space="0" w:color="365F91" w:themeColor="accent1" w:themeShade="BF"/>
            </w:tcBorders>
          </w:tcPr>
          <w:p w14:paraId="6CA5AFB8" w14:textId="29F7E69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B53217A" w14:textId="2656930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2,203 </w:t>
            </w:r>
          </w:p>
        </w:tc>
        <w:tc>
          <w:tcPr>
            <w:tcW w:w="920" w:type="dxa"/>
            <w:tcBorders>
              <w:right w:val="single" w:sz="4" w:space="0" w:color="365F91" w:themeColor="accent1" w:themeShade="BF"/>
            </w:tcBorders>
          </w:tcPr>
          <w:p w14:paraId="2F381412" w14:textId="6252B799"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566CCB6" w14:textId="1A5A5CC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3C81140" w14:textId="17A6CD63"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2,203 </w:t>
            </w:r>
          </w:p>
        </w:tc>
        <w:tc>
          <w:tcPr>
            <w:tcW w:w="885" w:type="dxa"/>
            <w:tcBorders>
              <w:right w:val="single" w:sz="4" w:space="0" w:color="365F91" w:themeColor="accent1" w:themeShade="BF"/>
            </w:tcBorders>
          </w:tcPr>
          <w:p w14:paraId="4D4A8164" w14:textId="7522092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E52BB8F" w14:textId="35C72F1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06F23BD0" w14:textId="35661EC2"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5ED4C65" w14:textId="29B6C20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6924179E"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12D1B22"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Sudan</w:t>
            </w:r>
          </w:p>
        </w:tc>
        <w:tc>
          <w:tcPr>
            <w:tcW w:w="933" w:type="dxa"/>
            <w:tcBorders>
              <w:left w:val="single" w:sz="4" w:space="0" w:color="365F91" w:themeColor="accent1" w:themeShade="BF"/>
            </w:tcBorders>
          </w:tcPr>
          <w:p w14:paraId="2A76AD56" w14:textId="633F7B2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17,000 </w:t>
            </w:r>
          </w:p>
        </w:tc>
        <w:tc>
          <w:tcPr>
            <w:tcW w:w="947" w:type="dxa"/>
          </w:tcPr>
          <w:p w14:paraId="25E488BF" w14:textId="1564B93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4B5ECC52" w14:textId="5421A32E"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ED143D4" w14:textId="297E0AC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D23CDEC" w14:textId="636F6F4B"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319F892A" w14:textId="450D80A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05DCD19" w14:textId="320CD8B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17,000 </w:t>
            </w:r>
          </w:p>
        </w:tc>
        <w:tc>
          <w:tcPr>
            <w:tcW w:w="933" w:type="dxa"/>
          </w:tcPr>
          <w:p w14:paraId="399224CE" w14:textId="31E3973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369ABBD1" w14:textId="032DCB1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08D36CA4"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8AAE84F"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Suriname</w:t>
            </w:r>
          </w:p>
        </w:tc>
        <w:tc>
          <w:tcPr>
            <w:tcW w:w="933" w:type="dxa"/>
            <w:tcBorders>
              <w:left w:val="single" w:sz="4" w:space="0" w:color="365F91" w:themeColor="accent1" w:themeShade="BF"/>
            </w:tcBorders>
          </w:tcPr>
          <w:p w14:paraId="3F9EE55B" w14:textId="0ED3FEB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DD1B8E9" w14:textId="75DFFE3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01AFAF38" w14:textId="2D2849E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BE1B263" w14:textId="7DA7756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C855EE7" w14:textId="1C5119B7"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139693B8" w14:textId="6E5434A7"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2ADBE7B" w14:textId="2F74ED32"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E7136D9" w14:textId="33BC5AD3"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4851E538" w14:textId="5BF52B5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61E16F1E"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1FB7425"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Sweden</w:t>
            </w:r>
          </w:p>
        </w:tc>
        <w:tc>
          <w:tcPr>
            <w:tcW w:w="933" w:type="dxa"/>
            <w:tcBorders>
              <w:left w:val="single" w:sz="4" w:space="0" w:color="365F91" w:themeColor="accent1" w:themeShade="BF"/>
            </w:tcBorders>
          </w:tcPr>
          <w:p w14:paraId="16A37B7F" w14:textId="678B9405"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8C578A0" w14:textId="70BA7C9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42,647 </w:t>
            </w:r>
          </w:p>
        </w:tc>
        <w:tc>
          <w:tcPr>
            <w:tcW w:w="920" w:type="dxa"/>
            <w:tcBorders>
              <w:right w:val="single" w:sz="4" w:space="0" w:color="365F91" w:themeColor="accent1" w:themeShade="BF"/>
            </w:tcBorders>
          </w:tcPr>
          <w:p w14:paraId="6AB16285" w14:textId="3D4AF24B"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21D84B3" w14:textId="7F3DF2B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1788E96" w14:textId="06949380"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42,647 </w:t>
            </w:r>
          </w:p>
        </w:tc>
        <w:tc>
          <w:tcPr>
            <w:tcW w:w="885" w:type="dxa"/>
            <w:tcBorders>
              <w:right w:val="single" w:sz="4" w:space="0" w:color="365F91" w:themeColor="accent1" w:themeShade="BF"/>
            </w:tcBorders>
          </w:tcPr>
          <w:p w14:paraId="7902D5DF" w14:textId="0CEB3A4B"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CD3D3DA" w14:textId="160E589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5735E89" w14:textId="3F6990BE"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5FE8FDB" w14:textId="4FE2947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2ABCBAE6"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070B255"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Switzerland</w:t>
            </w:r>
          </w:p>
        </w:tc>
        <w:tc>
          <w:tcPr>
            <w:tcW w:w="933" w:type="dxa"/>
            <w:tcBorders>
              <w:left w:val="single" w:sz="4" w:space="0" w:color="365F91" w:themeColor="accent1" w:themeShade="BF"/>
            </w:tcBorders>
          </w:tcPr>
          <w:p w14:paraId="1E7637F4" w14:textId="4266E2CA"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84D53A6" w14:textId="00172A6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55,524 </w:t>
            </w:r>
          </w:p>
        </w:tc>
        <w:tc>
          <w:tcPr>
            <w:tcW w:w="920" w:type="dxa"/>
            <w:tcBorders>
              <w:right w:val="single" w:sz="4" w:space="0" w:color="365F91" w:themeColor="accent1" w:themeShade="BF"/>
            </w:tcBorders>
          </w:tcPr>
          <w:p w14:paraId="098ED023" w14:textId="13C1EAF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6D39778" w14:textId="1160A948"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E66BEBF" w14:textId="444AE739"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55,524 </w:t>
            </w:r>
          </w:p>
        </w:tc>
        <w:tc>
          <w:tcPr>
            <w:tcW w:w="885" w:type="dxa"/>
            <w:tcBorders>
              <w:right w:val="single" w:sz="4" w:space="0" w:color="365F91" w:themeColor="accent1" w:themeShade="BF"/>
            </w:tcBorders>
          </w:tcPr>
          <w:p w14:paraId="06B06B4C" w14:textId="0895429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9110825" w14:textId="6128EDDA"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D723C7F" w14:textId="7A39B13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287B1CD" w14:textId="12506FD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3CF95FAC"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55AD097"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Syrian Arab Republic</w:t>
            </w:r>
          </w:p>
        </w:tc>
        <w:tc>
          <w:tcPr>
            <w:tcW w:w="933" w:type="dxa"/>
            <w:tcBorders>
              <w:left w:val="single" w:sz="4" w:space="0" w:color="365F91" w:themeColor="accent1" w:themeShade="BF"/>
            </w:tcBorders>
          </w:tcPr>
          <w:p w14:paraId="280102D4" w14:textId="32DF2B1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6,348 </w:t>
            </w:r>
          </w:p>
        </w:tc>
        <w:tc>
          <w:tcPr>
            <w:tcW w:w="947" w:type="dxa"/>
          </w:tcPr>
          <w:p w14:paraId="49D64DEA" w14:textId="36854D6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3D77EE1D" w14:textId="32F8254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CF69BC9" w14:textId="74BB67C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BC35246" w14:textId="54899D67"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6F38229D" w14:textId="3E685D5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794E369" w14:textId="446B148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6,348 </w:t>
            </w:r>
          </w:p>
        </w:tc>
        <w:tc>
          <w:tcPr>
            <w:tcW w:w="933" w:type="dxa"/>
          </w:tcPr>
          <w:p w14:paraId="05E50F16" w14:textId="5AFEC4E6"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3F806D99" w14:textId="7AD48730"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2E1759CA"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5D82233"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Tajikistan</w:t>
            </w:r>
          </w:p>
        </w:tc>
        <w:tc>
          <w:tcPr>
            <w:tcW w:w="933" w:type="dxa"/>
            <w:tcBorders>
              <w:left w:val="single" w:sz="4" w:space="0" w:color="365F91" w:themeColor="accent1" w:themeShade="BF"/>
            </w:tcBorders>
          </w:tcPr>
          <w:p w14:paraId="0FA4DAC4" w14:textId="46534242"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 </w:t>
            </w:r>
          </w:p>
        </w:tc>
        <w:tc>
          <w:tcPr>
            <w:tcW w:w="947" w:type="dxa"/>
          </w:tcPr>
          <w:p w14:paraId="42695BAF" w14:textId="0321C7B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EEF112E" w14:textId="41F7032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472EBED" w14:textId="3C41DDC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200 </w:t>
            </w:r>
          </w:p>
        </w:tc>
        <w:tc>
          <w:tcPr>
            <w:tcW w:w="982" w:type="dxa"/>
          </w:tcPr>
          <w:p w14:paraId="17D1B140" w14:textId="45E69CA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6289A908" w14:textId="3B1549DA"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6268E5E" w14:textId="3ABF0218"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20308CA9" w14:textId="4CC01AA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190E113" w14:textId="00CB3A89"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3FCE8A01"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0DC6397"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Thailand</w:t>
            </w:r>
          </w:p>
        </w:tc>
        <w:tc>
          <w:tcPr>
            <w:tcW w:w="933" w:type="dxa"/>
            <w:tcBorders>
              <w:left w:val="single" w:sz="4" w:space="0" w:color="365F91" w:themeColor="accent1" w:themeShade="BF"/>
            </w:tcBorders>
          </w:tcPr>
          <w:p w14:paraId="31E56898" w14:textId="0F91404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3,905 </w:t>
            </w:r>
          </w:p>
        </w:tc>
        <w:tc>
          <w:tcPr>
            <w:tcW w:w="947" w:type="dxa"/>
          </w:tcPr>
          <w:p w14:paraId="48EA4B03" w14:textId="525BF1E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18,018 </w:t>
            </w:r>
          </w:p>
        </w:tc>
        <w:tc>
          <w:tcPr>
            <w:tcW w:w="920" w:type="dxa"/>
            <w:tcBorders>
              <w:right w:val="single" w:sz="4" w:space="0" w:color="365F91" w:themeColor="accent1" w:themeShade="BF"/>
            </w:tcBorders>
          </w:tcPr>
          <w:p w14:paraId="5F4C89FB" w14:textId="2C5D32C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6563E80" w14:textId="0E70FEDE"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3,905 </w:t>
            </w:r>
          </w:p>
        </w:tc>
        <w:tc>
          <w:tcPr>
            <w:tcW w:w="982" w:type="dxa"/>
          </w:tcPr>
          <w:p w14:paraId="05A85F96" w14:textId="1FEE3B9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13,015 </w:t>
            </w:r>
          </w:p>
        </w:tc>
        <w:tc>
          <w:tcPr>
            <w:tcW w:w="885" w:type="dxa"/>
            <w:tcBorders>
              <w:right w:val="single" w:sz="4" w:space="0" w:color="365F91" w:themeColor="accent1" w:themeShade="BF"/>
            </w:tcBorders>
          </w:tcPr>
          <w:p w14:paraId="2767C1FA" w14:textId="117067B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2896E68" w14:textId="2046E3B8"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D5D7CC5" w14:textId="5A9ACB5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5,003 </w:t>
            </w:r>
          </w:p>
        </w:tc>
        <w:tc>
          <w:tcPr>
            <w:tcW w:w="934" w:type="dxa"/>
            <w:tcBorders>
              <w:right w:val="single" w:sz="4" w:space="0" w:color="365F91" w:themeColor="accent1" w:themeShade="BF"/>
            </w:tcBorders>
          </w:tcPr>
          <w:p w14:paraId="06888E7A" w14:textId="7F774C46"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2A3D26CA"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1911E3A"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Togo</w:t>
            </w:r>
          </w:p>
        </w:tc>
        <w:tc>
          <w:tcPr>
            <w:tcW w:w="933" w:type="dxa"/>
            <w:tcBorders>
              <w:left w:val="single" w:sz="4" w:space="0" w:color="365F91" w:themeColor="accent1" w:themeShade="BF"/>
            </w:tcBorders>
          </w:tcPr>
          <w:p w14:paraId="67419D6A" w14:textId="1EB615D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47" w:type="dxa"/>
          </w:tcPr>
          <w:p w14:paraId="5B40DF92" w14:textId="4A6F941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2CDCBBD" w14:textId="35922EA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C0DFA7D" w14:textId="4414516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82" w:type="dxa"/>
          </w:tcPr>
          <w:p w14:paraId="0F4F454F" w14:textId="5A848223"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right w:val="single" w:sz="4" w:space="0" w:color="365F91" w:themeColor="accent1" w:themeShade="BF"/>
            </w:tcBorders>
          </w:tcPr>
          <w:p w14:paraId="6F22AE81" w14:textId="288153C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208D7DA8" w14:textId="0476E13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F1A53FF" w14:textId="5FA9D29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0153FCB" w14:textId="1101CB9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07983D4F"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705D746"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Trinidad and Tobago</w:t>
            </w:r>
          </w:p>
        </w:tc>
        <w:tc>
          <w:tcPr>
            <w:tcW w:w="933" w:type="dxa"/>
            <w:tcBorders>
              <w:left w:val="single" w:sz="4" w:space="0" w:color="365F91" w:themeColor="accent1" w:themeShade="BF"/>
            </w:tcBorders>
          </w:tcPr>
          <w:p w14:paraId="06203B46" w14:textId="0CED4C8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1D8EB1AA" w14:textId="069DD8F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1,812 </w:t>
            </w:r>
          </w:p>
        </w:tc>
        <w:tc>
          <w:tcPr>
            <w:tcW w:w="920" w:type="dxa"/>
            <w:tcBorders>
              <w:right w:val="single" w:sz="4" w:space="0" w:color="365F91" w:themeColor="accent1" w:themeShade="BF"/>
            </w:tcBorders>
          </w:tcPr>
          <w:p w14:paraId="06429A4F" w14:textId="70997A95"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4266A1E" w14:textId="4B0093D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0C1DB31" w14:textId="7033DC7E"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1,812 </w:t>
            </w:r>
          </w:p>
        </w:tc>
        <w:tc>
          <w:tcPr>
            <w:tcW w:w="885" w:type="dxa"/>
            <w:tcBorders>
              <w:right w:val="single" w:sz="4" w:space="0" w:color="365F91" w:themeColor="accent1" w:themeShade="BF"/>
            </w:tcBorders>
          </w:tcPr>
          <w:p w14:paraId="7802958E" w14:textId="109EBB9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6304F9D" w14:textId="3490815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66B0A95" w14:textId="26BE40B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6381DA15" w14:textId="6BC4A396"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4AAAA48B"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674C5D4"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Tunisia</w:t>
            </w:r>
          </w:p>
        </w:tc>
        <w:tc>
          <w:tcPr>
            <w:tcW w:w="933" w:type="dxa"/>
            <w:tcBorders>
              <w:left w:val="single" w:sz="4" w:space="0" w:color="365F91" w:themeColor="accent1" w:themeShade="BF"/>
            </w:tcBorders>
          </w:tcPr>
          <w:p w14:paraId="78D656D0" w14:textId="71C490C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51CD730E" w14:textId="1CF3E41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51C3C5EA" w14:textId="5382E5B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224 </w:t>
            </w:r>
          </w:p>
        </w:tc>
        <w:tc>
          <w:tcPr>
            <w:tcW w:w="933" w:type="dxa"/>
            <w:tcBorders>
              <w:left w:val="single" w:sz="4" w:space="0" w:color="365F91" w:themeColor="accent1" w:themeShade="BF"/>
            </w:tcBorders>
          </w:tcPr>
          <w:p w14:paraId="5E8C7613" w14:textId="5FB31AE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D9AAF76" w14:textId="751D15E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776 </w:t>
            </w:r>
          </w:p>
        </w:tc>
        <w:tc>
          <w:tcPr>
            <w:tcW w:w="885" w:type="dxa"/>
            <w:tcBorders>
              <w:right w:val="single" w:sz="4" w:space="0" w:color="365F91" w:themeColor="accent1" w:themeShade="BF"/>
            </w:tcBorders>
          </w:tcPr>
          <w:p w14:paraId="424A25AC" w14:textId="77DEC31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448 </w:t>
            </w:r>
          </w:p>
        </w:tc>
        <w:tc>
          <w:tcPr>
            <w:tcW w:w="933" w:type="dxa"/>
            <w:tcBorders>
              <w:left w:val="single" w:sz="4" w:space="0" w:color="365F91" w:themeColor="accent1" w:themeShade="BF"/>
            </w:tcBorders>
          </w:tcPr>
          <w:p w14:paraId="31940F3A" w14:textId="37EE563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818F273" w14:textId="4D6D68B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019D91B" w14:textId="7958442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448 </w:t>
            </w:r>
          </w:p>
        </w:tc>
      </w:tr>
      <w:tr w:rsidR="00A70EC8" w:rsidRPr="00F8347B" w14:paraId="7895B7D3"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F774A22" w14:textId="77777777" w:rsidR="00A70EC8" w:rsidRPr="00D25CEB" w:rsidRDefault="00A70EC8" w:rsidP="00A70EC8">
            <w:pPr>
              <w:ind w:left="0" w:firstLine="0"/>
              <w:rPr>
                <w:rFonts w:asciiTheme="minorHAnsi" w:hAnsiTheme="minorHAnsi" w:cstheme="minorHAnsi"/>
                <w:sz w:val="20"/>
                <w:szCs w:val="20"/>
              </w:rPr>
            </w:pPr>
            <w:proofErr w:type="spellStart"/>
            <w:r w:rsidRPr="00D25CEB">
              <w:rPr>
                <w:rFonts w:asciiTheme="minorHAnsi" w:hAnsiTheme="minorHAnsi" w:cstheme="minorHAnsi"/>
                <w:sz w:val="20"/>
                <w:szCs w:val="20"/>
              </w:rPr>
              <w:t>Türkiye</w:t>
            </w:r>
            <w:proofErr w:type="spellEnd"/>
          </w:p>
        </w:tc>
        <w:tc>
          <w:tcPr>
            <w:tcW w:w="933" w:type="dxa"/>
            <w:tcBorders>
              <w:left w:val="single" w:sz="4" w:space="0" w:color="365F91" w:themeColor="accent1" w:themeShade="BF"/>
            </w:tcBorders>
          </w:tcPr>
          <w:p w14:paraId="6E63A176" w14:textId="4A3B3AB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7F362506" w14:textId="5D47B73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41,374 </w:t>
            </w:r>
          </w:p>
        </w:tc>
        <w:tc>
          <w:tcPr>
            <w:tcW w:w="920" w:type="dxa"/>
            <w:tcBorders>
              <w:right w:val="single" w:sz="4" w:space="0" w:color="365F91" w:themeColor="accent1" w:themeShade="BF"/>
            </w:tcBorders>
          </w:tcPr>
          <w:p w14:paraId="5B374C71" w14:textId="234CE98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37C6F3A" w14:textId="58A71E5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7C3FEA8" w14:textId="1E43714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41,374 </w:t>
            </w:r>
          </w:p>
        </w:tc>
        <w:tc>
          <w:tcPr>
            <w:tcW w:w="885" w:type="dxa"/>
            <w:tcBorders>
              <w:right w:val="single" w:sz="4" w:space="0" w:color="365F91" w:themeColor="accent1" w:themeShade="BF"/>
            </w:tcBorders>
          </w:tcPr>
          <w:p w14:paraId="050D2CCE" w14:textId="1C5CA44E"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57C9008" w14:textId="2918081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76AE81C2" w14:textId="19FA7C2C"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FB4DD2D" w14:textId="397A7176"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5A649AFF"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2BA0780"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Turkmenistan</w:t>
            </w:r>
          </w:p>
        </w:tc>
        <w:tc>
          <w:tcPr>
            <w:tcW w:w="933" w:type="dxa"/>
            <w:tcBorders>
              <w:left w:val="single" w:sz="4" w:space="0" w:color="365F91" w:themeColor="accent1" w:themeShade="BF"/>
            </w:tcBorders>
          </w:tcPr>
          <w:p w14:paraId="55BE7810" w14:textId="295F8EAA"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13,324 </w:t>
            </w:r>
          </w:p>
        </w:tc>
        <w:tc>
          <w:tcPr>
            <w:tcW w:w="947" w:type="dxa"/>
          </w:tcPr>
          <w:p w14:paraId="0710F15B" w14:textId="51F0DE9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1,665 </w:t>
            </w:r>
          </w:p>
        </w:tc>
        <w:tc>
          <w:tcPr>
            <w:tcW w:w="920" w:type="dxa"/>
            <w:tcBorders>
              <w:right w:val="single" w:sz="4" w:space="0" w:color="365F91" w:themeColor="accent1" w:themeShade="BF"/>
            </w:tcBorders>
          </w:tcPr>
          <w:p w14:paraId="3007E6FB" w14:textId="2097D74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A350A7E" w14:textId="7C2A1D12"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FE05F6A" w14:textId="76AA45C7"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DB91E9A" w14:textId="7D43E87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1D7E385" w14:textId="31390859"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13,324 </w:t>
            </w:r>
          </w:p>
        </w:tc>
        <w:tc>
          <w:tcPr>
            <w:tcW w:w="933" w:type="dxa"/>
          </w:tcPr>
          <w:p w14:paraId="12403C9C" w14:textId="74021B5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1,665 </w:t>
            </w:r>
          </w:p>
        </w:tc>
        <w:tc>
          <w:tcPr>
            <w:tcW w:w="934" w:type="dxa"/>
            <w:tcBorders>
              <w:right w:val="single" w:sz="4" w:space="0" w:color="365F91" w:themeColor="accent1" w:themeShade="BF"/>
            </w:tcBorders>
          </w:tcPr>
          <w:p w14:paraId="4561F79A" w14:textId="0FDEDC3A"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6F9610BA"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09B107C"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Uganda</w:t>
            </w:r>
          </w:p>
        </w:tc>
        <w:tc>
          <w:tcPr>
            <w:tcW w:w="933" w:type="dxa"/>
            <w:tcBorders>
              <w:left w:val="single" w:sz="4" w:space="0" w:color="365F91" w:themeColor="accent1" w:themeShade="BF"/>
            </w:tcBorders>
          </w:tcPr>
          <w:p w14:paraId="37D45BCF" w14:textId="73B362D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8D2EA37" w14:textId="43E33CF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7E702DE6" w14:textId="7FA7144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309DBC4E" w14:textId="47C15F8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E4DB79B" w14:textId="607B7EF6"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768982C8" w14:textId="7CC27BEE"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46B2BD1" w14:textId="4C194E20"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6E7CBFD3" w14:textId="01D6F46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42D7E5C2" w14:textId="2E6BA20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79842481"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B0C93D2"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Ukraine</w:t>
            </w:r>
          </w:p>
        </w:tc>
        <w:tc>
          <w:tcPr>
            <w:tcW w:w="933" w:type="dxa"/>
            <w:tcBorders>
              <w:left w:val="single" w:sz="4" w:space="0" w:color="365F91" w:themeColor="accent1" w:themeShade="BF"/>
            </w:tcBorders>
          </w:tcPr>
          <w:p w14:paraId="5C8FE0FD" w14:textId="7234F69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2,742 </w:t>
            </w:r>
          </w:p>
        </w:tc>
        <w:tc>
          <w:tcPr>
            <w:tcW w:w="947" w:type="dxa"/>
          </w:tcPr>
          <w:p w14:paraId="16B733F0" w14:textId="74E4C0D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2,742 </w:t>
            </w:r>
          </w:p>
        </w:tc>
        <w:tc>
          <w:tcPr>
            <w:tcW w:w="920" w:type="dxa"/>
            <w:tcBorders>
              <w:right w:val="single" w:sz="4" w:space="0" w:color="365F91" w:themeColor="accent1" w:themeShade="BF"/>
            </w:tcBorders>
          </w:tcPr>
          <w:p w14:paraId="0D50327E" w14:textId="06C7DF8A"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8ADB702" w14:textId="3CD77159"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B529A26" w14:textId="3024305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AF07627" w14:textId="776008C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5F1818D" w14:textId="3A3D551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2,742 </w:t>
            </w:r>
          </w:p>
        </w:tc>
        <w:tc>
          <w:tcPr>
            <w:tcW w:w="933" w:type="dxa"/>
          </w:tcPr>
          <w:p w14:paraId="1D03A75C" w14:textId="5DF73AE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2,742 </w:t>
            </w:r>
          </w:p>
        </w:tc>
        <w:tc>
          <w:tcPr>
            <w:tcW w:w="934" w:type="dxa"/>
            <w:tcBorders>
              <w:right w:val="single" w:sz="4" w:space="0" w:color="365F91" w:themeColor="accent1" w:themeShade="BF"/>
            </w:tcBorders>
          </w:tcPr>
          <w:p w14:paraId="3038438C" w14:textId="709CD743"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4BD02F15"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D79501D"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United Arab Emirates</w:t>
            </w:r>
          </w:p>
        </w:tc>
        <w:tc>
          <w:tcPr>
            <w:tcW w:w="933" w:type="dxa"/>
            <w:tcBorders>
              <w:left w:val="single" w:sz="4" w:space="0" w:color="365F91" w:themeColor="accent1" w:themeShade="BF"/>
            </w:tcBorders>
          </w:tcPr>
          <w:p w14:paraId="12034E11" w14:textId="4BFB0985"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23D69A60" w14:textId="78A9079C"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31,091 </w:t>
            </w:r>
          </w:p>
        </w:tc>
        <w:tc>
          <w:tcPr>
            <w:tcW w:w="920" w:type="dxa"/>
            <w:tcBorders>
              <w:right w:val="single" w:sz="4" w:space="0" w:color="365F91" w:themeColor="accent1" w:themeShade="BF"/>
            </w:tcBorders>
          </w:tcPr>
          <w:p w14:paraId="7AED1130" w14:textId="0795D2C7"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3B9671B" w14:textId="19C3CD60"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AB55CA3" w14:textId="07AA8E6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31,091 </w:t>
            </w:r>
          </w:p>
        </w:tc>
        <w:tc>
          <w:tcPr>
            <w:tcW w:w="885" w:type="dxa"/>
            <w:tcBorders>
              <w:right w:val="single" w:sz="4" w:space="0" w:color="365F91" w:themeColor="accent1" w:themeShade="BF"/>
            </w:tcBorders>
          </w:tcPr>
          <w:p w14:paraId="0AAFAD5D" w14:textId="3524E30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09A7B97" w14:textId="63272BF5"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184092E" w14:textId="70CE45B8"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1160DB77" w14:textId="34559D6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27CD3AA8"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CAB2414" w14:textId="2FC20B33"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lastRenderedPageBreak/>
              <w:t>United Kingdom</w:t>
            </w:r>
            <w:r>
              <w:rPr>
                <w:rFonts w:asciiTheme="minorHAnsi" w:hAnsiTheme="minorHAnsi" w:cstheme="minorHAnsi"/>
                <w:sz w:val="20"/>
                <w:szCs w:val="20"/>
              </w:rPr>
              <w:t xml:space="preserve"> </w:t>
            </w:r>
            <w:r w:rsidRPr="005E6D57">
              <w:rPr>
                <w:rFonts w:asciiTheme="minorHAnsi" w:hAnsiTheme="minorHAnsi" w:cstheme="minorHAnsi"/>
                <w:sz w:val="20"/>
                <w:szCs w:val="20"/>
              </w:rPr>
              <w:t>of Great Britain and Northern Ireland</w:t>
            </w:r>
          </w:p>
        </w:tc>
        <w:tc>
          <w:tcPr>
            <w:tcW w:w="933" w:type="dxa"/>
            <w:tcBorders>
              <w:left w:val="single" w:sz="4" w:space="0" w:color="365F91" w:themeColor="accent1" w:themeShade="BF"/>
            </w:tcBorders>
          </w:tcPr>
          <w:p w14:paraId="1C93D8E0" w14:textId="53835DB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6EF3D965" w14:textId="71AE25C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214,212 </w:t>
            </w:r>
          </w:p>
        </w:tc>
        <w:tc>
          <w:tcPr>
            <w:tcW w:w="920" w:type="dxa"/>
            <w:tcBorders>
              <w:right w:val="single" w:sz="4" w:space="0" w:color="365F91" w:themeColor="accent1" w:themeShade="BF"/>
            </w:tcBorders>
          </w:tcPr>
          <w:p w14:paraId="1BE7F799" w14:textId="40EBC192"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9,264 </w:t>
            </w:r>
          </w:p>
        </w:tc>
        <w:tc>
          <w:tcPr>
            <w:tcW w:w="933" w:type="dxa"/>
            <w:tcBorders>
              <w:left w:val="single" w:sz="4" w:space="0" w:color="365F91" w:themeColor="accent1" w:themeShade="BF"/>
            </w:tcBorders>
          </w:tcPr>
          <w:p w14:paraId="2D125E75" w14:textId="2F6DD123"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34BE78FC" w14:textId="22FCF00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204,948 </w:t>
            </w:r>
          </w:p>
        </w:tc>
        <w:tc>
          <w:tcPr>
            <w:tcW w:w="885" w:type="dxa"/>
            <w:tcBorders>
              <w:right w:val="single" w:sz="4" w:space="0" w:color="365F91" w:themeColor="accent1" w:themeShade="BF"/>
            </w:tcBorders>
          </w:tcPr>
          <w:p w14:paraId="0A342428" w14:textId="5C91EF5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214,212 </w:t>
            </w:r>
          </w:p>
        </w:tc>
        <w:tc>
          <w:tcPr>
            <w:tcW w:w="933" w:type="dxa"/>
            <w:tcBorders>
              <w:left w:val="single" w:sz="4" w:space="0" w:color="365F91" w:themeColor="accent1" w:themeShade="BF"/>
            </w:tcBorders>
          </w:tcPr>
          <w:p w14:paraId="0D5BC663" w14:textId="659908B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4D66BC1" w14:textId="3AF15D2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0F08FE7" w14:textId="589086B9"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214,212 </w:t>
            </w:r>
          </w:p>
        </w:tc>
      </w:tr>
      <w:tr w:rsidR="00A70EC8" w:rsidRPr="00F8347B" w14:paraId="449354E9"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74FF92E"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United Republic of Tanzania</w:t>
            </w:r>
          </w:p>
        </w:tc>
        <w:tc>
          <w:tcPr>
            <w:tcW w:w="933" w:type="dxa"/>
            <w:tcBorders>
              <w:left w:val="single" w:sz="4" w:space="0" w:color="365F91" w:themeColor="accent1" w:themeShade="BF"/>
            </w:tcBorders>
          </w:tcPr>
          <w:p w14:paraId="221716E4" w14:textId="3B8D5F5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12,000 </w:t>
            </w:r>
          </w:p>
        </w:tc>
        <w:tc>
          <w:tcPr>
            <w:tcW w:w="947" w:type="dxa"/>
          </w:tcPr>
          <w:p w14:paraId="6AD5FB5C" w14:textId="398E86C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2E18E867" w14:textId="2BD59720"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C988FE9" w14:textId="3C1372C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3D5A4FA" w14:textId="51261E9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626E1AA" w14:textId="3E6F935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CABFE3D" w14:textId="597360D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12,000 </w:t>
            </w:r>
          </w:p>
        </w:tc>
        <w:tc>
          <w:tcPr>
            <w:tcW w:w="933" w:type="dxa"/>
          </w:tcPr>
          <w:p w14:paraId="4D454EF0" w14:textId="3A561C5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76F232CA" w14:textId="1489734C"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1358F5" w14:paraId="0079FA18"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32D4D47" w14:textId="77777777" w:rsidR="00A70EC8" w:rsidRPr="00D25CEB" w:rsidRDefault="00A70EC8" w:rsidP="00A70EC8">
            <w:pPr>
              <w:ind w:left="0" w:firstLine="0"/>
              <w:rPr>
                <w:rFonts w:asciiTheme="minorHAnsi" w:hAnsiTheme="minorHAnsi" w:cstheme="minorHAnsi"/>
                <w:spacing w:val="-4"/>
                <w:sz w:val="20"/>
                <w:szCs w:val="20"/>
              </w:rPr>
            </w:pPr>
            <w:r w:rsidRPr="00D25CEB">
              <w:rPr>
                <w:rFonts w:asciiTheme="minorHAnsi" w:hAnsiTheme="minorHAnsi" w:cstheme="minorHAnsi"/>
                <w:spacing w:val="-4"/>
                <w:sz w:val="20"/>
                <w:szCs w:val="20"/>
              </w:rPr>
              <w:t>United States of America</w:t>
            </w:r>
          </w:p>
        </w:tc>
        <w:tc>
          <w:tcPr>
            <w:tcW w:w="933" w:type="dxa"/>
            <w:tcBorders>
              <w:left w:val="single" w:sz="4" w:space="0" w:color="365F91" w:themeColor="accent1" w:themeShade="BF"/>
            </w:tcBorders>
          </w:tcPr>
          <w:p w14:paraId="5BFA8671" w14:textId="7818E799"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35047B3D" w14:textId="6E79D33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1,065,799 </w:t>
            </w:r>
          </w:p>
        </w:tc>
        <w:tc>
          <w:tcPr>
            <w:tcW w:w="920" w:type="dxa"/>
            <w:tcBorders>
              <w:right w:val="single" w:sz="4" w:space="0" w:color="365F91" w:themeColor="accent1" w:themeShade="BF"/>
            </w:tcBorders>
          </w:tcPr>
          <w:p w14:paraId="07F89301" w14:textId="52A9B25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33" w:type="dxa"/>
            <w:tcBorders>
              <w:left w:val="single" w:sz="4" w:space="0" w:color="365F91" w:themeColor="accent1" w:themeShade="BF"/>
            </w:tcBorders>
          </w:tcPr>
          <w:p w14:paraId="662C378C" w14:textId="532B6BBA"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95BD9D0" w14:textId="43D09A48"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1,065,799 </w:t>
            </w:r>
          </w:p>
        </w:tc>
        <w:tc>
          <w:tcPr>
            <w:tcW w:w="885" w:type="dxa"/>
            <w:tcBorders>
              <w:right w:val="single" w:sz="4" w:space="0" w:color="365F91" w:themeColor="accent1" w:themeShade="BF"/>
            </w:tcBorders>
          </w:tcPr>
          <w:p w14:paraId="63BFE63D" w14:textId="1D59139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94,196 </w:t>
            </w:r>
          </w:p>
        </w:tc>
        <w:tc>
          <w:tcPr>
            <w:tcW w:w="933" w:type="dxa"/>
            <w:tcBorders>
              <w:left w:val="single" w:sz="4" w:space="0" w:color="365F91" w:themeColor="accent1" w:themeShade="BF"/>
            </w:tcBorders>
          </w:tcPr>
          <w:p w14:paraId="53F09EA8" w14:textId="7D5112B7"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51036D78" w14:textId="2A4803A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0B8B77A7" w14:textId="27C0B2E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94,196 </w:t>
            </w:r>
          </w:p>
        </w:tc>
      </w:tr>
      <w:tr w:rsidR="00A70EC8" w:rsidRPr="00F8347B" w14:paraId="006098FC"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27C1593"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Uruguay</w:t>
            </w:r>
          </w:p>
        </w:tc>
        <w:tc>
          <w:tcPr>
            <w:tcW w:w="933" w:type="dxa"/>
            <w:tcBorders>
              <w:left w:val="single" w:sz="4" w:space="0" w:color="365F91" w:themeColor="accent1" w:themeShade="BF"/>
            </w:tcBorders>
          </w:tcPr>
          <w:p w14:paraId="4D54A4B6" w14:textId="269AFE5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433FA62B" w14:textId="231CF81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4,505 </w:t>
            </w:r>
          </w:p>
        </w:tc>
        <w:tc>
          <w:tcPr>
            <w:tcW w:w="920" w:type="dxa"/>
            <w:tcBorders>
              <w:right w:val="single" w:sz="4" w:space="0" w:color="365F91" w:themeColor="accent1" w:themeShade="BF"/>
            </w:tcBorders>
          </w:tcPr>
          <w:p w14:paraId="7BD6A778" w14:textId="2966A768"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4E39D5A" w14:textId="62310FD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5B188226" w14:textId="0F392A0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4,505 </w:t>
            </w:r>
          </w:p>
        </w:tc>
        <w:tc>
          <w:tcPr>
            <w:tcW w:w="885" w:type="dxa"/>
            <w:tcBorders>
              <w:right w:val="single" w:sz="4" w:space="0" w:color="365F91" w:themeColor="accent1" w:themeShade="BF"/>
            </w:tcBorders>
          </w:tcPr>
          <w:p w14:paraId="5645E0C4" w14:textId="77777777"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33" w:type="dxa"/>
            <w:tcBorders>
              <w:left w:val="single" w:sz="4" w:space="0" w:color="365F91" w:themeColor="accent1" w:themeShade="BF"/>
            </w:tcBorders>
          </w:tcPr>
          <w:p w14:paraId="51CCADCC" w14:textId="1F0F4676"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343448D9" w14:textId="280EDB8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54DB6939" w14:textId="5D07DE5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4C57A705"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4D9B6E5"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Uzbekistan</w:t>
            </w:r>
          </w:p>
        </w:tc>
        <w:tc>
          <w:tcPr>
            <w:tcW w:w="933" w:type="dxa"/>
            <w:tcBorders>
              <w:left w:val="single" w:sz="4" w:space="0" w:color="365F91" w:themeColor="accent1" w:themeShade="BF"/>
            </w:tcBorders>
          </w:tcPr>
          <w:p w14:paraId="7F4A1D45" w14:textId="11EABBA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16,385 </w:t>
            </w:r>
          </w:p>
        </w:tc>
        <w:tc>
          <w:tcPr>
            <w:tcW w:w="947" w:type="dxa"/>
          </w:tcPr>
          <w:p w14:paraId="5951E378" w14:textId="752EBB87"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1,322 </w:t>
            </w:r>
          </w:p>
        </w:tc>
        <w:tc>
          <w:tcPr>
            <w:tcW w:w="920" w:type="dxa"/>
            <w:tcBorders>
              <w:right w:val="single" w:sz="4" w:space="0" w:color="365F91" w:themeColor="accent1" w:themeShade="BF"/>
            </w:tcBorders>
          </w:tcPr>
          <w:p w14:paraId="35906B4E" w14:textId="1CDD288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00715AB8" w14:textId="6B686788"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2,644 </w:t>
            </w:r>
          </w:p>
        </w:tc>
        <w:tc>
          <w:tcPr>
            <w:tcW w:w="982" w:type="dxa"/>
          </w:tcPr>
          <w:p w14:paraId="17B1EDFB" w14:textId="1F58B7D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20038550" w14:textId="29921252"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421E05D9" w14:textId="63D58B62"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13,741 </w:t>
            </w:r>
          </w:p>
        </w:tc>
        <w:tc>
          <w:tcPr>
            <w:tcW w:w="933" w:type="dxa"/>
          </w:tcPr>
          <w:p w14:paraId="14D3255F" w14:textId="12512644"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1,322 </w:t>
            </w:r>
          </w:p>
        </w:tc>
        <w:tc>
          <w:tcPr>
            <w:tcW w:w="934" w:type="dxa"/>
            <w:tcBorders>
              <w:right w:val="single" w:sz="4" w:space="0" w:color="365F91" w:themeColor="accent1" w:themeShade="BF"/>
            </w:tcBorders>
          </w:tcPr>
          <w:p w14:paraId="034D6CE8" w14:textId="4E35B54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2D9ACA8E"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9AF4123"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Vanuatu</w:t>
            </w:r>
          </w:p>
        </w:tc>
        <w:tc>
          <w:tcPr>
            <w:tcW w:w="933" w:type="dxa"/>
            <w:tcBorders>
              <w:left w:val="single" w:sz="4" w:space="0" w:color="365F91" w:themeColor="accent1" w:themeShade="BF"/>
            </w:tcBorders>
          </w:tcPr>
          <w:p w14:paraId="3362AFC9" w14:textId="7D773B1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901 </w:t>
            </w:r>
          </w:p>
        </w:tc>
        <w:tc>
          <w:tcPr>
            <w:tcW w:w="947" w:type="dxa"/>
          </w:tcPr>
          <w:p w14:paraId="6BFE8437" w14:textId="62225E8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E2315CA" w14:textId="5B907EF6"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33" w:type="dxa"/>
            <w:tcBorders>
              <w:left w:val="single" w:sz="4" w:space="0" w:color="365F91" w:themeColor="accent1" w:themeShade="BF"/>
            </w:tcBorders>
          </w:tcPr>
          <w:p w14:paraId="430797C3" w14:textId="5163861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1555E238" w14:textId="721D3C8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AD431AC" w14:textId="66A8357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9825738" w14:textId="5E185DC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901 </w:t>
            </w:r>
          </w:p>
        </w:tc>
        <w:tc>
          <w:tcPr>
            <w:tcW w:w="933" w:type="dxa"/>
          </w:tcPr>
          <w:p w14:paraId="7858E0F9" w14:textId="67D1F6E0"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04BBA44D" w14:textId="7CF8E4EF"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0C71BE99"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6598659"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Venezuela (Bolivarian Republic of)</w:t>
            </w:r>
          </w:p>
        </w:tc>
        <w:tc>
          <w:tcPr>
            <w:tcW w:w="933" w:type="dxa"/>
            <w:tcBorders>
              <w:left w:val="single" w:sz="4" w:space="0" w:color="365F91" w:themeColor="accent1" w:themeShade="BF"/>
            </w:tcBorders>
          </w:tcPr>
          <w:p w14:paraId="5383D93A" w14:textId="7373A4C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320,938 </w:t>
            </w:r>
          </w:p>
        </w:tc>
        <w:tc>
          <w:tcPr>
            <w:tcW w:w="947" w:type="dxa"/>
          </w:tcPr>
          <w:p w14:paraId="04315832" w14:textId="36862F9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8,568 </w:t>
            </w:r>
          </w:p>
        </w:tc>
        <w:tc>
          <w:tcPr>
            <w:tcW w:w="920" w:type="dxa"/>
            <w:tcBorders>
              <w:right w:val="single" w:sz="4" w:space="0" w:color="365F91" w:themeColor="accent1" w:themeShade="BF"/>
            </w:tcBorders>
          </w:tcPr>
          <w:p w14:paraId="74112CA2" w14:textId="54DD0CC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1EA4514" w14:textId="3F3FDC0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368DE6B" w14:textId="0FE7BE33"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092973A9" w14:textId="487867F8"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1646C422" w14:textId="4E396CD6"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320,938 </w:t>
            </w:r>
          </w:p>
        </w:tc>
        <w:tc>
          <w:tcPr>
            <w:tcW w:w="933" w:type="dxa"/>
          </w:tcPr>
          <w:p w14:paraId="33DF067F" w14:textId="0C111C1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8,568 </w:t>
            </w:r>
          </w:p>
        </w:tc>
        <w:tc>
          <w:tcPr>
            <w:tcW w:w="934" w:type="dxa"/>
            <w:tcBorders>
              <w:right w:val="single" w:sz="4" w:space="0" w:color="365F91" w:themeColor="accent1" w:themeShade="BF"/>
            </w:tcBorders>
          </w:tcPr>
          <w:p w14:paraId="0E090E2E" w14:textId="07708497"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53AB4029"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2A9BCCB"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Viet Nam</w:t>
            </w:r>
          </w:p>
        </w:tc>
        <w:tc>
          <w:tcPr>
            <w:tcW w:w="933" w:type="dxa"/>
            <w:tcBorders>
              <w:left w:val="single" w:sz="4" w:space="0" w:color="365F91" w:themeColor="accent1" w:themeShade="BF"/>
            </w:tcBorders>
          </w:tcPr>
          <w:p w14:paraId="44BC569E" w14:textId="029B5898"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47" w:type="dxa"/>
          </w:tcPr>
          <w:p w14:paraId="0853BEF3" w14:textId="1CA27A7D"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4,554 </w:t>
            </w:r>
          </w:p>
        </w:tc>
        <w:tc>
          <w:tcPr>
            <w:tcW w:w="920" w:type="dxa"/>
            <w:tcBorders>
              <w:right w:val="single" w:sz="4" w:space="0" w:color="365F91" w:themeColor="accent1" w:themeShade="BF"/>
            </w:tcBorders>
          </w:tcPr>
          <w:p w14:paraId="0FD128B4" w14:textId="2041DAE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66132C3F" w14:textId="1977204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08956932" w14:textId="0A1D9677"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4,554 </w:t>
            </w:r>
          </w:p>
        </w:tc>
        <w:tc>
          <w:tcPr>
            <w:tcW w:w="885" w:type="dxa"/>
            <w:tcBorders>
              <w:right w:val="single" w:sz="4" w:space="0" w:color="365F91" w:themeColor="accent1" w:themeShade="BF"/>
            </w:tcBorders>
          </w:tcPr>
          <w:p w14:paraId="66F163C0" w14:textId="2C220AD4"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58CAC9E" w14:textId="31063850"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Pr>
          <w:p w14:paraId="10C70A82" w14:textId="56AB31F9"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right w:val="single" w:sz="4" w:space="0" w:color="365F91" w:themeColor="accent1" w:themeShade="BF"/>
            </w:tcBorders>
          </w:tcPr>
          <w:p w14:paraId="3EEAE04A" w14:textId="00A9004B"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13953032"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BC95775"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Yemen</w:t>
            </w:r>
          </w:p>
        </w:tc>
        <w:tc>
          <w:tcPr>
            <w:tcW w:w="933" w:type="dxa"/>
            <w:tcBorders>
              <w:left w:val="single" w:sz="4" w:space="0" w:color="365F91" w:themeColor="accent1" w:themeShade="BF"/>
            </w:tcBorders>
          </w:tcPr>
          <w:p w14:paraId="262D194B" w14:textId="6E7CE0C2"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15,000 </w:t>
            </w:r>
          </w:p>
        </w:tc>
        <w:tc>
          <w:tcPr>
            <w:tcW w:w="947" w:type="dxa"/>
          </w:tcPr>
          <w:p w14:paraId="2B301A67" w14:textId="47C7766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6F71B82F" w14:textId="4A171408"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8B3C9F3" w14:textId="726847FA"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24575841" w14:textId="259E3031"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45E17B85" w14:textId="40AB90B5"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64C8936" w14:textId="10DB3F7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15,000 </w:t>
            </w:r>
          </w:p>
        </w:tc>
        <w:tc>
          <w:tcPr>
            <w:tcW w:w="933" w:type="dxa"/>
          </w:tcPr>
          <w:p w14:paraId="7138CC08" w14:textId="461F0F59"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2AF85302" w14:textId="309CB5FB"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1588F7AF"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D66B80B"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Zambia</w:t>
            </w:r>
          </w:p>
        </w:tc>
        <w:tc>
          <w:tcPr>
            <w:tcW w:w="933" w:type="dxa"/>
            <w:tcBorders>
              <w:left w:val="single" w:sz="4" w:space="0" w:color="365F91" w:themeColor="accent1" w:themeShade="BF"/>
            </w:tcBorders>
          </w:tcPr>
          <w:p w14:paraId="48AF5B95" w14:textId="06FE2033"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6,000 </w:t>
            </w:r>
          </w:p>
        </w:tc>
        <w:tc>
          <w:tcPr>
            <w:tcW w:w="947" w:type="dxa"/>
          </w:tcPr>
          <w:p w14:paraId="0A5937F4" w14:textId="5E25F8F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right w:val="single" w:sz="4" w:space="0" w:color="365F91" w:themeColor="accent1" w:themeShade="BF"/>
            </w:tcBorders>
          </w:tcPr>
          <w:p w14:paraId="1BC4306F" w14:textId="71CD6E5A"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5082CCEB" w14:textId="710F633C"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82" w:type="dxa"/>
          </w:tcPr>
          <w:p w14:paraId="44FC2EDC" w14:textId="765EEE67"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885" w:type="dxa"/>
            <w:tcBorders>
              <w:right w:val="single" w:sz="4" w:space="0" w:color="365F91" w:themeColor="accent1" w:themeShade="BF"/>
            </w:tcBorders>
          </w:tcPr>
          <w:p w14:paraId="199E7F72" w14:textId="32ECDE2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tcBorders>
          </w:tcPr>
          <w:p w14:paraId="708C03DD" w14:textId="44126371"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6,000 </w:t>
            </w:r>
          </w:p>
        </w:tc>
        <w:tc>
          <w:tcPr>
            <w:tcW w:w="933" w:type="dxa"/>
          </w:tcPr>
          <w:p w14:paraId="467D321E" w14:textId="107DBC85"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34" w:type="dxa"/>
            <w:tcBorders>
              <w:right w:val="single" w:sz="4" w:space="0" w:color="365F91" w:themeColor="accent1" w:themeShade="BF"/>
            </w:tcBorders>
          </w:tcPr>
          <w:p w14:paraId="4BF8740D" w14:textId="42B60552" w:rsidR="00A70EC8" w:rsidRPr="00D25CEB"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r>
      <w:tr w:rsidR="00A70EC8" w:rsidRPr="00F8347B" w14:paraId="392C6FB5" w14:textId="77777777" w:rsidTr="00AE368F">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bottom w:val="single" w:sz="4" w:space="0" w:color="365F91" w:themeColor="accent1" w:themeShade="BF"/>
              <w:right w:val="single" w:sz="4" w:space="0" w:color="365F91" w:themeColor="accent1" w:themeShade="BF"/>
            </w:tcBorders>
            <w:noWrap/>
          </w:tcPr>
          <w:p w14:paraId="4292A9B3" w14:textId="77777777" w:rsidR="00A70EC8" w:rsidRPr="00D25CEB" w:rsidRDefault="00A70EC8" w:rsidP="00A70EC8">
            <w:pPr>
              <w:ind w:left="0" w:firstLine="0"/>
              <w:rPr>
                <w:rFonts w:asciiTheme="minorHAnsi" w:hAnsiTheme="minorHAnsi" w:cstheme="minorHAnsi"/>
                <w:sz w:val="20"/>
                <w:szCs w:val="20"/>
              </w:rPr>
            </w:pPr>
            <w:r w:rsidRPr="00D25CEB">
              <w:rPr>
                <w:rFonts w:asciiTheme="minorHAnsi" w:hAnsiTheme="minorHAnsi" w:cstheme="minorHAnsi"/>
                <w:sz w:val="20"/>
                <w:szCs w:val="20"/>
              </w:rPr>
              <w:t>Zimbabwe</w:t>
            </w:r>
          </w:p>
        </w:tc>
        <w:tc>
          <w:tcPr>
            <w:tcW w:w="933" w:type="dxa"/>
            <w:tcBorders>
              <w:left w:val="single" w:sz="4" w:space="0" w:color="365F91" w:themeColor="accent1" w:themeShade="BF"/>
              <w:bottom w:val="single" w:sz="4" w:space="0" w:color="365F91" w:themeColor="accent1" w:themeShade="BF"/>
            </w:tcBorders>
          </w:tcPr>
          <w:p w14:paraId="0F85098D" w14:textId="5BF6EDCF"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10,000 </w:t>
            </w:r>
          </w:p>
        </w:tc>
        <w:tc>
          <w:tcPr>
            <w:tcW w:w="947" w:type="dxa"/>
            <w:tcBorders>
              <w:bottom w:val="single" w:sz="4" w:space="0" w:color="365F91" w:themeColor="accent1" w:themeShade="BF"/>
            </w:tcBorders>
          </w:tcPr>
          <w:p w14:paraId="7DCC31AC" w14:textId="2B0E01EE"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920" w:type="dxa"/>
            <w:tcBorders>
              <w:bottom w:val="single" w:sz="4" w:space="0" w:color="365F91" w:themeColor="accent1" w:themeShade="BF"/>
              <w:right w:val="single" w:sz="4" w:space="0" w:color="365F91" w:themeColor="accent1" w:themeShade="BF"/>
            </w:tcBorders>
          </w:tcPr>
          <w:p w14:paraId="1D9A9051" w14:textId="536CD83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left w:val="single" w:sz="4" w:space="0" w:color="365F91" w:themeColor="accent1" w:themeShade="BF"/>
              <w:bottom w:val="single" w:sz="4" w:space="0" w:color="365F91" w:themeColor="accent1" w:themeShade="BF"/>
            </w:tcBorders>
          </w:tcPr>
          <w:p w14:paraId="4D9F3E94" w14:textId="11B0484C"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10,000 </w:t>
            </w:r>
          </w:p>
        </w:tc>
        <w:tc>
          <w:tcPr>
            <w:tcW w:w="982" w:type="dxa"/>
            <w:tcBorders>
              <w:bottom w:val="single" w:sz="4" w:space="0" w:color="365F91" w:themeColor="accent1" w:themeShade="BF"/>
            </w:tcBorders>
          </w:tcPr>
          <w:p w14:paraId="713094B8" w14:textId="32D23E90"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1,000 </w:t>
            </w:r>
          </w:p>
        </w:tc>
        <w:tc>
          <w:tcPr>
            <w:tcW w:w="885" w:type="dxa"/>
            <w:tcBorders>
              <w:bottom w:val="single" w:sz="4" w:space="0" w:color="365F91" w:themeColor="accent1" w:themeShade="BF"/>
              <w:right w:val="single" w:sz="4" w:space="0" w:color="365F91" w:themeColor="accent1" w:themeShade="BF"/>
            </w:tcBorders>
          </w:tcPr>
          <w:p w14:paraId="6FC658B1" w14:textId="46B6E192"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193 </w:t>
            </w:r>
          </w:p>
        </w:tc>
        <w:tc>
          <w:tcPr>
            <w:tcW w:w="933" w:type="dxa"/>
            <w:tcBorders>
              <w:left w:val="single" w:sz="4" w:space="0" w:color="365F91" w:themeColor="accent1" w:themeShade="BF"/>
              <w:bottom w:val="single" w:sz="4" w:space="0" w:color="365F91" w:themeColor="accent1" w:themeShade="BF"/>
            </w:tcBorders>
          </w:tcPr>
          <w:p w14:paraId="27457643" w14:textId="70F86DE9"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3" w:type="dxa"/>
            <w:tcBorders>
              <w:bottom w:val="single" w:sz="4" w:space="0" w:color="365F91" w:themeColor="accent1" w:themeShade="BF"/>
            </w:tcBorders>
          </w:tcPr>
          <w:p w14:paraId="2ED6BAD6" w14:textId="059D759D"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   </w:t>
            </w:r>
          </w:p>
        </w:tc>
        <w:tc>
          <w:tcPr>
            <w:tcW w:w="934" w:type="dxa"/>
            <w:tcBorders>
              <w:bottom w:val="single" w:sz="4" w:space="0" w:color="365F91" w:themeColor="accent1" w:themeShade="BF"/>
              <w:right w:val="single" w:sz="4" w:space="0" w:color="365F91" w:themeColor="accent1" w:themeShade="BF"/>
            </w:tcBorders>
          </w:tcPr>
          <w:p w14:paraId="7ECA7D0E" w14:textId="04B5C628" w:rsidR="00A70EC8" w:rsidRPr="00D25CEB" w:rsidRDefault="00A70E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82BB6">
              <w:rPr>
                <w:sz w:val="20"/>
                <w:szCs w:val="20"/>
              </w:rPr>
              <w:t xml:space="preserve"> 193 </w:t>
            </w:r>
          </w:p>
        </w:tc>
      </w:tr>
      <w:tr w:rsidR="00A70EC8" w:rsidRPr="005B0D4A" w14:paraId="3D2FC3D6" w14:textId="77777777" w:rsidTr="00AE3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noWrap/>
          </w:tcPr>
          <w:p w14:paraId="78C642B3" w14:textId="77777777" w:rsidR="00A70EC8" w:rsidRPr="005B0D4A" w:rsidRDefault="00A70EC8" w:rsidP="00A70EC8">
            <w:pPr>
              <w:ind w:left="0" w:firstLine="0"/>
              <w:rPr>
                <w:rFonts w:asciiTheme="minorHAnsi" w:hAnsiTheme="minorHAnsi" w:cstheme="minorHAnsi"/>
                <w:spacing w:val="-4"/>
                <w:sz w:val="20"/>
                <w:szCs w:val="20"/>
              </w:rPr>
            </w:pPr>
            <w:r w:rsidRPr="005B0D4A">
              <w:rPr>
                <w:rFonts w:asciiTheme="minorHAnsi" w:hAnsiTheme="minorHAnsi" w:cstheme="minorHAnsi"/>
                <w:spacing w:val="-4"/>
                <w:sz w:val="20"/>
                <w:szCs w:val="20"/>
              </w:rPr>
              <w:t>Total</w:t>
            </w:r>
          </w:p>
        </w:tc>
        <w:tc>
          <w:tcPr>
            <w:tcW w:w="933"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68F9C5F6" w14:textId="4C7F8FE6" w:rsidR="00A70EC8" w:rsidRPr="005B0D4A"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82BB6">
              <w:rPr>
                <w:b/>
                <w:sz w:val="20"/>
                <w:szCs w:val="20"/>
              </w:rPr>
              <w:t xml:space="preserve">1,593,691 </w:t>
            </w:r>
          </w:p>
        </w:tc>
        <w:tc>
          <w:tcPr>
            <w:tcW w:w="947" w:type="dxa"/>
            <w:tcBorders>
              <w:top w:val="single" w:sz="4" w:space="0" w:color="365F91" w:themeColor="accent1" w:themeShade="BF"/>
              <w:bottom w:val="single" w:sz="4" w:space="0" w:color="365F91" w:themeColor="accent1" w:themeShade="BF"/>
            </w:tcBorders>
            <w:shd w:val="clear" w:color="auto" w:fill="B8CCE4" w:themeFill="accent1" w:themeFillTint="66"/>
          </w:tcPr>
          <w:p w14:paraId="512C4ECD" w14:textId="3E3B900B" w:rsidR="00A70EC8" w:rsidRPr="005B0D4A"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82BB6">
              <w:rPr>
                <w:b/>
                <w:sz w:val="20"/>
                <w:szCs w:val="20"/>
              </w:rPr>
              <w:t xml:space="preserve">4,844,799 </w:t>
            </w:r>
          </w:p>
        </w:tc>
        <w:tc>
          <w:tcPr>
            <w:tcW w:w="920"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2BD7DF8C" w14:textId="5E813DD7" w:rsidR="00A70EC8" w:rsidRPr="005B0D4A"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82BB6">
              <w:rPr>
                <w:b/>
                <w:sz w:val="20"/>
                <w:szCs w:val="20"/>
              </w:rPr>
              <w:t xml:space="preserve">426,968 </w:t>
            </w:r>
          </w:p>
        </w:tc>
        <w:tc>
          <w:tcPr>
            <w:tcW w:w="933"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13A7C5DE" w14:textId="1F2E5120" w:rsidR="00A70EC8" w:rsidRPr="005B0D4A"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82BB6">
              <w:rPr>
                <w:b/>
                <w:sz w:val="20"/>
                <w:szCs w:val="20"/>
              </w:rPr>
              <w:t xml:space="preserve">295,007 </w:t>
            </w:r>
          </w:p>
        </w:tc>
        <w:tc>
          <w:tcPr>
            <w:tcW w:w="982" w:type="dxa"/>
            <w:tcBorders>
              <w:top w:val="single" w:sz="4" w:space="0" w:color="365F91" w:themeColor="accent1" w:themeShade="BF"/>
              <w:bottom w:val="single" w:sz="4" w:space="0" w:color="365F91" w:themeColor="accent1" w:themeShade="BF"/>
            </w:tcBorders>
            <w:shd w:val="clear" w:color="auto" w:fill="B8CCE4" w:themeFill="accent1" w:themeFillTint="66"/>
          </w:tcPr>
          <w:p w14:paraId="265E9E7B" w14:textId="4EEB014E" w:rsidR="00A70EC8" w:rsidRPr="005B0D4A"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82BB6">
              <w:rPr>
                <w:b/>
                <w:sz w:val="20"/>
                <w:szCs w:val="20"/>
              </w:rPr>
              <w:t xml:space="preserve">4,132,932 </w:t>
            </w:r>
          </w:p>
        </w:tc>
        <w:tc>
          <w:tcPr>
            <w:tcW w:w="885"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16F29D71" w14:textId="4DD42E58" w:rsidR="00A70EC8" w:rsidRPr="005B0D4A"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82BB6">
              <w:rPr>
                <w:b/>
                <w:sz w:val="20"/>
                <w:szCs w:val="20"/>
              </w:rPr>
              <w:t xml:space="preserve">431,797 </w:t>
            </w:r>
          </w:p>
        </w:tc>
        <w:tc>
          <w:tcPr>
            <w:tcW w:w="933"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748EB9D6" w14:textId="6002D17D" w:rsidR="00A70EC8" w:rsidRPr="005B0D4A"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82BB6">
              <w:rPr>
                <w:b/>
                <w:sz w:val="20"/>
                <w:szCs w:val="20"/>
              </w:rPr>
              <w:t xml:space="preserve">1,298,684 </w:t>
            </w:r>
          </w:p>
        </w:tc>
        <w:tc>
          <w:tcPr>
            <w:tcW w:w="933" w:type="dxa"/>
            <w:tcBorders>
              <w:top w:val="single" w:sz="4" w:space="0" w:color="365F91" w:themeColor="accent1" w:themeShade="BF"/>
              <w:bottom w:val="single" w:sz="4" w:space="0" w:color="365F91" w:themeColor="accent1" w:themeShade="BF"/>
            </w:tcBorders>
            <w:shd w:val="clear" w:color="auto" w:fill="B8CCE4" w:themeFill="accent1" w:themeFillTint="66"/>
          </w:tcPr>
          <w:p w14:paraId="227C3304" w14:textId="672B9B59" w:rsidR="00A70EC8" w:rsidRPr="005B0D4A"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82BB6">
              <w:rPr>
                <w:b/>
                <w:sz w:val="20"/>
                <w:szCs w:val="20"/>
              </w:rPr>
              <w:t xml:space="preserve"> 336,458 </w:t>
            </w:r>
          </w:p>
        </w:tc>
        <w:tc>
          <w:tcPr>
            <w:tcW w:w="934"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11BDE611" w14:textId="320BA27F" w:rsidR="00A70EC8" w:rsidRPr="005B0D4A" w:rsidRDefault="00A70EC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82BB6">
              <w:rPr>
                <w:b/>
                <w:sz w:val="20"/>
                <w:szCs w:val="20"/>
              </w:rPr>
              <w:t xml:space="preserve"> 483,356 </w:t>
            </w:r>
          </w:p>
        </w:tc>
      </w:tr>
    </w:tbl>
    <w:p w14:paraId="3C124396" w14:textId="77777777" w:rsidR="00AE368F" w:rsidRDefault="00AE368F" w:rsidP="00B1555F">
      <w:pPr>
        <w:ind w:left="0" w:firstLine="0"/>
        <w:rPr>
          <w:rFonts w:asciiTheme="minorHAnsi" w:hAnsiTheme="minorHAnsi" w:cstheme="minorHAnsi"/>
          <w:b/>
          <w:sz w:val="24"/>
          <w:szCs w:val="24"/>
        </w:rPr>
      </w:pPr>
    </w:p>
    <w:p w14:paraId="1056C815" w14:textId="77777777" w:rsidR="00D6489A" w:rsidRDefault="00AE368F">
      <w:pPr>
        <w:rPr>
          <w:rFonts w:asciiTheme="minorHAnsi" w:hAnsiTheme="minorHAnsi" w:cstheme="minorHAnsi"/>
          <w:b/>
          <w:sz w:val="24"/>
          <w:szCs w:val="24"/>
        </w:rPr>
        <w:sectPr w:rsidR="00D6489A" w:rsidSect="00C54AA5">
          <w:pgSz w:w="11906" w:h="16838"/>
          <w:pgMar w:top="1440" w:right="1440" w:bottom="1134" w:left="1440" w:header="709" w:footer="709" w:gutter="0"/>
          <w:cols w:space="708"/>
          <w:docGrid w:linePitch="360"/>
        </w:sectPr>
      </w:pPr>
      <w:r>
        <w:rPr>
          <w:rFonts w:asciiTheme="minorHAnsi" w:hAnsiTheme="minorHAnsi" w:cstheme="minorHAnsi"/>
          <w:b/>
          <w:sz w:val="24"/>
          <w:szCs w:val="24"/>
        </w:rPr>
        <w:br w:type="page"/>
      </w:r>
    </w:p>
    <w:p w14:paraId="30BE8CD0" w14:textId="23B79514" w:rsidR="00CA6594" w:rsidRPr="00C041F3" w:rsidRDefault="003D27CC" w:rsidP="00B1555F">
      <w:pPr>
        <w:ind w:left="0" w:firstLine="0"/>
        <w:rPr>
          <w:rFonts w:asciiTheme="minorHAnsi" w:hAnsiTheme="minorHAnsi" w:cstheme="minorHAnsi"/>
          <w:b/>
          <w:sz w:val="24"/>
          <w:szCs w:val="24"/>
        </w:rPr>
      </w:pPr>
      <w:r w:rsidRPr="00F71B94">
        <w:rPr>
          <w:rFonts w:asciiTheme="minorHAnsi" w:hAnsiTheme="minorHAnsi" w:cstheme="minorHAnsi"/>
          <w:b/>
          <w:sz w:val="24"/>
          <w:szCs w:val="24"/>
        </w:rPr>
        <w:lastRenderedPageBreak/>
        <w:t>Annex 2</w:t>
      </w:r>
    </w:p>
    <w:p w14:paraId="761FBB68" w14:textId="74CDAB75" w:rsidR="003D27CC" w:rsidRDefault="003D27CC" w:rsidP="00B1555F">
      <w:pPr>
        <w:ind w:left="0" w:firstLine="0"/>
        <w:rPr>
          <w:rFonts w:asciiTheme="minorHAnsi" w:hAnsiTheme="minorHAnsi" w:cstheme="minorHAnsi"/>
          <w:b/>
          <w:sz w:val="24"/>
          <w:szCs w:val="24"/>
        </w:rPr>
      </w:pPr>
      <w:r w:rsidRPr="00C041F3">
        <w:rPr>
          <w:rFonts w:asciiTheme="minorHAnsi" w:hAnsiTheme="minorHAnsi" w:cstheme="minorHAnsi"/>
          <w:b/>
          <w:sz w:val="24"/>
          <w:szCs w:val="24"/>
        </w:rPr>
        <w:t xml:space="preserve">Voluntary </w:t>
      </w:r>
      <w:r w:rsidR="009954C9">
        <w:rPr>
          <w:rFonts w:asciiTheme="minorHAnsi" w:hAnsiTheme="minorHAnsi" w:cstheme="minorHAnsi"/>
          <w:b/>
          <w:sz w:val="24"/>
          <w:szCs w:val="24"/>
        </w:rPr>
        <w:t>c</w:t>
      </w:r>
      <w:r w:rsidRPr="00C041F3">
        <w:rPr>
          <w:rFonts w:asciiTheme="minorHAnsi" w:hAnsiTheme="minorHAnsi" w:cstheme="minorHAnsi"/>
          <w:b/>
          <w:sz w:val="24"/>
          <w:szCs w:val="24"/>
        </w:rPr>
        <w:t xml:space="preserve">ontributions from </w:t>
      </w:r>
      <w:r w:rsidR="00725600" w:rsidRPr="00C041F3">
        <w:rPr>
          <w:rFonts w:asciiTheme="minorHAnsi" w:hAnsiTheme="minorHAnsi" w:cstheme="minorHAnsi"/>
          <w:b/>
          <w:sz w:val="24"/>
          <w:szCs w:val="24"/>
        </w:rPr>
        <w:t xml:space="preserve">Contracting Parties </w:t>
      </w:r>
      <w:r w:rsidR="00725600">
        <w:rPr>
          <w:rFonts w:asciiTheme="minorHAnsi" w:hAnsiTheme="minorHAnsi" w:cstheme="minorHAnsi"/>
          <w:b/>
          <w:sz w:val="24"/>
          <w:szCs w:val="24"/>
        </w:rPr>
        <w:t xml:space="preserve">in the </w:t>
      </w:r>
      <w:r w:rsidRPr="00C041F3">
        <w:rPr>
          <w:rFonts w:asciiTheme="minorHAnsi" w:hAnsiTheme="minorHAnsi" w:cstheme="minorHAnsi"/>
          <w:b/>
          <w:sz w:val="24"/>
          <w:szCs w:val="24"/>
        </w:rPr>
        <w:t xml:space="preserve">Africa </w:t>
      </w:r>
      <w:r w:rsidR="00725600">
        <w:rPr>
          <w:rFonts w:asciiTheme="minorHAnsi" w:hAnsiTheme="minorHAnsi" w:cstheme="minorHAnsi"/>
          <w:b/>
          <w:sz w:val="24"/>
          <w:szCs w:val="24"/>
        </w:rPr>
        <w:t>r</w:t>
      </w:r>
      <w:r w:rsidRPr="00C041F3">
        <w:rPr>
          <w:rFonts w:asciiTheme="minorHAnsi" w:hAnsiTheme="minorHAnsi" w:cstheme="minorHAnsi"/>
          <w:b/>
          <w:sz w:val="24"/>
          <w:szCs w:val="24"/>
        </w:rPr>
        <w:t xml:space="preserve">egion </w:t>
      </w:r>
    </w:p>
    <w:p w14:paraId="11378CCF" w14:textId="77777777" w:rsidR="00D6489A" w:rsidRDefault="00D6489A" w:rsidP="00B1555F">
      <w:pPr>
        <w:ind w:left="0" w:firstLine="0"/>
        <w:rPr>
          <w:rFonts w:asciiTheme="minorHAnsi" w:hAnsiTheme="minorHAnsi" w:cstheme="minorHAnsi"/>
          <w:b/>
          <w:sz w:val="24"/>
          <w:szCs w:val="24"/>
        </w:rPr>
      </w:pPr>
    </w:p>
    <w:tbl>
      <w:tblPr>
        <w:tblStyle w:val="PlainTable1"/>
        <w:tblW w:w="9260" w:type="dxa"/>
        <w:tblLayout w:type="fixed"/>
        <w:tblCellMar>
          <w:left w:w="57" w:type="dxa"/>
          <w:right w:w="57" w:type="dxa"/>
        </w:tblCellMar>
        <w:tblLook w:val="0420" w:firstRow="1" w:lastRow="0" w:firstColumn="0" w:lastColumn="0" w:noHBand="0" w:noVBand="1"/>
      </w:tblPr>
      <w:tblGrid>
        <w:gridCol w:w="2689"/>
        <w:gridCol w:w="1642"/>
        <w:gridCol w:w="1643"/>
        <w:gridCol w:w="1643"/>
        <w:gridCol w:w="1643"/>
      </w:tblGrid>
      <w:tr w:rsidR="00006D8E" w:rsidRPr="00006D8E" w14:paraId="49E23EB7" w14:textId="77777777" w:rsidTr="00D6489A">
        <w:trPr>
          <w:cnfStyle w:val="100000000000" w:firstRow="1" w:lastRow="0" w:firstColumn="0" w:lastColumn="0" w:oddVBand="0" w:evenVBand="0" w:oddHBand="0" w:evenHBand="0" w:firstRowFirstColumn="0" w:firstRowLastColumn="0" w:lastRowFirstColumn="0" w:lastRowLastColumn="0"/>
        </w:trPr>
        <w:tc>
          <w:tcPr>
            <w:tcW w:w="2689" w:type="dxa"/>
            <w:shd w:val="clear" w:color="auto" w:fill="B8CCE4" w:themeFill="accent1" w:themeFillTint="66"/>
            <w:noWrap/>
            <w:vAlign w:val="center"/>
            <w:hideMark/>
          </w:tcPr>
          <w:p w14:paraId="32BD7AF6" w14:textId="77777777" w:rsidR="009346D4" w:rsidRPr="00006D8E" w:rsidRDefault="009346D4" w:rsidP="004A2BEC">
            <w:pPr>
              <w:ind w:left="0" w:firstLine="0"/>
              <w:jc w:val="center"/>
              <w:rPr>
                <w:rFonts w:asciiTheme="minorHAnsi" w:hAnsiTheme="minorHAnsi" w:cstheme="minorHAnsi"/>
                <w:sz w:val="20"/>
                <w:szCs w:val="20"/>
              </w:rPr>
            </w:pPr>
            <w:r w:rsidRPr="00006D8E">
              <w:rPr>
                <w:rFonts w:asciiTheme="minorHAnsi" w:hAnsiTheme="minorHAnsi" w:cstheme="minorHAnsi"/>
                <w:sz w:val="20"/>
                <w:szCs w:val="20"/>
              </w:rPr>
              <w:t>Contracting Party</w:t>
            </w:r>
          </w:p>
        </w:tc>
        <w:tc>
          <w:tcPr>
            <w:tcW w:w="1642" w:type="dxa"/>
            <w:shd w:val="clear" w:color="auto" w:fill="B8CCE4" w:themeFill="accent1" w:themeFillTint="66"/>
            <w:vAlign w:val="center"/>
            <w:hideMark/>
          </w:tcPr>
          <w:p w14:paraId="2A230ED4" w14:textId="4FE70194" w:rsidR="009346D4" w:rsidRPr="00006D8E" w:rsidRDefault="009346D4" w:rsidP="004A2BEC">
            <w:pPr>
              <w:ind w:left="0" w:firstLine="0"/>
              <w:jc w:val="center"/>
              <w:rPr>
                <w:rFonts w:asciiTheme="minorHAnsi" w:hAnsiTheme="minorHAnsi" w:cstheme="minorHAnsi"/>
                <w:sz w:val="20"/>
                <w:szCs w:val="20"/>
              </w:rPr>
            </w:pPr>
            <w:r w:rsidRPr="00006D8E">
              <w:rPr>
                <w:rFonts w:asciiTheme="minorHAnsi" w:hAnsiTheme="minorHAnsi" w:cstheme="minorHAnsi"/>
                <w:sz w:val="20"/>
                <w:szCs w:val="20"/>
              </w:rPr>
              <w:t>Total potential voluntary contributions 2009-</w:t>
            </w:r>
            <w:r w:rsidR="00211A70" w:rsidRPr="00006D8E">
              <w:rPr>
                <w:rFonts w:asciiTheme="minorHAnsi" w:hAnsiTheme="minorHAnsi" w:cstheme="minorHAnsi"/>
                <w:sz w:val="20"/>
                <w:szCs w:val="20"/>
              </w:rPr>
              <w:t>202</w:t>
            </w:r>
            <w:r w:rsidR="00211A70">
              <w:rPr>
                <w:rFonts w:asciiTheme="minorHAnsi" w:hAnsiTheme="minorHAnsi" w:cstheme="minorHAnsi"/>
                <w:sz w:val="20"/>
                <w:szCs w:val="20"/>
              </w:rPr>
              <w:t>3</w:t>
            </w:r>
            <w:r w:rsidR="00211A70" w:rsidRPr="00006D8E">
              <w:rPr>
                <w:rFonts w:asciiTheme="minorHAnsi" w:hAnsiTheme="minorHAnsi" w:cstheme="minorHAnsi"/>
                <w:sz w:val="20"/>
                <w:szCs w:val="20"/>
              </w:rPr>
              <w:t xml:space="preserve"> </w:t>
            </w:r>
            <w:r w:rsidRPr="00006D8E">
              <w:rPr>
                <w:rFonts w:asciiTheme="minorHAnsi" w:hAnsiTheme="minorHAnsi" w:cstheme="minorHAnsi"/>
                <w:sz w:val="20"/>
                <w:szCs w:val="20"/>
              </w:rPr>
              <w:t>(CHF)</w:t>
            </w:r>
          </w:p>
        </w:tc>
        <w:tc>
          <w:tcPr>
            <w:tcW w:w="1643" w:type="dxa"/>
            <w:shd w:val="clear" w:color="auto" w:fill="B8CCE4" w:themeFill="accent1" w:themeFillTint="66"/>
            <w:vAlign w:val="center"/>
            <w:hideMark/>
          </w:tcPr>
          <w:p w14:paraId="1DFC9E3B" w14:textId="6C346C52" w:rsidR="009346D4" w:rsidRPr="00006D8E" w:rsidRDefault="009346D4" w:rsidP="004A2BEC">
            <w:pPr>
              <w:ind w:left="0" w:firstLine="0"/>
              <w:jc w:val="center"/>
              <w:rPr>
                <w:rFonts w:asciiTheme="minorHAnsi" w:hAnsiTheme="minorHAnsi" w:cstheme="minorHAnsi"/>
                <w:sz w:val="20"/>
                <w:szCs w:val="20"/>
              </w:rPr>
            </w:pPr>
            <w:r w:rsidRPr="00006D8E">
              <w:rPr>
                <w:rFonts w:asciiTheme="minorHAnsi" w:hAnsiTheme="minorHAnsi" w:cstheme="minorHAnsi"/>
                <w:sz w:val="20"/>
                <w:szCs w:val="20"/>
              </w:rPr>
              <w:t xml:space="preserve">Voluntary contributions paid up to 31 December </w:t>
            </w:r>
            <w:r w:rsidR="00211A70" w:rsidRPr="00006D8E">
              <w:rPr>
                <w:rFonts w:asciiTheme="minorHAnsi" w:hAnsiTheme="minorHAnsi" w:cstheme="minorHAnsi"/>
                <w:sz w:val="20"/>
                <w:szCs w:val="20"/>
              </w:rPr>
              <w:t>202</w:t>
            </w:r>
            <w:r w:rsidR="00211A70">
              <w:rPr>
                <w:rFonts w:asciiTheme="minorHAnsi" w:hAnsiTheme="minorHAnsi" w:cstheme="minorHAnsi"/>
                <w:sz w:val="20"/>
                <w:szCs w:val="20"/>
              </w:rPr>
              <w:t>2</w:t>
            </w:r>
            <w:r w:rsidR="00211A70" w:rsidRPr="00006D8E">
              <w:rPr>
                <w:rFonts w:asciiTheme="minorHAnsi" w:hAnsiTheme="minorHAnsi" w:cstheme="minorHAnsi"/>
                <w:sz w:val="20"/>
                <w:szCs w:val="20"/>
              </w:rPr>
              <w:t xml:space="preserve"> </w:t>
            </w:r>
            <w:r w:rsidRPr="00006D8E">
              <w:rPr>
                <w:rFonts w:asciiTheme="minorHAnsi" w:hAnsiTheme="minorHAnsi" w:cstheme="minorHAnsi"/>
                <w:sz w:val="20"/>
                <w:szCs w:val="20"/>
              </w:rPr>
              <w:t>(CHF)</w:t>
            </w:r>
          </w:p>
        </w:tc>
        <w:tc>
          <w:tcPr>
            <w:tcW w:w="1643" w:type="dxa"/>
            <w:shd w:val="clear" w:color="auto" w:fill="B8CCE4" w:themeFill="accent1" w:themeFillTint="66"/>
            <w:vAlign w:val="center"/>
            <w:hideMark/>
          </w:tcPr>
          <w:p w14:paraId="7F4EEE49" w14:textId="322C72A9" w:rsidR="009346D4" w:rsidRPr="00006D8E" w:rsidRDefault="009346D4" w:rsidP="004A2BEC">
            <w:pPr>
              <w:ind w:left="0" w:firstLine="0"/>
              <w:jc w:val="center"/>
              <w:rPr>
                <w:rFonts w:asciiTheme="minorHAnsi" w:hAnsiTheme="minorHAnsi" w:cstheme="minorHAnsi"/>
                <w:sz w:val="20"/>
                <w:szCs w:val="20"/>
              </w:rPr>
            </w:pPr>
            <w:r w:rsidRPr="00006D8E">
              <w:rPr>
                <w:rFonts w:asciiTheme="minorHAnsi" w:hAnsiTheme="minorHAnsi" w:cstheme="minorHAnsi"/>
                <w:sz w:val="20"/>
                <w:szCs w:val="20"/>
              </w:rPr>
              <w:t xml:space="preserve">Total voluntary contributions received in </w:t>
            </w:r>
            <w:r w:rsidR="00211A70" w:rsidRPr="00006D8E">
              <w:rPr>
                <w:rFonts w:asciiTheme="minorHAnsi" w:hAnsiTheme="minorHAnsi" w:cstheme="minorHAnsi"/>
                <w:sz w:val="20"/>
                <w:szCs w:val="20"/>
              </w:rPr>
              <w:t>202</w:t>
            </w:r>
            <w:r w:rsidR="00211A70">
              <w:rPr>
                <w:rFonts w:asciiTheme="minorHAnsi" w:hAnsiTheme="minorHAnsi" w:cstheme="minorHAnsi"/>
                <w:sz w:val="20"/>
                <w:szCs w:val="20"/>
              </w:rPr>
              <w:t>3</w:t>
            </w:r>
            <w:r w:rsidR="00211A70" w:rsidRPr="00006D8E">
              <w:rPr>
                <w:rFonts w:asciiTheme="minorHAnsi" w:hAnsiTheme="minorHAnsi" w:cstheme="minorHAnsi"/>
                <w:sz w:val="20"/>
                <w:szCs w:val="20"/>
              </w:rPr>
              <w:t xml:space="preserve"> </w:t>
            </w:r>
            <w:r w:rsidRPr="00006D8E">
              <w:rPr>
                <w:rFonts w:asciiTheme="minorHAnsi" w:hAnsiTheme="minorHAnsi" w:cstheme="minorHAnsi"/>
                <w:sz w:val="20"/>
                <w:szCs w:val="20"/>
              </w:rPr>
              <w:t>(CHF)</w:t>
            </w:r>
          </w:p>
        </w:tc>
        <w:tc>
          <w:tcPr>
            <w:tcW w:w="1643" w:type="dxa"/>
            <w:shd w:val="clear" w:color="auto" w:fill="B8CCE4" w:themeFill="accent1" w:themeFillTint="66"/>
            <w:vAlign w:val="center"/>
            <w:hideMark/>
          </w:tcPr>
          <w:p w14:paraId="121850D9" w14:textId="6E379462" w:rsidR="009346D4" w:rsidRPr="00006D8E" w:rsidRDefault="009346D4" w:rsidP="004A2BEC">
            <w:pPr>
              <w:ind w:left="0" w:firstLine="0"/>
              <w:jc w:val="center"/>
              <w:rPr>
                <w:rFonts w:asciiTheme="minorHAnsi" w:hAnsiTheme="minorHAnsi" w:cstheme="minorHAnsi"/>
                <w:sz w:val="20"/>
                <w:szCs w:val="20"/>
              </w:rPr>
            </w:pPr>
            <w:r w:rsidRPr="00006D8E">
              <w:rPr>
                <w:rFonts w:asciiTheme="minorHAnsi" w:hAnsiTheme="minorHAnsi" w:cstheme="minorHAnsi"/>
                <w:sz w:val="20"/>
                <w:szCs w:val="20"/>
              </w:rPr>
              <w:t xml:space="preserve">Total voluntary contributions received for up to 31 December </w:t>
            </w:r>
            <w:r w:rsidR="00211A70" w:rsidRPr="00006D8E">
              <w:rPr>
                <w:rFonts w:asciiTheme="minorHAnsi" w:hAnsiTheme="minorHAnsi" w:cstheme="minorHAnsi"/>
                <w:sz w:val="20"/>
                <w:szCs w:val="20"/>
              </w:rPr>
              <w:t>202</w:t>
            </w:r>
            <w:r w:rsidR="00211A70">
              <w:rPr>
                <w:rFonts w:asciiTheme="minorHAnsi" w:hAnsiTheme="minorHAnsi" w:cstheme="minorHAnsi"/>
                <w:sz w:val="20"/>
                <w:szCs w:val="20"/>
              </w:rPr>
              <w:t>3</w:t>
            </w:r>
            <w:r w:rsidR="00211A70" w:rsidRPr="00006D8E">
              <w:rPr>
                <w:rFonts w:asciiTheme="minorHAnsi" w:hAnsiTheme="minorHAnsi" w:cstheme="minorHAnsi"/>
                <w:sz w:val="20"/>
                <w:szCs w:val="20"/>
              </w:rPr>
              <w:t xml:space="preserve"> </w:t>
            </w:r>
            <w:r w:rsidRPr="00006D8E">
              <w:rPr>
                <w:rFonts w:asciiTheme="minorHAnsi" w:hAnsiTheme="minorHAnsi" w:cstheme="minorHAnsi"/>
                <w:sz w:val="20"/>
                <w:szCs w:val="20"/>
              </w:rPr>
              <w:t>(CHF)</w:t>
            </w:r>
          </w:p>
        </w:tc>
      </w:tr>
      <w:tr w:rsidR="004A2BEC" w:rsidRPr="009346D4" w14:paraId="38573431"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078CE0EE"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Angola</w:t>
            </w:r>
          </w:p>
        </w:tc>
        <w:tc>
          <w:tcPr>
            <w:tcW w:w="1642" w:type="dxa"/>
            <w:noWrap/>
            <w:hideMark/>
          </w:tcPr>
          <w:p w14:paraId="429DB3E5" w14:textId="65446F62" w:rsidR="009346D4" w:rsidRPr="009346D4" w:rsidRDefault="00211A70" w:rsidP="009346D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w:t>
            </w:r>
            <w:r w:rsidR="009346D4" w:rsidRPr="009346D4">
              <w:rPr>
                <w:rFonts w:eastAsia="Times New Roman" w:cs="Calibri"/>
                <w:color w:val="000000"/>
                <w:sz w:val="20"/>
                <w:szCs w:val="20"/>
                <w:lang w:eastAsia="en-GB"/>
              </w:rPr>
              <w:t>,000</w:t>
            </w:r>
          </w:p>
        </w:tc>
        <w:tc>
          <w:tcPr>
            <w:tcW w:w="1643" w:type="dxa"/>
            <w:noWrap/>
            <w:hideMark/>
          </w:tcPr>
          <w:p w14:paraId="370B433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461D70F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7283761D"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04A6AE5D" w14:textId="77777777" w:rsidTr="00D6489A">
        <w:tc>
          <w:tcPr>
            <w:tcW w:w="2689" w:type="dxa"/>
            <w:noWrap/>
            <w:hideMark/>
          </w:tcPr>
          <w:p w14:paraId="047A06CF"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Benin</w:t>
            </w:r>
          </w:p>
        </w:tc>
        <w:tc>
          <w:tcPr>
            <w:tcW w:w="1642" w:type="dxa"/>
            <w:noWrap/>
            <w:hideMark/>
          </w:tcPr>
          <w:p w14:paraId="5863DFDB" w14:textId="0D71DF24"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0A8FB84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9,956</w:t>
            </w:r>
          </w:p>
        </w:tc>
        <w:tc>
          <w:tcPr>
            <w:tcW w:w="1643" w:type="dxa"/>
            <w:noWrap/>
            <w:hideMark/>
          </w:tcPr>
          <w:p w14:paraId="469DBFA8"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2CCE628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9,956</w:t>
            </w:r>
          </w:p>
        </w:tc>
      </w:tr>
      <w:tr w:rsidR="004A2BEC" w:rsidRPr="009346D4" w14:paraId="1250E521"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097BC6AF"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Botswana</w:t>
            </w:r>
          </w:p>
        </w:tc>
        <w:tc>
          <w:tcPr>
            <w:tcW w:w="1642" w:type="dxa"/>
            <w:noWrap/>
            <w:hideMark/>
          </w:tcPr>
          <w:p w14:paraId="6C81D115" w14:textId="648A2811"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4B3F0498"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6,000</w:t>
            </w:r>
          </w:p>
        </w:tc>
        <w:tc>
          <w:tcPr>
            <w:tcW w:w="1643" w:type="dxa"/>
            <w:noWrap/>
            <w:hideMark/>
          </w:tcPr>
          <w:p w14:paraId="4BA01FB2"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58ECDFC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6,000</w:t>
            </w:r>
          </w:p>
        </w:tc>
      </w:tr>
      <w:tr w:rsidR="009346D4" w:rsidRPr="009346D4" w14:paraId="363B2227" w14:textId="77777777" w:rsidTr="00D6489A">
        <w:tc>
          <w:tcPr>
            <w:tcW w:w="2689" w:type="dxa"/>
            <w:noWrap/>
            <w:hideMark/>
          </w:tcPr>
          <w:p w14:paraId="4472D9B0"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Burkina Faso</w:t>
            </w:r>
          </w:p>
        </w:tc>
        <w:tc>
          <w:tcPr>
            <w:tcW w:w="1642" w:type="dxa"/>
            <w:noWrap/>
            <w:hideMark/>
          </w:tcPr>
          <w:p w14:paraId="0515FF58" w14:textId="232FF2AA"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37F1949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49DEDCA5"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05C373B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5E8F8010"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1599F083"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Burundi</w:t>
            </w:r>
          </w:p>
        </w:tc>
        <w:tc>
          <w:tcPr>
            <w:tcW w:w="1642" w:type="dxa"/>
            <w:noWrap/>
            <w:hideMark/>
          </w:tcPr>
          <w:p w14:paraId="4DAC89DC" w14:textId="017D191C"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6F31A69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1,000</w:t>
            </w:r>
          </w:p>
        </w:tc>
        <w:tc>
          <w:tcPr>
            <w:tcW w:w="1643" w:type="dxa"/>
            <w:noWrap/>
            <w:hideMark/>
          </w:tcPr>
          <w:p w14:paraId="5ED00D3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6E9829F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1,000</w:t>
            </w:r>
          </w:p>
        </w:tc>
      </w:tr>
      <w:tr w:rsidR="0012187A" w:rsidRPr="009346D4" w14:paraId="26E01070" w14:textId="77777777" w:rsidTr="00D15D8B">
        <w:tc>
          <w:tcPr>
            <w:tcW w:w="2689" w:type="dxa"/>
            <w:noWrap/>
            <w:hideMark/>
          </w:tcPr>
          <w:p w14:paraId="0E32FBFF" w14:textId="77777777" w:rsidR="0012187A" w:rsidRPr="009346D4" w:rsidRDefault="0012187A" w:rsidP="00D15D8B">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Ca</w:t>
            </w:r>
            <w:r>
              <w:rPr>
                <w:rFonts w:eastAsia="Times New Roman" w:cs="Calibri"/>
                <w:color w:val="000000"/>
                <w:sz w:val="20"/>
                <w:szCs w:val="20"/>
                <w:lang w:eastAsia="en-GB"/>
              </w:rPr>
              <w:t>bo</w:t>
            </w:r>
            <w:r w:rsidRPr="009346D4">
              <w:rPr>
                <w:rFonts w:eastAsia="Times New Roman" w:cs="Calibri"/>
                <w:color w:val="000000"/>
                <w:sz w:val="20"/>
                <w:szCs w:val="20"/>
                <w:lang w:eastAsia="en-GB"/>
              </w:rPr>
              <w:t xml:space="preserve"> Verde</w:t>
            </w:r>
          </w:p>
        </w:tc>
        <w:tc>
          <w:tcPr>
            <w:tcW w:w="1642" w:type="dxa"/>
            <w:noWrap/>
            <w:hideMark/>
          </w:tcPr>
          <w:p w14:paraId="54FA13A4" w14:textId="3739073D" w:rsidR="0012187A" w:rsidRPr="009346D4" w:rsidRDefault="00211A70" w:rsidP="00D15D8B">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12187A" w:rsidRPr="009346D4">
              <w:rPr>
                <w:rFonts w:eastAsia="Times New Roman" w:cs="Calibri"/>
                <w:color w:val="000000"/>
                <w:sz w:val="20"/>
                <w:szCs w:val="20"/>
                <w:lang w:eastAsia="en-GB"/>
              </w:rPr>
              <w:t>,000</w:t>
            </w:r>
          </w:p>
        </w:tc>
        <w:tc>
          <w:tcPr>
            <w:tcW w:w="1643" w:type="dxa"/>
            <w:noWrap/>
            <w:hideMark/>
          </w:tcPr>
          <w:p w14:paraId="18D068A7" w14:textId="77777777" w:rsidR="0012187A" w:rsidRPr="009346D4" w:rsidRDefault="0012187A" w:rsidP="00D15D8B">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0E4B7BA1" w14:textId="77777777" w:rsidR="0012187A" w:rsidRPr="009346D4" w:rsidRDefault="0012187A" w:rsidP="00D15D8B">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00D2825E" w14:textId="77777777" w:rsidR="0012187A" w:rsidRPr="009346D4" w:rsidRDefault="0012187A" w:rsidP="00D15D8B">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3BB3061F"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4230C5A5"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Cameroon</w:t>
            </w:r>
          </w:p>
        </w:tc>
        <w:tc>
          <w:tcPr>
            <w:tcW w:w="1642" w:type="dxa"/>
            <w:noWrap/>
            <w:hideMark/>
          </w:tcPr>
          <w:p w14:paraId="641B30FE" w14:textId="21D76E41"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0233694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0959821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49E0448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13EBC698" w14:textId="77777777" w:rsidTr="00D6489A">
        <w:tc>
          <w:tcPr>
            <w:tcW w:w="2689" w:type="dxa"/>
            <w:noWrap/>
            <w:hideMark/>
          </w:tcPr>
          <w:p w14:paraId="493BA4B1"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Central African Republic</w:t>
            </w:r>
          </w:p>
        </w:tc>
        <w:tc>
          <w:tcPr>
            <w:tcW w:w="1642" w:type="dxa"/>
            <w:noWrap/>
            <w:hideMark/>
          </w:tcPr>
          <w:p w14:paraId="1029F0FF" w14:textId="60AD704E"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340F202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435271B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4CE1F7C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1389FF59"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572E7043"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Chad</w:t>
            </w:r>
          </w:p>
        </w:tc>
        <w:tc>
          <w:tcPr>
            <w:tcW w:w="1642" w:type="dxa"/>
            <w:noWrap/>
            <w:hideMark/>
          </w:tcPr>
          <w:p w14:paraId="2B959947" w14:textId="78BA3F1E"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2525F19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10,000</w:t>
            </w:r>
          </w:p>
        </w:tc>
        <w:tc>
          <w:tcPr>
            <w:tcW w:w="1643" w:type="dxa"/>
            <w:noWrap/>
            <w:hideMark/>
          </w:tcPr>
          <w:p w14:paraId="3BB1FB8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360C5E4A"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10,000</w:t>
            </w:r>
          </w:p>
        </w:tc>
      </w:tr>
      <w:tr w:rsidR="009346D4" w:rsidRPr="009346D4" w14:paraId="7F9B3FFD" w14:textId="77777777" w:rsidTr="00D6489A">
        <w:tc>
          <w:tcPr>
            <w:tcW w:w="2689" w:type="dxa"/>
            <w:noWrap/>
            <w:hideMark/>
          </w:tcPr>
          <w:p w14:paraId="3015B13B"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Comoros</w:t>
            </w:r>
          </w:p>
        </w:tc>
        <w:tc>
          <w:tcPr>
            <w:tcW w:w="1642" w:type="dxa"/>
            <w:noWrap/>
            <w:hideMark/>
          </w:tcPr>
          <w:p w14:paraId="4B3CEB3E" w14:textId="1C14597D"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7B1975F2"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4,000</w:t>
            </w:r>
          </w:p>
        </w:tc>
        <w:tc>
          <w:tcPr>
            <w:tcW w:w="1643" w:type="dxa"/>
            <w:noWrap/>
            <w:hideMark/>
          </w:tcPr>
          <w:p w14:paraId="1ACECF9C"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0AFF4F8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4,000</w:t>
            </w:r>
          </w:p>
        </w:tc>
      </w:tr>
      <w:tr w:rsidR="004A2BEC" w:rsidRPr="009346D4" w14:paraId="4CC338B6"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01F2CB78"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Congo</w:t>
            </w:r>
          </w:p>
        </w:tc>
        <w:tc>
          <w:tcPr>
            <w:tcW w:w="1642" w:type="dxa"/>
            <w:noWrap/>
            <w:hideMark/>
          </w:tcPr>
          <w:p w14:paraId="5A746620" w14:textId="53B9BFFD"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3E7EC7EC"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3,246</w:t>
            </w:r>
          </w:p>
        </w:tc>
        <w:tc>
          <w:tcPr>
            <w:tcW w:w="1643" w:type="dxa"/>
            <w:noWrap/>
            <w:hideMark/>
          </w:tcPr>
          <w:p w14:paraId="20C8819A"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4720B4C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3,246</w:t>
            </w:r>
          </w:p>
        </w:tc>
      </w:tr>
      <w:tr w:rsidR="009346D4" w:rsidRPr="009346D4" w14:paraId="364CDFE8" w14:textId="77777777" w:rsidTr="00D6489A">
        <w:tc>
          <w:tcPr>
            <w:tcW w:w="2689" w:type="dxa"/>
            <w:noWrap/>
            <w:hideMark/>
          </w:tcPr>
          <w:p w14:paraId="78638DD5"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Côte d'Ivoire</w:t>
            </w:r>
          </w:p>
        </w:tc>
        <w:tc>
          <w:tcPr>
            <w:tcW w:w="1642" w:type="dxa"/>
            <w:noWrap/>
            <w:hideMark/>
          </w:tcPr>
          <w:p w14:paraId="1E451DEA" w14:textId="180733DD" w:rsidR="009346D4" w:rsidRPr="009346D4" w:rsidRDefault="00211A70" w:rsidP="009346D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14,846</w:t>
            </w:r>
          </w:p>
        </w:tc>
        <w:tc>
          <w:tcPr>
            <w:tcW w:w="1643" w:type="dxa"/>
            <w:noWrap/>
            <w:hideMark/>
          </w:tcPr>
          <w:p w14:paraId="5C99657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4,000</w:t>
            </w:r>
          </w:p>
        </w:tc>
        <w:tc>
          <w:tcPr>
            <w:tcW w:w="1643" w:type="dxa"/>
            <w:noWrap/>
            <w:hideMark/>
          </w:tcPr>
          <w:p w14:paraId="03D6365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4BEF4C3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4,000</w:t>
            </w:r>
          </w:p>
        </w:tc>
      </w:tr>
      <w:tr w:rsidR="004A2BEC" w:rsidRPr="009346D4" w14:paraId="4B0E625B"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E36AB03"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Democratic Republic of Congo</w:t>
            </w:r>
          </w:p>
        </w:tc>
        <w:tc>
          <w:tcPr>
            <w:tcW w:w="1642" w:type="dxa"/>
            <w:noWrap/>
            <w:hideMark/>
          </w:tcPr>
          <w:p w14:paraId="524B62DD" w14:textId="675D6ECA"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311C8AC8"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2F04F3F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6C105EB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268408C5" w14:textId="77777777" w:rsidTr="00D6489A">
        <w:tc>
          <w:tcPr>
            <w:tcW w:w="2689" w:type="dxa"/>
            <w:noWrap/>
            <w:hideMark/>
          </w:tcPr>
          <w:p w14:paraId="01E008D1"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Djibouti</w:t>
            </w:r>
          </w:p>
        </w:tc>
        <w:tc>
          <w:tcPr>
            <w:tcW w:w="1642" w:type="dxa"/>
            <w:noWrap/>
            <w:hideMark/>
          </w:tcPr>
          <w:p w14:paraId="0ABEDF8B" w14:textId="06701C7E"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57929204"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2CF88EF8"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56917D62"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471B073D"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251442F"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Equatorial Guinea</w:t>
            </w:r>
          </w:p>
        </w:tc>
        <w:tc>
          <w:tcPr>
            <w:tcW w:w="1642" w:type="dxa"/>
            <w:noWrap/>
            <w:hideMark/>
          </w:tcPr>
          <w:p w14:paraId="72B19803" w14:textId="1601D0D6"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22219C3C"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7E73680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2C6C057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605890D8" w14:textId="77777777" w:rsidTr="00D6489A">
        <w:tc>
          <w:tcPr>
            <w:tcW w:w="2689" w:type="dxa"/>
            <w:noWrap/>
            <w:hideMark/>
          </w:tcPr>
          <w:p w14:paraId="72F19AE7" w14:textId="77777777" w:rsidR="009346D4" w:rsidRPr="009346D4" w:rsidRDefault="009346D4" w:rsidP="009346D4">
            <w:pPr>
              <w:ind w:left="0" w:firstLine="0"/>
              <w:rPr>
                <w:rFonts w:eastAsia="Times New Roman" w:cs="Calibri"/>
                <w:color w:val="000000"/>
                <w:sz w:val="20"/>
                <w:szCs w:val="20"/>
                <w:lang w:eastAsia="en-GB"/>
              </w:rPr>
            </w:pPr>
            <w:proofErr w:type="spellStart"/>
            <w:r w:rsidRPr="009346D4">
              <w:rPr>
                <w:rFonts w:eastAsia="Times New Roman" w:cs="Calibri"/>
                <w:color w:val="000000"/>
                <w:sz w:val="20"/>
                <w:szCs w:val="20"/>
                <w:lang w:eastAsia="en-GB"/>
              </w:rPr>
              <w:t>Eswatini</w:t>
            </w:r>
            <w:proofErr w:type="spellEnd"/>
          </w:p>
        </w:tc>
        <w:tc>
          <w:tcPr>
            <w:tcW w:w="1642" w:type="dxa"/>
            <w:noWrap/>
            <w:hideMark/>
          </w:tcPr>
          <w:p w14:paraId="39D097C3" w14:textId="5EB56B05"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1</w:t>
            </w:r>
            <w:r w:rsidR="009346D4" w:rsidRPr="009346D4">
              <w:rPr>
                <w:rFonts w:eastAsia="Times New Roman" w:cs="Calibri"/>
                <w:color w:val="000000"/>
                <w:sz w:val="20"/>
                <w:szCs w:val="20"/>
                <w:lang w:eastAsia="en-GB"/>
              </w:rPr>
              <w:t>,000</w:t>
            </w:r>
          </w:p>
        </w:tc>
        <w:tc>
          <w:tcPr>
            <w:tcW w:w="1643" w:type="dxa"/>
            <w:noWrap/>
            <w:hideMark/>
          </w:tcPr>
          <w:p w14:paraId="125AF9D2"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472EA8E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6413A2C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09B517A8"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40B9A588"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Gabon</w:t>
            </w:r>
          </w:p>
        </w:tc>
        <w:tc>
          <w:tcPr>
            <w:tcW w:w="1642" w:type="dxa"/>
            <w:noWrap/>
            <w:hideMark/>
          </w:tcPr>
          <w:p w14:paraId="2D101DEF" w14:textId="70D79161"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5E593742"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1,625</w:t>
            </w:r>
          </w:p>
        </w:tc>
        <w:tc>
          <w:tcPr>
            <w:tcW w:w="1643" w:type="dxa"/>
            <w:noWrap/>
            <w:hideMark/>
          </w:tcPr>
          <w:p w14:paraId="1FA9CC3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500C7A1A"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1,625</w:t>
            </w:r>
          </w:p>
        </w:tc>
      </w:tr>
      <w:tr w:rsidR="009346D4" w:rsidRPr="009346D4" w14:paraId="415DD581" w14:textId="77777777" w:rsidTr="00D6489A">
        <w:tc>
          <w:tcPr>
            <w:tcW w:w="2689" w:type="dxa"/>
            <w:noWrap/>
            <w:hideMark/>
          </w:tcPr>
          <w:p w14:paraId="03594434"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Gambia</w:t>
            </w:r>
          </w:p>
        </w:tc>
        <w:tc>
          <w:tcPr>
            <w:tcW w:w="1642" w:type="dxa"/>
            <w:noWrap/>
            <w:hideMark/>
          </w:tcPr>
          <w:p w14:paraId="129A2CE6" w14:textId="18F12C07"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3FB93B43"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40234CA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2540C8A3"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47DCCBF1"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47D489DC"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Ghana</w:t>
            </w:r>
          </w:p>
        </w:tc>
        <w:tc>
          <w:tcPr>
            <w:tcW w:w="1642" w:type="dxa"/>
            <w:noWrap/>
            <w:hideMark/>
          </w:tcPr>
          <w:p w14:paraId="3FB98826" w14:textId="7732D0B2" w:rsidR="009346D4" w:rsidRPr="009346D4" w:rsidRDefault="00211A70" w:rsidP="009346D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14,650</w:t>
            </w:r>
          </w:p>
        </w:tc>
        <w:tc>
          <w:tcPr>
            <w:tcW w:w="1643" w:type="dxa"/>
            <w:noWrap/>
            <w:hideMark/>
          </w:tcPr>
          <w:p w14:paraId="4BA901B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5,000</w:t>
            </w:r>
          </w:p>
        </w:tc>
        <w:tc>
          <w:tcPr>
            <w:tcW w:w="1643" w:type="dxa"/>
            <w:noWrap/>
            <w:hideMark/>
          </w:tcPr>
          <w:p w14:paraId="2DB43A4D"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762D6DDE"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5,000</w:t>
            </w:r>
          </w:p>
        </w:tc>
      </w:tr>
      <w:tr w:rsidR="009346D4" w:rsidRPr="009346D4" w14:paraId="3D210E07" w14:textId="77777777" w:rsidTr="00D6489A">
        <w:tc>
          <w:tcPr>
            <w:tcW w:w="2689" w:type="dxa"/>
            <w:noWrap/>
            <w:hideMark/>
          </w:tcPr>
          <w:p w14:paraId="7C88C4C6"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Guinea</w:t>
            </w:r>
          </w:p>
        </w:tc>
        <w:tc>
          <w:tcPr>
            <w:tcW w:w="1642" w:type="dxa"/>
            <w:noWrap/>
            <w:hideMark/>
          </w:tcPr>
          <w:p w14:paraId="25F1D32C" w14:textId="737D39CB"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493F008C"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5,000</w:t>
            </w:r>
          </w:p>
        </w:tc>
        <w:tc>
          <w:tcPr>
            <w:tcW w:w="1643" w:type="dxa"/>
            <w:noWrap/>
            <w:hideMark/>
          </w:tcPr>
          <w:p w14:paraId="1104D23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0101CCF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5,000</w:t>
            </w:r>
          </w:p>
        </w:tc>
      </w:tr>
      <w:tr w:rsidR="004A2BEC" w:rsidRPr="009346D4" w14:paraId="26EDA921"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823E468"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Guinea-Bissau</w:t>
            </w:r>
          </w:p>
        </w:tc>
        <w:tc>
          <w:tcPr>
            <w:tcW w:w="1642" w:type="dxa"/>
            <w:noWrap/>
            <w:hideMark/>
          </w:tcPr>
          <w:p w14:paraId="53FE421F" w14:textId="261F07C6"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5C3B7F05"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7184C1E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0D0F81A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6981FFED" w14:textId="77777777" w:rsidTr="00D6489A">
        <w:tc>
          <w:tcPr>
            <w:tcW w:w="2689" w:type="dxa"/>
            <w:noWrap/>
            <w:hideMark/>
          </w:tcPr>
          <w:p w14:paraId="067E1914"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Kenya</w:t>
            </w:r>
          </w:p>
        </w:tc>
        <w:tc>
          <w:tcPr>
            <w:tcW w:w="1642" w:type="dxa"/>
            <w:noWrap/>
            <w:hideMark/>
          </w:tcPr>
          <w:p w14:paraId="2E94CFAF" w14:textId="0F7A077B"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13,</w:t>
            </w:r>
            <w:r w:rsidR="00211A70">
              <w:rPr>
                <w:rFonts w:eastAsia="Times New Roman" w:cs="Calibri"/>
                <w:color w:val="000000"/>
                <w:sz w:val="20"/>
                <w:szCs w:val="20"/>
                <w:lang w:eastAsia="en-GB"/>
              </w:rPr>
              <w:t>712</w:t>
            </w:r>
          </w:p>
        </w:tc>
        <w:tc>
          <w:tcPr>
            <w:tcW w:w="1643" w:type="dxa"/>
            <w:noWrap/>
            <w:hideMark/>
          </w:tcPr>
          <w:p w14:paraId="1DF047FD" w14:textId="577DB746"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10,</w:t>
            </w:r>
            <w:r w:rsidR="00211A70">
              <w:rPr>
                <w:rFonts w:eastAsia="Times New Roman" w:cs="Calibri"/>
                <w:color w:val="000000"/>
                <w:sz w:val="20"/>
                <w:szCs w:val="20"/>
                <w:lang w:eastAsia="en-GB"/>
              </w:rPr>
              <w:t>531</w:t>
            </w:r>
          </w:p>
        </w:tc>
        <w:tc>
          <w:tcPr>
            <w:tcW w:w="1643" w:type="dxa"/>
            <w:noWrap/>
            <w:hideMark/>
          </w:tcPr>
          <w:p w14:paraId="26067F77" w14:textId="0CECDE1C" w:rsidR="009346D4" w:rsidRPr="009346D4" w:rsidRDefault="009346D4" w:rsidP="009346D4">
            <w:pPr>
              <w:ind w:left="0" w:firstLine="0"/>
              <w:jc w:val="right"/>
              <w:rPr>
                <w:rFonts w:eastAsia="Times New Roman" w:cs="Calibri"/>
                <w:color w:val="000000"/>
                <w:sz w:val="20"/>
                <w:szCs w:val="20"/>
                <w:lang w:eastAsia="en-GB"/>
              </w:rPr>
            </w:pPr>
          </w:p>
        </w:tc>
        <w:tc>
          <w:tcPr>
            <w:tcW w:w="1643" w:type="dxa"/>
            <w:noWrap/>
            <w:hideMark/>
          </w:tcPr>
          <w:p w14:paraId="6254C7CD"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10,531</w:t>
            </w:r>
          </w:p>
        </w:tc>
      </w:tr>
      <w:tr w:rsidR="004A2BEC" w:rsidRPr="009346D4" w14:paraId="57584C49"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B441BFD"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Lesotho</w:t>
            </w:r>
          </w:p>
        </w:tc>
        <w:tc>
          <w:tcPr>
            <w:tcW w:w="1642" w:type="dxa"/>
            <w:noWrap/>
            <w:hideMark/>
          </w:tcPr>
          <w:p w14:paraId="3EF27A2C" w14:textId="76119E4D"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7745CBD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3,795</w:t>
            </w:r>
          </w:p>
        </w:tc>
        <w:tc>
          <w:tcPr>
            <w:tcW w:w="1643" w:type="dxa"/>
            <w:noWrap/>
            <w:hideMark/>
          </w:tcPr>
          <w:p w14:paraId="4BA9D97C"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4E0956E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3,795</w:t>
            </w:r>
          </w:p>
        </w:tc>
      </w:tr>
      <w:tr w:rsidR="009346D4" w:rsidRPr="009346D4" w14:paraId="579268CA" w14:textId="77777777" w:rsidTr="00D6489A">
        <w:tc>
          <w:tcPr>
            <w:tcW w:w="2689" w:type="dxa"/>
            <w:noWrap/>
            <w:hideMark/>
          </w:tcPr>
          <w:p w14:paraId="71738154"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Liberia</w:t>
            </w:r>
          </w:p>
        </w:tc>
        <w:tc>
          <w:tcPr>
            <w:tcW w:w="1642" w:type="dxa"/>
            <w:noWrap/>
            <w:hideMark/>
          </w:tcPr>
          <w:p w14:paraId="77357A89" w14:textId="1CF2F0C7"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59AABFE5"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0690A43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75F8744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0264AB" w:rsidRPr="009346D4" w14:paraId="75981C9D"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432FC089" w14:textId="7981A25C" w:rsidR="000264AB" w:rsidRPr="009346D4" w:rsidRDefault="000264AB" w:rsidP="005E6D57">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Libya</w:t>
            </w:r>
          </w:p>
        </w:tc>
        <w:tc>
          <w:tcPr>
            <w:tcW w:w="1642" w:type="dxa"/>
            <w:noWrap/>
            <w:hideMark/>
          </w:tcPr>
          <w:p w14:paraId="19FA1147" w14:textId="2F0BBF10" w:rsidR="000264AB" w:rsidRPr="009346D4" w:rsidRDefault="0002320F" w:rsidP="005E6D57">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w:t>
            </w:r>
            <w:r w:rsidR="000264AB" w:rsidRPr="009346D4">
              <w:rPr>
                <w:rFonts w:eastAsia="Times New Roman" w:cs="Calibri"/>
                <w:color w:val="000000"/>
                <w:sz w:val="20"/>
                <w:szCs w:val="20"/>
                <w:lang w:eastAsia="en-GB"/>
              </w:rPr>
              <w:t>,532</w:t>
            </w:r>
          </w:p>
        </w:tc>
        <w:tc>
          <w:tcPr>
            <w:tcW w:w="1643" w:type="dxa"/>
            <w:noWrap/>
            <w:hideMark/>
          </w:tcPr>
          <w:p w14:paraId="29758B8A" w14:textId="77777777" w:rsidR="000264AB" w:rsidRPr="009346D4" w:rsidRDefault="000264AB" w:rsidP="005E6D57">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1D76F032" w14:textId="77777777" w:rsidR="000264AB" w:rsidRPr="009346D4" w:rsidRDefault="000264AB" w:rsidP="005E6D57">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76E97771" w14:textId="77777777" w:rsidR="000264AB" w:rsidRPr="009346D4" w:rsidRDefault="000264AB" w:rsidP="005E6D57">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5362CE85" w14:textId="77777777" w:rsidTr="00D6489A">
        <w:tc>
          <w:tcPr>
            <w:tcW w:w="2689" w:type="dxa"/>
            <w:noWrap/>
            <w:hideMark/>
          </w:tcPr>
          <w:p w14:paraId="26CAFDDA"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Madagascar</w:t>
            </w:r>
          </w:p>
        </w:tc>
        <w:tc>
          <w:tcPr>
            <w:tcW w:w="1642" w:type="dxa"/>
            <w:noWrap/>
            <w:hideMark/>
          </w:tcPr>
          <w:p w14:paraId="54796052" w14:textId="70AD8833"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4F71189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10,874</w:t>
            </w:r>
          </w:p>
        </w:tc>
        <w:tc>
          <w:tcPr>
            <w:tcW w:w="1643" w:type="dxa"/>
            <w:noWrap/>
            <w:hideMark/>
          </w:tcPr>
          <w:p w14:paraId="40C9E4F3"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1C6114AC"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10,874</w:t>
            </w:r>
          </w:p>
        </w:tc>
      </w:tr>
      <w:tr w:rsidR="009346D4" w:rsidRPr="009346D4" w14:paraId="72CDC14B"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10999B76"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Malawi</w:t>
            </w:r>
          </w:p>
        </w:tc>
        <w:tc>
          <w:tcPr>
            <w:tcW w:w="1642" w:type="dxa"/>
            <w:noWrap/>
            <w:hideMark/>
          </w:tcPr>
          <w:p w14:paraId="6FEDBADB" w14:textId="4C4EFFFE"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0E265E38"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5,929</w:t>
            </w:r>
          </w:p>
        </w:tc>
        <w:tc>
          <w:tcPr>
            <w:tcW w:w="1643" w:type="dxa"/>
            <w:noWrap/>
            <w:hideMark/>
          </w:tcPr>
          <w:p w14:paraId="70F94B2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26C51BF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5,929</w:t>
            </w:r>
          </w:p>
        </w:tc>
      </w:tr>
      <w:tr w:rsidR="004A2BEC" w:rsidRPr="009346D4" w14:paraId="30CF4C3F" w14:textId="77777777" w:rsidTr="00D6489A">
        <w:tc>
          <w:tcPr>
            <w:tcW w:w="2689" w:type="dxa"/>
            <w:noWrap/>
            <w:hideMark/>
          </w:tcPr>
          <w:p w14:paraId="5A7D44CB"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Mali</w:t>
            </w:r>
          </w:p>
        </w:tc>
        <w:tc>
          <w:tcPr>
            <w:tcW w:w="1642" w:type="dxa"/>
            <w:noWrap/>
            <w:hideMark/>
          </w:tcPr>
          <w:p w14:paraId="12C504FA" w14:textId="0DBF89AB"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2B5CAD82" w14:textId="08112929"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sidR="00211A70">
              <w:rPr>
                <w:rFonts w:eastAsia="Times New Roman" w:cs="Calibri"/>
                <w:color w:val="000000"/>
                <w:sz w:val="20"/>
                <w:szCs w:val="20"/>
                <w:lang w:eastAsia="en-GB"/>
              </w:rPr>
              <w:t>4</w:t>
            </w:r>
            <w:r w:rsidRPr="009346D4">
              <w:rPr>
                <w:rFonts w:eastAsia="Times New Roman" w:cs="Calibri"/>
                <w:color w:val="000000"/>
                <w:sz w:val="20"/>
                <w:szCs w:val="20"/>
                <w:lang w:eastAsia="en-GB"/>
              </w:rPr>
              <w:t>,000</w:t>
            </w:r>
          </w:p>
        </w:tc>
        <w:tc>
          <w:tcPr>
            <w:tcW w:w="1643" w:type="dxa"/>
            <w:noWrap/>
            <w:hideMark/>
          </w:tcPr>
          <w:p w14:paraId="1D792108" w14:textId="28C6C26A" w:rsidR="009346D4" w:rsidRPr="009346D4" w:rsidRDefault="00AB040E" w:rsidP="009346D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1,000</w:t>
            </w:r>
          </w:p>
        </w:tc>
        <w:tc>
          <w:tcPr>
            <w:tcW w:w="1643" w:type="dxa"/>
            <w:noWrap/>
            <w:hideMark/>
          </w:tcPr>
          <w:p w14:paraId="4AF4EA5A" w14:textId="545A3BD7" w:rsidR="009346D4" w:rsidRPr="009346D4" w:rsidRDefault="0002320F"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r>
      <w:tr w:rsidR="009346D4" w:rsidRPr="009346D4" w14:paraId="39E3E44B"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1BACE6A7"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Mauritania</w:t>
            </w:r>
          </w:p>
        </w:tc>
        <w:tc>
          <w:tcPr>
            <w:tcW w:w="1642" w:type="dxa"/>
            <w:noWrap/>
            <w:hideMark/>
          </w:tcPr>
          <w:p w14:paraId="53195F5F" w14:textId="24B67B67"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0F6C9D0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54D0BD0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66F0AB2E"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35EF191F" w14:textId="77777777" w:rsidTr="00D6489A">
        <w:tc>
          <w:tcPr>
            <w:tcW w:w="2689" w:type="dxa"/>
            <w:noWrap/>
            <w:hideMark/>
          </w:tcPr>
          <w:p w14:paraId="76B9F041"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Mauritius</w:t>
            </w:r>
          </w:p>
        </w:tc>
        <w:tc>
          <w:tcPr>
            <w:tcW w:w="1642" w:type="dxa"/>
            <w:noWrap/>
            <w:hideMark/>
          </w:tcPr>
          <w:p w14:paraId="5642D3BD" w14:textId="07A8DF29"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5CC1E9AD" w14:textId="7485D8F8"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sidR="00211A70">
              <w:rPr>
                <w:rFonts w:eastAsia="Times New Roman" w:cs="Calibri"/>
                <w:color w:val="000000"/>
                <w:sz w:val="20"/>
                <w:szCs w:val="20"/>
                <w:lang w:eastAsia="en-GB"/>
              </w:rPr>
              <w:t>4</w:t>
            </w:r>
            <w:r w:rsidRPr="009346D4">
              <w:rPr>
                <w:rFonts w:eastAsia="Times New Roman" w:cs="Calibri"/>
                <w:color w:val="000000"/>
                <w:sz w:val="20"/>
                <w:szCs w:val="20"/>
                <w:lang w:eastAsia="en-GB"/>
              </w:rPr>
              <w:t>,000</w:t>
            </w:r>
          </w:p>
        </w:tc>
        <w:tc>
          <w:tcPr>
            <w:tcW w:w="1643" w:type="dxa"/>
            <w:noWrap/>
            <w:hideMark/>
          </w:tcPr>
          <w:p w14:paraId="162E80E5"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1,000</w:t>
            </w:r>
          </w:p>
        </w:tc>
        <w:tc>
          <w:tcPr>
            <w:tcW w:w="1643" w:type="dxa"/>
            <w:noWrap/>
            <w:hideMark/>
          </w:tcPr>
          <w:p w14:paraId="11138C03" w14:textId="4DE1A152" w:rsidR="009346D4" w:rsidRPr="009346D4" w:rsidRDefault="0002320F"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r>
      <w:tr w:rsidR="009346D4" w:rsidRPr="009346D4" w14:paraId="3AFB06E6"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0A37F6C"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Mozambique</w:t>
            </w:r>
          </w:p>
        </w:tc>
        <w:tc>
          <w:tcPr>
            <w:tcW w:w="1642" w:type="dxa"/>
            <w:noWrap/>
            <w:hideMark/>
          </w:tcPr>
          <w:p w14:paraId="0B5C1ED1" w14:textId="63F6B11C"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6816DD7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3,000</w:t>
            </w:r>
          </w:p>
        </w:tc>
        <w:tc>
          <w:tcPr>
            <w:tcW w:w="1643" w:type="dxa"/>
            <w:noWrap/>
            <w:hideMark/>
          </w:tcPr>
          <w:p w14:paraId="503AF825"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014E7C1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3,000</w:t>
            </w:r>
          </w:p>
        </w:tc>
      </w:tr>
      <w:tr w:rsidR="004A2BEC" w:rsidRPr="009346D4" w14:paraId="1F2F9500" w14:textId="77777777" w:rsidTr="00D6489A">
        <w:tc>
          <w:tcPr>
            <w:tcW w:w="2689" w:type="dxa"/>
            <w:noWrap/>
            <w:hideMark/>
          </w:tcPr>
          <w:p w14:paraId="4B447428"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Namibia</w:t>
            </w:r>
          </w:p>
        </w:tc>
        <w:tc>
          <w:tcPr>
            <w:tcW w:w="1642" w:type="dxa"/>
            <w:noWrap/>
            <w:hideMark/>
          </w:tcPr>
          <w:p w14:paraId="1C28F63B" w14:textId="09F575B6"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6A7AE4C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7,000</w:t>
            </w:r>
          </w:p>
        </w:tc>
        <w:tc>
          <w:tcPr>
            <w:tcW w:w="1643" w:type="dxa"/>
            <w:noWrap/>
            <w:hideMark/>
          </w:tcPr>
          <w:p w14:paraId="07A7EB6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4FFFB0D4"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7,000</w:t>
            </w:r>
          </w:p>
        </w:tc>
      </w:tr>
      <w:tr w:rsidR="009346D4" w:rsidRPr="009346D4" w14:paraId="0742C881"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7F73EE9F"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Niger</w:t>
            </w:r>
          </w:p>
        </w:tc>
        <w:tc>
          <w:tcPr>
            <w:tcW w:w="1642" w:type="dxa"/>
            <w:noWrap/>
            <w:hideMark/>
          </w:tcPr>
          <w:p w14:paraId="1D9650DC" w14:textId="28B1883B"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2AA8CE95"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2909E89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7C2DE1F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4BBB4913" w14:textId="77777777" w:rsidTr="00D6489A">
        <w:tc>
          <w:tcPr>
            <w:tcW w:w="2689" w:type="dxa"/>
            <w:noWrap/>
            <w:hideMark/>
          </w:tcPr>
          <w:p w14:paraId="2812B570"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Rwanda</w:t>
            </w:r>
          </w:p>
        </w:tc>
        <w:tc>
          <w:tcPr>
            <w:tcW w:w="1642" w:type="dxa"/>
            <w:noWrap/>
            <w:hideMark/>
          </w:tcPr>
          <w:p w14:paraId="70C7427B" w14:textId="3DC4135B"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274E5CC0"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3,000</w:t>
            </w:r>
          </w:p>
        </w:tc>
        <w:tc>
          <w:tcPr>
            <w:tcW w:w="1643" w:type="dxa"/>
            <w:noWrap/>
            <w:hideMark/>
          </w:tcPr>
          <w:p w14:paraId="0448F32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7DA55BA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3,000</w:t>
            </w:r>
          </w:p>
        </w:tc>
      </w:tr>
      <w:tr w:rsidR="009346D4" w:rsidRPr="009346D4" w14:paraId="493D015F"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6AEF4B85"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Sao Tome and Principe</w:t>
            </w:r>
          </w:p>
        </w:tc>
        <w:tc>
          <w:tcPr>
            <w:tcW w:w="1642" w:type="dxa"/>
            <w:noWrap/>
            <w:hideMark/>
          </w:tcPr>
          <w:p w14:paraId="7931238D" w14:textId="26274E52"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6D2DCA5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10B837A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063C0FF6"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2773233E" w14:textId="77777777" w:rsidTr="00D6489A">
        <w:tc>
          <w:tcPr>
            <w:tcW w:w="2689" w:type="dxa"/>
            <w:noWrap/>
            <w:hideMark/>
          </w:tcPr>
          <w:p w14:paraId="446A6B69"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Senegal</w:t>
            </w:r>
          </w:p>
        </w:tc>
        <w:tc>
          <w:tcPr>
            <w:tcW w:w="1642" w:type="dxa"/>
            <w:noWrap/>
            <w:hideMark/>
          </w:tcPr>
          <w:p w14:paraId="41A76313" w14:textId="4CF46579"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4D90B82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2,000</w:t>
            </w:r>
          </w:p>
        </w:tc>
        <w:tc>
          <w:tcPr>
            <w:tcW w:w="1643" w:type="dxa"/>
            <w:noWrap/>
            <w:hideMark/>
          </w:tcPr>
          <w:p w14:paraId="43F496DD"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194C8410"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2,000</w:t>
            </w:r>
          </w:p>
        </w:tc>
      </w:tr>
      <w:tr w:rsidR="009346D4" w:rsidRPr="009346D4" w14:paraId="3F0D61CE"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071BDBAA"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Seychelles</w:t>
            </w:r>
          </w:p>
        </w:tc>
        <w:tc>
          <w:tcPr>
            <w:tcW w:w="1642" w:type="dxa"/>
            <w:noWrap/>
            <w:hideMark/>
          </w:tcPr>
          <w:p w14:paraId="52C6CFF0" w14:textId="5B855C46"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sidR="00180710">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30241975"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4,000</w:t>
            </w:r>
          </w:p>
        </w:tc>
        <w:tc>
          <w:tcPr>
            <w:tcW w:w="1643" w:type="dxa"/>
            <w:noWrap/>
            <w:hideMark/>
          </w:tcPr>
          <w:p w14:paraId="73F16D3A"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0FF82E1A"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4,000</w:t>
            </w:r>
          </w:p>
        </w:tc>
      </w:tr>
      <w:tr w:rsidR="004A2BEC" w:rsidRPr="009346D4" w14:paraId="6094F47E" w14:textId="77777777" w:rsidTr="00D6489A">
        <w:tc>
          <w:tcPr>
            <w:tcW w:w="2689" w:type="dxa"/>
            <w:noWrap/>
            <w:hideMark/>
          </w:tcPr>
          <w:p w14:paraId="7F6DE4D0"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Sierra Leone</w:t>
            </w:r>
          </w:p>
        </w:tc>
        <w:tc>
          <w:tcPr>
            <w:tcW w:w="1642" w:type="dxa"/>
            <w:noWrap/>
            <w:hideMark/>
          </w:tcPr>
          <w:p w14:paraId="35EFFC9E" w14:textId="629ACC02"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sidR="00180710">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52BB196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6EC9923A"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45FB9BCD"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74BE3099"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4D746AA0"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South Sudan</w:t>
            </w:r>
          </w:p>
        </w:tc>
        <w:tc>
          <w:tcPr>
            <w:tcW w:w="1642" w:type="dxa"/>
            <w:noWrap/>
            <w:hideMark/>
          </w:tcPr>
          <w:p w14:paraId="062B68B3" w14:textId="2A7C1D34" w:rsidR="009346D4" w:rsidRPr="009346D4" w:rsidRDefault="00211A70" w:rsidP="009346D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w:t>
            </w:r>
            <w:r w:rsidR="009346D4" w:rsidRPr="009346D4">
              <w:rPr>
                <w:rFonts w:eastAsia="Times New Roman" w:cs="Calibri"/>
                <w:color w:val="000000"/>
                <w:sz w:val="20"/>
                <w:szCs w:val="20"/>
                <w:lang w:eastAsia="en-GB"/>
              </w:rPr>
              <w:t>,000</w:t>
            </w:r>
          </w:p>
        </w:tc>
        <w:tc>
          <w:tcPr>
            <w:tcW w:w="1643" w:type="dxa"/>
            <w:noWrap/>
            <w:hideMark/>
          </w:tcPr>
          <w:p w14:paraId="4A5C5612"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535ECF79"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774A341D"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79FDDF9B" w14:textId="77777777" w:rsidTr="00D6489A">
        <w:tc>
          <w:tcPr>
            <w:tcW w:w="2689" w:type="dxa"/>
            <w:noWrap/>
            <w:hideMark/>
          </w:tcPr>
          <w:p w14:paraId="0B10DDA5"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Sudan</w:t>
            </w:r>
          </w:p>
        </w:tc>
        <w:tc>
          <w:tcPr>
            <w:tcW w:w="1642" w:type="dxa"/>
            <w:noWrap/>
            <w:hideMark/>
          </w:tcPr>
          <w:p w14:paraId="2113BA64" w14:textId="767913E0"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0CE251B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6164B21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6F10FE6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7137C632"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1B78441B"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Tanzania, United Republic of</w:t>
            </w:r>
          </w:p>
        </w:tc>
        <w:tc>
          <w:tcPr>
            <w:tcW w:w="1642" w:type="dxa"/>
            <w:noWrap/>
            <w:hideMark/>
          </w:tcPr>
          <w:p w14:paraId="6FD990F4" w14:textId="4AD0450E"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sidR="00180710">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089AD5F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370FC30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72BA540F"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6AC87314" w14:textId="77777777" w:rsidTr="00D6489A">
        <w:tc>
          <w:tcPr>
            <w:tcW w:w="2689" w:type="dxa"/>
            <w:noWrap/>
            <w:hideMark/>
          </w:tcPr>
          <w:p w14:paraId="03BB6B06"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Togo</w:t>
            </w:r>
          </w:p>
        </w:tc>
        <w:tc>
          <w:tcPr>
            <w:tcW w:w="1642" w:type="dxa"/>
            <w:noWrap/>
            <w:hideMark/>
          </w:tcPr>
          <w:p w14:paraId="48056639" w14:textId="2282F276"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sidR="00180710">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122F7685"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11,000</w:t>
            </w:r>
          </w:p>
        </w:tc>
        <w:tc>
          <w:tcPr>
            <w:tcW w:w="1643" w:type="dxa"/>
            <w:noWrap/>
            <w:hideMark/>
          </w:tcPr>
          <w:p w14:paraId="41E28FAD"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2BAEC501"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11,000</w:t>
            </w:r>
          </w:p>
        </w:tc>
      </w:tr>
      <w:tr w:rsidR="004A2BEC" w:rsidRPr="009346D4" w14:paraId="055E8C04"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26F3BD8E"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Tunisia</w:t>
            </w:r>
          </w:p>
        </w:tc>
        <w:tc>
          <w:tcPr>
            <w:tcW w:w="1642" w:type="dxa"/>
            <w:noWrap/>
            <w:hideMark/>
          </w:tcPr>
          <w:p w14:paraId="6FBBAAA7" w14:textId="5591022B" w:rsidR="009346D4" w:rsidRPr="009346D4" w:rsidRDefault="0002320F" w:rsidP="009346D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9</w:t>
            </w:r>
            <w:r w:rsidR="009346D4" w:rsidRPr="009346D4">
              <w:rPr>
                <w:rFonts w:eastAsia="Times New Roman" w:cs="Calibri"/>
                <w:color w:val="000000"/>
                <w:sz w:val="20"/>
                <w:szCs w:val="20"/>
                <w:lang w:eastAsia="en-GB"/>
              </w:rPr>
              <w:t>,856</w:t>
            </w:r>
          </w:p>
        </w:tc>
        <w:tc>
          <w:tcPr>
            <w:tcW w:w="1643" w:type="dxa"/>
            <w:noWrap/>
            <w:hideMark/>
          </w:tcPr>
          <w:p w14:paraId="0D8EC01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386C93F7"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38754180"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9346D4" w:rsidRPr="009346D4" w14:paraId="51352989" w14:textId="77777777" w:rsidTr="00D6489A">
        <w:tc>
          <w:tcPr>
            <w:tcW w:w="2689" w:type="dxa"/>
            <w:noWrap/>
            <w:hideMark/>
          </w:tcPr>
          <w:p w14:paraId="172E37FE"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Uganda</w:t>
            </w:r>
          </w:p>
        </w:tc>
        <w:tc>
          <w:tcPr>
            <w:tcW w:w="1642" w:type="dxa"/>
            <w:noWrap/>
            <w:hideMark/>
          </w:tcPr>
          <w:p w14:paraId="6326CA23" w14:textId="370D0CF4"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622589C3" w14:textId="0AB6C49C" w:rsidR="009346D4" w:rsidRPr="009346D4" w:rsidRDefault="00211A70" w:rsidP="009346D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w:t>
            </w:r>
            <w:r w:rsidR="009346D4" w:rsidRPr="009346D4">
              <w:rPr>
                <w:rFonts w:eastAsia="Times New Roman" w:cs="Calibri"/>
                <w:color w:val="000000"/>
                <w:sz w:val="20"/>
                <w:szCs w:val="20"/>
                <w:lang w:eastAsia="en-GB"/>
              </w:rPr>
              <w:t>,828</w:t>
            </w:r>
          </w:p>
        </w:tc>
        <w:tc>
          <w:tcPr>
            <w:tcW w:w="1643" w:type="dxa"/>
            <w:noWrap/>
            <w:hideMark/>
          </w:tcPr>
          <w:p w14:paraId="5522F101" w14:textId="20A15197" w:rsidR="009346D4" w:rsidRPr="009346D4" w:rsidRDefault="009346D4" w:rsidP="009346D4">
            <w:pPr>
              <w:ind w:left="0" w:firstLine="0"/>
              <w:jc w:val="right"/>
              <w:rPr>
                <w:rFonts w:eastAsia="Times New Roman" w:cs="Calibri"/>
                <w:color w:val="000000"/>
                <w:sz w:val="20"/>
                <w:szCs w:val="20"/>
                <w:lang w:eastAsia="en-GB"/>
              </w:rPr>
            </w:pPr>
          </w:p>
        </w:tc>
        <w:tc>
          <w:tcPr>
            <w:tcW w:w="1643" w:type="dxa"/>
            <w:noWrap/>
            <w:hideMark/>
          </w:tcPr>
          <w:p w14:paraId="3884942C"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8,828</w:t>
            </w:r>
          </w:p>
        </w:tc>
      </w:tr>
      <w:tr w:rsidR="004A2BEC" w:rsidRPr="009346D4" w14:paraId="1A60F0BA"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7F874688"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Zambia</w:t>
            </w:r>
          </w:p>
        </w:tc>
        <w:tc>
          <w:tcPr>
            <w:tcW w:w="1642" w:type="dxa"/>
            <w:noWrap/>
            <w:hideMark/>
          </w:tcPr>
          <w:p w14:paraId="03A9C07A" w14:textId="67C3DB2E" w:rsidR="009346D4" w:rsidRPr="009346D4" w:rsidRDefault="00211A70"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1</w:t>
            </w:r>
            <w:r>
              <w:rPr>
                <w:rFonts w:eastAsia="Times New Roman" w:cs="Calibri"/>
                <w:color w:val="000000"/>
                <w:sz w:val="20"/>
                <w:szCs w:val="20"/>
                <w:lang w:eastAsia="en-GB"/>
              </w:rPr>
              <w:t>5</w:t>
            </w:r>
            <w:r w:rsidR="009346D4" w:rsidRPr="009346D4">
              <w:rPr>
                <w:rFonts w:eastAsia="Times New Roman" w:cs="Calibri"/>
                <w:color w:val="000000"/>
                <w:sz w:val="20"/>
                <w:szCs w:val="20"/>
                <w:lang w:eastAsia="en-GB"/>
              </w:rPr>
              <w:t>,000</w:t>
            </w:r>
          </w:p>
        </w:tc>
        <w:tc>
          <w:tcPr>
            <w:tcW w:w="1643" w:type="dxa"/>
            <w:noWrap/>
            <w:hideMark/>
          </w:tcPr>
          <w:p w14:paraId="2249BF8B"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200</w:t>
            </w:r>
          </w:p>
        </w:tc>
        <w:tc>
          <w:tcPr>
            <w:tcW w:w="1643" w:type="dxa"/>
            <w:noWrap/>
            <w:hideMark/>
          </w:tcPr>
          <w:p w14:paraId="02460C52"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54534A94"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200</w:t>
            </w:r>
          </w:p>
        </w:tc>
      </w:tr>
      <w:tr w:rsidR="009346D4" w:rsidRPr="009346D4" w14:paraId="5DF45355" w14:textId="77777777" w:rsidTr="00D6489A">
        <w:tc>
          <w:tcPr>
            <w:tcW w:w="2689" w:type="dxa"/>
            <w:noWrap/>
            <w:hideMark/>
          </w:tcPr>
          <w:p w14:paraId="13FFDBB3" w14:textId="77777777" w:rsidR="009346D4" w:rsidRPr="009346D4" w:rsidRDefault="009346D4" w:rsidP="009346D4">
            <w:pPr>
              <w:ind w:left="0" w:firstLine="0"/>
              <w:rPr>
                <w:rFonts w:eastAsia="Times New Roman" w:cs="Calibri"/>
                <w:color w:val="000000"/>
                <w:sz w:val="20"/>
                <w:szCs w:val="20"/>
                <w:lang w:eastAsia="en-GB"/>
              </w:rPr>
            </w:pPr>
            <w:r w:rsidRPr="009346D4">
              <w:rPr>
                <w:rFonts w:eastAsia="Times New Roman" w:cs="Calibri"/>
                <w:color w:val="000000"/>
                <w:sz w:val="20"/>
                <w:szCs w:val="20"/>
                <w:lang w:eastAsia="en-GB"/>
              </w:rPr>
              <w:t>Zimbabwe</w:t>
            </w:r>
          </w:p>
        </w:tc>
        <w:tc>
          <w:tcPr>
            <w:tcW w:w="1642" w:type="dxa"/>
            <w:noWrap/>
            <w:hideMark/>
          </w:tcPr>
          <w:p w14:paraId="599C2A7B" w14:textId="5FBC5EEF" w:rsidR="009346D4" w:rsidRPr="009346D4" w:rsidRDefault="00211A70" w:rsidP="009346D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11</w:t>
            </w:r>
            <w:r w:rsidR="009346D4" w:rsidRPr="009346D4">
              <w:rPr>
                <w:rFonts w:eastAsia="Times New Roman" w:cs="Calibri"/>
                <w:color w:val="000000"/>
                <w:sz w:val="20"/>
                <w:szCs w:val="20"/>
                <w:lang w:eastAsia="en-GB"/>
              </w:rPr>
              <w:t>,000</w:t>
            </w:r>
          </w:p>
        </w:tc>
        <w:tc>
          <w:tcPr>
            <w:tcW w:w="1643" w:type="dxa"/>
            <w:noWrap/>
            <w:hideMark/>
          </w:tcPr>
          <w:p w14:paraId="5716A353"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c>
          <w:tcPr>
            <w:tcW w:w="1643" w:type="dxa"/>
            <w:noWrap/>
            <w:hideMark/>
          </w:tcPr>
          <w:p w14:paraId="1A847D8C"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 </w:t>
            </w:r>
          </w:p>
        </w:tc>
        <w:tc>
          <w:tcPr>
            <w:tcW w:w="1643" w:type="dxa"/>
            <w:noWrap/>
            <w:hideMark/>
          </w:tcPr>
          <w:p w14:paraId="67D127E4" w14:textId="77777777" w:rsidR="009346D4" w:rsidRPr="009346D4" w:rsidRDefault="009346D4" w:rsidP="009346D4">
            <w:pPr>
              <w:ind w:left="0" w:firstLine="0"/>
              <w:jc w:val="right"/>
              <w:rPr>
                <w:rFonts w:eastAsia="Times New Roman" w:cs="Calibri"/>
                <w:color w:val="000000"/>
                <w:sz w:val="20"/>
                <w:szCs w:val="20"/>
                <w:lang w:eastAsia="en-GB"/>
              </w:rPr>
            </w:pPr>
            <w:r w:rsidRPr="009346D4">
              <w:rPr>
                <w:rFonts w:eastAsia="Times New Roman" w:cs="Calibri"/>
                <w:color w:val="000000"/>
                <w:sz w:val="20"/>
                <w:szCs w:val="20"/>
                <w:lang w:eastAsia="en-GB"/>
              </w:rPr>
              <w:t>0</w:t>
            </w:r>
          </w:p>
        </w:tc>
      </w:tr>
      <w:tr w:rsidR="004A2BEC" w:rsidRPr="009346D4" w14:paraId="09E832BE" w14:textId="77777777" w:rsidTr="00D6489A">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012DC73D" w14:textId="77777777" w:rsidR="009346D4" w:rsidRPr="009346D4" w:rsidRDefault="009346D4" w:rsidP="004A2BEC">
            <w:pPr>
              <w:ind w:left="0" w:firstLine="0"/>
              <w:rPr>
                <w:rFonts w:eastAsia="Times New Roman" w:cs="Calibri"/>
                <w:b/>
                <w:bCs/>
                <w:color w:val="000000"/>
                <w:sz w:val="20"/>
                <w:szCs w:val="20"/>
                <w:lang w:eastAsia="en-GB"/>
              </w:rPr>
            </w:pPr>
            <w:r w:rsidRPr="009346D4">
              <w:rPr>
                <w:rFonts w:eastAsia="Times New Roman" w:cs="Calibri"/>
                <w:b/>
                <w:bCs/>
                <w:color w:val="000000"/>
                <w:sz w:val="20"/>
                <w:szCs w:val="20"/>
                <w:lang w:eastAsia="en-GB"/>
              </w:rPr>
              <w:t>Total</w:t>
            </w:r>
          </w:p>
        </w:tc>
        <w:tc>
          <w:tcPr>
            <w:tcW w:w="1642" w:type="dxa"/>
            <w:noWrap/>
            <w:hideMark/>
          </w:tcPr>
          <w:p w14:paraId="54411D17" w14:textId="5892CDE4" w:rsidR="009346D4" w:rsidRPr="009346D4" w:rsidRDefault="0002320F" w:rsidP="009346D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644,596</w:t>
            </w:r>
          </w:p>
        </w:tc>
        <w:tc>
          <w:tcPr>
            <w:tcW w:w="1643" w:type="dxa"/>
            <w:noWrap/>
            <w:hideMark/>
          </w:tcPr>
          <w:p w14:paraId="6105E275" w14:textId="12F18038" w:rsidR="009346D4" w:rsidRPr="009346D4" w:rsidRDefault="00211A70" w:rsidP="009346D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147,984</w:t>
            </w:r>
          </w:p>
        </w:tc>
        <w:tc>
          <w:tcPr>
            <w:tcW w:w="1643" w:type="dxa"/>
            <w:noWrap/>
            <w:hideMark/>
          </w:tcPr>
          <w:p w14:paraId="39CD8569" w14:textId="6725EED5" w:rsidR="009346D4" w:rsidRPr="009346D4" w:rsidRDefault="00211A70" w:rsidP="009346D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2,000</w:t>
            </w:r>
          </w:p>
        </w:tc>
        <w:tc>
          <w:tcPr>
            <w:tcW w:w="1643" w:type="dxa"/>
            <w:noWrap/>
            <w:hideMark/>
          </w:tcPr>
          <w:p w14:paraId="1C83DDFF" w14:textId="3205C322" w:rsidR="009346D4" w:rsidRPr="009346D4" w:rsidRDefault="0002320F" w:rsidP="009346D4">
            <w:pPr>
              <w:ind w:left="0" w:firstLine="0"/>
              <w:jc w:val="right"/>
              <w:rPr>
                <w:rFonts w:eastAsia="Times New Roman" w:cs="Calibri"/>
                <w:b/>
                <w:bCs/>
                <w:color w:val="000000"/>
                <w:sz w:val="20"/>
                <w:szCs w:val="20"/>
                <w:lang w:eastAsia="en-GB"/>
              </w:rPr>
            </w:pPr>
            <w:r w:rsidRPr="009346D4">
              <w:rPr>
                <w:rFonts w:eastAsia="Times New Roman" w:cs="Calibri"/>
                <w:b/>
                <w:bCs/>
                <w:color w:val="000000"/>
                <w:sz w:val="20"/>
                <w:szCs w:val="20"/>
                <w:lang w:eastAsia="en-GB"/>
              </w:rPr>
              <w:t>14</w:t>
            </w:r>
            <w:r>
              <w:rPr>
                <w:rFonts w:eastAsia="Times New Roman" w:cs="Calibri"/>
                <w:b/>
                <w:bCs/>
                <w:color w:val="000000"/>
                <w:sz w:val="20"/>
                <w:szCs w:val="20"/>
                <w:lang w:eastAsia="en-GB"/>
              </w:rPr>
              <w:t>9</w:t>
            </w:r>
            <w:r w:rsidR="009346D4" w:rsidRPr="009346D4">
              <w:rPr>
                <w:rFonts w:eastAsia="Times New Roman" w:cs="Calibri"/>
                <w:b/>
                <w:bCs/>
                <w:color w:val="000000"/>
                <w:sz w:val="20"/>
                <w:szCs w:val="20"/>
                <w:lang w:eastAsia="en-GB"/>
              </w:rPr>
              <w:t>,984</w:t>
            </w:r>
          </w:p>
        </w:tc>
      </w:tr>
    </w:tbl>
    <w:p w14:paraId="2AAAAA7C" w14:textId="56A953E0" w:rsidR="003D27CC" w:rsidRPr="00771FBC" w:rsidRDefault="003D27CC" w:rsidP="00D6489A">
      <w:pPr>
        <w:ind w:left="0" w:firstLine="0"/>
        <w:rPr>
          <w:rFonts w:cs="Arial"/>
        </w:rPr>
      </w:pPr>
    </w:p>
    <w:sectPr w:rsidR="003D27CC" w:rsidRPr="00771FBC" w:rsidSect="00D6489A">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E9954" w14:textId="77777777" w:rsidR="00EE4B6F" w:rsidRDefault="00EE4B6F" w:rsidP="00DF2386">
      <w:r>
        <w:separator/>
      </w:r>
    </w:p>
  </w:endnote>
  <w:endnote w:type="continuationSeparator" w:id="0">
    <w:p w14:paraId="508962A4" w14:textId="77777777" w:rsidR="00EE4B6F" w:rsidRDefault="00EE4B6F"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A199" w14:textId="112B99A2" w:rsidR="00EE4B6F" w:rsidRDefault="00EE4B6F" w:rsidP="00EC705C">
    <w:pPr>
      <w:pStyle w:val="Header"/>
      <w:tabs>
        <w:tab w:val="clear" w:pos="4513"/>
        <w:tab w:val="clear" w:pos="9026"/>
        <w:tab w:val="right" w:pos="14040"/>
      </w:tabs>
      <w:rPr>
        <w:noProof/>
      </w:rPr>
    </w:pPr>
    <w:r>
      <w:rPr>
        <w:sz w:val="20"/>
        <w:szCs w:val="20"/>
      </w:rPr>
      <w:t>SC63 Doc.9.2</w:t>
    </w:r>
    <w:sdt>
      <w:sdtPr>
        <w:id w:val="134461106"/>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Pr>
            <w:noProof/>
            <w:sz w:val="20"/>
            <w:szCs w:val="20"/>
          </w:rPr>
          <w:t>4</w:t>
        </w:r>
        <w:r w:rsidRPr="00406F37">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5F76" w14:textId="77777777" w:rsidR="00EE4B6F" w:rsidRDefault="00EE4B6F" w:rsidP="00DF2386">
      <w:r>
        <w:separator/>
      </w:r>
    </w:p>
  </w:footnote>
  <w:footnote w:type="continuationSeparator" w:id="0">
    <w:p w14:paraId="554034E1" w14:textId="77777777" w:rsidR="00EE4B6F" w:rsidRDefault="00EE4B6F" w:rsidP="00DF2386">
      <w:r>
        <w:continuationSeparator/>
      </w:r>
    </w:p>
  </w:footnote>
  <w:footnote w:id="1">
    <w:p w14:paraId="294A8309" w14:textId="6454FC77" w:rsidR="00EE4B6F" w:rsidRDefault="00EE4B6F" w:rsidP="00A81BCB">
      <w:pPr>
        <w:pStyle w:val="FootnoteText"/>
        <w:ind w:left="0" w:firstLine="0"/>
      </w:pPr>
      <w:r>
        <w:rPr>
          <w:rStyle w:val="FootnoteReference"/>
        </w:rPr>
        <w:footnoteRef/>
      </w:r>
      <w:r>
        <w:t xml:space="preserve"> See </w:t>
      </w:r>
      <w:hyperlink r:id="rId1" w:history="1">
        <w:r>
          <w:rPr>
            <w:rStyle w:val="Hyperlink"/>
          </w:rPr>
          <w:t>https://www.ramsar.org/document/convention-wetlands-monthly-status-assessed-contributions</w:t>
        </w:r>
      </w:hyperlink>
      <w:r>
        <w:t xml:space="preserve">; the table is also accessible from </w:t>
      </w:r>
      <w:hyperlink r:id="rId2" w:history="1">
        <w:r>
          <w:rPr>
            <w:rStyle w:val="Hyperlink"/>
          </w:rPr>
          <w:t>https://www.ramsar.org/about/the-secretariat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C30C4E44">
      <w:start w:val="1"/>
      <w:numFmt w:val="decimal"/>
      <w:lvlText w:val="%1."/>
      <w:lvlJc w:val="left"/>
      <w:pPr>
        <w:ind w:left="688" w:hanging="428"/>
        <w:jc w:val="right"/>
      </w:pPr>
      <w:rPr>
        <w:rFonts w:ascii="Arial" w:eastAsia="Arial" w:hAnsi="Arial" w:hint="default"/>
        <w:spacing w:val="-11"/>
        <w:sz w:val="22"/>
        <w:szCs w:val="22"/>
      </w:rPr>
    </w:lvl>
    <w:lvl w:ilvl="1" w:tplc="12721ECE">
      <w:start w:val="1"/>
      <w:numFmt w:val="bullet"/>
      <w:lvlText w:val="•"/>
      <w:lvlJc w:val="left"/>
      <w:pPr>
        <w:ind w:left="970" w:hanging="425"/>
      </w:pPr>
      <w:rPr>
        <w:rFonts w:ascii="Arial" w:eastAsia="Arial" w:hAnsi="Arial" w:hint="default"/>
        <w:sz w:val="22"/>
        <w:szCs w:val="22"/>
      </w:rPr>
    </w:lvl>
    <w:lvl w:ilvl="2" w:tplc="160E8BC4">
      <w:start w:val="1"/>
      <w:numFmt w:val="bullet"/>
      <w:lvlText w:val="•"/>
      <w:lvlJc w:val="left"/>
      <w:pPr>
        <w:ind w:left="970" w:hanging="425"/>
      </w:pPr>
      <w:rPr>
        <w:rFonts w:hint="default"/>
      </w:rPr>
    </w:lvl>
    <w:lvl w:ilvl="3" w:tplc="4FC83C14">
      <w:start w:val="1"/>
      <w:numFmt w:val="bullet"/>
      <w:lvlText w:val="•"/>
      <w:lvlJc w:val="left"/>
      <w:pPr>
        <w:ind w:left="2015" w:hanging="425"/>
      </w:pPr>
      <w:rPr>
        <w:rFonts w:hint="default"/>
      </w:rPr>
    </w:lvl>
    <w:lvl w:ilvl="4" w:tplc="40F0ACA6">
      <w:start w:val="1"/>
      <w:numFmt w:val="bullet"/>
      <w:lvlText w:val="•"/>
      <w:lvlJc w:val="left"/>
      <w:pPr>
        <w:ind w:left="3059" w:hanging="425"/>
      </w:pPr>
      <w:rPr>
        <w:rFonts w:hint="default"/>
      </w:rPr>
    </w:lvl>
    <w:lvl w:ilvl="5" w:tplc="CCFC69E2">
      <w:start w:val="1"/>
      <w:numFmt w:val="bullet"/>
      <w:lvlText w:val="•"/>
      <w:lvlJc w:val="left"/>
      <w:pPr>
        <w:ind w:left="4103" w:hanging="425"/>
      </w:pPr>
      <w:rPr>
        <w:rFonts w:hint="default"/>
      </w:rPr>
    </w:lvl>
    <w:lvl w:ilvl="6" w:tplc="82789E2E">
      <w:start w:val="1"/>
      <w:numFmt w:val="bullet"/>
      <w:lvlText w:val="•"/>
      <w:lvlJc w:val="left"/>
      <w:pPr>
        <w:ind w:left="5147" w:hanging="425"/>
      </w:pPr>
      <w:rPr>
        <w:rFonts w:hint="default"/>
      </w:rPr>
    </w:lvl>
    <w:lvl w:ilvl="7" w:tplc="FB0479D6">
      <w:start w:val="1"/>
      <w:numFmt w:val="bullet"/>
      <w:lvlText w:val="•"/>
      <w:lvlJc w:val="left"/>
      <w:pPr>
        <w:ind w:left="6191" w:hanging="425"/>
      </w:pPr>
      <w:rPr>
        <w:rFonts w:hint="default"/>
      </w:rPr>
    </w:lvl>
    <w:lvl w:ilvl="8" w:tplc="8EFCFDA6">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F0A817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271CC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70BAF9D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1"/>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17"/>
  </w:num>
  <w:num w:numId="14">
    <w:abstractNumId w:val="11"/>
  </w:num>
  <w:num w:numId="15">
    <w:abstractNumId w:val="2"/>
  </w:num>
  <w:num w:numId="16">
    <w:abstractNumId w:val="14"/>
  </w:num>
  <w:num w:numId="17">
    <w:abstractNumId w:val="24"/>
  </w:num>
  <w:num w:numId="18">
    <w:abstractNumId w:val="34"/>
  </w:num>
  <w:num w:numId="19">
    <w:abstractNumId w:val="33"/>
  </w:num>
  <w:num w:numId="20">
    <w:abstractNumId w:val="26"/>
  </w:num>
  <w:num w:numId="21">
    <w:abstractNumId w:val="28"/>
  </w:num>
  <w:num w:numId="22">
    <w:abstractNumId w:val="15"/>
  </w:num>
  <w:num w:numId="23">
    <w:abstractNumId w:val="25"/>
  </w:num>
  <w:num w:numId="24">
    <w:abstractNumId w:val="21"/>
  </w:num>
  <w:num w:numId="25">
    <w:abstractNumId w:val="32"/>
  </w:num>
  <w:num w:numId="26">
    <w:abstractNumId w:val="8"/>
  </w:num>
  <w:num w:numId="27">
    <w:abstractNumId w:val="0"/>
  </w:num>
  <w:num w:numId="28">
    <w:abstractNumId w:val="10"/>
  </w:num>
  <w:num w:numId="29">
    <w:abstractNumId w:val="3"/>
  </w:num>
  <w:num w:numId="30">
    <w:abstractNumId w:val="12"/>
  </w:num>
  <w:num w:numId="31">
    <w:abstractNumId w:val="18"/>
  </w:num>
  <w:num w:numId="32">
    <w:abstractNumId w:val="20"/>
  </w:num>
  <w:num w:numId="33">
    <w:abstractNumId w:val="29"/>
  </w:num>
  <w:num w:numId="34">
    <w:abstractNumId w:val="30"/>
  </w:num>
  <w:num w:numId="35">
    <w:abstractNumId w:val="19"/>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097"/>
    <w:rsid w:val="00000E1B"/>
    <w:rsid w:val="00001D31"/>
    <w:rsid w:val="00003DC3"/>
    <w:rsid w:val="00006D8E"/>
    <w:rsid w:val="00010F8D"/>
    <w:rsid w:val="00014104"/>
    <w:rsid w:val="00014168"/>
    <w:rsid w:val="00014646"/>
    <w:rsid w:val="0001527D"/>
    <w:rsid w:val="00017A16"/>
    <w:rsid w:val="0002051A"/>
    <w:rsid w:val="00022EBD"/>
    <w:rsid w:val="0002320F"/>
    <w:rsid w:val="000264AB"/>
    <w:rsid w:val="00026E09"/>
    <w:rsid w:val="000303E3"/>
    <w:rsid w:val="00032BD7"/>
    <w:rsid w:val="000339C1"/>
    <w:rsid w:val="000355FF"/>
    <w:rsid w:val="00037CE0"/>
    <w:rsid w:val="00045C40"/>
    <w:rsid w:val="00045C67"/>
    <w:rsid w:val="00051089"/>
    <w:rsid w:val="00052702"/>
    <w:rsid w:val="00053929"/>
    <w:rsid w:val="00054CEB"/>
    <w:rsid w:val="0005549B"/>
    <w:rsid w:val="00056A7A"/>
    <w:rsid w:val="00062512"/>
    <w:rsid w:val="000636B5"/>
    <w:rsid w:val="00063B50"/>
    <w:rsid w:val="00064110"/>
    <w:rsid w:val="0007258D"/>
    <w:rsid w:val="00073BC6"/>
    <w:rsid w:val="00074B0E"/>
    <w:rsid w:val="00074DE8"/>
    <w:rsid w:val="000776F6"/>
    <w:rsid w:val="00081120"/>
    <w:rsid w:val="000833BA"/>
    <w:rsid w:val="00086C58"/>
    <w:rsid w:val="000958ED"/>
    <w:rsid w:val="000A050A"/>
    <w:rsid w:val="000A3E3E"/>
    <w:rsid w:val="000A733E"/>
    <w:rsid w:val="000A78B6"/>
    <w:rsid w:val="000B030B"/>
    <w:rsid w:val="000B1804"/>
    <w:rsid w:val="000B5464"/>
    <w:rsid w:val="000B70C4"/>
    <w:rsid w:val="000B7A2B"/>
    <w:rsid w:val="000C2489"/>
    <w:rsid w:val="000C4536"/>
    <w:rsid w:val="000C6028"/>
    <w:rsid w:val="000C64F8"/>
    <w:rsid w:val="000D2999"/>
    <w:rsid w:val="000D369A"/>
    <w:rsid w:val="000D5C76"/>
    <w:rsid w:val="000D7C6F"/>
    <w:rsid w:val="000E02B8"/>
    <w:rsid w:val="000E047B"/>
    <w:rsid w:val="000E0692"/>
    <w:rsid w:val="000E2490"/>
    <w:rsid w:val="000E2FA0"/>
    <w:rsid w:val="000E47B5"/>
    <w:rsid w:val="000E47E9"/>
    <w:rsid w:val="000E6839"/>
    <w:rsid w:val="000E6A7E"/>
    <w:rsid w:val="000E6FFA"/>
    <w:rsid w:val="000F2C0C"/>
    <w:rsid w:val="000F48E2"/>
    <w:rsid w:val="000F6978"/>
    <w:rsid w:val="00102075"/>
    <w:rsid w:val="00103EF9"/>
    <w:rsid w:val="00105420"/>
    <w:rsid w:val="001105FA"/>
    <w:rsid w:val="001136DE"/>
    <w:rsid w:val="00115B96"/>
    <w:rsid w:val="0012096C"/>
    <w:rsid w:val="00120B76"/>
    <w:rsid w:val="0012187A"/>
    <w:rsid w:val="00122C0E"/>
    <w:rsid w:val="00123F8E"/>
    <w:rsid w:val="00124E9A"/>
    <w:rsid w:val="00127385"/>
    <w:rsid w:val="00127828"/>
    <w:rsid w:val="001302F6"/>
    <w:rsid w:val="00133E4E"/>
    <w:rsid w:val="0013507F"/>
    <w:rsid w:val="00143C49"/>
    <w:rsid w:val="00143F53"/>
    <w:rsid w:val="00145088"/>
    <w:rsid w:val="00145541"/>
    <w:rsid w:val="001527E2"/>
    <w:rsid w:val="00161BDA"/>
    <w:rsid w:val="0016536F"/>
    <w:rsid w:val="00165F3B"/>
    <w:rsid w:val="00170AB4"/>
    <w:rsid w:val="00170BDE"/>
    <w:rsid w:val="00171618"/>
    <w:rsid w:val="00173C33"/>
    <w:rsid w:val="0017475B"/>
    <w:rsid w:val="00175181"/>
    <w:rsid w:val="00177904"/>
    <w:rsid w:val="00180710"/>
    <w:rsid w:val="001819B1"/>
    <w:rsid w:val="001837E8"/>
    <w:rsid w:val="00186290"/>
    <w:rsid w:val="00186378"/>
    <w:rsid w:val="001872AE"/>
    <w:rsid w:val="00187A82"/>
    <w:rsid w:val="0019696E"/>
    <w:rsid w:val="0019701A"/>
    <w:rsid w:val="001A2942"/>
    <w:rsid w:val="001A2D10"/>
    <w:rsid w:val="001A79E2"/>
    <w:rsid w:val="001B0C07"/>
    <w:rsid w:val="001B12EE"/>
    <w:rsid w:val="001B48DF"/>
    <w:rsid w:val="001C1724"/>
    <w:rsid w:val="001C2851"/>
    <w:rsid w:val="001C5A10"/>
    <w:rsid w:val="001C5E41"/>
    <w:rsid w:val="001C61DC"/>
    <w:rsid w:val="001C77BC"/>
    <w:rsid w:val="001C7D86"/>
    <w:rsid w:val="001D48BB"/>
    <w:rsid w:val="001D61F9"/>
    <w:rsid w:val="001D6417"/>
    <w:rsid w:val="001D78EF"/>
    <w:rsid w:val="001D7B4E"/>
    <w:rsid w:val="001E00E3"/>
    <w:rsid w:val="001E3C22"/>
    <w:rsid w:val="001E774B"/>
    <w:rsid w:val="001F2349"/>
    <w:rsid w:val="001F350D"/>
    <w:rsid w:val="001F4768"/>
    <w:rsid w:val="002005D2"/>
    <w:rsid w:val="00200A4E"/>
    <w:rsid w:val="002027B6"/>
    <w:rsid w:val="0020298B"/>
    <w:rsid w:val="002044C9"/>
    <w:rsid w:val="00205CC0"/>
    <w:rsid w:val="00206111"/>
    <w:rsid w:val="0021123F"/>
    <w:rsid w:val="00211A70"/>
    <w:rsid w:val="002137E0"/>
    <w:rsid w:val="002142B9"/>
    <w:rsid w:val="00217EA3"/>
    <w:rsid w:val="00223333"/>
    <w:rsid w:val="00225997"/>
    <w:rsid w:val="00233ED6"/>
    <w:rsid w:val="002348CC"/>
    <w:rsid w:val="00234B9C"/>
    <w:rsid w:val="00235E7D"/>
    <w:rsid w:val="00236669"/>
    <w:rsid w:val="00236CB7"/>
    <w:rsid w:val="002412AD"/>
    <w:rsid w:val="00242EDE"/>
    <w:rsid w:val="002514C2"/>
    <w:rsid w:val="00252F9B"/>
    <w:rsid w:val="00256946"/>
    <w:rsid w:val="00262F8B"/>
    <w:rsid w:val="00263CEA"/>
    <w:rsid w:val="00264574"/>
    <w:rsid w:val="00265284"/>
    <w:rsid w:val="002710F2"/>
    <w:rsid w:val="00273686"/>
    <w:rsid w:val="002741AC"/>
    <w:rsid w:val="00275F13"/>
    <w:rsid w:val="002819C0"/>
    <w:rsid w:val="00282923"/>
    <w:rsid w:val="002905E6"/>
    <w:rsid w:val="00292121"/>
    <w:rsid w:val="00294BC8"/>
    <w:rsid w:val="00295556"/>
    <w:rsid w:val="00295BB5"/>
    <w:rsid w:val="00297A1A"/>
    <w:rsid w:val="002A123F"/>
    <w:rsid w:val="002A3078"/>
    <w:rsid w:val="002A4877"/>
    <w:rsid w:val="002A49D9"/>
    <w:rsid w:val="002A5A4D"/>
    <w:rsid w:val="002A5DB3"/>
    <w:rsid w:val="002A64C7"/>
    <w:rsid w:val="002B10EE"/>
    <w:rsid w:val="002B21E1"/>
    <w:rsid w:val="002B4262"/>
    <w:rsid w:val="002B4764"/>
    <w:rsid w:val="002B7028"/>
    <w:rsid w:val="002B74BA"/>
    <w:rsid w:val="002C316A"/>
    <w:rsid w:val="002C3874"/>
    <w:rsid w:val="002C394F"/>
    <w:rsid w:val="002C44B4"/>
    <w:rsid w:val="002C4CD3"/>
    <w:rsid w:val="002C74CE"/>
    <w:rsid w:val="002D2144"/>
    <w:rsid w:val="002D5A4D"/>
    <w:rsid w:val="002D7C2D"/>
    <w:rsid w:val="002E22AF"/>
    <w:rsid w:val="002E25C6"/>
    <w:rsid w:val="002E4F73"/>
    <w:rsid w:val="002E503C"/>
    <w:rsid w:val="002E6CA8"/>
    <w:rsid w:val="002F41C6"/>
    <w:rsid w:val="002F461B"/>
    <w:rsid w:val="002F464D"/>
    <w:rsid w:val="00302602"/>
    <w:rsid w:val="00302F39"/>
    <w:rsid w:val="0030427E"/>
    <w:rsid w:val="003104E6"/>
    <w:rsid w:val="00312FBA"/>
    <w:rsid w:val="00313D40"/>
    <w:rsid w:val="003175F8"/>
    <w:rsid w:val="00324398"/>
    <w:rsid w:val="003300FA"/>
    <w:rsid w:val="00330652"/>
    <w:rsid w:val="00330DD7"/>
    <w:rsid w:val="00332067"/>
    <w:rsid w:val="003329B9"/>
    <w:rsid w:val="00333B20"/>
    <w:rsid w:val="003356A1"/>
    <w:rsid w:val="00335FEC"/>
    <w:rsid w:val="0034030B"/>
    <w:rsid w:val="00340A7C"/>
    <w:rsid w:val="003474F5"/>
    <w:rsid w:val="00354000"/>
    <w:rsid w:val="0035485D"/>
    <w:rsid w:val="00356A6E"/>
    <w:rsid w:val="003602A1"/>
    <w:rsid w:val="00362EA0"/>
    <w:rsid w:val="00363D7D"/>
    <w:rsid w:val="00366A63"/>
    <w:rsid w:val="00367B80"/>
    <w:rsid w:val="003701F3"/>
    <w:rsid w:val="00370D36"/>
    <w:rsid w:val="00372066"/>
    <w:rsid w:val="00373726"/>
    <w:rsid w:val="0037602C"/>
    <w:rsid w:val="00376445"/>
    <w:rsid w:val="0038249A"/>
    <w:rsid w:val="00384C1F"/>
    <w:rsid w:val="00384FC3"/>
    <w:rsid w:val="00385B80"/>
    <w:rsid w:val="003904DC"/>
    <w:rsid w:val="003926C1"/>
    <w:rsid w:val="00392F1F"/>
    <w:rsid w:val="00393FD5"/>
    <w:rsid w:val="003944C2"/>
    <w:rsid w:val="00395744"/>
    <w:rsid w:val="003961A1"/>
    <w:rsid w:val="00396639"/>
    <w:rsid w:val="003A18B7"/>
    <w:rsid w:val="003A2E14"/>
    <w:rsid w:val="003A3804"/>
    <w:rsid w:val="003A52BE"/>
    <w:rsid w:val="003A5866"/>
    <w:rsid w:val="003A6E9F"/>
    <w:rsid w:val="003A7A1D"/>
    <w:rsid w:val="003B1DCD"/>
    <w:rsid w:val="003B2D19"/>
    <w:rsid w:val="003B558E"/>
    <w:rsid w:val="003B5E1F"/>
    <w:rsid w:val="003B74DD"/>
    <w:rsid w:val="003C1C0E"/>
    <w:rsid w:val="003C2238"/>
    <w:rsid w:val="003C58A3"/>
    <w:rsid w:val="003D27CC"/>
    <w:rsid w:val="003D37A3"/>
    <w:rsid w:val="003D4CD6"/>
    <w:rsid w:val="003D7683"/>
    <w:rsid w:val="003E108B"/>
    <w:rsid w:val="003E1960"/>
    <w:rsid w:val="003E38C5"/>
    <w:rsid w:val="003E426C"/>
    <w:rsid w:val="003F1048"/>
    <w:rsid w:val="003F41D1"/>
    <w:rsid w:val="003F5D1D"/>
    <w:rsid w:val="003F6A79"/>
    <w:rsid w:val="00400560"/>
    <w:rsid w:val="00406F37"/>
    <w:rsid w:val="00407789"/>
    <w:rsid w:val="00420183"/>
    <w:rsid w:val="004228C7"/>
    <w:rsid w:val="0042798B"/>
    <w:rsid w:val="004316A3"/>
    <w:rsid w:val="00432E31"/>
    <w:rsid w:val="00434579"/>
    <w:rsid w:val="00434913"/>
    <w:rsid w:val="0043781A"/>
    <w:rsid w:val="004410A9"/>
    <w:rsid w:val="00441D5A"/>
    <w:rsid w:val="00445510"/>
    <w:rsid w:val="00447430"/>
    <w:rsid w:val="004474F8"/>
    <w:rsid w:val="004504FB"/>
    <w:rsid w:val="00450B70"/>
    <w:rsid w:val="004549BA"/>
    <w:rsid w:val="00455ECB"/>
    <w:rsid w:val="0045714B"/>
    <w:rsid w:val="004668FC"/>
    <w:rsid w:val="00466B64"/>
    <w:rsid w:val="004705B3"/>
    <w:rsid w:val="00470EFC"/>
    <w:rsid w:val="00472A3C"/>
    <w:rsid w:val="0047478D"/>
    <w:rsid w:val="00477550"/>
    <w:rsid w:val="0048185B"/>
    <w:rsid w:val="00482457"/>
    <w:rsid w:val="00483585"/>
    <w:rsid w:val="004844A8"/>
    <w:rsid w:val="00485F41"/>
    <w:rsid w:val="00487D70"/>
    <w:rsid w:val="004927F4"/>
    <w:rsid w:val="0049306A"/>
    <w:rsid w:val="00494EE3"/>
    <w:rsid w:val="00496803"/>
    <w:rsid w:val="004A12F8"/>
    <w:rsid w:val="004A14FF"/>
    <w:rsid w:val="004A2BD8"/>
    <w:rsid w:val="004A2BEC"/>
    <w:rsid w:val="004A3550"/>
    <w:rsid w:val="004A471D"/>
    <w:rsid w:val="004A6B49"/>
    <w:rsid w:val="004B1E90"/>
    <w:rsid w:val="004B2FB4"/>
    <w:rsid w:val="004B6688"/>
    <w:rsid w:val="004D5049"/>
    <w:rsid w:val="004D5769"/>
    <w:rsid w:val="004D6C1B"/>
    <w:rsid w:val="004D799B"/>
    <w:rsid w:val="004E1861"/>
    <w:rsid w:val="004F39B1"/>
    <w:rsid w:val="004F47E1"/>
    <w:rsid w:val="004F56AE"/>
    <w:rsid w:val="004F5EC1"/>
    <w:rsid w:val="004F67BC"/>
    <w:rsid w:val="004F7582"/>
    <w:rsid w:val="00500057"/>
    <w:rsid w:val="00501D65"/>
    <w:rsid w:val="0050488F"/>
    <w:rsid w:val="005071F9"/>
    <w:rsid w:val="00510E7B"/>
    <w:rsid w:val="00515416"/>
    <w:rsid w:val="005166E2"/>
    <w:rsid w:val="00520211"/>
    <w:rsid w:val="00520ABE"/>
    <w:rsid w:val="0052143E"/>
    <w:rsid w:val="005244A4"/>
    <w:rsid w:val="00525A15"/>
    <w:rsid w:val="00527783"/>
    <w:rsid w:val="00530889"/>
    <w:rsid w:val="00532215"/>
    <w:rsid w:val="0053626D"/>
    <w:rsid w:val="00536BAB"/>
    <w:rsid w:val="00537C78"/>
    <w:rsid w:val="00541457"/>
    <w:rsid w:val="00542B25"/>
    <w:rsid w:val="005440DC"/>
    <w:rsid w:val="00544D57"/>
    <w:rsid w:val="005470BC"/>
    <w:rsid w:val="0054750F"/>
    <w:rsid w:val="0055060C"/>
    <w:rsid w:val="00556E05"/>
    <w:rsid w:val="00562555"/>
    <w:rsid w:val="00562789"/>
    <w:rsid w:val="00564473"/>
    <w:rsid w:val="00564644"/>
    <w:rsid w:val="0056590A"/>
    <w:rsid w:val="0057022C"/>
    <w:rsid w:val="005704B0"/>
    <w:rsid w:val="00571CC2"/>
    <w:rsid w:val="00575673"/>
    <w:rsid w:val="00576DCE"/>
    <w:rsid w:val="005814B5"/>
    <w:rsid w:val="00586BD4"/>
    <w:rsid w:val="0058757F"/>
    <w:rsid w:val="005904EA"/>
    <w:rsid w:val="00591FFC"/>
    <w:rsid w:val="00594AFE"/>
    <w:rsid w:val="005953C5"/>
    <w:rsid w:val="005A782B"/>
    <w:rsid w:val="005B1C93"/>
    <w:rsid w:val="005B44B0"/>
    <w:rsid w:val="005B450E"/>
    <w:rsid w:val="005C68F1"/>
    <w:rsid w:val="005C7339"/>
    <w:rsid w:val="005C76F8"/>
    <w:rsid w:val="005D073B"/>
    <w:rsid w:val="005D3E9D"/>
    <w:rsid w:val="005E0D25"/>
    <w:rsid w:val="005E3F35"/>
    <w:rsid w:val="005E5BD9"/>
    <w:rsid w:val="005E6D57"/>
    <w:rsid w:val="005F039D"/>
    <w:rsid w:val="005F1C69"/>
    <w:rsid w:val="005F3F7B"/>
    <w:rsid w:val="005F7295"/>
    <w:rsid w:val="00602E60"/>
    <w:rsid w:val="0061090C"/>
    <w:rsid w:val="00612264"/>
    <w:rsid w:val="006154B7"/>
    <w:rsid w:val="0061741B"/>
    <w:rsid w:val="006174C2"/>
    <w:rsid w:val="006202D1"/>
    <w:rsid w:val="00621796"/>
    <w:rsid w:val="00621EF6"/>
    <w:rsid w:val="00623AD2"/>
    <w:rsid w:val="006256D3"/>
    <w:rsid w:val="00626DA0"/>
    <w:rsid w:val="00627BB7"/>
    <w:rsid w:val="006305BF"/>
    <w:rsid w:val="00630A26"/>
    <w:rsid w:val="006313D0"/>
    <w:rsid w:val="00633BFF"/>
    <w:rsid w:val="0063515F"/>
    <w:rsid w:val="00635765"/>
    <w:rsid w:val="00635BC8"/>
    <w:rsid w:val="00635C82"/>
    <w:rsid w:val="0063650F"/>
    <w:rsid w:val="0064120D"/>
    <w:rsid w:val="00643922"/>
    <w:rsid w:val="00644A13"/>
    <w:rsid w:val="00645CE8"/>
    <w:rsid w:val="0065136E"/>
    <w:rsid w:val="00653C4E"/>
    <w:rsid w:val="00657D8F"/>
    <w:rsid w:val="0066095F"/>
    <w:rsid w:val="0066697D"/>
    <w:rsid w:val="006674BC"/>
    <w:rsid w:val="00670D71"/>
    <w:rsid w:val="006711CC"/>
    <w:rsid w:val="00672AD9"/>
    <w:rsid w:val="00673D23"/>
    <w:rsid w:val="0067636F"/>
    <w:rsid w:val="006774F3"/>
    <w:rsid w:val="00677F9D"/>
    <w:rsid w:val="0068550A"/>
    <w:rsid w:val="0068689D"/>
    <w:rsid w:val="0068704C"/>
    <w:rsid w:val="00691A71"/>
    <w:rsid w:val="006958FF"/>
    <w:rsid w:val="00697BEF"/>
    <w:rsid w:val="006A3412"/>
    <w:rsid w:val="006A359E"/>
    <w:rsid w:val="006A3ED5"/>
    <w:rsid w:val="006B0D78"/>
    <w:rsid w:val="006B1B12"/>
    <w:rsid w:val="006B3B75"/>
    <w:rsid w:val="006B3E4D"/>
    <w:rsid w:val="006B69D1"/>
    <w:rsid w:val="006C0EDE"/>
    <w:rsid w:val="006C3C44"/>
    <w:rsid w:val="006C54D5"/>
    <w:rsid w:val="006C5654"/>
    <w:rsid w:val="006D4AA0"/>
    <w:rsid w:val="006D5359"/>
    <w:rsid w:val="006D5E91"/>
    <w:rsid w:val="006E0CAD"/>
    <w:rsid w:val="006E3A2D"/>
    <w:rsid w:val="006E60AF"/>
    <w:rsid w:val="006E60B2"/>
    <w:rsid w:val="006E74AE"/>
    <w:rsid w:val="006E7DCE"/>
    <w:rsid w:val="006F024E"/>
    <w:rsid w:val="006F1066"/>
    <w:rsid w:val="006F293F"/>
    <w:rsid w:val="007007E8"/>
    <w:rsid w:val="007031F1"/>
    <w:rsid w:val="00703A94"/>
    <w:rsid w:val="007050FF"/>
    <w:rsid w:val="00706322"/>
    <w:rsid w:val="00707F4E"/>
    <w:rsid w:val="007120EB"/>
    <w:rsid w:val="00712931"/>
    <w:rsid w:val="00712F14"/>
    <w:rsid w:val="00716CDC"/>
    <w:rsid w:val="007215E3"/>
    <w:rsid w:val="00725600"/>
    <w:rsid w:val="00732A3B"/>
    <w:rsid w:val="007359DE"/>
    <w:rsid w:val="00741B74"/>
    <w:rsid w:val="00744514"/>
    <w:rsid w:val="00744819"/>
    <w:rsid w:val="00745064"/>
    <w:rsid w:val="007457A8"/>
    <w:rsid w:val="0074648B"/>
    <w:rsid w:val="00752764"/>
    <w:rsid w:val="00760D8D"/>
    <w:rsid w:val="0076460A"/>
    <w:rsid w:val="00766879"/>
    <w:rsid w:val="00766962"/>
    <w:rsid w:val="00767F89"/>
    <w:rsid w:val="00771FBC"/>
    <w:rsid w:val="00773BE0"/>
    <w:rsid w:val="00775287"/>
    <w:rsid w:val="00777EE1"/>
    <w:rsid w:val="007804BE"/>
    <w:rsid w:val="00782CFB"/>
    <w:rsid w:val="00783C7A"/>
    <w:rsid w:val="00784896"/>
    <w:rsid w:val="007859CE"/>
    <w:rsid w:val="007904BE"/>
    <w:rsid w:val="007910D5"/>
    <w:rsid w:val="00797FF5"/>
    <w:rsid w:val="007A5AAD"/>
    <w:rsid w:val="007A5FC1"/>
    <w:rsid w:val="007B0696"/>
    <w:rsid w:val="007B2F42"/>
    <w:rsid w:val="007B4BD3"/>
    <w:rsid w:val="007C0F7C"/>
    <w:rsid w:val="007C329F"/>
    <w:rsid w:val="007C32D3"/>
    <w:rsid w:val="007C5D26"/>
    <w:rsid w:val="007D207F"/>
    <w:rsid w:val="007D33F4"/>
    <w:rsid w:val="007D621E"/>
    <w:rsid w:val="007E3A53"/>
    <w:rsid w:val="007E486D"/>
    <w:rsid w:val="007E6771"/>
    <w:rsid w:val="007E7EF5"/>
    <w:rsid w:val="007F3ABE"/>
    <w:rsid w:val="007F4CAA"/>
    <w:rsid w:val="007F5E38"/>
    <w:rsid w:val="007F78F1"/>
    <w:rsid w:val="007F7E18"/>
    <w:rsid w:val="00800D7C"/>
    <w:rsid w:val="008013B0"/>
    <w:rsid w:val="00801FCA"/>
    <w:rsid w:val="0080200D"/>
    <w:rsid w:val="00811503"/>
    <w:rsid w:val="00821458"/>
    <w:rsid w:val="0082371B"/>
    <w:rsid w:val="008246D8"/>
    <w:rsid w:val="00824762"/>
    <w:rsid w:val="008328E9"/>
    <w:rsid w:val="00835170"/>
    <w:rsid w:val="0083596A"/>
    <w:rsid w:val="00835BCB"/>
    <w:rsid w:val="00835CDC"/>
    <w:rsid w:val="008427DA"/>
    <w:rsid w:val="00846EBB"/>
    <w:rsid w:val="00847BB3"/>
    <w:rsid w:val="00847D11"/>
    <w:rsid w:val="008503B5"/>
    <w:rsid w:val="00850B09"/>
    <w:rsid w:val="00851934"/>
    <w:rsid w:val="00852A37"/>
    <w:rsid w:val="00855451"/>
    <w:rsid w:val="00855456"/>
    <w:rsid w:val="00862A2B"/>
    <w:rsid w:val="00863B9D"/>
    <w:rsid w:val="00863BE6"/>
    <w:rsid w:val="00863FB4"/>
    <w:rsid w:val="00865C09"/>
    <w:rsid w:val="00866005"/>
    <w:rsid w:val="00866F7A"/>
    <w:rsid w:val="00867596"/>
    <w:rsid w:val="00875511"/>
    <w:rsid w:val="008775BC"/>
    <w:rsid w:val="00877729"/>
    <w:rsid w:val="00880BF6"/>
    <w:rsid w:val="00882F1B"/>
    <w:rsid w:val="00891737"/>
    <w:rsid w:val="0089531A"/>
    <w:rsid w:val="008A1CFF"/>
    <w:rsid w:val="008A5384"/>
    <w:rsid w:val="008A53B5"/>
    <w:rsid w:val="008A5B05"/>
    <w:rsid w:val="008A70CE"/>
    <w:rsid w:val="008B4237"/>
    <w:rsid w:val="008C0C92"/>
    <w:rsid w:val="008C1309"/>
    <w:rsid w:val="008C1B35"/>
    <w:rsid w:val="008C25E4"/>
    <w:rsid w:val="008C2744"/>
    <w:rsid w:val="008C2DAE"/>
    <w:rsid w:val="008C5962"/>
    <w:rsid w:val="008D05EC"/>
    <w:rsid w:val="008D339E"/>
    <w:rsid w:val="008D453E"/>
    <w:rsid w:val="008D47FD"/>
    <w:rsid w:val="008E14F6"/>
    <w:rsid w:val="008E178B"/>
    <w:rsid w:val="008E2BCA"/>
    <w:rsid w:val="008E33F4"/>
    <w:rsid w:val="008E4CE6"/>
    <w:rsid w:val="008E6F86"/>
    <w:rsid w:val="008F436F"/>
    <w:rsid w:val="00900357"/>
    <w:rsid w:val="0090050A"/>
    <w:rsid w:val="0090207C"/>
    <w:rsid w:val="00904474"/>
    <w:rsid w:val="009055A1"/>
    <w:rsid w:val="009059A9"/>
    <w:rsid w:val="0090604A"/>
    <w:rsid w:val="00906C5C"/>
    <w:rsid w:val="00912031"/>
    <w:rsid w:val="0091539C"/>
    <w:rsid w:val="00922C65"/>
    <w:rsid w:val="00923DB5"/>
    <w:rsid w:val="00924861"/>
    <w:rsid w:val="0092515E"/>
    <w:rsid w:val="0093048B"/>
    <w:rsid w:val="009346D4"/>
    <w:rsid w:val="00934C8F"/>
    <w:rsid w:val="00940CAF"/>
    <w:rsid w:val="009413A3"/>
    <w:rsid w:val="009417F9"/>
    <w:rsid w:val="00942FBD"/>
    <w:rsid w:val="00946C01"/>
    <w:rsid w:val="0094770B"/>
    <w:rsid w:val="00951341"/>
    <w:rsid w:val="00951FE9"/>
    <w:rsid w:val="00952B54"/>
    <w:rsid w:val="00953963"/>
    <w:rsid w:val="009618BB"/>
    <w:rsid w:val="00970BC8"/>
    <w:rsid w:val="009814E1"/>
    <w:rsid w:val="009825D5"/>
    <w:rsid w:val="00985159"/>
    <w:rsid w:val="00985C26"/>
    <w:rsid w:val="00986C48"/>
    <w:rsid w:val="00993460"/>
    <w:rsid w:val="009954C9"/>
    <w:rsid w:val="00996F18"/>
    <w:rsid w:val="009A0B44"/>
    <w:rsid w:val="009A2761"/>
    <w:rsid w:val="009A5778"/>
    <w:rsid w:val="009A63CE"/>
    <w:rsid w:val="009B2267"/>
    <w:rsid w:val="009B232B"/>
    <w:rsid w:val="009B25B5"/>
    <w:rsid w:val="009B57BB"/>
    <w:rsid w:val="009C0E3D"/>
    <w:rsid w:val="009D149F"/>
    <w:rsid w:val="009D37F4"/>
    <w:rsid w:val="009E0AE8"/>
    <w:rsid w:val="009E4907"/>
    <w:rsid w:val="009E5374"/>
    <w:rsid w:val="009F1791"/>
    <w:rsid w:val="009F2CD3"/>
    <w:rsid w:val="009F345D"/>
    <w:rsid w:val="009F4EE9"/>
    <w:rsid w:val="00A02847"/>
    <w:rsid w:val="00A038F7"/>
    <w:rsid w:val="00A03B7B"/>
    <w:rsid w:val="00A13218"/>
    <w:rsid w:val="00A2039E"/>
    <w:rsid w:val="00A227A3"/>
    <w:rsid w:val="00A2471C"/>
    <w:rsid w:val="00A25480"/>
    <w:rsid w:val="00A272FF"/>
    <w:rsid w:val="00A31AD8"/>
    <w:rsid w:val="00A33DA4"/>
    <w:rsid w:val="00A35983"/>
    <w:rsid w:val="00A36108"/>
    <w:rsid w:val="00A3612F"/>
    <w:rsid w:val="00A37ECB"/>
    <w:rsid w:val="00A44BCC"/>
    <w:rsid w:val="00A45BAB"/>
    <w:rsid w:val="00A510E8"/>
    <w:rsid w:val="00A530F2"/>
    <w:rsid w:val="00A60AD7"/>
    <w:rsid w:val="00A60B73"/>
    <w:rsid w:val="00A652D2"/>
    <w:rsid w:val="00A704F1"/>
    <w:rsid w:val="00A70EC8"/>
    <w:rsid w:val="00A72FE1"/>
    <w:rsid w:val="00A74F08"/>
    <w:rsid w:val="00A75054"/>
    <w:rsid w:val="00A80080"/>
    <w:rsid w:val="00A81345"/>
    <w:rsid w:val="00A81444"/>
    <w:rsid w:val="00A81BCB"/>
    <w:rsid w:val="00A82C58"/>
    <w:rsid w:val="00A847C1"/>
    <w:rsid w:val="00A86FE6"/>
    <w:rsid w:val="00A9484F"/>
    <w:rsid w:val="00A95BAC"/>
    <w:rsid w:val="00A96D52"/>
    <w:rsid w:val="00AA5053"/>
    <w:rsid w:val="00AA6157"/>
    <w:rsid w:val="00AA634C"/>
    <w:rsid w:val="00AB040E"/>
    <w:rsid w:val="00AB0844"/>
    <w:rsid w:val="00AB1C0C"/>
    <w:rsid w:val="00AB1CD8"/>
    <w:rsid w:val="00AB4951"/>
    <w:rsid w:val="00AB6F7A"/>
    <w:rsid w:val="00AC3EB8"/>
    <w:rsid w:val="00AC4287"/>
    <w:rsid w:val="00AC457A"/>
    <w:rsid w:val="00AC49AE"/>
    <w:rsid w:val="00AC5C98"/>
    <w:rsid w:val="00AC7707"/>
    <w:rsid w:val="00AD11ED"/>
    <w:rsid w:val="00AD1EDC"/>
    <w:rsid w:val="00AD237F"/>
    <w:rsid w:val="00AD2B05"/>
    <w:rsid w:val="00AD53FB"/>
    <w:rsid w:val="00AE281A"/>
    <w:rsid w:val="00AE368F"/>
    <w:rsid w:val="00AE6F06"/>
    <w:rsid w:val="00AF27FB"/>
    <w:rsid w:val="00AF2825"/>
    <w:rsid w:val="00AF3968"/>
    <w:rsid w:val="00AF4CE0"/>
    <w:rsid w:val="00AF792F"/>
    <w:rsid w:val="00B0332F"/>
    <w:rsid w:val="00B07E37"/>
    <w:rsid w:val="00B102B5"/>
    <w:rsid w:val="00B13DB5"/>
    <w:rsid w:val="00B14613"/>
    <w:rsid w:val="00B1555F"/>
    <w:rsid w:val="00B17F54"/>
    <w:rsid w:val="00B215BF"/>
    <w:rsid w:val="00B251F4"/>
    <w:rsid w:val="00B27D86"/>
    <w:rsid w:val="00B315A0"/>
    <w:rsid w:val="00B32CF1"/>
    <w:rsid w:val="00B33127"/>
    <w:rsid w:val="00B34A18"/>
    <w:rsid w:val="00B36B99"/>
    <w:rsid w:val="00B4071B"/>
    <w:rsid w:val="00B416B8"/>
    <w:rsid w:val="00B427C9"/>
    <w:rsid w:val="00B435E1"/>
    <w:rsid w:val="00B468CE"/>
    <w:rsid w:val="00B5161B"/>
    <w:rsid w:val="00B51B94"/>
    <w:rsid w:val="00B53447"/>
    <w:rsid w:val="00B54BD8"/>
    <w:rsid w:val="00B56CCA"/>
    <w:rsid w:val="00B579CB"/>
    <w:rsid w:val="00B626CD"/>
    <w:rsid w:val="00B65B8E"/>
    <w:rsid w:val="00B666FB"/>
    <w:rsid w:val="00B70083"/>
    <w:rsid w:val="00B710DC"/>
    <w:rsid w:val="00B7121E"/>
    <w:rsid w:val="00B71614"/>
    <w:rsid w:val="00B76588"/>
    <w:rsid w:val="00B77566"/>
    <w:rsid w:val="00B83CC2"/>
    <w:rsid w:val="00B852EA"/>
    <w:rsid w:val="00B85F6A"/>
    <w:rsid w:val="00B908BF"/>
    <w:rsid w:val="00B9118D"/>
    <w:rsid w:val="00B91FD6"/>
    <w:rsid w:val="00B936AA"/>
    <w:rsid w:val="00B93EF5"/>
    <w:rsid w:val="00B94EEA"/>
    <w:rsid w:val="00BA4BE1"/>
    <w:rsid w:val="00BA4FBD"/>
    <w:rsid w:val="00BA5F32"/>
    <w:rsid w:val="00BA711D"/>
    <w:rsid w:val="00BB1A63"/>
    <w:rsid w:val="00BB28F6"/>
    <w:rsid w:val="00BB443C"/>
    <w:rsid w:val="00BB461A"/>
    <w:rsid w:val="00BB5322"/>
    <w:rsid w:val="00BB6867"/>
    <w:rsid w:val="00BC227D"/>
    <w:rsid w:val="00BC2609"/>
    <w:rsid w:val="00BC3F98"/>
    <w:rsid w:val="00BD5E13"/>
    <w:rsid w:val="00BD6C7B"/>
    <w:rsid w:val="00BE241D"/>
    <w:rsid w:val="00BE2682"/>
    <w:rsid w:val="00BE55E4"/>
    <w:rsid w:val="00BE5EAA"/>
    <w:rsid w:val="00BE6696"/>
    <w:rsid w:val="00BF0EBE"/>
    <w:rsid w:val="00BF3831"/>
    <w:rsid w:val="00BF76A0"/>
    <w:rsid w:val="00C02503"/>
    <w:rsid w:val="00C0276C"/>
    <w:rsid w:val="00C02E3D"/>
    <w:rsid w:val="00C041F3"/>
    <w:rsid w:val="00C05307"/>
    <w:rsid w:val="00C07843"/>
    <w:rsid w:val="00C12A76"/>
    <w:rsid w:val="00C13145"/>
    <w:rsid w:val="00C13DFB"/>
    <w:rsid w:val="00C14F96"/>
    <w:rsid w:val="00C15542"/>
    <w:rsid w:val="00C216CB"/>
    <w:rsid w:val="00C21FDE"/>
    <w:rsid w:val="00C31676"/>
    <w:rsid w:val="00C3223E"/>
    <w:rsid w:val="00C34B68"/>
    <w:rsid w:val="00C368D2"/>
    <w:rsid w:val="00C36ED2"/>
    <w:rsid w:val="00C40DCF"/>
    <w:rsid w:val="00C43D0C"/>
    <w:rsid w:val="00C45236"/>
    <w:rsid w:val="00C45D78"/>
    <w:rsid w:val="00C515A9"/>
    <w:rsid w:val="00C52EE5"/>
    <w:rsid w:val="00C54AA5"/>
    <w:rsid w:val="00C56839"/>
    <w:rsid w:val="00C7020B"/>
    <w:rsid w:val="00C729CE"/>
    <w:rsid w:val="00C738A6"/>
    <w:rsid w:val="00C81396"/>
    <w:rsid w:val="00C81D5A"/>
    <w:rsid w:val="00C84F29"/>
    <w:rsid w:val="00C86A1F"/>
    <w:rsid w:val="00C96693"/>
    <w:rsid w:val="00C9769D"/>
    <w:rsid w:val="00CA54C1"/>
    <w:rsid w:val="00CA6594"/>
    <w:rsid w:val="00CB64B6"/>
    <w:rsid w:val="00CC1EB3"/>
    <w:rsid w:val="00CD03A4"/>
    <w:rsid w:val="00CD1716"/>
    <w:rsid w:val="00CD1741"/>
    <w:rsid w:val="00CD1946"/>
    <w:rsid w:val="00CD4371"/>
    <w:rsid w:val="00CD6459"/>
    <w:rsid w:val="00CD64D1"/>
    <w:rsid w:val="00CE0665"/>
    <w:rsid w:val="00CE4793"/>
    <w:rsid w:val="00CE750F"/>
    <w:rsid w:val="00CE7F6C"/>
    <w:rsid w:val="00CF0538"/>
    <w:rsid w:val="00CF2A82"/>
    <w:rsid w:val="00CF2C45"/>
    <w:rsid w:val="00CF3D64"/>
    <w:rsid w:val="00CF5D17"/>
    <w:rsid w:val="00D00117"/>
    <w:rsid w:val="00D00F7F"/>
    <w:rsid w:val="00D03291"/>
    <w:rsid w:val="00D0652E"/>
    <w:rsid w:val="00D111A9"/>
    <w:rsid w:val="00D128DB"/>
    <w:rsid w:val="00D15D8B"/>
    <w:rsid w:val="00D160CB"/>
    <w:rsid w:val="00D1615B"/>
    <w:rsid w:val="00D16C99"/>
    <w:rsid w:val="00D245A1"/>
    <w:rsid w:val="00D24648"/>
    <w:rsid w:val="00D24935"/>
    <w:rsid w:val="00D26D7C"/>
    <w:rsid w:val="00D27DD6"/>
    <w:rsid w:val="00D327F0"/>
    <w:rsid w:val="00D336C4"/>
    <w:rsid w:val="00D4106E"/>
    <w:rsid w:val="00D415E2"/>
    <w:rsid w:val="00D41E98"/>
    <w:rsid w:val="00D42055"/>
    <w:rsid w:val="00D504A1"/>
    <w:rsid w:val="00D573C5"/>
    <w:rsid w:val="00D647C3"/>
    <w:rsid w:val="00D6489A"/>
    <w:rsid w:val="00D663C6"/>
    <w:rsid w:val="00D7015C"/>
    <w:rsid w:val="00D73323"/>
    <w:rsid w:val="00D77C51"/>
    <w:rsid w:val="00D80828"/>
    <w:rsid w:val="00D80AE2"/>
    <w:rsid w:val="00D814B0"/>
    <w:rsid w:val="00D819C2"/>
    <w:rsid w:val="00D81FEC"/>
    <w:rsid w:val="00D82896"/>
    <w:rsid w:val="00D9234E"/>
    <w:rsid w:val="00D95711"/>
    <w:rsid w:val="00D9633A"/>
    <w:rsid w:val="00DA15E5"/>
    <w:rsid w:val="00DA602E"/>
    <w:rsid w:val="00DA641B"/>
    <w:rsid w:val="00DB38CC"/>
    <w:rsid w:val="00DB4623"/>
    <w:rsid w:val="00DB7498"/>
    <w:rsid w:val="00DB77D6"/>
    <w:rsid w:val="00DB7C87"/>
    <w:rsid w:val="00DC56EF"/>
    <w:rsid w:val="00DD7431"/>
    <w:rsid w:val="00DE0794"/>
    <w:rsid w:val="00DE494E"/>
    <w:rsid w:val="00DE6781"/>
    <w:rsid w:val="00DF2386"/>
    <w:rsid w:val="00DF35C0"/>
    <w:rsid w:val="00DF43E8"/>
    <w:rsid w:val="00DF7CA2"/>
    <w:rsid w:val="00DF7FE7"/>
    <w:rsid w:val="00E037C0"/>
    <w:rsid w:val="00E166D0"/>
    <w:rsid w:val="00E16A55"/>
    <w:rsid w:val="00E17566"/>
    <w:rsid w:val="00E25008"/>
    <w:rsid w:val="00E26ED0"/>
    <w:rsid w:val="00E3217E"/>
    <w:rsid w:val="00E33651"/>
    <w:rsid w:val="00E33ED2"/>
    <w:rsid w:val="00E34C36"/>
    <w:rsid w:val="00E36AEE"/>
    <w:rsid w:val="00E414B2"/>
    <w:rsid w:val="00E414F3"/>
    <w:rsid w:val="00E4239D"/>
    <w:rsid w:val="00E44127"/>
    <w:rsid w:val="00E46367"/>
    <w:rsid w:val="00E535A8"/>
    <w:rsid w:val="00E559B4"/>
    <w:rsid w:val="00E57D75"/>
    <w:rsid w:val="00E618D6"/>
    <w:rsid w:val="00E6269A"/>
    <w:rsid w:val="00E6375B"/>
    <w:rsid w:val="00E63C59"/>
    <w:rsid w:val="00E63F0B"/>
    <w:rsid w:val="00E70DAB"/>
    <w:rsid w:val="00E71BF3"/>
    <w:rsid w:val="00E72B5C"/>
    <w:rsid w:val="00E7567C"/>
    <w:rsid w:val="00E76250"/>
    <w:rsid w:val="00E7785F"/>
    <w:rsid w:val="00E81F71"/>
    <w:rsid w:val="00E822CB"/>
    <w:rsid w:val="00E84B8C"/>
    <w:rsid w:val="00E858F5"/>
    <w:rsid w:val="00E90249"/>
    <w:rsid w:val="00E93A5B"/>
    <w:rsid w:val="00E9720D"/>
    <w:rsid w:val="00EA3A7F"/>
    <w:rsid w:val="00EA40AD"/>
    <w:rsid w:val="00EA4BF9"/>
    <w:rsid w:val="00EB0D7B"/>
    <w:rsid w:val="00EB475E"/>
    <w:rsid w:val="00EC0DC4"/>
    <w:rsid w:val="00EC5CAD"/>
    <w:rsid w:val="00EC705C"/>
    <w:rsid w:val="00ED2A95"/>
    <w:rsid w:val="00ED3E43"/>
    <w:rsid w:val="00ED3F1A"/>
    <w:rsid w:val="00ED51C5"/>
    <w:rsid w:val="00ED569A"/>
    <w:rsid w:val="00EE1D43"/>
    <w:rsid w:val="00EE35F9"/>
    <w:rsid w:val="00EE40BE"/>
    <w:rsid w:val="00EE4B6F"/>
    <w:rsid w:val="00EF2A68"/>
    <w:rsid w:val="00F029C8"/>
    <w:rsid w:val="00F02E6E"/>
    <w:rsid w:val="00F0597E"/>
    <w:rsid w:val="00F06972"/>
    <w:rsid w:val="00F078F1"/>
    <w:rsid w:val="00F109E7"/>
    <w:rsid w:val="00F1191B"/>
    <w:rsid w:val="00F13D9B"/>
    <w:rsid w:val="00F163C1"/>
    <w:rsid w:val="00F167D7"/>
    <w:rsid w:val="00F240FC"/>
    <w:rsid w:val="00F26289"/>
    <w:rsid w:val="00F2681C"/>
    <w:rsid w:val="00F26FD2"/>
    <w:rsid w:val="00F30F61"/>
    <w:rsid w:val="00F322C9"/>
    <w:rsid w:val="00F32D03"/>
    <w:rsid w:val="00F33E0C"/>
    <w:rsid w:val="00F344DE"/>
    <w:rsid w:val="00F3632B"/>
    <w:rsid w:val="00F46056"/>
    <w:rsid w:val="00F513BB"/>
    <w:rsid w:val="00F51F92"/>
    <w:rsid w:val="00F53B81"/>
    <w:rsid w:val="00F54608"/>
    <w:rsid w:val="00F54FBD"/>
    <w:rsid w:val="00F62F3C"/>
    <w:rsid w:val="00F715D9"/>
    <w:rsid w:val="00F71B94"/>
    <w:rsid w:val="00F73E71"/>
    <w:rsid w:val="00F7459E"/>
    <w:rsid w:val="00F8122A"/>
    <w:rsid w:val="00F82AA3"/>
    <w:rsid w:val="00F848A7"/>
    <w:rsid w:val="00F86426"/>
    <w:rsid w:val="00F87D83"/>
    <w:rsid w:val="00F9198B"/>
    <w:rsid w:val="00F96F42"/>
    <w:rsid w:val="00F97C8F"/>
    <w:rsid w:val="00FA0FDD"/>
    <w:rsid w:val="00FA2641"/>
    <w:rsid w:val="00FA361D"/>
    <w:rsid w:val="00FA3669"/>
    <w:rsid w:val="00FA5A1B"/>
    <w:rsid w:val="00FA6057"/>
    <w:rsid w:val="00FA6E78"/>
    <w:rsid w:val="00FB17B0"/>
    <w:rsid w:val="00FB187E"/>
    <w:rsid w:val="00FB1F5A"/>
    <w:rsid w:val="00FB3F6B"/>
    <w:rsid w:val="00FB7002"/>
    <w:rsid w:val="00FC773D"/>
    <w:rsid w:val="00FD14E2"/>
    <w:rsid w:val="00FD280C"/>
    <w:rsid w:val="00FE0365"/>
    <w:rsid w:val="00FE211B"/>
    <w:rsid w:val="00FF0468"/>
    <w:rsid w:val="00FF0CE5"/>
    <w:rsid w:val="00FF206F"/>
    <w:rsid w:val="00FF400D"/>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56A950E7"/>
  <w15:docId w15:val="{39947197-4C44-4DD1-8E91-A5B8526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D1615B"/>
    <w:rPr>
      <w:rFonts w:ascii="Arial" w:eastAsia="Arial" w:hAnsi="Arial"/>
      <w:lang w:val="en-U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styleId="PlainTable1">
    <w:name w:val="Plain Table 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62EA0"/>
    <w:rPr>
      <w:color w:val="605E5C"/>
      <w:shd w:val="clear" w:color="auto" w:fill="E1DFDD"/>
    </w:rPr>
  </w:style>
  <w:style w:type="table" w:styleId="GridTable2-Accent1">
    <w:name w:val="Grid Table 2 Accent 1"/>
    <w:basedOn w:val="TableNormal"/>
    <w:uiPriority w:val="47"/>
    <w:rsid w:val="00BF0EBE"/>
    <w:rPr>
      <w:rFonts w:eastAsia="Calibr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006D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91737"/>
    <w:rPr>
      <w:color w:val="605E5C"/>
      <w:shd w:val="clear" w:color="auto" w:fill="E1DFDD"/>
    </w:rPr>
  </w:style>
  <w:style w:type="paragraph" w:styleId="NormalWeb">
    <w:name w:val="Normal (Web)"/>
    <w:basedOn w:val="Normal"/>
    <w:uiPriority w:val="99"/>
    <w:semiHidden/>
    <w:unhideWhenUsed/>
    <w:rsid w:val="00E90249"/>
    <w:pPr>
      <w:spacing w:before="100" w:beforeAutospacing="1" w:after="100" w:afterAutospacing="1"/>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2924">
      <w:bodyDiv w:val="1"/>
      <w:marLeft w:val="0"/>
      <w:marRight w:val="0"/>
      <w:marTop w:val="0"/>
      <w:marBottom w:val="0"/>
      <w:divBdr>
        <w:top w:val="none" w:sz="0" w:space="0" w:color="auto"/>
        <w:left w:val="none" w:sz="0" w:space="0" w:color="auto"/>
        <w:bottom w:val="none" w:sz="0" w:space="0" w:color="auto"/>
        <w:right w:val="none" w:sz="0" w:space="0" w:color="auto"/>
      </w:divBdr>
    </w:div>
    <w:div w:id="126247699">
      <w:bodyDiv w:val="1"/>
      <w:marLeft w:val="0"/>
      <w:marRight w:val="0"/>
      <w:marTop w:val="0"/>
      <w:marBottom w:val="0"/>
      <w:divBdr>
        <w:top w:val="none" w:sz="0" w:space="0" w:color="auto"/>
        <w:left w:val="none" w:sz="0" w:space="0" w:color="auto"/>
        <w:bottom w:val="none" w:sz="0" w:space="0" w:color="auto"/>
        <w:right w:val="none" w:sz="0" w:space="0" w:color="auto"/>
      </w:divBdr>
    </w:div>
    <w:div w:id="18147584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0426396">
      <w:bodyDiv w:val="1"/>
      <w:marLeft w:val="0"/>
      <w:marRight w:val="0"/>
      <w:marTop w:val="0"/>
      <w:marBottom w:val="0"/>
      <w:divBdr>
        <w:top w:val="none" w:sz="0" w:space="0" w:color="auto"/>
        <w:left w:val="none" w:sz="0" w:space="0" w:color="auto"/>
        <w:bottom w:val="none" w:sz="0" w:space="0" w:color="auto"/>
        <w:right w:val="none" w:sz="0" w:space="0" w:color="auto"/>
      </w:divBdr>
    </w:div>
    <w:div w:id="333654395">
      <w:bodyDiv w:val="1"/>
      <w:marLeft w:val="0"/>
      <w:marRight w:val="0"/>
      <w:marTop w:val="0"/>
      <w:marBottom w:val="0"/>
      <w:divBdr>
        <w:top w:val="none" w:sz="0" w:space="0" w:color="auto"/>
        <w:left w:val="none" w:sz="0" w:space="0" w:color="auto"/>
        <w:bottom w:val="none" w:sz="0" w:space="0" w:color="auto"/>
        <w:right w:val="none" w:sz="0" w:space="0" w:color="auto"/>
      </w:divBdr>
    </w:div>
    <w:div w:id="391731961">
      <w:bodyDiv w:val="1"/>
      <w:marLeft w:val="0"/>
      <w:marRight w:val="0"/>
      <w:marTop w:val="0"/>
      <w:marBottom w:val="0"/>
      <w:divBdr>
        <w:top w:val="none" w:sz="0" w:space="0" w:color="auto"/>
        <w:left w:val="none" w:sz="0" w:space="0" w:color="auto"/>
        <w:bottom w:val="none" w:sz="0" w:space="0" w:color="auto"/>
        <w:right w:val="none" w:sz="0" w:space="0" w:color="auto"/>
      </w:divBdr>
    </w:div>
    <w:div w:id="565262877">
      <w:bodyDiv w:val="1"/>
      <w:marLeft w:val="0"/>
      <w:marRight w:val="0"/>
      <w:marTop w:val="0"/>
      <w:marBottom w:val="0"/>
      <w:divBdr>
        <w:top w:val="none" w:sz="0" w:space="0" w:color="auto"/>
        <w:left w:val="none" w:sz="0" w:space="0" w:color="auto"/>
        <w:bottom w:val="none" w:sz="0" w:space="0" w:color="auto"/>
        <w:right w:val="none" w:sz="0" w:space="0" w:color="auto"/>
      </w:divBdr>
    </w:div>
    <w:div w:id="646907607">
      <w:bodyDiv w:val="1"/>
      <w:marLeft w:val="0"/>
      <w:marRight w:val="0"/>
      <w:marTop w:val="0"/>
      <w:marBottom w:val="0"/>
      <w:divBdr>
        <w:top w:val="none" w:sz="0" w:space="0" w:color="auto"/>
        <w:left w:val="none" w:sz="0" w:space="0" w:color="auto"/>
        <w:bottom w:val="none" w:sz="0" w:space="0" w:color="auto"/>
        <w:right w:val="none" w:sz="0" w:space="0" w:color="auto"/>
      </w:divBdr>
    </w:div>
    <w:div w:id="809445716">
      <w:bodyDiv w:val="1"/>
      <w:marLeft w:val="0"/>
      <w:marRight w:val="0"/>
      <w:marTop w:val="0"/>
      <w:marBottom w:val="0"/>
      <w:divBdr>
        <w:top w:val="none" w:sz="0" w:space="0" w:color="auto"/>
        <w:left w:val="none" w:sz="0" w:space="0" w:color="auto"/>
        <w:bottom w:val="none" w:sz="0" w:space="0" w:color="auto"/>
        <w:right w:val="none" w:sz="0" w:space="0" w:color="auto"/>
      </w:divBdr>
    </w:div>
    <w:div w:id="865751162">
      <w:bodyDiv w:val="1"/>
      <w:marLeft w:val="0"/>
      <w:marRight w:val="0"/>
      <w:marTop w:val="0"/>
      <w:marBottom w:val="0"/>
      <w:divBdr>
        <w:top w:val="none" w:sz="0" w:space="0" w:color="auto"/>
        <w:left w:val="none" w:sz="0" w:space="0" w:color="auto"/>
        <w:bottom w:val="none" w:sz="0" w:space="0" w:color="auto"/>
        <w:right w:val="none" w:sz="0" w:space="0" w:color="auto"/>
      </w:divBdr>
    </w:div>
    <w:div w:id="894437179">
      <w:bodyDiv w:val="1"/>
      <w:marLeft w:val="0"/>
      <w:marRight w:val="0"/>
      <w:marTop w:val="0"/>
      <w:marBottom w:val="0"/>
      <w:divBdr>
        <w:top w:val="none" w:sz="0" w:space="0" w:color="auto"/>
        <w:left w:val="none" w:sz="0" w:space="0" w:color="auto"/>
        <w:bottom w:val="none" w:sz="0" w:space="0" w:color="auto"/>
        <w:right w:val="none" w:sz="0" w:space="0" w:color="auto"/>
      </w:divBdr>
    </w:div>
    <w:div w:id="910047260">
      <w:bodyDiv w:val="1"/>
      <w:marLeft w:val="0"/>
      <w:marRight w:val="0"/>
      <w:marTop w:val="0"/>
      <w:marBottom w:val="0"/>
      <w:divBdr>
        <w:top w:val="none" w:sz="0" w:space="0" w:color="auto"/>
        <w:left w:val="none" w:sz="0" w:space="0" w:color="auto"/>
        <w:bottom w:val="none" w:sz="0" w:space="0" w:color="auto"/>
        <w:right w:val="none" w:sz="0" w:space="0" w:color="auto"/>
      </w:divBdr>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
    <w:div w:id="1151755220">
      <w:bodyDiv w:val="1"/>
      <w:marLeft w:val="0"/>
      <w:marRight w:val="0"/>
      <w:marTop w:val="0"/>
      <w:marBottom w:val="0"/>
      <w:divBdr>
        <w:top w:val="none" w:sz="0" w:space="0" w:color="auto"/>
        <w:left w:val="none" w:sz="0" w:space="0" w:color="auto"/>
        <w:bottom w:val="none" w:sz="0" w:space="0" w:color="auto"/>
        <w:right w:val="none" w:sz="0" w:space="0" w:color="auto"/>
      </w:divBdr>
    </w:div>
    <w:div w:id="1335185269">
      <w:bodyDiv w:val="1"/>
      <w:marLeft w:val="0"/>
      <w:marRight w:val="0"/>
      <w:marTop w:val="0"/>
      <w:marBottom w:val="0"/>
      <w:divBdr>
        <w:top w:val="none" w:sz="0" w:space="0" w:color="auto"/>
        <w:left w:val="none" w:sz="0" w:space="0" w:color="auto"/>
        <w:bottom w:val="none" w:sz="0" w:space="0" w:color="auto"/>
        <w:right w:val="none" w:sz="0" w:space="0" w:color="auto"/>
      </w:divBdr>
    </w:div>
    <w:div w:id="1536850305">
      <w:bodyDiv w:val="1"/>
      <w:marLeft w:val="0"/>
      <w:marRight w:val="0"/>
      <w:marTop w:val="0"/>
      <w:marBottom w:val="0"/>
      <w:divBdr>
        <w:top w:val="none" w:sz="0" w:space="0" w:color="auto"/>
        <w:left w:val="none" w:sz="0" w:space="0" w:color="auto"/>
        <w:bottom w:val="none" w:sz="0" w:space="0" w:color="auto"/>
        <w:right w:val="none" w:sz="0" w:space="0" w:color="auto"/>
      </w:divBdr>
    </w:div>
    <w:div w:id="1541435623">
      <w:bodyDiv w:val="1"/>
      <w:marLeft w:val="0"/>
      <w:marRight w:val="0"/>
      <w:marTop w:val="0"/>
      <w:marBottom w:val="0"/>
      <w:divBdr>
        <w:top w:val="none" w:sz="0" w:space="0" w:color="auto"/>
        <w:left w:val="none" w:sz="0" w:space="0" w:color="auto"/>
        <w:bottom w:val="none" w:sz="0" w:space="0" w:color="auto"/>
        <w:right w:val="none" w:sz="0" w:space="0" w:color="auto"/>
      </w:divBdr>
    </w:div>
    <w:div w:id="1554580418">
      <w:bodyDiv w:val="1"/>
      <w:marLeft w:val="0"/>
      <w:marRight w:val="0"/>
      <w:marTop w:val="0"/>
      <w:marBottom w:val="0"/>
      <w:divBdr>
        <w:top w:val="none" w:sz="0" w:space="0" w:color="auto"/>
        <w:left w:val="none" w:sz="0" w:space="0" w:color="auto"/>
        <w:bottom w:val="none" w:sz="0" w:space="0" w:color="auto"/>
        <w:right w:val="none" w:sz="0" w:space="0" w:color="auto"/>
      </w:divBdr>
    </w:div>
    <w:div w:id="1667783687">
      <w:bodyDiv w:val="1"/>
      <w:marLeft w:val="0"/>
      <w:marRight w:val="0"/>
      <w:marTop w:val="0"/>
      <w:marBottom w:val="0"/>
      <w:divBdr>
        <w:top w:val="none" w:sz="0" w:space="0" w:color="auto"/>
        <w:left w:val="none" w:sz="0" w:space="0" w:color="auto"/>
        <w:bottom w:val="none" w:sz="0" w:space="0" w:color="auto"/>
        <w:right w:val="none" w:sz="0" w:space="0" w:color="auto"/>
      </w:divBdr>
    </w:div>
    <w:div w:id="1787962405">
      <w:bodyDiv w:val="1"/>
      <w:marLeft w:val="0"/>
      <w:marRight w:val="0"/>
      <w:marTop w:val="0"/>
      <w:marBottom w:val="0"/>
      <w:divBdr>
        <w:top w:val="none" w:sz="0" w:space="0" w:color="auto"/>
        <w:left w:val="none" w:sz="0" w:space="0" w:color="auto"/>
        <w:bottom w:val="none" w:sz="0" w:space="0" w:color="auto"/>
        <w:right w:val="none" w:sz="0" w:space="0" w:color="auto"/>
      </w:divBdr>
    </w:div>
    <w:div w:id="1993408935">
      <w:bodyDiv w:val="1"/>
      <w:marLeft w:val="0"/>
      <w:marRight w:val="0"/>
      <w:marTop w:val="0"/>
      <w:marBottom w:val="0"/>
      <w:divBdr>
        <w:top w:val="none" w:sz="0" w:space="0" w:color="auto"/>
        <w:left w:val="none" w:sz="0" w:space="0" w:color="auto"/>
        <w:bottom w:val="none" w:sz="0" w:space="0" w:color="auto"/>
        <w:right w:val="none" w:sz="0" w:space="0" w:color="auto"/>
      </w:divBdr>
    </w:div>
    <w:div w:id="20723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about/the-secretariat" TargetMode="External"/><Relationship Id="rId1" Type="http://schemas.openxmlformats.org/officeDocument/2006/relationships/hyperlink" Target="https://www.ramsar.org/document/convention-wetlands-monthly-status-assessed-contribution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hglna01\data\CC98\1.%20COMMON\Meetings%20and%20Groups\Standing%20Committees\SC63\Documents\SC63%20Doc.9.2%20Annual%20contributions\ed%20charts%20stuf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2F7-4FD5-98F0-707AAE10A332}"/>
              </c:ext>
            </c:extLst>
          </c:dPt>
          <c:dPt>
            <c:idx val="1"/>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2F7-4FD5-98F0-707AAE10A332}"/>
              </c:ext>
            </c:extLst>
          </c:dPt>
          <c:dPt>
            <c:idx val="2"/>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2F7-4FD5-98F0-707AAE10A332}"/>
              </c:ext>
            </c:extLst>
          </c:dPt>
          <c:dPt>
            <c:idx val="3"/>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2F7-4FD5-98F0-707AAE10A332}"/>
              </c:ext>
            </c:extLst>
          </c:dPt>
          <c:dLbls>
            <c:dLbl>
              <c:idx val="0"/>
              <c:layout>
                <c:manualLayout>
                  <c:x val="1.3582342954159676E-2"/>
                  <c:y val="-4.5128205128205201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F7-4FD5-98F0-707AAE10A332}"/>
                </c:ext>
              </c:extLst>
            </c:dLbl>
            <c:dLbl>
              <c:idx val="1"/>
              <c:layout>
                <c:manualLayout>
                  <c:x val="2.1505465467071275E-2"/>
                  <c:y val="-2.0513143549364021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spc="0" baseline="0">
                      <a:solidFill>
                        <a:schemeClr val="accent3"/>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3956998159610347"/>
                      <c:h val="0.14611298203109227"/>
                    </c:manualLayout>
                  </c15:layout>
                </c:ext>
                <c:ext xmlns:c16="http://schemas.microsoft.com/office/drawing/2014/chart" uri="{C3380CC4-5D6E-409C-BE32-E72D297353CC}">
                  <c16:uniqueId val="{00000003-32F7-4FD5-98F0-707AAE10A332}"/>
                </c:ext>
              </c:extLst>
            </c:dLbl>
            <c:dLbl>
              <c:idx val="2"/>
              <c:layout>
                <c:manualLayout>
                  <c:x val="-1.1318619128466302E-3"/>
                  <c:y val="-8.2051282051281982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5"/>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7735144312393889"/>
                      <c:h val="0.23269743589743588"/>
                    </c:manualLayout>
                  </c15:layout>
                </c:ext>
                <c:ext xmlns:c16="http://schemas.microsoft.com/office/drawing/2014/chart" uri="{C3380CC4-5D6E-409C-BE32-E72D297353CC}">
                  <c16:uniqueId val="{00000005-32F7-4FD5-98F0-707AAE10A332}"/>
                </c:ext>
              </c:extLst>
            </c:dLbl>
            <c:dLbl>
              <c:idx val="3"/>
              <c:layout>
                <c:manualLayout>
                  <c:x val="7.9230333899264239E-3"/>
                  <c:y val="6.5641025641025641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lumMod val="6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1520090548953028"/>
                      <c:h val="0.2125948717948718"/>
                    </c:manualLayout>
                  </c15:layout>
                </c:ext>
                <c:ext xmlns:c16="http://schemas.microsoft.com/office/drawing/2014/chart" uri="{C3380CC4-5D6E-409C-BE32-E72D297353CC}">
                  <c16:uniqueId val="{00000007-32F7-4FD5-98F0-707AAE10A33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noFill/>
                  <a:round/>
                </a:ln>
                <a:effectLst/>
              </c:spPr>
            </c:leaderLines>
            <c:extLst>
              <c:ext xmlns:c15="http://schemas.microsoft.com/office/drawing/2012/chart" uri="{CE6537A1-D6FC-4f65-9D91-7224C49458BB}"/>
            </c:extLst>
          </c:dLbls>
          <c:cat>
            <c:strRef>
              <c:f>Sheet1!$A$43:$A$46</c:f>
              <c:strCache>
                <c:ptCount val="4"/>
                <c:pt idx="0">
                  <c:v>No contribution outstanding</c:v>
                </c:pt>
                <c:pt idx="1">
                  <c:v>Contribution for 2023 outstanding</c:v>
                </c:pt>
                <c:pt idx="2">
                  <c:v>Contribution outstanding for up to four years</c:v>
                </c:pt>
                <c:pt idx="3">
                  <c:v>Contribution outstanding for more than four years</c:v>
                </c:pt>
              </c:strCache>
            </c:strRef>
          </c:cat>
          <c:val>
            <c:numRef>
              <c:f>Sheet1!$B$43:$B$46</c:f>
              <c:numCache>
                <c:formatCode>General</c:formatCode>
                <c:ptCount val="4"/>
                <c:pt idx="0">
                  <c:v>89</c:v>
                </c:pt>
                <c:pt idx="1">
                  <c:v>17</c:v>
                </c:pt>
                <c:pt idx="2">
                  <c:v>22</c:v>
                </c:pt>
                <c:pt idx="3">
                  <c:v>44</c:v>
                </c:pt>
              </c:numCache>
            </c:numRef>
          </c:val>
          <c:extLst>
            <c:ext xmlns:c16="http://schemas.microsoft.com/office/drawing/2014/chart" uri="{C3380CC4-5D6E-409C-BE32-E72D297353CC}">
              <c16:uniqueId val="{00000008-32F7-4FD5-98F0-707AAE10A332}"/>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Sheet1!$B$18</c:f>
              <c:strCache>
                <c:ptCount val="1"/>
                <c:pt idx="0">
                  <c:v>End 2022</c:v>
                </c:pt>
              </c:strCache>
            </c:strRef>
          </c:tx>
          <c:spPr>
            <a:solidFill>
              <a:schemeClr val="accent1">
                <a:tint val="77000"/>
              </a:schemeClr>
            </a:solidFill>
            <a:ln>
              <a:noFill/>
            </a:ln>
            <a:effectLst/>
          </c:spPr>
          <c:invertIfNegative val="0"/>
          <c:dLbls>
            <c:dLbl>
              <c:idx val="1"/>
              <c:layout>
                <c:manualLayout>
                  <c:x val="0"/>
                  <c:y val="-5.0125578564974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A0-4CB8-8018-BC2744D692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Sheet1!$A$19:$A$27</c:f>
              <c:strCache>
                <c:ptCount val="9"/>
                <c:pt idx="0">
                  <c:v>1</c:v>
                </c:pt>
                <c:pt idx="1">
                  <c:v>2</c:v>
                </c:pt>
                <c:pt idx="2">
                  <c:v>3</c:v>
                </c:pt>
                <c:pt idx="3">
                  <c:v>4</c:v>
                </c:pt>
                <c:pt idx="4">
                  <c:v>5</c:v>
                </c:pt>
                <c:pt idx="5">
                  <c:v>6</c:v>
                </c:pt>
                <c:pt idx="6">
                  <c:v>7</c:v>
                </c:pt>
                <c:pt idx="7">
                  <c:v>8</c:v>
                </c:pt>
                <c:pt idx="8">
                  <c:v>9+</c:v>
                </c:pt>
              </c:strCache>
            </c:strRef>
          </c:cat>
          <c:val>
            <c:numRef>
              <c:f>Sheet1!$B$19:$B$27</c:f>
              <c:numCache>
                <c:formatCode>General</c:formatCode>
                <c:ptCount val="9"/>
                <c:pt idx="0">
                  <c:v>451</c:v>
                </c:pt>
                <c:pt idx="1">
                  <c:v>271</c:v>
                </c:pt>
                <c:pt idx="2">
                  <c:v>135</c:v>
                </c:pt>
                <c:pt idx="3">
                  <c:v>124</c:v>
                </c:pt>
                <c:pt idx="4">
                  <c:v>89</c:v>
                </c:pt>
                <c:pt idx="5">
                  <c:v>83</c:v>
                </c:pt>
                <c:pt idx="6">
                  <c:v>76</c:v>
                </c:pt>
                <c:pt idx="7">
                  <c:v>71</c:v>
                </c:pt>
                <c:pt idx="8">
                  <c:v>295</c:v>
                </c:pt>
              </c:numCache>
            </c:numRef>
          </c:val>
          <c:extLst>
            <c:ext xmlns:c16="http://schemas.microsoft.com/office/drawing/2014/chart" uri="{C3380CC4-5D6E-409C-BE32-E72D297353CC}">
              <c16:uniqueId val="{00000000-F9A0-4CB8-8018-BC2744D692E7}"/>
            </c:ext>
          </c:extLst>
        </c:ser>
        <c:ser>
          <c:idx val="1"/>
          <c:order val="1"/>
          <c:tx>
            <c:strRef>
              <c:f>Sheet1!$C$18</c:f>
              <c:strCache>
                <c:ptCount val="1"/>
                <c:pt idx="0">
                  <c:v>End 2023</c:v>
                </c:pt>
              </c:strCache>
            </c:strRef>
          </c:tx>
          <c:spPr>
            <a:solidFill>
              <a:schemeClr val="accent1">
                <a:shade val="76000"/>
              </a:schemeClr>
            </a:solidFill>
            <a:ln>
              <a:noFill/>
            </a:ln>
            <a:effectLst/>
          </c:spPr>
          <c:invertIfNegative val="0"/>
          <c:dLbls>
            <c:dLbl>
              <c:idx val="3"/>
              <c:layout>
                <c:manualLayout>
                  <c:x val="0"/>
                  <c:y val="-2.93631859056707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A0-4CB8-8018-BC2744D692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Sheet1!$A$19:$A$27</c:f>
              <c:strCache>
                <c:ptCount val="9"/>
                <c:pt idx="0">
                  <c:v>1</c:v>
                </c:pt>
                <c:pt idx="1">
                  <c:v>2</c:v>
                </c:pt>
                <c:pt idx="2">
                  <c:v>3</c:v>
                </c:pt>
                <c:pt idx="3">
                  <c:v>4</c:v>
                </c:pt>
                <c:pt idx="4">
                  <c:v>5</c:v>
                </c:pt>
                <c:pt idx="5">
                  <c:v>6</c:v>
                </c:pt>
                <c:pt idx="6">
                  <c:v>7</c:v>
                </c:pt>
                <c:pt idx="7">
                  <c:v>8</c:v>
                </c:pt>
                <c:pt idx="8">
                  <c:v>9+</c:v>
                </c:pt>
              </c:strCache>
            </c:strRef>
          </c:cat>
          <c:val>
            <c:numRef>
              <c:f>Sheet1!$C$19:$C$27</c:f>
              <c:numCache>
                <c:formatCode>General</c:formatCode>
                <c:ptCount val="9"/>
                <c:pt idx="0">
                  <c:v>336</c:v>
                </c:pt>
                <c:pt idx="1">
                  <c:v>265</c:v>
                </c:pt>
                <c:pt idx="2">
                  <c:v>186</c:v>
                </c:pt>
                <c:pt idx="3">
                  <c:v>128</c:v>
                </c:pt>
                <c:pt idx="4">
                  <c:v>119</c:v>
                </c:pt>
                <c:pt idx="5">
                  <c:v>86</c:v>
                </c:pt>
                <c:pt idx="6">
                  <c:v>82</c:v>
                </c:pt>
                <c:pt idx="7">
                  <c:v>75</c:v>
                </c:pt>
                <c:pt idx="8">
                  <c:v>359</c:v>
                </c:pt>
              </c:numCache>
            </c:numRef>
          </c:val>
          <c:extLst>
            <c:ext xmlns:c16="http://schemas.microsoft.com/office/drawing/2014/chart" uri="{C3380CC4-5D6E-409C-BE32-E72D297353CC}">
              <c16:uniqueId val="{00000001-F9A0-4CB8-8018-BC2744D692E7}"/>
            </c:ext>
          </c:extLst>
        </c:ser>
        <c:dLbls>
          <c:dLblPos val="outEnd"/>
          <c:showLegendKey val="0"/>
          <c:showVal val="1"/>
          <c:showCatName val="0"/>
          <c:showSerName val="0"/>
          <c:showPercent val="0"/>
          <c:showBubbleSize val="0"/>
        </c:dLbls>
        <c:gapWidth val="219"/>
        <c:overlap val="-27"/>
        <c:axId val="1327033103"/>
        <c:axId val="1333370927"/>
      </c:barChart>
      <c:catAx>
        <c:axId val="13270331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years</a:t>
                </a:r>
                <a:r>
                  <a:rPr lang="en-GB" baseline="0"/>
                  <a:t> due</a:t>
                </a:r>
                <a:endParaRPr lang="en-GB"/>
              </a:p>
            </c:rich>
          </c:tx>
          <c:layout>
            <c:manualLayout>
              <c:xMode val="edge"/>
              <c:yMode val="edge"/>
              <c:x val="0.41576145311381529"/>
              <c:y val="0.846023035355874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370927"/>
        <c:crosses val="autoZero"/>
        <c:auto val="1"/>
        <c:lblAlgn val="ctr"/>
        <c:lblOffset val="100"/>
        <c:noMultiLvlLbl val="0"/>
      </c:catAx>
      <c:valAx>
        <c:axId val="13333709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Outstanding contributions ('000 CHF)</a:t>
                </a:r>
              </a:p>
            </c:rich>
          </c:tx>
          <c:layout>
            <c:manualLayout>
              <c:xMode val="edge"/>
              <c:yMode val="edge"/>
              <c:x val="9.46969696969697E-3"/>
              <c:y val="0.215194441871236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7033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0A58-AEAD-4B03-BE8C-9E71A5E45EFF}">
  <ds:schemaRefs>
    <ds:schemaRef ds:uri="8c0b6b05-eb82-4bda-97e8-cd82d0d6b453"/>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aedd258d-19a7-41ba-8260-b0918f25313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7465A6B-270E-45EB-BC63-40CB7405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315D7-C6B1-4422-8A2F-086078F663DA}">
  <ds:schemaRefs>
    <ds:schemaRef ds:uri="http://schemas.microsoft.com/sharepoint/v3/contenttype/forms"/>
  </ds:schemaRefs>
</ds:datastoreItem>
</file>

<file path=customXml/itemProps4.xml><?xml version="1.0" encoding="utf-8"?>
<ds:datastoreItem xmlns:ds="http://schemas.openxmlformats.org/officeDocument/2006/customXml" ds:itemID="{64FFE298-DF77-4488-9FBD-B7C70ED0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BRACE Poppy</cp:lastModifiedBy>
  <cp:revision>6</cp:revision>
  <cp:lastPrinted>2023-03-30T11:15:00Z</cp:lastPrinted>
  <dcterms:created xsi:type="dcterms:W3CDTF">2024-02-21T13:39:00Z</dcterms:created>
  <dcterms:modified xsi:type="dcterms:W3CDTF">2024-03-01T08:47:00Z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