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7EA24" w14:textId="702445D1" w:rsidR="00701562" w:rsidRPr="004A4B31" w:rsidRDefault="004A4B31" w:rsidP="00701562">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ascii="Calibri" w:eastAsia="Times New Roman" w:hAnsi="Calibri" w:cs="Calibri"/>
          <w:bCs/>
          <w:lang w:val="fr-CH" w:eastAsia="en-GB"/>
        </w:rPr>
      </w:pPr>
      <w:r>
        <w:rPr>
          <w:rFonts w:ascii="Calibri" w:eastAsia="Times New Roman" w:hAnsi="Calibri" w:cs="Calibri"/>
          <w:bCs/>
          <w:lang w:val="fr-CH" w:eastAsia="en-GB"/>
        </w:rPr>
        <w:t>CONVENTION SUR LES ZONES HUMIDES</w:t>
      </w:r>
    </w:p>
    <w:p w14:paraId="7BCE1D06" w14:textId="10A29C50" w:rsidR="00701562" w:rsidRPr="004A4B31" w:rsidRDefault="00701562" w:rsidP="00701562">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ascii="Calibri" w:eastAsia="Times New Roman" w:hAnsi="Calibri" w:cs="Calibri"/>
          <w:bCs/>
          <w:lang w:val="fr-CH" w:eastAsia="en-GB"/>
        </w:rPr>
      </w:pPr>
      <w:r w:rsidRPr="004A4B31">
        <w:rPr>
          <w:rFonts w:ascii="Calibri" w:eastAsia="Times New Roman" w:hAnsi="Calibri" w:cs="Calibri"/>
          <w:bCs/>
          <w:lang w:val="fr-CH" w:eastAsia="en-GB"/>
        </w:rPr>
        <w:t>6</w:t>
      </w:r>
      <w:r w:rsidR="004A4B31">
        <w:rPr>
          <w:rFonts w:ascii="Calibri" w:eastAsia="Times New Roman" w:hAnsi="Calibri" w:cs="Calibri"/>
          <w:bCs/>
          <w:lang w:val="fr-CH" w:eastAsia="en-GB"/>
        </w:rPr>
        <w:t>3</w:t>
      </w:r>
      <w:r w:rsidR="004A4B31" w:rsidRPr="004A4B31">
        <w:rPr>
          <w:rFonts w:ascii="Calibri" w:eastAsia="Times New Roman" w:hAnsi="Calibri" w:cs="Calibri"/>
          <w:bCs/>
          <w:vertAlign w:val="superscript"/>
          <w:lang w:val="fr-CH" w:eastAsia="en-GB"/>
        </w:rPr>
        <w:t>e</w:t>
      </w:r>
      <w:r w:rsidR="004A4B31">
        <w:rPr>
          <w:rFonts w:ascii="Calibri" w:eastAsia="Times New Roman" w:hAnsi="Calibri" w:cs="Calibri"/>
          <w:bCs/>
          <w:lang w:val="fr-CH" w:eastAsia="en-GB"/>
        </w:rPr>
        <w:t xml:space="preserve"> Réunion du Comité permanent</w:t>
      </w:r>
    </w:p>
    <w:p w14:paraId="2D3C66FE" w14:textId="45690185" w:rsidR="00701562" w:rsidRPr="004A4B31" w:rsidRDefault="00701562" w:rsidP="00701562">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ascii="Calibri" w:eastAsia="Times New Roman" w:hAnsi="Calibri" w:cs="Calibri"/>
          <w:lang w:val="fr-CH" w:eastAsia="en-GB"/>
        </w:rPr>
      </w:pPr>
      <w:r w:rsidRPr="004A4B31">
        <w:rPr>
          <w:rFonts w:ascii="Calibri" w:eastAsia="Times New Roman" w:hAnsi="Calibri" w:cs="Calibri"/>
          <w:bCs/>
          <w:lang w:val="fr-CH" w:eastAsia="en-GB"/>
        </w:rPr>
        <w:t xml:space="preserve">Gland, </w:t>
      </w:r>
      <w:r w:rsidR="004A4B31">
        <w:rPr>
          <w:rFonts w:ascii="Calibri" w:eastAsia="Times New Roman" w:hAnsi="Calibri" w:cs="Calibri"/>
          <w:bCs/>
          <w:lang w:val="fr-CH" w:eastAsia="en-GB"/>
        </w:rPr>
        <w:t>Suisse</w:t>
      </w:r>
      <w:r w:rsidRPr="004A4B31">
        <w:rPr>
          <w:rFonts w:ascii="Calibri" w:eastAsia="Times New Roman" w:hAnsi="Calibri" w:cs="Calibri"/>
          <w:bCs/>
          <w:lang w:val="fr-CH" w:eastAsia="en-GB"/>
        </w:rPr>
        <w:t xml:space="preserve">, </w:t>
      </w:r>
      <w:r w:rsidR="006F4787" w:rsidRPr="004A4B31">
        <w:rPr>
          <w:rFonts w:ascii="Calibri" w:eastAsia="Times New Roman" w:hAnsi="Calibri" w:cs="Calibri"/>
          <w:bCs/>
          <w:lang w:val="fr-CH" w:eastAsia="en-GB"/>
        </w:rPr>
        <w:t>3</w:t>
      </w:r>
      <w:r w:rsidR="004A4B31">
        <w:rPr>
          <w:rFonts w:ascii="Calibri" w:eastAsia="Times New Roman" w:hAnsi="Calibri" w:cs="Calibri"/>
          <w:bCs/>
          <w:lang w:val="fr-CH" w:eastAsia="en-GB"/>
        </w:rPr>
        <w:t xml:space="preserve"> au </w:t>
      </w:r>
      <w:r w:rsidR="006F4787" w:rsidRPr="004A4B31">
        <w:rPr>
          <w:rFonts w:ascii="Calibri" w:eastAsia="Times New Roman" w:hAnsi="Calibri" w:cs="Calibri"/>
          <w:bCs/>
          <w:lang w:val="fr-CH" w:eastAsia="en-GB"/>
        </w:rPr>
        <w:t>7</w:t>
      </w:r>
      <w:r w:rsidRPr="004A4B31">
        <w:rPr>
          <w:rFonts w:ascii="Calibri" w:eastAsia="Times New Roman" w:hAnsi="Calibri" w:cs="Calibri"/>
          <w:bCs/>
          <w:lang w:val="fr-CH" w:eastAsia="en-GB"/>
        </w:rPr>
        <w:t xml:space="preserve"> </w:t>
      </w:r>
      <w:r w:rsidR="004A4B31">
        <w:rPr>
          <w:rFonts w:ascii="Calibri" w:eastAsia="Times New Roman" w:hAnsi="Calibri" w:cs="Calibri"/>
          <w:bCs/>
          <w:lang w:val="fr-CH" w:eastAsia="en-GB"/>
        </w:rPr>
        <w:t>juin</w:t>
      </w:r>
      <w:r w:rsidRPr="004A4B31">
        <w:rPr>
          <w:rFonts w:ascii="Calibri" w:eastAsia="Times New Roman" w:hAnsi="Calibri" w:cs="Calibri"/>
          <w:bCs/>
          <w:lang w:val="fr-CH" w:eastAsia="en-GB"/>
        </w:rPr>
        <w:t xml:space="preserve"> 202</w:t>
      </w:r>
      <w:r w:rsidR="006F4787" w:rsidRPr="004A4B31">
        <w:rPr>
          <w:rFonts w:ascii="Calibri" w:eastAsia="Times New Roman" w:hAnsi="Calibri" w:cs="Calibri"/>
          <w:bCs/>
          <w:lang w:val="fr-CH" w:eastAsia="en-GB"/>
        </w:rPr>
        <w:t>4</w:t>
      </w:r>
    </w:p>
    <w:p w14:paraId="0147E2D6" w14:textId="77777777" w:rsidR="00701562" w:rsidRPr="00701562" w:rsidRDefault="00701562" w:rsidP="00701562">
      <w:pPr>
        <w:spacing w:after="0" w:line="240" w:lineRule="auto"/>
        <w:jc w:val="both"/>
        <w:rPr>
          <w:rFonts w:ascii="Calibri" w:eastAsia="Times New Roman" w:hAnsi="Calibri" w:cs="Calibri"/>
          <w:sz w:val="24"/>
          <w:szCs w:val="24"/>
          <w:lang w:val="de-CH" w:eastAsia="en-GB"/>
        </w:rPr>
      </w:pPr>
    </w:p>
    <w:p w14:paraId="3DD5E6F0" w14:textId="77777777" w:rsidR="00701562" w:rsidRPr="004A4B31" w:rsidRDefault="00701562" w:rsidP="00701562">
      <w:pPr>
        <w:spacing w:after="0" w:line="240" w:lineRule="auto"/>
        <w:jc w:val="right"/>
        <w:rPr>
          <w:rFonts w:ascii="Calibri" w:eastAsia="Times New Roman" w:hAnsi="Calibri" w:cs="Calibri"/>
          <w:b/>
          <w:sz w:val="28"/>
          <w:szCs w:val="28"/>
          <w:lang w:val="fr-CH" w:eastAsia="en-GB"/>
        </w:rPr>
      </w:pPr>
      <w:bookmarkStart w:id="0" w:name="_Hlk153533853"/>
      <w:r w:rsidRPr="004A4B31">
        <w:rPr>
          <w:rFonts w:ascii="Calibri" w:eastAsia="Times New Roman" w:hAnsi="Calibri" w:cs="Calibri"/>
          <w:b/>
          <w:sz w:val="28"/>
          <w:szCs w:val="28"/>
          <w:lang w:val="fr-CH" w:eastAsia="en-GB"/>
        </w:rPr>
        <w:t>SC63 Doc.22</w:t>
      </w:r>
    </w:p>
    <w:bookmarkEnd w:id="0"/>
    <w:p w14:paraId="52094BB2" w14:textId="77777777" w:rsidR="00701562" w:rsidRPr="004A4B31" w:rsidRDefault="00701562" w:rsidP="00701562">
      <w:pPr>
        <w:spacing w:after="0" w:line="240" w:lineRule="auto"/>
        <w:jc w:val="center"/>
        <w:rPr>
          <w:rFonts w:ascii="Calibri" w:eastAsia="Calibri" w:hAnsi="Calibri" w:cs="Calibri"/>
          <w:b/>
          <w:sz w:val="28"/>
          <w:szCs w:val="28"/>
          <w:lang w:val="fr-CH"/>
        </w:rPr>
      </w:pPr>
    </w:p>
    <w:p w14:paraId="49A9CE0B" w14:textId="2D0F20F2" w:rsidR="00701562" w:rsidRPr="004A4B31" w:rsidRDefault="009B5E12" w:rsidP="00701562">
      <w:pPr>
        <w:spacing w:after="0" w:line="240" w:lineRule="auto"/>
        <w:jc w:val="center"/>
        <w:rPr>
          <w:rFonts w:ascii="Calibri" w:eastAsia="Calibri" w:hAnsi="Calibri" w:cs="Calibri"/>
          <w:b/>
          <w:sz w:val="28"/>
          <w:szCs w:val="28"/>
          <w:lang w:val="fr-CH"/>
        </w:rPr>
      </w:pPr>
      <w:r w:rsidRPr="004A4B31">
        <w:rPr>
          <w:rFonts w:ascii="Calibri" w:eastAsia="Calibri" w:hAnsi="Calibri" w:cs="Calibri"/>
          <w:b/>
          <w:sz w:val="28"/>
          <w:szCs w:val="28"/>
          <w:lang w:val="fr-CH"/>
        </w:rPr>
        <w:t>R</w:t>
      </w:r>
      <w:r w:rsidR="00EE30B4" w:rsidRPr="004A4B31">
        <w:rPr>
          <w:rFonts w:ascii="Calibri" w:eastAsia="Calibri" w:hAnsi="Calibri" w:cs="Calibri"/>
          <w:b/>
          <w:sz w:val="28"/>
          <w:szCs w:val="28"/>
          <w:lang w:val="fr-CH"/>
        </w:rPr>
        <w:t>ap</w:t>
      </w:r>
      <w:r w:rsidRPr="004A4B31">
        <w:rPr>
          <w:rFonts w:ascii="Calibri" w:eastAsia="Calibri" w:hAnsi="Calibri" w:cs="Calibri"/>
          <w:b/>
          <w:sz w:val="28"/>
          <w:szCs w:val="28"/>
          <w:lang w:val="fr-CH"/>
        </w:rPr>
        <w:t xml:space="preserve">port </w:t>
      </w:r>
      <w:r w:rsidR="00EE30B4" w:rsidRPr="004A4B31">
        <w:rPr>
          <w:rFonts w:ascii="Calibri" w:eastAsia="Calibri" w:hAnsi="Calibri" w:cs="Calibri"/>
          <w:b/>
          <w:sz w:val="28"/>
          <w:szCs w:val="28"/>
          <w:lang w:val="fr-CH"/>
        </w:rPr>
        <w:t xml:space="preserve">sur les </w:t>
      </w:r>
      <w:bookmarkStart w:id="1" w:name="_Hlk159314893"/>
      <w:r w:rsidR="00EE30B4" w:rsidRPr="004A4B31">
        <w:rPr>
          <w:rFonts w:ascii="Calibri" w:eastAsia="Calibri" w:hAnsi="Calibri" w:cs="Calibri"/>
          <w:b/>
          <w:sz w:val="28"/>
          <w:szCs w:val="28"/>
          <w:lang w:val="fr-CH"/>
        </w:rPr>
        <w:t>difficultés et possibilités relatives à la soumission et à la mise à jour des Fiches descriptives Ramsar</w:t>
      </w:r>
      <w:bookmarkEnd w:id="1"/>
    </w:p>
    <w:p w14:paraId="125268CC" w14:textId="77777777" w:rsidR="00701562" w:rsidRPr="004A4B31" w:rsidRDefault="00701562" w:rsidP="00701562">
      <w:pPr>
        <w:spacing w:before="40" w:after="40" w:line="240" w:lineRule="auto"/>
        <w:jc w:val="center"/>
        <w:rPr>
          <w:rFonts w:ascii="Calibri" w:eastAsia="Calibri" w:hAnsi="Calibri" w:cs="Calibri"/>
          <w:b/>
          <w:sz w:val="28"/>
          <w:szCs w:val="28"/>
          <w:lang w:val="fr-CH"/>
        </w:rPr>
      </w:pPr>
    </w:p>
    <w:p w14:paraId="7E8B03B1" w14:textId="77777777" w:rsidR="00701562" w:rsidRPr="004A4B31" w:rsidRDefault="00701562" w:rsidP="00701562">
      <w:pPr>
        <w:autoSpaceDE w:val="0"/>
        <w:autoSpaceDN w:val="0"/>
        <w:adjustRightInd w:val="0"/>
        <w:spacing w:after="0" w:line="240" w:lineRule="auto"/>
        <w:ind w:left="357" w:hanging="357"/>
        <w:jc w:val="both"/>
        <w:rPr>
          <w:rFonts w:ascii="Calibri" w:eastAsia="Calibri" w:hAnsi="Calibri" w:cs="Calibri"/>
          <w:lang w:val="fr-CH"/>
        </w:rPr>
      </w:pPr>
      <w:r w:rsidRPr="004A4B31">
        <w:rPr>
          <w:rFonts w:ascii="Calibri" w:eastAsia="Times New Roman" w:hAnsi="Calibri" w:cs="Calibri"/>
          <w:noProof/>
          <w:color w:val="2B579A"/>
          <w:shd w:val="clear" w:color="auto" w:fill="E6E6E6"/>
          <w:lang w:val="en-CA" w:eastAsia="en-CA"/>
        </w:rPr>
        <mc:AlternateContent>
          <mc:Choice Requires="wps">
            <w:drawing>
              <wp:inline distT="0" distB="0" distL="0" distR="0" wp14:anchorId="2E3B772B" wp14:editId="7ECAC42C">
                <wp:extent cx="5854535" cy="1573619"/>
                <wp:effectExtent l="0" t="0" r="13335" b="266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1573619"/>
                        </a:xfrm>
                        <a:prstGeom prst="rect">
                          <a:avLst/>
                        </a:prstGeom>
                        <a:solidFill>
                          <a:srgbClr val="FFFFFF"/>
                        </a:solidFill>
                        <a:ln w="9525">
                          <a:solidFill>
                            <a:srgbClr val="000000"/>
                          </a:solidFill>
                          <a:miter lim="800000"/>
                          <a:headEnd/>
                          <a:tailEnd/>
                        </a:ln>
                      </wps:spPr>
                      <wps:txbx>
                        <w:txbxContent>
                          <w:p w14:paraId="61AF873B" w14:textId="352ABFCB" w:rsidR="009E577E" w:rsidRPr="004A4B31" w:rsidRDefault="00EE30B4" w:rsidP="00701562">
                            <w:pPr>
                              <w:spacing w:after="0" w:line="240" w:lineRule="auto"/>
                              <w:rPr>
                                <w:rFonts w:ascii="Calibri" w:hAnsi="Calibri"/>
                                <w:b/>
                                <w:bCs/>
                                <w:lang w:val="fr-CH"/>
                              </w:rPr>
                            </w:pPr>
                            <w:r w:rsidRPr="004A4B31">
                              <w:rPr>
                                <w:rFonts w:ascii="Calibri" w:hAnsi="Calibri"/>
                                <w:b/>
                                <w:bCs/>
                                <w:lang w:val="fr-CH"/>
                              </w:rPr>
                              <w:t>Mesure requise</w:t>
                            </w:r>
                            <w:r w:rsidR="00912197">
                              <w:rPr>
                                <w:rFonts w:ascii="Calibri" w:hAnsi="Calibri"/>
                                <w:b/>
                                <w:bCs/>
                                <w:lang w:val="fr-CH"/>
                              </w:rPr>
                              <w:t> :</w:t>
                            </w:r>
                            <w:r w:rsidR="009E577E" w:rsidRPr="004A4B31">
                              <w:rPr>
                                <w:rFonts w:ascii="Calibri" w:hAnsi="Calibri"/>
                                <w:b/>
                                <w:bCs/>
                                <w:lang w:val="fr-CH"/>
                              </w:rPr>
                              <w:t xml:space="preserve"> </w:t>
                            </w:r>
                            <w:bookmarkStart w:id="2" w:name="_GoBack"/>
                            <w:bookmarkEnd w:id="2"/>
                          </w:p>
                          <w:p w14:paraId="25E3D1B4" w14:textId="77777777" w:rsidR="009E577E" w:rsidRPr="004A4B31" w:rsidRDefault="009E577E" w:rsidP="00701562">
                            <w:pPr>
                              <w:spacing w:after="0" w:line="240" w:lineRule="auto"/>
                              <w:ind w:hanging="73"/>
                              <w:rPr>
                                <w:lang w:val="fr-CH"/>
                              </w:rPr>
                            </w:pPr>
                            <w:r w:rsidRPr="004A4B31">
                              <w:rPr>
                                <w:lang w:val="fr-CH"/>
                              </w:rPr>
                              <w:t xml:space="preserve"> </w:t>
                            </w:r>
                          </w:p>
                          <w:p w14:paraId="2FF0B61E" w14:textId="56828FDB" w:rsidR="009E577E" w:rsidRPr="004A4B31" w:rsidRDefault="004A4B31" w:rsidP="00701562">
                            <w:pPr>
                              <w:spacing w:after="0" w:line="240" w:lineRule="auto"/>
                              <w:rPr>
                                <w:lang w:val="fr-CH"/>
                              </w:rPr>
                            </w:pPr>
                            <w:r>
                              <w:rPr>
                                <w:lang w:val="fr-CH"/>
                              </w:rPr>
                              <w:t xml:space="preserve">Le Comité permanent est invité à : </w:t>
                            </w:r>
                            <w:r w:rsidR="009E577E" w:rsidRPr="004A4B31">
                              <w:rPr>
                                <w:lang w:val="fr-CH"/>
                              </w:rPr>
                              <w:t xml:space="preserve"> </w:t>
                            </w:r>
                          </w:p>
                          <w:p w14:paraId="40875A91" w14:textId="77777777" w:rsidR="009E577E" w:rsidRPr="004A4B31" w:rsidRDefault="009E577E" w:rsidP="00701562">
                            <w:pPr>
                              <w:spacing w:after="0" w:line="240" w:lineRule="auto"/>
                              <w:ind w:left="426" w:hanging="426"/>
                              <w:rPr>
                                <w:lang w:val="fr-CH"/>
                              </w:rPr>
                            </w:pPr>
                          </w:p>
                          <w:p w14:paraId="794460EF" w14:textId="1CD81179" w:rsidR="00563B22" w:rsidRPr="004A4B31" w:rsidRDefault="00563B22" w:rsidP="00563B22">
                            <w:pPr>
                              <w:spacing w:after="0" w:line="240" w:lineRule="auto"/>
                              <w:ind w:left="426" w:hanging="426"/>
                              <w:rPr>
                                <w:rFonts w:cs="Calibri"/>
                                <w:lang w:val="fr-CH"/>
                              </w:rPr>
                            </w:pPr>
                            <w:r w:rsidRPr="004A4B31">
                              <w:rPr>
                                <w:rFonts w:cs="Calibri"/>
                                <w:lang w:val="fr-CH"/>
                              </w:rPr>
                              <w:t>i</w:t>
                            </w:r>
                            <w:r w:rsidR="004A4B31" w:rsidRPr="004A4B31">
                              <w:rPr>
                                <w:rFonts w:cs="Calibri"/>
                                <w:lang w:val="fr-CH"/>
                              </w:rPr>
                              <w:t>)</w:t>
                            </w:r>
                            <w:r w:rsidRPr="004A4B31">
                              <w:rPr>
                                <w:rFonts w:cs="Calibri"/>
                                <w:lang w:val="fr-CH"/>
                              </w:rPr>
                              <w:tab/>
                            </w:r>
                            <w:r w:rsidR="004A4B31">
                              <w:rPr>
                                <w:rFonts w:cs="Calibri"/>
                                <w:lang w:val="fr-CH"/>
                              </w:rPr>
                              <w:t xml:space="preserve">prendre note des difficultés et possibilités relatives à la soumission et à la mise à jour des Fiches descriptives Ramsar, identifiées par les Parties contractantes ; et </w:t>
                            </w:r>
                            <w:r w:rsidR="009E577E" w:rsidRPr="004A4B31">
                              <w:rPr>
                                <w:rFonts w:cs="Calibri"/>
                                <w:lang w:val="fr-CH"/>
                              </w:rPr>
                              <w:t xml:space="preserve"> </w:t>
                            </w:r>
                          </w:p>
                          <w:p w14:paraId="7F11ABF8" w14:textId="77777777" w:rsidR="00563B22" w:rsidRPr="004A4B31" w:rsidRDefault="00563B22" w:rsidP="00563B22">
                            <w:pPr>
                              <w:spacing w:after="0" w:line="240" w:lineRule="auto"/>
                              <w:ind w:left="426" w:hanging="426"/>
                              <w:rPr>
                                <w:rFonts w:cs="Calibri"/>
                                <w:lang w:val="fr-CH"/>
                              </w:rPr>
                            </w:pPr>
                          </w:p>
                          <w:p w14:paraId="5371C961" w14:textId="7C94C621" w:rsidR="009E577E" w:rsidRPr="004A4B31" w:rsidRDefault="00563B22" w:rsidP="00563B22">
                            <w:pPr>
                              <w:ind w:left="426" w:hanging="426"/>
                              <w:rPr>
                                <w:rFonts w:cs="Calibri"/>
                                <w:lang w:val="fr-CH"/>
                              </w:rPr>
                            </w:pPr>
                            <w:r w:rsidRPr="004A4B31">
                              <w:rPr>
                                <w:rFonts w:cs="Calibri"/>
                                <w:lang w:val="fr-CH"/>
                              </w:rPr>
                              <w:t>ii</w:t>
                            </w:r>
                            <w:r w:rsidR="004A4B31" w:rsidRPr="004A4B31">
                              <w:rPr>
                                <w:rFonts w:cs="Calibri"/>
                                <w:lang w:val="fr-CH"/>
                              </w:rPr>
                              <w:t>)</w:t>
                            </w:r>
                            <w:r w:rsidRPr="004A4B31">
                              <w:rPr>
                                <w:rFonts w:cs="Calibri"/>
                                <w:lang w:val="fr-CH"/>
                              </w:rPr>
                              <w:tab/>
                            </w:r>
                            <w:r w:rsidR="001E4EBA">
                              <w:rPr>
                                <w:rFonts w:cs="Calibri"/>
                                <w:lang w:val="fr-CH"/>
                              </w:rPr>
                              <w:t>donner des instructions au</w:t>
                            </w:r>
                            <w:r w:rsidR="004A4B31">
                              <w:rPr>
                                <w:rFonts w:cs="Calibri"/>
                                <w:lang w:val="fr-CH"/>
                              </w:rPr>
                              <w:t xml:space="preserve"> Secrétariat </w:t>
                            </w:r>
                            <w:r w:rsidR="001E4EBA">
                              <w:rPr>
                                <w:rFonts w:cs="Calibri"/>
                                <w:lang w:val="fr-CH"/>
                              </w:rPr>
                              <w:t>sur l</w:t>
                            </w:r>
                            <w:r w:rsidR="004A4B31">
                              <w:rPr>
                                <w:rFonts w:cs="Calibri"/>
                                <w:lang w:val="fr-CH"/>
                              </w:rPr>
                              <w:t>es mesures à prendre.</w:t>
                            </w:r>
                          </w:p>
                        </w:txbxContent>
                      </wps:txbx>
                      <wps:bodyPr rot="0" vert="horz" wrap="square" lIns="91440" tIns="45720" rIns="91440" bIns="45720" anchor="t" anchorCtr="0" upright="1">
                        <a:noAutofit/>
                      </wps:bodyPr>
                    </wps:wsp>
                  </a:graphicData>
                </a:graphic>
              </wp:inline>
            </w:drawing>
          </mc:Choice>
          <mc:Fallback>
            <w:pict>
              <v:shapetype w14:anchorId="2E3B772B" id="_x0000_t202" coordsize="21600,21600" o:spt="202" path="m,l,21600r21600,l21600,xe">
                <v:stroke joinstyle="miter"/>
                <v:path gradientshapeok="t" o:connecttype="rect"/>
              </v:shapetype>
              <v:shape id="Text Box 1" o:spid="_x0000_s1026" type="#_x0000_t202" style="width:461pt;height:1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">
                <v:textbox>
                  <w:txbxContent>
                    <w:p w14:paraId="61AF873B" w14:textId="352ABFCB" w:rsidR="009E577E" w:rsidRPr="004A4B31" w:rsidRDefault="00EE30B4" w:rsidP="00701562">
                      <w:pPr>
                        <w:spacing w:after="0" w:line="240" w:lineRule="auto"/>
                        <w:rPr>
                          <w:rFonts w:ascii="Calibri" w:hAnsi="Calibri"/>
                          <w:b/>
                          <w:bCs/>
                          <w:lang w:val="fr-CH"/>
                        </w:rPr>
                      </w:pPr>
                      <w:r w:rsidRPr="004A4B31">
                        <w:rPr>
                          <w:rFonts w:ascii="Calibri" w:hAnsi="Calibri"/>
                          <w:b/>
                          <w:bCs/>
                          <w:lang w:val="fr-CH"/>
                        </w:rPr>
                        <w:t>Mesure requise</w:t>
                      </w:r>
                      <w:r w:rsidR="00912197">
                        <w:rPr>
                          <w:rFonts w:ascii="Calibri" w:hAnsi="Calibri"/>
                          <w:b/>
                          <w:bCs/>
                          <w:lang w:val="fr-CH"/>
                        </w:rPr>
                        <w:t> :</w:t>
                      </w:r>
                      <w:r w:rsidR="009E577E" w:rsidRPr="004A4B31">
                        <w:rPr>
                          <w:rFonts w:ascii="Calibri" w:hAnsi="Calibri"/>
                          <w:b/>
                          <w:bCs/>
                          <w:lang w:val="fr-CH"/>
                        </w:rPr>
                        <w:t xml:space="preserve"> </w:t>
                      </w:r>
                      <w:bookmarkStart w:id="3" w:name="_GoBack"/>
                      <w:bookmarkEnd w:id="3"/>
                    </w:p>
                    <w:p w14:paraId="25E3D1B4" w14:textId="77777777" w:rsidR="009E577E" w:rsidRPr="004A4B31" w:rsidRDefault="009E577E" w:rsidP="00701562">
                      <w:pPr>
                        <w:spacing w:after="0" w:line="240" w:lineRule="auto"/>
                        <w:ind w:hanging="73"/>
                        <w:rPr>
                          <w:lang w:val="fr-CH"/>
                        </w:rPr>
                      </w:pPr>
                      <w:r w:rsidRPr="004A4B31">
                        <w:rPr>
                          <w:lang w:val="fr-CH"/>
                        </w:rPr>
                        <w:t xml:space="preserve"> </w:t>
                      </w:r>
                    </w:p>
                    <w:p w14:paraId="2FF0B61E" w14:textId="56828FDB" w:rsidR="009E577E" w:rsidRPr="004A4B31" w:rsidRDefault="004A4B31" w:rsidP="00701562">
                      <w:pPr>
                        <w:spacing w:after="0" w:line="240" w:lineRule="auto"/>
                        <w:rPr>
                          <w:lang w:val="fr-CH"/>
                        </w:rPr>
                      </w:pPr>
                      <w:r>
                        <w:rPr>
                          <w:lang w:val="fr-CH"/>
                        </w:rPr>
                        <w:t xml:space="preserve">Le Comité permanent est invité à : </w:t>
                      </w:r>
                      <w:r w:rsidR="009E577E" w:rsidRPr="004A4B31">
                        <w:rPr>
                          <w:lang w:val="fr-CH"/>
                        </w:rPr>
                        <w:t xml:space="preserve"> </w:t>
                      </w:r>
                    </w:p>
                    <w:p w14:paraId="40875A91" w14:textId="77777777" w:rsidR="009E577E" w:rsidRPr="004A4B31" w:rsidRDefault="009E577E" w:rsidP="00701562">
                      <w:pPr>
                        <w:spacing w:after="0" w:line="240" w:lineRule="auto"/>
                        <w:ind w:left="426" w:hanging="426"/>
                        <w:rPr>
                          <w:lang w:val="fr-CH"/>
                        </w:rPr>
                      </w:pPr>
                    </w:p>
                    <w:p w14:paraId="794460EF" w14:textId="1CD81179" w:rsidR="00563B22" w:rsidRPr="004A4B31" w:rsidRDefault="00563B22" w:rsidP="00563B22">
                      <w:pPr>
                        <w:spacing w:after="0" w:line="240" w:lineRule="auto"/>
                        <w:ind w:left="426" w:hanging="426"/>
                        <w:rPr>
                          <w:rFonts w:cs="Calibri"/>
                          <w:lang w:val="fr-CH"/>
                        </w:rPr>
                      </w:pPr>
                      <w:r w:rsidRPr="004A4B31">
                        <w:rPr>
                          <w:rFonts w:cs="Calibri"/>
                          <w:lang w:val="fr-CH"/>
                        </w:rPr>
                        <w:t>i</w:t>
                      </w:r>
                      <w:r w:rsidR="004A4B31" w:rsidRPr="004A4B31">
                        <w:rPr>
                          <w:rFonts w:cs="Calibri"/>
                          <w:lang w:val="fr-CH"/>
                        </w:rPr>
                        <w:t>)</w:t>
                      </w:r>
                      <w:r w:rsidRPr="004A4B31">
                        <w:rPr>
                          <w:rFonts w:cs="Calibri"/>
                          <w:lang w:val="fr-CH"/>
                        </w:rPr>
                        <w:tab/>
                      </w:r>
                      <w:r w:rsidR="004A4B31">
                        <w:rPr>
                          <w:rFonts w:cs="Calibri"/>
                          <w:lang w:val="fr-CH"/>
                        </w:rPr>
                        <w:t xml:space="preserve">prendre note des difficultés et possibilités relatives à la soumission et à la mise à jour des Fiches descriptives Ramsar, identifiées par les Parties contractantes ; et </w:t>
                      </w:r>
                      <w:r w:rsidR="009E577E" w:rsidRPr="004A4B31">
                        <w:rPr>
                          <w:rFonts w:cs="Calibri"/>
                          <w:lang w:val="fr-CH"/>
                        </w:rPr>
                        <w:t xml:space="preserve"> </w:t>
                      </w:r>
                    </w:p>
                    <w:p w14:paraId="7F11ABF8" w14:textId="77777777" w:rsidR="00563B22" w:rsidRPr="004A4B31" w:rsidRDefault="00563B22" w:rsidP="00563B22">
                      <w:pPr>
                        <w:spacing w:after="0" w:line="240" w:lineRule="auto"/>
                        <w:ind w:left="426" w:hanging="426"/>
                        <w:rPr>
                          <w:rFonts w:cs="Calibri"/>
                          <w:lang w:val="fr-CH"/>
                        </w:rPr>
                      </w:pPr>
                    </w:p>
                    <w:p w14:paraId="5371C961" w14:textId="7C94C621" w:rsidR="009E577E" w:rsidRPr="004A4B31" w:rsidRDefault="00563B22" w:rsidP="00563B22">
                      <w:pPr>
                        <w:ind w:left="426" w:hanging="426"/>
                        <w:rPr>
                          <w:rFonts w:cs="Calibri"/>
                          <w:lang w:val="fr-CH"/>
                        </w:rPr>
                      </w:pPr>
                      <w:r w:rsidRPr="004A4B31">
                        <w:rPr>
                          <w:rFonts w:cs="Calibri"/>
                          <w:lang w:val="fr-CH"/>
                        </w:rPr>
                        <w:t>ii</w:t>
                      </w:r>
                      <w:r w:rsidR="004A4B31" w:rsidRPr="004A4B31">
                        <w:rPr>
                          <w:rFonts w:cs="Calibri"/>
                          <w:lang w:val="fr-CH"/>
                        </w:rPr>
                        <w:t>)</w:t>
                      </w:r>
                      <w:r w:rsidRPr="004A4B31">
                        <w:rPr>
                          <w:rFonts w:cs="Calibri"/>
                          <w:lang w:val="fr-CH"/>
                        </w:rPr>
                        <w:tab/>
                      </w:r>
                      <w:r w:rsidR="001E4EBA">
                        <w:rPr>
                          <w:rFonts w:cs="Calibri"/>
                          <w:lang w:val="fr-CH"/>
                        </w:rPr>
                        <w:t>donner des instructions au</w:t>
                      </w:r>
                      <w:r w:rsidR="004A4B31">
                        <w:rPr>
                          <w:rFonts w:cs="Calibri"/>
                          <w:lang w:val="fr-CH"/>
                        </w:rPr>
                        <w:t xml:space="preserve"> Secrétariat </w:t>
                      </w:r>
                      <w:r w:rsidR="001E4EBA">
                        <w:rPr>
                          <w:rFonts w:cs="Calibri"/>
                          <w:lang w:val="fr-CH"/>
                        </w:rPr>
                        <w:t>sur l</w:t>
                      </w:r>
                      <w:r w:rsidR="004A4B31">
                        <w:rPr>
                          <w:rFonts w:cs="Calibri"/>
                          <w:lang w:val="fr-CH"/>
                        </w:rPr>
                        <w:t>es mesures à prendre.</w:t>
                      </w:r>
                    </w:p>
                  </w:txbxContent>
                </v:textbox>
                <w10:anchorlock/>
              </v:shape>
            </w:pict>
          </mc:Fallback>
        </mc:AlternateContent>
      </w:r>
    </w:p>
    <w:p w14:paraId="1D48C675" w14:textId="77777777" w:rsidR="00EC5F50" w:rsidRPr="004A4B31" w:rsidRDefault="00EC5F50" w:rsidP="003A7707">
      <w:pPr>
        <w:rPr>
          <w:b/>
          <w:lang w:val="fr-CH"/>
        </w:rPr>
      </w:pPr>
    </w:p>
    <w:p w14:paraId="713B6927" w14:textId="58CBCB72" w:rsidR="003A7707" w:rsidRPr="004A4B31" w:rsidRDefault="00B624C0" w:rsidP="00563B22">
      <w:pPr>
        <w:spacing w:after="0" w:line="240" w:lineRule="auto"/>
        <w:rPr>
          <w:b/>
          <w:lang w:val="fr-CH"/>
        </w:rPr>
      </w:pPr>
      <w:r w:rsidRPr="004A4B31">
        <w:rPr>
          <w:b/>
          <w:lang w:val="fr-CH"/>
        </w:rPr>
        <w:t xml:space="preserve">Introduction </w:t>
      </w:r>
      <w:r w:rsidR="003A7707" w:rsidRPr="004A4B31">
        <w:rPr>
          <w:b/>
          <w:lang w:val="fr-CH"/>
        </w:rPr>
        <w:t xml:space="preserve"> </w:t>
      </w:r>
    </w:p>
    <w:p w14:paraId="79F5ECAE" w14:textId="77777777" w:rsidR="00563B22" w:rsidRPr="004A4B31" w:rsidRDefault="00563B22" w:rsidP="00563B22">
      <w:pPr>
        <w:spacing w:after="0" w:line="240" w:lineRule="auto"/>
        <w:rPr>
          <w:lang w:val="fr-CH"/>
        </w:rPr>
      </w:pPr>
    </w:p>
    <w:p w14:paraId="7910BECB" w14:textId="54E4973F" w:rsidR="00563B22" w:rsidRPr="004A4B31" w:rsidRDefault="00563B22" w:rsidP="00563B22">
      <w:pPr>
        <w:spacing w:after="0" w:line="240" w:lineRule="auto"/>
        <w:ind w:left="426" w:hanging="426"/>
        <w:rPr>
          <w:i/>
          <w:iCs/>
          <w:lang w:val="fr-CH"/>
        </w:rPr>
      </w:pPr>
      <w:r w:rsidRPr="004A4B31">
        <w:rPr>
          <w:lang w:val="fr-CH"/>
        </w:rPr>
        <w:t>1.</w:t>
      </w:r>
      <w:r w:rsidRPr="004A4B31">
        <w:rPr>
          <w:lang w:val="fr-CH"/>
        </w:rPr>
        <w:tab/>
      </w:r>
      <w:r w:rsidR="004A4B31">
        <w:rPr>
          <w:lang w:val="fr-CH"/>
        </w:rPr>
        <w:t xml:space="preserve">Le présent document </w:t>
      </w:r>
      <w:r w:rsidR="001E4EBA">
        <w:rPr>
          <w:lang w:val="fr-CH"/>
        </w:rPr>
        <w:t>a été</w:t>
      </w:r>
      <w:r w:rsidR="004A4B31">
        <w:rPr>
          <w:lang w:val="fr-CH"/>
        </w:rPr>
        <w:t xml:space="preserve"> préparé par le Secrétariat de la Convention conformément à la Décision </w:t>
      </w:r>
      <w:r w:rsidR="00514E57" w:rsidRPr="004A4B31">
        <w:rPr>
          <w:lang w:val="fr-CH"/>
        </w:rPr>
        <w:t>SC62</w:t>
      </w:r>
      <w:r w:rsidR="004A4B31">
        <w:rPr>
          <w:lang w:val="fr-CH"/>
        </w:rPr>
        <w:noBreakHyphen/>
      </w:r>
      <w:r w:rsidR="00514E57" w:rsidRPr="004A4B31">
        <w:rPr>
          <w:lang w:val="fr-CH"/>
        </w:rPr>
        <w:t>53</w:t>
      </w:r>
      <w:r w:rsidR="005451AB" w:rsidRPr="004A4B31">
        <w:rPr>
          <w:lang w:val="fr-CH"/>
        </w:rPr>
        <w:t xml:space="preserve"> </w:t>
      </w:r>
      <w:proofErr w:type="gramStart"/>
      <w:r w:rsidR="004A4B31">
        <w:rPr>
          <w:lang w:val="fr-CH"/>
        </w:rPr>
        <w:t>prise</w:t>
      </w:r>
      <w:proofErr w:type="gramEnd"/>
      <w:r w:rsidR="004A4B31">
        <w:rPr>
          <w:lang w:val="fr-CH"/>
        </w:rPr>
        <w:t xml:space="preserve"> par le Comité permanent à sa 62</w:t>
      </w:r>
      <w:r w:rsidR="004A4B31" w:rsidRPr="004A4B31">
        <w:rPr>
          <w:vertAlign w:val="superscript"/>
          <w:lang w:val="fr-CH"/>
        </w:rPr>
        <w:t>e</w:t>
      </w:r>
      <w:r w:rsidR="004A4B31">
        <w:rPr>
          <w:lang w:val="fr-CH"/>
        </w:rPr>
        <w:t> Réunion (SC62) en septembre 2023, dans laquelle :</w:t>
      </w:r>
    </w:p>
    <w:p w14:paraId="16899CF1" w14:textId="77777777" w:rsidR="00563B22" w:rsidRPr="004A4B31" w:rsidRDefault="00563B22" w:rsidP="00563B22">
      <w:pPr>
        <w:pStyle w:val="ListParagraph"/>
        <w:spacing w:after="0" w:line="240" w:lineRule="auto"/>
        <w:ind w:left="0"/>
        <w:rPr>
          <w:i/>
          <w:iCs/>
          <w:lang w:val="fr-CH"/>
        </w:rPr>
      </w:pPr>
    </w:p>
    <w:p w14:paraId="21089A51" w14:textId="65EB941A" w:rsidR="00EE30B4" w:rsidRPr="004A4B31" w:rsidRDefault="00EE30B4" w:rsidP="00563B22">
      <w:pPr>
        <w:pStyle w:val="ListParagraph"/>
        <w:spacing w:after="0" w:line="240" w:lineRule="auto"/>
        <w:ind w:left="851"/>
        <w:rPr>
          <w:i/>
          <w:iCs/>
          <w:lang w:val="fr-CH"/>
        </w:rPr>
      </w:pPr>
      <w:r w:rsidRPr="004A4B31">
        <w:rPr>
          <w:i/>
          <w:iCs/>
          <w:lang w:val="fr-CH"/>
        </w:rPr>
        <w:t>« Le</w:t>
      </w:r>
      <w:r w:rsidR="00AD66DB" w:rsidRPr="004A4B31">
        <w:rPr>
          <w:i/>
          <w:iCs/>
          <w:lang w:val="fr-CH"/>
        </w:rPr>
        <w:t xml:space="preserve"> Comité permanent donne instruction au Secrétariat de soumettre à la 63</w:t>
      </w:r>
      <w:r w:rsidR="00AD66DB" w:rsidRPr="004A4B31">
        <w:rPr>
          <w:i/>
          <w:iCs/>
          <w:vertAlign w:val="superscript"/>
          <w:lang w:val="fr-CH"/>
        </w:rPr>
        <w:t>e</w:t>
      </w:r>
      <w:r w:rsidR="00AD66DB" w:rsidRPr="004A4B31">
        <w:rPr>
          <w:i/>
          <w:iCs/>
          <w:lang w:val="fr-CH"/>
        </w:rPr>
        <w:t xml:space="preserve"> Réunion du Comité permanent un rapport </w:t>
      </w:r>
      <w:bookmarkStart w:id="4" w:name="_Hlk159314173"/>
      <w:r w:rsidR="00AD66DB" w:rsidRPr="004A4B31">
        <w:rPr>
          <w:i/>
          <w:iCs/>
          <w:lang w:val="fr-CH"/>
        </w:rPr>
        <w:t>sur les difficultés et possibilités relatives à la soumission et à la mise à jour des Fiches descriptives Ramsar</w:t>
      </w:r>
      <w:bookmarkEnd w:id="4"/>
      <w:r w:rsidR="00AD66DB" w:rsidRPr="004A4B31">
        <w:rPr>
          <w:i/>
          <w:iCs/>
          <w:lang w:val="fr-CH"/>
        </w:rPr>
        <w:t>, notamment :</w:t>
      </w:r>
    </w:p>
    <w:p w14:paraId="60BE2EDA" w14:textId="4D657A13" w:rsidR="00EE30B4" w:rsidRPr="004A4B31" w:rsidRDefault="00EE30B4" w:rsidP="00563B22">
      <w:pPr>
        <w:pStyle w:val="ListParagraph"/>
        <w:spacing w:after="0" w:line="240" w:lineRule="auto"/>
        <w:ind w:left="851"/>
        <w:rPr>
          <w:i/>
          <w:iCs/>
          <w:lang w:val="fr-CH"/>
        </w:rPr>
      </w:pPr>
      <w:r w:rsidRPr="004A4B31">
        <w:rPr>
          <w:i/>
          <w:iCs/>
          <w:lang w:val="fr-CH"/>
        </w:rPr>
        <w:t>-</w:t>
      </w:r>
      <w:r w:rsidR="00D54218">
        <w:rPr>
          <w:i/>
          <w:iCs/>
          <w:lang w:val="fr-CH"/>
        </w:rPr>
        <w:t xml:space="preserve"> </w:t>
      </w:r>
      <w:r w:rsidR="00AD66DB" w:rsidRPr="004A4B31">
        <w:rPr>
          <w:i/>
          <w:iCs/>
          <w:lang w:val="fr-CH"/>
        </w:rPr>
        <w:t>Difficultés et options systémiques, liées à la procédure et d’ordre technique ; et</w:t>
      </w:r>
    </w:p>
    <w:p w14:paraId="42CC82E8" w14:textId="7C100749" w:rsidR="00DA14E3" w:rsidRPr="004A4B31" w:rsidRDefault="00EE30B4" w:rsidP="00563B22">
      <w:pPr>
        <w:pStyle w:val="ListParagraph"/>
        <w:spacing w:after="0" w:line="240" w:lineRule="auto"/>
        <w:ind w:left="851"/>
        <w:rPr>
          <w:i/>
          <w:iCs/>
          <w:lang w:val="fr-CH"/>
        </w:rPr>
      </w:pPr>
      <w:r w:rsidRPr="004A4B31">
        <w:rPr>
          <w:i/>
          <w:iCs/>
          <w:lang w:val="fr-CH"/>
        </w:rPr>
        <w:t>-</w:t>
      </w:r>
      <w:r w:rsidR="00D54218">
        <w:rPr>
          <w:i/>
          <w:iCs/>
          <w:lang w:val="fr-CH"/>
        </w:rPr>
        <w:t xml:space="preserve"> </w:t>
      </w:r>
      <w:r w:rsidR="00AD66DB" w:rsidRPr="004A4B31">
        <w:rPr>
          <w:i/>
          <w:iCs/>
          <w:lang w:val="fr-CH"/>
        </w:rPr>
        <w:t>Difficultés financières, besoins et possibilités.</w:t>
      </w:r>
    </w:p>
    <w:p w14:paraId="7A2AE166" w14:textId="0C76DF4C" w:rsidR="00FE1C88" w:rsidRPr="004A4B31" w:rsidRDefault="00AD66DB" w:rsidP="00563B22">
      <w:pPr>
        <w:pStyle w:val="ListParagraph"/>
        <w:spacing w:after="0" w:line="240" w:lineRule="auto"/>
        <w:ind w:left="851"/>
        <w:rPr>
          <w:lang w:val="fr-CH"/>
        </w:rPr>
      </w:pPr>
      <w:r w:rsidRPr="004A4B31">
        <w:rPr>
          <w:i/>
          <w:iCs/>
          <w:lang w:val="fr-CH"/>
        </w:rPr>
        <w:t>Ce faisant, le Secrétariat obtiendra et rassemblera les données, en consultation avec les Parties contractantes, le GEST et d’autres parties prenantes. Le Secrétariat développera l’approche à adopter pour entreprendre cette tâche, en consultation avec les Parties contractantes, dans le cadre de procédures écrites et d’une ou de plusieurs séance(s) en ligne</w:t>
      </w:r>
      <w:r w:rsidR="00EE30B4" w:rsidRPr="004A4B31">
        <w:rPr>
          <w:i/>
          <w:iCs/>
          <w:lang w:val="fr-CH"/>
        </w:rPr>
        <w:t>. »</w:t>
      </w:r>
    </w:p>
    <w:p w14:paraId="6B06F0B0" w14:textId="77777777" w:rsidR="00B03D6D" w:rsidRPr="004A4B31" w:rsidRDefault="00B03D6D" w:rsidP="00563B22">
      <w:pPr>
        <w:pStyle w:val="ListParagraph"/>
        <w:spacing w:after="0" w:line="240" w:lineRule="auto"/>
        <w:ind w:left="0"/>
        <w:rPr>
          <w:lang w:val="fr-CH"/>
        </w:rPr>
      </w:pPr>
    </w:p>
    <w:p w14:paraId="1A4D1F58" w14:textId="4A79E54E" w:rsidR="007A43F4" w:rsidRPr="004A4B31" w:rsidRDefault="00563B22" w:rsidP="00563B22">
      <w:pPr>
        <w:spacing w:after="0" w:line="240" w:lineRule="auto"/>
        <w:ind w:left="426" w:hanging="426"/>
        <w:rPr>
          <w:lang w:val="fr-CH"/>
        </w:rPr>
      </w:pPr>
      <w:r w:rsidRPr="004A4B31">
        <w:rPr>
          <w:lang w:val="fr-CH"/>
        </w:rPr>
        <w:t>2.</w:t>
      </w:r>
      <w:r w:rsidRPr="004A4B31">
        <w:rPr>
          <w:lang w:val="fr-CH"/>
        </w:rPr>
        <w:tab/>
      </w:r>
      <w:r w:rsidR="00D52617">
        <w:rPr>
          <w:lang w:val="fr-CH"/>
        </w:rPr>
        <w:t xml:space="preserve">La Liste </w:t>
      </w:r>
      <w:r w:rsidR="00061672">
        <w:rPr>
          <w:lang w:val="fr-CH"/>
        </w:rPr>
        <w:t>des zones humides d’importance internationale est tenue par le Secrétariat. Les informations sur les zones humides d’importance internationale fournies par les Parties contractantes dans la Fiche descriptive Ramsar (FDR) sont à disposition sur le Service d’information sur les Sites Ramsar (SISR)</w:t>
      </w:r>
      <w:r w:rsidR="0049788C" w:rsidRPr="004A4B31">
        <w:rPr>
          <w:rStyle w:val="FootnoteReference"/>
          <w:lang w:val="fr-CH"/>
        </w:rPr>
        <w:footnoteReference w:id="2"/>
      </w:r>
      <w:r w:rsidR="00A13AA0" w:rsidRPr="004A4B31">
        <w:rPr>
          <w:lang w:val="fr-CH"/>
        </w:rPr>
        <w:t xml:space="preserve">. </w:t>
      </w:r>
      <w:r w:rsidR="00061672">
        <w:rPr>
          <w:lang w:val="fr-CH"/>
        </w:rPr>
        <w:t>La FDR utilisée actuellement a été adoptée dans la Résolution </w:t>
      </w:r>
      <w:r w:rsidR="003604D2" w:rsidRPr="004A4B31">
        <w:rPr>
          <w:lang w:val="fr-CH"/>
        </w:rPr>
        <w:t>XI.8</w:t>
      </w:r>
      <w:r w:rsidR="006035FE" w:rsidRPr="004A4B31">
        <w:rPr>
          <w:lang w:val="fr-CH"/>
        </w:rPr>
        <w:t>,</w:t>
      </w:r>
      <w:r w:rsidR="0049788C" w:rsidRPr="004A4B31">
        <w:rPr>
          <w:lang w:val="fr-CH"/>
        </w:rPr>
        <w:t xml:space="preserve"> </w:t>
      </w:r>
      <w:r w:rsidR="00EE30B4" w:rsidRPr="004A4B31">
        <w:rPr>
          <w:i/>
          <w:lang w:val="fr-CH"/>
        </w:rPr>
        <w:t>Simplifier les procédures de description des Sites Ramsar au moment de leur inscription et lors de mises à jour ultérieures</w:t>
      </w:r>
      <w:r w:rsidR="003604D2" w:rsidRPr="004A4B31">
        <w:rPr>
          <w:lang w:val="fr-CH"/>
        </w:rPr>
        <w:t xml:space="preserve">. </w:t>
      </w:r>
      <w:r w:rsidR="006035FE" w:rsidRPr="004A4B31">
        <w:rPr>
          <w:lang w:val="fr-CH"/>
        </w:rPr>
        <w:t>L</w:t>
      </w:r>
      <w:r w:rsidR="00C853A7" w:rsidRPr="004A4B31">
        <w:rPr>
          <w:lang w:val="fr-CH"/>
        </w:rPr>
        <w:t xml:space="preserve">e </w:t>
      </w:r>
      <w:r w:rsidR="006035FE" w:rsidRPr="004A4B31">
        <w:rPr>
          <w:i/>
          <w:lang w:val="fr-CH"/>
        </w:rPr>
        <w:t xml:space="preserve">Cadre stratégique et lignes directrices pour orienter l’évolution de la Liste des zones humides d’importance internationale de la Convention </w:t>
      </w:r>
      <w:r w:rsidR="006035FE" w:rsidRPr="004A4B31">
        <w:rPr>
          <w:i/>
          <w:lang w:val="fr-CH"/>
        </w:rPr>
        <w:lastRenderedPageBreak/>
        <w:t>sur les zones humides</w:t>
      </w:r>
      <w:r w:rsidR="00E54BD8" w:rsidRPr="004A4B31">
        <w:rPr>
          <w:lang w:val="fr-CH"/>
        </w:rPr>
        <w:t xml:space="preserve">, </w:t>
      </w:r>
      <w:r w:rsidR="00BC3C86">
        <w:rPr>
          <w:lang w:val="fr-CH"/>
        </w:rPr>
        <w:t>dont la dernière mise à jour date de </w:t>
      </w:r>
      <w:r w:rsidR="0049788C" w:rsidRPr="004A4B31">
        <w:rPr>
          <w:lang w:val="fr-CH"/>
        </w:rPr>
        <w:t>2022</w:t>
      </w:r>
      <w:r w:rsidR="0049788C" w:rsidRPr="004A4B31">
        <w:rPr>
          <w:rStyle w:val="FootnoteReference"/>
          <w:lang w:val="fr-CH"/>
        </w:rPr>
        <w:footnoteReference w:id="3"/>
      </w:r>
      <w:r w:rsidR="00E54BD8" w:rsidRPr="004A4B31">
        <w:rPr>
          <w:lang w:val="fr-CH"/>
        </w:rPr>
        <w:t xml:space="preserve">, </w:t>
      </w:r>
      <w:r w:rsidR="00A72D6D">
        <w:rPr>
          <w:lang w:val="fr-CH"/>
        </w:rPr>
        <w:t>donne</w:t>
      </w:r>
      <w:r w:rsidR="00BC3C86">
        <w:rPr>
          <w:lang w:val="fr-CH"/>
        </w:rPr>
        <w:t xml:space="preserve"> des </w:t>
      </w:r>
      <w:r w:rsidR="00A72D6D">
        <w:rPr>
          <w:lang w:val="fr-CH"/>
        </w:rPr>
        <w:t>conseils pour</w:t>
      </w:r>
      <w:r w:rsidR="00BC3C86">
        <w:rPr>
          <w:lang w:val="fr-CH"/>
        </w:rPr>
        <w:t xml:space="preserve"> remplir la FDR.</w:t>
      </w:r>
      <w:r w:rsidR="00C853A7" w:rsidRPr="004A4B31">
        <w:rPr>
          <w:lang w:val="fr-CH"/>
        </w:rPr>
        <w:t xml:space="preserve"> </w:t>
      </w:r>
    </w:p>
    <w:p w14:paraId="03206FA9" w14:textId="77777777" w:rsidR="007A43F4" w:rsidRPr="004A4B31" w:rsidRDefault="007A43F4" w:rsidP="00563B22">
      <w:pPr>
        <w:pStyle w:val="ListParagraph"/>
        <w:spacing w:after="0" w:line="240" w:lineRule="auto"/>
        <w:ind w:left="426" w:hanging="426"/>
        <w:rPr>
          <w:lang w:val="fr-CH"/>
        </w:rPr>
      </w:pPr>
    </w:p>
    <w:p w14:paraId="2CE00E0A" w14:textId="6283BA1D" w:rsidR="007D1631" w:rsidRPr="004A4B31" w:rsidRDefault="00563B22" w:rsidP="00563B22">
      <w:pPr>
        <w:spacing w:after="0" w:line="240" w:lineRule="auto"/>
        <w:ind w:left="426" w:hanging="426"/>
        <w:rPr>
          <w:lang w:val="fr-CH"/>
        </w:rPr>
      </w:pPr>
      <w:r w:rsidRPr="004A4B31">
        <w:rPr>
          <w:lang w:val="fr-CH"/>
        </w:rPr>
        <w:t>3.</w:t>
      </w:r>
      <w:r w:rsidRPr="004A4B31">
        <w:rPr>
          <w:lang w:val="fr-CH"/>
        </w:rPr>
        <w:tab/>
      </w:r>
      <w:r w:rsidR="006035FE" w:rsidRPr="004A4B31">
        <w:rPr>
          <w:lang w:val="fr-CH"/>
        </w:rPr>
        <w:t xml:space="preserve">La </w:t>
      </w:r>
      <w:r w:rsidR="000D5876" w:rsidRPr="004A4B31">
        <w:rPr>
          <w:lang w:val="fr-CH"/>
        </w:rPr>
        <w:t>R</w:t>
      </w:r>
      <w:r w:rsidR="006035FE" w:rsidRPr="004A4B31">
        <w:rPr>
          <w:lang w:val="fr-CH"/>
        </w:rPr>
        <w:t>é</w:t>
      </w:r>
      <w:r w:rsidR="000D5876" w:rsidRPr="004A4B31">
        <w:rPr>
          <w:lang w:val="fr-CH"/>
        </w:rPr>
        <w:t>solution VI.13</w:t>
      </w:r>
      <w:r w:rsidR="006035FE" w:rsidRPr="004A4B31">
        <w:rPr>
          <w:lang w:val="fr-CH"/>
        </w:rPr>
        <w:t>,</w:t>
      </w:r>
      <w:r w:rsidR="0049788C" w:rsidRPr="004A4B31">
        <w:rPr>
          <w:lang w:val="fr-CH"/>
        </w:rPr>
        <w:t xml:space="preserve"> </w:t>
      </w:r>
      <w:r w:rsidR="006035FE" w:rsidRPr="004A4B31">
        <w:rPr>
          <w:i/>
          <w:lang w:val="fr-CH"/>
        </w:rPr>
        <w:t xml:space="preserve">Communication d’informations relatives aux sites désignés pour inscription sur la Liste Ramsar des zones humides d’importance internationale, </w:t>
      </w:r>
      <w:r w:rsidR="00BC3C86">
        <w:rPr>
          <w:lang w:val="fr-CH"/>
        </w:rPr>
        <w:t xml:space="preserve">prie instamment les Parties contractantes de remplir des </w:t>
      </w:r>
      <w:r w:rsidR="00A72EAF">
        <w:rPr>
          <w:lang w:val="fr-CH"/>
        </w:rPr>
        <w:t>FDR</w:t>
      </w:r>
      <w:r w:rsidR="00BC3C86">
        <w:rPr>
          <w:lang w:val="fr-CH"/>
        </w:rPr>
        <w:t xml:space="preserve"> pour tous les sites désignés comme zones humides d’importance internationale et de réviser les données tous les six ans au moins, à des fins de suivi. </w:t>
      </w:r>
      <w:r w:rsidR="006035FE" w:rsidRPr="004A4B31">
        <w:rPr>
          <w:lang w:val="fr-CH"/>
        </w:rPr>
        <w:t>La Ré</w:t>
      </w:r>
      <w:r w:rsidR="00361220" w:rsidRPr="004A4B31">
        <w:rPr>
          <w:lang w:val="fr-CH"/>
        </w:rPr>
        <w:t>solution XIV.13</w:t>
      </w:r>
      <w:r w:rsidR="006035FE" w:rsidRPr="004A4B31">
        <w:rPr>
          <w:lang w:val="fr-CH"/>
        </w:rPr>
        <w:t>,</w:t>
      </w:r>
      <w:r w:rsidR="0049788C" w:rsidRPr="004A4B31">
        <w:rPr>
          <w:lang w:val="fr-CH"/>
        </w:rPr>
        <w:t xml:space="preserve"> </w:t>
      </w:r>
      <w:r w:rsidR="006035FE" w:rsidRPr="004A4B31">
        <w:rPr>
          <w:i/>
          <w:lang w:val="fr-CH"/>
        </w:rPr>
        <w:t xml:space="preserve">État des sites inscrits sur la Liste des zones humides d’importance internationale, </w:t>
      </w:r>
      <w:r w:rsidR="00BC3C86">
        <w:rPr>
          <w:lang w:val="fr-CH"/>
        </w:rPr>
        <w:t>prie instamment les Parties contractantes qui n’ont pas soumis de FDR ou de carte pour des zones humides d’importance internationale désignées, de fournir ces informations</w:t>
      </w:r>
      <w:r w:rsidR="00A72EAF">
        <w:rPr>
          <w:lang w:val="fr-CH"/>
        </w:rPr>
        <w:t>,</w:t>
      </w:r>
      <w:r w:rsidR="00BC3C86">
        <w:rPr>
          <w:lang w:val="fr-CH"/>
        </w:rPr>
        <w:t xml:space="preserve"> demande aux Parties contractantes </w:t>
      </w:r>
      <w:r w:rsidR="0088513D">
        <w:rPr>
          <w:lang w:val="fr-CH"/>
        </w:rPr>
        <w:t xml:space="preserve">de soumettre des informations à jour tous les six ans au moins en utilisant la FDR, et donne instruction au Secrétariat de contacter les Parties contractantes </w:t>
      </w:r>
      <w:r w:rsidR="00A72EAF">
        <w:rPr>
          <w:lang w:val="fr-CH"/>
        </w:rPr>
        <w:t>concernées</w:t>
      </w:r>
      <w:r w:rsidR="0088513D">
        <w:rPr>
          <w:lang w:val="fr-CH"/>
        </w:rPr>
        <w:t xml:space="preserve"> pour leur offrir un soutien technique.</w:t>
      </w:r>
      <w:r w:rsidR="00796A8E" w:rsidRPr="004A4B31">
        <w:rPr>
          <w:lang w:val="fr-CH"/>
        </w:rPr>
        <w:t xml:space="preserve"> </w:t>
      </w:r>
    </w:p>
    <w:p w14:paraId="2A8763A3" w14:textId="77777777" w:rsidR="007D1631" w:rsidRPr="004A4B31" w:rsidRDefault="007D1631" w:rsidP="00563B22">
      <w:pPr>
        <w:pStyle w:val="ListParagraph"/>
        <w:spacing w:after="0" w:line="240" w:lineRule="auto"/>
        <w:ind w:left="426" w:hanging="426"/>
        <w:rPr>
          <w:lang w:val="fr-CH"/>
        </w:rPr>
      </w:pPr>
    </w:p>
    <w:p w14:paraId="1CCE44DB" w14:textId="7E5E28EB" w:rsidR="007A43F4" w:rsidRPr="004A4B31" w:rsidRDefault="00563B22" w:rsidP="00563B22">
      <w:pPr>
        <w:spacing w:after="0" w:line="240" w:lineRule="auto"/>
        <w:ind w:left="426" w:hanging="426"/>
        <w:rPr>
          <w:lang w:val="fr-CH"/>
        </w:rPr>
      </w:pPr>
      <w:r w:rsidRPr="004A4B31">
        <w:rPr>
          <w:lang w:val="fr-CH"/>
        </w:rPr>
        <w:t>4.</w:t>
      </w:r>
      <w:r w:rsidRPr="004A4B31">
        <w:rPr>
          <w:lang w:val="fr-CH"/>
        </w:rPr>
        <w:tab/>
      </w:r>
      <w:r w:rsidR="00783E0F">
        <w:rPr>
          <w:lang w:val="fr-CH"/>
        </w:rPr>
        <w:t>P</w:t>
      </w:r>
      <w:r w:rsidR="004F4C6F">
        <w:rPr>
          <w:lang w:val="fr-CH"/>
        </w:rPr>
        <w:t>our aider les Parties à mettre à jour leurs FDR</w:t>
      </w:r>
      <w:r w:rsidR="00783E0F">
        <w:rPr>
          <w:lang w:val="fr-CH"/>
        </w:rPr>
        <w:t>, le Secrétariat a pris différentes mesures, notamment</w:t>
      </w:r>
      <w:r w:rsidR="004F4C6F">
        <w:rPr>
          <w:lang w:val="fr-CH"/>
        </w:rPr>
        <w:t xml:space="preserve"> : l’organisation de neuf webinaires de formation entre 2019 et 2021 ; la production et la publication de tutoriels vidéo sur le site </w:t>
      </w:r>
      <w:r w:rsidR="00783E0F">
        <w:rPr>
          <w:lang w:val="fr-CH"/>
        </w:rPr>
        <w:t>W</w:t>
      </w:r>
      <w:r w:rsidR="004F4C6F">
        <w:rPr>
          <w:lang w:val="fr-CH"/>
        </w:rPr>
        <w:t>eb de la Convention ; et la préparation</w:t>
      </w:r>
      <w:r w:rsidR="00783E0F">
        <w:rPr>
          <w:lang w:val="fr-CH"/>
        </w:rPr>
        <w:t>, depuis 2000,</w:t>
      </w:r>
      <w:r w:rsidR="004F4C6F">
        <w:rPr>
          <w:lang w:val="fr-CH"/>
        </w:rPr>
        <w:t xml:space="preserve"> de rapports sur l’état de la Liste des zones humides d’importance internationale pour toutes les réunions du Comité permanent et les sessions de la Conférence des Parties contractantes. Toutef</w:t>
      </w:r>
      <w:r w:rsidR="004F4C6F" w:rsidRPr="00391EB7">
        <w:rPr>
          <w:lang w:val="fr-CH"/>
        </w:rPr>
        <w:t xml:space="preserve">ois, le nombre </w:t>
      </w:r>
      <w:r w:rsidR="00783E0F" w:rsidRPr="00391EB7">
        <w:rPr>
          <w:lang w:val="fr-CH"/>
        </w:rPr>
        <w:t>et</w:t>
      </w:r>
      <w:r w:rsidR="00BC0262" w:rsidRPr="00391EB7">
        <w:rPr>
          <w:lang w:val="fr-CH"/>
        </w:rPr>
        <w:t xml:space="preserve"> la proportion de FDR </w:t>
      </w:r>
      <w:r w:rsidR="003F3FD0" w:rsidRPr="00391EB7">
        <w:rPr>
          <w:lang w:val="fr-CH"/>
        </w:rPr>
        <w:t>dont les données doivent être mises à jour</w:t>
      </w:r>
      <w:r w:rsidR="00BC0262" w:rsidRPr="00391EB7">
        <w:rPr>
          <w:lang w:val="fr-CH"/>
        </w:rPr>
        <w:t xml:space="preserve"> augmentent : </w:t>
      </w:r>
      <w:r w:rsidR="003B0C53" w:rsidRPr="00391EB7">
        <w:rPr>
          <w:lang w:val="fr-CH"/>
        </w:rPr>
        <w:t>1238</w:t>
      </w:r>
      <w:r w:rsidR="00DB6C21" w:rsidRPr="00391EB7">
        <w:rPr>
          <w:lang w:val="fr-CH"/>
        </w:rPr>
        <w:t xml:space="preserve"> </w:t>
      </w:r>
      <w:r w:rsidR="00783E0F" w:rsidRPr="00391EB7">
        <w:rPr>
          <w:lang w:val="fr-CH"/>
        </w:rPr>
        <w:t>po</w:t>
      </w:r>
      <w:r w:rsidR="00674E1E" w:rsidRPr="00391EB7">
        <w:rPr>
          <w:lang w:val="fr-CH"/>
        </w:rPr>
        <w:t xml:space="preserve">ur un total de </w:t>
      </w:r>
      <w:r w:rsidR="000C567F" w:rsidRPr="00391EB7">
        <w:rPr>
          <w:lang w:val="fr-CH"/>
        </w:rPr>
        <w:t>2</w:t>
      </w:r>
      <w:r w:rsidR="00391EB7" w:rsidRPr="00391EB7">
        <w:rPr>
          <w:lang w:val="fr-CH"/>
        </w:rPr>
        <w:t>188</w:t>
      </w:r>
      <w:r w:rsidR="00674E1E" w:rsidRPr="00391EB7">
        <w:rPr>
          <w:lang w:val="fr-CH"/>
        </w:rPr>
        <w:t> </w:t>
      </w:r>
      <w:r w:rsidR="00DB6C21" w:rsidRPr="00391EB7">
        <w:rPr>
          <w:lang w:val="fr-CH"/>
        </w:rPr>
        <w:t>sites</w:t>
      </w:r>
      <w:r w:rsidR="00DC433D" w:rsidRPr="00391EB7">
        <w:rPr>
          <w:lang w:val="fr-CH"/>
        </w:rPr>
        <w:t xml:space="preserve"> </w:t>
      </w:r>
      <w:r w:rsidR="003F3FD0" w:rsidRPr="00391EB7">
        <w:rPr>
          <w:lang w:val="fr-CH"/>
        </w:rPr>
        <w:t>devaient être mises à jour</w:t>
      </w:r>
      <w:r w:rsidR="00674E1E" w:rsidRPr="00391EB7">
        <w:rPr>
          <w:lang w:val="fr-CH"/>
        </w:rPr>
        <w:t xml:space="preserve"> au moment de la </w:t>
      </w:r>
      <w:r w:rsidR="00DC433D" w:rsidRPr="00391EB7">
        <w:rPr>
          <w:lang w:val="fr-CH"/>
        </w:rPr>
        <w:t>COP12</w:t>
      </w:r>
      <w:r w:rsidR="003B0C53" w:rsidRPr="00391EB7">
        <w:rPr>
          <w:lang w:val="fr-CH"/>
        </w:rPr>
        <w:t>, 15</w:t>
      </w:r>
      <w:r w:rsidR="00391EB7" w:rsidRPr="00391EB7">
        <w:rPr>
          <w:lang w:val="fr-CH"/>
        </w:rPr>
        <w:t>92</w:t>
      </w:r>
      <w:r w:rsidR="00674E1E" w:rsidRPr="00391EB7">
        <w:rPr>
          <w:lang w:val="fr-CH"/>
        </w:rPr>
        <w:t xml:space="preserve"> sur un total de </w:t>
      </w:r>
      <w:r w:rsidR="00391EB7" w:rsidRPr="00391EB7">
        <w:rPr>
          <w:lang w:val="fr-CH"/>
        </w:rPr>
        <w:t>2314</w:t>
      </w:r>
      <w:r w:rsidR="00674E1E" w:rsidRPr="00391EB7">
        <w:rPr>
          <w:lang w:val="fr-CH"/>
        </w:rPr>
        <w:t> </w:t>
      </w:r>
      <w:r w:rsidR="00854DE3" w:rsidRPr="00391EB7">
        <w:rPr>
          <w:lang w:val="fr-CH"/>
        </w:rPr>
        <w:t>sites</w:t>
      </w:r>
      <w:r w:rsidR="00674E1E" w:rsidRPr="00391EB7">
        <w:rPr>
          <w:lang w:val="fr-CH"/>
        </w:rPr>
        <w:t xml:space="preserve"> à la </w:t>
      </w:r>
      <w:r w:rsidR="00DC433D" w:rsidRPr="00391EB7">
        <w:rPr>
          <w:lang w:val="fr-CH"/>
        </w:rPr>
        <w:t xml:space="preserve">COP13, </w:t>
      </w:r>
      <w:r w:rsidR="00674E1E" w:rsidRPr="00391EB7">
        <w:rPr>
          <w:lang w:val="fr-CH"/>
        </w:rPr>
        <w:t>et</w:t>
      </w:r>
      <w:r w:rsidR="003B0C53" w:rsidRPr="00391EB7">
        <w:rPr>
          <w:lang w:val="fr-CH"/>
        </w:rPr>
        <w:t xml:space="preserve"> 1826</w:t>
      </w:r>
      <w:r w:rsidR="00854DE3" w:rsidRPr="00391EB7">
        <w:rPr>
          <w:lang w:val="fr-CH"/>
        </w:rPr>
        <w:t xml:space="preserve"> </w:t>
      </w:r>
      <w:r w:rsidR="00674E1E" w:rsidRPr="00391EB7">
        <w:rPr>
          <w:lang w:val="fr-CH"/>
        </w:rPr>
        <w:t>sur un total de</w:t>
      </w:r>
      <w:r w:rsidR="00854DE3" w:rsidRPr="00391EB7">
        <w:rPr>
          <w:lang w:val="fr-CH"/>
        </w:rPr>
        <w:t xml:space="preserve"> </w:t>
      </w:r>
      <w:r w:rsidR="001D754E" w:rsidRPr="00391EB7">
        <w:rPr>
          <w:lang w:val="fr-CH"/>
        </w:rPr>
        <w:t>24</w:t>
      </w:r>
      <w:r w:rsidR="00391EB7" w:rsidRPr="00391EB7">
        <w:rPr>
          <w:lang w:val="fr-CH"/>
        </w:rPr>
        <w:t>39</w:t>
      </w:r>
      <w:r w:rsidR="00674E1E" w:rsidRPr="00391EB7">
        <w:rPr>
          <w:lang w:val="fr-CH"/>
        </w:rPr>
        <w:t> </w:t>
      </w:r>
      <w:r w:rsidR="00854DE3" w:rsidRPr="00391EB7">
        <w:rPr>
          <w:lang w:val="fr-CH"/>
        </w:rPr>
        <w:t>sites</w:t>
      </w:r>
      <w:r w:rsidR="00674E1E" w:rsidRPr="00391EB7">
        <w:rPr>
          <w:lang w:val="fr-CH"/>
        </w:rPr>
        <w:t xml:space="preserve"> à la </w:t>
      </w:r>
      <w:r w:rsidR="00DC433D" w:rsidRPr="00391EB7">
        <w:rPr>
          <w:lang w:val="fr-CH"/>
        </w:rPr>
        <w:t>COP14</w:t>
      </w:r>
      <w:r w:rsidR="003B0C53" w:rsidRPr="00391EB7">
        <w:rPr>
          <w:lang w:val="fr-CH"/>
        </w:rPr>
        <w:t>.</w:t>
      </w:r>
      <w:r w:rsidR="003B0C53" w:rsidRPr="004A4B31">
        <w:rPr>
          <w:lang w:val="fr-CH"/>
        </w:rPr>
        <w:t xml:space="preserve"> </w:t>
      </w:r>
    </w:p>
    <w:p w14:paraId="63273A34" w14:textId="77777777" w:rsidR="007A43F4" w:rsidRPr="004A4B31" w:rsidRDefault="007A43F4" w:rsidP="00563B22">
      <w:pPr>
        <w:pStyle w:val="ListParagraph"/>
        <w:spacing w:after="0" w:line="240" w:lineRule="auto"/>
        <w:ind w:left="426" w:hanging="426"/>
        <w:rPr>
          <w:lang w:val="fr-CH"/>
        </w:rPr>
      </w:pPr>
    </w:p>
    <w:p w14:paraId="2378B2F7" w14:textId="32F4222C" w:rsidR="006468F2" w:rsidRPr="004A4B31" w:rsidRDefault="00563B22" w:rsidP="00563B22">
      <w:pPr>
        <w:spacing w:after="0" w:line="240" w:lineRule="auto"/>
        <w:ind w:left="426" w:hanging="426"/>
        <w:rPr>
          <w:lang w:val="fr-CH"/>
        </w:rPr>
      </w:pPr>
      <w:r w:rsidRPr="004A4B31">
        <w:rPr>
          <w:lang w:val="fr-CH"/>
        </w:rPr>
        <w:t>5.</w:t>
      </w:r>
      <w:r w:rsidRPr="004A4B31">
        <w:rPr>
          <w:lang w:val="fr-CH"/>
        </w:rPr>
        <w:tab/>
      </w:r>
      <w:r w:rsidR="00FB58BC">
        <w:rPr>
          <w:lang w:val="fr-CH"/>
        </w:rPr>
        <w:t xml:space="preserve">La désignation et la protection de zones humides d’importance internationale sont </w:t>
      </w:r>
      <w:r w:rsidR="00783E0F">
        <w:rPr>
          <w:lang w:val="fr-CH"/>
        </w:rPr>
        <w:t>des</w:t>
      </w:r>
      <w:r w:rsidR="00FB58BC">
        <w:rPr>
          <w:lang w:val="fr-CH"/>
        </w:rPr>
        <w:t xml:space="preserve"> disposition</w:t>
      </w:r>
      <w:r w:rsidR="00783E0F">
        <w:rPr>
          <w:lang w:val="fr-CH"/>
        </w:rPr>
        <w:t>s</w:t>
      </w:r>
      <w:r w:rsidR="00FB58BC">
        <w:rPr>
          <w:lang w:val="fr-CH"/>
        </w:rPr>
        <w:t xml:space="preserve"> fondamentale</w:t>
      </w:r>
      <w:r w:rsidR="00783E0F">
        <w:rPr>
          <w:lang w:val="fr-CH"/>
        </w:rPr>
        <w:t>s</w:t>
      </w:r>
      <w:r w:rsidR="00FB58BC">
        <w:rPr>
          <w:lang w:val="fr-CH"/>
        </w:rPr>
        <w:t xml:space="preserve"> de la Convention. Des informations à jour sur les zones humides d’importance internationale, y compris sur la superficie totale </w:t>
      </w:r>
      <w:r w:rsidR="00783E0F">
        <w:rPr>
          <w:lang w:val="fr-CH"/>
        </w:rPr>
        <w:t>du site</w:t>
      </w:r>
      <w:r w:rsidR="00FB58BC">
        <w:rPr>
          <w:lang w:val="fr-CH"/>
        </w:rPr>
        <w:t xml:space="preserve"> et les différents types de zones humides qu’</w:t>
      </w:r>
      <w:r w:rsidR="00783E0F">
        <w:rPr>
          <w:lang w:val="fr-CH"/>
        </w:rPr>
        <w:t>il</w:t>
      </w:r>
      <w:r w:rsidR="00FB58BC">
        <w:rPr>
          <w:lang w:val="fr-CH"/>
        </w:rPr>
        <w:t xml:space="preserve"> contient, les menaces potentielles et le statut de gestion</w:t>
      </w:r>
      <w:r w:rsidR="00884ABD">
        <w:rPr>
          <w:lang w:val="fr-CH"/>
        </w:rPr>
        <w:t>,</w:t>
      </w:r>
      <w:r w:rsidR="00FB58BC">
        <w:rPr>
          <w:lang w:val="fr-CH"/>
        </w:rPr>
        <w:t xml:space="preserve"> sont essentiel</w:t>
      </w:r>
      <w:r w:rsidR="00CA0AC3">
        <w:rPr>
          <w:lang w:val="fr-CH"/>
        </w:rPr>
        <w:t>le</w:t>
      </w:r>
      <w:r w:rsidR="00FB58BC">
        <w:rPr>
          <w:lang w:val="fr-CH"/>
        </w:rPr>
        <w:t>s pour un suivi crédible de l’application de la Convention ainsi que pour la préparation de produits phares tel</w:t>
      </w:r>
      <w:r w:rsidR="00783E0F">
        <w:rPr>
          <w:lang w:val="fr-CH"/>
        </w:rPr>
        <w:t>le</w:t>
      </w:r>
      <w:r w:rsidR="00FB58BC">
        <w:rPr>
          <w:lang w:val="fr-CH"/>
        </w:rPr>
        <w:t xml:space="preserve">s </w:t>
      </w:r>
      <w:r w:rsidR="006035FE" w:rsidRPr="004A4B31">
        <w:rPr>
          <w:lang w:val="fr-CH"/>
        </w:rPr>
        <w:t>les</w:t>
      </w:r>
      <w:r w:rsidR="00F9792D" w:rsidRPr="004A4B31">
        <w:rPr>
          <w:lang w:val="fr-CH"/>
        </w:rPr>
        <w:t xml:space="preserve"> </w:t>
      </w:r>
      <w:r w:rsidR="006035FE" w:rsidRPr="004A4B31">
        <w:rPr>
          <w:i/>
          <w:lang w:val="fr-CH"/>
        </w:rPr>
        <w:t>Perspectives mondiales des zones humides</w:t>
      </w:r>
      <w:r w:rsidR="00183FC2" w:rsidRPr="004A4B31">
        <w:rPr>
          <w:lang w:val="fr-CH"/>
        </w:rPr>
        <w:t xml:space="preserve">. </w:t>
      </w:r>
      <w:r w:rsidR="00380BFC">
        <w:rPr>
          <w:lang w:val="fr-CH"/>
        </w:rPr>
        <w:t>L</w:t>
      </w:r>
      <w:r w:rsidR="004C471F">
        <w:rPr>
          <w:lang w:val="fr-CH"/>
        </w:rPr>
        <w:t xml:space="preserve">a planification de la gestion </w:t>
      </w:r>
      <w:r w:rsidR="00380BFC">
        <w:rPr>
          <w:lang w:val="fr-CH"/>
        </w:rPr>
        <w:t>repose sur ces informations qui</w:t>
      </w:r>
      <w:r w:rsidR="004C471F">
        <w:rPr>
          <w:lang w:val="fr-CH"/>
        </w:rPr>
        <w:t xml:space="preserve"> sont importantes pour l’intégration de</w:t>
      </w:r>
      <w:r w:rsidR="00380BFC">
        <w:rPr>
          <w:lang w:val="fr-CH"/>
        </w:rPr>
        <w:t>s</w:t>
      </w:r>
      <w:r w:rsidR="004C471F">
        <w:rPr>
          <w:lang w:val="fr-CH"/>
        </w:rPr>
        <w:t xml:space="preserve"> zones humides d’importance internationale dans les efforts plus généraux de promotion de l’utilisation rationnelle </w:t>
      </w:r>
      <w:r w:rsidR="00380BFC">
        <w:rPr>
          <w:lang w:val="fr-CH"/>
        </w:rPr>
        <w:t>des</w:t>
      </w:r>
      <w:r w:rsidR="004C471F">
        <w:rPr>
          <w:lang w:val="fr-CH"/>
        </w:rPr>
        <w:t xml:space="preserve"> zones humides du monde entier, </w:t>
      </w:r>
      <w:r w:rsidR="00380BFC">
        <w:rPr>
          <w:lang w:val="fr-CH"/>
        </w:rPr>
        <w:t>y compris</w:t>
      </w:r>
      <w:r w:rsidR="004C471F">
        <w:rPr>
          <w:lang w:val="fr-CH"/>
        </w:rPr>
        <w:t xml:space="preserve"> pour la protection de réseaux écologiques pour les oiseaux migrateurs à l’échelle des voies de migration. C’est aussi une ressource précieuse pour les organisations et </w:t>
      </w:r>
      <w:r w:rsidR="00380BFC">
        <w:rPr>
          <w:lang w:val="fr-CH"/>
        </w:rPr>
        <w:t xml:space="preserve">les </w:t>
      </w:r>
      <w:r w:rsidR="004C471F">
        <w:rPr>
          <w:lang w:val="fr-CH"/>
        </w:rPr>
        <w:t>chercheurs du domaine de la conservation ainsi qu’une ressource pour la communication et la sensibilisation.</w:t>
      </w:r>
      <w:r w:rsidR="00672E5C" w:rsidRPr="004A4B31">
        <w:rPr>
          <w:lang w:val="fr-CH"/>
        </w:rPr>
        <w:t xml:space="preserve"> </w:t>
      </w:r>
    </w:p>
    <w:p w14:paraId="68767ADE" w14:textId="77777777" w:rsidR="006468F2" w:rsidRPr="004A4B31" w:rsidRDefault="006468F2" w:rsidP="00563B22">
      <w:pPr>
        <w:pStyle w:val="ListParagraph"/>
        <w:spacing w:after="0" w:line="240" w:lineRule="auto"/>
        <w:ind w:left="426" w:hanging="426"/>
        <w:rPr>
          <w:lang w:val="fr-CH"/>
        </w:rPr>
      </w:pPr>
    </w:p>
    <w:p w14:paraId="77382E1F" w14:textId="2D36FAD7" w:rsidR="00FF214D" w:rsidRPr="004A4B31" w:rsidRDefault="00563B22" w:rsidP="00563B22">
      <w:pPr>
        <w:spacing w:after="0" w:line="240" w:lineRule="auto"/>
        <w:ind w:left="426" w:hanging="426"/>
        <w:rPr>
          <w:lang w:val="fr-CH"/>
        </w:rPr>
      </w:pPr>
      <w:r w:rsidRPr="004A4B31">
        <w:rPr>
          <w:lang w:val="fr-CH"/>
        </w:rPr>
        <w:t>6.</w:t>
      </w:r>
      <w:r w:rsidRPr="004A4B31">
        <w:rPr>
          <w:lang w:val="fr-CH"/>
        </w:rPr>
        <w:tab/>
      </w:r>
      <w:r w:rsidR="005D591D">
        <w:rPr>
          <w:lang w:val="fr-CH"/>
        </w:rPr>
        <w:t xml:space="preserve">Par ailleurs, </w:t>
      </w:r>
      <w:r w:rsidR="00CD6AB0">
        <w:rPr>
          <w:lang w:val="fr-CH"/>
        </w:rPr>
        <w:t xml:space="preserve">comme elles forment l’un des plus grands réseaux de conservation </w:t>
      </w:r>
      <w:r w:rsidR="00CD6AB0" w:rsidRPr="00F81D02">
        <w:rPr>
          <w:lang w:val="fr-CH"/>
        </w:rPr>
        <w:t>par zone</w:t>
      </w:r>
      <w:r w:rsidR="00CD6AB0">
        <w:rPr>
          <w:lang w:val="fr-CH"/>
        </w:rPr>
        <w:t xml:space="preserve"> du monde, l</w:t>
      </w:r>
      <w:r w:rsidR="005D591D">
        <w:rPr>
          <w:lang w:val="fr-CH"/>
        </w:rPr>
        <w:t xml:space="preserve">es zones humides d’importance internationale apportent une contribution importante aux </w:t>
      </w:r>
      <w:r w:rsidR="003F3FD0">
        <w:rPr>
          <w:lang w:val="fr-CH"/>
        </w:rPr>
        <w:t xml:space="preserve">cibles </w:t>
      </w:r>
      <w:r w:rsidR="005D591D">
        <w:rPr>
          <w:lang w:val="fr-CH"/>
        </w:rPr>
        <w:t xml:space="preserve">et objectifs mondiaux relatifs à la protection </w:t>
      </w:r>
      <w:r w:rsidR="00F81D02">
        <w:rPr>
          <w:lang w:val="fr-CH"/>
        </w:rPr>
        <w:t>par zone</w:t>
      </w:r>
      <w:r w:rsidR="005D591D">
        <w:rPr>
          <w:lang w:val="fr-CH"/>
        </w:rPr>
        <w:t xml:space="preserve">, notamment </w:t>
      </w:r>
      <w:r w:rsidR="00F81D02">
        <w:rPr>
          <w:lang w:val="fr-CH"/>
        </w:rPr>
        <w:t>la Cible</w:t>
      </w:r>
      <w:r w:rsidR="005D591D">
        <w:rPr>
          <w:lang w:val="fr-CH"/>
        </w:rPr>
        <w:t xml:space="preserve"> 3 du Cadre mondial de la biodiversité </w:t>
      </w:r>
      <w:r w:rsidR="00F81D02">
        <w:rPr>
          <w:lang w:val="fr-CH"/>
        </w:rPr>
        <w:t xml:space="preserve">de </w:t>
      </w:r>
      <w:r w:rsidR="007826B8" w:rsidRPr="004A4B31">
        <w:rPr>
          <w:lang w:val="fr-CH"/>
        </w:rPr>
        <w:t>Kunming-</w:t>
      </w:r>
      <w:r w:rsidR="005D591D" w:rsidRPr="004A4B31">
        <w:rPr>
          <w:lang w:val="fr-CH"/>
        </w:rPr>
        <w:t>Montréal</w:t>
      </w:r>
      <w:r w:rsidR="007826B8" w:rsidRPr="004A4B31">
        <w:rPr>
          <w:lang w:val="fr-CH"/>
        </w:rPr>
        <w:t xml:space="preserve"> </w:t>
      </w:r>
      <w:r w:rsidR="005D591D">
        <w:rPr>
          <w:lang w:val="fr-CH"/>
        </w:rPr>
        <w:t>(CMB),</w:t>
      </w:r>
      <w:r w:rsidR="002844D6" w:rsidRPr="004A4B31">
        <w:rPr>
          <w:lang w:val="fr-CH"/>
        </w:rPr>
        <w:t xml:space="preserve"> </w:t>
      </w:r>
      <w:r w:rsidR="005D591D">
        <w:rPr>
          <w:lang w:val="fr-CH"/>
        </w:rPr>
        <w:t xml:space="preserve">ainsi que les cibles pertinentes des Objectifs 14 et 15 du Programme pour le développement durable à l’horizon 2030. Il s’ensuit que la mise à jour </w:t>
      </w:r>
      <w:r w:rsidR="00F12194">
        <w:rPr>
          <w:lang w:val="fr-CH"/>
        </w:rPr>
        <w:t xml:space="preserve">des FDR </w:t>
      </w:r>
      <w:r w:rsidR="00F81D02">
        <w:rPr>
          <w:lang w:val="fr-CH"/>
        </w:rPr>
        <w:t>remplit</w:t>
      </w:r>
      <w:r w:rsidR="00F12194">
        <w:rPr>
          <w:lang w:val="fr-CH"/>
        </w:rPr>
        <w:t xml:space="preserve"> une fonction importante pour le suivi de la mise en œuvre du CMB et des ODD et </w:t>
      </w:r>
      <w:r w:rsidR="003F3FD0">
        <w:rPr>
          <w:lang w:val="fr-CH"/>
        </w:rPr>
        <w:t xml:space="preserve">pour </w:t>
      </w:r>
      <w:r w:rsidR="00FA6AD5">
        <w:rPr>
          <w:lang w:val="fr-CH"/>
        </w:rPr>
        <w:t>faire reconnaître</w:t>
      </w:r>
      <w:r w:rsidR="00F12194">
        <w:rPr>
          <w:lang w:val="fr-CH"/>
        </w:rPr>
        <w:t xml:space="preserve"> la contribution </w:t>
      </w:r>
      <w:r w:rsidR="00FA6AD5">
        <w:rPr>
          <w:lang w:val="fr-CH"/>
        </w:rPr>
        <w:t>de</w:t>
      </w:r>
      <w:r w:rsidR="00F12194">
        <w:rPr>
          <w:lang w:val="fr-CH"/>
        </w:rPr>
        <w:t xml:space="preserve"> la Convention sur les zones humides à cet égard. Le paragraphe 8 de la Résolution </w:t>
      </w:r>
      <w:r w:rsidR="00510615" w:rsidRPr="004A4B31">
        <w:rPr>
          <w:lang w:val="fr-CH"/>
        </w:rPr>
        <w:t>VIII.13</w:t>
      </w:r>
      <w:r w:rsidR="00F12194">
        <w:rPr>
          <w:lang w:val="fr-CH"/>
        </w:rPr>
        <w:t xml:space="preserve"> </w:t>
      </w:r>
      <w:proofErr w:type="gramStart"/>
      <w:r w:rsidR="00F12194">
        <w:rPr>
          <w:lang w:val="fr-CH"/>
        </w:rPr>
        <w:t>note</w:t>
      </w:r>
      <w:proofErr w:type="gramEnd"/>
      <w:r w:rsidR="00F12194">
        <w:rPr>
          <w:lang w:val="fr-CH"/>
        </w:rPr>
        <w:t xml:space="preserve"> </w:t>
      </w:r>
      <w:r w:rsidR="001B5E84">
        <w:rPr>
          <w:lang w:val="fr-CH"/>
        </w:rPr>
        <w:t>l’</w:t>
      </w:r>
      <w:r w:rsidR="00F12194">
        <w:rPr>
          <w:lang w:val="fr-CH"/>
        </w:rPr>
        <w:t xml:space="preserve">intérêt et </w:t>
      </w:r>
      <w:r w:rsidR="001B5E84">
        <w:rPr>
          <w:lang w:val="fr-CH"/>
        </w:rPr>
        <w:t>le</w:t>
      </w:r>
      <w:r w:rsidR="00F12194">
        <w:rPr>
          <w:lang w:val="fr-CH"/>
        </w:rPr>
        <w:t xml:space="preserve"> besoin </w:t>
      </w:r>
      <w:r w:rsidR="001B5E84">
        <w:rPr>
          <w:lang w:val="fr-CH"/>
        </w:rPr>
        <w:t>pressants d’avoir</w:t>
      </w:r>
      <w:r w:rsidR="00F12194">
        <w:rPr>
          <w:lang w:val="fr-CH"/>
        </w:rPr>
        <w:t xml:space="preserve"> accès </w:t>
      </w:r>
      <w:r w:rsidR="001B5E84" w:rsidRPr="001B5E84">
        <w:rPr>
          <w:lang w:val="fr-FR"/>
        </w:rPr>
        <w:t>à des données plus complètes et plus précises sur</w:t>
      </w:r>
      <w:r w:rsidR="001B5E84">
        <w:rPr>
          <w:lang w:val="fr-CH"/>
        </w:rPr>
        <w:t xml:space="preserve"> </w:t>
      </w:r>
      <w:r w:rsidR="00F12194">
        <w:rPr>
          <w:lang w:val="fr-CH"/>
        </w:rPr>
        <w:t>les zones humides d’importance internationale.</w:t>
      </w:r>
    </w:p>
    <w:p w14:paraId="3249D17F" w14:textId="77777777" w:rsidR="001645CF" w:rsidRPr="004A4B31" w:rsidRDefault="001645CF" w:rsidP="00563B22">
      <w:pPr>
        <w:spacing w:after="0" w:line="240" w:lineRule="auto"/>
        <w:ind w:left="426" w:hanging="426"/>
        <w:rPr>
          <w:rFonts w:ascii="Calibri" w:eastAsia="Times New Roman" w:hAnsi="Calibri" w:cs="Calibri"/>
          <w:b/>
          <w:lang w:val="fr-CH" w:eastAsia="en-GB"/>
        </w:rPr>
      </w:pPr>
    </w:p>
    <w:p w14:paraId="6F3CFF33" w14:textId="57E48554" w:rsidR="00F65F45" w:rsidRPr="004A4B31" w:rsidRDefault="00AE06D2" w:rsidP="00F12194">
      <w:pPr>
        <w:keepNext/>
        <w:keepLines/>
        <w:spacing w:after="0" w:line="240" w:lineRule="auto"/>
        <w:rPr>
          <w:rFonts w:ascii="Calibri" w:eastAsia="Times New Roman" w:hAnsi="Calibri" w:cs="Calibri"/>
          <w:b/>
          <w:lang w:val="fr-CH" w:eastAsia="en-GB"/>
        </w:rPr>
      </w:pPr>
      <w:r>
        <w:rPr>
          <w:rFonts w:ascii="Calibri" w:eastAsia="Times New Roman" w:hAnsi="Calibri" w:cs="Calibri"/>
          <w:b/>
          <w:lang w:val="fr-CH" w:eastAsia="en-GB"/>
        </w:rPr>
        <w:lastRenderedPageBreak/>
        <w:t>Processus entrepris par le Secrétariat</w:t>
      </w:r>
      <w:r w:rsidR="00846033" w:rsidRPr="004A4B31">
        <w:rPr>
          <w:rFonts w:ascii="Calibri" w:eastAsia="Times New Roman" w:hAnsi="Calibri" w:cs="Calibri"/>
          <w:b/>
          <w:lang w:val="fr-CH" w:eastAsia="en-GB"/>
        </w:rPr>
        <w:t xml:space="preserve"> </w:t>
      </w:r>
    </w:p>
    <w:p w14:paraId="7B7EAD3B" w14:textId="77777777" w:rsidR="00563B22" w:rsidRPr="004A4B31" w:rsidRDefault="00563B22" w:rsidP="00F12194">
      <w:pPr>
        <w:keepNext/>
        <w:keepLines/>
        <w:spacing w:after="0" w:line="240" w:lineRule="auto"/>
        <w:rPr>
          <w:rFonts w:ascii="Calibri" w:eastAsia="Times New Roman" w:hAnsi="Calibri" w:cs="Calibri"/>
          <w:lang w:val="fr-CH" w:eastAsia="en-GB"/>
        </w:rPr>
      </w:pPr>
    </w:p>
    <w:p w14:paraId="2E81C99B" w14:textId="54C635C3" w:rsidR="00A853CD" w:rsidRPr="004A4B31" w:rsidRDefault="00563B22" w:rsidP="00F12194">
      <w:pPr>
        <w:keepNext/>
        <w:keepLines/>
        <w:spacing w:after="0" w:line="240" w:lineRule="auto"/>
        <w:ind w:left="426" w:hanging="426"/>
        <w:rPr>
          <w:rFonts w:ascii="Calibri" w:eastAsia="Times New Roman" w:hAnsi="Calibri" w:cs="Calibri"/>
          <w:lang w:val="fr-CH" w:eastAsia="en-GB"/>
        </w:rPr>
      </w:pPr>
      <w:r w:rsidRPr="004A4B31">
        <w:rPr>
          <w:rFonts w:ascii="Calibri" w:eastAsia="Times New Roman" w:hAnsi="Calibri" w:cs="Calibri"/>
          <w:lang w:val="fr-CH" w:eastAsia="en-GB"/>
        </w:rPr>
        <w:t>7.</w:t>
      </w:r>
      <w:r w:rsidRPr="004A4B31">
        <w:rPr>
          <w:rFonts w:ascii="Calibri" w:eastAsia="Times New Roman" w:hAnsi="Calibri" w:cs="Calibri"/>
          <w:lang w:val="fr-CH" w:eastAsia="en-GB"/>
        </w:rPr>
        <w:tab/>
      </w:r>
      <w:r w:rsidR="00AE06D2">
        <w:rPr>
          <w:rFonts w:ascii="Calibri" w:eastAsia="Times New Roman" w:hAnsi="Calibri" w:cs="Calibri"/>
          <w:lang w:val="fr-CH" w:eastAsia="en-GB"/>
        </w:rPr>
        <w:t xml:space="preserve">Dans une notification envoyée le 17 octobre 2023, le Secrétariat a invité les Parties contractantes à fournir des informations sur les difficultés et possibilités relatives à la soumission et à la mise à jour des FDR. Onze Parties ont </w:t>
      </w:r>
      <w:r w:rsidR="001B5E84">
        <w:rPr>
          <w:rFonts w:ascii="Calibri" w:eastAsia="Times New Roman" w:hAnsi="Calibri" w:cs="Calibri"/>
          <w:lang w:val="fr-CH" w:eastAsia="en-GB"/>
        </w:rPr>
        <w:t>communiqué des</w:t>
      </w:r>
      <w:r w:rsidR="00AE06D2">
        <w:rPr>
          <w:rFonts w:ascii="Calibri" w:eastAsia="Times New Roman" w:hAnsi="Calibri" w:cs="Calibri"/>
          <w:lang w:val="fr-CH" w:eastAsia="en-GB"/>
        </w:rPr>
        <w:t xml:space="preserve"> informations.</w:t>
      </w:r>
      <w:r w:rsidR="00766332" w:rsidRPr="004A4B31">
        <w:rPr>
          <w:rFonts w:ascii="Calibri" w:eastAsia="Times New Roman" w:hAnsi="Calibri" w:cs="Calibri"/>
          <w:lang w:val="fr-CH" w:eastAsia="en-GB"/>
        </w:rPr>
        <w:t xml:space="preserve"> </w:t>
      </w:r>
    </w:p>
    <w:p w14:paraId="5DA03850" w14:textId="77777777" w:rsidR="00766332" w:rsidRPr="004A4B31" w:rsidRDefault="00766332" w:rsidP="00563B22">
      <w:pPr>
        <w:pStyle w:val="ListParagraph"/>
        <w:spacing w:after="0" w:line="240" w:lineRule="auto"/>
        <w:ind w:left="426" w:hanging="426"/>
        <w:rPr>
          <w:rFonts w:ascii="Calibri" w:eastAsia="Times New Roman" w:hAnsi="Calibri" w:cs="Calibri"/>
          <w:lang w:val="fr-CH" w:eastAsia="en-GB"/>
        </w:rPr>
      </w:pPr>
    </w:p>
    <w:p w14:paraId="7978FB24" w14:textId="456B635B" w:rsidR="00B71A05" w:rsidRPr="004A4B31" w:rsidRDefault="00563B22" w:rsidP="00563B22">
      <w:pPr>
        <w:spacing w:after="0" w:line="240" w:lineRule="auto"/>
        <w:ind w:left="426" w:hanging="426"/>
        <w:rPr>
          <w:lang w:val="fr-CH"/>
        </w:rPr>
      </w:pPr>
      <w:r w:rsidRPr="004A4B31">
        <w:rPr>
          <w:rFonts w:ascii="Calibri" w:eastAsia="Times New Roman" w:hAnsi="Calibri" w:cs="Calibri"/>
          <w:lang w:val="fr-CH" w:eastAsia="en-GB"/>
        </w:rPr>
        <w:t>8.</w:t>
      </w:r>
      <w:r w:rsidRPr="004A4B31">
        <w:rPr>
          <w:rFonts w:ascii="Calibri" w:eastAsia="Times New Roman" w:hAnsi="Calibri" w:cs="Calibri"/>
          <w:lang w:val="fr-CH" w:eastAsia="en-GB"/>
        </w:rPr>
        <w:tab/>
      </w:r>
      <w:r w:rsidR="00FB1E1F">
        <w:rPr>
          <w:rFonts w:ascii="Calibri" w:eastAsia="Times New Roman" w:hAnsi="Calibri" w:cs="Calibri"/>
          <w:lang w:val="fr-CH" w:eastAsia="en-GB"/>
        </w:rPr>
        <w:t>En février 2024, à la 26</w:t>
      </w:r>
      <w:r w:rsidR="00FB1E1F" w:rsidRPr="00AE06D2">
        <w:rPr>
          <w:rFonts w:ascii="Calibri" w:eastAsia="Times New Roman" w:hAnsi="Calibri" w:cs="Calibri"/>
          <w:vertAlign w:val="superscript"/>
          <w:lang w:val="fr-CH" w:eastAsia="en-GB"/>
        </w:rPr>
        <w:t>e</w:t>
      </w:r>
      <w:r w:rsidR="00FB1E1F">
        <w:rPr>
          <w:rFonts w:ascii="Calibri" w:eastAsia="Times New Roman" w:hAnsi="Calibri" w:cs="Calibri"/>
          <w:lang w:val="fr-CH" w:eastAsia="en-GB"/>
        </w:rPr>
        <w:t> réunion (GEST26) du Groupe d’évaluation scientifique et technique (GEST), l</w:t>
      </w:r>
      <w:r w:rsidR="00AE06D2">
        <w:rPr>
          <w:rFonts w:ascii="Calibri" w:eastAsia="Times New Roman" w:hAnsi="Calibri" w:cs="Calibri"/>
          <w:lang w:val="fr-CH" w:eastAsia="en-GB"/>
        </w:rPr>
        <w:t>e Secrétariat a présenté une vue d’ensemble des difficultés identifiées ainsi que des propositions des Parties contractantes pour</w:t>
      </w:r>
      <w:r w:rsidR="002A78BA" w:rsidRPr="004A4B31">
        <w:rPr>
          <w:rFonts w:ascii="Calibri" w:eastAsia="Times New Roman" w:hAnsi="Calibri" w:cs="Calibri"/>
          <w:lang w:val="fr-CH" w:eastAsia="en-GB"/>
        </w:rPr>
        <w:t xml:space="preserve"> discussion</w:t>
      </w:r>
      <w:r w:rsidR="00F93AA0" w:rsidRPr="004A4B31">
        <w:rPr>
          <w:rFonts w:ascii="Calibri" w:eastAsia="Times New Roman" w:hAnsi="Calibri" w:cs="Calibri"/>
          <w:lang w:val="fr-CH" w:eastAsia="en-GB"/>
        </w:rPr>
        <w:t xml:space="preserve"> </w:t>
      </w:r>
      <w:r w:rsidR="00AE06D2">
        <w:rPr>
          <w:rFonts w:ascii="Calibri" w:eastAsia="Times New Roman" w:hAnsi="Calibri" w:cs="Calibri"/>
          <w:lang w:val="fr-CH" w:eastAsia="en-GB"/>
        </w:rPr>
        <w:t xml:space="preserve">et </w:t>
      </w:r>
      <w:r w:rsidR="00FB1E1F">
        <w:rPr>
          <w:rFonts w:ascii="Calibri" w:eastAsia="Times New Roman" w:hAnsi="Calibri" w:cs="Calibri"/>
          <w:lang w:val="fr-CH" w:eastAsia="en-GB"/>
        </w:rPr>
        <w:t>consultation du</w:t>
      </w:r>
      <w:r w:rsidR="00AE06D2">
        <w:rPr>
          <w:rFonts w:ascii="Calibri" w:eastAsia="Times New Roman" w:hAnsi="Calibri" w:cs="Calibri"/>
          <w:lang w:val="fr-CH" w:eastAsia="en-GB"/>
        </w:rPr>
        <w:t xml:space="preserve"> Groupe sur des actions possibles.</w:t>
      </w:r>
      <w:r w:rsidR="00893633">
        <w:rPr>
          <w:rFonts w:ascii="Calibri" w:eastAsia="Times New Roman" w:hAnsi="Calibri" w:cs="Calibri"/>
          <w:lang w:val="fr-CH" w:eastAsia="en-GB"/>
        </w:rPr>
        <w:t xml:space="preserve"> Le présent document reflète la contribution du GEST.</w:t>
      </w:r>
      <w:r w:rsidR="00B71A05" w:rsidRPr="004A4B31">
        <w:rPr>
          <w:rFonts w:ascii="Calibri" w:eastAsia="Times New Roman" w:hAnsi="Calibri" w:cs="Calibri"/>
          <w:lang w:val="fr-CH" w:eastAsia="en-GB"/>
        </w:rPr>
        <w:t xml:space="preserve"> </w:t>
      </w:r>
    </w:p>
    <w:p w14:paraId="2469F6A1" w14:textId="6518ED03" w:rsidR="00B13EEF" w:rsidRPr="004A4B31" w:rsidRDefault="00B13EEF" w:rsidP="00563B22">
      <w:pPr>
        <w:pStyle w:val="ListParagraph"/>
        <w:spacing w:after="0" w:line="240" w:lineRule="auto"/>
        <w:ind w:left="426" w:hanging="426"/>
        <w:rPr>
          <w:lang w:val="fr-CH"/>
        </w:rPr>
      </w:pPr>
    </w:p>
    <w:p w14:paraId="0F091A77" w14:textId="169206C4" w:rsidR="00A676BD" w:rsidRPr="004A4B31" w:rsidRDefault="00563B22" w:rsidP="00563B22">
      <w:pPr>
        <w:spacing w:after="0" w:line="240" w:lineRule="auto"/>
        <w:ind w:left="426" w:hanging="426"/>
        <w:rPr>
          <w:lang w:val="fr-CH"/>
        </w:rPr>
      </w:pPr>
      <w:r w:rsidRPr="004A4B31">
        <w:rPr>
          <w:rFonts w:ascii="Calibri" w:eastAsia="Times New Roman" w:hAnsi="Calibri" w:cs="Calibri"/>
          <w:lang w:val="fr-CH" w:eastAsia="en-GB"/>
        </w:rPr>
        <w:t>9.</w:t>
      </w:r>
      <w:r w:rsidRPr="004A4B31">
        <w:rPr>
          <w:rFonts w:ascii="Calibri" w:eastAsia="Times New Roman" w:hAnsi="Calibri" w:cs="Calibri"/>
          <w:lang w:val="fr-CH" w:eastAsia="en-GB"/>
        </w:rPr>
        <w:tab/>
      </w:r>
      <w:r w:rsidR="00AE06D2">
        <w:rPr>
          <w:rFonts w:ascii="Calibri" w:eastAsia="Times New Roman" w:hAnsi="Calibri" w:cs="Calibri"/>
          <w:lang w:val="fr-CH" w:eastAsia="en-GB"/>
        </w:rPr>
        <w:t>Le tableau de l’Annexe 1</w:t>
      </w:r>
      <w:r w:rsidR="003D5EBE">
        <w:rPr>
          <w:rFonts w:ascii="Calibri" w:eastAsia="Times New Roman" w:hAnsi="Calibri" w:cs="Calibri"/>
          <w:lang w:val="fr-CH" w:eastAsia="en-GB"/>
        </w:rPr>
        <w:t>,</w:t>
      </w:r>
      <w:r w:rsidR="00AE06D2">
        <w:rPr>
          <w:rFonts w:ascii="Calibri" w:eastAsia="Times New Roman" w:hAnsi="Calibri" w:cs="Calibri"/>
          <w:lang w:val="fr-CH" w:eastAsia="en-GB"/>
        </w:rPr>
        <w:t xml:space="preserve"> ci</w:t>
      </w:r>
      <w:r w:rsidR="00AE06D2">
        <w:rPr>
          <w:rFonts w:ascii="Calibri" w:eastAsia="Times New Roman" w:hAnsi="Calibri" w:cs="Calibri"/>
          <w:lang w:val="fr-CH" w:eastAsia="en-GB"/>
        </w:rPr>
        <w:noBreakHyphen/>
        <w:t>dessous</w:t>
      </w:r>
      <w:r w:rsidR="003D5EBE">
        <w:rPr>
          <w:rFonts w:ascii="Calibri" w:eastAsia="Times New Roman" w:hAnsi="Calibri" w:cs="Calibri"/>
          <w:lang w:val="fr-CH" w:eastAsia="en-GB"/>
        </w:rPr>
        <w:t>,</w:t>
      </w:r>
      <w:r w:rsidR="00AE06D2">
        <w:rPr>
          <w:rFonts w:ascii="Calibri" w:eastAsia="Times New Roman" w:hAnsi="Calibri" w:cs="Calibri"/>
          <w:lang w:val="fr-CH" w:eastAsia="en-GB"/>
        </w:rPr>
        <w:t xml:space="preserve"> </w:t>
      </w:r>
      <w:r w:rsidR="003D5EBE">
        <w:rPr>
          <w:rFonts w:ascii="Calibri" w:eastAsia="Times New Roman" w:hAnsi="Calibri" w:cs="Calibri"/>
          <w:lang w:val="fr-CH" w:eastAsia="en-GB"/>
        </w:rPr>
        <w:t>contient</w:t>
      </w:r>
      <w:r w:rsidR="00AE06D2">
        <w:rPr>
          <w:rFonts w:ascii="Calibri" w:eastAsia="Times New Roman" w:hAnsi="Calibri" w:cs="Calibri"/>
          <w:lang w:val="fr-CH" w:eastAsia="en-GB"/>
        </w:rPr>
        <w:t xml:space="preserve"> un résumé des difficultés identifiées ainsi que les propositions des Parties contractantes ; il est organisé en catégories thématiques relatives au processus </w:t>
      </w:r>
      <w:r w:rsidR="003F3FD0">
        <w:rPr>
          <w:rFonts w:ascii="Calibri" w:eastAsia="Times New Roman" w:hAnsi="Calibri" w:cs="Calibri"/>
          <w:lang w:val="fr-CH" w:eastAsia="en-GB"/>
        </w:rPr>
        <w:t xml:space="preserve">d’examen </w:t>
      </w:r>
      <w:r w:rsidR="00AE06D2">
        <w:rPr>
          <w:rFonts w:ascii="Calibri" w:eastAsia="Times New Roman" w:hAnsi="Calibri" w:cs="Calibri"/>
          <w:lang w:val="fr-CH" w:eastAsia="en-GB"/>
        </w:rPr>
        <w:t>des FDR, au cycle de mise à jour des FDR, au format des FDR et aux besoins en matière de capacité</w:t>
      </w:r>
      <w:r w:rsidR="005B3766">
        <w:rPr>
          <w:rFonts w:ascii="Calibri" w:eastAsia="Times New Roman" w:hAnsi="Calibri" w:cs="Calibri"/>
          <w:lang w:val="fr-CH" w:eastAsia="en-GB"/>
        </w:rPr>
        <w:t>s</w:t>
      </w:r>
      <w:r w:rsidR="00AE06D2">
        <w:rPr>
          <w:rFonts w:ascii="Calibri" w:eastAsia="Times New Roman" w:hAnsi="Calibri" w:cs="Calibri"/>
          <w:lang w:val="fr-CH" w:eastAsia="en-GB"/>
        </w:rPr>
        <w:t xml:space="preserve"> de mise à jour des FDR. </w:t>
      </w:r>
      <w:r w:rsidR="004C2266">
        <w:rPr>
          <w:rFonts w:ascii="Calibri" w:eastAsia="Times New Roman" w:hAnsi="Calibri" w:cs="Calibri"/>
          <w:lang w:val="fr-CH" w:eastAsia="en-GB"/>
        </w:rPr>
        <w:t>Parmi les actions proposées pour examen par le Comité permanent, il y a d</w:t>
      </w:r>
      <w:r w:rsidR="00AE06D2">
        <w:rPr>
          <w:rFonts w:ascii="Calibri" w:eastAsia="Times New Roman" w:hAnsi="Calibri" w:cs="Calibri"/>
          <w:lang w:val="fr-CH" w:eastAsia="en-GB"/>
        </w:rPr>
        <w:t xml:space="preserve">es mesures </w:t>
      </w:r>
      <w:r w:rsidR="004C2266">
        <w:rPr>
          <w:rFonts w:ascii="Calibri" w:eastAsia="Times New Roman" w:hAnsi="Calibri" w:cs="Calibri"/>
          <w:lang w:val="fr-CH" w:eastAsia="en-GB"/>
        </w:rPr>
        <w:t xml:space="preserve">que le Secrétariat peut prendre </w:t>
      </w:r>
      <w:r w:rsidR="00AE06D2">
        <w:rPr>
          <w:rFonts w:ascii="Calibri" w:eastAsia="Times New Roman" w:hAnsi="Calibri" w:cs="Calibri"/>
          <w:lang w:val="fr-CH" w:eastAsia="en-GB"/>
        </w:rPr>
        <w:t>immédiate</w:t>
      </w:r>
      <w:r w:rsidR="004C2266">
        <w:rPr>
          <w:rFonts w:ascii="Calibri" w:eastAsia="Times New Roman" w:hAnsi="Calibri" w:cs="Calibri"/>
          <w:lang w:val="fr-CH" w:eastAsia="en-GB"/>
        </w:rPr>
        <w:t>ment</w:t>
      </w:r>
      <w:r w:rsidR="00AE06D2">
        <w:rPr>
          <w:rFonts w:ascii="Calibri" w:eastAsia="Times New Roman" w:hAnsi="Calibri" w:cs="Calibri"/>
          <w:lang w:val="fr-CH" w:eastAsia="en-GB"/>
        </w:rPr>
        <w:t xml:space="preserve"> et des activités pouvant être appliquées à court terme sous réserve d’approbation </w:t>
      </w:r>
      <w:r w:rsidR="004C2266">
        <w:rPr>
          <w:rFonts w:ascii="Calibri" w:eastAsia="Times New Roman" w:hAnsi="Calibri" w:cs="Calibri"/>
          <w:lang w:val="fr-CH" w:eastAsia="en-GB"/>
        </w:rPr>
        <w:t>du Comité permanent à sa</w:t>
      </w:r>
      <w:r w:rsidR="00AE06D2">
        <w:rPr>
          <w:rFonts w:ascii="Calibri" w:eastAsia="Times New Roman" w:hAnsi="Calibri" w:cs="Calibri"/>
          <w:lang w:val="fr-CH" w:eastAsia="en-GB"/>
        </w:rPr>
        <w:t xml:space="preserve"> 63</w:t>
      </w:r>
      <w:r w:rsidR="00AE06D2" w:rsidRPr="00AE06D2">
        <w:rPr>
          <w:rFonts w:ascii="Calibri" w:eastAsia="Times New Roman" w:hAnsi="Calibri" w:cs="Calibri"/>
          <w:vertAlign w:val="superscript"/>
          <w:lang w:val="fr-CH" w:eastAsia="en-GB"/>
        </w:rPr>
        <w:t>e</w:t>
      </w:r>
      <w:r w:rsidR="00AE06D2">
        <w:rPr>
          <w:rFonts w:ascii="Calibri" w:eastAsia="Times New Roman" w:hAnsi="Calibri" w:cs="Calibri"/>
          <w:lang w:val="fr-CH" w:eastAsia="en-GB"/>
        </w:rPr>
        <w:t xml:space="preserve"> Réunion, ainsi que des changements potentiels à long terme nécessitant </w:t>
      </w:r>
      <w:r w:rsidR="004C2266">
        <w:rPr>
          <w:rFonts w:ascii="Calibri" w:eastAsia="Times New Roman" w:hAnsi="Calibri" w:cs="Calibri"/>
          <w:lang w:val="fr-CH" w:eastAsia="en-GB"/>
        </w:rPr>
        <w:t>l’accord</w:t>
      </w:r>
      <w:r w:rsidR="00AE06D2">
        <w:rPr>
          <w:rFonts w:ascii="Calibri" w:eastAsia="Times New Roman" w:hAnsi="Calibri" w:cs="Calibri"/>
          <w:lang w:val="fr-CH" w:eastAsia="en-GB"/>
        </w:rPr>
        <w:t xml:space="preserve"> des Parties contractantes.</w:t>
      </w:r>
      <w:r w:rsidR="00DF797F" w:rsidRPr="004A4B31">
        <w:rPr>
          <w:rFonts w:ascii="Calibri" w:eastAsia="Times New Roman" w:hAnsi="Calibri" w:cs="Calibri"/>
          <w:lang w:val="fr-CH" w:eastAsia="en-GB"/>
        </w:rPr>
        <w:t xml:space="preserve"> </w:t>
      </w:r>
    </w:p>
    <w:p w14:paraId="6B490BA3" w14:textId="77777777" w:rsidR="00A676BD" w:rsidRPr="004A4B31" w:rsidRDefault="00A676BD" w:rsidP="00563B22">
      <w:pPr>
        <w:pStyle w:val="ListParagraph"/>
        <w:spacing w:after="0" w:line="240" w:lineRule="auto"/>
        <w:ind w:left="426" w:hanging="426"/>
        <w:rPr>
          <w:lang w:val="fr-CH"/>
        </w:rPr>
      </w:pPr>
    </w:p>
    <w:p w14:paraId="7F196BB3" w14:textId="13CFFC04" w:rsidR="00FB3DBA" w:rsidRPr="004A4B31" w:rsidRDefault="00FB3DBA" w:rsidP="00FB3DBA">
      <w:pPr>
        <w:spacing w:after="0" w:line="240" w:lineRule="auto"/>
        <w:ind w:left="426" w:hanging="426"/>
        <w:rPr>
          <w:rFonts w:ascii="Calibri" w:eastAsia="Times New Roman" w:hAnsi="Calibri" w:cs="Calibri"/>
          <w:lang w:val="fr-CH" w:eastAsia="en-GB"/>
        </w:rPr>
      </w:pPr>
      <w:r w:rsidRPr="004A4B31">
        <w:rPr>
          <w:rFonts w:ascii="Calibri" w:eastAsia="Times New Roman" w:hAnsi="Calibri" w:cs="Calibri"/>
          <w:lang w:val="fr-CH" w:eastAsia="en-GB"/>
        </w:rPr>
        <w:t>10.</w:t>
      </w:r>
      <w:r w:rsidR="00D54218">
        <w:rPr>
          <w:rFonts w:ascii="Calibri" w:eastAsia="Times New Roman" w:hAnsi="Calibri" w:cs="Calibri"/>
          <w:lang w:val="fr-CH" w:eastAsia="en-GB"/>
        </w:rPr>
        <w:tab/>
      </w:r>
      <w:r w:rsidR="00ED08EA">
        <w:rPr>
          <w:rFonts w:ascii="Calibri" w:eastAsia="Times New Roman" w:hAnsi="Calibri" w:cs="Calibri"/>
          <w:lang w:val="fr-CH" w:eastAsia="en-GB"/>
        </w:rPr>
        <w:t xml:space="preserve">Le document </w:t>
      </w:r>
      <w:r w:rsidR="00134737">
        <w:rPr>
          <w:rFonts w:ascii="Calibri" w:eastAsia="Times New Roman" w:hAnsi="Calibri" w:cs="Calibri"/>
          <w:lang w:val="fr-CH" w:eastAsia="en-GB"/>
        </w:rPr>
        <w:t>n’aborde pas les</w:t>
      </w:r>
      <w:r w:rsidR="00ED08EA">
        <w:rPr>
          <w:rFonts w:ascii="Calibri" w:eastAsia="Times New Roman" w:hAnsi="Calibri" w:cs="Calibri"/>
          <w:lang w:val="fr-CH" w:eastAsia="en-GB"/>
        </w:rPr>
        <w:t xml:space="preserve"> propositions faites par une Partie contractante </w:t>
      </w:r>
      <w:r w:rsidR="00134737">
        <w:rPr>
          <w:rFonts w:ascii="Calibri" w:eastAsia="Times New Roman" w:hAnsi="Calibri" w:cs="Calibri"/>
          <w:lang w:val="fr-CH" w:eastAsia="en-GB"/>
        </w:rPr>
        <w:t>concernant le</w:t>
      </w:r>
      <w:r w:rsidR="00ED08EA">
        <w:rPr>
          <w:rFonts w:ascii="Calibri" w:eastAsia="Times New Roman" w:hAnsi="Calibri" w:cs="Calibri"/>
          <w:lang w:val="fr-CH" w:eastAsia="en-GB"/>
        </w:rPr>
        <w:t xml:space="preserve"> réexamen des critères d’identification des zones humides d’importance internationale </w:t>
      </w:r>
      <w:r w:rsidR="00134737">
        <w:rPr>
          <w:rFonts w:ascii="Calibri" w:eastAsia="Times New Roman" w:hAnsi="Calibri" w:cs="Calibri"/>
          <w:lang w:val="fr-CH" w:eastAsia="en-GB"/>
        </w:rPr>
        <w:t>ou par</w:t>
      </w:r>
      <w:r w:rsidR="00ED08EA">
        <w:rPr>
          <w:rFonts w:ascii="Calibri" w:eastAsia="Times New Roman" w:hAnsi="Calibri" w:cs="Calibri"/>
          <w:lang w:val="fr-CH" w:eastAsia="en-GB"/>
        </w:rPr>
        <w:t xml:space="preserve"> une autre Partie contractante </w:t>
      </w:r>
      <w:r w:rsidR="003F3FD0">
        <w:rPr>
          <w:rFonts w:ascii="Calibri" w:eastAsia="Times New Roman" w:hAnsi="Calibri" w:cs="Calibri"/>
          <w:lang w:val="fr-CH" w:eastAsia="en-GB"/>
        </w:rPr>
        <w:t>sur</w:t>
      </w:r>
      <w:r w:rsidR="00ED08EA">
        <w:rPr>
          <w:rFonts w:ascii="Calibri" w:eastAsia="Times New Roman" w:hAnsi="Calibri" w:cs="Calibri"/>
          <w:lang w:val="fr-CH" w:eastAsia="en-GB"/>
        </w:rPr>
        <w:t xml:space="preserve"> la révision du Système de classification des types de zones humides Ramsar car ces questions </w:t>
      </w:r>
      <w:r w:rsidR="00134737">
        <w:rPr>
          <w:rFonts w:ascii="Calibri" w:eastAsia="Times New Roman" w:hAnsi="Calibri" w:cs="Calibri"/>
          <w:lang w:val="fr-CH" w:eastAsia="en-GB"/>
        </w:rPr>
        <w:t xml:space="preserve">ne sont pas du ressort immédiat </w:t>
      </w:r>
      <w:r w:rsidR="00ED08EA">
        <w:rPr>
          <w:rFonts w:ascii="Calibri" w:eastAsia="Times New Roman" w:hAnsi="Calibri" w:cs="Calibri"/>
          <w:lang w:val="fr-CH" w:eastAsia="en-GB"/>
        </w:rPr>
        <w:t xml:space="preserve">de la Décision </w:t>
      </w:r>
      <w:r w:rsidRPr="004A4B31">
        <w:rPr>
          <w:rFonts w:ascii="Calibri" w:eastAsia="Times New Roman" w:hAnsi="Calibri" w:cs="Calibri"/>
          <w:lang w:val="fr-CH" w:eastAsia="en-GB"/>
        </w:rPr>
        <w:t>SC62</w:t>
      </w:r>
      <w:r w:rsidR="00ED08EA">
        <w:rPr>
          <w:rFonts w:ascii="Calibri" w:eastAsia="Times New Roman" w:hAnsi="Calibri" w:cs="Calibri"/>
          <w:lang w:val="fr-CH" w:eastAsia="en-GB"/>
        </w:rPr>
        <w:noBreakHyphen/>
      </w:r>
      <w:r w:rsidRPr="004A4B31">
        <w:rPr>
          <w:rFonts w:ascii="Calibri" w:eastAsia="Times New Roman" w:hAnsi="Calibri" w:cs="Calibri"/>
          <w:lang w:val="fr-CH" w:eastAsia="en-GB"/>
        </w:rPr>
        <w:t xml:space="preserve">53. </w:t>
      </w:r>
      <w:r w:rsidR="00ED08EA">
        <w:rPr>
          <w:rFonts w:ascii="Calibri" w:eastAsia="Times New Roman" w:hAnsi="Calibri" w:cs="Calibri"/>
          <w:lang w:val="fr-CH" w:eastAsia="en-GB"/>
        </w:rPr>
        <w:t xml:space="preserve">Le Comité permanent peut, </w:t>
      </w:r>
      <w:r w:rsidR="00134737">
        <w:rPr>
          <w:rFonts w:ascii="Calibri" w:eastAsia="Times New Roman" w:hAnsi="Calibri" w:cs="Calibri"/>
          <w:lang w:val="fr-CH" w:eastAsia="en-GB"/>
        </w:rPr>
        <w:t>le cas échéant</w:t>
      </w:r>
      <w:r w:rsidR="00ED08EA">
        <w:rPr>
          <w:rFonts w:ascii="Calibri" w:eastAsia="Times New Roman" w:hAnsi="Calibri" w:cs="Calibri"/>
          <w:lang w:val="fr-CH" w:eastAsia="en-GB"/>
        </w:rPr>
        <w:t xml:space="preserve">, demander au GEST d’examiner le besoin de révision des critères. Il convient de noter que le GEST, conformément à la Décision </w:t>
      </w:r>
      <w:r w:rsidRPr="004A4B31">
        <w:rPr>
          <w:rFonts w:ascii="Calibri" w:eastAsia="Times New Roman" w:hAnsi="Calibri" w:cs="Calibri"/>
          <w:lang w:val="fr-CH" w:eastAsia="en-GB"/>
        </w:rPr>
        <w:t>SC62</w:t>
      </w:r>
      <w:r w:rsidR="00ED08EA">
        <w:rPr>
          <w:rFonts w:ascii="Calibri" w:eastAsia="Times New Roman" w:hAnsi="Calibri" w:cs="Calibri"/>
          <w:lang w:val="fr-CH" w:eastAsia="en-GB"/>
        </w:rPr>
        <w:noBreakHyphen/>
      </w:r>
      <w:r w:rsidRPr="004A4B31">
        <w:rPr>
          <w:rFonts w:ascii="Calibri" w:eastAsia="Times New Roman" w:hAnsi="Calibri" w:cs="Calibri"/>
          <w:lang w:val="fr-CH" w:eastAsia="en-GB"/>
        </w:rPr>
        <w:t xml:space="preserve">50, </w:t>
      </w:r>
      <w:r w:rsidR="00ED08EA">
        <w:rPr>
          <w:rFonts w:ascii="Calibri" w:eastAsia="Times New Roman" w:hAnsi="Calibri" w:cs="Calibri"/>
          <w:lang w:val="fr-CH" w:eastAsia="en-GB"/>
        </w:rPr>
        <w:t>a discuté de l’application du système de classification lors de sa 26</w:t>
      </w:r>
      <w:r w:rsidR="00ED08EA" w:rsidRPr="00ED08EA">
        <w:rPr>
          <w:rFonts w:ascii="Calibri" w:eastAsia="Times New Roman" w:hAnsi="Calibri" w:cs="Calibri"/>
          <w:vertAlign w:val="superscript"/>
          <w:lang w:val="fr-CH" w:eastAsia="en-GB"/>
        </w:rPr>
        <w:t>e</w:t>
      </w:r>
      <w:r w:rsidR="00ED08EA">
        <w:rPr>
          <w:rFonts w:ascii="Calibri" w:eastAsia="Times New Roman" w:hAnsi="Calibri" w:cs="Calibri"/>
          <w:lang w:val="fr-CH" w:eastAsia="en-GB"/>
        </w:rPr>
        <w:t xml:space="preserve"> réunion et fera rapport </w:t>
      </w:r>
      <w:r w:rsidR="00441620">
        <w:rPr>
          <w:rFonts w:ascii="Calibri" w:eastAsia="Times New Roman" w:hAnsi="Calibri" w:cs="Calibri"/>
          <w:lang w:val="fr-CH" w:eastAsia="en-GB"/>
        </w:rPr>
        <w:t>à la 63</w:t>
      </w:r>
      <w:r w:rsidR="00441620" w:rsidRPr="00441620">
        <w:rPr>
          <w:rFonts w:ascii="Calibri" w:eastAsia="Times New Roman" w:hAnsi="Calibri" w:cs="Calibri"/>
          <w:vertAlign w:val="superscript"/>
          <w:lang w:val="fr-CH" w:eastAsia="en-GB"/>
        </w:rPr>
        <w:t>e</w:t>
      </w:r>
      <w:r w:rsidR="00441620">
        <w:rPr>
          <w:rFonts w:ascii="Calibri" w:eastAsia="Times New Roman" w:hAnsi="Calibri" w:cs="Calibri"/>
          <w:lang w:val="fr-CH" w:eastAsia="en-GB"/>
        </w:rPr>
        <w:t xml:space="preserve"> Réunion du Comité permanent en fournissant, si </w:t>
      </w:r>
      <w:r w:rsidR="00134737">
        <w:rPr>
          <w:rFonts w:ascii="Calibri" w:eastAsia="Times New Roman" w:hAnsi="Calibri" w:cs="Calibri"/>
          <w:lang w:val="fr-CH" w:eastAsia="en-GB"/>
        </w:rPr>
        <w:t>nécessaire</w:t>
      </w:r>
      <w:r w:rsidR="00441620">
        <w:rPr>
          <w:rFonts w:ascii="Calibri" w:eastAsia="Times New Roman" w:hAnsi="Calibri" w:cs="Calibri"/>
          <w:lang w:val="fr-CH" w:eastAsia="en-GB"/>
        </w:rPr>
        <w:t xml:space="preserve">, </w:t>
      </w:r>
      <w:r w:rsidR="00134737">
        <w:rPr>
          <w:rFonts w:ascii="Calibri" w:eastAsia="Times New Roman" w:hAnsi="Calibri" w:cs="Calibri"/>
          <w:lang w:val="fr-CH" w:eastAsia="en-GB"/>
        </w:rPr>
        <w:t>la</w:t>
      </w:r>
      <w:r w:rsidR="00441620">
        <w:rPr>
          <w:rFonts w:ascii="Calibri" w:eastAsia="Times New Roman" w:hAnsi="Calibri" w:cs="Calibri"/>
          <w:lang w:val="fr-CH" w:eastAsia="en-GB"/>
        </w:rPr>
        <w:t xml:space="preserve"> description d’une approche proposée pour un examen technique du système de classification, en consultation avec les Parties contractantes, les Organisations internationales partenaires et d’autres accords multilatéraux sur l’environnement.</w:t>
      </w:r>
      <w:r w:rsidRPr="004A4B31">
        <w:rPr>
          <w:rFonts w:ascii="Calibri" w:eastAsia="Times New Roman" w:hAnsi="Calibri" w:cs="Calibri"/>
          <w:lang w:val="fr-CH" w:eastAsia="en-GB"/>
        </w:rPr>
        <w:t> </w:t>
      </w:r>
    </w:p>
    <w:p w14:paraId="56142550" w14:textId="77777777" w:rsidR="007D1631" w:rsidRPr="004A4B31" w:rsidRDefault="007D1631" w:rsidP="00563B22">
      <w:pPr>
        <w:pStyle w:val="ListParagraph"/>
        <w:spacing w:after="0" w:line="240" w:lineRule="auto"/>
        <w:ind w:left="426" w:hanging="426"/>
        <w:rPr>
          <w:lang w:val="fr-CH"/>
        </w:rPr>
      </w:pPr>
    </w:p>
    <w:p w14:paraId="494E25FD" w14:textId="3F3BC35F" w:rsidR="007D1631" w:rsidRPr="004A4B31" w:rsidRDefault="00563B22" w:rsidP="00563B22">
      <w:pPr>
        <w:spacing w:after="0" w:line="240" w:lineRule="auto"/>
        <w:ind w:left="426" w:hanging="426"/>
        <w:rPr>
          <w:lang w:val="fr-CH"/>
        </w:rPr>
      </w:pPr>
      <w:r w:rsidRPr="004A4B31">
        <w:rPr>
          <w:lang w:val="fr-CH"/>
        </w:rPr>
        <w:t>11.</w:t>
      </w:r>
      <w:r w:rsidRPr="004A4B31">
        <w:rPr>
          <w:lang w:val="fr-CH"/>
        </w:rPr>
        <w:tab/>
      </w:r>
      <w:r w:rsidR="002B52FC">
        <w:rPr>
          <w:lang w:val="fr-CH"/>
        </w:rPr>
        <w:t xml:space="preserve">Le Comité permanent est invité à examiner les mesures proposées et énoncées au Tableau 1 et </w:t>
      </w:r>
      <w:r w:rsidR="009011FB">
        <w:rPr>
          <w:lang w:val="fr-CH"/>
        </w:rPr>
        <w:t>à</w:t>
      </w:r>
      <w:r w:rsidR="002B52FC">
        <w:rPr>
          <w:lang w:val="fr-CH"/>
        </w:rPr>
        <w:t xml:space="preserve"> donn</w:t>
      </w:r>
      <w:r w:rsidR="009011FB">
        <w:rPr>
          <w:lang w:val="fr-CH"/>
        </w:rPr>
        <w:t>er</w:t>
      </w:r>
      <w:r w:rsidR="002B52FC">
        <w:rPr>
          <w:lang w:val="fr-CH"/>
        </w:rPr>
        <w:t xml:space="preserve"> des instructions au Secrétariat, à ce sujet.</w:t>
      </w:r>
      <w:r w:rsidR="00B51279" w:rsidRPr="004A4B31">
        <w:rPr>
          <w:lang w:val="fr-CH"/>
        </w:rPr>
        <w:t xml:space="preserve"> </w:t>
      </w:r>
    </w:p>
    <w:p w14:paraId="4F7222BB" w14:textId="77777777" w:rsidR="000D5876" w:rsidRPr="001E4EBA" w:rsidRDefault="000D5876" w:rsidP="00563B22">
      <w:pPr>
        <w:autoSpaceDE w:val="0"/>
        <w:autoSpaceDN w:val="0"/>
        <w:adjustRightInd w:val="0"/>
        <w:spacing w:after="0" w:line="240" w:lineRule="auto"/>
        <w:rPr>
          <w:rFonts w:ascii="Calibri-Bold" w:hAnsi="Calibri-Bold" w:cs="Calibri-Bold"/>
          <w:b/>
          <w:bCs/>
          <w:sz w:val="24"/>
          <w:szCs w:val="24"/>
          <w:lang w:val="fr-FR"/>
        </w:rPr>
      </w:pPr>
    </w:p>
    <w:p w14:paraId="68AB3EB7" w14:textId="77777777" w:rsidR="000D5876" w:rsidRPr="001E4EBA" w:rsidRDefault="000D5876" w:rsidP="000D5876">
      <w:pPr>
        <w:autoSpaceDE w:val="0"/>
        <w:autoSpaceDN w:val="0"/>
        <w:adjustRightInd w:val="0"/>
        <w:spacing w:after="0" w:line="240" w:lineRule="auto"/>
        <w:rPr>
          <w:rFonts w:ascii="Calibri-Bold" w:hAnsi="Calibri-Bold" w:cs="Calibri-Bold"/>
          <w:b/>
          <w:bCs/>
          <w:sz w:val="24"/>
          <w:szCs w:val="24"/>
          <w:lang w:val="fr-FR"/>
        </w:rPr>
        <w:sectPr w:rsidR="000D5876" w:rsidRPr="001E4EBA" w:rsidSect="00C63527">
          <w:footerReference w:type="default" r:id="rId11"/>
          <w:pgSz w:w="11906" w:h="16838"/>
          <w:pgMar w:top="1440" w:right="1440" w:bottom="1440" w:left="1440" w:header="708" w:footer="708" w:gutter="0"/>
          <w:cols w:space="708"/>
          <w:titlePg/>
          <w:docGrid w:linePitch="360"/>
        </w:sectPr>
      </w:pPr>
    </w:p>
    <w:p w14:paraId="0C796956" w14:textId="4CE0A617" w:rsidR="005451AB" w:rsidRPr="001E4EBA" w:rsidRDefault="005451AB" w:rsidP="003A7707">
      <w:pPr>
        <w:spacing w:after="0" w:line="240" w:lineRule="auto"/>
        <w:rPr>
          <w:b/>
          <w:sz w:val="24"/>
          <w:szCs w:val="24"/>
          <w:lang w:val="fr-FR"/>
        </w:rPr>
      </w:pPr>
      <w:r w:rsidRPr="001E4EBA">
        <w:rPr>
          <w:b/>
          <w:sz w:val="24"/>
          <w:szCs w:val="24"/>
          <w:lang w:val="fr-FR"/>
        </w:rPr>
        <w:lastRenderedPageBreak/>
        <w:t>Annex</w:t>
      </w:r>
      <w:r w:rsidR="006035FE" w:rsidRPr="001E4EBA">
        <w:rPr>
          <w:b/>
          <w:sz w:val="24"/>
          <w:szCs w:val="24"/>
          <w:lang w:val="fr-FR"/>
        </w:rPr>
        <w:t>e</w:t>
      </w:r>
      <w:r w:rsidRPr="001E4EBA">
        <w:rPr>
          <w:b/>
          <w:sz w:val="24"/>
          <w:szCs w:val="24"/>
          <w:lang w:val="fr-FR"/>
        </w:rPr>
        <w:t xml:space="preserve"> </w:t>
      </w:r>
      <w:r w:rsidR="00751892" w:rsidRPr="001E4EBA">
        <w:rPr>
          <w:b/>
          <w:sz w:val="24"/>
          <w:szCs w:val="24"/>
          <w:lang w:val="fr-FR"/>
        </w:rPr>
        <w:t>1</w:t>
      </w:r>
    </w:p>
    <w:p w14:paraId="7E71DE70" w14:textId="633A411B" w:rsidR="003A7707" w:rsidRPr="006035FE" w:rsidRDefault="006035FE" w:rsidP="003A7707">
      <w:pPr>
        <w:spacing w:after="0" w:line="240" w:lineRule="auto"/>
        <w:rPr>
          <w:lang w:val="fr-FR"/>
        </w:rPr>
      </w:pPr>
      <w:r>
        <w:rPr>
          <w:b/>
          <w:sz w:val="24"/>
          <w:szCs w:val="24"/>
          <w:lang w:val="fr-FR"/>
        </w:rPr>
        <w:t>D</w:t>
      </w:r>
      <w:r w:rsidRPr="006035FE">
        <w:rPr>
          <w:b/>
          <w:sz w:val="24"/>
          <w:szCs w:val="24"/>
          <w:lang w:val="fr-FR"/>
        </w:rPr>
        <w:t>ifficultés et possibilités relatives à la soumission et à la mise à jour des Fiches descriptives Ramsar</w:t>
      </w:r>
    </w:p>
    <w:tbl>
      <w:tblPr>
        <w:tblStyle w:val="TableGrid"/>
        <w:tblW w:w="14312" w:type="dxa"/>
        <w:tblCellMar>
          <w:top w:w="28" w:type="dxa"/>
          <w:bottom w:w="28" w:type="dxa"/>
        </w:tblCellMar>
        <w:tblLook w:val="04A0" w:firstRow="1" w:lastRow="0" w:firstColumn="1" w:lastColumn="0" w:noHBand="0" w:noVBand="1"/>
      </w:tblPr>
      <w:tblGrid>
        <w:gridCol w:w="1413"/>
        <w:gridCol w:w="2977"/>
        <w:gridCol w:w="5244"/>
        <w:gridCol w:w="4678"/>
      </w:tblGrid>
      <w:tr w:rsidR="0099221B" w:rsidRPr="00A61528" w14:paraId="3A501AD8" w14:textId="77777777" w:rsidTr="00BB4C56">
        <w:trPr>
          <w:cantSplit/>
          <w:trHeight w:val="567"/>
          <w:tblHeader/>
        </w:trPr>
        <w:tc>
          <w:tcPr>
            <w:tcW w:w="1413" w:type="dxa"/>
            <w:tcBorders>
              <w:top w:val="single" w:sz="4" w:space="0" w:color="auto"/>
              <w:left w:val="single" w:sz="4" w:space="0" w:color="auto"/>
              <w:bottom w:val="single" w:sz="4" w:space="0" w:color="auto"/>
              <w:right w:val="single" w:sz="4" w:space="0" w:color="auto"/>
            </w:tcBorders>
            <w:vAlign w:val="center"/>
            <w:hideMark/>
          </w:tcPr>
          <w:p w14:paraId="1037E863" w14:textId="16421CA2" w:rsidR="0099221B" w:rsidRPr="00726D7B" w:rsidRDefault="00726D7B" w:rsidP="005451AB">
            <w:pPr>
              <w:jc w:val="center"/>
              <w:rPr>
                <w:rFonts w:eastAsia="Times New Roman" w:cstheme="minorHAnsi"/>
                <w:b/>
                <w:color w:val="000000"/>
                <w:sz w:val="20"/>
                <w:szCs w:val="20"/>
                <w:lang w:val="fr-CH" w:eastAsia="en-GB"/>
              </w:rPr>
            </w:pPr>
            <w:r>
              <w:rPr>
                <w:rFonts w:eastAsia="Times New Roman" w:cstheme="minorHAnsi"/>
                <w:b/>
                <w:color w:val="000000"/>
                <w:sz w:val="20"/>
                <w:szCs w:val="20"/>
                <w:lang w:val="fr-CH" w:eastAsia="en-GB"/>
              </w:rPr>
              <w:t>Domaine thématique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DADD47" w14:textId="683198BF" w:rsidR="0099221B" w:rsidRPr="00726D7B" w:rsidRDefault="00726D7B" w:rsidP="005451AB">
            <w:pPr>
              <w:jc w:val="center"/>
              <w:rPr>
                <w:rFonts w:eastAsia="Times New Roman" w:cstheme="minorHAnsi"/>
                <w:b/>
                <w:color w:val="000000"/>
                <w:sz w:val="20"/>
                <w:szCs w:val="20"/>
                <w:lang w:val="fr-CH" w:eastAsia="en-GB"/>
              </w:rPr>
            </w:pPr>
            <w:r>
              <w:rPr>
                <w:rFonts w:eastAsia="Times New Roman" w:cstheme="minorHAnsi"/>
                <w:b/>
                <w:color w:val="000000"/>
                <w:sz w:val="20"/>
                <w:szCs w:val="20"/>
                <w:lang w:val="fr-CH" w:eastAsia="en-GB"/>
              </w:rPr>
              <w:t xml:space="preserve">Difficultés identifiées par les Parties contractantes </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667D94B" w14:textId="1A29AACE" w:rsidR="0099221B" w:rsidRPr="00726D7B" w:rsidRDefault="00726D7B" w:rsidP="005451AB">
            <w:pPr>
              <w:jc w:val="center"/>
              <w:rPr>
                <w:rFonts w:eastAsia="Times New Roman" w:cstheme="minorHAnsi"/>
                <w:b/>
                <w:color w:val="000000"/>
                <w:sz w:val="20"/>
                <w:szCs w:val="20"/>
                <w:lang w:val="fr-CH" w:eastAsia="en-GB"/>
              </w:rPr>
            </w:pPr>
            <w:r>
              <w:rPr>
                <w:rFonts w:eastAsia="Times New Roman" w:cstheme="minorHAnsi"/>
                <w:b/>
                <w:color w:val="000000"/>
                <w:sz w:val="20"/>
                <w:szCs w:val="20"/>
                <w:lang w:val="fr-CH" w:eastAsia="en-GB"/>
              </w:rPr>
              <w:t>Propositions des Parties contractantes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907C651" w14:textId="3E512B77" w:rsidR="0099221B" w:rsidRPr="00726D7B" w:rsidRDefault="00726D7B" w:rsidP="005451AB">
            <w:pPr>
              <w:jc w:val="center"/>
              <w:rPr>
                <w:rFonts w:eastAsia="Times New Roman" w:cstheme="minorHAnsi"/>
                <w:b/>
                <w:color w:val="000000"/>
                <w:sz w:val="20"/>
                <w:szCs w:val="20"/>
                <w:lang w:val="fr-CH" w:eastAsia="en-GB"/>
              </w:rPr>
            </w:pPr>
            <w:bookmarkStart w:id="5" w:name="_Hlk156895928"/>
            <w:r>
              <w:rPr>
                <w:rFonts w:eastAsia="Times New Roman" w:cstheme="minorHAnsi"/>
                <w:b/>
                <w:color w:val="000000"/>
                <w:sz w:val="20"/>
                <w:szCs w:val="20"/>
                <w:lang w:val="fr-CH" w:eastAsia="en-GB"/>
              </w:rPr>
              <w:t xml:space="preserve">Actions proposées par le Secrétariat pour examen par le Comité permanent </w:t>
            </w:r>
            <w:bookmarkEnd w:id="5"/>
          </w:p>
        </w:tc>
      </w:tr>
      <w:tr w:rsidR="0099221B" w:rsidRPr="00A61528" w14:paraId="7823E476" w14:textId="77777777" w:rsidTr="00BB4C56">
        <w:trPr>
          <w:cantSplit/>
          <w:trHeight w:val="2151"/>
        </w:trPr>
        <w:tc>
          <w:tcPr>
            <w:tcW w:w="1413" w:type="dxa"/>
            <w:vMerge w:val="restart"/>
            <w:tcBorders>
              <w:top w:val="single" w:sz="4" w:space="0" w:color="auto"/>
              <w:left w:val="single" w:sz="4" w:space="0" w:color="auto"/>
              <w:bottom w:val="single" w:sz="4" w:space="0" w:color="auto"/>
              <w:right w:val="single" w:sz="4" w:space="0" w:color="auto"/>
            </w:tcBorders>
            <w:hideMark/>
          </w:tcPr>
          <w:p w14:paraId="2E22AF68" w14:textId="091BA353" w:rsidR="0099221B" w:rsidRPr="00726D7B" w:rsidRDefault="00726D7B">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 xml:space="preserve">Processus d’examen </w:t>
            </w:r>
            <w:r w:rsidR="006B3CD2">
              <w:rPr>
                <w:rFonts w:eastAsia="Times New Roman" w:cstheme="minorHAnsi"/>
                <w:color w:val="000000"/>
                <w:sz w:val="20"/>
                <w:szCs w:val="20"/>
                <w:lang w:val="fr-CH" w:eastAsia="en-GB"/>
              </w:rPr>
              <w:t>de</w:t>
            </w:r>
            <w:r w:rsidR="003F3FD0">
              <w:rPr>
                <w:rFonts w:eastAsia="Times New Roman" w:cstheme="minorHAnsi"/>
                <w:color w:val="000000"/>
                <w:sz w:val="20"/>
                <w:szCs w:val="20"/>
                <w:lang w:val="fr-CH" w:eastAsia="en-GB"/>
              </w:rPr>
              <w:t>s</w:t>
            </w:r>
            <w:r w:rsidR="006B3CD2">
              <w:rPr>
                <w:rFonts w:eastAsia="Times New Roman" w:cstheme="minorHAnsi"/>
                <w:color w:val="000000"/>
                <w:sz w:val="20"/>
                <w:szCs w:val="20"/>
                <w:lang w:val="fr-CH" w:eastAsia="en-GB"/>
              </w:rPr>
              <w:t xml:space="preserve"> </w:t>
            </w:r>
            <w:r>
              <w:rPr>
                <w:rFonts w:eastAsia="Times New Roman" w:cstheme="minorHAnsi"/>
                <w:color w:val="000000"/>
                <w:sz w:val="20"/>
                <w:szCs w:val="20"/>
                <w:lang w:val="fr-CH" w:eastAsia="en-GB"/>
              </w:rPr>
              <w:t>FDR</w:t>
            </w:r>
            <w:r w:rsidR="0099221B" w:rsidRPr="00726D7B">
              <w:rPr>
                <w:rFonts w:eastAsia="Times New Roman" w:cstheme="minorHAnsi"/>
                <w:color w:val="000000"/>
                <w:sz w:val="20"/>
                <w:szCs w:val="20"/>
                <w:lang w:val="fr-CH" w:eastAsia="en-GB"/>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03AFE195" w14:textId="1ABA58F5" w:rsidR="0099221B" w:rsidRPr="00726D7B" w:rsidRDefault="00726D7B">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Le processus d’examen de</w:t>
            </w:r>
            <w:r w:rsidR="003F3FD0">
              <w:rPr>
                <w:rFonts w:eastAsia="Times New Roman" w:cstheme="minorHAnsi"/>
                <w:color w:val="000000"/>
                <w:sz w:val="20"/>
                <w:szCs w:val="20"/>
                <w:lang w:val="fr-CH" w:eastAsia="en-GB"/>
              </w:rPr>
              <w:t>s</w:t>
            </w:r>
            <w:r>
              <w:rPr>
                <w:rFonts w:eastAsia="Times New Roman" w:cstheme="minorHAnsi"/>
                <w:color w:val="000000"/>
                <w:sz w:val="20"/>
                <w:szCs w:val="20"/>
                <w:lang w:val="fr-CH" w:eastAsia="en-GB"/>
              </w:rPr>
              <w:t xml:space="preserve"> FDR </w:t>
            </w:r>
            <w:r w:rsidR="00BB0DCB">
              <w:rPr>
                <w:rFonts w:eastAsia="Times New Roman" w:cstheme="minorHAnsi"/>
                <w:color w:val="000000"/>
                <w:sz w:val="20"/>
                <w:szCs w:val="20"/>
                <w:lang w:val="fr-CH" w:eastAsia="en-GB"/>
              </w:rPr>
              <w:t>compte</w:t>
            </w:r>
            <w:r>
              <w:rPr>
                <w:rFonts w:eastAsia="Times New Roman" w:cstheme="minorHAnsi"/>
                <w:color w:val="000000"/>
                <w:sz w:val="20"/>
                <w:szCs w:val="20"/>
                <w:lang w:val="fr-CH" w:eastAsia="en-GB"/>
              </w:rPr>
              <w:t xml:space="preserve"> trop d’étapes/trop de niveaux d’examen et d’approbation et </w:t>
            </w:r>
            <w:r w:rsidRPr="00BB0DCB">
              <w:rPr>
                <w:rFonts w:eastAsia="Times New Roman" w:cstheme="minorHAnsi"/>
                <w:color w:val="000000"/>
                <w:sz w:val="20"/>
                <w:szCs w:val="20"/>
                <w:lang w:val="fr-CH" w:eastAsia="en-GB"/>
              </w:rPr>
              <w:t xml:space="preserve">prend trop </w:t>
            </w:r>
            <w:r w:rsidR="001841BC" w:rsidRPr="00BB0DCB">
              <w:rPr>
                <w:rFonts w:eastAsia="Times New Roman" w:cstheme="minorHAnsi"/>
                <w:color w:val="000000"/>
                <w:sz w:val="20"/>
                <w:szCs w:val="20"/>
                <w:lang w:val="fr-CH" w:eastAsia="en-GB"/>
              </w:rPr>
              <w:t xml:space="preserve">de </w:t>
            </w:r>
            <w:r w:rsidRPr="00BB0DCB">
              <w:rPr>
                <w:rFonts w:eastAsia="Times New Roman" w:cstheme="minorHAnsi"/>
                <w:color w:val="000000"/>
                <w:sz w:val="20"/>
                <w:szCs w:val="20"/>
                <w:lang w:val="fr-CH" w:eastAsia="en-GB"/>
              </w:rPr>
              <w:t>temps</w:t>
            </w:r>
            <w:r>
              <w:rPr>
                <w:rFonts w:eastAsia="Times New Roman" w:cstheme="minorHAnsi"/>
                <w:color w:val="000000"/>
                <w:sz w:val="20"/>
                <w:szCs w:val="20"/>
                <w:lang w:val="fr-CH" w:eastAsia="en-GB"/>
              </w:rPr>
              <w:t>.</w:t>
            </w:r>
            <w:r w:rsidR="0099221B" w:rsidRPr="00726D7B">
              <w:rPr>
                <w:rFonts w:eastAsia="Times New Roman" w:cstheme="minorHAnsi"/>
                <w:color w:val="000000"/>
                <w:sz w:val="20"/>
                <w:szCs w:val="20"/>
                <w:lang w:val="fr-CH" w:eastAsia="en-GB"/>
              </w:rPr>
              <w:t xml:space="preserve"> </w:t>
            </w:r>
          </w:p>
        </w:tc>
        <w:tc>
          <w:tcPr>
            <w:tcW w:w="5244" w:type="dxa"/>
            <w:tcBorders>
              <w:top w:val="single" w:sz="4" w:space="0" w:color="auto"/>
              <w:left w:val="single" w:sz="4" w:space="0" w:color="auto"/>
              <w:bottom w:val="single" w:sz="4" w:space="0" w:color="auto"/>
              <w:right w:val="single" w:sz="4" w:space="0" w:color="auto"/>
            </w:tcBorders>
            <w:hideMark/>
          </w:tcPr>
          <w:p w14:paraId="0D6DB878" w14:textId="2509599F" w:rsidR="0099221B" w:rsidRPr="00726D7B" w:rsidRDefault="00726D7B">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 xml:space="preserve">Le Secrétariat </w:t>
            </w:r>
            <w:r w:rsidR="008A458E">
              <w:rPr>
                <w:rFonts w:eastAsia="Times New Roman" w:cstheme="minorHAnsi"/>
                <w:color w:val="000000"/>
                <w:sz w:val="20"/>
                <w:szCs w:val="20"/>
                <w:lang w:val="fr-CH" w:eastAsia="en-GB"/>
              </w:rPr>
              <w:t xml:space="preserve">devrait étudier des moyens de simplifier les étapes </w:t>
            </w:r>
            <w:r w:rsidR="003F3FD0">
              <w:rPr>
                <w:rFonts w:eastAsia="Times New Roman" w:cstheme="minorHAnsi"/>
                <w:color w:val="000000"/>
                <w:sz w:val="20"/>
                <w:szCs w:val="20"/>
                <w:lang w:val="fr-CH" w:eastAsia="en-GB"/>
              </w:rPr>
              <w:t>de l’</w:t>
            </w:r>
            <w:r w:rsidR="008A458E">
              <w:rPr>
                <w:rFonts w:eastAsia="Times New Roman" w:cstheme="minorHAnsi"/>
                <w:color w:val="000000"/>
                <w:sz w:val="20"/>
                <w:szCs w:val="20"/>
                <w:lang w:val="fr-CH" w:eastAsia="en-GB"/>
              </w:rPr>
              <w:t>examen de</w:t>
            </w:r>
            <w:r w:rsidR="003F3FD0">
              <w:rPr>
                <w:rFonts w:eastAsia="Times New Roman" w:cstheme="minorHAnsi"/>
                <w:color w:val="000000"/>
                <w:sz w:val="20"/>
                <w:szCs w:val="20"/>
                <w:lang w:val="fr-CH" w:eastAsia="en-GB"/>
              </w:rPr>
              <w:t>s</w:t>
            </w:r>
            <w:r w:rsidR="008A458E">
              <w:rPr>
                <w:rFonts w:eastAsia="Times New Roman" w:cstheme="minorHAnsi"/>
                <w:color w:val="000000"/>
                <w:sz w:val="20"/>
                <w:szCs w:val="20"/>
                <w:lang w:val="fr-CH" w:eastAsia="en-GB"/>
              </w:rPr>
              <w:t xml:space="preserve"> FDR (désignation et mise à jour). </w:t>
            </w:r>
            <w:r w:rsidR="00D25182">
              <w:rPr>
                <w:rFonts w:eastAsia="Times New Roman" w:cstheme="minorHAnsi"/>
                <w:color w:val="000000"/>
                <w:sz w:val="20"/>
                <w:szCs w:val="20"/>
                <w:lang w:val="fr-CH" w:eastAsia="en-GB"/>
              </w:rPr>
              <w:t>En examinant</w:t>
            </w:r>
            <w:r w:rsidR="008A458E">
              <w:rPr>
                <w:rFonts w:eastAsia="Times New Roman" w:cstheme="minorHAnsi"/>
                <w:color w:val="000000"/>
                <w:sz w:val="20"/>
                <w:szCs w:val="20"/>
                <w:lang w:val="fr-CH" w:eastAsia="en-GB"/>
              </w:rPr>
              <w:t xml:space="preserve"> l</w:t>
            </w:r>
            <w:r w:rsidR="003F3FD0">
              <w:rPr>
                <w:rFonts w:eastAsia="Times New Roman" w:cstheme="minorHAnsi"/>
                <w:color w:val="000000"/>
                <w:sz w:val="20"/>
                <w:szCs w:val="20"/>
                <w:lang w:val="fr-CH" w:eastAsia="en-GB"/>
              </w:rPr>
              <w:t>es</w:t>
            </w:r>
            <w:r w:rsidR="008A458E">
              <w:rPr>
                <w:rFonts w:eastAsia="Times New Roman" w:cstheme="minorHAnsi"/>
                <w:color w:val="000000"/>
                <w:sz w:val="20"/>
                <w:szCs w:val="20"/>
                <w:lang w:val="fr-CH" w:eastAsia="en-GB"/>
              </w:rPr>
              <w:t xml:space="preserve"> FDR</w:t>
            </w:r>
            <w:r w:rsidR="00D25182">
              <w:rPr>
                <w:rFonts w:eastAsia="Times New Roman" w:cstheme="minorHAnsi"/>
                <w:color w:val="000000"/>
                <w:sz w:val="20"/>
                <w:szCs w:val="20"/>
                <w:lang w:val="fr-CH" w:eastAsia="en-GB"/>
              </w:rPr>
              <w:t>,</w:t>
            </w:r>
            <w:r w:rsidR="008A458E">
              <w:rPr>
                <w:rFonts w:eastAsia="Times New Roman" w:cstheme="minorHAnsi"/>
                <w:color w:val="000000"/>
                <w:sz w:val="20"/>
                <w:szCs w:val="20"/>
                <w:lang w:val="fr-CH" w:eastAsia="en-GB"/>
              </w:rPr>
              <w:t xml:space="preserve"> le Secrétariat devrait </w:t>
            </w:r>
            <w:r w:rsidR="00D25182">
              <w:rPr>
                <w:rFonts w:eastAsia="Times New Roman" w:cstheme="minorHAnsi"/>
                <w:color w:val="000000"/>
                <w:sz w:val="20"/>
                <w:szCs w:val="20"/>
                <w:lang w:val="fr-CH" w:eastAsia="en-GB"/>
              </w:rPr>
              <w:t>se concentrer</w:t>
            </w:r>
            <w:r w:rsidR="008A458E">
              <w:rPr>
                <w:rFonts w:eastAsia="Times New Roman" w:cstheme="minorHAnsi"/>
                <w:color w:val="000000"/>
                <w:sz w:val="20"/>
                <w:szCs w:val="20"/>
                <w:lang w:val="fr-CH" w:eastAsia="en-GB"/>
              </w:rPr>
              <w:t xml:space="preserve"> sur l</w:t>
            </w:r>
            <w:r w:rsidR="00D25182">
              <w:rPr>
                <w:rFonts w:eastAsia="Times New Roman" w:cstheme="minorHAnsi"/>
                <w:color w:val="000000"/>
                <w:sz w:val="20"/>
                <w:szCs w:val="20"/>
                <w:lang w:val="fr-CH" w:eastAsia="en-GB"/>
              </w:rPr>
              <w:t>’exhaustivité</w:t>
            </w:r>
            <w:r w:rsidR="008A458E">
              <w:rPr>
                <w:rFonts w:eastAsia="Times New Roman" w:cstheme="minorHAnsi"/>
                <w:color w:val="000000"/>
                <w:sz w:val="20"/>
                <w:szCs w:val="20"/>
                <w:lang w:val="fr-CH" w:eastAsia="en-GB"/>
              </w:rPr>
              <w:t xml:space="preserve"> des champs de données les plus importants plutôt </w:t>
            </w:r>
            <w:r w:rsidR="00D25182">
              <w:rPr>
                <w:rFonts w:eastAsia="Times New Roman" w:cstheme="minorHAnsi"/>
                <w:color w:val="000000"/>
                <w:sz w:val="20"/>
                <w:szCs w:val="20"/>
                <w:lang w:val="fr-CH" w:eastAsia="en-GB"/>
              </w:rPr>
              <w:t>que sur les détails</w:t>
            </w:r>
            <w:r w:rsidR="008A458E">
              <w:rPr>
                <w:rFonts w:eastAsia="Times New Roman" w:cstheme="minorHAnsi"/>
                <w:color w:val="000000"/>
                <w:sz w:val="20"/>
                <w:szCs w:val="20"/>
                <w:lang w:val="fr-CH" w:eastAsia="en-GB"/>
              </w:rPr>
              <w:t>. L’examen initial de</w:t>
            </w:r>
            <w:r w:rsidR="003F3FD0">
              <w:rPr>
                <w:rFonts w:eastAsia="Times New Roman" w:cstheme="minorHAnsi"/>
                <w:color w:val="000000"/>
                <w:sz w:val="20"/>
                <w:szCs w:val="20"/>
                <w:lang w:val="fr-CH" w:eastAsia="en-GB"/>
              </w:rPr>
              <w:t>s</w:t>
            </w:r>
            <w:r w:rsidR="008A458E">
              <w:rPr>
                <w:rFonts w:eastAsia="Times New Roman" w:cstheme="minorHAnsi"/>
                <w:color w:val="000000"/>
                <w:sz w:val="20"/>
                <w:szCs w:val="20"/>
                <w:lang w:val="fr-CH" w:eastAsia="en-GB"/>
              </w:rPr>
              <w:t xml:space="preserve"> FDR devrait être suffisamment exhaustif </w:t>
            </w:r>
            <w:r w:rsidR="00D25182">
              <w:rPr>
                <w:rFonts w:eastAsia="Times New Roman" w:cstheme="minorHAnsi"/>
                <w:color w:val="000000"/>
                <w:sz w:val="20"/>
                <w:szCs w:val="20"/>
                <w:lang w:val="fr-CH" w:eastAsia="en-GB"/>
              </w:rPr>
              <w:t>pour</w:t>
            </w:r>
            <w:r w:rsidR="008A458E">
              <w:rPr>
                <w:rFonts w:eastAsia="Times New Roman" w:cstheme="minorHAnsi"/>
                <w:color w:val="000000"/>
                <w:sz w:val="20"/>
                <w:szCs w:val="20"/>
                <w:lang w:val="fr-CH" w:eastAsia="en-GB"/>
              </w:rPr>
              <w:t xml:space="preserve"> que l’examen de</w:t>
            </w:r>
            <w:r w:rsidR="003F3FD0">
              <w:rPr>
                <w:rFonts w:eastAsia="Times New Roman" w:cstheme="minorHAnsi"/>
                <w:color w:val="000000"/>
                <w:sz w:val="20"/>
                <w:szCs w:val="20"/>
                <w:lang w:val="fr-CH" w:eastAsia="en-GB"/>
              </w:rPr>
              <w:t>s</w:t>
            </w:r>
            <w:r w:rsidR="008A458E">
              <w:rPr>
                <w:rFonts w:eastAsia="Times New Roman" w:cstheme="minorHAnsi"/>
                <w:color w:val="000000"/>
                <w:sz w:val="20"/>
                <w:szCs w:val="20"/>
                <w:lang w:val="fr-CH" w:eastAsia="en-GB"/>
              </w:rPr>
              <w:t xml:space="preserve"> </w:t>
            </w:r>
            <w:r w:rsidR="00D25182">
              <w:rPr>
                <w:rFonts w:eastAsia="Times New Roman" w:cstheme="minorHAnsi"/>
                <w:color w:val="000000"/>
                <w:sz w:val="20"/>
                <w:szCs w:val="20"/>
                <w:lang w:val="fr-CH" w:eastAsia="en-GB"/>
              </w:rPr>
              <w:t>F</w:t>
            </w:r>
            <w:r w:rsidR="008A458E">
              <w:rPr>
                <w:rFonts w:eastAsia="Times New Roman" w:cstheme="minorHAnsi"/>
                <w:color w:val="000000"/>
                <w:sz w:val="20"/>
                <w:szCs w:val="20"/>
                <w:lang w:val="fr-CH" w:eastAsia="en-GB"/>
              </w:rPr>
              <w:t xml:space="preserve">DR </w:t>
            </w:r>
            <w:r w:rsidR="00D25182">
              <w:rPr>
                <w:rFonts w:eastAsia="Times New Roman" w:cstheme="minorHAnsi"/>
                <w:color w:val="000000"/>
                <w:sz w:val="20"/>
                <w:szCs w:val="20"/>
                <w:lang w:val="fr-CH" w:eastAsia="en-GB"/>
              </w:rPr>
              <w:t>révisées</w:t>
            </w:r>
            <w:r w:rsidR="00D54CB0">
              <w:rPr>
                <w:rFonts w:eastAsia="Times New Roman" w:cstheme="minorHAnsi"/>
                <w:color w:val="000000"/>
                <w:sz w:val="20"/>
                <w:szCs w:val="20"/>
                <w:lang w:val="fr-CH" w:eastAsia="en-GB"/>
              </w:rPr>
              <w:t xml:space="preserve"> n’entraîne pas de commentaires nouveaux/additionnels </w:t>
            </w:r>
            <w:r w:rsidR="00D25182">
              <w:rPr>
                <w:rFonts w:eastAsia="Times New Roman" w:cstheme="minorHAnsi"/>
                <w:color w:val="000000"/>
                <w:sz w:val="20"/>
                <w:szCs w:val="20"/>
                <w:lang w:val="fr-CH" w:eastAsia="en-GB"/>
              </w:rPr>
              <w:t>par rapport à</w:t>
            </w:r>
            <w:r w:rsidR="00D54CB0">
              <w:rPr>
                <w:rFonts w:eastAsia="Times New Roman" w:cstheme="minorHAnsi"/>
                <w:color w:val="000000"/>
                <w:sz w:val="20"/>
                <w:szCs w:val="20"/>
                <w:lang w:val="fr-CH" w:eastAsia="en-GB"/>
              </w:rPr>
              <w:t xml:space="preserve"> l’information fournie dans la </w:t>
            </w:r>
            <w:r w:rsidR="00D25182">
              <w:rPr>
                <w:rFonts w:eastAsia="Times New Roman" w:cstheme="minorHAnsi"/>
                <w:color w:val="000000"/>
                <w:sz w:val="20"/>
                <w:szCs w:val="20"/>
                <w:lang w:val="fr-CH" w:eastAsia="en-GB"/>
              </w:rPr>
              <w:t>fiche</w:t>
            </w:r>
            <w:r w:rsidR="00D54CB0">
              <w:rPr>
                <w:rFonts w:eastAsia="Times New Roman" w:cstheme="minorHAnsi"/>
                <w:color w:val="000000"/>
                <w:sz w:val="20"/>
                <w:szCs w:val="20"/>
                <w:lang w:val="fr-CH" w:eastAsia="en-GB"/>
              </w:rPr>
              <w:t xml:space="preserve"> d’origine.</w:t>
            </w:r>
            <w:r w:rsidR="0099221B" w:rsidRPr="00726D7B">
              <w:rPr>
                <w:rFonts w:eastAsia="Times New Roman" w:cstheme="minorHAnsi"/>
                <w:color w:val="000000"/>
                <w:sz w:val="20"/>
                <w:szCs w:val="20"/>
                <w:lang w:val="fr-CH" w:eastAsia="en-GB"/>
              </w:rPr>
              <w:t xml:space="preserve"> </w:t>
            </w:r>
          </w:p>
          <w:p w14:paraId="10CC2442" w14:textId="77777777" w:rsidR="008676B3" w:rsidRPr="00726D7B" w:rsidRDefault="008676B3">
            <w:pPr>
              <w:rPr>
                <w:rFonts w:eastAsia="Times New Roman" w:cstheme="minorHAnsi"/>
                <w:color w:val="000000"/>
                <w:sz w:val="20"/>
                <w:szCs w:val="20"/>
                <w:lang w:val="fr-CH" w:eastAsia="en-GB"/>
              </w:rPr>
            </w:pPr>
          </w:p>
          <w:p w14:paraId="454A94EE" w14:textId="58D0C085" w:rsidR="0099221B" w:rsidRPr="00726D7B" w:rsidRDefault="00D54CB0">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 xml:space="preserve">Le Secrétariat devrait </w:t>
            </w:r>
            <w:r w:rsidR="00D25182">
              <w:rPr>
                <w:rFonts w:eastAsia="Times New Roman" w:cstheme="minorHAnsi"/>
                <w:color w:val="000000"/>
                <w:sz w:val="20"/>
                <w:szCs w:val="20"/>
                <w:lang w:val="fr-CH" w:eastAsia="en-GB"/>
              </w:rPr>
              <w:t>étudier</w:t>
            </w:r>
            <w:r>
              <w:rPr>
                <w:rFonts w:eastAsia="Times New Roman" w:cstheme="minorHAnsi"/>
                <w:color w:val="000000"/>
                <w:sz w:val="20"/>
                <w:szCs w:val="20"/>
                <w:lang w:val="fr-CH" w:eastAsia="en-GB"/>
              </w:rPr>
              <w:t xml:space="preserve"> des options en vue d’obtenir une capacité humaine additionnelle pour examiner les FDR.</w:t>
            </w:r>
            <w:r w:rsidR="0099221B" w:rsidRPr="00726D7B">
              <w:rPr>
                <w:rFonts w:eastAsia="Times New Roman" w:cstheme="minorHAnsi"/>
                <w:color w:val="000000"/>
                <w:sz w:val="20"/>
                <w:szCs w:val="20"/>
                <w:lang w:val="fr-CH" w:eastAsia="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59405749" w14:textId="72BFFC74" w:rsidR="0099221B" w:rsidRPr="00726D7B" w:rsidRDefault="006D0BED">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 xml:space="preserve">Le Secrétariat mettra à jour sa Procédure </w:t>
            </w:r>
            <w:r w:rsidR="006A7EA3">
              <w:rPr>
                <w:rFonts w:eastAsia="Times New Roman" w:cstheme="minorHAnsi"/>
                <w:color w:val="000000"/>
                <w:sz w:val="20"/>
                <w:szCs w:val="20"/>
                <w:lang w:val="fr-CH" w:eastAsia="en-GB"/>
              </w:rPr>
              <w:t>opérationnelle</w:t>
            </w:r>
            <w:r>
              <w:rPr>
                <w:rFonts w:eastAsia="Times New Roman" w:cstheme="minorHAnsi"/>
                <w:color w:val="000000"/>
                <w:sz w:val="20"/>
                <w:szCs w:val="20"/>
                <w:lang w:val="fr-CH" w:eastAsia="en-GB"/>
              </w:rPr>
              <w:t xml:space="preserve"> normalisée </w:t>
            </w:r>
            <w:r w:rsidR="0099221B" w:rsidRPr="00726D7B">
              <w:rPr>
                <w:rFonts w:eastAsia="Times New Roman" w:cstheme="minorHAnsi"/>
                <w:color w:val="000000"/>
                <w:sz w:val="20"/>
                <w:szCs w:val="20"/>
                <w:lang w:val="fr-CH" w:eastAsia="en-GB"/>
              </w:rPr>
              <w:t>(</w:t>
            </w:r>
            <w:r>
              <w:rPr>
                <w:rFonts w:eastAsia="Times New Roman" w:cstheme="minorHAnsi"/>
                <w:color w:val="000000"/>
                <w:sz w:val="20"/>
                <w:szCs w:val="20"/>
                <w:lang w:val="fr-CH" w:eastAsia="en-GB"/>
              </w:rPr>
              <w:t>PON</w:t>
            </w:r>
            <w:r w:rsidR="0099221B" w:rsidRPr="00726D7B">
              <w:rPr>
                <w:rFonts w:eastAsia="Times New Roman" w:cstheme="minorHAnsi"/>
                <w:color w:val="000000"/>
                <w:sz w:val="20"/>
                <w:szCs w:val="20"/>
                <w:lang w:val="fr-CH" w:eastAsia="en-GB"/>
              </w:rPr>
              <w:t xml:space="preserve">) </w:t>
            </w:r>
            <w:r>
              <w:rPr>
                <w:rFonts w:eastAsia="Times New Roman" w:cstheme="minorHAnsi"/>
                <w:color w:val="000000"/>
                <w:sz w:val="20"/>
                <w:szCs w:val="20"/>
                <w:lang w:val="fr-CH" w:eastAsia="en-GB"/>
              </w:rPr>
              <w:t>pour l’examen des FDR dans le but de simplifier le processus et d’améliorer son efficacité, notamment en réduisant le nombre d’étapes, en déterminant les rôles et responsabilités clés et en établissant des calendriers indicatifs pour chaque étape.</w:t>
            </w:r>
            <w:r w:rsidR="0099221B" w:rsidRPr="00726D7B">
              <w:rPr>
                <w:rFonts w:eastAsia="Times New Roman" w:cstheme="minorHAnsi"/>
                <w:color w:val="000000"/>
                <w:sz w:val="20"/>
                <w:szCs w:val="20"/>
                <w:lang w:val="fr-CH" w:eastAsia="en-GB"/>
              </w:rPr>
              <w:t xml:space="preserve"> </w:t>
            </w:r>
          </w:p>
          <w:p w14:paraId="772B4A25" w14:textId="77777777" w:rsidR="00671D6B" w:rsidRPr="00726D7B" w:rsidRDefault="00671D6B">
            <w:pPr>
              <w:rPr>
                <w:rFonts w:eastAsia="Times New Roman" w:cstheme="minorHAnsi"/>
                <w:color w:val="000000"/>
                <w:sz w:val="20"/>
                <w:szCs w:val="20"/>
                <w:lang w:val="fr-CH" w:eastAsia="en-GB"/>
              </w:rPr>
            </w:pPr>
          </w:p>
          <w:p w14:paraId="146169C8" w14:textId="6471E7FB" w:rsidR="0099221B" w:rsidRPr="00726D7B" w:rsidRDefault="00C91FEB">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 xml:space="preserve">Les Parties contractantes peuvent envisager de faire des provisions budgétaires pour que le Secrétariat engage des consultants (sur </w:t>
            </w:r>
            <w:r w:rsidR="003F3FD0">
              <w:rPr>
                <w:rFonts w:eastAsia="Times New Roman" w:cstheme="minorHAnsi"/>
                <w:color w:val="000000"/>
                <w:sz w:val="20"/>
                <w:szCs w:val="20"/>
                <w:lang w:val="fr-CH" w:eastAsia="en-GB"/>
              </w:rPr>
              <w:t xml:space="preserve">la </w:t>
            </w:r>
            <w:r>
              <w:rPr>
                <w:rFonts w:eastAsia="Times New Roman" w:cstheme="minorHAnsi"/>
                <w:color w:val="000000"/>
                <w:sz w:val="20"/>
                <w:szCs w:val="20"/>
                <w:lang w:val="fr-CH" w:eastAsia="en-GB"/>
              </w:rPr>
              <w:t xml:space="preserve">base </w:t>
            </w:r>
            <w:r w:rsidR="006A7EA3">
              <w:rPr>
                <w:rFonts w:eastAsia="Times New Roman" w:cstheme="minorHAnsi"/>
                <w:color w:val="000000"/>
                <w:sz w:val="20"/>
                <w:szCs w:val="20"/>
                <w:lang w:val="fr-CH" w:eastAsia="en-GB"/>
              </w:rPr>
              <w:t>d’honoraires</w:t>
            </w:r>
            <w:r>
              <w:rPr>
                <w:rFonts w:eastAsia="Times New Roman" w:cstheme="minorHAnsi"/>
                <w:color w:val="000000"/>
                <w:sz w:val="20"/>
                <w:szCs w:val="20"/>
                <w:lang w:val="fr-CH" w:eastAsia="en-GB"/>
              </w:rPr>
              <w:t xml:space="preserve"> ou à temps partiel) pour soutenir l’examen des FDR lorsque c’est nécessaire.</w:t>
            </w:r>
            <w:r w:rsidR="0099221B" w:rsidRPr="00726D7B">
              <w:rPr>
                <w:rFonts w:eastAsia="Times New Roman" w:cstheme="minorHAnsi"/>
                <w:color w:val="000000"/>
                <w:sz w:val="20"/>
                <w:szCs w:val="20"/>
                <w:lang w:val="fr-CH" w:eastAsia="en-GB"/>
              </w:rPr>
              <w:t xml:space="preserve"> </w:t>
            </w:r>
          </w:p>
        </w:tc>
      </w:tr>
      <w:tr w:rsidR="0099221B" w:rsidRPr="00A61528" w14:paraId="601523A6" w14:textId="77777777" w:rsidTr="00BB4C56">
        <w:trPr>
          <w:cantSplit/>
          <w:trHeight w:val="416"/>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40075A9" w14:textId="77777777" w:rsidR="0099221B" w:rsidRPr="00726D7B" w:rsidRDefault="0099221B">
            <w:pPr>
              <w:rPr>
                <w:rFonts w:eastAsia="Times New Roman" w:cstheme="minorHAnsi"/>
                <w:color w:val="000000"/>
                <w:sz w:val="20"/>
                <w:szCs w:val="20"/>
                <w:lang w:val="fr-CH" w:eastAsia="en-GB"/>
              </w:rPr>
            </w:pPr>
          </w:p>
        </w:tc>
        <w:tc>
          <w:tcPr>
            <w:tcW w:w="2977" w:type="dxa"/>
            <w:tcBorders>
              <w:top w:val="single" w:sz="4" w:space="0" w:color="auto"/>
              <w:left w:val="single" w:sz="4" w:space="0" w:color="auto"/>
              <w:bottom w:val="single" w:sz="4" w:space="0" w:color="auto"/>
              <w:right w:val="single" w:sz="4" w:space="0" w:color="auto"/>
            </w:tcBorders>
            <w:hideMark/>
          </w:tcPr>
          <w:p w14:paraId="70AE925C" w14:textId="707891CE" w:rsidR="0099221B" w:rsidRPr="00726D7B" w:rsidRDefault="006A7EA3">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D</w:t>
            </w:r>
            <w:r w:rsidR="0002702D">
              <w:rPr>
                <w:rFonts w:eastAsia="Times New Roman" w:cstheme="minorHAnsi"/>
                <w:color w:val="000000"/>
                <w:sz w:val="20"/>
                <w:szCs w:val="20"/>
                <w:lang w:val="fr-CH" w:eastAsia="en-GB"/>
              </w:rPr>
              <w:t>urant le processus de mise à jour de</w:t>
            </w:r>
            <w:r w:rsidR="003F3FD0">
              <w:rPr>
                <w:rFonts w:eastAsia="Times New Roman" w:cstheme="minorHAnsi"/>
                <w:color w:val="000000"/>
                <w:sz w:val="20"/>
                <w:szCs w:val="20"/>
                <w:lang w:val="fr-CH" w:eastAsia="en-GB"/>
              </w:rPr>
              <w:t>s</w:t>
            </w:r>
            <w:r w:rsidR="0002702D">
              <w:rPr>
                <w:rFonts w:eastAsia="Times New Roman" w:cstheme="minorHAnsi"/>
                <w:color w:val="000000"/>
                <w:sz w:val="20"/>
                <w:szCs w:val="20"/>
                <w:lang w:val="fr-CH" w:eastAsia="en-GB"/>
              </w:rPr>
              <w:t xml:space="preserve"> FDR</w:t>
            </w:r>
            <w:r>
              <w:rPr>
                <w:rFonts w:eastAsia="Times New Roman" w:cstheme="minorHAnsi"/>
                <w:color w:val="000000"/>
                <w:sz w:val="20"/>
                <w:szCs w:val="20"/>
                <w:lang w:val="fr-CH" w:eastAsia="en-GB"/>
              </w:rPr>
              <w:t>, la</w:t>
            </w:r>
            <w:r w:rsidR="0002702D">
              <w:rPr>
                <w:rFonts w:eastAsia="Times New Roman" w:cstheme="minorHAnsi"/>
                <w:color w:val="000000"/>
                <w:sz w:val="20"/>
                <w:szCs w:val="20"/>
                <w:lang w:val="fr-CH" w:eastAsia="en-GB"/>
              </w:rPr>
              <w:t xml:space="preserve"> </w:t>
            </w:r>
            <w:r>
              <w:rPr>
                <w:rFonts w:eastAsia="Times New Roman" w:cstheme="minorHAnsi"/>
                <w:color w:val="000000"/>
                <w:sz w:val="20"/>
                <w:szCs w:val="20"/>
                <w:lang w:val="fr-CH" w:eastAsia="en-GB"/>
              </w:rPr>
              <w:t>c</w:t>
            </w:r>
            <w:r w:rsidRPr="00726D7B">
              <w:rPr>
                <w:rFonts w:eastAsia="Times New Roman" w:cstheme="minorHAnsi"/>
                <w:color w:val="000000"/>
                <w:sz w:val="20"/>
                <w:szCs w:val="20"/>
                <w:lang w:val="fr-CH" w:eastAsia="en-GB"/>
              </w:rPr>
              <w:t xml:space="preserve">ommunication </w:t>
            </w:r>
            <w:r>
              <w:rPr>
                <w:rFonts w:eastAsia="Times New Roman" w:cstheme="minorHAnsi"/>
                <w:color w:val="000000"/>
                <w:sz w:val="20"/>
                <w:szCs w:val="20"/>
                <w:lang w:val="fr-CH" w:eastAsia="en-GB"/>
              </w:rPr>
              <w:t xml:space="preserve">avec les Parties contractantes </w:t>
            </w:r>
            <w:r w:rsidR="0002702D">
              <w:rPr>
                <w:rFonts w:eastAsia="Times New Roman" w:cstheme="minorHAnsi"/>
                <w:color w:val="000000"/>
                <w:sz w:val="20"/>
                <w:szCs w:val="20"/>
                <w:lang w:val="fr-CH" w:eastAsia="en-GB"/>
              </w:rPr>
              <w:t xml:space="preserve">est parfois insuffisante. </w:t>
            </w:r>
          </w:p>
        </w:tc>
        <w:tc>
          <w:tcPr>
            <w:tcW w:w="5244" w:type="dxa"/>
            <w:tcBorders>
              <w:top w:val="single" w:sz="4" w:space="0" w:color="auto"/>
              <w:left w:val="single" w:sz="4" w:space="0" w:color="auto"/>
              <w:bottom w:val="single" w:sz="4" w:space="0" w:color="auto"/>
              <w:right w:val="single" w:sz="4" w:space="0" w:color="auto"/>
            </w:tcBorders>
            <w:hideMark/>
          </w:tcPr>
          <w:p w14:paraId="7431B593" w14:textId="24884754" w:rsidR="0099221B" w:rsidRPr="00726D7B" w:rsidRDefault="0002702D">
            <w:pPr>
              <w:rPr>
                <w:sz w:val="20"/>
                <w:szCs w:val="20"/>
                <w:lang w:val="fr-CH"/>
              </w:rPr>
            </w:pPr>
            <w:r>
              <w:rPr>
                <w:rFonts w:eastAsia="Times New Roman" w:cstheme="minorHAnsi"/>
                <w:color w:val="000000"/>
                <w:sz w:val="20"/>
                <w:szCs w:val="20"/>
                <w:lang w:val="fr-CH" w:eastAsia="en-GB"/>
              </w:rPr>
              <w:t xml:space="preserve">Le Secrétariat devrait accuser réception </w:t>
            </w:r>
            <w:r w:rsidR="001177BB">
              <w:rPr>
                <w:rFonts w:eastAsia="Times New Roman" w:cstheme="minorHAnsi"/>
                <w:color w:val="000000"/>
                <w:sz w:val="20"/>
                <w:szCs w:val="20"/>
                <w:lang w:val="fr-CH" w:eastAsia="en-GB"/>
              </w:rPr>
              <w:t xml:space="preserve">des </w:t>
            </w:r>
            <w:r w:rsidR="002E210D">
              <w:rPr>
                <w:rFonts w:eastAsia="Times New Roman" w:cstheme="minorHAnsi"/>
                <w:color w:val="000000"/>
                <w:sz w:val="20"/>
                <w:szCs w:val="20"/>
                <w:lang w:val="fr-CH" w:eastAsia="en-GB"/>
              </w:rPr>
              <w:t xml:space="preserve">FDR </w:t>
            </w:r>
            <w:r w:rsidR="001177BB">
              <w:rPr>
                <w:rFonts w:eastAsia="Times New Roman" w:cstheme="minorHAnsi"/>
                <w:color w:val="000000"/>
                <w:sz w:val="20"/>
                <w:szCs w:val="20"/>
                <w:lang w:val="fr-CH" w:eastAsia="en-GB"/>
              </w:rPr>
              <w:t>soumis</w:t>
            </w:r>
            <w:r w:rsidR="002E210D">
              <w:rPr>
                <w:rFonts w:eastAsia="Times New Roman" w:cstheme="minorHAnsi"/>
                <w:color w:val="000000"/>
                <w:sz w:val="20"/>
                <w:szCs w:val="20"/>
                <w:lang w:val="fr-CH" w:eastAsia="en-GB"/>
              </w:rPr>
              <w:t>es et indiquer combien de temps durera l’examen</w:t>
            </w:r>
            <w:r w:rsidR="001177BB">
              <w:rPr>
                <w:rFonts w:eastAsia="Times New Roman" w:cstheme="minorHAnsi"/>
                <w:color w:val="000000"/>
                <w:sz w:val="20"/>
                <w:szCs w:val="20"/>
                <w:lang w:val="fr-CH" w:eastAsia="en-GB"/>
              </w:rPr>
              <w:t xml:space="preserve"> </w:t>
            </w:r>
            <w:r w:rsidR="002E210D">
              <w:rPr>
                <w:rFonts w:eastAsia="Times New Roman" w:cstheme="minorHAnsi"/>
                <w:color w:val="000000"/>
                <w:sz w:val="20"/>
                <w:szCs w:val="20"/>
                <w:lang w:val="fr-CH" w:eastAsia="en-GB"/>
              </w:rPr>
              <w:t>en expliquant les éventuels</w:t>
            </w:r>
            <w:r w:rsidR="001177BB">
              <w:rPr>
                <w:rFonts w:eastAsia="Times New Roman" w:cstheme="minorHAnsi"/>
                <w:color w:val="000000"/>
                <w:sz w:val="20"/>
                <w:szCs w:val="20"/>
                <w:lang w:val="fr-CH" w:eastAsia="en-GB"/>
              </w:rPr>
              <w:t xml:space="preserve"> délais. </w:t>
            </w:r>
          </w:p>
          <w:p w14:paraId="320FC6CF" w14:textId="779DBE68" w:rsidR="0099221B" w:rsidRPr="00726D7B" w:rsidRDefault="001177BB">
            <w:pPr>
              <w:rPr>
                <w:rFonts w:eastAsia="Times New Roman" w:cstheme="minorHAnsi"/>
                <w:color w:val="000000"/>
                <w:sz w:val="20"/>
                <w:szCs w:val="20"/>
                <w:lang w:val="fr-CH" w:eastAsia="en-GB"/>
              </w:rPr>
            </w:pPr>
            <w:r>
              <w:rPr>
                <w:sz w:val="20"/>
                <w:szCs w:val="20"/>
                <w:lang w:val="fr-CH" w:eastAsia="en-GB"/>
              </w:rPr>
              <w:t xml:space="preserve">Le Secrétariat devrait informer les Parties contractantes </w:t>
            </w:r>
            <w:r w:rsidR="002E210D">
              <w:rPr>
                <w:sz w:val="20"/>
                <w:szCs w:val="20"/>
                <w:lang w:val="fr-CH" w:eastAsia="en-GB"/>
              </w:rPr>
              <w:t xml:space="preserve">de </w:t>
            </w:r>
            <w:r>
              <w:rPr>
                <w:sz w:val="20"/>
                <w:szCs w:val="20"/>
                <w:lang w:val="fr-CH" w:eastAsia="en-GB"/>
              </w:rPr>
              <w:t xml:space="preserve">la nécessité de </w:t>
            </w:r>
            <w:r w:rsidR="002E210D">
              <w:rPr>
                <w:sz w:val="20"/>
                <w:szCs w:val="20"/>
                <w:lang w:val="fr-CH" w:eastAsia="en-GB"/>
              </w:rPr>
              <w:t>mettre</w:t>
            </w:r>
            <w:r>
              <w:rPr>
                <w:sz w:val="20"/>
                <w:szCs w:val="20"/>
                <w:lang w:val="fr-CH" w:eastAsia="en-GB"/>
              </w:rPr>
              <w:t xml:space="preserve"> à jour </w:t>
            </w:r>
            <w:r w:rsidR="002E210D">
              <w:rPr>
                <w:sz w:val="20"/>
                <w:szCs w:val="20"/>
                <w:lang w:val="fr-CH" w:eastAsia="en-GB"/>
              </w:rPr>
              <w:t>l</w:t>
            </w:r>
            <w:r>
              <w:rPr>
                <w:sz w:val="20"/>
                <w:szCs w:val="20"/>
                <w:lang w:val="fr-CH" w:eastAsia="en-GB"/>
              </w:rPr>
              <w:t xml:space="preserve">es FDR de zones humides d’importance internationale particulières, avant </w:t>
            </w:r>
            <w:r w:rsidR="002E210D">
              <w:rPr>
                <w:sz w:val="20"/>
                <w:szCs w:val="20"/>
                <w:lang w:val="fr-CH" w:eastAsia="en-GB"/>
              </w:rPr>
              <w:t xml:space="preserve">que </w:t>
            </w:r>
            <w:r w:rsidR="003F3FD0">
              <w:rPr>
                <w:sz w:val="20"/>
                <w:szCs w:val="20"/>
                <w:lang w:val="fr-CH" w:eastAsia="en-GB"/>
              </w:rPr>
              <w:t>ces</w:t>
            </w:r>
            <w:r w:rsidR="002E210D">
              <w:rPr>
                <w:sz w:val="20"/>
                <w:szCs w:val="20"/>
                <w:lang w:val="fr-CH" w:eastAsia="en-GB"/>
              </w:rPr>
              <w:t xml:space="preserve"> FDR ne devienne</w:t>
            </w:r>
            <w:r w:rsidR="003F3FD0">
              <w:rPr>
                <w:sz w:val="20"/>
                <w:szCs w:val="20"/>
                <w:lang w:val="fr-CH" w:eastAsia="en-GB"/>
              </w:rPr>
              <w:t>nt</w:t>
            </w:r>
            <w:r w:rsidR="002E210D">
              <w:rPr>
                <w:sz w:val="20"/>
                <w:szCs w:val="20"/>
                <w:lang w:val="fr-CH" w:eastAsia="en-GB"/>
              </w:rPr>
              <w:t xml:space="preserve"> obsolète</w:t>
            </w:r>
            <w:r w:rsidR="003F3FD0">
              <w:rPr>
                <w:sz w:val="20"/>
                <w:szCs w:val="20"/>
                <w:lang w:val="fr-CH" w:eastAsia="en-GB"/>
              </w:rPr>
              <w:t>s</w:t>
            </w:r>
            <w:r w:rsidR="002E210D">
              <w:rPr>
                <w:sz w:val="20"/>
                <w:szCs w:val="20"/>
                <w:lang w:val="fr-CH" w:eastAsia="en-GB"/>
              </w:rPr>
              <w:t xml:space="preserve"> </w:t>
            </w:r>
            <w:r>
              <w:rPr>
                <w:sz w:val="20"/>
                <w:szCs w:val="20"/>
                <w:lang w:val="fr-CH" w:eastAsia="en-GB"/>
              </w:rPr>
              <w:t>et lorsqu</w:t>
            </w:r>
            <w:r w:rsidR="002E210D">
              <w:rPr>
                <w:sz w:val="20"/>
                <w:szCs w:val="20"/>
                <w:lang w:val="fr-CH" w:eastAsia="en-GB"/>
              </w:rPr>
              <w:t>’elle</w:t>
            </w:r>
            <w:r w:rsidR="003F3FD0">
              <w:rPr>
                <w:sz w:val="20"/>
                <w:szCs w:val="20"/>
                <w:lang w:val="fr-CH" w:eastAsia="en-GB"/>
              </w:rPr>
              <w:t>s</w:t>
            </w:r>
            <w:r w:rsidR="002E210D">
              <w:rPr>
                <w:sz w:val="20"/>
                <w:szCs w:val="20"/>
                <w:lang w:val="fr-CH" w:eastAsia="en-GB"/>
              </w:rPr>
              <w:t xml:space="preserve"> le</w:t>
            </w:r>
            <w:r>
              <w:rPr>
                <w:sz w:val="20"/>
                <w:szCs w:val="20"/>
                <w:lang w:val="fr-CH" w:eastAsia="en-GB"/>
              </w:rPr>
              <w:t xml:space="preserve"> devien</w:t>
            </w:r>
            <w:r w:rsidR="003F3FD0">
              <w:rPr>
                <w:sz w:val="20"/>
                <w:szCs w:val="20"/>
                <w:lang w:val="fr-CH" w:eastAsia="en-GB"/>
              </w:rPr>
              <w:t>nen</w:t>
            </w:r>
            <w:r>
              <w:rPr>
                <w:sz w:val="20"/>
                <w:szCs w:val="20"/>
                <w:lang w:val="fr-CH" w:eastAsia="en-GB"/>
              </w:rPr>
              <w:t>t.</w:t>
            </w:r>
          </w:p>
        </w:tc>
        <w:tc>
          <w:tcPr>
            <w:tcW w:w="4678" w:type="dxa"/>
            <w:tcBorders>
              <w:top w:val="single" w:sz="4" w:space="0" w:color="auto"/>
              <w:left w:val="single" w:sz="4" w:space="0" w:color="auto"/>
              <w:bottom w:val="single" w:sz="4" w:space="0" w:color="auto"/>
              <w:right w:val="single" w:sz="4" w:space="0" w:color="auto"/>
            </w:tcBorders>
            <w:hideMark/>
          </w:tcPr>
          <w:p w14:paraId="224AB729" w14:textId="52C5DA1A" w:rsidR="0099221B" w:rsidRPr="00726D7B" w:rsidRDefault="00F56CAE">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 xml:space="preserve">Le Secrétariat accusera réception </w:t>
            </w:r>
            <w:r w:rsidR="002E210D">
              <w:rPr>
                <w:rFonts w:eastAsia="Times New Roman" w:cstheme="minorHAnsi"/>
                <w:color w:val="000000"/>
                <w:sz w:val="20"/>
                <w:szCs w:val="20"/>
                <w:lang w:val="fr-CH" w:eastAsia="en-GB"/>
              </w:rPr>
              <w:t>de</w:t>
            </w:r>
            <w:r>
              <w:rPr>
                <w:rFonts w:eastAsia="Times New Roman" w:cstheme="minorHAnsi"/>
                <w:color w:val="000000"/>
                <w:sz w:val="20"/>
                <w:szCs w:val="20"/>
                <w:lang w:val="fr-CH" w:eastAsia="en-GB"/>
              </w:rPr>
              <w:t xml:space="preserve"> mise</w:t>
            </w:r>
            <w:r w:rsidR="002E210D">
              <w:rPr>
                <w:rFonts w:eastAsia="Times New Roman" w:cstheme="minorHAnsi"/>
                <w:color w:val="000000"/>
                <w:sz w:val="20"/>
                <w:szCs w:val="20"/>
                <w:lang w:val="fr-CH" w:eastAsia="en-GB"/>
              </w:rPr>
              <w:t>s</w:t>
            </w:r>
            <w:r>
              <w:rPr>
                <w:rFonts w:eastAsia="Times New Roman" w:cstheme="minorHAnsi"/>
                <w:color w:val="000000"/>
                <w:sz w:val="20"/>
                <w:szCs w:val="20"/>
                <w:lang w:val="fr-CH" w:eastAsia="en-GB"/>
              </w:rPr>
              <w:t xml:space="preserve"> à jour </w:t>
            </w:r>
            <w:r w:rsidR="002E210D">
              <w:rPr>
                <w:rFonts w:eastAsia="Times New Roman" w:cstheme="minorHAnsi"/>
                <w:color w:val="000000"/>
                <w:sz w:val="20"/>
                <w:szCs w:val="20"/>
                <w:lang w:val="fr-CH" w:eastAsia="en-GB"/>
              </w:rPr>
              <w:t>de</w:t>
            </w:r>
            <w:r>
              <w:rPr>
                <w:rFonts w:eastAsia="Times New Roman" w:cstheme="minorHAnsi"/>
                <w:color w:val="000000"/>
                <w:sz w:val="20"/>
                <w:szCs w:val="20"/>
                <w:lang w:val="fr-CH" w:eastAsia="en-GB"/>
              </w:rPr>
              <w:t xml:space="preserve"> FDR </w:t>
            </w:r>
            <w:r w:rsidR="002E210D">
              <w:rPr>
                <w:rFonts w:eastAsia="Times New Roman" w:cstheme="minorHAnsi"/>
                <w:color w:val="000000"/>
                <w:sz w:val="20"/>
                <w:szCs w:val="20"/>
                <w:lang w:val="fr-CH" w:eastAsia="en-GB"/>
              </w:rPr>
              <w:t>auprès des</w:t>
            </w:r>
            <w:r>
              <w:rPr>
                <w:rFonts w:eastAsia="Times New Roman" w:cstheme="minorHAnsi"/>
                <w:color w:val="000000"/>
                <w:sz w:val="20"/>
                <w:szCs w:val="20"/>
                <w:lang w:val="fr-CH" w:eastAsia="en-GB"/>
              </w:rPr>
              <w:t xml:space="preserve"> Partie</w:t>
            </w:r>
            <w:r w:rsidR="002E210D">
              <w:rPr>
                <w:rFonts w:eastAsia="Times New Roman" w:cstheme="minorHAnsi"/>
                <w:color w:val="000000"/>
                <w:sz w:val="20"/>
                <w:szCs w:val="20"/>
                <w:lang w:val="fr-CH" w:eastAsia="en-GB"/>
              </w:rPr>
              <w:t>s</w:t>
            </w:r>
            <w:r>
              <w:rPr>
                <w:rFonts w:eastAsia="Times New Roman" w:cstheme="minorHAnsi"/>
                <w:color w:val="000000"/>
                <w:sz w:val="20"/>
                <w:szCs w:val="20"/>
                <w:lang w:val="fr-CH" w:eastAsia="en-GB"/>
              </w:rPr>
              <w:t xml:space="preserve"> contractante</w:t>
            </w:r>
            <w:r w:rsidR="002E210D">
              <w:rPr>
                <w:rFonts w:eastAsia="Times New Roman" w:cstheme="minorHAnsi"/>
                <w:color w:val="000000"/>
                <w:sz w:val="20"/>
                <w:szCs w:val="20"/>
                <w:lang w:val="fr-CH" w:eastAsia="en-GB"/>
              </w:rPr>
              <w:t>s</w:t>
            </w:r>
            <w:r>
              <w:rPr>
                <w:rFonts w:eastAsia="Times New Roman" w:cstheme="minorHAnsi"/>
                <w:color w:val="000000"/>
                <w:sz w:val="20"/>
                <w:szCs w:val="20"/>
                <w:lang w:val="fr-CH" w:eastAsia="en-GB"/>
              </w:rPr>
              <w:t xml:space="preserve"> </w:t>
            </w:r>
            <w:r w:rsidR="002E210D">
              <w:rPr>
                <w:rFonts w:eastAsia="Times New Roman" w:cstheme="minorHAnsi"/>
                <w:color w:val="000000"/>
                <w:sz w:val="20"/>
                <w:szCs w:val="20"/>
                <w:lang w:val="fr-CH" w:eastAsia="en-GB"/>
              </w:rPr>
              <w:t>concernées</w:t>
            </w:r>
            <w:r>
              <w:rPr>
                <w:rFonts w:eastAsia="Times New Roman" w:cstheme="minorHAnsi"/>
                <w:color w:val="000000"/>
                <w:sz w:val="20"/>
                <w:szCs w:val="20"/>
                <w:lang w:val="fr-CH" w:eastAsia="en-GB"/>
              </w:rPr>
              <w:t>.</w:t>
            </w:r>
            <w:r w:rsidR="0099221B" w:rsidRPr="00726D7B">
              <w:rPr>
                <w:rFonts w:eastAsia="Times New Roman" w:cstheme="minorHAnsi"/>
                <w:color w:val="000000"/>
                <w:sz w:val="20"/>
                <w:szCs w:val="20"/>
                <w:lang w:val="fr-CH" w:eastAsia="en-GB"/>
              </w:rPr>
              <w:t xml:space="preserve"> </w:t>
            </w:r>
          </w:p>
          <w:p w14:paraId="48DAD0E1" w14:textId="77777777" w:rsidR="00671D6B" w:rsidRPr="00726D7B" w:rsidRDefault="00671D6B">
            <w:pPr>
              <w:rPr>
                <w:rFonts w:eastAsia="Times New Roman" w:cstheme="minorHAnsi"/>
                <w:color w:val="000000"/>
                <w:sz w:val="20"/>
                <w:szCs w:val="20"/>
                <w:lang w:val="fr-CH" w:eastAsia="en-GB"/>
              </w:rPr>
            </w:pPr>
          </w:p>
          <w:p w14:paraId="27617012" w14:textId="125F25C8" w:rsidR="0099221B" w:rsidRPr="00726D7B" w:rsidRDefault="00F56CAE">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 xml:space="preserve">Le Secrétariat notifiera les Parties contractantes de la nécessité de mettre à jour </w:t>
            </w:r>
            <w:r w:rsidR="003F3FD0">
              <w:rPr>
                <w:rFonts w:eastAsia="Times New Roman" w:cstheme="minorHAnsi"/>
                <w:color w:val="000000"/>
                <w:sz w:val="20"/>
                <w:szCs w:val="20"/>
                <w:lang w:val="fr-CH" w:eastAsia="en-GB"/>
              </w:rPr>
              <w:t>des</w:t>
            </w:r>
            <w:r>
              <w:rPr>
                <w:rFonts w:eastAsia="Times New Roman" w:cstheme="minorHAnsi"/>
                <w:color w:val="000000"/>
                <w:sz w:val="20"/>
                <w:szCs w:val="20"/>
                <w:lang w:val="fr-CH" w:eastAsia="en-GB"/>
              </w:rPr>
              <w:t xml:space="preserve"> FDR </w:t>
            </w:r>
            <w:r w:rsidR="002E210D">
              <w:rPr>
                <w:rFonts w:eastAsia="Times New Roman" w:cstheme="minorHAnsi"/>
                <w:color w:val="000000"/>
                <w:sz w:val="20"/>
                <w:szCs w:val="20"/>
                <w:lang w:val="fr-CH" w:eastAsia="en-GB"/>
              </w:rPr>
              <w:t>en envoyant</w:t>
            </w:r>
            <w:r>
              <w:rPr>
                <w:rFonts w:eastAsia="Times New Roman" w:cstheme="minorHAnsi"/>
                <w:color w:val="000000"/>
                <w:sz w:val="20"/>
                <w:szCs w:val="20"/>
                <w:lang w:val="fr-CH" w:eastAsia="en-GB"/>
              </w:rPr>
              <w:t xml:space="preserve"> des notifications automati</w:t>
            </w:r>
            <w:r w:rsidR="002E210D">
              <w:rPr>
                <w:rFonts w:eastAsia="Times New Roman" w:cstheme="minorHAnsi"/>
                <w:color w:val="000000"/>
                <w:sz w:val="20"/>
                <w:szCs w:val="20"/>
                <w:lang w:val="fr-CH" w:eastAsia="en-GB"/>
              </w:rPr>
              <w:t>ques</w:t>
            </w:r>
            <w:r>
              <w:rPr>
                <w:rFonts w:eastAsia="Times New Roman" w:cstheme="minorHAnsi"/>
                <w:color w:val="000000"/>
                <w:sz w:val="20"/>
                <w:szCs w:val="20"/>
                <w:lang w:val="fr-CH" w:eastAsia="en-GB"/>
              </w:rPr>
              <w:t xml:space="preserve"> six mois et trois mois </w:t>
            </w:r>
            <w:r w:rsidR="00A51F99">
              <w:rPr>
                <w:rFonts w:eastAsia="Times New Roman" w:cstheme="minorHAnsi"/>
                <w:color w:val="000000"/>
                <w:sz w:val="20"/>
                <w:szCs w:val="20"/>
                <w:lang w:val="fr-CH" w:eastAsia="en-GB"/>
              </w:rPr>
              <w:t>avant qu</w:t>
            </w:r>
            <w:r w:rsidR="003F3FD0">
              <w:rPr>
                <w:rFonts w:eastAsia="Times New Roman" w:cstheme="minorHAnsi"/>
                <w:color w:val="000000"/>
                <w:sz w:val="20"/>
                <w:szCs w:val="20"/>
                <w:lang w:val="fr-CH" w:eastAsia="en-GB"/>
              </w:rPr>
              <w:t>e ces</w:t>
            </w:r>
            <w:r w:rsidR="00A51F99">
              <w:rPr>
                <w:rFonts w:eastAsia="Times New Roman" w:cstheme="minorHAnsi"/>
                <w:color w:val="000000"/>
                <w:sz w:val="20"/>
                <w:szCs w:val="20"/>
                <w:lang w:val="fr-CH" w:eastAsia="en-GB"/>
              </w:rPr>
              <w:t xml:space="preserve"> FDR </w:t>
            </w:r>
            <w:r w:rsidR="002E210D">
              <w:rPr>
                <w:rFonts w:eastAsia="Times New Roman" w:cstheme="minorHAnsi"/>
                <w:color w:val="000000"/>
                <w:sz w:val="20"/>
                <w:szCs w:val="20"/>
                <w:lang w:val="fr-CH" w:eastAsia="en-GB"/>
              </w:rPr>
              <w:t xml:space="preserve">ne </w:t>
            </w:r>
            <w:r w:rsidR="00A51F99">
              <w:rPr>
                <w:rFonts w:eastAsia="Times New Roman" w:cstheme="minorHAnsi"/>
                <w:color w:val="000000"/>
                <w:sz w:val="20"/>
                <w:szCs w:val="20"/>
                <w:lang w:val="fr-CH" w:eastAsia="en-GB"/>
              </w:rPr>
              <w:t>nécessite</w:t>
            </w:r>
            <w:r w:rsidR="003F3FD0">
              <w:rPr>
                <w:rFonts w:eastAsia="Times New Roman" w:cstheme="minorHAnsi"/>
                <w:color w:val="000000"/>
                <w:sz w:val="20"/>
                <w:szCs w:val="20"/>
                <w:lang w:val="fr-CH" w:eastAsia="en-GB"/>
              </w:rPr>
              <w:t>nt</w:t>
            </w:r>
            <w:r w:rsidR="00A51F99">
              <w:rPr>
                <w:rFonts w:eastAsia="Times New Roman" w:cstheme="minorHAnsi"/>
                <w:color w:val="000000"/>
                <w:sz w:val="20"/>
                <w:szCs w:val="20"/>
                <w:lang w:val="fr-CH" w:eastAsia="en-GB"/>
              </w:rPr>
              <w:t xml:space="preserve"> une mise à jour, à la date à laquelle </w:t>
            </w:r>
            <w:r w:rsidR="003F3FD0">
              <w:rPr>
                <w:rFonts w:eastAsia="Times New Roman" w:cstheme="minorHAnsi"/>
                <w:color w:val="000000"/>
                <w:sz w:val="20"/>
                <w:szCs w:val="20"/>
                <w:lang w:val="fr-CH" w:eastAsia="en-GB"/>
              </w:rPr>
              <w:t>elles</w:t>
            </w:r>
            <w:r w:rsidR="00A51F99">
              <w:rPr>
                <w:rFonts w:eastAsia="Times New Roman" w:cstheme="minorHAnsi"/>
                <w:color w:val="000000"/>
                <w:sz w:val="20"/>
                <w:szCs w:val="20"/>
                <w:lang w:val="fr-CH" w:eastAsia="en-GB"/>
              </w:rPr>
              <w:t xml:space="preserve"> </w:t>
            </w:r>
            <w:r w:rsidR="002E210D">
              <w:rPr>
                <w:rFonts w:eastAsia="Times New Roman" w:cstheme="minorHAnsi"/>
                <w:color w:val="000000"/>
                <w:sz w:val="20"/>
                <w:szCs w:val="20"/>
                <w:lang w:val="fr-CH" w:eastAsia="en-GB"/>
              </w:rPr>
              <w:t>devien</w:t>
            </w:r>
            <w:r w:rsidR="003F3FD0">
              <w:rPr>
                <w:rFonts w:eastAsia="Times New Roman" w:cstheme="minorHAnsi"/>
                <w:color w:val="000000"/>
                <w:sz w:val="20"/>
                <w:szCs w:val="20"/>
                <w:lang w:val="fr-CH" w:eastAsia="en-GB"/>
              </w:rPr>
              <w:t>nen</w:t>
            </w:r>
            <w:r w:rsidR="002E210D">
              <w:rPr>
                <w:rFonts w:eastAsia="Times New Roman" w:cstheme="minorHAnsi"/>
                <w:color w:val="000000"/>
                <w:sz w:val="20"/>
                <w:szCs w:val="20"/>
                <w:lang w:val="fr-CH" w:eastAsia="en-GB"/>
              </w:rPr>
              <w:t>t</w:t>
            </w:r>
            <w:r w:rsidR="00A51F99">
              <w:rPr>
                <w:rFonts w:eastAsia="Times New Roman" w:cstheme="minorHAnsi"/>
                <w:color w:val="000000"/>
                <w:sz w:val="20"/>
                <w:szCs w:val="20"/>
                <w:lang w:val="fr-CH" w:eastAsia="en-GB"/>
              </w:rPr>
              <w:t xml:space="preserve"> obsolète</w:t>
            </w:r>
            <w:r w:rsidR="003F3FD0">
              <w:rPr>
                <w:rFonts w:eastAsia="Times New Roman" w:cstheme="minorHAnsi"/>
                <w:color w:val="000000"/>
                <w:sz w:val="20"/>
                <w:szCs w:val="20"/>
                <w:lang w:val="fr-CH" w:eastAsia="en-GB"/>
              </w:rPr>
              <w:t>s</w:t>
            </w:r>
            <w:r w:rsidR="00A51F99">
              <w:rPr>
                <w:rFonts w:eastAsia="Times New Roman" w:cstheme="minorHAnsi"/>
                <w:color w:val="000000"/>
                <w:sz w:val="20"/>
                <w:szCs w:val="20"/>
                <w:lang w:val="fr-CH" w:eastAsia="en-GB"/>
              </w:rPr>
              <w:t xml:space="preserve"> et chaque année </w:t>
            </w:r>
            <w:r w:rsidR="00FC5457">
              <w:rPr>
                <w:rFonts w:eastAsia="Times New Roman" w:cstheme="minorHAnsi"/>
                <w:color w:val="000000"/>
                <w:sz w:val="20"/>
                <w:szCs w:val="20"/>
                <w:lang w:val="fr-CH" w:eastAsia="en-GB"/>
              </w:rPr>
              <w:t>par la suite</w:t>
            </w:r>
            <w:r w:rsidR="00A51F99">
              <w:rPr>
                <w:rFonts w:eastAsia="Times New Roman" w:cstheme="minorHAnsi"/>
                <w:color w:val="000000"/>
                <w:sz w:val="20"/>
                <w:szCs w:val="20"/>
                <w:lang w:val="fr-CH" w:eastAsia="en-GB"/>
              </w:rPr>
              <w:t>.</w:t>
            </w:r>
            <w:r w:rsidR="0099221B" w:rsidRPr="00726D7B">
              <w:rPr>
                <w:rFonts w:eastAsia="Times New Roman" w:cstheme="minorHAnsi"/>
                <w:color w:val="000000"/>
                <w:sz w:val="20"/>
                <w:szCs w:val="20"/>
                <w:lang w:val="fr-CH" w:eastAsia="en-GB"/>
              </w:rPr>
              <w:t xml:space="preserve"> </w:t>
            </w:r>
          </w:p>
        </w:tc>
      </w:tr>
      <w:tr w:rsidR="0099221B" w:rsidRPr="00A61528" w14:paraId="409B27BD" w14:textId="77777777" w:rsidTr="00BB4C56">
        <w:trPr>
          <w:cantSplit/>
        </w:trPr>
        <w:tc>
          <w:tcPr>
            <w:tcW w:w="1413" w:type="dxa"/>
            <w:tcBorders>
              <w:top w:val="single" w:sz="4" w:space="0" w:color="auto"/>
              <w:left w:val="single" w:sz="4" w:space="0" w:color="auto"/>
              <w:bottom w:val="single" w:sz="4" w:space="0" w:color="auto"/>
              <w:right w:val="single" w:sz="4" w:space="0" w:color="auto"/>
            </w:tcBorders>
            <w:hideMark/>
          </w:tcPr>
          <w:p w14:paraId="26059197" w14:textId="33CE0F7A" w:rsidR="0099221B" w:rsidRPr="00726D7B" w:rsidRDefault="006B3CD2">
            <w:pPr>
              <w:rPr>
                <w:rFonts w:eastAsia="Times New Roman" w:cstheme="minorHAnsi"/>
                <w:b/>
                <w:color w:val="000000"/>
                <w:sz w:val="20"/>
                <w:szCs w:val="20"/>
                <w:lang w:val="fr-CH" w:eastAsia="en-GB"/>
              </w:rPr>
            </w:pPr>
            <w:r>
              <w:rPr>
                <w:rFonts w:cstheme="minorHAnsi"/>
                <w:sz w:val="20"/>
                <w:szCs w:val="20"/>
                <w:lang w:val="fr-CH"/>
              </w:rPr>
              <w:lastRenderedPageBreak/>
              <w:t>Cycle de mise à jour de</w:t>
            </w:r>
            <w:r w:rsidR="003F3FD0">
              <w:rPr>
                <w:rFonts w:cstheme="minorHAnsi"/>
                <w:sz w:val="20"/>
                <w:szCs w:val="20"/>
                <w:lang w:val="fr-CH"/>
              </w:rPr>
              <w:t>s</w:t>
            </w:r>
            <w:r>
              <w:rPr>
                <w:rFonts w:cstheme="minorHAnsi"/>
                <w:sz w:val="20"/>
                <w:szCs w:val="20"/>
                <w:lang w:val="fr-CH"/>
              </w:rPr>
              <w:t xml:space="preserve"> FDR </w:t>
            </w:r>
          </w:p>
        </w:tc>
        <w:tc>
          <w:tcPr>
            <w:tcW w:w="2977" w:type="dxa"/>
            <w:tcBorders>
              <w:top w:val="single" w:sz="4" w:space="0" w:color="auto"/>
              <w:left w:val="single" w:sz="4" w:space="0" w:color="auto"/>
              <w:bottom w:val="single" w:sz="4" w:space="0" w:color="auto"/>
              <w:right w:val="single" w:sz="4" w:space="0" w:color="auto"/>
            </w:tcBorders>
            <w:hideMark/>
          </w:tcPr>
          <w:p w14:paraId="3EAF121E" w14:textId="608E3E96" w:rsidR="0099221B" w:rsidRPr="00726D7B" w:rsidRDefault="00D5686D">
            <w:pPr>
              <w:rPr>
                <w:rFonts w:cstheme="minorHAnsi"/>
                <w:sz w:val="20"/>
                <w:szCs w:val="20"/>
                <w:lang w:val="fr-CH"/>
              </w:rPr>
            </w:pPr>
            <w:r>
              <w:rPr>
                <w:rFonts w:cstheme="minorHAnsi"/>
                <w:sz w:val="20"/>
                <w:szCs w:val="20"/>
                <w:lang w:val="fr-CH"/>
              </w:rPr>
              <w:t xml:space="preserve">Pour surveiller l’application de la Convention, il est primordial de mettre régulièrement </w:t>
            </w:r>
            <w:r w:rsidR="00023BD4">
              <w:rPr>
                <w:rFonts w:cstheme="minorHAnsi"/>
                <w:sz w:val="20"/>
                <w:szCs w:val="20"/>
                <w:lang w:val="fr-CH"/>
              </w:rPr>
              <w:t xml:space="preserve">à jour </w:t>
            </w:r>
            <w:r>
              <w:rPr>
                <w:rFonts w:cstheme="minorHAnsi"/>
                <w:sz w:val="20"/>
                <w:szCs w:val="20"/>
                <w:lang w:val="fr-CH"/>
              </w:rPr>
              <w:t>l</w:t>
            </w:r>
            <w:r w:rsidR="00023BD4">
              <w:rPr>
                <w:rFonts w:cstheme="minorHAnsi"/>
                <w:sz w:val="20"/>
                <w:szCs w:val="20"/>
                <w:lang w:val="fr-CH"/>
              </w:rPr>
              <w:t xml:space="preserve">es FDR et les rapports mondiaux sur le Réseau de sites, mais </w:t>
            </w:r>
            <w:r>
              <w:rPr>
                <w:rFonts w:cstheme="minorHAnsi"/>
                <w:sz w:val="20"/>
                <w:szCs w:val="20"/>
                <w:lang w:val="fr-CH"/>
              </w:rPr>
              <w:t>la</w:t>
            </w:r>
            <w:r w:rsidR="00023BD4">
              <w:rPr>
                <w:rFonts w:cstheme="minorHAnsi"/>
                <w:sz w:val="20"/>
                <w:szCs w:val="20"/>
                <w:lang w:val="fr-CH"/>
              </w:rPr>
              <w:t xml:space="preserve"> mise à jour fréquente et </w:t>
            </w:r>
            <w:r>
              <w:rPr>
                <w:rFonts w:cstheme="minorHAnsi"/>
                <w:sz w:val="20"/>
                <w:szCs w:val="20"/>
                <w:lang w:val="fr-CH"/>
              </w:rPr>
              <w:t>exhaustive</w:t>
            </w:r>
            <w:r w:rsidR="00023BD4">
              <w:rPr>
                <w:rFonts w:cstheme="minorHAnsi"/>
                <w:sz w:val="20"/>
                <w:szCs w:val="20"/>
                <w:lang w:val="fr-CH"/>
              </w:rPr>
              <w:t xml:space="preserve"> de</w:t>
            </w:r>
            <w:r>
              <w:rPr>
                <w:rFonts w:cstheme="minorHAnsi"/>
                <w:sz w:val="20"/>
                <w:szCs w:val="20"/>
                <w:lang w:val="fr-CH"/>
              </w:rPr>
              <w:t>s</w:t>
            </w:r>
            <w:r w:rsidR="00023BD4">
              <w:rPr>
                <w:rFonts w:cstheme="minorHAnsi"/>
                <w:sz w:val="20"/>
                <w:szCs w:val="20"/>
                <w:lang w:val="fr-CH"/>
              </w:rPr>
              <w:t xml:space="preserve"> FDR </w:t>
            </w:r>
            <w:r>
              <w:rPr>
                <w:rFonts w:cstheme="minorHAnsi"/>
                <w:sz w:val="20"/>
                <w:szCs w:val="20"/>
                <w:lang w:val="fr-CH"/>
              </w:rPr>
              <w:t>est difficile</w:t>
            </w:r>
            <w:r w:rsidR="00023BD4">
              <w:rPr>
                <w:rFonts w:cstheme="minorHAnsi"/>
                <w:sz w:val="20"/>
                <w:szCs w:val="20"/>
                <w:lang w:val="fr-CH"/>
              </w:rPr>
              <w:t>, en particulier pour les pays ayant des capacités techniques et financières limitées.</w:t>
            </w:r>
            <w:r w:rsidR="0099221B" w:rsidRPr="00726D7B">
              <w:rPr>
                <w:rFonts w:cstheme="minorHAnsi"/>
                <w:sz w:val="20"/>
                <w:szCs w:val="20"/>
                <w:lang w:val="fr-CH"/>
              </w:rPr>
              <w:t xml:space="preserve"> </w:t>
            </w:r>
          </w:p>
        </w:tc>
        <w:tc>
          <w:tcPr>
            <w:tcW w:w="5244" w:type="dxa"/>
            <w:tcBorders>
              <w:top w:val="single" w:sz="4" w:space="0" w:color="auto"/>
              <w:left w:val="single" w:sz="4" w:space="0" w:color="auto"/>
              <w:bottom w:val="single" w:sz="4" w:space="0" w:color="auto"/>
              <w:right w:val="single" w:sz="4" w:space="0" w:color="auto"/>
            </w:tcBorders>
            <w:hideMark/>
          </w:tcPr>
          <w:p w14:paraId="5D56CE95" w14:textId="396547D6" w:rsidR="0099221B" w:rsidRPr="00726D7B" w:rsidRDefault="00FB123D">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 xml:space="preserve">Le cycle actuel de six ans pour des mises à jour complètes de FDR est trop court. Certaines données des FDR ne changent </w:t>
            </w:r>
            <w:r w:rsidR="002B7067">
              <w:rPr>
                <w:rFonts w:eastAsia="Times New Roman" w:cstheme="minorHAnsi"/>
                <w:color w:val="000000"/>
                <w:sz w:val="20"/>
                <w:szCs w:val="20"/>
                <w:lang w:val="fr-CH" w:eastAsia="en-GB"/>
              </w:rPr>
              <w:t>ni</w:t>
            </w:r>
            <w:r>
              <w:rPr>
                <w:rFonts w:eastAsia="Times New Roman" w:cstheme="minorHAnsi"/>
                <w:color w:val="000000"/>
                <w:sz w:val="20"/>
                <w:szCs w:val="20"/>
                <w:lang w:val="fr-CH" w:eastAsia="en-GB"/>
              </w:rPr>
              <w:t xml:space="preserve"> fréquemment </w:t>
            </w:r>
            <w:r w:rsidR="002B7067">
              <w:rPr>
                <w:rFonts w:eastAsia="Times New Roman" w:cstheme="minorHAnsi"/>
                <w:color w:val="000000"/>
                <w:sz w:val="20"/>
                <w:szCs w:val="20"/>
                <w:lang w:val="fr-CH" w:eastAsia="en-GB"/>
              </w:rPr>
              <w:t>ni</w:t>
            </w:r>
            <w:r>
              <w:rPr>
                <w:rFonts w:eastAsia="Times New Roman" w:cstheme="minorHAnsi"/>
                <w:color w:val="000000"/>
                <w:sz w:val="20"/>
                <w:szCs w:val="20"/>
                <w:lang w:val="fr-CH" w:eastAsia="en-GB"/>
              </w:rPr>
              <w:t xml:space="preserve"> rapidement. Un cycle plus long</w:t>
            </w:r>
            <w:r w:rsidR="002B7067">
              <w:rPr>
                <w:rFonts w:eastAsia="Times New Roman" w:cstheme="minorHAnsi"/>
                <w:color w:val="000000"/>
                <w:sz w:val="20"/>
                <w:szCs w:val="20"/>
                <w:lang w:val="fr-CH" w:eastAsia="en-GB"/>
              </w:rPr>
              <w:t>,</w:t>
            </w:r>
            <w:r>
              <w:rPr>
                <w:rFonts w:eastAsia="Times New Roman" w:cstheme="minorHAnsi"/>
                <w:color w:val="000000"/>
                <w:sz w:val="20"/>
                <w:szCs w:val="20"/>
                <w:lang w:val="fr-CH" w:eastAsia="en-GB"/>
              </w:rPr>
              <w:t xml:space="preserve"> de neuf ans</w:t>
            </w:r>
            <w:r w:rsidR="002B7067">
              <w:rPr>
                <w:rFonts w:eastAsia="Times New Roman" w:cstheme="minorHAnsi"/>
                <w:color w:val="000000"/>
                <w:sz w:val="20"/>
                <w:szCs w:val="20"/>
                <w:lang w:val="fr-CH" w:eastAsia="en-GB"/>
              </w:rPr>
              <w:t>,</w:t>
            </w:r>
            <w:r>
              <w:rPr>
                <w:rFonts w:eastAsia="Times New Roman" w:cstheme="minorHAnsi"/>
                <w:color w:val="000000"/>
                <w:sz w:val="20"/>
                <w:szCs w:val="20"/>
                <w:lang w:val="fr-CH" w:eastAsia="en-GB"/>
              </w:rPr>
              <w:t xml:space="preserve"> peut être considéré pour des FDR exhaustives, </w:t>
            </w:r>
            <w:r w:rsidR="002B7067">
              <w:rPr>
                <w:rFonts w:eastAsia="Times New Roman" w:cstheme="minorHAnsi"/>
                <w:color w:val="000000"/>
                <w:sz w:val="20"/>
                <w:szCs w:val="20"/>
                <w:lang w:val="fr-CH" w:eastAsia="en-GB"/>
              </w:rPr>
              <w:t>tandis qu’il peut y avoir</w:t>
            </w:r>
            <w:r>
              <w:rPr>
                <w:rFonts w:eastAsia="Times New Roman" w:cstheme="minorHAnsi"/>
                <w:color w:val="000000"/>
                <w:sz w:val="20"/>
                <w:szCs w:val="20"/>
                <w:lang w:val="fr-CH" w:eastAsia="en-GB"/>
              </w:rPr>
              <w:t xml:space="preserve"> des mises à jour plus fréquentes pour les aspects/données de terrain les plus pertinents.</w:t>
            </w:r>
            <w:r w:rsidR="0099221B" w:rsidRPr="00726D7B">
              <w:rPr>
                <w:rFonts w:eastAsia="Times New Roman" w:cstheme="minorHAnsi"/>
                <w:color w:val="000000"/>
                <w:sz w:val="20"/>
                <w:szCs w:val="20"/>
                <w:lang w:val="fr-CH" w:eastAsia="en-GB"/>
              </w:rPr>
              <w:t xml:space="preserve"> </w:t>
            </w:r>
          </w:p>
          <w:p w14:paraId="2233247E" w14:textId="77777777" w:rsidR="00246515" w:rsidRPr="00726D7B" w:rsidRDefault="00246515">
            <w:pPr>
              <w:rPr>
                <w:rFonts w:eastAsia="Times New Roman" w:cstheme="minorHAnsi"/>
                <w:color w:val="000000"/>
                <w:sz w:val="20"/>
                <w:szCs w:val="20"/>
                <w:lang w:val="fr-CH" w:eastAsia="en-GB"/>
              </w:rPr>
            </w:pPr>
          </w:p>
          <w:p w14:paraId="6640011E" w14:textId="5AFFAB63" w:rsidR="0099221B" w:rsidRPr="00726D7B" w:rsidRDefault="00FB123D">
            <w:pPr>
              <w:rPr>
                <w:rFonts w:cstheme="minorHAnsi"/>
                <w:sz w:val="20"/>
                <w:szCs w:val="20"/>
                <w:lang w:val="fr-CH"/>
              </w:rPr>
            </w:pPr>
            <w:r>
              <w:rPr>
                <w:rFonts w:cstheme="minorHAnsi"/>
                <w:sz w:val="20"/>
                <w:szCs w:val="20"/>
                <w:lang w:val="fr-CH"/>
              </w:rPr>
              <w:t xml:space="preserve">Le Secrétariat devrait continuer </w:t>
            </w:r>
            <w:r w:rsidR="00D93BBB">
              <w:rPr>
                <w:rFonts w:cstheme="minorHAnsi"/>
                <w:sz w:val="20"/>
                <w:szCs w:val="20"/>
                <w:lang w:val="fr-CH"/>
              </w:rPr>
              <w:t xml:space="preserve">d’une part, </w:t>
            </w:r>
            <w:r>
              <w:rPr>
                <w:rFonts w:cstheme="minorHAnsi"/>
                <w:sz w:val="20"/>
                <w:szCs w:val="20"/>
                <w:lang w:val="fr-CH"/>
              </w:rPr>
              <w:t>de faire rapport sur l’état de la Liste des zones humides d’importance internationale chaque année au Comité permanent, car c’est un élément clé de l’examen mondial collectif et</w:t>
            </w:r>
            <w:r w:rsidR="00D93BBB">
              <w:rPr>
                <w:rFonts w:cstheme="minorHAnsi"/>
                <w:sz w:val="20"/>
                <w:szCs w:val="20"/>
                <w:lang w:val="fr-CH"/>
              </w:rPr>
              <w:t>, d’autre part,</w:t>
            </w:r>
            <w:r>
              <w:rPr>
                <w:rFonts w:cstheme="minorHAnsi"/>
                <w:sz w:val="20"/>
                <w:szCs w:val="20"/>
                <w:lang w:val="fr-CH"/>
              </w:rPr>
              <w:t xml:space="preserve"> </w:t>
            </w:r>
            <w:r w:rsidR="002B7067">
              <w:rPr>
                <w:rFonts w:cstheme="minorHAnsi"/>
                <w:sz w:val="20"/>
                <w:szCs w:val="20"/>
                <w:lang w:val="fr-CH"/>
              </w:rPr>
              <w:t xml:space="preserve">de </w:t>
            </w:r>
            <w:r>
              <w:rPr>
                <w:rFonts w:cstheme="minorHAnsi"/>
                <w:sz w:val="20"/>
                <w:szCs w:val="20"/>
                <w:lang w:val="fr-CH"/>
              </w:rPr>
              <w:t>promouvoir les mises à jour de FDR ainsi que la désignation de sites.</w:t>
            </w:r>
            <w:r w:rsidR="0099221B" w:rsidRPr="00726D7B">
              <w:rPr>
                <w:rFonts w:cstheme="minorHAnsi"/>
                <w:sz w:val="20"/>
                <w:szCs w:val="20"/>
                <w:lang w:val="fr-CH"/>
              </w:rPr>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4077D7AE" w14:textId="687CA944" w:rsidR="0099221B" w:rsidRPr="00726D7B" w:rsidRDefault="00FB123D">
            <w:pPr>
              <w:rPr>
                <w:rFonts w:eastAsia="Times New Roman" w:cstheme="minorHAnsi"/>
                <w:bCs/>
                <w:color w:val="000000"/>
                <w:sz w:val="20"/>
                <w:szCs w:val="20"/>
                <w:lang w:val="fr-CH" w:eastAsia="en-GB"/>
              </w:rPr>
            </w:pPr>
            <w:r>
              <w:rPr>
                <w:rFonts w:eastAsia="Times New Roman" w:cstheme="minorHAnsi"/>
                <w:bCs/>
                <w:color w:val="000000"/>
                <w:sz w:val="20"/>
                <w:szCs w:val="20"/>
                <w:lang w:val="fr-CH" w:eastAsia="en-GB"/>
              </w:rPr>
              <w:t xml:space="preserve">Le Secrétariat mettra à jour les orientations pertinentes </w:t>
            </w:r>
            <w:r w:rsidR="00F23EB0">
              <w:rPr>
                <w:rFonts w:eastAsia="Times New Roman" w:cstheme="minorHAnsi"/>
                <w:bCs/>
                <w:color w:val="000000"/>
                <w:sz w:val="20"/>
                <w:szCs w:val="20"/>
                <w:lang w:val="fr-CH" w:eastAsia="en-GB"/>
              </w:rPr>
              <w:t xml:space="preserve">destinées </w:t>
            </w:r>
            <w:r>
              <w:rPr>
                <w:rFonts w:eastAsia="Times New Roman" w:cstheme="minorHAnsi"/>
                <w:bCs/>
                <w:color w:val="000000"/>
                <w:sz w:val="20"/>
                <w:szCs w:val="20"/>
                <w:lang w:val="fr-CH" w:eastAsia="en-GB"/>
              </w:rPr>
              <w:t>aux Parties contractantes ainsi que s</w:t>
            </w:r>
            <w:r w:rsidR="00B844A7">
              <w:rPr>
                <w:rFonts w:eastAsia="Times New Roman" w:cstheme="minorHAnsi"/>
                <w:bCs/>
                <w:color w:val="000000"/>
                <w:sz w:val="20"/>
                <w:szCs w:val="20"/>
                <w:lang w:val="fr-CH" w:eastAsia="en-GB"/>
              </w:rPr>
              <w:t>a</w:t>
            </w:r>
            <w:r>
              <w:rPr>
                <w:rFonts w:eastAsia="Times New Roman" w:cstheme="minorHAnsi"/>
                <w:bCs/>
                <w:color w:val="000000"/>
                <w:sz w:val="20"/>
                <w:szCs w:val="20"/>
                <w:lang w:val="fr-CH" w:eastAsia="en-GB"/>
              </w:rPr>
              <w:t xml:space="preserve"> PON pour l’examen des FDR afin de refléter un cycle de six années pour les mises à jour de</w:t>
            </w:r>
            <w:r w:rsidR="00D93BBB">
              <w:rPr>
                <w:rFonts w:eastAsia="Times New Roman" w:cstheme="minorHAnsi"/>
                <w:bCs/>
                <w:color w:val="000000"/>
                <w:sz w:val="20"/>
                <w:szCs w:val="20"/>
                <w:lang w:val="fr-CH" w:eastAsia="en-GB"/>
              </w:rPr>
              <w:t>s</w:t>
            </w:r>
            <w:r>
              <w:rPr>
                <w:rFonts w:eastAsia="Times New Roman" w:cstheme="minorHAnsi"/>
                <w:bCs/>
                <w:color w:val="000000"/>
                <w:sz w:val="20"/>
                <w:szCs w:val="20"/>
                <w:lang w:val="fr-CH" w:eastAsia="en-GB"/>
              </w:rPr>
              <w:t xml:space="preserve"> FDR en se concentrant sur les informations les plus pertinentes, notant que cela reste conforme avec, par exemple, la </w:t>
            </w:r>
            <w:hyperlink r:id="rId12" w:history="1">
              <w:r w:rsidRPr="00726D7B">
                <w:rPr>
                  <w:rStyle w:val="Hyperlink"/>
                  <w:rFonts w:eastAsia="Times New Roman" w:cstheme="minorHAnsi"/>
                  <w:bCs/>
                  <w:sz w:val="20"/>
                  <w:szCs w:val="20"/>
                  <w:lang w:val="fr-CH" w:eastAsia="en-GB"/>
                </w:rPr>
                <w:t>Résolution</w:t>
              </w:r>
              <w:r w:rsidR="0099221B" w:rsidRPr="00726D7B">
                <w:rPr>
                  <w:rStyle w:val="Hyperlink"/>
                  <w:rFonts w:eastAsia="Times New Roman" w:cstheme="minorHAnsi"/>
                  <w:bCs/>
                  <w:sz w:val="20"/>
                  <w:szCs w:val="20"/>
                  <w:lang w:val="fr-CH" w:eastAsia="en-GB"/>
                </w:rPr>
                <w:t xml:space="preserve"> XI.8 (Annex</w:t>
              </w:r>
              <w:r>
                <w:rPr>
                  <w:rStyle w:val="Hyperlink"/>
                  <w:rFonts w:eastAsia="Times New Roman" w:cstheme="minorHAnsi"/>
                  <w:bCs/>
                  <w:sz w:val="20"/>
                  <w:szCs w:val="20"/>
                  <w:lang w:val="fr-CH" w:eastAsia="en-GB"/>
                </w:rPr>
                <w:t>e </w:t>
              </w:r>
              <w:r w:rsidR="0099221B" w:rsidRPr="00726D7B">
                <w:rPr>
                  <w:rStyle w:val="Hyperlink"/>
                  <w:rFonts w:eastAsia="Times New Roman" w:cstheme="minorHAnsi"/>
                  <w:bCs/>
                  <w:sz w:val="20"/>
                  <w:szCs w:val="20"/>
                  <w:lang w:val="fr-CH" w:eastAsia="en-GB"/>
                </w:rPr>
                <w:t>1)</w:t>
              </w:r>
            </w:hyperlink>
            <w:r w:rsidR="0099221B" w:rsidRPr="00726D7B">
              <w:rPr>
                <w:rFonts w:eastAsia="Times New Roman" w:cstheme="minorHAnsi"/>
                <w:bCs/>
                <w:color w:val="000000"/>
                <w:sz w:val="20"/>
                <w:szCs w:val="20"/>
                <w:lang w:val="fr-CH" w:eastAsia="en-GB"/>
              </w:rPr>
              <w:t xml:space="preserve">. </w:t>
            </w:r>
          </w:p>
          <w:p w14:paraId="5B753D00" w14:textId="77777777" w:rsidR="00482B39" w:rsidRPr="00726D7B" w:rsidRDefault="00482B39">
            <w:pPr>
              <w:rPr>
                <w:rFonts w:eastAsia="Times New Roman" w:cstheme="minorHAnsi"/>
                <w:bCs/>
                <w:color w:val="000000"/>
                <w:sz w:val="20"/>
                <w:szCs w:val="20"/>
                <w:lang w:val="fr-CH" w:eastAsia="en-GB"/>
              </w:rPr>
            </w:pPr>
          </w:p>
          <w:p w14:paraId="509A0ABF" w14:textId="2B14C34E" w:rsidR="0099221B" w:rsidRPr="00726D7B" w:rsidRDefault="00D03752">
            <w:pPr>
              <w:rPr>
                <w:rFonts w:eastAsia="Times New Roman" w:cstheme="minorHAnsi"/>
                <w:bCs/>
                <w:color w:val="000000"/>
                <w:sz w:val="20"/>
                <w:szCs w:val="20"/>
                <w:lang w:val="fr-CH" w:eastAsia="en-GB"/>
              </w:rPr>
            </w:pPr>
            <w:r>
              <w:rPr>
                <w:rFonts w:eastAsia="Times New Roman" w:cstheme="minorHAnsi"/>
                <w:bCs/>
                <w:color w:val="000000"/>
                <w:sz w:val="20"/>
                <w:szCs w:val="20"/>
                <w:lang w:val="fr-CH" w:eastAsia="en-GB"/>
              </w:rPr>
              <w:t xml:space="preserve">Le Comité permanent </w:t>
            </w:r>
            <w:r w:rsidR="0030258F">
              <w:rPr>
                <w:rFonts w:eastAsia="Times New Roman" w:cstheme="minorHAnsi"/>
                <w:bCs/>
                <w:color w:val="000000"/>
                <w:sz w:val="20"/>
                <w:szCs w:val="20"/>
                <w:lang w:val="fr-CH" w:eastAsia="en-GB"/>
              </w:rPr>
              <w:t xml:space="preserve">peut envisager d’abroger la Décision </w:t>
            </w:r>
            <w:r w:rsidR="00B41550" w:rsidRPr="00726D7B">
              <w:rPr>
                <w:rFonts w:cstheme="minorHAnsi"/>
                <w:sz w:val="20"/>
                <w:szCs w:val="20"/>
                <w:lang w:val="fr-CH"/>
              </w:rPr>
              <w:t>SC62</w:t>
            </w:r>
            <w:r w:rsidR="0030258F">
              <w:rPr>
                <w:rFonts w:cstheme="minorHAnsi"/>
                <w:sz w:val="20"/>
                <w:szCs w:val="20"/>
                <w:lang w:val="fr-CH"/>
              </w:rPr>
              <w:noBreakHyphen/>
            </w:r>
            <w:r w:rsidR="00B41550" w:rsidRPr="00726D7B">
              <w:rPr>
                <w:rFonts w:cstheme="minorHAnsi"/>
                <w:sz w:val="20"/>
                <w:szCs w:val="20"/>
                <w:lang w:val="fr-CH"/>
              </w:rPr>
              <w:t>54</w:t>
            </w:r>
            <w:r w:rsidR="0030258F">
              <w:rPr>
                <w:rFonts w:cstheme="minorHAnsi"/>
                <w:sz w:val="20"/>
                <w:szCs w:val="20"/>
                <w:lang w:val="fr-CH"/>
              </w:rPr>
              <w:t xml:space="preserve"> et demander au Secrétariat de </w:t>
            </w:r>
            <w:r w:rsidR="00F23EB0">
              <w:rPr>
                <w:rFonts w:cstheme="minorHAnsi"/>
                <w:sz w:val="20"/>
                <w:szCs w:val="20"/>
                <w:lang w:val="fr-CH"/>
              </w:rPr>
              <w:t xml:space="preserve">lui </w:t>
            </w:r>
            <w:r w:rsidR="0030258F">
              <w:rPr>
                <w:rFonts w:cstheme="minorHAnsi"/>
                <w:sz w:val="20"/>
                <w:szCs w:val="20"/>
                <w:lang w:val="fr-CH"/>
              </w:rPr>
              <w:t xml:space="preserve">faire rapport </w:t>
            </w:r>
            <w:r w:rsidR="00F23EB0">
              <w:rPr>
                <w:rFonts w:cstheme="minorHAnsi"/>
                <w:sz w:val="20"/>
                <w:szCs w:val="20"/>
                <w:lang w:val="fr-CH"/>
              </w:rPr>
              <w:t xml:space="preserve">chaque année </w:t>
            </w:r>
            <w:r w:rsidR="0030258F">
              <w:rPr>
                <w:rFonts w:cstheme="minorHAnsi"/>
                <w:sz w:val="20"/>
                <w:szCs w:val="20"/>
                <w:lang w:val="fr-CH"/>
              </w:rPr>
              <w:t xml:space="preserve">sur l’état de la Liste des zones humides d’importance internationale. </w:t>
            </w:r>
            <w:r w:rsidR="00B41550" w:rsidRPr="00726D7B">
              <w:rPr>
                <w:rFonts w:cstheme="minorHAnsi"/>
                <w:sz w:val="20"/>
                <w:szCs w:val="20"/>
                <w:lang w:val="fr-CH"/>
              </w:rPr>
              <w:t xml:space="preserve"> </w:t>
            </w:r>
            <w:r w:rsidR="0099221B" w:rsidRPr="00726D7B">
              <w:rPr>
                <w:rFonts w:cstheme="minorHAnsi"/>
                <w:sz w:val="20"/>
                <w:szCs w:val="20"/>
                <w:lang w:val="fr-CH"/>
              </w:rPr>
              <w:t xml:space="preserve"> </w:t>
            </w:r>
          </w:p>
        </w:tc>
      </w:tr>
      <w:tr w:rsidR="00BB4C56" w:rsidRPr="00A61528" w14:paraId="5026F030" w14:textId="77777777" w:rsidTr="00BB4C56">
        <w:trPr>
          <w:cantSplit/>
        </w:trPr>
        <w:tc>
          <w:tcPr>
            <w:tcW w:w="1413" w:type="dxa"/>
            <w:vMerge w:val="restart"/>
            <w:tcBorders>
              <w:top w:val="single" w:sz="4" w:space="0" w:color="auto"/>
              <w:left w:val="single" w:sz="4" w:space="0" w:color="auto"/>
              <w:right w:val="single" w:sz="4" w:space="0" w:color="auto"/>
            </w:tcBorders>
            <w:hideMark/>
          </w:tcPr>
          <w:p w14:paraId="1B505C26" w14:textId="064B8241" w:rsidR="00BB4C56" w:rsidRPr="00726D7B" w:rsidRDefault="00D40841">
            <w:pPr>
              <w:rPr>
                <w:rFonts w:cstheme="minorHAnsi"/>
                <w:sz w:val="20"/>
                <w:szCs w:val="20"/>
                <w:lang w:val="fr-CH"/>
              </w:rPr>
            </w:pPr>
            <w:r>
              <w:rPr>
                <w:rFonts w:cstheme="minorHAnsi"/>
                <w:sz w:val="20"/>
                <w:szCs w:val="20"/>
                <w:lang w:val="fr-CH"/>
              </w:rPr>
              <w:lastRenderedPageBreak/>
              <w:t>Format de</w:t>
            </w:r>
            <w:r w:rsidR="00D93BBB">
              <w:rPr>
                <w:rFonts w:cstheme="minorHAnsi"/>
                <w:sz w:val="20"/>
                <w:szCs w:val="20"/>
                <w:lang w:val="fr-CH"/>
              </w:rPr>
              <w:t>s</w:t>
            </w:r>
            <w:r>
              <w:rPr>
                <w:rFonts w:cstheme="minorHAnsi"/>
                <w:sz w:val="20"/>
                <w:szCs w:val="20"/>
                <w:lang w:val="fr-CH"/>
              </w:rPr>
              <w:t xml:space="preserve"> FDR</w:t>
            </w:r>
            <w:r w:rsidR="00BB4C56" w:rsidRPr="00726D7B">
              <w:rPr>
                <w:rFonts w:cstheme="minorHAnsi"/>
                <w:sz w:val="20"/>
                <w:szCs w:val="20"/>
                <w:lang w:val="fr-CH"/>
              </w:rPr>
              <w:t xml:space="preserve"> </w:t>
            </w:r>
          </w:p>
        </w:tc>
        <w:tc>
          <w:tcPr>
            <w:tcW w:w="2977" w:type="dxa"/>
            <w:vMerge w:val="restart"/>
            <w:tcBorders>
              <w:top w:val="single" w:sz="4" w:space="0" w:color="auto"/>
              <w:left w:val="single" w:sz="4" w:space="0" w:color="auto"/>
              <w:right w:val="single" w:sz="4" w:space="0" w:color="auto"/>
            </w:tcBorders>
            <w:hideMark/>
          </w:tcPr>
          <w:p w14:paraId="74EBD327" w14:textId="161039BC" w:rsidR="00BB4C56" w:rsidRPr="00726D7B" w:rsidRDefault="00D40841">
            <w:pPr>
              <w:rPr>
                <w:rFonts w:cstheme="minorHAnsi"/>
                <w:sz w:val="20"/>
                <w:szCs w:val="20"/>
                <w:lang w:val="fr-CH"/>
              </w:rPr>
            </w:pPr>
            <w:r>
              <w:rPr>
                <w:rFonts w:cstheme="minorHAnsi"/>
                <w:sz w:val="20"/>
                <w:szCs w:val="20"/>
                <w:lang w:val="fr-CH"/>
              </w:rPr>
              <w:t>L</w:t>
            </w:r>
            <w:r w:rsidR="00D93BBB">
              <w:rPr>
                <w:rFonts w:cstheme="minorHAnsi"/>
                <w:sz w:val="20"/>
                <w:szCs w:val="20"/>
                <w:lang w:val="fr-CH"/>
              </w:rPr>
              <w:t>es</w:t>
            </w:r>
            <w:r>
              <w:rPr>
                <w:rFonts w:cstheme="minorHAnsi"/>
                <w:sz w:val="20"/>
                <w:szCs w:val="20"/>
                <w:lang w:val="fr-CH"/>
              </w:rPr>
              <w:t xml:space="preserve"> FDR </w:t>
            </w:r>
            <w:r w:rsidR="00D93BBB">
              <w:rPr>
                <w:rFonts w:cstheme="minorHAnsi"/>
                <w:sz w:val="20"/>
                <w:szCs w:val="20"/>
                <w:lang w:val="fr-CH"/>
              </w:rPr>
              <w:t>sont</w:t>
            </w:r>
            <w:r>
              <w:rPr>
                <w:rFonts w:cstheme="minorHAnsi"/>
                <w:sz w:val="20"/>
                <w:szCs w:val="20"/>
                <w:lang w:val="fr-CH"/>
              </w:rPr>
              <w:t xml:space="preserve"> longue</w:t>
            </w:r>
            <w:r w:rsidR="00D93BBB">
              <w:rPr>
                <w:rFonts w:cstheme="minorHAnsi"/>
                <w:sz w:val="20"/>
                <w:szCs w:val="20"/>
                <w:lang w:val="fr-CH"/>
              </w:rPr>
              <w:t>s</w:t>
            </w:r>
            <w:r>
              <w:rPr>
                <w:rFonts w:cstheme="minorHAnsi"/>
                <w:sz w:val="20"/>
                <w:szCs w:val="20"/>
                <w:lang w:val="fr-CH"/>
              </w:rPr>
              <w:t xml:space="preserve"> et </w:t>
            </w:r>
            <w:r w:rsidR="00D93BBB">
              <w:rPr>
                <w:rFonts w:cstheme="minorHAnsi"/>
                <w:sz w:val="20"/>
                <w:szCs w:val="20"/>
                <w:lang w:val="fr-CH"/>
              </w:rPr>
              <w:t>les</w:t>
            </w:r>
            <w:r>
              <w:rPr>
                <w:rFonts w:cstheme="minorHAnsi"/>
                <w:sz w:val="20"/>
                <w:szCs w:val="20"/>
                <w:lang w:val="fr-CH"/>
              </w:rPr>
              <w:t xml:space="preserve"> mettre à jour prend du temps, ce qui constitue un fardeau pour les Parties contractantes. </w:t>
            </w:r>
            <w:r w:rsidR="006C304D">
              <w:rPr>
                <w:rFonts w:cstheme="minorHAnsi"/>
                <w:sz w:val="20"/>
                <w:szCs w:val="20"/>
                <w:lang w:val="fr-CH"/>
              </w:rPr>
              <w:t xml:space="preserve">Outre </w:t>
            </w:r>
            <w:r w:rsidR="00167D37">
              <w:rPr>
                <w:rFonts w:cstheme="minorHAnsi"/>
                <w:sz w:val="20"/>
                <w:szCs w:val="20"/>
                <w:lang w:val="fr-CH"/>
              </w:rPr>
              <w:t xml:space="preserve">la lenteur </w:t>
            </w:r>
            <w:r w:rsidR="006C304D">
              <w:rPr>
                <w:rFonts w:cstheme="minorHAnsi"/>
                <w:sz w:val="20"/>
                <w:szCs w:val="20"/>
                <w:lang w:val="fr-CH"/>
              </w:rPr>
              <w:t>des taux de mise à jour, le format de</w:t>
            </w:r>
            <w:r w:rsidR="00D93BBB">
              <w:rPr>
                <w:rFonts w:cstheme="minorHAnsi"/>
                <w:sz w:val="20"/>
                <w:szCs w:val="20"/>
                <w:lang w:val="fr-CH"/>
              </w:rPr>
              <w:t>s</w:t>
            </w:r>
            <w:r w:rsidR="006C304D">
              <w:rPr>
                <w:rFonts w:cstheme="minorHAnsi"/>
                <w:sz w:val="20"/>
                <w:szCs w:val="20"/>
                <w:lang w:val="fr-CH"/>
              </w:rPr>
              <w:t xml:space="preserve"> FDR présente peut</w:t>
            </w:r>
            <w:r w:rsidR="006C304D">
              <w:rPr>
                <w:rFonts w:cstheme="minorHAnsi"/>
                <w:sz w:val="20"/>
                <w:szCs w:val="20"/>
                <w:lang w:val="fr-CH"/>
              </w:rPr>
              <w:noBreakHyphen/>
              <w:t>être aussi quelques limitations sur l’utilisation effective des données de</w:t>
            </w:r>
            <w:r w:rsidR="00D93BBB">
              <w:rPr>
                <w:rFonts w:cstheme="minorHAnsi"/>
                <w:sz w:val="20"/>
                <w:szCs w:val="20"/>
                <w:lang w:val="fr-CH"/>
              </w:rPr>
              <w:t>s</w:t>
            </w:r>
            <w:r w:rsidR="006C304D">
              <w:rPr>
                <w:rFonts w:cstheme="minorHAnsi"/>
                <w:sz w:val="20"/>
                <w:szCs w:val="20"/>
                <w:lang w:val="fr-CH"/>
              </w:rPr>
              <w:t xml:space="preserve"> FDR dans les rapports techniques sur le Réseau de sites, au</w:t>
            </w:r>
            <w:r w:rsidR="006C304D">
              <w:rPr>
                <w:rFonts w:cstheme="minorHAnsi"/>
                <w:sz w:val="20"/>
                <w:szCs w:val="20"/>
                <w:lang w:val="fr-CH"/>
              </w:rPr>
              <w:noBreakHyphen/>
              <w:t>delà de la surveillance du nombre de sites.</w:t>
            </w:r>
            <w:r w:rsidR="00BB4C56" w:rsidRPr="00726D7B">
              <w:rPr>
                <w:rFonts w:cstheme="minorHAnsi"/>
                <w:sz w:val="20"/>
                <w:szCs w:val="20"/>
                <w:lang w:val="fr-CH"/>
              </w:rPr>
              <w:t xml:space="preserve"> </w:t>
            </w:r>
          </w:p>
        </w:tc>
        <w:tc>
          <w:tcPr>
            <w:tcW w:w="5244" w:type="dxa"/>
            <w:tcBorders>
              <w:top w:val="single" w:sz="4" w:space="0" w:color="auto"/>
              <w:left w:val="single" w:sz="4" w:space="0" w:color="auto"/>
              <w:bottom w:val="single" w:sz="4" w:space="0" w:color="auto"/>
              <w:right w:val="single" w:sz="4" w:space="0" w:color="auto"/>
            </w:tcBorders>
            <w:hideMark/>
          </w:tcPr>
          <w:p w14:paraId="16106599" w14:textId="239B7B4C" w:rsidR="00BB4C56" w:rsidRPr="00726D7B" w:rsidRDefault="00D93BBB">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I</w:t>
            </w:r>
            <w:r w:rsidR="00F521C5">
              <w:rPr>
                <w:rFonts w:eastAsia="Times New Roman" w:cstheme="minorHAnsi"/>
                <w:color w:val="000000"/>
                <w:sz w:val="20"/>
                <w:szCs w:val="20"/>
                <w:lang w:val="fr-CH" w:eastAsia="en-GB"/>
              </w:rPr>
              <w:t>dentifi</w:t>
            </w:r>
            <w:r>
              <w:rPr>
                <w:rFonts w:eastAsia="Times New Roman" w:cstheme="minorHAnsi"/>
                <w:color w:val="000000"/>
                <w:sz w:val="20"/>
                <w:szCs w:val="20"/>
                <w:lang w:val="fr-CH" w:eastAsia="en-GB"/>
              </w:rPr>
              <w:t>er</w:t>
            </w:r>
            <w:r w:rsidR="00F521C5">
              <w:rPr>
                <w:rFonts w:eastAsia="Times New Roman" w:cstheme="minorHAnsi"/>
                <w:color w:val="000000"/>
                <w:sz w:val="20"/>
                <w:szCs w:val="20"/>
                <w:lang w:val="fr-CH" w:eastAsia="en-GB"/>
              </w:rPr>
              <w:t xml:space="preserve"> les domaines de données </w:t>
            </w:r>
            <w:r>
              <w:rPr>
                <w:rFonts w:eastAsia="Times New Roman" w:cstheme="minorHAnsi"/>
                <w:color w:val="000000"/>
                <w:sz w:val="20"/>
                <w:szCs w:val="20"/>
                <w:lang w:val="fr-CH" w:eastAsia="en-GB"/>
              </w:rPr>
              <w:t xml:space="preserve">des FDR </w:t>
            </w:r>
            <w:r w:rsidR="00F521C5">
              <w:rPr>
                <w:rFonts w:eastAsia="Times New Roman" w:cstheme="minorHAnsi"/>
                <w:color w:val="000000"/>
                <w:sz w:val="20"/>
                <w:szCs w:val="20"/>
                <w:lang w:val="fr-CH" w:eastAsia="en-GB"/>
              </w:rPr>
              <w:t>qui devraient être priorisés dans le cadre d’une mise à jour,</w:t>
            </w:r>
            <w:r w:rsidR="00167D37">
              <w:rPr>
                <w:rFonts w:eastAsia="Times New Roman" w:cstheme="minorHAnsi"/>
                <w:color w:val="000000"/>
                <w:sz w:val="20"/>
                <w:szCs w:val="20"/>
                <w:lang w:val="fr-CH" w:eastAsia="en-GB"/>
              </w:rPr>
              <w:t xml:space="preserve"> pour</w:t>
            </w:r>
            <w:r w:rsidR="00F521C5">
              <w:rPr>
                <w:rFonts w:eastAsia="Times New Roman" w:cstheme="minorHAnsi"/>
                <w:color w:val="000000"/>
                <w:sz w:val="20"/>
                <w:szCs w:val="20"/>
                <w:lang w:val="fr-CH" w:eastAsia="en-GB"/>
              </w:rPr>
              <w:t xml:space="preserve"> permettre un examen plus rapide de</w:t>
            </w:r>
            <w:r>
              <w:rPr>
                <w:rFonts w:eastAsia="Times New Roman" w:cstheme="minorHAnsi"/>
                <w:color w:val="000000"/>
                <w:sz w:val="20"/>
                <w:szCs w:val="20"/>
                <w:lang w:val="fr-CH" w:eastAsia="en-GB"/>
              </w:rPr>
              <w:t xml:space="preserve"> ce</w:t>
            </w:r>
            <w:r w:rsidR="00F521C5">
              <w:rPr>
                <w:rFonts w:eastAsia="Times New Roman" w:cstheme="minorHAnsi"/>
                <w:color w:val="000000"/>
                <w:sz w:val="20"/>
                <w:szCs w:val="20"/>
                <w:lang w:val="fr-CH" w:eastAsia="en-GB"/>
              </w:rPr>
              <w:t>s mises à jour sans compromettre la qualité des données.</w:t>
            </w:r>
            <w:r w:rsidR="00BB4C56" w:rsidRPr="00726D7B">
              <w:rPr>
                <w:rFonts w:eastAsia="Times New Roman" w:cstheme="minorHAnsi"/>
                <w:color w:val="000000"/>
                <w:sz w:val="20"/>
                <w:szCs w:val="20"/>
                <w:lang w:val="fr-CH" w:eastAsia="en-GB"/>
              </w:rPr>
              <w:t xml:space="preserve"> </w:t>
            </w:r>
          </w:p>
          <w:p w14:paraId="21D8C36B" w14:textId="77777777" w:rsidR="00BB4C56" w:rsidRPr="00726D7B" w:rsidRDefault="00BB4C56">
            <w:pPr>
              <w:rPr>
                <w:rFonts w:eastAsia="Times New Roman" w:cstheme="minorHAnsi"/>
                <w:color w:val="000000"/>
                <w:sz w:val="20"/>
                <w:szCs w:val="20"/>
                <w:lang w:val="fr-CH" w:eastAsia="en-GB"/>
              </w:rPr>
            </w:pPr>
          </w:p>
          <w:p w14:paraId="0E165DC0" w14:textId="37F2841C" w:rsidR="00BB4C56" w:rsidRPr="00726D7B" w:rsidRDefault="00F521C5">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 xml:space="preserve">Faire des ajustements aux champs de données, le cas échéant, y compris avec une utilisation améliorée de menus déroulants et d’options à choix multiple, </w:t>
            </w:r>
            <w:r w:rsidR="00E55C06">
              <w:rPr>
                <w:rFonts w:eastAsia="Times New Roman" w:cstheme="minorHAnsi"/>
                <w:color w:val="000000"/>
                <w:sz w:val="20"/>
                <w:szCs w:val="20"/>
                <w:lang w:val="fr-CH" w:eastAsia="en-GB"/>
              </w:rPr>
              <w:t>si nécessaire en combinaison avec des champs de texte pour des informations additionnelles.</w:t>
            </w:r>
          </w:p>
          <w:p w14:paraId="4C95C89F" w14:textId="77777777" w:rsidR="00BB4C56" w:rsidRPr="00726D7B" w:rsidRDefault="00BB4C56">
            <w:pPr>
              <w:rPr>
                <w:rFonts w:eastAsia="Times New Roman" w:cstheme="minorHAnsi"/>
                <w:color w:val="000000"/>
                <w:sz w:val="20"/>
                <w:szCs w:val="20"/>
                <w:lang w:val="fr-CH" w:eastAsia="en-GB"/>
              </w:rPr>
            </w:pPr>
          </w:p>
          <w:p w14:paraId="0B1746F3" w14:textId="38CCCEB6" w:rsidR="00BB4C56" w:rsidRPr="00726D7B" w:rsidRDefault="00E55C06">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Fournir d’autres orientations sur « </w:t>
            </w:r>
            <w:r w:rsidR="00167D37">
              <w:rPr>
                <w:rFonts w:eastAsia="Times New Roman" w:cstheme="minorHAnsi"/>
                <w:color w:val="000000"/>
                <w:sz w:val="20"/>
                <w:szCs w:val="20"/>
                <w:lang w:val="fr-CH" w:eastAsia="en-GB"/>
              </w:rPr>
              <w:t>l’exhaustivité</w:t>
            </w:r>
            <w:r>
              <w:rPr>
                <w:rFonts w:eastAsia="Times New Roman" w:cstheme="minorHAnsi"/>
                <w:color w:val="000000"/>
                <w:sz w:val="20"/>
                <w:szCs w:val="20"/>
                <w:lang w:val="fr-CH" w:eastAsia="en-GB"/>
              </w:rPr>
              <w:t xml:space="preserve"> des données à soumettre » pour la mise à jour de</w:t>
            </w:r>
            <w:r w:rsidR="00D93BBB">
              <w:rPr>
                <w:rFonts w:eastAsia="Times New Roman" w:cstheme="minorHAnsi"/>
                <w:color w:val="000000"/>
                <w:sz w:val="20"/>
                <w:szCs w:val="20"/>
                <w:lang w:val="fr-CH" w:eastAsia="en-GB"/>
              </w:rPr>
              <w:t>s</w:t>
            </w:r>
            <w:r>
              <w:rPr>
                <w:rFonts w:eastAsia="Times New Roman" w:cstheme="minorHAnsi"/>
                <w:color w:val="000000"/>
                <w:sz w:val="20"/>
                <w:szCs w:val="20"/>
                <w:lang w:val="fr-CH" w:eastAsia="en-GB"/>
              </w:rPr>
              <w:t xml:space="preserve"> FDR (la Résolution </w:t>
            </w:r>
            <w:r w:rsidR="00BB4C56" w:rsidRPr="00726D7B">
              <w:rPr>
                <w:rFonts w:eastAsia="Times New Roman" w:cstheme="minorHAnsi"/>
                <w:color w:val="000000"/>
                <w:sz w:val="20"/>
                <w:szCs w:val="20"/>
                <w:lang w:val="fr-CH" w:eastAsia="en-GB"/>
              </w:rPr>
              <w:t xml:space="preserve">XI.8 </w:t>
            </w:r>
            <w:r>
              <w:rPr>
                <w:rFonts w:eastAsia="Times New Roman" w:cstheme="minorHAnsi"/>
                <w:color w:val="000000"/>
                <w:sz w:val="20"/>
                <w:szCs w:val="20"/>
                <w:lang w:val="fr-CH" w:eastAsia="en-GB"/>
              </w:rPr>
              <w:t xml:space="preserve">ne le définit pas) ainsi que des orientations plus </w:t>
            </w:r>
            <w:r w:rsidR="00167D37">
              <w:rPr>
                <w:rFonts w:eastAsia="Times New Roman" w:cstheme="minorHAnsi"/>
                <w:color w:val="000000"/>
                <w:sz w:val="20"/>
                <w:szCs w:val="20"/>
                <w:lang w:val="fr-CH" w:eastAsia="en-GB"/>
              </w:rPr>
              <w:t>précises</w:t>
            </w:r>
            <w:r>
              <w:rPr>
                <w:rFonts w:eastAsia="Times New Roman" w:cstheme="minorHAnsi"/>
                <w:color w:val="000000"/>
                <w:sz w:val="20"/>
                <w:szCs w:val="20"/>
                <w:lang w:val="fr-CH" w:eastAsia="en-GB"/>
              </w:rPr>
              <w:t xml:space="preserve"> ou des instructions sur les données à fournir dans certaines sections/certains champs de</w:t>
            </w:r>
            <w:r w:rsidR="00D93BBB">
              <w:rPr>
                <w:rFonts w:eastAsia="Times New Roman" w:cstheme="minorHAnsi"/>
                <w:color w:val="000000"/>
                <w:sz w:val="20"/>
                <w:szCs w:val="20"/>
                <w:lang w:val="fr-CH" w:eastAsia="en-GB"/>
              </w:rPr>
              <w:t>s</w:t>
            </w:r>
            <w:r>
              <w:rPr>
                <w:rFonts w:eastAsia="Times New Roman" w:cstheme="minorHAnsi"/>
                <w:color w:val="000000"/>
                <w:sz w:val="20"/>
                <w:szCs w:val="20"/>
                <w:lang w:val="fr-CH" w:eastAsia="en-GB"/>
              </w:rPr>
              <w:t xml:space="preserve"> FDR.</w:t>
            </w:r>
            <w:r w:rsidR="00BB4C56" w:rsidRPr="00726D7B">
              <w:rPr>
                <w:rFonts w:eastAsia="Times New Roman" w:cstheme="minorHAnsi"/>
                <w:color w:val="000000"/>
                <w:sz w:val="20"/>
                <w:szCs w:val="20"/>
                <w:lang w:val="fr-CH" w:eastAsia="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17099499" w14:textId="0AAE6D95" w:rsidR="00BB4C56" w:rsidRPr="00726D7B" w:rsidRDefault="00BF518A">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 xml:space="preserve">Le Comité permanent peut envisager de demander au Secrétariat : </w:t>
            </w:r>
          </w:p>
          <w:p w14:paraId="65966D86" w14:textId="10E93CE3" w:rsidR="00BB4C56" w:rsidRPr="00726D7B" w:rsidRDefault="00BF518A" w:rsidP="00F347D1">
            <w:pPr>
              <w:pStyle w:val="ListParagraph"/>
              <w:numPr>
                <w:ilvl w:val="0"/>
                <w:numId w:val="22"/>
              </w:numPr>
              <w:spacing w:line="256" w:lineRule="auto"/>
              <w:ind w:left="324" w:hanging="284"/>
              <w:rPr>
                <w:rFonts w:eastAsia="Times New Roman" w:cstheme="minorHAnsi"/>
                <w:color w:val="000000"/>
                <w:sz w:val="20"/>
                <w:szCs w:val="20"/>
                <w:lang w:val="fr-CH" w:eastAsia="en-GB"/>
              </w:rPr>
            </w:pPr>
            <w:r>
              <w:rPr>
                <w:rFonts w:eastAsia="Times New Roman" w:cstheme="minorHAnsi"/>
                <w:color w:val="000000"/>
                <w:sz w:val="20"/>
                <w:szCs w:val="20"/>
                <w:lang w:val="fr-CH" w:eastAsia="en-GB"/>
              </w:rPr>
              <w:t xml:space="preserve">d’identifier les questions/champs de données clés </w:t>
            </w:r>
            <w:r w:rsidR="00D93BBB">
              <w:rPr>
                <w:rFonts w:eastAsia="Times New Roman" w:cstheme="minorHAnsi"/>
                <w:color w:val="000000"/>
                <w:sz w:val="20"/>
                <w:szCs w:val="20"/>
                <w:lang w:val="fr-CH" w:eastAsia="en-GB"/>
              </w:rPr>
              <w:t>des</w:t>
            </w:r>
            <w:r>
              <w:rPr>
                <w:rFonts w:eastAsia="Times New Roman" w:cstheme="minorHAnsi"/>
                <w:color w:val="000000"/>
                <w:sz w:val="20"/>
                <w:szCs w:val="20"/>
                <w:lang w:val="fr-CH" w:eastAsia="en-GB"/>
              </w:rPr>
              <w:t xml:space="preserve"> FDR pour que les Parties contractantes puissent les prioriser lorsqu’elles soumettent des mises à jour de FDR, en s’appuyant sur leur pertinence pour le suivi et les rapports sur les changements dans les sites, </w:t>
            </w:r>
            <w:r w:rsidR="00167D37">
              <w:rPr>
                <w:rFonts w:eastAsia="Times New Roman" w:cstheme="minorHAnsi"/>
                <w:color w:val="000000"/>
                <w:sz w:val="20"/>
                <w:szCs w:val="20"/>
                <w:lang w:val="fr-CH" w:eastAsia="en-GB"/>
              </w:rPr>
              <w:t>l’application</w:t>
            </w:r>
            <w:r>
              <w:rPr>
                <w:rFonts w:eastAsia="Times New Roman" w:cstheme="minorHAnsi"/>
                <w:color w:val="000000"/>
                <w:sz w:val="20"/>
                <w:szCs w:val="20"/>
                <w:lang w:val="fr-CH" w:eastAsia="en-GB"/>
              </w:rPr>
              <w:t xml:space="preserve"> de la Convention et la contribution de la Convention à des </w:t>
            </w:r>
            <w:r w:rsidR="00D93BBB">
              <w:rPr>
                <w:rFonts w:eastAsia="Times New Roman" w:cstheme="minorHAnsi"/>
                <w:color w:val="000000"/>
                <w:sz w:val="20"/>
                <w:szCs w:val="20"/>
                <w:lang w:val="fr-CH" w:eastAsia="en-GB"/>
              </w:rPr>
              <w:t>cibles</w:t>
            </w:r>
            <w:r>
              <w:rPr>
                <w:rFonts w:eastAsia="Times New Roman" w:cstheme="minorHAnsi"/>
                <w:color w:val="000000"/>
                <w:sz w:val="20"/>
                <w:szCs w:val="20"/>
                <w:lang w:val="fr-CH" w:eastAsia="en-GB"/>
              </w:rPr>
              <w:t xml:space="preserve"> pertinent</w:t>
            </w:r>
            <w:r w:rsidR="00D93BBB">
              <w:rPr>
                <w:rFonts w:eastAsia="Times New Roman" w:cstheme="minorHAnsi"/>
                <w:color w:val="000000"/>
                <w:sz w:val="20"/>
                <w:szCs w:val="20"/>
                <w:lang w:val="fr-CH" w:eastAsia="en-GB"/>
              </w:rPr>
              <w:t>e</w:t>
            </w:r>
            <w:r>
              <w:rPr>
                <w:rFonts w:eastAsia="Times New Roman" w:cstheme="minorHAnsi"/>
                <w:color w:val="000000"/>
                <w:sz w:val="20"/>
                <w:szCs w:val="20"/>
                <w:lang w:val="fr-CH" w:eastAsia="en-GB"/>
              </w:rPr>
              <w:t xml:space="preserve">s du CMB </w:t>
            </w:r>
            <w:r w:rsidR="00C2601C">
              <w:rPr>
                <w:rFonts w:eastAsia="Times New Roman" w:cstheme="minorHAnsi"/>
                <w:color w:val="000000"/>
                <w:sz w:val="20"/>
                <w:szCs w:val="20"/>
                <w:lang w:val="fr-CH" w:eastAsia="en-GB"/>
              </w:rPr>
              <w:t xml:space="preserve">et du Programme de développement durable à l’horizon 2030 ; ainsi que les travaux du GEST, y compris la préparation de rapports tels que les </w:t>
            </w:r>
            <w:r w:rsidR="00C2601C" w:rsidRPr="00C2601C">
              <w:rPr>
                <w:rFonts w:eastAsia="Times New Roman" w:cstheme="minorHAnsi"/>
                <w:i/>
                <w:iCs/>
                <w:color w:val="000000"/>
                <w:sz w:val="20"/>
                <w:szCs w:val="20"/>
                <w:lang w:val="fr-CH" w:eastAsia="en-GB"/>
              </w:rPr>
              <w:t>Perspectives mondiales des zones humides</w:t>
            </w:r>
            <w:r w:rsidR="00C2601C">
              <w:rPr>
                <w:rFonts w:eastAsia="Times New Roman" w:cstheme="minorHAnsi"/>
                <w:i/>
                <w:iCs/>
                <w:color w:val="000000"/>
                <w:sz w:val="20"/>
                <w:szCs w:val="20"/>
                <w:lang w:val="fr-CH" w:eastAsia="en-GB"/>
              </w:rPr>
              <w:t> </w:t>
            </w:r>
            <w:r w:rsidR="00C2601C" w:rsidRPr="00C2601C">
              <w:rPr>
                <w:rFonts w:eastAsia="Times New Roman" w:cstheme="minorHAnsi"/>
                <w:color w:val="000000"/>
                <w:sz w:val="20"/>
                <w:szCs w:val="20"/>
                <w:lang w:val="fr-CH" w:eastAsia="en-GB"/>
              </w:rPr>
              <w:t>;</w:t>
            </w:r>
          </w:p>
          <w:p w14:paraId="56F49382" w14:textId="12B7AD75" w:rsidR="00BB4C56" w:rsidRPr="00726D7B" w:rsidRDefault="00C2601C" w:rsidP="00F347D1">
            <w:pPr>
              <w:pStyle w:val="ListParagraph"/>
              <w:numPr>
                <w:ilvl w:val="0"/>
                <w:numId w:val="22"/>
              </w:numPr>
              <w:spacing w:line="256" w:lineRule="auto"/>
              <w:ind w:left="324" w:hanging="284"/>
              <w:rPr>
                <w:rFonts w:eastAsia="Times New Roman" w:cstheme="minorHAnsi"/>
                <w:color w:val="000000"/>
                <w:sz w:val="20"/>
                <w:szCs w:val="20"/>
                <w:lang w:val="fr-CH" w:eastAsia="en-GB"/>
              </w:rPr>
            </w:pPr>
            <w:proofErr w:type="gramStart"/>
            <w:r>
              <w:rPr>
                <w:rFonts w:eastAsia="Times New Roman" w:cstheme="minorHAnsi"/>
                <w:color w:val="000000"/>
                <w:sz w:val="20"/>
                <w:szCs w:val="20"/>
                <w:lang w:val="fr-CH" w:eastAsia="en-GB"/>
              </w:rPr>
              <w:t>de</w:t>
            </w:r>
            <w:proofErr w:type="gramEnd"/>
            <w:r>
              <w:rPr>
                <w:rFonts w:eastAsia="Times New Roman" w:cstheme="minorHAnsi"/>
                <w:color w:val="000000"/>
                <w:sz w:val="20"/>
                <w:szCs w:val="20"/>
                <w:lang w:val="fr-CH" w:eastAsia="en-GB"/>
              </w:rPr>
              <w:t xml:space="preserve"> </w:t>
            </w:r>
            <w:r w:rsidR="00167D37">
              <w:rPr>
                <w:rFonts w:eastAsia="Times New Roman" w:cstheme="minorHAnsi"/>
                <w:color w:val="000000"/>
                <w:sz w:val="20"/>
                <w:szCs w:val="20"/>
                <w:lang w:val="fr-CH" w:eastAsia="en-GB"/>
              </w:rPr>
              <w:t>distinguer clairement</w:t>
            </w:r>
            <w:r>
              <w:rPr>
                <w:rFonts w:eastAsia="Times New Roman" w:cstheme="minorHAnsi"/>
                <w:color w:val="000000"/>
                <w:sz w:val="20"/>
                <w:szCs w:val="20"/>
                <w:lang w:val="fr-CH" w:eastAsia="en-GB"/>
              </w:rPr>
              <w:t xml:space="preserve"> les données requises au moment de la désignation</w:t>
            </w:r>
            <w:r w:rsidR="00D93BBB">
              <w:rPr>
                <w:rFonts w:eastAsia="Times New Roman" w:cstheme="minorHAnsi"/>
                <w:color w:val="000000"/>
                <w:sz w:val="20"/>
                <w:szCs w:val="20"/>
                <w:lang w:val="fr-CH" w:eastAsia="en-GB"/>
              </w:rPr>
              <w:t xml:space="preserve"> d’un site</w:t>
            </w:r>
            <w:r>
              <w:rPr>
                <w:rFonts w:eastAsia="Times New Roman" w:cstheme="minorHAnsi"/>
                <w:color w:val="000000"/>
                <w:sz w:val="20"/>
                <w:szCs w:val="20"/>
                <w:lang w:val="fr-CH" w:eastAsia="en-GB"/>
              </w:rPr>
              <w:t xml:space="preserve"> (à mettre à jour si nécessaire) et les questions clés/champs de données à mettre à jour régulièrement, par un étiquetage des champs et/ou une réorganisation de</w:t>
            </w:r>
            <w:r w:rsidR="00481809">
              <w:rPr>
                <w:rFonts w:eastAsia="Times New Roman" w:cstheme="minorHAnsi"/>
                <w:color w:val="000000"/>
                <w:sz w:val="20"/>
                <w:szCs w:val="20"/>
                <w:lang w:val="fr-CH" w:eastAsia="en-GB"/>
              </w:rPr>
              <w:t>s</w:t>
            </w:r>
            <w:r>
              <w:rPr>
                <w:rFonts w:eastAsia="Times New Roman" w:cstheme="minorHAnsi"/>
                <w:color w:val="000000"/>
                <w:sz w:val="20"/>
                <w:szCs w:val="20"/>
                <w:lang w:val="fr-CH" w:eastAsia="en-GB"/>
              </w:rPr>
              <w:t xml:space="preserve"> FDR ;</w:t>
            </w:r>
            <w:r w:rsidR="00BB4C56" w:rsidRPr="00726D7B">
              <w:rPr>
                <w:rFonts w:eastAsia="Times New Roman" w:cstheme="minorHAnsi"/>
                <w:color w:val="000000"/>
                <w:sz w:val="20"/>
                <w:szCs w:val="20"/>
                <w:lang w:val="fr-CH" w:eastAsia="en-GB"/>
              </w:rPr>
              <w:t xml:space="preserve"> </w:t>
            </w:r>
          </w:p>
          <w:p w14:paraId="7FCBB64B" w14:textId="330A4F2D" w:rsidR="00BB4C56" w:rsidRPr="00726D7B" w:rsidRDefault="007F25A4" w:rsidP="00F347D1">
            <w:pPr>
              <w:pStyle w:val="ListParagraph"/>
              <w:numPr>
                <w:ilvl w:val="0"/>
                <w:numId w:val="22"/>
              </w:numPr>
              <w:spacing w:line="256" w:lineRule="auto"/>
              <w:ind w:left="324" w:hanging="284"/>
              <w:rPr>
                <w:rFonts w:cstheme="minorHAnsi"/>
                <w:sz w:val="20"/>
                <w:szCs w:val="20"/>
                <w:lang w:val="fr-CH"/>
              </w:rPr>
            </w:pPr>
            <w:proofErr w:type="gramStart"/>
            <w:r>
              <w:rPr>
                <w:rFonts w:cstheme="minorHAnsi"/>
                <w:sz w:val="20"/>
                <w:szCs w:val="20"/>
                <w:lang w:val="fr-CH"/>
              </w:rPr>
              <w:t>de</w:t>
            </w:r>
            <w:proofErr w:type="gramEnd"/>
            <w:r>
              <w:rPr>
                <w:rFonts w:cstheme="minorHAnsi"/>
                <w:sz w:val="20"/>
                <w:szCs w:val="20"/>
                <w:lang w:val="fr-CH"/>
              </w:rPr>
              <w:t xml:space="preserve"> mieux définir les options contribuant aux champs de données </w:t>
            </w:r>
            <w:r w:rsidR="00481809">
              <w:rPr>
                <w:rFonts w:cstheme="minorHAnsi"/>
                <w:sz w:val="20"/>
                <w:szCs w:val="20"/>
                <w:lang w:val="fr-CH"/>
              </w:rPr>
              <w:t>des</w:t>
            </w:r>
            <w:r>
              <w:rPr>
                <w:rFonts w:cstheme="minorHAnsi"/>
                <w:sz w:val="20"/>
                <w:szCs w:val="20"/>
                <w:lang w:val="fr-CH"/>
              </w:rPr>
              <w:t xml:space="preserve"> FDR, le cas échéant, en vue de permettre une saisie plus rapide des données ainsi qu’une meilleure synthèse et analyse des données.</w:t>
            </w:r>
          </w:p>
          <w:p w14:paraId="451D53CE" w14:textId="7C15F847" w:rsidR="00BB4C56" w:rsidRPr="00726D7B" w:rsidRDefault="007F25A4">
            <w:pPr>
              <w:rPr>
                <w:rFonts w:eastAsia="Times New Roman" w:cstheme="minorHAnsi"/>
                <w:bCs/>
                <w:color w:val="000000"/>
                <w:sz w:val="20"/>
                <w:szCs w:val="20"/>
                <w:lang w:val="fr-CH" w:eastAsia="en-GB"/>
              </w:rPr>
            </w:pPr>
            <w:r>
              <w:rPr>
                <w:rFonts w:cstheme="minorHAnsi"/>
                <w:sz w:val="20"/>
                <w:szCs w:val="20"/>
                <w:lang w:val="fr-CH"/>
              </w:rPr>
              <w:t>Ce faisant, le Secrétariat s’appuiera sur l’information et les orientations existantes concernant la rédaction de</w:t>
            </w:r>
            <w:r w:rsidR="00481809">
              <w:rPr>
                <w:rFonts w:cstheme="minorHAnsi"/>
                <w:sz w:val="20"/>
                <w:szCs w:val="20"/>
                <w:lang w:val="fr-CH"/>
              </w:rPr>
              <w:t>s</w:t>
            </w:r>
            <w:r>
              <w:rPr>
                <w:rFonts w:cstheme="minorHAnsi"/>
                <w:sz w:val="20"/>
                <w:szCs w:val="20"/>
                <w:lang w:val="fr-CH"/>
              </w:rPr>
              <w:t xml:space="preserve"> FDR, y compris celles qui sont contenues dans la </w:t>
            </w:r>
            <w:hyperlink r:id="rId13" w:history="1">
              <w:r w:rsidRPr="00726D7B">
                <w:rPr>
                  <w:rStyle w:val="Hyperlink"/>
                  <w:rFonts w:eastAsia="Times New Roman" w:cstheme="minorHAnsi"/>
                  <w:bCs/>
                  <w:sz w:val="20"/>
                  <w:szCs w:val="20"/>
                  <w:lang w:val="fr-CH" w:eastAsia="en-GB"/>
                </w:rPr>
                <w:t>Résolution</w:t>
              </w:r>
              <w:r w:rsidR="00BB4C56" w:rsidRPr="00726D7B">
                <w:rPr>
                  <w:rStyle w:val="Hyperlink"/>
                  <w:rFonts w:eastAsia="Times New Roman" w:cstheme="minorHAnsi"/>
                  <w:bCs/>
                  <w:sz w:val="20"/>
                  <w:szCs w:val="20"/>
                  <w:lang w:val="fr-CH" w:eastAsia="en-GB"/>
                </w:rPr>
                <w:t xml:space="preserve"> XI.8 (Annex</w:t>
              </w:r>
              <w:r>
                <w:rPr>
                  <w:rStyle w:val="Hyperlink"/>
                  <w:rFonts w:eastAsia="Times New Roman" w:cstheme="minorHAnsi"/>
                  <w:bCs/>
                  <w:sz w:val="20"/>
                  <w:szCs w:val="20"/>
                  <w:lang w:val="fr-CH" w:eastAsia="en-GB"/>
                </w:rPr>
                <w:t>e </w:t>
              </w:r>
              <w:r w:rsidR="00BB4C56" w:rsidRPr="00726D7B">
                <w:rPr>
                  <w:rStyle w:val="Hyperlink"/>
                  <w:rFonts w:eastAsia="Times New Roman" w:cstheme="minorHAnsi"/>
                  <w:bCs/>
                  <w:sz w:val="20"/>
                  <w:szCs w:val="20"/>
                  <w:lang w:val="fr-CH" w:eastAsia="en-GB"/>
                </w:rPr>
                <w:t>1)</w:t>
              </w:r>
            </w:hyperlink>
            <w:r w:rsidR="00BB4C56" w:rsidRPr="00726D7B">
              <w:rPr>
                <w:rFonts w:eastAsia="Times New Roman" w:cstheme="minorHAnsi"/>
                <w:bCs/>
                <w:color w:val="000000"/>
                <w:sz w:val="20"/>
                <w:szCs w:val="20"/>
                <w:lang w:val="fr-CH" w:eastAsia="en-GB"/>
              </w:rPr>
              <w:t xml:space="preserve"> </w:t>
            </w:r>
            <w:r>
              <w:rPr>
                <w:rFonts w:eastAsia="Times New Roman" w:cstheme="minorHAnsi"/>
                <w:bCs/>
                <w:color w:val="000000"/>
                <w:sz w:val="20"/>
                <w:szCs w:val="20"/>
                <w:lang w:val="fr-CH" w:eastAsia="en-GB"/>
              </w:rPr>
              <w:t>et dans le document</w:t>
            </w:r>
            <w:r w:rsidR="00BB4C56" w:rsidRPr="00726D7B">
              <w:rPr>
                <w:rFonts w:eastAsia="Times New Roman" w:cstheme="minorHAnsi"/>
                <w:bCs/>
                <w:color w:val="000000"/>
                <w:sz w:val="20"/>
                <w:szCs w:val="20"/>
                <w:lang w:val="fr-CH" w:eastAsia="en-GB"/>
              </w:rPr>
              <w:t xml:space="preserve"> </w:t>
            </w:r>
            <w:hyperlink r:id="rId14" w:history="1">
              <w:r w:rsidR="00BB4C56" w:rsidRPr="00726D7B">
                <w:rPr>
                  <w:rStyle w:val="Hyperlink"/>
                  <w:rFonts w:eastAsia="Times New Roman" w:cstheme="minorHAnsi"/>
                  <w:bCs/>
                  <w:sz w:val="20"/>
                  <w:szCs w:val="20"/>
                  <w:lang w:val="fr-CH" w:eastAsia="en-GB"/>
                </w:rPr>
                <w:t>C</w:t>
              </w:r>
              <w:r w:rsidR="00BB4C56" w:rsidRPr="00726D7B">
                <w:rPr>
                  <w:rStyle w:val="Hyperlink"/>
                  <w:rFonts w:eastAsia="Times New Roman"/>
                  <w:sz w:val="20"/>
                  <w:szCs w:val="20"/>
                  <w:lang w:val="fr-CH" w:eastAsia="en-GB"/>
                </w:rPr>
                <w:t>OP11 Doc.22</w:t>
              </w:r>
            </w:hyperlink>
            <w:r w:rsidR="00BB4C56" w:rsidRPr="00726D7B">
              <w:rPr>
                <w:rFonts w:eastAsia="Times New Roman" w:cstheme="minorHAnsi"/>
                <w:bCs/>
                <w:color w:val="000000"/>
                <w:sz w:val="20"/>
                <w:szCs w:val="20"/>
                <w:lang w:val="fr-CH" w:eastAsia="en-GB"/>
              </w:rPr>
              <w:t xml:space="preserve">. </w:t>
            </w:r>
          </w:p>
          <w:p w14:paraId="753A1541" w14:textId="77777777" w:rsidR="00BB4C56" w:rsidRPr="00726D7B" w:rsidRDefault="00BB4C56">
            <w:pPr>
              <w:rPr>
                <w:rFonts w:cstheme="minorHAnsi"/>
                <w:sz w:val="20"/>
                <w:szCs w:val="20"/>
                <w:lang w:val="fr-CH"/>
              </w:rPr>
            </w:pPr>
          </w:p>
          <w:p w14:paraId="1124E9B8" w14:textId="7FED2E15" w:rsidR="00BB4C56" w:rsidRPr="00726D7B" w:rsidRDefault="007F25A4">
            <w:pPr>
              <w:rPr>
                <w:rFonts w:cstheme="minorHAnsi"/>
                <w:sz w:val="20"/>
                <w:szCs w:val="20"/>
                <w:lang w:val="fr-CH"/>
              </w:rPr>
            </w:pPr>
            <w:r>
              <w:rPr>
                <w:rFonts w:cstheme="minorHAnsi"/>
                <w:sz w:val="20"/>
                <w:szCs w:val="20"/>
                <w:lang w:val="fr-CH"/>
              </w:rPr>
              <w:t xml:space="preserve">Le Secrétariat examinera et mettra à jour les orientations existantes relatives à </w:t>
            </w:r>
            <w:r w:rsidR="00167D37">
              <w:rPr>
                <w:rFonts w:cstheme="minorHAnsi"/>
                <w:sz w:val="20"/>
                <w:szCs w:val="20"/>
                <w:lang w:val="fr-CH"/>
              </w:rPr>
              <w:t>l’exhaustivité</w:t>
            </w:r>
            <w:r>
              <w:rPr>
                <w:rFonts w:cstheme="minorHAnsi"/>
                <w:sz w:val="20"/>
                <w:szCs w:val="20"/>
                <w:lang w:val="fr-CH"/>
              </w:rPr>
              <w:t xml:space="preserve"> des données et à la saisie des données dans </w:t>
            </w:r>
            <w:r w:rsidR="00481809">
              <w:rPr>
                <w:rFonts w:cstheme="minorHAnsi"/>
                <w:sz w:val="20"/>
                <w:szCs w:val="20"/>
                <w:lang w:val="fr-CH"/>
              </w:rPr>
              <w:t>les</w:t>
            </w:r>
            <w:r>
              <w:rPr>
                <w:rFonts w:cstheme="minorHAnsi"/>
                <w:sz w:val="20"/>
                <w:szCs w:val="20"/>
                <w:lang w:val="fr-CH"/>
              </w:rPr>
              <w:t xml:space="preserve"> FDR.</w:t>
            </w:r>
            <w:r w:rsidR="00BB4C56" w:rsidRPr="00726D7B">
              <w:rPr>
                <w:rFonts w:cstheme="minorHAnsi"/>
                <w:sz w:val="20"/>
                <w:szCs w:val="20"/>
                <w:lang w:val="fr-CH"/>
              </w:rPr>
              <w:t xml:space="preserve"> </w:t>
            </w:r>
          </w:p>
        </w:tc>
      </w:tr>
      <w:tr w:rsidR="00BB4C56" w:rsidRPr="00A61528" w14:paraId="4DA04106" w14:textId="77777777" w:rsidTr="00BB4C56">
        <w:trPr>
          <w:cantSplit/>
        </w:trPr>
        <w:tc>
          <w:tcPr>
            <w:tcW w:w="1413" w:type="dxa"/>
            <w:vMerge/>
            <w:tcBorders>
              <w:left w:val="single" w:sz="4" w:space="0" w:color="auto"/>
              <w:right w:val="single" w:sz="4" w:space="0" w:color="auto"/>
            </w:tcBorders>
          </w:tcPr>
          <w:p w14:paraId="00D9520F" w14:textId="77777777" w:rsidR="00BB4C56" w:rsidRPr="00726D7B" w:rsidRDefault="00BB4C56">
            <w:pPr>
              <w:rPr>
                <w:rFonts w:cstheme="minorHAnsi"/>
                <w:sz w:val="20"/>
                <w:szCs w:val="20"/>
                <w:lang w:val="fr-CH"/>
              </w:rPr>
            </w:pPr>
          </w:p>
        </w:tc>
        <w:tc>
          <w:tcPr>
            <w:tcW w:w="2977" w:type="dxa"/>
            <w:vMerge/>
            <w:tcBorders>
              <w:left w:val="single" w:sz="4" w:space="0" w:color="auto"/>
              <w:right w:val="single" w:sz="4" w:space="0" w:color="auto"/>
            </w:tcBorders>
          </w:tcPr>
          <w:p w14:paraId="2C2DBD27" w14:textId="77777777" w:rsidR="00BB4C56" w:rsidRPr="00726D7B" w:rsidRDefault="00BB4C56">
            <w:pPr>
              <w:rPr>
                <w:rFonts w:eastAsia="Times New Roman" w:cstheme="minorHAnsi"/>
                <w:color w:val="000000"/>
                <w:sz w:val="20"/>
                <w:szCs w:val="20"/>
                <w:lang w:val="fr-CH" w:eastAsia="en-GB"/>
              </w:rPr>
            </w:pPr>
          </w:p>
        </w:tc>
        <w:tc>
          <w:tcPr>
            <w:tcW w:w="5244" w:type="dxa"/>
            <w:tcBorders>
              <w:top w:val="single" w:sz="4" w:space="0" w:color="auto"/>
              <w:left w:val="single" w:sz="4" w:space="0" w:color="auto"/>
              <w:bottom w:val="single" w:sz="4" w:space="0" w:color="auto"/>
              <w:right w:val="single" w:sz="4" w:space="0" w:color="auto"/>
            </w:tcBorders>
            <w:hideMark/>
          </w:tcPr>
          <w:p w14:paraId="71BE4161" w14:textId="0899D580" w:rsidR="00BB4C56" w:rsidRPr="00726D7B" w:rsidRDefault="00704F27">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Permettre</w:t>
            </w:r>
            <w:r w:rsidR="00151DA2">
              <w:rPr>
                <w:rFonts w:eastAsia="Times New Roman" w:cstheme="minorHAnsi"/>
                <w:color w:val="000000"/>
                <w:sz w:val="20"/>
                <w:szCs w:val="20"/>
                <w:lang w:val="fr-CH" w:eastAsia="en-GB"/>
              </w:rPr>
              <w:t xml:space="preserve">, si possible, </w:t>
            </w:r>
            <w:r>
              <w:rPr>
                <w:rFonts w:eastAsia="Times New Roman" w:cstheme="minorHAnsi"/>
                <w:color w:val="000000"/>
                <w:sz w:val="20"/>
                <w:szCs w:val="20"/>
                <w:lang w:val="fr-CH" w:eastAsia="en-GB"/>
              </w:rPr>
              <w:t>une importation automatisée des données</w:t>
            </w:r>
            <w:r w:rsidR="00151DA2">
              <w:rPr>
                <w:rFonts w:eastAsia="Times New Roman" w:cstheme="minorHAnsi"/>
                <w:color w:val="000000"/>
                <w:sz w:val="20"/>
                <w:szCs w:val="20"/>
                <w:lang w:val="fr-CH" w:eastAsia="en-GB"/>
              </w:rPr>
              <w:t xml:space="preserve"> à partir</w:t>
            </w:r>
            <w:r>
              <w:rPr>
                <w:rFonts w:eastAsia="Times New Roman" w:cstheme="minorHAnsi"/>
                <w:color w:val="000000"/>
                <w:sz w:val="20"/>
                <w:szCs w:val="20"/>
                <w:lang w:val="fr-CH" w:eastAsia="en-GB"/>
              </w:rPr>
              <w:t xml:space="preserve"> </w:t>
            </w:r>
            <w:r w:rsidR="003B5203">
              <w:rPr>
                <w:rFonts w:eastAsia="Times New Roman" w:cstheme="minorHAnsi"/>
                <w:color w:val="000000"/>
                <w:sz w:val="20"/>
                <w:szCs w:val="20"/>
                <w:lang w:val="fr-CH" w:eastAsia="en-GB"/>
              </w:rPr>
              <w:t>d’autres sources</w:t>
            </w:r>
            <w:r w:rsidR="00151DA2">
              <w:rPr>
                <w:rFonts w:eastAsia="Times New Roman" w:cstheme="minorHAnsi"/>
                <w:color w:val="000000"/>
                <w:sz w:val="20"/>
                <w:szCs w:val="20"/>
                <w:lang w:val="fr-CH" w:eastAsia="en-GB"/>
              </w:rPr>
              <w:t xml:space="preserve">, </w:t>
            </w:r>
            <w:r w:rsidR="003B5203">
              <w:rPr>
                <w:rFonts w:eastAsia="Times New Roman" w:cstheme="minorHAnsi"/>
                <w:color w:val="000000"/>
                <w:sz w:val="20"/>
                <w:szCs w:val="20"/>
                <w:lang w:val="fr-CH" w:eastAsia="en-GB"/>
              </w:rPr>
              <w:t>de telle sorte que l’information sur les espèces puisse être importée de tableurs Excel au lieu d’être saisie manuellement, champ par champ, pour chaque site.</w:t>
            </w:r>
            <w:r w:rsidR="00BB4C56" w:rsidRPr="00726D7B">
              <w:rPr>
                <w:rFonts w:eastAsia="Times New Roman" w:cstheme="minorHAnsi"/>
                <w:color w:val="000000"/>
                <w:sz w:val="20"/>
                <w:szCs w:val="20"/>
                <w:lang w:val="fr-CH" w:eastAsia="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2ADF2522" w14:textId="52185068" w:rsidR="00BB4C56" w:rsidRPr="00726D7B" w:rsidRDefault="0001493D">
            <w:pPr>
              <w:rPr>
                <w:rFonts w:eastAsia="Times New Roman" w:cstheme="minorHAnsi"/>
                <w:color w:val="000000"/>
                <w:sz w:val="20"/>
                <w:szCs w:val="20"/>
                <w:highlight w:val="yellow"/>
                <w:lang w:val="fr-CH" w:eastAsia="en-GB"/>
              </w:rPr>
            </w:pPr>
            <w:r>
              <w:rPr>
                <w:rFonts w:eastAsia="Times New Roman" w:cstheme="minorHAnsi"/>
                <w:color w:val="000000"/>
                <w:sz w:val="20"/>
                <w:szCs w:val="20"/>
                <w:lang w:val="fr-CH" w:eastAsia="en-GB"/>
              </w:rPr>
              <w:t xml:space="preserve">Le Secrétariat évaluera la possibilité d’automatiser le transfert de données vers </w:t>
            </w:r>
            <w:r w:rsidR="00481809">
              <w:rPr>
                <w:rFonts w:eastAsia="Times New Roman" w:cstheme="minorHAnsi"/>
                <w:color w:val="000000"/>
                <w:sz w:val="20"/>
                <w:szCs w:val="20"/>
                <w:lang w:val="fr-CH" w:eastAsia="en-GB"/>
              </w:rPr>
              <w:t>les</w:t>
            </w:r>
            <w:r>
              <w:rPr>
                <w:rFonts w:eastAsia="Times New Roman" w:cstheme="minorHAnsi"/>
                <w:color w:val="000000"/>
                <w:sz w:val="20"/>
                <w:szCs w:val="20"/>
                <w:lang w:val="fr-CH" w:eastAsia="en-GB"/>
              </w:rPr>
              <w:t xml:space="preserve"> FDR depuis des sources externes pour des champs spécifiques, y compris de listes d’espèces, et fera rapport sur ses conclusions à la 64</w:t>
            </w:r>
            <w:r w:rsidRPr="0001493D">
              <w:rPr>
                <w:rFonts w:eastAsia="Times New Roman" w:cstheme="minorHAnsi"/>
                <w:color w:val="000000"/>
                <w:sz w:val="20"/>
                <w:szCs w:val="20"/>
                <w:vertAlign w:val="superscript"/>
                <w:lang w:val="fr-CH" w:eastAsia="en-GB"/>
              </w:rPr>
              <w:t>e</w:t>
            </w:r>
            <w:r>
              <w:rPr>
                <w:rFonts w:eastAsia="Times New Roman" w:cstheme="minorHAnsi"/>
                <w:color w:val="000000"/>
                <w:sz w:val="20"/>
                <w:szCs w:val="20"/>
                <w:lang w:val="fr-CH" w:eastAsia="en-GB"/>
              </w:rPr>
              <w:t xml:space="preserve"> Réunion du Comité permanent (notant aussi, par exemple, la Résolution </w:t>
            </w:r>
            <w:r w:rsidR="00BB4C56" w:rsidRPr="00726D7B">
              <w:rPr>
                <w:rFonts w:cstheme="minorHAnsi"/>
                <w:sz w:val="20"/>
                <w:szCs w:val="20"/>
                <w:lang w:val="fr-CH"/>
              </w:rPr>
              <w:t>VII.13</w:t>
            </w:r>
            <w:r>
              <w:rPr>
                <w:rFonts w:cstheme="minorHAnsi"/>
                <w:sz w:val="20"/>
                <w:szCs w:val="20"/>
                <w:lang w:val="fr-CH"/>
              </w:rPr>
              <w:t xml:space="preserve">, </w:t>
            </w:r>
            <w:r w:rsidR="00BB4C56" w:rsidRPr="00726D7B">
              <w:rPr>
                <w:rFonts w:cstheme="minorHAnsi"/>
                <w:sz w:val="20"/>
                <w:szCs w:val="20"/>
                <w:lang w:val="fr-CH"/>
              </w:rPr>
              <w:t>paragraph</w:t>
            </w:r>
            <w:r>
              <w:rPr>
                <w:rFonts w:cstheme="minorHAnsi"/>
                <w:sz w:val="20"/>
                <w:szCs w:val="20"/>
                <w:lang w:val="fr-CH"/>
              </w:rPr>
              <w:t>e </w:t>
            </w:r>
            <w:r w:rsidR="00BB4C56" w:rsidRPr="00726D7B">
              <w:rPr>
                <w:rFonts w:cstheme="minorHAnsi"/>
                <w:sz w:val="20"/>
                <w:szCs w:val="20"/>
                <w:lang w:val="fr-CH"/>
              </w:rPr>
              <w:t xml:space="preserve">11 </w:t>
            </w:r>
            <w:r>
              <w:rPr>
                <w:rFonts w:cstheme="minorHAnsi"/>
                <w:sz w:val="20"/>
                <w:szCs w:val="20"/>
                <w:lang w:val="fr-CH"/>
              </w:rPr>
              <w:t>et la Résolution </w:t>
            </w:r>
            <w:r w:rsidR="00BB4C56" w:rsidRPr="00726D7B">
              <w:rPr>
                <w:rFonts w:cstheme="minorHAnsi"/>
                <w:sz w:val="20"/>
                <w:szCs w:val="20"/>
                <w:lang w:val="fr-CH"/>
              </w:rPr>
              <w:t>XIII.10</w:t>
            </w:r>
            <w:r>
              <w:rPr>
                <w:rFonts w:cstheme="minorHAnsi"/>
                <w:sz w:val="20"/>
                <w:szCs w:val="20"/>
                <w:lang w:val="fr-CH"/>
              </w:rPr>
              <w:t>,</w:t>
            </w:r>
            <w:r w:rsidR="00BB4C56" w:rsidRPr="00726D7B">
              <w:rPr>
                <w:rFonts w:cstheme="minorHAnsi"/>
                <w:sz w:val="20"/>
                <w:szCs w:val="20"/>
                <w:lang w:val="fr-CH"/>
              </w:rPr>
              <w:t xml:space="preserve"> paragraph</w:t>
            </w:r>
            <w:r>
              <w:rPr>
                <w:rFonts w:cstheme="minorHAnsi"/>
                <w:sz w:val="20"/>
                <w:szCs w:val="20"/>
                <w:lang w:val="fr-CH"/>
              </w:rPr>
              <w:t>e </w:t>
            </w:r>
            <w:r w:rsidR="00BB4C56" w:rsidRPr="00726D7B">
              <w:rPr>
                <w:rFonts w:cstheme="minorHAnsi"/>
                <w:sz w:val="20"/>
                <w:szCs w:val="20"/>
                <w:lang w:val="fr-CH"/>
              </w:rPr>
              <w:t xml:space="preserve">25 </w:t>
            </w:r>
            <w:r>
              <w:rPr>
                <w:rFonts w:cstheme="minorHAnsi"/>
                <w:sz w:val="20"/>
                <w:szCs w:val="20"/>
                <w:lang w:val="fr-CH"/>
              </w:rPr>
              <w:t>sur le transfert direct</w:t>
            </w:r>
            <w:r w:rsidR="00151DA2">
              <w:rPr>
                <w:rFonts w:cstheme="minorHAnsi"/>
                <w:sz w:val="20"/>
                <w:szCs w:val="20"/>
                <w:lang w:val="fr-CH"/>
              </w:rPr>
              <w:t>,</w:t>
            </w:r>
            <w:r>
              <w:rPr>
                <w:rFonts w:cstheme="minorHAnsi"/>
                <w:sz w:val="20"/>
                <w:szCs w:val="20"/>
                <w:lang w:val="fr-CH"/>
              </w:rPr>
              <w:t xml:space="preserve"> de base de données à base de données, de données et d’informations relatives </w:t>
            </w:r>
            <w:r w:rsidR="00481809">
              <w:rPr>
                <w:rFonts w:cstheme="minorHAnsi"/>
                <w:sz w:val="20"/>
                <w:szCs w:val="20"/>
                <w:lang w:val="fr-CH"/>
              </w:rPr>
              <w:t xml:space="preserve">aux </w:t>
            </w:r>
            <w:r>
              <w:rPr>
                <w:rFonts w:cstheme="minorHAnsi"/>
                <w:sz w:val="20"/>
                <w:szCs w:val="20"/>
                <w:lang w:val="fr-CH"/>
              </w:rPr>
              <w:t>FDR).</w:t>
            </w:r>
            <w:r w:rsidR="00BB4C56" w:rsidRPr="00726D7B">
              <w:rPr>
                <w:rFonts w:cstheme="minorHAnsi"/>
                <w:sz w:val="20"/>
                <w:szCs w:val="20"/>
                <w:lang w:val="fr-CH"/>
              </w:rPr>
              <w:t xml:space="preserve"> </w:t>
            </w:r>
          </w:p>
        </w:tc>
      </w:tr>
      <w:tr w:rsidR="00BB4C56" w:rsidRPr="00A61528" w14:paraId="69D69807" w14:textId="77777777" w:rsidTr="00BB4C56">
        <w:trPr>
          <w:cantSplit/>
        </w:trPr>
        <w:tc>
          <w:tcPr>
            <w:tcW w:w="1413" w:type="dxa"/>
            <w:vMerge/>
            <w:tcBorders>
              <w:left w:val="single" w:sz="4" w:space="0" w:color="auto"/>
              <w:bottom w:val="single" w:sz="4" w:space="0" w:color="auto"/>
              <w:right w:val="single" w:sz="4" w:space="0" w:color="auto"/>
            </w:tcBorders>
          </w:tcPr>
          <w:p w14:paraId="17EB5B73" w14:textId="77777777" w:rsidR="00BB4C56" w:rsidRPr="00726D7B" w:rsidRDefault="00BB4C56">
            <w:pPr>
              <w:rPr>
                <w:rFonts w:cstheme="minorHAnsi"/>
                <w:sz w:val="20"/>
                <w:szCs w:val="20"/>
                <w:lang w:val="fr-CH"/>
              </w:rPr>
            </w:pPr>
          </w:p>
        </w:tc>
        <w:tc>
          <w:tcPr>
            <w:tcW w:w="2977" w:type="dxa"/>
            <w:vMerge/>
            <w:tcBorders>
              <w:left w:val="single" w:sz="4" w:space="0" w:color="auto"/>
              <w:bottom w:val="single" w:sz="4" w:space="0" w:color="auto"/>
              <w:right w:val="single" w:sz="4" w:space="0" w:color="auto"/>
            </w:tcBorders>
          </w:tcPr>
          <w:p w14:paraId="3B1FFD34" w14:textId="77777777" w:rsidR="00BB4C56" w:rsidRPr="00726D7B" w:rsidRDefault="00BB4C56">
            <w:pPr>
              <w:rPr>
                <w:rFonts w:cstheme="minorHAnsi"/>
                <w:sz w:val="20"/>
                <w:szCs w:val="20"/>
                <w:lang w:val="fr-CH"/>
              </w:rPr>
            </w:pPr>
          </w:p>
        </w:tc>
        <w:tc>
          <w:tcPr>
            <w:tcW w:w="5244" w:type="dxa"/>
            <w:tcBorders>
              <w:top w:val="single" w:sz="4" w:space="0" w:color="auto"/>
              <w:left w:val="single" w:sz="4" w:space="0" w:color="auto"/>
              <w:bottom w:val="single" w:sz="4" w:space="0" w:color="auto"/>
              <w:right w:val="single" w:sz="4" w:space="0" w:color="auto"/>
            </w:tcBorders>
            <w:hideMark/>
          </w:tcPr>
          <w:p w14:paraId="55419718" w14:textId="5AC74127" w:rsidR="00BB4C56" w:rsidRPr="00726D7B" w:rsidRDefault="00995215">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 xml:space="preserve">Plusieurs suggestions précises ont été faites par des Parties contractantes concernant des questions et champs de données particuliers </w:t>
            </w:r>
            <w:r w:rsidR="00481809">
              <w:rPr>
                <w:rFonts w:eastAsia="Times New Roman" w:cstheme="minorHAnsi"/>
                <w:color w:val="000000"/>
                <w:sz w:val="20"/>
                <w:szCs w:val="20"/>
                <w:lang w:val="fr-CH" w:eastAsia="en-GB"/>
              </w:rPr>
              <w:t>des</w:t>
            </w:r>
            <w:r>
              <w:rPr>
                <w:rFonts w:eastAsia="Times New Roman" w:cstheme="minorHAnsi"/>
                <w:color w:val="000000"/>
                <w:sz w:val="20"/>
                <w:szCs w:val="20"/>
                <w:lang w:val="fr-CH" w:eastAsia="en-GB"/>
              </w:rPr>
              <w:t xml:space="preserve"> FDR, y compris des </w:t>
            </w:r>
            <w:r w:rsidR="00151DA2">
              <w:rPr>
                <w:rFonts w:eastAsia="Times New Roman" w:cstheme="minorHAnsi"/>
                <w:color w:val="000000"/>
                <w:sz w:val="20"/>
                <w:szCs w:val="20"/>
                <w:lang w:val="fr-CH" w:eastAsia="en-GB"/>
              </w:rPr>
              <w:t>propositions d’</w:t>
            </w:r>
            <w:r>
              <w:rPr>
                <w:rFonts w:eastAsia="Times New Roman" w:cstheme="minorHAnsi"/>
                <w:color w:val="000000"/>
                <w:sz w:val="20"/>
                <w:szCs w:val="20"/>
                <w:lang w:val="fr-CH" w:eastAsia="en-GB"/>
              </w:rPr>
              <w:t xml:space="preserve">ajouts, </w:t>
            </w:r>
            <w:r w:rsidR="00151DA2">
              <w:rPr>
                <w:rFonts w:eastAsia="Times New Roman" w:cstheme="minorHAnsi"/>
                <w:color w:val="000000"/>
                <w:sz w:val="20"/>
                <w:szCs w:val="20"/>
                <w:lang w:val="fr-CH" w:eastAsia="en-GB"/>
              </w:rPr>
              <w:t xml:space="preserve">de </w:t>
            </w:r>
            <w:r>
              <w:rPr>
                <w:rFonts w:eastAsia="Times New Roman" w:cstheme="minorHAnsi"/>
                <w:color w:val="000000"/>
                <w:sz w:val="20"/>
                <w:szCs w:val="20"/>
                <w:lang w:val="fr-CH" w:eastAsia="en-GB"/>
              </w:rPr>
              <w:t xml:space="preserve">suppressions, </w:t>
            </w:r>
            <w:r w:rsidR="00151DA2">
              <w:rPr>
                <w:rFonts w:eastAsia="Times New Roman" w:cstheme="minorHAnsi"/>
                <w:color w:val="000000"/>
                <w:sz w:val="20"/>
                <w:szCs w:val="20"/>
                <w:lang w:val="fr-CH" w:eastAsia="en-GB"/>
              </w:rPr>
              <w:t xml:space="preserve">de </w:t>
            </w:r>
            <w:r>
              <w:rPr>
                <w:rFonts w:eastAsia="Times New Roman" w:cstheme="minorHAnsi"/>
                <w:color w:val="000000"/>
                <w:sz w:val="20"/>
                <w:szCs w:val="20"/>
                <w:lang w:val="fr-CH" w:eastAsia="en-GB"/>
              </w:rPr>
              <w:t xml:space="preserve">reformulations et </w:t>
            </w:r>
            <w:r w:rsidR="00151DA2">
              <w:rPr>
                <w:rFonts w:eastAsia="Times New Roman" w:cstheme="minorHAnsi"/>
                <w:color w:val="000000"/>
                <w:sz w:val="20"/>
                <w:szCs w:val="20"/>
                <w:lang w:val="fr-CH" w:eastAsia="en-GB"/>
              </w:rPr>
              <w:t>d’</w:t>
            </w:r>
            <w:r>
              <w:rPr>
                <w:rFonts w:eastAsia="Times New Roman" w:cstheme="minorHAnsi"/>
                <w:color w:val="000000"/>
                <w:sz w:val="20"/>
                <w:szCs w:val="20"/>
                <w:lang w:val="fr-CH" w:eastAsia="en-GB"/>
              </w:rPr>
              <w:t>amendement de possibilités de réponses ou de formats des données.</w:t>
            </w:r>
            <w:r w:rsidR="00BB4C56" w:rsidRPr="00726D7B">
              <w:rPr>
                <w:rFonts w:eastAsia="Times New Roman" w:cstheme="minorHAnsi"/>
                <w:color w:val="000000"/>
                <w:sz w:val="20"/>
                <w:szCs w:val="20"/>
                <w:lang w:val="fr-CH" w:eastAsia="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504E6070" w14:textId="31652736" w:rsidR="00BB4C56" w:rsidRPr="00726D7B" w:rsidRDefault="00995215">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 xml:space="preserve">Le Comité permanent </w:t>
            </w:r>
            <w:r w:rsidR="002E4DD4">
              <w:rPr>
                <w:rFonts w:eastAsia="Times New Roman" w:cstheme="minorHAnsi"/>
                <w:color w:val="000000"/>
                <w:sz w:val="20"/>
                <w:szCs w:val="20"/>
                <w:lang w:val="fr-CH" w:eastAsia="en-GB"/>
              </w:rPr>
              <w:t>peut envisager de demander au Secrétariat, en consultation avec le GEST, de préparer un projet de FDR mis à jour pour examen à la 64</w:t>
            </w:r>
            <w:r w:rsidR="002E4DD4" w:rsidRPr="002E4DD4">
              <w:rPr>
                <w:rFonts w:eastAsia="Times New Roman" w:cstheme="minorHAnsi"/>
                <w:color w:val="000000"/>
                <w:sz w:val="20"/>
                <w:szCs w:val="20"/>
                <w:vertAlign w:val="superscript"/>
                <w:lang w:val="fr-CH" w:eastAsia="en-GB"/>
              </w:rPr>
              <w:t>e</w:t>
            </w:r>
            <w:r w:rsidR="002E4DD4">
              <w:rPr>
                <w:rFonts w:eastAsia="Times New Roman" w:cstheme="minorHAnsi"/>
                <w:color w:val="000000"/>
                <w:sz w:val="20"/>
                <w:szCs w:val="20"/>
                <w:lang w:val="fr-CH" w:eastAsia="en-GB"/>
              </w:rPr>
              <w:t> Réunion du Comité permanent, dans l’optique de recentrer, simplifier et améliorer les mises à jour de</w:t>
            </w:r>
            <w:r w:rsidR="00000F98">
              <w:rPr>
                <w:rFonts w:eastAsia="Times New Roman" w:cstheme="minorHAnsi"/>
                <w:color w:val="000000"/>
                <w:sz w:val="20"/>
                <w:szCs w:val="20"/>
                <w:lang w:val="fr-CH" w:eastAsia="en-GB"/>
              </w:rPr>
              <w:t>s</w:t>
            </w:r>
            <w:r w:rsidR="002E4DD4">
              <w:rPr>
                <w:rFonts w:eastAsia="Times New Roman" w:cstheme="minorHAnsi"/>
                <w:color w:val="000000"/>
                <w:sz w:val="20"/>
                <w:szCs w:val="20"/>
                <w:lang w:val="fr-CH" w:eastAsia="en-GB"/>
              </w:rPr>
              <w:t xml:space="preserve"> FDR.</w:t>
            </w:r>
            <w:r w:rsidR="00BB4C56" w:rsidRPr="00726D7B">
              <w:rPr>
                <w:rFonts w:eastAsia="Times New Roman" w:cstheme="minorHAnsi"/>
                <w:color w:val="000000"/>
                <w:sz w:val="20"/>
                <w:szCs w:val="20"/>
                <w:lang w:val="fr-CH" w:eastAsia="en-GB"/>
              </w:rPr>
              <w:t xml:space="preserve"> </w:t>
            </w:r>
          </w:p>
        </w:tc>
      </w:tr>
      <w:tr w:rsidR="00BB4C56" w:rsidRPr="00A61528" w14:paraId="0A37D202" w14:textId="77777777" w:rsidTr="00BB4C56">
        <w:trPr>
          <w:cantSplit/>
          <w:trHeight w:val="487"/>
        </w:trPr>
        <w:tc>
          <w:tcPr>
            <w:tcW w:w="1413" w:type="dxa"/>
            <w:vMerge w:val="restart"/>
            <w:tcBorders>
              <w:top w:val="single" w:sz="4" w:space="0" w:color="auto"/>
              <w:left w:val="single" w:sz="4" w:space="0" w:color="auto"/>
              <w:right w:val="single" w:sz="4" w:space="0" w:color="auto"/>
            </w:tcBorders>
            <w:hideMark/>
          </w:tcPr>
          <w:p w14:paraId="68934199" w14:textId="0D46B806" w:rsidR="00BB4C56" w:rsidRPr="00726D7B" w:rsidRDefault="002E4DD4">
            <w:pPr>
              <w:rPr>
                <w:rFonts w:cstheme="minorHAnsi"/>
                <w:sz w:val="20"/>
                <w:szCs w:val="20"/>
                <w:lang w:val="fr-CH"/>
              </w:rPr>
            </w:pPr>
            <w:r w:rsidRPr="00726D7B">
              <w:rPr>
                <w:rFonts w:eastAsia="Times New Roman" w:cstheme="minorHAnsi"/>
                <w:color w:val="000000"/>
                <w:sz w:val="20"/>
                <w:szCs w:val="20"/>
                <w:lang w:val="fr-CH" w:eastAsia="en-GB"/>
              </w:rPr>
              <w:t>Capacité</w:t>
            </w:r>
            <w:r w:rsidR="00EF4ADC">
              <w:rPr>
                <w:rFonts w:eastAsia="Times New Roman" w:cstheme="minorHAnsi"/>
                <w:color w:val="000000"/>
                <w:sz w:val="20"/>
                <w:szCs w:val="20"/>
                <w:lang w:val="fr-CH" w:eastAsia="en-GB"/>
              </w:rPr>
              <w:t>s</w:t>
            </w:r>
            <w:r w:rsidR="00BB4C56" w:rsidRPr="00726D7B">
              <w:rPr>
                <w:rFonts w:eastAsia="Times New Roman" w:cstheme="minorHAnsi"/>
                <w:color w:val="000000"/>
                <w:sz w:val="20"/>
                <w:szCs w:val="20"/>
                <w:lang w:val="fr-CH" w:eastAsia="en-GB"/>
              </w:rPr>
              <w:t xml:space="preserve"> </w:t>
            </w:r>
          </w:p>
        </w:tc>
        <w:tc>
          <w:tcPr>
            <w:tcW w:w="2977" w:type="dxa"/>
            <w:vMerge w:val="restart"/>
            <w:tcBorders>
              <w:top w:val="single" w:sz="4" w:space="0" w:color="auto"/>
              <w:left w:val="single" w:sz="4" w:space="0" w:color="auto"/>
              <w:right w:val="single" w:sz="4" w:space="0" w:color="auto"/>
            </w:tcBorders>
            <w:hideMark/>
          </w:tcPr>
          <w:p w14:paraId="74486A7D" w14:textId="6C1FD7E0" w:rsidR="00BB4C56" w:rsidRPr="00726D7B" w:rsidRDefault="00EF4ADC">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Les mises à jour de</w:t>
            </w:r>
            <w:r w:rsidR="00000F98">
              <w:rPr>
                <w:rFonts w:eastAsia="Times New Roman" w:cstheme="minorHAnsi"/>
                <w:color w:val="000000"/>
                <w:sz w:val="20"/>
                <w:szCs w:val="20"/>
                <w:lang w:val="fr-CH" w:eastAsia="en-GB"/>
              </w:rPr>
              <w:t>s</w:t>
            </w:r>
            <w:r>
              <w:rPr>
                <w:rFonts w:eastAsia="Times New Roman" w:cstheme="minorHAnsi"/>
                <w:color w:val="000000"/>
                <w:sz w:val="20"/>
                <w:szCs w:val="20"/>
                <w:lang w:val="fr-CH" w:eastAsia="en-GB"/>
              </w:rPr>
              <w:t xml:space="preserve"> FDR nécessitent beaucoup de données ainsi qu’un appui scientifique, y compris du point de vue de la cartographie, de l’inventaire et du suivi. </w:t>
            </w:r>
          </w:p>
        </w:tc>
        <w:tc>
          <w:tcPr>
            <w:tcW w:w="5244" w:type="dxa"/>
            <w:tcBorders>
              <w:top w:val="single" w:sz="4" w:space="0" w:color="auto"/>
              <w:left w:val="single" w:sz="4" w:space="0" w:color="auto"/>
              <w:bottom w:val="single" w:sz="4" w:space="0" w:color="auto"/>
              <w:right w:val="single" w:sz="4" w:space="0" w:color="auto"/>
            </w:tcBorders>
            <w:hideMark/>
          </w:tcPr>
          <w:p w14:paraId="192A2A6F" w14:textId="2F2F67EC" w:rsidR="00BB4C56" w:rsidRPr="00726D7B" w:rsidRDefault="0097032E">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Explorer les possibilités d’apprentissage entre pairs. Le Secrétariat pourrait organiser une série de webinaires en ligne où les Parties contractantes partagent des expériences pertinentes, par exemple, des processus ou programmes de génération de données pour faciliter les mises à jour des FDR et des expériences en matière de planification de la gestion des sites.</w:t>
            </w:r>
          </w:p>
        </w:tc>
        <w:tc>
          <w:tcPr>
            <w:tcW w:w="4678" w:type="dxa"/>
            <w:tcBorders>
              <w:top w:val="single" w:sz="4" w:space="0" w:color="auto"/>
              <w:left w:val="single" w:sz="4" w:space="0" w:color="auto"/>
              <w:bottom w:val="single" w:sz="4" w:space="0" w:color="auto"/>
              <w:right w:val="single" w:sz="4" w:space="0" w:color="auto"/>
            </w:tcBorders>
            <w:hideMark/>
          </w:tcPr>
          <w:p w14:paraId="01AAA2E5" w14:textId="3A8CF1B3" w:rsidR="00BB4C56" w:rsidRPr="00726D7B" w:rsidRDefault="0097032E">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Le Secrétariat invite</w:t>
            </w:r>
            <w:r w:rsidR="006A6936">
              <w:rPr>
                <w:rFonts w:eastAsia="Times New Roman" w:cstheme="minorHAnsi"/>
                <w:color w:val="000000"/>
                <w:sz w:val="20"/>
                <w:szCs w:val="20"/>
                <w:lang w:val="fr-CH" w:eastAsia="en-GB"/>
              </w:rPr>
              <w:t>ra les Parties à partager leurs expériences et leurs meilleures pratiques dans le contexte de ses formations régulières/continues relatives aux FDR.</w:t>
            </w:r>
          </w:p>
        </w:tc>
      </w:tr>
      <w:tr w:rsidR="00BB4C56" w:rsidRPr="00A61528" w14:paraId="04376386" w14:textId="77777777" w:rsidTr="00BB4C56">
        <w:trPr>
          <w:cantSplit/>
          <w:trHeight w:val="818"/>
        </w:trPr>
        <w:tc>
          <w:tcPr>
            <w:tcW w:w="1413" w:type="dxa"/>
            <w:vMerge/>
            <w:tcBorders>
              <w:left w:val="single" w:sz="4" w:space="0" w:color="auto"/>
              <w:right w:val="single" w:sz="4" w:space="0" w:color="auto"/>
            </w:tcBorders>
            <w:vAlign w:val="center"/>
            <w:hideMark/>
          </w:tcPr>
          <w:p w14:paraId="1A804DA7" w14:textId="77777777" w:rsidR="00BB4C56" w:rsidRPr="00726D7B" w:rsidRDefault="00BB4C56">
            <w:pPr>
              <w:rPr>
                <w:rFonts w:cstheme="minorHAnsi"/>
                <w:sz w:val="20"/>
                <w:szCs w:val="20"/>
                <w:lang w:val="fr-CH"/>
              </w:rPr>
            </w:pPr>
          </w:p>
        </w:tc>
        <w:tc>
          <w:tcPr>
            <w:tcW w:w="2977" w:type="dxa"/>
            <w:vMerge/>
            <w:tcBorders>
              <w:left w:val="single" w:sz="4" w:space="0" w:color="auto"/>
              <w:right w:val="single" w:sz="4" w:space="0" w:color="auto"/>
            </w:tcBorders>
            <w:vAlign w:val="center"/>
            <w:hideMark/>
          </w:tcPr>
          <w:p w14:paraId="472FCF9B" w14:textId="77777777" w:rsidR="00BB4C56" w:rsidRPr="00726D7B" w:rsidRDefault="00BB4C56">
            <w:pPr>
              <w:rPr>
                <w:rFonts w:eastAsia="Times New Roman" w:cstheme="minorHAnsi"/>
                <w:color w:val="000000"/>
                <w:sz w:val="20"/>
                <w:szCs w:val="20"/>
                <w:lang w:val="fr-CH" w:eastAsia="en-GB"/>
              </w:rPr>
            </w:pPr>
          </w:p>
        </w:tc>
        <w:tc>
          <w:tcPr>
            <w:tcW w:w="5244" w:type="dxa"/>
            <w:tcBorders>
              <w:top w:val="single" w:sz="4" w:space="0" w:color="auto"/>
              <w:left w:val="single" w:sz="4" w:space="0" w:color="auto"/>
              <w:bottom w:val="single" w:sz="4" w:space="0" w:color="auto"/>
              <w:right w:val="single" w:sz="4" w:space="0" w:color="auto"/>
            </w:tcBorders>
            <w:hideMark/>
          </w:tcPr>
          <w:p w14:paraId="103C5700" w14:textId="1108A37B" w:rsidR="00BB4C56" w:rsidRPr="00726D7B" w:rsidRDefault="006A6936">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 xml:space="preserve">Les Initiatives régionales Ramsar (IRR) pourraient aider les Parties contractantes </w:t>
            </w:r>
            <w:r w:rsidR="004660F1">
              <w:rPr>
                <w:rFonts w:eastAsia="Times New Roman" w:cstheme="minorHAnsi"/>
                <w:color w:val="000000"/>
                <w:sz w:val="20"/>
                <w:szCs w:val="20"/>
                <w:lang w:val="fr-CH" w:eastAsia="en-GB"/>
              </w:rPr>
              <w:t xml:space="preserve">à mettre à jour les FDR et à prévoir ce soutien dans leurs plans de travail annuels. </w:t>
            </w:r>
          </w:p>
        </w:tc>
        <w:tc>
          <w:tcPr>
            <w:tcW w:w="4678" w:type="dxa"/>
            <w:tcBorders>
              <w:top w:val="single" w:sz="4" w:space="0" w:color="auto"/>
              <w:left w:val="single" w:sz="4" w:space="0" w:color="auto"/>
              <w:bottom w:val="single" w:sz="4" w:space="0" w:color="auto"/>
              <w:right w:val="single" w:sz="4" w:space="0" w:color="auto"/>
            </w:tcBorders>
            <w:hideMark/>
          </w:tcPr>
          <w:p w14:paraId="75E24329" w14:textId="27E8AA95" w:rsidR="00BB4C56" w:rsidRPr="00726D7B" w:rsidRDefault="004660F1">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 xml:space="preserve">Le Secrétariat préparera une </w:t>
            </w:r>
            <w:r w:rsidR="00000F98">
              <w:rPr>
                <w:rFonts w:eastAsia="Times New Roman" w:cstheme="minorHAnsi"/>
                <w:color w:val="000000"/>
                <w:sz w:val="20"/>
                <w:szCs w:val="20"/>
                <w:lang w:val="fr-CH" w:eastAsia="en-GB"/>
              </w:rPr>
              <w:t>séance</w:t>
            </w:r>
            <w:r>
              <w:rPr>
                <w:rFonts w:eastAsia="Times New Roman" w:cstheme="minorHAnsi"/>
                <w:color w:val="000000"/>
                <w:sz w:val="20"/>
                <w:szCs w:val="20"/>
                <w:lang w:val="fr-CH" w:eastAsia="en-GB"/>
              </w:rPr>
              <w:t xml:space="preserve"> sur le renforcement des capacités et le soutien à la mise à jour des FDR dans les réunions de planification annuelles mondiales des IRR.</w:t>
            </w:r>
            <w:r w:rsidR="00BB4C56" w:rsidRPr="00726D7B">
              <w:rPr>
                <w:rFonts w:eastAsia="Times New Roman" w:cstheme="minorHAnsi"/>
                <w:color w:val="000000"/>
                <w:sz w:val="20"/>
                <w:szCs w:val="20"/>
                <w:lang w:val="fr-CH" w:eastAsia="en-GB"/>
              </w:rPr>
              <w:t xml:space="preserve"> </w:t>
            </w:r>
          </w:p>
        </w:tc>
      </w:tr>
      <w:tr w:rsidR="00BB4C56" w:rsidRPr="00A61528" w14:paraId="79755234" w14:textId="77777777" w:rsidTr="00BB4C56">
        <w:trPr>
          <w:cantSplit/>
          <w:trHeight w:val="818"/>
        </w:trPr>
        <w:tc>
          <w:tcPr>
            <w:tcW w:w="1413" w:type="dxa"/>
            <w:vMerge/>
            <w:tcBorders>
              <w:left w:val="single" w:sz="4" w:space="0" w:color="auto"/>
              <w:right w:val="single" w:sz="4" w:space="0" w:color="auto"/>
            </w:tcBorders>
            <w:vAlign w:val="center"/>
            <w:hideMark/>
          </w:tcPr>
          <w:p w14:paraId="5BF1C73F" w14:textId="77777777" w:rsidR="00BB4C56" w:rsidRPr="00726D7B" w:rsidRDefault="00BB4C56">
            <w:pPr>
              <w:rPr>
                <w:rFonts w:cstheme="minorHAnsi"/>
                <w:sz w:val="20"/>
                <w:szCs w:val="20"/>
                <w:lang w:val="fr-CH"/>
              </w:rPr>
            </w:pPr>
          </w:p>
        </w:tc>
        <w:tc>
          <w:tcPr>
            <w:tcW w:w="2977" w:type="dxa"/>
            <w:vMerge/>
            <w:tcBorders>
              <w:left w:val="single" w:sz="4" w:space="0" w:color="auto"/>
              <w:right w:val="single" w:sz="4" w:space="0" w:color="auto"/>
            </w:tcBorders>
            <w:vAlign w:val="center"/>
            <w:hideMark/>
          </w:tcPr>
          <w:p w14:paraId="6575A53C" w14:textId="77777777" w:rsidR="00BB4C56" w:rsidRPr="00726D7B" w:rsidRDefault="00BB4C56">
            <w:pPr>
              <w:rPr>
                <w:rFonts w:eastAsia="Times New Roman" w:cstheme="minorHAnsi"/>
                <w:color w:val="000000"/>
                <w:sz w:val="20"/>
                <w:szCs w:val="20"/>
                <w:lang w:val="fr-CH" w:eastAsia="en-GB"/>
              </w:rPr>
            </w:pPr>
          </w:p>
        </w:tc>
        <w:tc>
          <w:tcPr>
            <w:tcW w:w="5244" w:type="dxa"/>
            <w:tcBorders>
              <w:top w:val="single" w:sz="4" w:space="0" w:color="auto"/>
              <w:left w:val="single" w:sz="4" w:space="0" w:color="auto"/>
              <w:bottom w:val="single" w:sz="4" w:space="0" w:color="auto"/>
              <w:right w:val="single" w:sz="4" w:space="0" w:color="auto"/>
            </w:tcBorders>
            <w:hideMark/>
          </w:tcPr>
          <w:p w14:paraId="6D50D778" w14:textId="74EE6F49" w:rsidR="00BB4C56" w:rsidRPr="00726D7B" w:rsidRDefault="004660F1">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 xml:space="preserve">Le Centre régional </w:t>
            </w:r>
            <w:r w:rsidR="00BB4C56" w:rsidRPr="00726D7B">
              <w:rPr>
                <w:rFonts w:eastAsia="Times New Roman" w:cstheme="minorHAnsi"/>
                <w:color w:val="000000"/>
                <w:sz w:val="20"/>
                <w:szCs w:val="20"/>
                <w:lang w:val="fr-CH" w:eastAsia="en-GB"/>
              </w:rPr>
              <w:t xml:space="preserve">Ramsar </w:t>
            </w:r>
            <w:r>
              <w:rPr>
                <w:rFonts w:eastAsia="Times New Roman" w:cstheme="minorHAnsi"/>
                <w:color w:val="000000"/>
                <w:sz w:val="20"/>
                <w:szCs w:val="20"/>
                <w:lang w:val="fr-CH" w:eastAsia="en-GB"/>
              </w:rPr>
              <w:t>pour l’Asie de l’Est (RRC</w:t>
            </w:r>
            <w:r>
              <w:rPr>
                <w:rFonts w:eastAsia="Times New Roman" w:cstheme="minorHAnsi"/>
                <w:color w:val="000000"/>
                <w:sz w:val="20"/>
                <w:szCs w:val="20"/>
                <w:lang w:val="fr-CH" w:eastAsia="en-GB"/>
              </w:rPr>
              <w:noBreakHyphen/>
              <w:t xml:space="preserve">EA) a un </w:t>
            </w:r>
            <w:proofErr w:type="spellStart"/>
            <w:r w:rsidR="00BB4C56" w:rsidRPr="00726D7B">
              <w:rPr>
                <w:rFonts w:eastAsia="Times New Roman" w:cstheme="minorHAnsi"/>
                <w:i/>
                <w:color w:val="000000"/>
                <w:sz w:val="20"/>
                <w:szCs w:val="20"/>
                <w:lang w:val="fr-CH" w:eastAsia="en-GB"/>
              </w:rPr>
              <w:t>Practical</w:t>
            </w:r>
            <w:proofErr w:type="spellEnd"/>
            <w:r w:rsidR="00BB4C56" w:rsidRPr="00726D7B">
              <w:rPr>
                <w:rFonts w:eastAsia="Times New Roman" w:cstheme="minorHAnsi"/>
                <w:i/>
                <w:color w:val="000000"/>
                <w:sz w:val="20"/>
                <w:szCs w:val="20"/>
                <w:lang w:val="fr-CH" w:eastAsia="en-GB"/>
              </w:rPr>
              <w:t xml:space="preserve"> Guide for Ramsar Site </w:t>
            </w:r>
            <w:proofErr w:type="spellStart"/>
            <w:r w:rsidR="00BB4C56" w:rsidRPr="00726D7B">
              <w:rPr>
                <w:rFonts w:eastAsia="Times New Roman" w:cstheme="minorHAnsi"/>
                <w:i/>
                <w:color w:val="000000"/>
                <w:sz w:val="20"/>
                <w:szCs w:val="20"/>
                <w:lang w:val="fr-CH" w:eastAsia="en-GB"/>
              </w:rPr>
              <w:t>Designation</w:t>
            </w:r>
            <w:proofErr w:type="spellEnd"/>
            <w:r w:rsidR="00BB4C56" w:rsidRPr="00726D7B">
              <w:rPr>
                <w:rFonts w:eastAsia="Times New Roman" w:cstheme="minorHAnsi"/>
                <w:i/>
                <w:color w:val="000000"/>
                <w:sz w:val="20"/>
                <w:szCs w:val="20"/>
                <w:lang w:val="fr-CH" w:eastAsia="en-GB"/>
              </w:rPr>
              <w:t xml:space="preserve"> and </w:t>
            </w:r>
            <w:proofErr w:type="spellStart"/>
            <w:r w:rsidR="00BB4C56" w:rsidRPr="00726D7B">
              <w:rPr>
                <w:rFonts w:eastAsia="Times New Roman" w:cstheme="minorHAnsi"/>
                <w:i/>
                <w:color w:val="000000"/>
                <w:sz w:val="20"/>
                <w:szCs w:val="20"/>
                <w:lang w:val="fr-CH" w:eastAsia="en-GB"/>
              </w:rPr>
              <w:t>Updating</w:t>
            </w:r>
            <w:proofErr w:type="spellEnd"/>
            <w:r w:rsidR="00BB4C56" w:rsidRPr="00726D7B">
              <w:rPr>
                <w:rFonts w:eastAsia="Times New Roman" w:cstheme="minorHAnsi"/>
                <w:i/>
                <w:color w:val="000000"/>
                <w:sz w:val="20"/>
                <w:szCs w:val="20"/>
                <w:lang w:val="fr-CH" w:eastAsia="en-GB"/>
              </w:rPr>
              <w:t xml:space="preserve"> of Ramsar Information Sheets</w:t>
            </w:r>
            <w:r w:rsidR="00BB4C56" w:rsidRPr="00726D7B">
              <w:rPr>
                <w:rFonts w:eastAsia="Times New Roman" w:cstheme="minorHAnsi"/>
                <w:color w:val="000000"/>
                <w:sz w:val="20"/>
                <w:szCs w:val="20"/>
                <w:lang w:val="fr-CH" w:eastAsia="en-GB"/>
              </w:rPr>
              <w:t xml:space="preserve"> </w:t>
            </w:r>
            <w:r>
              <w:rPr>
                <w:rFonts w:eastAsia="Times New Roman" w:cstheme="minorHAnsi"/>
                <w:color w:val="000000"/>
                <w:sz w:val="20"/>
                <w:szCs w:val="20"/>
                <w:lang w:val="fr-CH" w:eastAsia="en-GB"/>
              </w:rPr>
              <w:t>qui pourrait, avec quelques mises à jour, servir de document d’orientation pour les Parties contractantes qui doivent mettre à jour leurs FDR.</w:t>
            </w:r>
          </w:p>
        </w:tc>
        <w:tc>
          <w:tcPr>
            <w:tcW w:w="4678" w:type="dxa"/>
            <w:tcBorders>
              <w:top w:val="single" w:sz="4" w:space="0" w:color="auto"/>
              <w:left w:val="single" w:sz="4" w:space="0" w:color="auto"/>
              <w:bottom w:val="single" w:sz="4" w:space="0" w:color="auto"/>
              <w:right w:val="single" w:sz="4" w:space="0" w:color="auto"/>
            </w:tcBorders>
            <w:hideMark/>
          </w:tcPr>
          <w:p w14:paraId="51670D48" w14:textId="23E4E6C1" w:rsidR="00BB4C56" w:rsidRPr="00726D7B" w:rsidRDefault="004660F1">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Le Secrétariat collaborera avec le RRC</w:t>
            </w:r>
            <w:r>
              <w:rPr>
                <w:rFonts w:eastAsia="Times New Roman" w:cstheme="minorHAnsi"/>
                <w:color w:val="000000"/>
                <w:sz w:val="20"/>
                <w:szCs w:val="20"/>
                <w:lang w:val="fr-CH" w:eastAsia="en-GB"/>
              </w:rPr>
              <w:noBreakHyphen/>
              <w:t xml:space="preserve">EA et en consultation avec les membres/observateurs du GEST pour mettre à jour le Guide, </w:t>
            </w:r>
            <w:r w:rsidR="00C779C6">
              <w:rPr>
                <w:rFonts w:eastAsia="Times New Roman" w:cstheme="minorHAnsi"/>
                <w:color w:val="000000"/>
                <w:sz w:val="20"/>
                <w:szCs w:val="20"/>
                <w:lang w:val="fr-CH" w:eastAsia="en-GB"/>
              </w:rPr>
              <w:t>pour qu’il reflète de manière appropriée les</w:t>
            </w:r>
            <w:r>
              <w:rPr>
                <w:rFonts w:eastAsia="Times New Roman" w:cstheme="minorHAnsi"/>
                <w:color w:val="000000"/>
                <w:sz w:val="20"/>
                <w:szCs w:val="20"/>
                <w:lang w:val="fr-CH" w:eastAsia="en-GB"/>
              </w:rPr>
              <w:t xml:space="preserve"> ajustements </w:t>
            </w:r>
            <w:r w:rsidR="00C779C6">
              <w:rPr>
                <w:rFonts w:eastAsia="Times New Roman" w:cstheme="minorHAnsi"/>
                <w:color w:val="000000"/>
                <w:sz w:val="20"/>
                <w:szCs w:val="20"/>
                <w:lang w:val="fr-CH" w:eastAsia="en-GB"/>
              </w:rPr>
              <w:t>aux aspects</w:t>
            </w:r>
            <w:r>
              <w:rPr>
                <w:rFonts w:eastAsia="Times New Roman" w:cstheme="minorHAnsi"/>
                <w:color w:val="000000"/>
                <w:sz w:val="20"/>
                <w:szCs w:val="20"/>
                <w:lang w:val="fr-CH" w:eastAsia="en-GB"/>
              </w:rPr>
              <w:t xml:space="preserve"> soumission et révision des FDR. </w:t>
            </w:r>
          </w:p>
        </w:tc>
      </w:tr>
      <w:tr w:rsidR="00BB4C56" w:rsidRPr="00A61528" w14:paraId="40B34EF5" w14:textId="77777777" w:rsidTr="00BB4C56">
        <w:trPr>
          <w:cantSplit/>
          <w:trHeight w:val="818"/>
        </w:trPr>
        <w:tc>
          <w:tcPr>
            <w:tcW w:w="1413" w:type="dxa"/>
            <w:vMerge/>
            <w:tcBorders>
              <w:left w:val="single" w:sz="4" w:space="0" w:color="auto"/>
              <w:bottom w:val="single" w:sz="4" w:space="0" w:color="auto"/>
              <w:right w:val="single" w:sz="4" w:space="0" w:color="auto"/>
            </w:tcBorders>
          </w:tcPr>
          <w:p w14:paraId="24DF86EF" w14:textId="77777777" w:rsidR="00BB4C56" w:rsidRPr="00726D7B" w:rsidRDefault="00BB4C56">
            <w:pPr>
              <w:rPr>
                <w:rFonts w:eastAsia="Times New Roman" w:cstheme="minorHAnsi"/>
                <w:color w:val="000000"/>
                <w:sz w:val="20"/>
                <w:szCs w:val="20"/>
                <w:lang w:val="fr-CH" w:eastAsia="en-GB"/>
              </w:rPr>
            </w:pPr>
          </w:p>
        </w:tc>
        <w:tc>
          <w:tcPr>
            <w:tcW w:w="2977" w:type="dxa"/>
            <w:vMerge/>
            <w:tcBorders>
              <w:left w:val="single" w:sz="4" w:space="0" w:color="auto"/>
              <w:bottom w:val="single" w:sz="4" w:space="0" w:color="auto"/>
              <w:right w:val="single" w:sz="4" w:space="0" w:color="auto"/>
            </w:tcBorders>
          </w:tcPr>
          <w:p w14:paraId="2E4843FC" w14:textId="77777777" w:rsidR="00BB4C56" w:rsidRPr="00726D7B" w:rsidRDefault="00BB4C56">
            <w:pPr>
              <w:rPr>
                <w:rFonts w:cstheme="minorHAnsi"/>
                <w:sz w:val="20"/>
                <w:szCs w:val="20"/>
                <w:lang w:val="fr-CH"/>
              </w:rPr>
            </w:pPr>
          </w:p>
        </w:tc>
        <w:tc>
          <w:tcPr>
            <w:tcW w:w="5244" w:type="dxa"/>
            <w:tcBorders>
              <w:top w:val="single" w:sz="4" w:space="0" w:color="auto"/>
              <w:left w:val="single" w:sz="4" w:space="0" w:color="auto"/>
              <w:bottom w:val="single" w:sz="4" w:space="0" w:color="auto"/>
              <w:right w:val="single" w:sz="4" w:space="0" w:color="auto"/>
            </w:tcBorders>
            <w:hideMark/>
          </w:tcPr>
          <w:p w14:paraId="2564E720" w14:textId="4B0DF3D0" w:rsidR="00BB4C56" w:rsidRPr="00726D7B" w:rsidRDefault="00B533EB">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Établir un mécanisme d’appui dans le cadre duquel les Parties contractantes pourraient recevoir un appui technique direct pour la recherche, la cartographie, la mise à jour des FDR et peut</w:t>
            </w:r>
            <w:r>
              <w:rPr>
                <w:rFonts w:eastAsia="Times New Roman" w:cstheme="minorHAnsi"/>
                <w:color w:val="000000"/>
                <w:sz w:val="20"/>
                <w:szCs w:val="20"/>
                <w:lang w:val="fr-CH" w:eastAsia="en-GB"/>
              </w:rPr>
              <w:noBreakHyphen/>
              <w:t xml:space="preserve">être d’autres aspects tels que l’élaboration de plans de gestion des sites. Cela pourrait prendre la forme de Missions consultatives Ramsar et fonctionner dans le cadre de l’établissement d’un « fonds FDR ». </w:t>
            </w:r>
          </w:p>
        </w:tc>
        <w:tc>
          <w:tcPr>
            <w:tcW w:w="4678" w:type="dxa"/>
            <w:tcBorders>
              <w:top w:val="single" w:sz="4" w:space="0" w:color="auto"/>
              <w:left w:val="single" w:sz="4" w:space="0" w:color="auto"/>
              <w:bottom w:val="single" w:sz="4" w:space="0" w:color="auto"/>
              <w:right w:val="single" w:sz="4" w:space="0" w:color="auto"/>
            </w:tcBorders>
            <w:hideMark/>
          </w:tcPr>
          <w:p w14:paraId="2B038287" w14:textId="5D02CC4A" w:rsidR="00BB4C56" w:rsidRPr="00726D7B" w:rsidRDefault="00B533EB">
            <w:pPr>
              <w:rPr>
                <w:rFonts w:eastAsia="Times New Roman" w:cstheme="minorHAnsi"/>
                <w:color w:val="000000"/>
                <w:sz w:val="20"/>
                <w:szCs w:val="20"/>
                <w:lang w:val="fr-CH" w:eastAsia="en-GB"/>
              </w:rPr>
            </w:pPr>
            <w:r>
              <w:rPr>
                <w:rFonts w:eastAsia="Times New Roman" w:cstheme="minorHAnsi"/>
                <w:color w:val="000000"/>
                <w:sz w:val="20"/>
                <w:szCs w:val="20"/>
                <w:lang w:val="fr-CH" w:eastAsia="en-GB"/>
              </w:rPr>
              <w:t xml:space="preserve">Le Comité permanent peut envisager de demander au Secrétariat d’entreprendre une analyse et de préparer un document avec des options sur l’établissement, le fonctionnement et le financement d’un mécanisme </w:t>
            </w:r>
            <w:r w:rsidR="00D54218">
              <w:rPr>
                <w:rFonts w:eastAsia="Times New Roman" w:cstheme="minorHAnsi"/>
                <w:color w:val="000000"/>
                <w:sz w:val="20"/>
                <w:szCs w:val="20"/>
                <w:lang w:val="fr-CH" w:eastAsia="en-GB"/>
              </w:rPr>
              <w:t>de soutien aux FDR.</w:t>
            </w:r>
            <w:r w:rsidR="00BB4C56" w:rsidRPr="00726D7B">
              <w:rPr>
                <w:rFonts w:eastAsia="Times New Roman" w:cstheme="minorHAnsi"/>
                <w:color w:val="000000"/>
                <w:sz w:val="20"/>
                <w:szCs w:val="20"/>
                <w:lang w:val="fr-CH" w:eastAsia="en-GB"/>
              </w:rPr>
              <w:t xml:space="preserve"> </w:t>
            </w:r>
          </w:p>
        </w:tc>
      </w:tr>
    </w:tbl>
    <w:p w14:paraId="4CB45947" w14:textId="19774BAD" w:rsidR="008B0EB4" w:rsidRPr="00726D7B" w:rsidRDefault="008B0EB4" w:rsidP="00E42498">
      <w:pPr>
        <w:spacing w:after="0" w:line="240" w:lineRule="auto"/>
        <w:rPr>
          <w:lang w:val="fr-CH"/>
        </w:rPr>
      </w:pPr>
    </w:p>
    <w:sectPr w:rsidR="008B0EB4" w:rsidRPr="00726D7B" w:rsidSect="00C63527">
      <w:footerReference w:type="default" r:id="rId1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842F7" w14:textId="77777777" w:rsidR="00700C9C" w:rsidRDefault="00700C9C" w:rsidP="00F554B0">
      <w:pPr>
        <w:spacing w:after="0" w:line="240" w:lineRule="auto"/>
      </w:pPr>
      <w:r>
        <w:separator/>
      </w:r>
    </w:p>
  </w:endnote>
  <w:endnote w:type="continuationSeparator" w:id="0">
    <w:p w14:paraId="4C219BE2" w14:textId="77777777" w:rsidR="00700C9C" w:rsidRDefault="00700C9C" w:rsidP="00F554B0">
      <w:pPr>
        <w:spacing w:after="0" w:line="240" w:lineRule="auto"/>
      </w:pPr>
      <w:r>
        <w:continuationSeparator/>
      </w:r>
    </w:p>
  </w:endnote>
  <w:endnote w:type="continuationNotice" w:id="1">
    <w:p w14:paraId="230E7548" w14:textId="77777777" w:rsidR="00700C9C" w:rsidRDefault="00700C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hell Dlg">
    <w:altName w:val="Sylfaen"/>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8966" w14:textId="365633FC" w:rsidR="00BB4C56" w:rsidRPr="00BB4C56" w:rsidRDefault="00BB4C56" w:rsidP="00BB4C56">
    <w:pPr>
      <w:tabs>
        <w:tab w:val="left" w:pos="8789"/>
      </w:tabs>
      <w:spacing w:after="0" w:line="240" w:lineRule="auto"/>
      <w:rPr>
        <w:rFonts w:ascii="Calibri" w:eastAsia="Times New Roman" w:hAnsi="Calibri" w:cs="Calibri"/>
        <w:sz w:val="20"/>
        <w:szCs w:val="20"/>
        <w:lang w:val="de-CH" w:eastAsia="en-GB"/>
      </w:rPr>
    </w:pPr>
    <w:r w:rsidRPr="00BB4C56">
      <w:rPr>
        <w:rFonts w:ascii="Calibri" w:eastAsia="Times New Roman" w:hAnsi="Calibri" w:cs="Calibri"/>
        <w:sz w:val="20"/>
        <w:szCs w:val="20"/>
        <w:lang w:val="de-CH" w:eastAsia="en-GB"/>
      </w:rPr>
      <w:t>SC63 Doc.22</w:t>
    </w:r>
    <w:r>
      <w:rPr>
        <w:rFonts w:ascii="Calibri" w:eastAsia="Times New Roman" w:hAnsi="Calibri" w:cs="Calibri"/>
        <w:sz w:val="20"/>
        <w:szCs w:val="20"/>
        <w:lang w:val="de-CH" w:eastAsia="en-GB"/>
      </w:rPr>
      <w:tab/>
    </w:r>
    <w:r w:rsidRPr="00BB4C56">
      <w:rPr>
        <w:rFonts w:ascii="Calibri" w:eastAsia="Times New Roman" w:hAnsi="Calibri" w:cs="Calibri"/>
        <w:sz w:val="20"/>
        <w:szCs w:val="20"/>
        <w:lang w:val="de-CH" w:eastAsia="en-GB"/>
      </w:rPr>
      <w:fldChar w:fldCharType="begin"/>
    </w:r>
    <w:r w:rsidRPr="00BB4C56">
      <w:rPr>
        <w:rFonts w:ascii="Calibri" w:eastAsia="Times New Roman" w:hAnsi="Calibri" w:cs="Calibri"/>
        <w:sz w:val="20"/>
        <w:szCs w:val="20"/>
        <w:lang w:val="de-CH" w:eastAsia="en-GB"/>
      </w:rPr>
      <w:instrText xml:space="preserve"> PAGE   \* MERGEFORMAT </w:instrText>
    </w:r>
    <w:r w:rsidRPr="00BB4C56">
      <w:rPr>
        <w:rFonts w:ascii="Calibri" w:eastAsia="Times New Roman" w:hAnsi="Calibri" w:cs="Calibri"/>
        <w:sz w:val="20"/>
        <w:szCs w:val="20"/>
        <w:lang w:val="de-CH" w:eastAsia="en-GB"/>
      </w:rPr>
      <w:fldChar w:fldCharType="separate"/>
    </w:r>
    <w:r w:rsidR="00391EB7">
      <w:rPr>
        <w:rFonts w:ascii="Calibri" w:eastAsia="Times New Roman" w:hAnsi="Calibri" w:cs="Calibri"/>
        <w:noProof/>
        <w:sz w:val="20"/>
        <w:szCs w:val="20"/>
        <w:lang w:val="de-CH" w:eastAsia="en-GB"/>
      </w:rPr>
      <w:t>3</w:t>
    </w:r>
    <w:r w:rsidRPr="00BB4C56">
      <w:rPr>
        <w:rFonts w:ascii="Calibri" w:eastAsia="Times New Roman" w:hAnsi="Calibri" w:cs="Calibri"/>
        <w:noProof/>
        <w:sz w:val="20"/>
        <w:szCs w:val="20"/>
        <w:lang w:val="de-CH" w:eastAsia="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D2641" w14:textId="77777777" w:rsidR="00BB4C56" w:rsidRPr="00BB4C56" w:rsidRDefault="00BB4C56" w:rsidP="00BB4C56">
    <w:pPr>
      <w:tabs>
        <w:tab w:val="left" w:pos="13750"/>
      </w:tabs>
      <w:spacing w:after="0" w:line="240" w:lineRule="auto"/>
      <w:rPr>
        <w:rFonts w:ascii="Calibri" w:eastAsia="Times New Roman" w:hAnsi="Calibri" w:cs="Calibri"/>
        <w:sz w:val="20"/>
        <w:szCs w:val="20"/>
        <w:lang w:val="de-CH" w:eastAsia="en-GB"/>
      </w:rPr>
    </w:pPr>
    <w:r w:rsidRPr="00BB4C56">
      <w:rPr>
        <w:rFonts w:ascii="Calibri" w:eastAsia="Times New Roman" w:hAnsi="Calibri" w:cs="Calibri"/>
        <w:sz w:val="20"/>
        <w:szCs w:val="20"/>
        <w:lang w:val="de-CH" w:eastAsia="en-GB"/>
      </w:rPr>
      <w:t>SC63 Doc.22</w:t>
    </w:r>
    <w:r>
      <w:rPr>
        <w:rFonts w:ascii="Calibri" w:eastAsia="Times New Roman" w:hAnsi="Calibri" w:cs="Calibri"/>
        <w:sz w:val="20"/>
        <w:szCs w:val="20"/>
        <w:lang w:val="de-CH" w:eastAsia="en-GB"/>
      </w:rPr>
      <w:tab/>
    </w:r>
    <w:r w:rsidRPr="00BB4C56">
      <w:rPr>
        <w:rFonts w:ascii="Calibri" w:eastAsia="Times New Roman" w:hAnsi="Calibri" w:cs="Calibri"/>
        <w:sz w:val="20"/>
        <w:szCs w:val="20"/>
        <w:lang w:val="de-CH" w:eastAsia="en-GB"/>
      </w:rPr>
      <w:fldChar w:fldCharType="begin"/>
    </w:r>
    <w:r w:rsidRPr="00BB4C56">
      <w:rPr>
        <w:rFonts w:ascii="Calibri" w:eastAsia="Times New Roman" w:hAnsi="Calibri" w:cs="Calibri"/>
        <w:sz w:val="20"/>
        <w:szCs w:val="20"/>
        <w:lang w:val="de-CH" w:eastAsia="en-GB"/>
      </w:rPr>
      <w:instrText xml:space="preserve"> PAGE   \* MERGEFORMAT </w:instrText>
    </w:r>
    <w:r w:rsidRPr="00BB4C56">
      <w:rPr>
        <w:rFonts w:ascii="Calibri" w:eastAsia="Times New Roman" w:hAnsi="Calibri" w:cs="Calibri"/>
        <w:sz w:val="20"/>
        <w:szCs w:val="20"/>
        <w:lang w:val="de-CH" w:eastAsia="en-GB"/>
      </w:rPr>
      <w:fldChar w:fldCharType="separate"/>
    </w:r>
    <w:r w:rsidR="00391EB7">
      <w:rPr>
        <w:rFonts w:ascii="Calibri" w:eastAsia="Times New Roman" w:hAnsi="Calibri" w:cs="Calibri"/>
        <w:noProof/>
        <w:sz w:val="20"/>
        <w:szCs w:val="20"/>
        <w:lang w:val="de-CH" w:eastAsia="en-GB"/>
      </w:rPr>
      <w:t>8</w:t>
    </w:r>
    <w:r w:rsidRPr="00BB4C56">
      <w:rPr>
        <w:rFonts w:ascii="Calibri" w:eastAsia="Times New Roman" w:hAnsi="Calibri" w:cs="Calibri"/>
        <w:noProof/>
        <w:sz w:val="20"/>
        <w:szCs w:val="20"/>
        <w:lang w:val="de-CH"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9DD2C" w14:textId="77777777" w:rsidR="00700C9C" w:rsidRDefault="00700C9C" w:rsidP="00F554B0">
      <w:pPr>
        <w:spacing w:after="0" w:line="240" w:lineRule="auto"/>
      </w:pPr>
      <w:r>
        <w:separator/>
      </w:r>
    </w:p>
  </w:footnote>
  <w:footnote w:type="continuationSeparator" w:id="0">
    <w:p w14:paraId="071027BE" w14:textId="77777777" w:rsidR="00700C9C" w:rsidRDefault="00700C9C" w:rsidP="00F554B0">
      <w:pPr>
        <w:spacing w:after="0" w:line="240" w:lineRule="auto"/>
      </w:pPr>
      <w:r>
        <w:continuationSeparator/>
      </w:r>
    </w:p>
  </w:footnote>
  <w:footnote w:type="continuationNotice" w:id="1">
    <w:p w14:paraId="28F6A593" w14:textId="77777777" w:rsidR="00700C9C" w:rsidRDefault="00700C9C">
      <w:pPr>
        <w:spacing w:after="0" w:line="240" w:lineRule="auto"/>
      </w:pPr>
    </w:p>
  </w:footnote>
  <w:footnote w:id="2">
    <w:p w14:paraId="040AB17D" w14:textId="007FF936" w:rsidR="0049788C" w:rsidRPr="006035FE" w:rsidRDefault="0049788C">
      <w:pPr>
        <w:pStyle w:val="FootnoteText"/>
        <w:rPr>
          <w:lang w:val="fr-FR"/>
        </w:rPr>
      </w:pPr>
      <w:r>
        <w:rPr>
          <w:rStyle w:val="FootnoteReference"/>
        </w:rPr>
        <w:footnoteRef/>
      </w:r>
      <w:r w:rsidRPr="006035FE">
        <w:rPr>
          <w:lang w:val="fr-FR"/>
        </w:rPr>
        <w:t xml:space="preserve"> </w:t>
      </w:r>
      <w:r w:rsidR="006035FE" w:rsidRPr="006035FE">
        <w:rPr>
          <w:lang w:val="fr-FR"/>
        </w:rPr>
        <w:t>Voir</w:t>
      </w:r>
      <w:r w:rsidRPr="006035FE">
        <w:rPr>
          <w:lang w:val="fr-FR"/>
        </w:rPr>
        <w:t xml:space="preserve"> </w:t>
      </w:r>
      <w:hyperlink r:id="rId1" w:history="1">
        <w:r w:rsidR="000B54CE" w:rsidRPr="000B54CE">
          <w:rPr>
            <w:rStyle w:val="Hyperlink"/>
            <w:lang w:val="fr-FR"/>
          </w:rPr>
          <w:t>https://rsis.ramsar.org/fr</w:t>
        </w:r>
      </w:hyperlink>
      <w:r w:rsidRPr="006035FE">
        <w:rPr>
          <w:lang w:val="fr-FR"/>
        </w:rPr>
        <w:t>.</w:t>
      </w:r>
    </w:p>
  </w:footnote>
  <w:footnote w:id="3">
    <w:p w14:paraId="25AEB71F" w14:textId="17ACAA28" w:rsidR="0049788C" w:rsidRPr="006035FE" w:rsidRDefault="0049788C">
      <w:pPr>
        <w:pStyle w:val="FootnoteText"/>
        <w:rPr>
          <w:lang w:val="fr-FR"/>
        </w:rPr>
      </w:pPr>
      <w:r>
        <w:rPr>
          <w:rStyle w:val="FootnoteReference"/>
        </w:rPr>
        <w:footnoteRef/>
      </w:r>
      <w:r w:rsidRPr="006035FE">
        <w:rPr>
          <w:lang w:val="fr-FR"/>
        </w:rPr>
        <w:t xml:space="preserve"> </w:t>
      </w:r>
      <w:r w:rsidR="006035FE" w:rsidRPr="006035FE">
        <w:rPr>
          <w:lang w:val="fr-FR"/>
        </w:rPr>
        <w:t>Voir</w:t>
      </w:r>
      <w:r w:rsidRPr="006035FE">
        <w:rPr>
          <w:lang w:val="fr-FR"/>
        </w:rPr>
        <w:t xml:space="preserve"> </w:t>
      </w:r>
      <w:hyperlink r:id="rId2" w:history="1">
        <w:r w:rsidR="000B54CE" w:rsidRPr="005636E3">
          <w:rPr>
            <w:rStyle w:val="Hyperlink"/>
            <w:lang w:val="fr-FR"/>
          </w:rPr>
          <w:t>https://www.ramsar.org/fr/document/cadre-strategique-et-lignes-directrices-pour-orienter-levolution-de-la-liste-des-zones-2</w:t>
        </w:r>
      </w:hyperlink>
      <w:r w:rsidRPr="006035FE">
        <w:rPr>
          <w:lang w:val="fr-FR"/>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94A21"/>
    <w:multiLevelType w:val="hybridMultilevel"/>
    <w:tmpl w:val="56F2E50C"/>
    <w:lvl w:ilvl="0" w:tplc="DC683C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74010"/>
    <w:multiLevelType w:val="hybridMultilevel"/>
    <w:tmpl w:val="1766E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81F3B"/>
    <w:multiLevelType w:val="hybridMultilevel"/>
    <w:tmpl w:val="1842DE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A04DA4"/>
    <w:multiLevelType w:val="hybridMultilevel"/>
    <w:tmpl w:val="190C4598"/>
    <w:lvl w:ilvl="0" w:tplc="3F4EE4DA">
      <w:start w:val="1"/>
      <w:numFmt w:val="lowerRoman"/>
      <w:lvlText w:val="%1."/>
      <w:lvlJc w:val="left"/>
      <w:pPr>
        <w:ind w:left="1068" w:hanging="72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4" w15:restartNumberingAfterBreak="0">
    <w:nsid w:val="20E94081"/>
    <w:multiLevelType w:val="hybridMultilevel"/>
    <w:tmpl w:val="629680F4"/>
    <w:lvl w:ilvl="0" w:tplc="5156AF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E66A85"/>
    <w:multiLevelType w:val="hybridMultilevel"/>
    <w:tmpl w:val="776859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A4413"/>
    <w:multiLevelType w:val="hybridMultilevel"/>
    <w:tmpl w:val="15CC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937C6"/>
    <w:multiLevelType w:val="hybridMultilevel"/>
    <w:tmpl w:val="C87A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50DD4"/>
    <w:multiLevelType w:val="hybridMultilevel"/>
    <w:tmpl w:val="5816A7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DCA41FB"/>
    <w:multiLevelType w:val="hybridMultilevel"/>
    <w:tmpl w:val="EB68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F822D0"/>
    <w:multiLevelType w:val="hybridMultilevel"/>
    <w:tmpl w:val="8BB634F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5B0F07"/>
    <w:multiLevelType w:val="hybridMultilevel"/>
    <w:tmpl w:val="5B3A192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955A41"/>
    <w:multiLevelType w:val="hybridMultilevel"/>
    <w:tmpl w:val="30545730"/>
    <w:lvl w:ilvl="0" w:tplc="934A050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59505FB"/>
    <w:multiLevelType w:val="hybridMultilevel"/>
    <w:tmpl w:val="9A2041F8"/>
    <w:lvl w:ilvl="0" w:tplc="D61CAF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C947C7"/>
    <w:multiLevelType w:val="hybridMultilevel"/>
    <w:tmpl w:val="DAA0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E6F62"/>
    <w:multiLevelType w:val="hybridMultilevel"/>
    <w:tmpl w:val="C44884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51CEE"/>
    <w:multiLevelType w:val="hybridMultilevel"/>
    <w:tmpl w:val="E49010FC"/>
    <w:lvl w:ilvl="0" w:tplc="12D84F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EC57C4"/>
    <w:multiLevelType w:val="hybridMultilevel"/>
    <w:tmpl w:val="9A9E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B6922"/>
    <w:multiLevelType w:val="hybridMultilevel"/>
    <w:tmpl w:val="07BAE96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B31771"/>
    <w:multiLevelType w:val="hybridMultilevel"/>
    <w:tmpl w:val="AA786382"/>
    <w:lvl w:ilvl="0" w:tplc="E62008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B307E7"/>
    <w:multiLevelType w:val="hybridMultilevel"/>
    <w:tmpl w:val="002AB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B5526D"/>
    <w:multiLevelType w:val="hybridMultilevel"/>
    <w:tmpl w:val="756EA0A8"/>
    <w:lvl w:ilvl="0" w:tplc="E6AC0634">
      <w:start w:val="1"/>
      <w:numFmt w:val="lowerRoman"/>
      <w:lvlText w:val="%1."/>
      <w:lvlJc w:val="left"/>
      <w:pPr>
        <w:ind w:left="1080" w:hanging="360"/>
      </w:pPr>
      <w:rPr>
        <w:rFonts w:asciiTheme="minorHAnsi" w:eastAsiaTheme="minorHAnsi" w:hAnsiTheme="minorHAns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F45048A"/>
    <w:multiLevelType w:val="hybridMultilevel"/>
    <w:tmpl w:val="BF56B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4"/>
  </w:num>
  <w:num w:numId="4">
    <w:abstractNumId w:val="4"/>
  </w:num>
  <w:num w:numId="5">
    <w:abstractNumId w:val="21"/>
  </w:num>
  <w:num w:numId="6">
    <w:abstractNumId w:val="9"/>
  </w:num>
  <w:num w:numId="7">
    <w:abstractNumId w:val="8"/>
  </w:num>
  <w:num w:numId="8">
    <w:abstractNumId w:val="5"/>
  </w:num>
  <w:num w:numId="9">
    <w:abstractNumId w:val="15"/>
  </w:num>
  <w:num w:numId="10">
    <w:abstractNumId w:val="22"/>
  </w:num>
  <w:num w:numId="11">
    <w:abstractNumId w:val="6"/>
  </w:num>
  <w:num w:numId="12">
    <w:abstractNumId w:val="20"/>
  </w:num>
  <w:num w:numId="13">
    <w:abstractNumId w:val="3"/>
  </w:num>
  <w:num w:numId="14">
    <w:abstractNumId w:val="19"/>
  </w:num>
  <w:num w:numId="15">
    <w:abstractNumId w:val="16"/>
  </w:num>
  <w:num w:numId="16">
    <w:abstractNumId w:val="11"/>
  </w:num>
  <w:num w:numId="17">
    <w:abstractNumId w:val="18"/>
  </w:num>
  <w:num w:numId="18">
    <w:abstractNumId w:val="10"/>
  </w:num>
  <w:num w:numId="19">
    <w:abstractNumId w:val="0"/>
  </w:num>
  <w:num w:numId="20">
    <w:abstractNumId w:val="1"/>
  </w:num>
  <w:num w:numId="21">
    <w:abstractNumId w:val="17"/>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xMjUwMzeztDAysrRQ0lEKTi0uzszPAykwMagFAKqo98AtAAAA"/>
  </w:docVars>
  <w:rsids>
    <w:rsidRoot w:val="00995789"/>
    <w:rsid w:val="00000ADA"/>
    <w:rsid w:val="00000F98"/>
    <w:rsid w:val="00003F98"/>
    <w:rsid w:val="0000523D"/>
    <w:rsid w:val="00010B97"/>
    <w:rsid w:val="0001284C"/>
    <w:rsid w:val="00013A33"/>
    <w:rsid w:val="0001493D"/>
    <w:rsid w:val="00016C8F"/>
    <w:rsid w:val="000178B5"/>
    <w:rsid w:val="00023BD4"/>
    <w:rsid w:val="000257D7"/>
    <w:rsid w:val="0002702D"/>
    <w:rsid w:val="000276CC"/>
    <w:rsid w:val="0003121D"/>
    <w:rsid w:val="00031366"/>
    <w:rsid w:val="000328DA"/>
    <w:rsid w:val="00035057"/>
    <w:rsid w:val="00035551"/>
    <w:rsid w:val="00043462"/>
    <w:rsid w:val="0004406C"/>
    <w:rsid w:val="000457AC"/>
    <w:rsid w:val="00047B81"/>
    <w:rsid w:val="000547B2"/>
    <w:rsid w:val="00056E04"/>
    <w:rsid w:val="00061672"/>
    <w:rsid w:val="00064CB4"/>
    <w:rsid w:val="00066CD5"/>
    <w:rsid w:val="00067D70"/>
    <w:rsid w:val="0007271E"/>
    <w:rsid w:val="000776BC"/>
    <w:rsid w:val="00081DBA"/>
    <w:rsid w:val="00092401"/>
    <w:rsid w:val="000979B9"/>
    <w:rsid w:val="000A3FA4"/>
    <w:rsid w:val="000B3C0D"/>
    <w:rsid w:val="000B54CE"/>
    <w:rsid w:val="000C0F2F"/>
    <w:rsid w:val="000C2443"/>
    <w:rsid w:val="000C567F"/>
    <w:rsid w:val="000C6CDD"/>
    <w:rsid w:val="000C77C0"/>
    <w:rsid w:val="000D0D4E"/>
    <w:rsid w:val="000D5876"/>
    <w:rsid w:val="000D5B4C"/>
    <w:rsid w:val="000D7941"/>
    <w:rsid w:val="000D7D05"/>
    <w:rsid w:val="000F7940"/>
    <w:rsid w:val="00106F53"/>
    <w:rsid w:val="0011691B"/>
    <w:rsid w:val="001177BB"/>
    <w:rsid w:val="00124528"/>
    <w:rsid w:val="00124B8D"/>
    <w:rsid w:val="00130D0B"/>
    <w:rsid w:val="00134737"/>
    <w:rsid w:val="00135273"/>
    <w:rsid w:val="001379F0"/>
    <w:rsid w:val="001415B9"/>
    <w:rsid w:val="00142F87"/>
    <w:rsid w:val="00150B3F"/>
    <w:rsid w:val="00151DA2"/>
    <w:rsid w:val="001645CF"/>
    <w:rsid w:val="00165D2B"/>
    <w:rsid w:val="00167D37"/>
    <w:rsid w:val="0018231B"/>
    <w:rsid w:val="00183FC2"/>
    <w:rsid w:val="0018410C"/>
    <w:rsid w:val="001841BC"/>
    <w:rsid w:val="00184305"/>
    <w:rsid w:val="00184EC0"/>
    <w:rsid w:val="0018656D"/>
    <w:rsid w:val="00190A53"/>
    <w:rsid w:val="00197C61"/>
    <w:rsid w:val="001A41F3"/>
    <w:rsid w:val="001B46C5"/>
    <w:rsid w:val="001B53AB"/>
    <w:rsid w:val="001B5E84"/>
    <w:rsid w:val="001D754E"/>
    <w:rsid w:val="001E4EBA"/>
    <w:rsid w:val="001E5DF9"/>
    <w:rsid w:val="001E6119"/>
    <w:rsid w:val="0020317E"/>
    <w:rsid w:val="00212CB7"/>
    <w:rsid w:val="00217366"/>
    <w:rsid w:val="00217A37"/>
    <w:rsid w:val="00225ECE"/>
    <w:rsid w:val="00240C64"/>
    <w:rsid w:val="002414DA"/>
    <w:rsid w:val="00246515"/>
    <w:rsid w:val="002473B3"/>
    <w:rsid w:val="00253ADB"/>
    <w:rsid w:val="002612BB"/>
    <w:rsid w:val="002810E0"/>
    <w:rsid w:val="00282D8A"/>
    <w:rsid w:val="002835C0"/>
    <w:rsid w:val="002844D6"/>
    <w:rsid w:val="002851F3"/>
    <w:rsid w:val="002A4C53"/>
    <w:rsid w:val="002A5411"/>
    <w:rsid w:val="002A78BA"/>
    <w:rsid w:val="002B1A34"/>
    <w:rsid w:val="002B2505"/>
    <w:rsid w:val="002B2D56"/>
    <w:rsid w:val="002B52FC"/>
    <w:rsid w:val="002B7067"/>
    <w:rsid w:val="002C49D5"/>
    <w:rsid w:val="002C54F4"/>
    <w:rsid w:val="002C6D62"/>
    <w:rsid w:val="002E210D"/>
    <w:rsid w:val="002E4DD4"/>
    <w:rsid w:val="002F1D9E"/>
    <w:rsid w:val="002F4811"/>
    <w:rsid w:val="0030004C"/>
    <w:rsid w:val="0030258F"/>
    <w:rsid w:val="0031141C"/>
    <w:rsid w:val="00312295"/>
    <w:rsid w:val="003136D5"/>
    <w:rsid w:val="00320FD9"/>
    <w:rsid w:val="003277E1"/>
    <w:rsid w:val="0033286B"/>
    <w:rsid w:val="00332B7A"/>
    <w:rsid w:val="0033313D"/>
    <w:rsid w:val="003343F3"/>
    <w:rsid w:val="00340AEA"/>
    <w:rsid w:val="00346513"/>
    <w:rsid w:val="00353203"/>
    <w:rsid w:val="00353EED"/>
    <w:rsid w:val="003604D2"/>
    <w:rsid w:val="00361220"/>
    <w:rsid w:val="00370C9E"/>
    <w:rsid w:val="00370E96"/>
    <w:rsid w:val="00372F84"/>
    <w:rsid w:val="0037776F"/>
    <w:rsid w:val="00380BFC"/>
    <w:rsid w:val="00384633"/>
    <w:rsid w:val="00384842"/>
    <w:rsid w:val="00386E00"/>
    <w:rsid w:val="00391EB7"/>
    <w:rsid w:val="00391F51"/>
    <w:rsid w:val="00393688"/>
    <w:rsid w:val="003950B9"/>
    <w:rsid w:val="00395A95"/>
    <w:rsid w:val="003A0916"/>
    <w:rsid w:val="003A234F"/>
    <w:rsid w:val="003A7707"/>
    <w:rsid w:val="003B0C53"/>
    <w:rsid w:val="003B3965"/>
    <w:rsid w:val="003B5203"/>
    <w:rsid w:val="003B7E1B"/>
    <w:rsid w:val="003C6F47"/>
    <w:rsid w:val="003D4DF2"/>
    <w:rsid w:val="003D5EBE"/>
    <w:rsid w:val="003D705B"/>
    <w:rsid w:val="003E05BF"/>
    <w:rsid w:val="003E1177"/>
    <w:rsid w:val="003E1E9B"/>
    <w:rsid w:val="003E4ED2"/>
    <w:rsid w:val="003E6478"/>
    <w:rsid w:val="003E6D57"/>
    <w:rsid w:val="003F3FD0"/>
    <w:rsid w:val="0040308A"/>
    <w:rsid w:val="00403129"/>
    <w:rsid w:val="00407843"/>
    <w:rsid w:val="00407F1E"/>
    <w:rsid w:val="00426FA0"/>
    <w:rsid w:val="00430585"/>
    <w:rsid w:val="00441620"/>
    <w:rsid w:val="00446412"/>
    <w:rsid w:val="00447158"/>
    <w:rsid w:val="004567B8"/>
    <w:rsid w:val="004660F1"/>
    <w:rsid w:val="0046761C"/>
    <w:rsid w:val="00470D2A"/>
    <w:rsid w:val="0047139D"/>
    <w:rsid w:val="00473E78"/>
    <w:rsid w:val="00477A31"/>
    <w:rsid w:val="004814BD"/>
    <w:rsid w:val="00481809"/>
    <w:rsid w:val="00482B39"/>
    <w:rsid w:val="0048679C"/>
    <w:rsid w:val="0049055E"/>
    <w:rsid w:val="004927D4"/>
    <w:rsid w:val="00493824"/>
    <w:rsid w:val="00494211"/>
    <w:rsid w:val="0049453E"/>
    <w:rsid w:val="0049788C"/>
    <w:rsid w:val="004A2806"/>
    <w:rsid w:val="004A4B31"/>
    <w:rsid w:val="004A5FC2"/>
    <w:rsid w:val="004B3122"/>
    <w:rsid w:val="004B3A9B"/>
    <w:rsid w:val="004C2266"/>
    <w:rsid w:val="004C33A6"/>
    <w:rsid w:val="004C471F"/>
    <w:rsid w:val="004C49CB"/>
    <w:rsid w:val="004C57E6"/>
    <w:rsid w:val="004D0E2F"/>
    <w:rsid w:val="004D2C8E"/>
    <w:rsid w:val="004D4C37"/>
    <w:rsid w:val="004D592D"/>
    <w:rsid w:val="004E5A53"/>
    <w:rsid w:val="004E6CFE"/>
    <w:rsid w:val="004F094B"/>
    <w:rsid w:val="004F47EC"/>
    <w:rsid w:val="004F4C6F"/>
    <w:rsid w:val="00510615"/>
    <w:rsid w:val="00511396"/>
    <w:rsid w:val="00511CEF"/>
    <w:rsid w:val="0051214A"/>
    <w:rsid w:val="00514E57"/>
    <w:rsid w:val="00517E3B"/>
    <w:rsid w:val="00520B5A"/>
    <w:rsid w:val="005221FA"/>
    <w:rsid w:val="00523EC4"/>
    <w:rsid w:val="00524791"/>
    <w:rsid w:val="00526132"/>
    <w:rsid w:val="00531C6A"/>
    <w:rsid w:val="0053461C"/>
    <w:rsid w:val="005448E1"/>
    <w:rsid w:val="005451AB"/>
    <w:rsid w:val="00547DEA"/>
    <w:rsid w:val="00550453"/>
    <w:rsid w:val="00553743"/>
    <w:rsid w:val="00556124"/>
    <w:rsid w:val="005609B8"/>
    <w:rsid w:val="00563B22"/>
    <w:rsid w:val="00564220"/>
    <w:rsid w:val="00566654"/>
    <w:rsid w:val="0056756C"/>
    <w:rsid w:val="00571ECF"/>
    <w:rsid w:val="00572EBF"/>
    <w:rsid w:val="00577D1D"/>
    <w:rsid w:val="005808A1"/>
    <w:rsid w:val="00586266"/>
    <w:rsid w:val="005B144F"/>
    <w:rsid w:val="005B174A"/>
    <w:rsid w:val="005B3766"/>
    <w:rsid w:val="005B49F9"/>
    <w:rsid w:val="005B4D22"/>
    <w:rsid w:val="005C2D5C"/>
    <w:rsid w:val="005C6535"/>
    <w:rsid w:val="005C6DD3"/>
    <w:rsid w:val="005C7DE7"/>
    <w:rsid w:val="005D45B0"/>
    <w:rsid w:val="005D591D"/>
    <w:rsid w:val="005E36DF"/>
    <w:rsid w:val="005E5099"/>
    <w:rsid w:val="005F59A5"/>
    <w:rsid w:val="005F636E"/>
    <w:rsid w:val="00600D58"/>
    <w:rsid w:val="006035FE"/>
    <w:rsid w:val="006079CC"/>
    <w:rsid w:val="00607E52"/>
    <w:rsid w:val="006103EC"/>
    <w:rsid w:val="00617138"/>
    <w:rsid w:val="006248D4"/>
    <w:rsid w:val="006301B5"/>
    <w:rsid w:val="0063048C"/>
    <w:rsid w:val="00630BE2"/>
    <w:rsid w:val="0063464D"/>
    <w:rsid w:val="00642F05"/>
    <w:rsid w:val="006453AF"/>
    <w:rsid w:val="006468F2"/>
    <w:rsid w:val="0064756B"/>
    <w:rsid w:val="00653A7F"/>
    <w:rsid w:val="00655C4D"/>
    <w:rsid w:val="00671D6B"/>
    <w:rsid w:val="00672505"/>
    <w:rsid w:val="00672E5C"/>
    <w:rsid w:val="00674E1E"/>
    <w:rsid w:val="0067644C"/>
    <w:rsid w:val="00676B8B"/>
    <w:rsid w:val="00681D4A"/>
    <w:rsid w:val="00685FE8"/>
    <w:rsid w:val="006A1051"/>
    <w:rsid w:val="006A6936"/>
    <w:rsid w:val="006A7EA3"/>
    <w:rsid w:val="006B22A3"/>
    <w:rsid w:val="006B2E2B"/>
    <w:rsid w:val="006B3CD2"/>
    <w:rsid w:val="006B5442"/>
    <w:rsid w:val="006C0481"/>
    <w:rsid w:val="006C2E37"/>
    <w:rsid w:val="006C304D"/>
    <w:rsid w:val="006C4B8D"/>
    <w:rsid w:val="006C60FF"/>
    <w:rsid w:val="006D0BED"/>
    <w:rsid w:val="006D19B4"/>
    <w:rsid w:val="006E5D7C"/>
    <w:rsid w:val="006E6B63"/>
    <w:rsid w:val="006F101A"/>
    <w:rsid w:val="006F13CA"/>
    <w:rsid w:val="006F4787"/>
    <w:rsid w:val="006F609A"/>
    <w:rsid w:val="00700C9C"/>
    <w:rsid w:val="00701562"/>
    <w:rsid w:val="0070161F"/>
    <w:rsid w:val="00704F27"/>
    <w:rsid w:val="00707C74"/>
    <w:rsid w:val="00712BDD"/>
    <w:rsid w:val="007175C4"/>
    <w:rsid w:val="007210A4"/>
    <w:rsid w:val="00724B6C"/>
    <w:rsid w:val="00726D7B"/>
    <w:rsid w:val="007309CF"/>
    <w:rsid w:val="007427FF"/>
    <w:rsid w:val="00743882"/>
    <w:rsid w:val="0074510E"/>
    <w:rsid w:val="00751892"/>
    <w:rsid w:val="00753CB8"/>
    <w:rsid w:val="00757348"/>
    <w:rsid w:val="007615D0"/>
    <w:rsid w:val="00761CA3"/>
    <w:rsid w:val="00762515"/>
    <w:rsid w:val="007628F2"/>
    <w:rsid w:val="00766332"/>
    <w:rsid w:val="00767558"/>
    <w:rsid w:val="00776457"/>
    <w:rsid w:val="007826B8"/>
    <w:rsid w:val="00782F40"/>
    <w:rsid w:val="00783E0F"/>
    <w:rsid w:val="00783E53"/>
    <w:rsid w:val="0078546F"/>
    <w:rsid w:val="0079239E"/>
    <w:rsid w:val="007937E6"/>
    <w:rsid w:val="00796A8E"/>
    <w:rsid w:val="007A1E8A"/>
    <w:rsid w:val="007A3E62"/>
    <w:rsid w:val="007A43F4"/>
    <w:rsid w:val="007B1152"/>
    <w:rsid w:val="007B1D90"/>
    <w:rsid w:val="007C1995"/>
    <w:rsid w:val="007C2F66"/>
    <w:rsid w:val="007D1631"/>
    <w:rsid w:val="007E1C73"/>
    <w:rsid w:val="007F25A4"/>
    <w:rsid w:val="007F3F33"/>
    <w:rsid w:val="007F594E"/>
    <w:rsid w:val="007F6AFC"/>
    <w:rsid w:val="00803B40"/>
    <w:rsid w:val="008042A6"/>
    <w:rsid w:val="008047F0"/>
    <w:rsid w:val="00805018"/>
    <w:rsid w:val="008122B3"/>
    <w:rsid w:val="00813857"/>
    <w:rsid w:val="00814C90"/>
    <w:rsid w:val="00814FDF"/>
    <w:rsid w:val="00816FFA"/>
    <w:rsid w:val="008319DA"/>
    <w:rsid w:val="0083393A"/>
    <w:rsid w:val="0084569C"/>
    <w:rsid w:val="00846033"/>
    <w:rsid w:val="00851D48"/>
    <w:rsid w:val="00854DE3"/>
    <w:rsid w:val="00860971"/>
    <w:rsid w:val="008610AD"/>
    <w:rsid w:val="00861E89"/>
    <w:rsid w:val="00862429"/>
    <w:rsid w:val="00864479"/>
    <w:rsid w:val="008676B3"/>
    <w:rsid w:val="008807DE"/>
    <w:rsid w:val="00880984"/>
    <w:rsid w:val="00884ABD"/>
    <w:rsid w:val="0088513D"/>
    <w:rsid w:val="0088636E"/>
    <w:rsid w:val="00893633"/>
    <w:rsid w:val="00893B51"/>
    <w:rsid w:val="008A2451"/>
    <w:rsid w:val="008A458E"/>
    <w:rsid w:val="008B0EB4"/>
    <w:rsid w:val="008C1D40"/>
    <w:rsid w:val="008C20EF"/>
    <w:rsid w:val="008C2A8E"/>
    <w:rsid w:val="008D0D25"/>
    <w:rsid w:val="008E27B0"/>
    <w:rsid w:val="008E409A"/>
    <w:rsid w:val="008F0DDA"/>
    <w:rsid w:val="008F628A"/>
    <w:rsid w:val="009011FB"/>
    <w:rsid w:val="0090440B"/>
    <w:rsid w:val="00907ECF"/>
    <w:rsid w:val="00912197"/>
    <w:rsid w:val="00915086"/>
    <w:rsid w:val="00920E50"/>
    <w:rsid w:val="009222E2"/>
    <w:rsid w:val="00923515"/>
    <w:rsid w:val="00936C8A"/>
    <w:rsid w:val="00940647"/>
    <w:rsid w:val="00942957"/>
    <w:rsid w:val="0094373B"/>
    <w:rsid w:val="00943E7C"/>
    <w:rsid w:val="00947164"/>
    <w:rsid w:val="00947C8B"/>
    <w:rsid w:val="00955359"/>
    <w:rsid w:val="00955A44"/>
    <w:rsid w:val="00956CB9"/>
    <w:rsid w:val="00957FF4"/>
    <w:rsid w:val="00960D3D"/>
    <w:rsid w:val="00962E85"/>
    <w:rsid w:val="00964D15"/>
    <w:rsid w:val="0096798D"/>
    <w:rsid w:val="0097032E"/>
    <w:rsid w:val="00973030"/>
    <w:rsid w:val="00975001"/>
    <w:rsid w:val="0097735E"/>
    <w:rsid w:val="00977ABB"/>
    <w:rsid w:val="0099221B"/>
    <w:rsid w:val="00995215"/>
    <w:rsid w:val="00995789"/>
    <w:rsid w:val="009B0545"/>
    <w:rsid w:val="009B4022"/>
    <w:rsid w:val="009B5E12"/>
    <w:rsid w:val="009C430A"/>
    <w:rsid w:val="009D0D3C"/>
    <w:rsid w:val="009D2357"/>
    <w:rsid w:val="009D6CEA"/>
    <w:rsid w:val="009E2E34"/>
    <w:rsid w:val="009E489A"/>
    <w:rsid w:val="009E577E"/>
    <w:rsid w:val="009F4C25"/>
    <w:rsid w:val="00A0596F"/>
    <w:rsid w:val="00A07074"/>
    <w:rsid w:val="00A12064"/>
    <w:rsid w:val="00A13AA0"/>
    <w:rsid w:val="00A157F3"/>
    <w:rsid w:val="00A22921"/>
    <w:rsid w:val="00A22ACB"/>
    <w:rsid w:val="00A22CB9"/>
    <w:rsid w:val="00A25654"/>
    <w:rsid w:val="00A259A7"/>
    <w:rsid w:val="00A2671E"/>
    <w:rsid w:val="00A26B2E"/>
    <w:rsid w:val="00A3175B"/>
    <w:rsid w:val="00A375DD"/>
    <w:rsid w:val="00A4320A"/>
    <w:rsid w:val="00A44101"/>
    <w:rsid w:val="00A45288"/>
    <w:rsid w:val="00A45377"/>
    <w:rsid w:val="00A46FC7"/>
    <w:rsid w:val="00A51F99"/>
    <w:rsid w:val="00A5264B"/>
    <w:rsid w:val="00A6135A"/>
    <w:rsid w:val="00A61528"/>
    <w:rsid w:val="00A65E23"/>
    <w:rsid w:val="00A676BD"/>
    <w:rsid w:val="00A67986"/>
    <w:rsid w:val="00A7208E"/>
    <w:rsid w:val="00A72D6D"/>
    <w:rsid w:val="00A72EAF"/>
    <w:rsid w:val="00A75CD0"/>
    <w:rsid w:val="00A80A7C"/>
    <w:rsid w:val="00A8114E"/>
    <w:rsid w:val="00A82D19"/>
    <w:rsid w:val="00A853CD"/>
    <w:rsid w:val="00A87203"/>
    <w:rsid w:val="00A93563"/>
    <w:rsid w:val="00A936D9"/>
    <w:rsid w:val="00A936FD"/>
    <w:rsid w:val="00A97570"/>
    <w:rsid w:val="00AA03A6"/>
    <w:rsid w:val="00AA2FE8"/>
    <w:rsid w:val="00AA3C90"/>
    <w:rsid w:val="00AA6330"/>
    <w:rsid w:val="00AB1828"/>
    <w:rsid w:val="00AB7592"/>
    <w:rsid w:val="00AC1EE9"/>
    <w:rsid w:val="00AC203A"/>
    <w:rsid w:val="00AC5925"/>
    <w:rsid w:val="00AC6612"/>
    <w:rsid w:val="00AD33C9"/>
    <w:rsid w:val="00AD499B"/>
    <w:rsid w:val="00AD66DB"/>
    <w:rsid w:val="00AE06D2"/>
    <w:rsid w:val="00AE12DF"/>
    <w:rsid w:val="00AF5448"/>
    <w:rsid w:val="00B0131F"/>
    <w:rsid w:val="00B022BF"/>
    <w:rsid w:val="00B03D6D"/>
    <w:rsid w:val="00B0785C"/>
    <w:rsid w:val="00B1391B"/>
    <w:rsid w:val="00B13EEF"/>
    <w:rsid w:val="00B32E76"/>
    <w:rsid w:val="00B34106"/>
    <w:rsid w:val="00B34CB2"/>
    <w:rsid w:val="00B36886"/>
    <w:rsid w:val="00B40E16"/>
    <w:rsid w:val="00B41550"/>
    <w:rsid w:val="00B5125D"/>
    <w:rsid w:val="00B51279"/>
    <w:rsid w:val="00B533EB"/>
    <w:rsid w:val="00B56DC4"/>
    <w:rsid w:val="00B57F0E"/>
    <w:rsid w:val="00B624C0"/>
    <w:rsid w:val="00B65E91"/>
    <w:rsid w:val="00B71A05"/>
    <w:rsid w:val="00B762B5"/>
    <w:rsid w:val="00B840A1"/>
    <w:rsid w:val="00B844A7"/>
    <w:rsid w:val="00B86D23"/>
    <w:rsid w:val="00B90715"/>
    <w:rsid w:val="00B916B5"/>
    <w:rsid w:val="00B9490D"/>
    <w:rsid w:val="00B951D0"/>
    <w:rsid w:val="00B9553D"/>
    <w:rsid w:val="00BA0894"/>
    <w:rsid w:val="00BA0A7C"/>
    <w:rsid w:val="00BA4A90"/>
    <w:rsid w:val="00BB0DCB"/>
    <w:rsid w:val="00BB1143"/>
    <w:rsid w:val="00BB445C"/>
    <w:rsid w:val="00BB4C56"/>
    <w:rsid w:val="00BB5BFF"/>
    <w:rsid w:val="00BC0262"/>
    <w:rsid w:val="00BC0801"/>
    <w:rsid w:val="00BC3C86"/>
    <w:rsid w:val="00BC4703"/>
    <w:rsid w:val="00BD1A20"/>
    <w:rsid w:val="00BD1C86"/>
    <w:rsid w:val="00BD30E4"/>
    <w:rsid w:val="00BD4C81"/>
    <w:rsid w:val="00BE14AE"/>
    <w:rsid w:val="00BE4CA6"/>
    <w:rsid w:val="00BE645A"/>
    <w:rsid w:val="00BE74C4"/>
    <w:rsid w:val="00BF2058"/>
    <w:rsid w:val="00BF2136"/>
    <w:rsid w:val="00BF454F"/>
    <w:rsid w:val="00BF518A"/>
    <w:rsid w:val="00BF7DB3"/>
    <w:rsid w:val="00C0532F"/>
    <w:rsid w:val="00C10D56"/>
    <w:rsid w:val="00C11C4D"/>
    <w:rsid w:val="00C1361F"/>
    <w:rsid w:val="00C217EF"/>
    <w:rsid w:val="00C25E7C"/>
    <w:rsid w:val="00C2601C"/>
    <w:rsid w:val="00C32BF9"/>
    <w:rsid w:val="00C42656"/>
    <w:rsid w:val="00C446E7"/>
    <w:rsid w:val="00C51905"/>
    <w:rsid w:val="00C5590A"/>
    <w:rsid w:val="00C601B2"/>
    <w:rsid w:val="00C62537"/>
    <w:rsid w:val="00C63527"/>
    <w:rsid w:val="00C726F6"/>
    <w:rsid w:val="00C72D94"/>
    <w:rsid w:val="00C75438"/>
    <w:rsid w:val="00C77528"/>
    <w:rsid w:val="00C779C6"/>
    <w:rsid w:val="00C81106"/>
    <w:rsid w:val="00C853A7"/>
    <w:rsid w:val="00C86693"/>
    <w:rsid w:val="00C91DC3"/>
    <w:rsid w:val="00C91FEB"/>
    <w:rsid w:val="00C92EE0"/>
    <w:rsid w:val="00C9369F"/>
    <w:rsid w:val="00C94537"/>
    <w:rsid w:val="00CA0AC3"/>
    <w:rsid w:val="00CA3646"/>
    <w:rsid w:val="00CA4287"/>
    <w:rsid w:val="00CA5452"/>
    <w:rsid w:val="00CA589F"/>
    <w:rsid w:val="00CA6819"/>
    <w:rsid w:val="00CC3735"/>
    <w:rsid w:val="00CC4BE9"/>
    <w:rsid w:val="00CC73AD"/>
    <w:rsid w:val="00CD0CF5"/>
    <w:rsid w:val="00CD4631"/>
    <w:rsid w:val="00CD6756"/>
    <w:rsid w:val="00CD6AB0"/>
    <w:rsid w:val="00CE0DFD"/>
    <w:rsid w:val="00CE21B2"/>
    <w:rsid w:val="00CE2CCD"/>
    <w:rsid w:val="00CE6351"/>
    <w:rsid w:val="00CF0C3E"/>
    <w:rsid w:val="00CF1A67"/>
    <w:rsid w:val="00CF2C72"/>
    <w:rsid w:val="00D03752"/>
    <w:rsid w:val="00D11833"/>
    <w:rsid w:val="00D15189"/>
    <w:rsid w:val="00D204BF"/>
    <w:rsid w:val="00D2338D"/>
    <w:rsid w:val="00D243E9"/>
    <w:rsid w:val="00D25182"/>
    <w:rsid w:val="00D25341"/>
    <w:rsid w:val="00D25A20"/>
    <w:rsid w:val="00D25F86"/>
    <w:rsid w:val="00D30391"/>
    <w:rsid w:val="00D3044A"/>
    <w:rsid w:val="00D3141E"/>
    <w:rsid w:val="00D31750"/>
    <w:rsid w:val="00D35E4E"/>
    <w:rsid w:val="00D37C8F"/>
    <w:rsid w:val="00D40841"/>
    <w:rsid w:val="00D43133"/>
    <w:rsid w:val="00D44EAC"/>
    <w:rsid w:val="00D50FC6"/>
    <w:rsid w:val="00D52617"/>
    <w:rsid w:val="00D53671"/>
    <w:rsid w:val="00D54218"/>
    <w:rsid w:val="00D54CB0"/>
    <w:rsid w:val="00D55357"/>
    <w:rsid w:val="00D5686D"/>
    <w:rsid w:val="00D56F6C"/>
    <w:rsid w:val="00D67235"/>
    <w:rsid w:val="00D720EC"/>
    <w:rsid w:val="00D82BF5"/>
    <w:rsid w:val="00D85341"/>
    <w:rsid w:val="00D93BBB"/>
    <w:rsid w:val="00D97F1F"/>
    <w:rsid w:val="00DA14E3"/>
    <w:rsid w:val="00DA6668"/>
    <w:rsid w:val="00DB6C21"/>
    <w:rsid w:val="00DC0116"/>
    <w:rsid w:val="00DC433D"/>
    <w:rsid w:val="00DD2976"/>
    <w:rsid w:val="00DD4449"/>
    <w:rsid w:val="00DE260A"/>
    <w:rsid w:val="00DE32F0"/>
    <w:rsid w:val="00DF148B"/>
    <w:rsid w:val="00DF797F"/>
    <w:rsid w:val="00E04848"/>
    <w:rsid w:val="00E11E9B"/>
    <w:rsid w:val="00E14870"/>
    <w:rsid w:val="00E14BE6"/>
    <w:rsid w:val="00E153C4"/>
    <w:rsid w:val="00E1542A"/>
    <w:rsid w:val="00E218C6"/>
    <w:rsid w:val="00E24A62"/>
    <w:rsid w:val="00E2645C"/>
    <w:rsid w:val="00E30387"/>
    <w:rsid w:val="00E305FE"/>
    <w:rsid w:val="00E3203F"/>
    <w:rsid w:val="00E3262D"/>
    <w:rsid w:val="00E42498"/>
    <w:rsid w:val="00E43C24"/>
    <w:rsid w:val="00E512F9"/>
    <w:rsid w:val="00E54BD8"/>
    <w:rsid w:val="00E55C06"/>
    <w:rsid w:val="00E63738"/>
    <w:rsid w:val="00E64AF4"/>
    <w:rsid w:val="00E71C9D"/>
    <w:rsid w:val="00E72443"/>
    <w:rsid w:val="00E752BD"/>
    <w:rsid w:val="00E84AAB"/>
    <w:rsid w:val="00E87435"/>
    <w:rsid w:val="00E905AF"/>
    <w:rsid w:val="00E90A71"/>
    <w:rsid w:val="00E91A12"/>
    <w:rsid w:val="00E9311C"/>
    <w:rsid w:val="00E943C4"/>
    <w:rsid w:val="00E965D8"/>
    <w:rsid w:val="00E966C5"/>
    <w:rsid w:val="00E96976"/>
    <w:rsid w:val="00E96E29"/>
    <w:rsid w:val="00EA31EF"/>
    <w:rsid w:val="00EA4FD6"/>
    <w:rsid w:val="00EA683F"/>
    <w:rsid w:val="00EB32A9"/>
    <w:rsid w:val="00EB3477"/>
    <w:rsid w:val="00EB4211"/>
    <w:rsid w:val="00EB61E3"/>
    <w:rsid w:val="00EB7B8C"/>
    <w:rsid w:val="00EC4E65"/>
    <w:rsid w:val="00EC5F50"/>
    <w:rsid w:val="00EC6143"/>
    <w:rsid w:val="00EC6434"/>
    <w:rsid w:val="00EC6B5B"/>
    <w:rsid w:val="00EC7B99"/>
    <w:rsid w:val="00ED0167"/>
    <w:rsid w:val="00ED08EA"/>
    <w:rsid w:val="00ED41F8"/>
    <w:rsid w:val="00ED7974"/>
    <w:rsid w:val="00EE23DD"/>
    <w:rsid w:val="00EE2BB7"/>
    <w:rsid w:val="00EE30B4"/>
    <w:rsid w:val="00EE3869"/>
    <w:rsid w:val="00EF0BAE"/>
    <w:rsid w:val="00EF4ADC"/>
    <w:rsid w:val="00EF575D"/>
    <w:rsid w:val="00EF62D7"/>
    <w:rsid w:val="00F03A0D"/>
    <w:rsid w:val="00F04923"/>
    <w:rsid w:val="00F0607B"/>
    <w:rsid w:val="00F073C7"/>
    <w:rsid w:val="00F07A39"/>
    <w:rsid w:val="00F101C8"/>
    <w:rsid w:val="00F12194"/>
    <w:rsid w:val="00F138C3"/>
    <w:rsid w:val="00F14384"/>
    <w:rsid w:val="00F14D43"/>
    <w:rsid w:val="00F15C68"/>
    <w:rsid w:val="00F23EB0"/>
    <w:rsid w:val="00F255E9"/>
    <w:rsid w:val="00F25C9E"/>
    <w:rsid w:val="00F272DC"/>
    <w:rsid w:val="00F300A3"/>
    <w:rsid w:val="00F3358C"/>
    <w:rsid w:val="00F347D1"/>
    <w:rsid w:val="00F36E91"/>
    <w:rsid w:val="00F40C1F"/>
    <w:rsid w:val="00F45646"/>
    <w:rsid w:val="00F45FD4"/>
    <w:rsid w:val="00F5086D"/>
    <w:rsid w:val="00F51913"/>
    <w:rsid w:val="00F521C5"/>
    <w:rsid w:val="00F52BFC"/>
    <w:rsid w:val="00F53901"/>
    <w:rsid w:val="00F554B0"/>
    <w:rsid w:val="00F56CAE"/>
    <w:rsid w:val="00F57B9E"/>
    <w:rsid w:val="00F57FE7"/>
    <w:rsid w:val="00F60ABB"/>
    <w:rsid w:val="00F62401"/>
    <w:rsid w:val="00F65F45"/>
    <w:rsid w:val="00F671D5"/>
    <w:rsid w:val="00F70C7B"/>
    <w:rsid w:val="00F720F3"/>
    <w:rsid w:val="00F73142"/>
    <w:rsid w:val="00F77A71"/>
    <w:rsid w:val="00F81D02"/>
    <w:rsid w:val="00F903B6"/>
    <w:rsid w:val="00F93AA0"/>
    <w:rsid w:val="00F94668"/>
    <w:rsid w:val="00F949C4"/>
    <w:rsid w:val="00F94BFE"/>
    <w:rsid w:val="00F95AC9"/>
    <w:rsid w:val="00F9792D"/>
    <w:rsid w:val="00FA5736"/>
    <w:rsid w:val="00FA6AD5"/>
    <w:rsid w:val="00FB123D"/>
    <w:rsid w:val="00FB1423"/>
    <w:rsid w:val="00FB1E1F"/>
    <w:rsid w:val="00FB3DBA"/>
    <w:rsid w:val="00FB520B"/>
    <w:rsid w:val="00FB58BC"/>
    <w:rsid w:val="00FB7F04"/>
    <w:rsid w:val="00FC0FD0"/>
    <w:rsid w:val="00FC4900"/>
    <w:rsid w:val="00FC4F58"/>
    <w:rsid w:val="00FC5457"/>
    <w:rsid w:val="00FC58BA"/>
    <w:rsid w:val="00FC634A"/>
    <w:rsid w:val="00FC7DCD"/>
    <w:rsid w:val="00FD59CB"/>
    <w:rsid w:val="00FD6270"/>
    <w:rsid w:val="00FD7C6F"/>
    <w:rsid w:val="00FE1C88"/>
    <w:rsid w:val="00FE5A66"/>
    <w:rsid w:val="00FF214D"/>
    <w:rsid w:val="00FF2F46"/>
    <w:rsid w:val="00FF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7F024D"/>
  <w15:chartTrackingRefBased/>
  <w15:docId w15:val="{14100614-4562-4EB4-B5FF-E851D278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707"/>
    <w:pPr>
      <w:ind w:left="720"/>
      <w:contextualSpacing/>
    </w:pPr>
  </w:style>
  <w:style w:type="paragraph" w:styleId="FootnoteText">
    <w:name w:val="footnote text"/>
    <w:basedOn w:val="Normal"/>
    <w:link w:val="FootnoteTextChar"/>
    <w:uiPriority w:val="99"/>
    <w:semiHidden/>
    <w:unhideWhenUsed/>
    <w:rsid w:val="00F554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4B0"/>
    <w:rPr>
      <w:sz w:val="20"/>
      <w:szCs w:val="20"/>
    </w:rPr>
  </w:style>
  <w:style w:type="character" w:styleId="FootnoteReference">
    <w:name w:val="footnote reference"/>
    <w:basedOn w:val="DefaultParagraphFont"/>
    <w:uiPriority w:val="99"/>
    <w:semiHidden/>
    <w:unhideWhenUsed/>
    <w:rsid w:val="00F554B0"/>
    <w:rPr>
      <w:vertAlign w:val="superscript"/>
    </w:rPr>
  </w:style>
  <w:style w:type="character" w:styleId="CommentReference">
    <w:name w:val="annotation reference"/>
    <w:basedOn w:val="DefaultParagraphFont"/>
    <w:uiPriority w:val="99"/>
    <w:semiHidden/>
    <w:unhideWhenUsed/>
    <w:rsid w:val="00AC203A"/>
    <w:rPr>
      <w:sz w:val="16"/>
      <w:szCs w:val="16"/>
    </w:rPr>
  </w:style>
  <w:style w:type="paragraph" w:styleId="CommentText">
    <w:name w:val="annotation text"/>
    <w:basedOn w:val="Normal"/>
    <w:link w:val="CommentTextChar"/>
    <w:uiPriority w:val="99"/>
    <w:unhideWhenUsed/>
    <w:rsid w:val="00AC203A"/>
    <w:pPr>
      <w:spacing w:line="240" w:lineRule="auto"/>
    </w:pPr>
    <w:rPr>
      <w:sz w:val="20"/>
      <w:szCs w:val="20"/>
    </w:rPr>
  </w:style>
  <w:style w:type="character" w:customStyle="1" w:styleId="CommentTextChar">
    <w:name w:val="Comment Text Char"/>
    <w:basedOn w:val="DefaultParagraphFont"/>
    <w:link w:val="CommentText"/>
    <w:uiPriority w:val="99"/>
    <w:rsid w:val="00AC203A"/>
    <w:rPr>
      <w:sz w:val="20"/>
      <w:szCs w:val="20"/>
    </w:rPr>
  </w:style>
  <w:style w:type="paragraph" w:styleId="CommentSubject">
    <w:name w:val="annotation subject"/>
    <w:basedOn w:val="CommentText"/>
    <w:next w:val="CommentText"/>
    <w:link w:val="CommentSubjectChar"/>
    <w:uiPriority w:val="99"/>
    <w:semiHidden/>
    <w:unhideWhenUsed/>
    <w:rsid w:val="00AC203A"/>
    <w:rPr>
      <w:b/>
      <w:bCs/>
    </w:rPr>
  </w:style>
  <w:style w:type="character" w:customStyle="1" w:styleId="CommentSubjectChar">
    <w:name w:val="Comment Subject Char"/>
    <w:basedOn w:val="CommentTextChar"/>
    <w:link w:val="CommentSubject"/>
    <w:uiPriority w:val="99"/>
    <w:semiHidden/>
    <w:rsid w:val="00AC203A"/>
    <w:rPr>
      <w:b/>
      <w:bCs/>
      <w:sz w:val="20"/>
      <w:szCs w:val="20"/>
    </w:rPr>
  </w:style>
  <w:style w:type="paragraph" w:styleId="BalloonText">
    <w:name w:val="Balloon Text"/>
    <w:basedOn w:val="Normal"/>
    <w:link w:val="BalloonTextChar"/>
    <w:uiPriority w:val="99"/>
    <w:semiHidden/>
    <w:unhideWhenUsed/>
    <w:rsid w:val="00AC203A"/>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AC203A"/>
    <w:rPr>
      <w:rFonts w:ascii="MS Shell Dlg" w:hAnsi="MS Shell Dlg" w:cs="MS Shell Dlg"/>
      <w:sz w:val="18"/>
      <w:szCs w:val="18"/>
    </w:rPr>
  </w:style>
  <w:style w:type="paragraph" w:customStyle="1" w:styleId="Default">
    <w:name w:val="Default"/>
    <w:rsid w:val="00AC203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9788C"/>
    <w:rPr>
      <w:color w:val="0000FF"/>
      <w:u w:val="single"/>
    </w:rPr>
  </w:style>
  <w:style w:type="character" w:customStyle="1" w:styleId="Mentionnonrsolue1">
    <w:name w:val="Mention non résolue1"/>
    <w:basedOn w:val="DefaultParagraphFont"/>
    <w:uiPriority w:val="99"/>
    <w:semiHidden/>
    <w:unhideWhenUsed/>
    <w:rsid w:val="000D5876"/>
    <w:rPr>
      <w:color w:val="605E5C"/>
      <w:shd w:val="clear" w:color="auto" w:fill="E1DFDD"/>
    </w:rPr>
  </w:style>
  <w:style w:type="table" w:styleId="TableGrid">
    <w:name w:val="Table Grid"/>
    <w:basedOn w:val="TableNormal"/>
    <w:uiPriority w:val="39"/>
    <w:rsid w:val="000D5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4FDF"/>
    <w:pPr>
      <w:spacing w:after="0" w:line="240" w:lineRule="auto"/>
    </w:pPr>
  </w:style>
  <w:style w:type="paragraph" w:styleId="Header">
    <w:name w:val="header"/>
    <w:basedOn w:val="Normal"/>
    <w:link w:val="HeaderChar"/>
    <w:uiPriority w:val="99"/>
    <w:unhideWhenUsed/>
    <w:rsid w:val="00334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3F3"/>
  </w:style>
  <w:style w:type="paragraph" w:styleId="Footer">
    <w:name w:val="footer"/>
    <w:basedOn w:val="Normal"/>
    <w:link w:val="FooterChar"/>
    <w:uiPriority w:val="99"/>
    <w:unhideWhenUsed/>
    <w:rsid w:val="00334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3F3"/>
  </w:style>
  <w:style w:type="paragraph" w:customStyle="1" w:styleId="pf0">
    <w:name w:val="pf0"/>
    <w:basedOn w:val="Normal"/>
    <w:rsid w:val="008138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13857"/>
    <w:rPr>
      <w:rFonts w:ascii="Segoe UI" w:hAnsi="Segoe UI" w:cs="Segoe UI" w:hint="default"/>
      <w:sz w:val="18"/>
      <w:szCs w:val="18"/>
    </w:rPr>
  </w:style>
  <w:style w:type="character" w:styleId="FollowedHyperlink">
    <w:name w:val="FollowedHyperlink"/>
    <w:basedOn w:val="DefaultParagraphFont"/>
    <w:uiPriority w:val="99"/>
    <w:semiHidden/>
    <w:unhideWhenUsed/>
    <w:rsid w:val="0049788C"/>
    <w:rPr>
      <w:color w:val="954F72" w:themeColor="followedHyperlink"/>
      <w:u w:val="single"/>
    </w:rPr>
  </w:style>
  <w:style w:type="character" w:customStyle="1" w:styleId="apple-tab-span">
    <w:name w:val="apple-tab-span"/>
    <w:basedOn w:val="DefaultParagraphFont"/>
    <w:rsid w:val="00FB3DBA"/>
  </w:style>
  <w:style w:type="character" w:styleId="UnresolvedMention">
    <w:name w:val="Unresolved Mention"/>
    <w:basedOn w:val="DefaultParagraphFont"/>
    <w:uiPriority w:val="99"/>
    <w:semiHidden/>
    <w:unhideWhenUsed/>
    <w:rsid w:val="000B5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02185">
      <w:bodyDiv w:val="1"/>
      <w:marLeft w:val="0"/>
      <w:marRight w:val="0"/>
      <w:marTop w:val="0"/>
      <w:marBottom w:val="0"/>
      <w:divBdr>
        <w:top w:val="none" w:sz="0" w:space="0" w:color="auto"/>
        <w:left w:val="none" w:sz="0" w:space="0" w:color="auto"/>
        <w:bottom w:val="none" w:sz="0" w:space="0" w:color="auto"/>
        <w:right w:val="none" w:sz="0" w:space="0" w:color="auto"/>
      </w:divBdr>
    </w:div>
    <w:div w:id="237714571">
      <w:bodyDiv w:val="1"/>
      <w:marLeft w:val="0"/>
      <w:marRight w:val="0"/>
      <w:marTop w:val="0"/>
      <w:marBottom w:val="0"/>
      <w:divBdr>
        <w:top w:val="none" w:sz="0" w:space="0" w:color="auto"/>
        <w:left w:val="none" w:sz="0" w:space="0" w:color="auto"/>
        <w:bottom w:val="none" w:sz="0" w:space="0" w:color="auto"/>
        <w:right w:val="none" w:sz="0" w:space="0" w:color="auto"/>
      </w:divBdr>
    </w:div>
    <w:div w:id="893933866">
      <w:bodyDiv w:val="1"/>
      <w:marLeft w:val="0"/>
      <w:marRight w:val="0"/>
      <w:marTop w:val="0"/>
      <w:marBottom w:val="0"/>
      <w:divBdr>
        <w:top w:val="none" w:sz="0" w:space="0" w:color="auto"/>
        <w:left w:val="none" w:sz="0" w:space="0" w:color="auto"/>
        <w:bottom w:val="none" w:sz="0" w:space="0" w:color="auto"/>
        <w:right w:val="none" w:sz="0" w:space="0" w:color="auto"/>
      </w:divBdr>
    </w:div>
    <w:div w:id="1473013016">
      <w:bodyDiv w:val="1"/>
      <w:marLeft w:val="0"/>
      <w:marRight w:val="0"/>
      <w:marTop w:val="0"/>
      <w:marBottom w:val="0"/>
      <w:divBdr>
        <w:top w:val="none" w:sz="0" w:space="0" w:color="auto"/>
        <w:left w:val="none" w:sz="0" w:space="0" w:color="auto"/>
        <w:bottom w:val="none" w:sz="0" w:space="0" w:color="auto"/>
        <w:right w:val="none" w:sz="0" w:space="0" w:color="auto"/>
      </w:divBdr>
    </w:div>
    <w:div w:id="1706520635">
      <w:bodyDiv w:val="1"/>
      <w:marLeft w:val="0"/>
      <w:marRight w:val="0"/>
      <w:marTop w:val="0"/>
      <w:marBottom w:val="0"/>
      <w:divBdr>
        <w:top w:val="none" w:sz="0" w:space="0" w:color="auto"/>
        <w:left w:val="none" w:sz="0" w:space="0" w:color="auto"/>
        <w:bottom w:val="none" w:sz="0" w:space="0" w:color="auto"/>
        <w:right w:val="none" w:sz="0" w:space="0" w:color="auto"/>
      </w:divBdr>
    </w:div>
    <w:div w:id="2105102609">
      <w:bodyDiv w:val="1"/>
      <w:marLeft w:val="0"/>
      <w:marRight w:val="0"/>
      <w:marTop w:val="0"/>
      <w:marBottom w:val="0"/>
      <w:divBdr>
        <w:top w:val="none" w:sz="0" w:space="0" w:color="auto"/>
        <w:left w:val="none" w:sz="0" w:space="0" w:color="auto"/>
        <w:bottom w:val="none" w:sz="0" w:space="0" w:color="auto"/>
        <w:right w:val="none" w:sz="0" w:space="0" w:color="auto"/>
      </w:divBdr>
    </w:div>
    <w:div w:id="212056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fr/document/resolution-xi8-annexe-1-fiche-descriptive-sur-les-sites-ramsar-fdr-revision-201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fr/document/resolution-xi8-annexe-1-fiche-descriptive-sur-les-sites-ramsar-fdr-revision-201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fr/document/cop11-doc-22-generalites-motivation-et-questions-concernant-les-revisions-2012-propose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fr/document/cadre-strategique-et-lignes-directrices-pour-orienter-levolution-de-la-liste-des-zones-2" TargetMode="External"/><Relationship Id="rId1" Type="http://schemas.openxmlformats.org/officeDocument/2006/relationships/hyperlink" Target="https://rsis.ramsar.org/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D14D6-E3ED-4D90-B2ED-45573B53A5E0}">
  <ds:schemaRef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aedd258d-19a7-41ba-8260-b0918f25313d"/>
    <ds:schemaRef ds:uri="8c0b6b05-eb82-4bda-97e8-cd82d0d6b453"/>
    <ds:schemaRef ds:uri="http://purl.org/dc/dcmitype/"/>
  </ds:schemaRefs>
</ds:datastoreItem>
</file>

<file path=customXml/itemProps2.xml><?xml version="1.0" encoding="utf-8"?>
<ds:datastoreItem xmlns:ds="http://schemas.openxmlformats.org/officeDocument/2006/customXml" ds:itemID="{D3D3A18E-632C-41A1-AF94-C683AFDF2624}">
  <ds:schemaRefs>
    <ds:schemaRef ds:uri="http://schemas.microsoft.com/sharepoint/v3/contenttype/forms"/>
  </ds:schemaRefs>
</ds:datastoreItem>
</file>

<file path=customXml/itemProps3.xml><?xml version="1.0" encoding="utf-8"?>
<ds:datastoreItem xmlns:ds="http://schemas.openxmlformats.org/officeDocument/2006/customXml" ds:itemID="{EE00BBC0-2577-4E4C-A356-BCA530261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8F3363-53C1-4D1C-BA7A-AF6695F4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2760</Words>
  <Characters>15736</Characters>
  <Application>Microsoft Office Word</Application>
  <DocSecurity>0</DocSecurity>
  <Lines>131</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18460</CharactersWithSpaces>
  <SharedDoc>false</SharedDoc>
  <HLinks>
    <vt:vector size="30" baseType="variant">
      <vt:variant>
        <vt:i4>2752613</vt:i4>
      </vt:variant>
      <vt:variant>
        <vt:i4>12</vt:i4>
      </vt:variant>
      <vt:variant>
        <vt:i4>0</vt:i4>
      </vt:variant>
      <vt:variant>
        <vt:i4>5</vt:i4>
      </vt:variant>
      <vt:variant>
        <vt:lpwstr>https://www.ramsar.org/sites/default/files/documents/library/cop11-doc22-e-ris.pdf</vt:lpwstr>
      </vt:variant>
      <vt:variant>
        <vt:lpwstr/>
      </vt:variant>
      <vt:variant>
        <vt:i4>4259927</vt:i4>
      </vt:variant>
      <vt:variant>
        <vt:i4>9</vt:i4>
      </vt:variant>
      <vt:variant>
        <vt:i4>0</vt:i4>
      </vt:variant>
      <vt:variant>
        <vt:i4>5</vt:i4>
      </vt:variant>
      <vt:variant>
        <vt:lpwstr>https://www.ramsar.org/sites/default/files/documents/pdf/cop11/res/cop11-res08-e-anx1.pdf</vt:lpwstr>
      </vt:variant>
      <vt:variant>
        <vt:lpwstr/>
      </vt:variant>
      <vt:variant>
        <vt:i4>4259927</vt:i4>
      </vt:variant>
      <vt:variant>
        <vt:i4>6</vt:i4>
      </vt:variant>
      <vt:variant>
        <vt:i4>0</vt:i4>
      </vt:variant>
      <vt:variant>
        <vt:i4>5</vt:i4>
      </vt:variant>
      <vt:variant>
        <vt:lpwstr>https://www.ramsar.org/sites/default/files/documents/pdf/cop11/res/cop11-res08-e-anx1.pdf</vt:lpwstr>
      </vt:variant>
      <vt:variant>
        <vt:lpwstr/>
      </vt:variant>
      <vt:variant>
        <vt:i4>5963819</vt:i4>
      </vt:variant>
      <vt:variant>
        <vt:i4>3</vt:i4>
      </vt:variant>
      <vt:variant>
        <vt:i4>0</vt:i4>
      </vt:variant>
      <vt:variant>
        <vt:i4>5</vt:i4>
      </vt:variant>
      <vt:variant>
        <vt:lpwstr>https://www.ramsar.org/sites/default/files/documents/library/xi.8_annex2_framework_for_new_rsis_e_revcop14.pdf</vt:lpwstr>
      </vt:variant>
      <vt:variant>
        <vt:lpwstr/>
      </vt:variant>
      <vt:variant>
        <vt:i4>1835037</vt:i4>
      </vt:variant>
      <vt:variant>
        <vt:i4>0</vt:i4>
      </vt:variant>
      <vt:variant>
        <vt:i4>0</vt:i4>
      </vt:variant>
      <vt:variant>
        <vt:i4>5</vt:i4>
      </vt:variant>
      <vt:variant>
        <vt:lpwstr>https://rsis.ramsar.org/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5</cp:revision>
  <dcterms:created xsi:type="dcterms:W3CDTF">2024-02-26T10:34:00Z</dcterms:created>
  <dcterms:modified xsi:type="dcterms:W3CDTF">2024-03-01T14:09:00Z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