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4D9C0" w14:textId="43384ECD" w:rsidR="00F26729" w:rsidRPr="00451C38" w:rsidRDefault="00555598" w:rsidP="00DC040C">
      <w:pPr>
        <w:pBdr>
          <w:top w:val="single" w:sz="12" w:space="0" w:color="auto" w:shadow="1"/>
          <w:left w:val="single" w:sz="12" w:space="4" w:color="auto" w:shadow="1"/>
          <w:bottom w:val="single" w:sz="12" w:space="1" w:color="auto" w:shadow="1"/>
          <w:right w:val="single" w:sz="12" w:space="7" w:color="auto" w:shadow="1"/>
        </w:pBdr>
        <w:ind w:right="4490"/>
        <w:rPr>
          <w:bCs/>
        </w:rPr>
      </w:pPr>
      <w:r w:rsidRPr="00451C38">
        <w:t xml:space="preserve">LA CONVENCIÓN SOBRE LOS HUMEDALES </w:t>
      </w:r>
    </w:p>
    <w:p w14:paraId="30F29077" w14:textId="7348B11C" w:rsidR="00F26729" w:rsidRPr="00451C38" w:rsidRDefault="00F26729" w:rsidP="00DC040C">
      <w:pPr>
        <w:pBdr>
          <w:top w:val="single" w:sz="12" w:space="0" w:color="auto" w:shadow="1"/>
          <w:left w:val="single" w:sz="12" w:space="4" w:color="auto" w:shadow="1"/>
          <w:bottom w:val="single" w:sz="12" w:space="1" w:color="auto" w:shadow="1"/>
          <w:right w:val="single" w:sz="12" w:space="7" w:color="auto" w:shadow="1"/>
        </w:pBdr>
        <w:ind w:right="4490"/>
        <w:rPr>
          <w:bCs/>
        </w:rPr>
      </w:pPr>
      <w:r w:rsidRPr="00451C38">
        <w:t>63ª reunión del Comité Permanente</w:t>
      </w:r>
    </w:p>
    <w:p w14:paraId="649CE67E" w14:textId="1B9E8843" w:rsidR="00F26729" w:rsidRPr="00451C38" w:rsidRDefault="00F26729" w:rsidP="00DC040C">
      <w:pPr>
        <w:pBdr>
          <w:top w:val="single" w:sz="12" w:space="0" w:color="auto" w:shadow="1"/>
          <w:left w:val="single" w:sz="12" w:space="4" w:color="auto" w:shadow="1"/>
          <w:bottom w:val="single" w:sz="12" w:space="1" w:color="auto" w:shadow="1"/>
          <w:right w:val="single" w:sz="12" w:space="7" w:color="auto" w:shadow="1"/>
        </w:pBdr>
        <w:ind w:right="4490"/>
        <w:rPr>
          <w:bCs/>
        </w:rPr>
      </w:pPr>
      <w:proofErr w:type="spellStart"/>
      <w:r w:rsidRPr="00451C38">
        <w:t>Gland</w:t>
      </w:r>
      <w:proofErr w:type="spellEnd"/>
      <w:r w:rsidRPr="00451C38">
        <w:t>, Suiza, 3 a 7 de junio de 2024</w:t>
      </w:r>
    </w:p>
    <w:p w14:paraId="1476A649" w14:textId="77777777" w:rsidR="008F4369" w:rsidRPr="00451C38" w:rsidRDefault="008F4369">
      <w:pPr>
        <w:jc w:val="right"/>
        <w:rPr>
          <w:rFonts w:cs="Arial"/>
          <w:b/>
          <w:sz w:val="28"/>
          <w:szCs w:val="28"/>
        </w:rPr>
      </w:pPr>
    </w:p>
    <w:p w14:paraId="724351A1" w14:textId="6C6ECF0C" w:rsidR="00F26729" w:rsidRPr="00451C38" w:rsidRDefault="00F26729">
      <w:pPr>
        <w:jc w:val="right"/>
        <w:rPr>
          <w:rFonts w:cs="Arial"/>
          <w:sz w:val="28"/>
          <w:szCs w:val="28"/>
        </w:rPr>
      </w:pPr>
      <w:r w:rsidRPr="00451C38">
        <w:rPr>
          <w:b/>
          <w:sz w:val="28"/>
          <w:szCs w:val="28"/>
        </w:rPr>
        <w:t>SC63 Doc.18</w:t>
      </w:r>
    </w:p>
    <w:p w14:paraId="7AB6FE07" w14:textId="77777777" w:rsidR="008F4369" w:rsidRPr="00451C38" w:rsidRDefault="008F4369">
      <w:pPr>
        <w:jc w:val="center"/>
        <w:rPr>
          <w:rFonts w:cs="Arial"/>
          <w:b/>
          <w:sz w:val="28"/>
          <w:szCs w:val="28"/>
        </w:rPr>
      </w:pPr>
    </w:p>
    <w:p w14:paraId="1B9F6FDF" w14:textId="26D5FF7C" w:rsidR="00F26729" w:rsidRPr="00451C38" w:rsidRDefault="00F26729">
      <w:pPr>
        <w:jc w:val="center"/>
        <w:rPr>
          <w:rFonts w:cs="Arial"/>
          <w:b/>
          <w:sz w:val="28"/>
          <w:szCs w:val="28"/>
        </w:rPr>
      </w:pPr>
      <w:r w:rsidRPr="00451C38">
        <w:rPr>
          <w:b/>
          <w:sz w:val="28"/>
          <w:szCs w:val="28"/>
        </w:rPr>
        <w:t xml:space="preserve">Informe del Grupo de Trabajo sobre la Juventud </w:t>
      </w:r>
    </w:p>
    <w:p w14:paraId="5B41AC3C" w14:textId="77777777" w:rsidR="0016014E" w:rsidRPr="00451C38" w:rsidRDefault="0016014E">
      <w:pPr>
        <w:ind w:left="0" w:right="-188" w:firstLine="0"/>
        <w:rPr>
          <w:rFonts w:ascii="Arial" w:hAnsi="Arial" w:cs="Arial"/>
          <w:b/>
          <w:bCs/>
          <w:sz w:val="20"/>
          <w:szCs w:val="20"/>
          <w:lang w:eastAsia="en-AU"/>
        </w:rPr>
      </w:pPr>
    </w:p>
    <w:p w14:paraId="3CBD20EB" w14:textId="77777777" w:rsidR="0016014E" w:rsidRPr="00451C38" w:rsidRDefault="0016014E">
      <w:pPr>
        <w:ind w:left="0" w:right="-188" w:firstLine="0"/>
        <w:rPr>
          <w:rFonts w:ascii="Arial" w:hAnsi="Arial" w:cs="Arial"/>
          <w:b/>
          <w:bCs/>
          <w:sz w:val="20"/>
          <w:szCs w:val="20"/>
          <w:lang w:eastAsia="en-AU"/>
        </w:rPr>
      </w:pPr>
    </w:p>
    <w:p w14:paraId="0CB88D37" w14:textId="77777777" w:rsidR="00416ED2" w:rsidRPr="00451C38" w:rsidRDefault="00416ED2" w:rsidP="00F44065">
      <w:pPr>
        <w:autoSpaceDE w:val="0"/>
        <w:autoSpaceDN w:val="0"/>
        <w:adjustRightInd w:val="0"/>
        <w:ind w:left="0" w:firstLine="0"/>
        <w:rPr>
          <w:rFonts w:asciiTheme="minorHAnsi" w:eastAsiaTheme="minorHAnsi" w:hAnsiTheme="minorHAnsi" w:cs="Calibri-Bold"/>
          <w:b/>
          <w:bCs/>
        </w:rPr>
      </w:pPr>
      <w:r w:rsidRPr="00451C38">
        <w:rPr>
          <w:rFonts w:asciiTheme="minorHAnsi" w:eastAsiaTheme="minorHAnsi" w:hAnsiTheme="minorHAnsi" w:cstheme="minorBidi"/>
          <w:noProof/>
        </w:rPr>
        <mc:AlternateContent>
          <mc:Choice Requires="wps">
            <w:drawing>
              <wp:inline distT="0" distB="0" distL="0" distR="0" wp14:anchorId="1F0E3C11" wp14:editId="3AC112AF">
                <wp:extent cx="5800725" cy="118110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81100"/>
                        </a:xfrm>
                        <a:prstGeom prst="rect">
                          <a:avLst/>
                        </a:prstGeom>
                        <a:solidFill>
                          <a:srgbClr val="FFFFFF"/>
                        </a:solidFill>
                        <a:ln w="9525">
                          <a:solidFill>
                            <a:srgbClr val="000000"/>
                          </a:solidFill>
                          <a:miter lim="800000"/>
                          <a:headEnd/>
                          <a:tailEnd/>
                        </a:ln>
                      </wps:spPr>
                      <wps:txbx>
                        <w:txbxContent>
                          <w:p w14:paraId="6134D0BF" w14:textId="2C39C120" w:rsidR="00416ED2" w:rsidRDefault="00416ED2" w:rsidP="00416ED2">
                            <w:pPr>
                              <w:rPr>
                                <w:b/>
                                <w:bCs/>
                              </w:rPr>
                            </w:pPr>
                            <w:r>
                              <w:rPr>
                                <w:b/>
                                <w:bCs/>
                              </w:rPr>
                              <w:t xml:space="preserve">Acción solicitada: </w:t>
                            </w:r>
                          </w:p>
                          <w:p w14:paraId="42391E22" w14:textId="77777777" w:rsidR="00416ED2" w:rsidRPr="00AE6399" w:rsidRDefault="00416ED2" w:rsidP="00416ED2">
                            <w:pPr>
                              <w:pStyle w:val="ColorfulList-Accent11"/>
                              <w:ind w:left="0"/>
                            </w:pPr>
                          </w:p>
                          <w:p w14:paraId="0B55ABDB" w14:textId="35765C30" w:rsidR="00997800" w:rsidRPr="00AE6399" w:rsidRDefault="00965531" w:rsidP="00E220EE">
                            <w:pPr>
                              <w:pStyle w:val="ColorfulList-Accent11"/>
                              <w:ind w:left="0" w:firstLine="0"/>
                              <w:rPr>
                                <w:rFonts w:cs="Calibri"/>
                              </w:rPr>
                            </w:pPr>
                            <w:r>
                              <w:t>Se invita al Comité Permanente a tomar nota de los progresos realizados por el Grupo de Trabajo sobre la Juventud, que celebró cuatro reuniones virtuales. El Grupo ultimó el plan de trabajo de conformidad con el párrafo 17 de la Resolución XIV.12, y ahora ha pasado a ocuparse de su ejecución.</w:t>
                            </w:r>
                          </w:p>
                        </w:txbxContent>
                      </wps:txbx>
                      <wps:bodyPr rot="0" vert="horz" wrap="square" lIns="91440" tIns="45720" rIns="91440" bIns="45720" anchor="t" anchorCtr="0" upright="1">
                        <a:noAutofit/>
                      </wps:bodyPr>
                    </wps:wsp>
                  </a:graphicData>
                </a:graphic>
              </wp:inline>
            </w:drawing>
          </mc:Choice>
          <mc:Fallback>
            <w:pict>
              <v:shapetype w14:anchorId="1F0E3C11" id="_x0000_t202" coordsize="21600,21600" o:spt="202" path="m,l,21600r21600,l21600,xe">
                <v:stroke joinstyle="miter"/>
                <v:path gradientshapeok="t" o:connecttype="rect"/>
              </v:shapetype>
              <v:shape id="Text Box 1" o:spid="_x0000_s1026" type="#_x0000_t202" style="width:456.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">
                <v:textbox>
                  <w:txbxContent>
                    <w:p w14:paraId="6134D0BF" w14:textId="2C39C120" w:rsidR="00416ED2" w:rsidRDefault="00416ED2" w:rsidP="00416ED2">
                      <w:pPr>
                        <w:rPr>
                          <w:b/>
                          <w:bCs/>
                        </w:rPr>
                      </w:pPr>
                      <w:r>
                        <w:rPr>
                          <w:b/>
                          <w:bCs/>
                        </w:rPr>
                        <w:t xml:space="preserve">Acción solicitada:</w:t>
                      </w:r>
                      <w:r>
                        <w:rPr>
                          <w:b/>
                          <w:bCs/>
                        </w:rPr>
                        <w:t xml:space="preserve"> </w:t>
                      </w:r>
                    </w:p>
                    <w:p w14:paraId="42391E22" w14:textId="77777777" w:rsidR="00416ED2" w:rsidRPr="00AE6399" w:rsidRDefault="00416ED2" w:rsidP="00416ED2">
                      <w:pPr>
                        <w:pStyle w:val="ColorfulList-Accent11"/>
                        <w:ind w:left="0"/>
                      </w:pPr>
                    </w:p>
                    <w:p w14:paraId="0B55ABDB" w14:textId="35765C30" w:rsidR="00997800" w:rsidRPr="00AE6399" w:rsidRDefault="00965531" w:rsidP="00E220EE">
                      <w:pPr>
                        <w:pStyle w:val="ColorfulList-Accent11"/>
                        <w:ind w:left="0" w:firstLine="0"/>
                        <w:rPr>
                          <w:rFonts w:cs="Calibri"/>
                        </w:rPr>
                      </w:pPr>
                      <w:r>
                        <w:t xml:space="preserve">Se invita al Comité Permanente a tomar nota de los progresos realizados por el Grupo de Trabajo sobre la Juventud, que celebró cuatro reuniones virtuales.</w:t>
                      </w:r>
                      <w:r>
                        <w:t xml:space="preserve"> </w:t>
                      </w:r>
                      <w:r>
                        <w:t xml:space="preserve">El Grupo ultimó el plan de trabajo de conformidad con el párrafo 17 de la Resolución XIV.12, y ahora ha pasado a ocuparse de su ejecución.</w:t>
                      </w:r>
                    </w:p>
                  </w:txbxContent>
                </v:textbox>
                <w10:anchorlock/>
              </v:shape>
            </w:pict>
          </mc:Fallback>
        </mc:AlternateContent>
      </w:r>
    </w:p>
    <w:p w14:paraId="06BA384B" w14:textId="77777777" w:rsidR="008F4369" w:rsidRPr="00451C38" w:rsidRDefault="008F4369">
      <w:pPr>
        <w:ind w:left="0" w:right="-188" w:firstLine="0"/>
        <w:rPr>
          <w:rFonts w:ascii="Arial" w:hAnsi="Arial" w:cs="Arial"/>
          <w:b/>
          <w:bCs/>
          <w:sz w:val="20"/>
          <w:szCs w:val="20"/>
          <w:lang w:eastAsia="en-AU"/>
        </w:rPr>
      </w:pPr>
    </w:p>
    <w:p w14:paraId="13D7170D" w14:textId="2C34F57B" w:rsidR="000C5687" w:rsidRPr="00451C38" w:rsidRDefault="000C5687">
      <w:pPr>
        <w:ind w:left="0" w:right="-188" w:firstLine="0"/>
        <w:rPr>
          <w:rFonts w:ascii="Arial" w:hAnsi="Arial" w:cs="Arial"/>
          <w:b/>
          <w:bCs/>
          <w:sz w:val="20"/>
          <w:szCs w:val="20"/>
          <w:lang w:eastAsia="en-AU"/>
        </w:rPr>
      </w:pPr>
    </w:p>
    <w:p w14:paraId="3B3F9106" w14:textId="5C86AD16" w:rsidR="0016014E" w:rsidRPr="00451C38" w:rsidRDefault="0016014E" w:rsidP="00F44065">
      <w:pPr>
        <w:ind w:left="567" w:right="-188" w:hanging="567"/>
        <w:rPr>
          <w:rFonts w:ascii="Arial" w:hAnsi="Arial" w:cs="Arial"/>
          <w:b/>
          <w:bCs/>
          <w:sz w:val="20"/>
          <w:szCs w:val="20"/>
        </w:rPr>
      </w:pPr>
      <w:r w:rsidRPr="00451C38">
        <w:rPr>
          <w:rFonts w:ascii="Arial" w:hAnsi="Arial"/>
          <w:b/>
          <w:bCs/>
          <w:sz w:val="20"/>
          <w:szCs w:val="20"/>
        </w:rPr>
        <w:t xml:space="preserve">Antecedentes </w:t>
      </w:r>
    </w:p>
    <w:p w14:paraId="3C436054" w14:textId="77777777" w:rsidR="00A4164A" w:rsidRPr="00451C38" w:rsidRDefault="00A4164A" w:rsidP="00F44065">
      <w:pPr>
        <w:ind w:left="567" w:hanging="567"/>
        <w:rPr>
          <w:rFonts w:cs="Calibri"/>
        </w:rPr>
      </w:pPr>
    </w:p>
    <w:p w14:paraId="7AD650EF" w14:textId="12C10C2F" w:rsidR="008F4369" w:rsidRPr="00451C38" w:rsidRDefault="00B9279F" w:rsidP="00B9279F">
      <w:pPr>
        <w:ind w:left="426" w:hanging="426"/>
        <w:rPr>
          <w:rFonts w:cstheme="minorHAnsi"/>
        </w:rPr>
      </w:pPr>
      <w:r w:rsidRPr="00451C38">
        <w:t>1.</w:t>
      </w:r>
      <w:r w:rsidR="00451C38" w:rsidRPr="00451C38">
        <w:rPr>
          <w:rFonts w:cs="Calibri"/>
        </w:rPr>
        <w:tab/>
      </w:r>
      <w:r w:rsidR="00F44065" w:rsidRPr="00451C38">
        <w:t xml:space="preserve">En la Resolución XIV.12, </w:t>
      </w:r>
      <w:r w:rsidR="00F44065" w:rsidRPr="00451C38">
        <w:rPr>
          <w:i/>
        </w:rPr>
        <w:t>Fortalecimiento de las conexiones de Ramsar a través de la juventud</w:t>
      </w:r>
      <w:r w:rsidR="00F44065" w:rsidRPr="00451C38">
        <w:t>, se pidió al Comité Permanente que estableciera el Grupo de Trabajo sobre la Juventud, con el mandato de brindar asesoramiento sobre la forma de integrar la participación de la juventud en la gobernanza, los programas de trabajo y otras actividades de la Convención.</w:t>
      </w:r>
    </w:p>
    <w:p w14:paraId="64FF0330" w14:textId="77777777" w:rsidR="00B9279F" w:rsidRPr="00451C38" w:rsidRDefault="00B9279F" w:rsidP="00B9279F">
      <w:pPr>
        <w:ind w:left="426" w:hanging="426"/>
        <w:rPr>
          <w:rFonts w:cstheme="minorHAnsi"/>
        </w:rPr>
      </w:pPr>
    </w:p>
    <w:p w14:paraId="0AEBE06E" w14:textId="163A9F01" w:rsidR="00B32AE3" w:rsidRPr="00451C38" w:rsidRDefault="00B9279F" w:rsidP="00B9279F">
      <w:pPr>
        <w:ind w:left="426" w:hanging="426"/>
        <w:rPr>
          <w:rFonts w:cstheme="minorHAnsi"/>
        </w:rPr>
      </w:pPr>
      <w:r w:rsidRPr="00451C38">
        <w:t>2.</w:t>
      </w:r>
      <w:r w:rsidR="00451C38" w:rsidRPr="00451C38">
        <w:rPr>
          <w:rFonts w:cstheme="minorHAnsi"/>
        </w:rPr>
        <w:tab/>
      </w:r>
      <w:r w:rsidR="008C323E" w:rsidRPr="00451C38">
        <w:t>En su 61</w:t>
      </w:r>
      <w:r w:rsidR="008C323E" w:rsidRPr="00451C38">
        <w:rPr>
          <w:vertAlign w:val="superscript"/>
        </w:rPr>
        <w:t>a</w:t>
      </w:r>
      <w:r w:rsidR="008C323E" w:rsidRPr="00451C38">
        <w:t xml:space="preserve"> reunión (SC61), el Comité Permanente designó una presidencia con carácter interino y miembros provisionales del GTJ, mediante las Decisiones SC61-06 y SC61-07 respectivamente. </w:t>
      </w:r>
    </w:p>
    <w:p w14:paraId="1EB11AFF" w14:textId="77777777" w:rsidR="00CA7B82" w:rsidRPr="00451C38" w:rsidRDefault="00CA7B82" w:rsidP="00B9279F">
      <w:pPr>
        <w:ind w:left="851"/>
        <w:rPr>
          <w:rFonts w:cstheme="minorHAnsi"/>
        </w:rPr>
      </w:pPr>
    </w:p>
    <w:p w14:paraId="160D9C54" w14:textId="366BB3C4" w:rsidR="00B32AE3" w:rsidRPr="00451C38" w:rsidRDefault="00B9279F" w:rsidP="00B9279F">
      <w:pPr>
        <w:ind w:left="851"/>
        <w:rPr>
          <w:rFonts w:cstheme="minorHAnsi"/>
        </w:rPr>
      </w:pPr>
      <w:r w:rsidRPr="00451C38">
        <w:t>a.</w:t>
      </w:r>
      <w:r w:rsidR="00451C38" w:rsidRPr="00451C38">
        <w:rPr>
          <w:rFonts w:cstheme="minorHAnsi"/>
        </w:rPr>
        <w:tab/>
      </w:r>
      <w:r w:rsidR="00750D39" w:rsidRPr="00451C38">
        <w:t>Australia (copatrocinadora de la Resolución XIV.12 junto con Costa Rica) fue nombrada presidencia interina.</w:t>
      </w:r>
    </w:p>
    <w:p w14:paraId="4B324EB5" w14:textId="77777777" w:rsidR="00CA7B82" w:rsidRPr="00451C38" w:rsidRDefault="00CA7B82" w:rsidP="00B9279F">
      <w:pPr>
        <w:ind w:left="851"/>
        <w:rPr>
          <w:rFonts w:cstheme="minorHAnsi"/>
        </w:rPr>
      </w:pPr>
    </w:p>
    <w:p w14:paraId="2332F71E" w14:textId="070DA921" w:rsidR="00B32AE3" w:rsidRPr="00451C38" w:rsidRDefault="00B9279F" w:rsidP="00B9279F">
      <w:pPr>
        <w:ind w:left="851"/>
        <w:rPr>
          <w:rFonts w:cstheme="minorHAnsi"/>
        </w:rPr>
      </w:pPr>
      <w:r w:rsidRPr="00451C38">
        <w:t>b.</w:t>
      </w:r>
      <w:r w:rsidR="00451C38" w:rsidRPr="00451C38">
        <w:rPr>
          <w:rFonts w:cstheme="minorHAnsi"/>
        </w:rPr>
        <w:tab/>
      </w:r>
      <w:r w:rsidR="00244CA4" w:rsidRPr="00451C38">
        <w:t>El GTJ está compuesto por las siguientes Partes Contratantes: el Congo, en representación de la región de África; Iraq y la República Islámica de Irán, en representación de la región de Asia; Austria y Eslovaquia, en representación de la región de Europa; Colombia, en representación de la región de América Latina y el Caribe; y México, en representación de la región de América del Norte.</w:t>
      </w:r>
    </w:p>
    <w:p w14:paraId="59D3E20F" w14:textId="77777777" w:rsidR="00B9279F" w:rsidRPr="00451C38" w:rsidRDefault="00B9279F" w:rsidP="00B9279F">
      <w:pPr>
        <w:ind w:left="851"/>
        <w:rPr>
          <w:rFonts w:cstheme="minorHAnsi"/>
        </w:rPr>
      </w:pPr>
    </w:p>
    <w:p w14:paraId="753F0101" w14:textId="4855C871" w:rsidR="00B32AE3" w:rsidRPr="00451C38" w:rsidRDefault="00B9279F" w:rsidP="00B9279F">
      <w:pPr>
        <w:ind w:left="426" w:hanging="426"/>
        <w:rPr>
          <w:rFonts w:cstheme="minorHAnsi"/>
        </w:rPr>
      </w:pPr>
      <w:r w:rsidRPr="00451C38">
        <w:t>3.</w:t>
      </w:r>
      <w:r w:rsidR="00451C38" w:rsidRPr="00451C38">
        <w:rPr>
          <w:rFonts w:cstheme="minorHAnsi"/>
        </w:rPr>
        <w:tab/>
      </w:r>
      <w:r w:rsidR="008A3D7E" w:rsidRPr="00451C38">
        <w:t xml:space="preserve">Entre las reuniones SC61 y SC62, el GTJ celebró dos reuniones virtuales y dos talleres virtuales sobre la participación de la juventud con el objetivo de consultar a los jóvenes de todo el mundo e identificar el trabajo prioritario para el Grupo, lo que dio lugar a un informe de consultoría, que se utilizó para desarrollar un proyecto de plan de trabajo para la juventud. </w:t>
      </w:r>
    </w:p>
    <w:p w14:paraId="43F5C7B9" w14:textId="77777777" w:rsidR="00B9279F" w:rsidRPr="00451C38" w:rsidRDefault="00B9279F" w:rsidP="00B9279F">
      <w:pPr>
        <w:ind w:left="426" w:hanging="426"/>
        <w:rPr>
          <w:rFonts w:cstheme="minorHAnsi"/>
        </w:rPr>
      </w:pPr>
    </w:p>
    <w:p w14:paraId="0D166BAB" w14:textId="38D80AD2" w:rsidR="006A3AB1" w:rsidRPr="00451C38" w:rsidRDefault="00B9279F" w:rsidP="00B9279F">
      <w:pPr>
        <w:ind w:left="426" w:hanging="426"/>
        <w:rPr>
          <w:rFonts w:cstheme="minorHAnsi"/>
        </w:rPr>
      </w:pPr>
      <w:r w:rsidRPr="00451C38">
        <w:t>4.</w:t>
      </w:r>
      <w:r w:rsidR="00451C38" w:rsidRPr="00451C38">
        <w:rPr>
          <w:rFonts w:cstheme="minorHAnsi"/>
        </w:rPr>
        <w:tab/>
      </w:r>
      <w:r w:rsidR="00FF3E5A" w:rsidRPr="00451C38">
        <w:t>En su 62</w:t>
      </w:r>
      <w:r w:rsidR="00FF3E5A" w:rsidRPr="00451C38">
        <w:rPr>
          <w:vertAlign w:val="superscript"/>
        </w:rPr>
        <w:t>a</w:t>
      </w:r>
      <w:r w:rsidR="00FF3E5A" w:rsidRPr="00451C38">
        <w:t xml:space="preserve"> reunión, el Comité Permanente tomó nota del informe del Grupo de Trabajo sobre la Juventud presentado en el documento SC62 Doc.17 (Decisión SC62-29). </w:t>
      </w:r>
    </w:p>
    <w:p w14:paraId="47721F85" w14:textId="77777777" w:rsidR="002C2F09" w:rsidRPr="00451C38" w:rsidRDefault="002C2F09" w:rsidP="00B9279F">
      <w:pPr>
        <w:ind w:left="851"/>
        <w:rPr>
          <w:rFonts w:cstheme="minorHAnsi"/>
        </w:rPr>
      </w:pPr>
    </w:p>
    <w:p w14:paraId="2B272960" w14:textId="3B87316F" w:rsidR="00244CA4" w:rsidRPr="00451C38" w:rsidRDefault="00684E81" w:rsidP="00B9279F">
      <w:pPr>
        <w:pStyle w:val="ListParagraph"/>
        <w:ind w:left="567" w:hanging="567"/>
        <w:contextualSpacing w:val="0"/>
        <w:rPr>
          <w:rFonts w:cstheme="minorHAnsi"/>
        </w:rPr>
      </w:pPr>
      <w:r w:rsidRPr="00451C38">
        <w:rPr>
          <w:b/>
          <w:bCs/>
        </w:rPr>
        <w:t>Proyecto de plan de trabajo para la juventud</w:t>
      </w:r>
    </w:p>
    <w:p w14:paraId="6CFA2AAA" w14:textId="77777777" w:rsidR="00684E81" w:rsidRPr="00451C38" w:rsidRDefault="00684E81" w:rsidP="00B9279F">
      <w:pPr>
        <w:pStyle w:val="ListParagraph"/>
        <w:ind w:left="567" w:hanging="567"/>
        <w:contextualSpacing w:val="0"/>
        <w:rPr>
          <w:rFonts w:cstheme="minorHAnsi"/>
        </w:rPr>
      </w:pPr>
    </w:p>
    <w:p w14:paraId="302D2C9B" w14:textId="2300A2B1" w:rsidR="00B32AE3" w:rsidRPr="00451C38" w:rsidRDefault="00B9279F" w:rsidP="00B9279F">
      <w:pPr>
        <w:ind w:left="426" w:hanging="426"/>
      </w:pPr>
      <w:r w:rsidRPr="00451C38">
        <w:t>5.</w:t>
      </w:r>
      <w:r w:rsidR="00451C38" w:rsidRPr="00451C38">
        <w:rPr>
          <w:rFonts w:cstheme="minorHAnsi"/>
        </w:rPr>
        <w:tab/>
      </w:r>
      <w:r w:rsidR="008B697C" w:rsidRPr="00451C38">
        <w:t>Tras la tercera reunión del GTJ, celebrada el 10 de agosto de 2023, se actualizó el primer proyecto del plan de trabajo para la juventud con el fin de incluir los comentarios formulados durante la reunión. Entre los puntos clave abordados en los comentarios figuran los siguientes:</w:t>
      </w:r>
    </w:p>
    <w:p w14:paraId="0D604D8C" w14:textId="77777777" w:rsidR="00EF3425" w:rsidRPr="00451C38" w:rsidRDefault="00EF3425" w:rsidP="00B9279F">
      <w:pPr>
        <w:ind w:left="851"/>
        <w:rPr>
          <w:rFonts w:eastAsia="Times New Roman" w:cs="Calibri"/>
          <w:lang w:eastAsia="en-AU"/>
        </w:rPr>
      </w:pPr>
    </w:p>
    <w:p w14:paraId="5014F399" w14:textId="1E804DDE" w:rsidR="00B32AE3" w:rsidRPr="00451C38" w:rsidRDefault="00B9279F" w:rsidP="00B9279F">
      <w:pPr>
        <w:ind w:left="851"/>
      </w:pPr>
      <w:r w:rsidRPr="00451C38">
        <w:lastRenderedPageBreak/>
        <w:t>a.</w:t>
      </w:r>
      <w:r w:rsidR="00451C38" w:rsidRPr="00451C38">
        <w:rPr>
          <w:rFonts w:eastAsia="Times New Roman" w:cs="Calibri"/>
        </w:rPr>
        <w:tab/>
      </w:r>
      <w:r w:rsidR="00EE6A17" w:rsidRPr="00451C38">
        <w:t>se debería refinar el gran número de tareas a fin de priorizar las tareas realizables para la COP15, en junio de 2025;</w:t>
      </w:r>
    </w:p>
    <w:p w14:paraId="01C7C99E" w14:textId="77777777" w:rsidR="00EF3425" w:rsidRPr="00451C38" w:rsidRDefault="00EF3425" w:rsidP="00B9279F">
      <w:pPr>
        <w:ind w:left="851"/>
        <w:rPr>
          <w:rFonts w:eastAsia="Times New Roman" w:cs="Calibri"/>
          <w:lang w:eastAsia="en-AU"/>
        </w:rPr>
      </w:pPr>
    </w:p>
    <w:p w14:paraId="4ED224C0" w14:textId="70DE941B" w:rsidR="00B32AE3" w:rsidRPr="00451C38" w:rsidRDefault="00B9279F" w:rsidP="00B9279F">
      <w:pPr>
        <w:ind w:left="851"/>
      </w:pPr>
      <w:r w:rsidRPr="00451C38">
        <w:t>b.</w:t>
      </w:r>
      <w:r w:rsidR="00451C38" w:rsidRPr="00451C38">
        <w:rPr>
          <w:rFonts w:eastAsia="Times New Roman" w:cs="Calibri"/>
        </w:rPr>
        <w:tab/>
      </w:r>
      <w:r w:rsidR="00EE6A17" w:rsidRPr="00451C38">
        <w:t>sería necesario supervisar y evaluar los resultados del plan de trabajo utilizando indicadores, por ejemplo, el número de jóvenes implicados;</w:t>
      </w:r>
    </w:p>
    <w:p w14:paraId="3A293113" w14:textId="77777777" w:rsidR="00EF3425" w:rsidRPr="00451C38" w:rsidRDefault="00EF3425" w:rsidP="00B9279F">
      <w:pPr>
        <w:ind w:left="851"/>
        <w:rPr>
          <w:rFonts w:eastAsia="Times New Roman" w:cs="Calibri"/>
          <w:lang w:eastAsia="en-AU"/>
        </w:rPr>
      </w:pPr>
    </w:p>
    <w:p w14:paraId="6ED8B05D" w14:textId="55ED362F" w:rsidR="00B32AE3" w:rsidRPr="00451C38" w:rsidRDefault="00B9279F" w:rsidP="00B9279F">
      <w:pPr>
        <w:ind w:left="851"/>
      </w:pPr>
      <w:r w:rsidRPr="00451C38">
        <w:t>c.</w:t>
      </w:r>
      <w:r w:rsidR="00451C38" w:rsidRPr="00451C38">
        <w:rPr>
          <w:rFonts w:eastAsia="Times New Roman" w:cs="Calibri"/>
        </w:rPr>
        <w:tab/>
      </w:r>
      <w:r w:rsidR="00FD3DD7" w:rsidRPr="00451C38">
        <w:t>sería necesario no repetir el trabajo existente, colaborando con otras organizaciones juveniles, como el Programa sobre Agua y Juventud de la UICN, para compartir recursos en cuestiones como el fomento de capacidad en los espacios de las convenciones; y</w:t>
      </w:r>
    </w:p>
    <w:p w14:paraId="6779E5EF" w14:textId="77777777" w:rsidR="00EF3425" w:rsidRPr="00451C38" w:rsidRDefault="00EF3425" w:rsidP="00B9279F">
      <w:pPr>
        <w:ind w:left="851"/>
        <w:rPr>
          <w:rFonts w:eastAsia="Times New Roman" w:cs="Calibri"/>
          <w:lang w:eastAsia="en-AU"/>
        </w:rPr>
      </w:pPr>
    </w:p>
    <w:p w14:paraId="09F2DF18" w14:textId="4859316E" w:rsidR="00B9279F" w:rsidRPr="00451C38" w:rsidRDefault="00B9279F" w:rsidP="00B9279F">
      <w:pPr>
        <w:ind w:left="851"/>
      </w:pPr>
      <w:r w:rsidRPr="00451C38">
        <w:t>d.</w:t>
      </w:r>
      <w:r w:rsidR="00451C38" w:rsidRPr="00451C38">
        <w:rPr>
          <w:rFonts w:eastAsia="Times New Roman" w:cs="Calibri"/>
        </w:rPr>
        <w:tab/>
      </w:r>
      <w:r w:rsidR="00EE6A17" w:rsidRPr="00451C38">
        <w:t>convendría organizar una reunión introductoria previa a la COP15 para los que asisten por primera vez a una COP (especialmente dirigida a los jóvenes).</w:t>
      </w:r>
    </w:p>
    <w:p w14:paraId="30B1C135" w14:textId="77777777" w:rsidR="00B9279F" w:rsidRPr="00451C38" w:rsidRDefault="00B9279F" w:rsidP="00B9279F">
      <w:pPr>
        <w:ind w:left="426" w:hanging="426"/>
        <w:rPr>
          <w:rFonts w:cstheme="minorHAnsi"/>
        </w:rPr>
      </w:pPr>
    </w:p>
    <w:p w14:paraId="45654035" w14:textId="0397DBD1" w:rsidR="00684E81" w:rsidRPr="00451C38" w:rsidRDefault="00B9279F" w:rsidP="00B9279F">
      <w:pPr>
        <w:ind w:left="426" w:hanging="426"/>
      </w:pPr>
      <w:r w:rsidRPr="00451C38">
        <w:t>6.</w:t>
      </w:r>
      <w:r w:rsidR="00451C38" w:rsidRPr="00451C38">
        <w:rPr>
          <w:rFonts w:cstheme="minorHAnsi"/>
        </w:rPr>
        <w:tab/>
      </w:r>
      <w:r w:rsidR="002F0750" w:rsidRPr="00451C38">
        <w:t>A continuación, se distribuyó un segundo borrador a un público más amplio de Partes Contratantes interesadas, para su examen y para que formularan comentarios en un plazo de dos meses, del 11 de agosto al 8 de octubre de 2023.</w:t>
      </w:r>
    </w:p>
    <w:p w14:paraId="3C327F90" w14:textId="77777777" w:rsidR="00684E81" w:rsidRPr="00451C38" w:rsidRDefault="00684E81" w:rsidP="00B9279F">
      <w:pPr>
        <w:pStyle w:val="ListParagraph"/>
        <w:ind w:left="567" w:hanging="567"/>
        <w:contextualSpacing w:val="0"/>
        <w:rPr>
          <w:rFonts w:asciiTheme="minorHAnsi" w:hAnsiTheme="minorHAnsi" w:cstheme="minorHAnsi"/>
        </w:rPr>
      </w:pPr>
    </w:p>
    <w:p w14:paraId="58C3049D" w14:textId="0597D298" w:rsidR="00244CA4" w:rsidRPr="00451C38" w:rsidRDefault="00244CA4" w:rsidP="00B9279F">
      <w:pPr>
        <w:ind w:left="567" w:right="-188" w:hanging="567"/>
        <w:rPr>
          <w:rFonts w:asciiTheme="minorHAnsi" w:hAnsiTheme="minorHAnsi" w:cstheme="minorHAnsi"/>
          <w:b/>
          <w:bCs/>
        </w:rPr>
      </w:pPr>
      <w:r w:rsidRPr="00451C38">
        <w:rPr>
          <w:rFonts w:asciiTheme="minorHAnsi" w:hAnsiTheme="minorHAnsi"/>
          <w:b/>
          <w:bCs/>
        </w:rPr>
        <w:t>Cuarta reunión del GTJ</w:t>
      </w:r>
    </w:p>
    <w:p w14:paraId="63EAE6D3" w14:textId="77777777" w:rsidR="00244CA4" w:rsidRPr="00451C38" w:rsidRDefault="00244CA4" w:rsidP="00B9279F">
      <w:pPr>
        <w:ind w:left="567" w:right="-188" w:hanging="567"/>
        <w:rPr>
          <w:rFonts w:asciiTheme="minorHAnsi" w:hAnsiTheme="minorHAnsi" w:cstheme="minorHAnsi"/>
          <w:b/>
          <w:bCs/>
          <w:lang w:eastAsia="en-AU"/>
        </w:rPr>
      </w:pPr>
    </w:p>
    <w:p w14:paraId="585D1CB3" w14:textId="54B9BC7F" w:rsidR="00B32AE3" w:rsidRPr="00451C38" w:rsidRDefault="003B1B7B" w:rsidP="00B9279F">
      <w:pPr>
        <w:ind w:left="426" w:hanging="426"/>
        <w:rPr>
          <w:rFonts w:cstheme="minorHAnsi"/>
        </w:rPr>
      </w:pPr>
      <w:r w:rsidRPr="00451C38">
        <w:rPr>
          <w:rFonts w:asciiTheme="minorHAnsi" w:hAnsiTheme="minorHAnsi"/>
        </w:rPr>
        <w:t>7.</w:t>
      </w:r>
      <w:r w:rsidR="00451C38" w:rsidRPr="00451C38">
        <w:rPr>
          <w:rFonts w:asciiTheme="minorHAnsi" w:hAnsiTheme="minorHAnsi" w:cstheme="minorHAnsi"/>
        </w:rPr>
        <w:tab/>
      </w:r>
      <w:r w:rsidR="00750D39" w:rsidRPr="00451C38">
        <w:rPr>
          <w:rFonts w:asciiTheme="minorHAnsi" w:hAnsiTheme="minorHAnsi"/>
        </w:rPr>
        <w:t xml:space="preserve">La cuarta reunión del GTJ se celebró virtualmente el 30 de noviembre de 2023. </w:t>
      </w:r>
      <w:r w:rsidR="00750D39" w:rsidRPr="00451C38">
        <w:t>Se envió una invitación a todos los jefes de Autoridades Administrativas y coordinadores nacionales de las Partes Contratantes a fin de garantizar una consulta más amplia sobre el proyecto de plan de trabajo para la juventud.</w:t>
      </w:r>
    </w:p>
    <w:p w14:paraId="4C1FC52F" w14:textId="77777777" w:rsidR="003B1B7B" w:rsidRPr="00451C38" w:rsidRDefault="003B1B7B" w:rsidP="00B9279F">
      <w:pPr>
        <w:ind w:left="426" w:hanging="426"/>
        <w:rPr>
          <w:rFonts w:cstheme="minorHAnsi"/>
        </w:rPr>
      </w:pPr>
    </w:p>
    <w:p w14:paraId="0722EB01" w14:textId="1D4BC4C9" w:rsidR="00860DDB" w:rsidRPr="00451C38" w:rsidRDefault="003B1B7B" w:rsidP="00B9279F">
      <w:pPr>
        <w:ind w:left="426" w:hanging="426"/>
        <w:rPr>
          <w:rFonts w:cstheme="minorHAnsi"/>
        </w:rPr>
      </w:pPr>
      <w:r w:rsidRPr="00451C38">
        <w:t>8.</w:t>
      </w:r>
      <w:r w:rsidR="00451C38" w:rsidRPr="00451C38">
        <w:rPr>
          <w:rFonts w:cstheme="minorHAnsi"/>
        </w:rPr>
        <w:tab/>
      </w:r>
      <w:r w:rsidR="00774400" w:rsidRPr="00451C38">
        <w:t>La reunión, de una hora y media de duración, se estructuró en torno a las tres áreas temáticas del proyecto de plan de trabajo presentadas por varias Partes Contratantes (Australia, Colombia y Canadá), seguidas de grupos de trabajo en inglés y francés para debatir los resultados/productos y tareas del plan de trabajo.</w:t>
      </w:r>
    </w:p>
    <w:p w14:paraId="4FF4F67A" w14:textId="77777777" w:rsidR="00EF3425" w:rsidRPr="00451C38" w:rsidRDefault="00EF3425" w:rsidP="003B1B7B">
      <w:pPr>
        <w:ind w:left="851"/>
        <w:rPr>
          <w:rFonts w:cstheme="minorHAnsi"/>
        </w:rPr>
      </w:pPr>
    </w:p>
    <w:p w14:paraId="619E2F06" w14:textId="01D9FE80" w:rsidR="00B32AE3" w:rsidRPr="00451C38" w:rsidRDefault="003B1B7B" w:rsidP="003B1B7B">
      <w:pPr>
        <w:ind w:left="851"/>
        <w:rPr>
          <w:rFonts w:cstheme="minorHAnsi"/>
        </w:rPr>
      </w:pPr>
      <w:r w:rsidRPr="00451C38">
        <w:t>a.</w:t>
      </w:r>
      <w:r w:rsidR="00451C38" w:rsidRPr="00451C38">
        <w:rPr>
          <w:rFonts w:cstheme="minorHAnsi"/>
        </w:rPr>
        <w:tab/>
      </w:r>
      <w:r w:rsidR="00860DDB" w:rsidRPr="00451C38">
        <w:t>Se debatió, entre otras cuestiones, si el contenido reflejaba adecuadamente el mandato establecido en la Resolución XIV.12; cómo deberían priorizarse y supervisarse las tareas; si deberían modificarse o suprimirse tareas; las estimaciones presupuestarias; y los llamamientos a contribuciones.</w:t>
      </w:r>
    </w:p>
    <w:p w14:paraId="36F1AE01" w14:textId="77777777" w:rsidR="00293819" w:rsidRPr="00451C38" w:rsidRDefault="00293819" w:rsidP="00293819">
      <w:pPr>
        <w:ind w:left="426" w:hanging="426"/>
        <w:rPr>
          <w:rFonts w:cstheme="minorHAnsi"/>
        </w:rPr>
      </w:pPr>
    </w:p>
    <w:p w14:paraId="0C7ED2B9" w14:textId="1956E26D" w:rsidR="00B32AE3" w:rsidRPr="00451C38" w:rsidRDefault="00293819" w:rsidP="00293819">
      <w:pPr>
        <w:ind w:left="426" w:hanging="426"/>
        <w:rPr>
          <w:rFonts w:cstheme="minorHAnsi"/>
        </w:rPr>
      </w:pPr>
      <w:r w:rsidRPr="00451C38">
        <w:t>9.</w:t>
      </w:r>
      <w:r w:rsidR="00451C38" w:rsidRPr="00451C38">
        <w:rPr>
          <w:rFonts w:cstheme="minorHAnsi"/>
        </w:rPr>
        <w:tab/>
      </w:r>
      <w:r w:rsidR="00504B2B" w:rsidRPr="00451C38">
        <w:t>Los asistentes participaron activamente, aportando muchos comentarios y sugerencias. Entre los puntos clave abordados en los comentarios figuran los siguientes:</w:t>
      </w:r>
    </w:p>
    <w:p w14:paraId="40196E4A" w14:textId="77777777" w:rsidR="00EF3425" w:rsidRPr="00451C38" w:rsidRDefault="00EF3425" w:rsidP="00293819">
      <w:pPr>
        <w:ind w:left="851"/>
      </w:pPr>
    </w:p>
    <w:p w14:paraId="7866B901" w14:textId="6E5C268B" w:rsidR="00B32AE3" w:rsidRPr="00451C38" w:rsidRDefault="00293819" w:rsidP="00293819">
      <w:pPr>
        <w:ind w:left="851"/>
        <w:rPr>
          <w:rFonts w:cstheme="minorHAnsi"/>
        </w:rPr>
      </w:pPr>
      <w:r w:rsidRPr="00451C38">
        <w:t>a.</w:t>
      </w:r>
      <w:r w:rsidR="00451C38" w:rsidRPr="00451C38">
        <w:tab/>
      </w:r>
      <w:r w:rsidR="00667830" w:rsidRPr="00451C38">
        <w:t>serían necesarias más acciones para fomentar el intercambio de conocimientos entre las Partes Contratantes;</w:t>
      </w:r>
    </w:p>
    <w:p w14:paraId="2D4ED161" w14:textId="77777777" w:rsidR="00EF3425" w:rsidRPr="00451C38" w:rsidRDefault="00EF3425" w:rsidP="00293819">
      <w:pPr>
        <w:ind w:left="851"/>
      </w:pPr>
    </w:p>
    <w:p w14:paraId="17D4453D" w14:textId="01A83D81" w:rsidR="00B32AE3" w:rsidRPr="00451C38" w:rsidRDefault="00293819" w:rsidP="00293819">
      <w:pPr>
        <w:ind w:left="851"/>
        <w:rPr>
          <w:rFonts w:cstheme="minorHAnsi"/>
        </w:rPr>
      </w:pPr>
      <w:r w:rsidRPr="00451C38">
        <w:t>b.</w:t>
      </w:r>
      <w:r w:rsidR="00451C38" w:rsidRPr="00451C38">
        <w:tab/>
      </w:r>
      <w:r w:rsidR="001F5F49" w:rsidRPr="00451C38">
        <w:t>convendría dar mayor consideración a las Partes Contratantes y a los jóvenes que carecen de capacidad, incluidos los jóvenes de grupos marginados y minoritarios;</w:t>
      </w:r>
    </w:p>
    <w:p w14:paraId="357F70FA" w14:textId="77777777" w:rsidR="00EF3425" w:rsidRPr="00451C38" w:rsidRDefault="00EF3425" w:rsidP="00293819">
      <w:pPr>
        <w:ind w:left="851"/>
      </w:pPr>
    </w:p>
    <w:p w14:paraId="457101F6" w14:textId="3AF6D4D3" w:rsidR="00B32AE3" w:rsidRPr="00451C38" w:rsidRDefault="00293819" w:rsidP="00293819">
      <w:pPr>
        <w:ind w:left="851"/>
        <w:rPr>
          <w:rFonts w:cstheme="minorHAnsi"/>
        </w:rPr>
      </w:pPr>
      <w:r w:rsidRPr="00451C38">
        <w:t>c.</w:t>
      </w:r>
      <w:r w:rsidR="00451C38" w:rsidRPr="00451C38">
        <w:tab/>
      </w:r>
      <w:r w:rsidR="004D2B16" w:rsidRPr="00451C38">
        <w:t>sería necesario incluir tareas para desarrollar las conexiones con los jóvenes que trabajan sobre el terreno; y</w:t>
      </w:r>
    </w:p>
    <w:p w14:paraId="171292DA" w14:textId="77777777" w:rsidR="00EF3425" w:rsidRPr="00451C38" w:rsidRDefault="00EF3425" w:rsidP="00293819">
      <w:pPr>
        <w:ind w:left="851"/>
      </w:pPr>
    </w:p>
    <w:p w14:paraId="1B651B2D" w14:textId="44BA02BE" w:rsidR="00B32AE3" w:rsidRPr="00451C38" w:rsidRDefault="00293819" w:rsidP="00293819">
      <w:pPr>
        <w:ind w:left="851"/>
        <w:rPr>
          <w:rFonts w:cstheme="minorHAnsi"/>
        </w:rPr>
      </w:pPr>
      <w:r w:rsidRPr="00451C38">
        <w:t>d.</w:t>
      </w:r>
      <w:r w:rsidR="00451C38" w:rsidRPr="00451C38">
        <w:tab/>
      </w:r>
      <w:r w:rsidR="00AB3DC7" w:rsidRPr="00451C38">
        <w:t>se sugirió la utilización de parámetros de medición de tareas para supervisar los progresos realizados.</w:t>
      </w:r>
    </w:p>
    <w:p w14:paraId="7CC0E2BF" w14:textId="77777777" w:rsidR="00293819" w:rsidRPr="00451C38" w:rsidRDefault="00293819" w:rsidP="00293819">
      <w:pPr>
        <w:ind w:left="426" w:hanging="426"/>
        <w:rPr>
          <w:rFonts w:cstheme="minorHAnsi"/>
        </w:rPr>
      </w:pPr>
    </w:p>
    <w:p w14:paraId="10D05AE7" w14:textId="4BE3B3B9" w:rsidR="002C60EB" w:rsidRPr="00451C38" w:rsidRDefault="00293819" w:rsidP="00293819">
      <w:pPr>
        <w:ind w:left="426" w:hanging="426"/>
        <w:rPr>
          <w:rFonts w:cstheme="minorHAnsi"/>
        </w:rPr>
      </w:pPr>
      <w:r w:rsidRPr="00451C38">
        <w:t>10.</w:t>
      </w:r>
      <w:r w:rsidR="00451C38" w:rsidRPr="00451C38">
        <w:rPr>
          <w:rFonts w:cstheme="minorHAnsi"/>
        </w:rPr>
        <w:tab/>
      </w:r>
      <w:r w:rsidR="00FB41F0" w:rsidRPr="00451C38">
        <w:t xml:space="preserve">El 19 de diciembre de 2023, la Presidencia envió un comunicado a los miembros del GTJ, con un tercer proyecto de plan de trabajo, en el que se consolidaban los comentarios formulados </w:t>
      </w:r>
      <w:r w:rsidR="00FB41F0" w:rsidRPr="00451C38">
        <w:lastRenderedPageBreak/>
        <w:t>durante la cuarta reunión. Se invitó a realizar un examen final del texto y a enviar comentarios, con miras a ultimar el plan de trabajo a finales de febrero.</w:t>
      </w:r>
      <w:r w:rsidR="00202123">
        <w:rPr>
          <w:rStyle w:val="FootnoteReference"/>
        </w:rPr>
        <w:footnoteReference w:id="1"/>
      </w:r>
      <w:r w:rsidR="00FB41F0" w:rsidRPr="00451C38">
        <w:t xml:space="preserve"> El 17 de enero de 2024 se envió un correo electrónico de seguimiento solicitando las aportaciones finales.</w:t>
      </w:r>
    </w:p>
    <w:p w14:paraId="309A5863" w14:textId="77777777" w:rsidR="002C60EB" w:rsidRPr="00451C38" w:rsidRDefault="002C60EB" w:rsidP="00B9279F">
      <w:pPr>
        <w:rPr>
          <w:rFonts w:eastAsia="Times New Roman"/>
        </w:rPr>
      </w:pPr>
      <w:r w:rsidRPr="00451C38">
        <w:t> </w:t>
      </w:r>
    </w:p>
    <w:p w14:paraId="22F449BD" w14:textId="11E03C65" w:rsidR="00C467F9" w:rsidRPr="00451C38" w:rsidRDefault="00A90EAA" w:rsidP="00B9279F">
      <w:pPr>
        <w:ind w:left="0" w:firstLine="0"/>
        <w:rPr>
          <w:rFonts w:asciiTheme="minorHAnsi" w:hAnsiTheme="minorHAnsi" w:cstheme="minorHAnsi"/>
          <w:bCs/>
        </w:rPr>
      </w:pPr>
      <w:r w:rsidRPr="00451C38">
        <w:rPr>
          <w:rFonts w:asciiTheme="minorHAnsi" w:hAnsiTheme="minorHAnsi"/>
          <w:b/>
        </w:rPr>
        <w:t>Eventos paralelos durante la COP28 de la CMNUCC</w:t>
      </w:r>
    </w:p>
    <w:p w14:paraId="1EAA26CA" w14:textId="77777777" w:rsidR="00A90EAA" w:rsidRPr="00451C38" w:rsidRDefault="00A90EAA" w:rsidP="00B9279F">
      <w:pPr>
        <w:ind w:left="0" w:firstLine="0"/>
        <w:rPr>
          <w:rFonts w:asciiTheme="minorHAnsi" w:hAnsiTheme="minorHAnsi" w:cstheme="minorHAnsi"/>
          <w:bCs/>
        </w:rPr>
      </w:pPr>
    </w:p>
    <w:p w14:paraId="243C0352" w14:textId="38FA3F75" w:rsidR="00860DDB" w:rsidRPr="00451C38" w:rsidRDefault="00293819" w:rsidP="00293819">
      <w:pPr>
        <w:ind w:left="426" w:hanging="426"/>
      </w:pPr>
      <w:r w:rsidRPr="00451C38">
        <w:rPr>
          <w:rFonts w:asciiTheme="minorHAnsi" w:hAnsiTheme="minorHAnsi"/>
          <w:bCs/>
        </w:rPr>
        <w:t>11.</w:t>
      </w:r>
      <w:r w:rsidR="00451C38" w:rsidRPr="00451C38">
        <w:rPr>
          <w:rFonts w:asciiTheme="minorHAnsi" w:hAnsiTheme="minorHAnsi" w:cstheme="minorHAnsi"/>
          <w:bCs/>
        </w:rPr>
        <w:tab/>
      </w:r>
      <w:r w:rsidR="00520D77" w:rsidRPr="00451C38">
        <w:rPr>
          <w:rFonts w:asciiTheme="minorHAnsi" w:hAnsiTheme="minorHAnsi"/>
        </w:rPr>
        <w:t>La Secretaría de la Convención sobre los Humedales copatrocinó con la Secretaría del Programa Regional del Pacífico para el Medio Ambiente (SPREP) un evento paralelo durante la COP28 de la CMNUCC el 6 de diciembre de 2023, titulado "Empoderamiento de los jóvenes para la conservación de los humedales y lucha contra el cambio climático en el Pacífico".</w:t>
      </w:r>
      <w:r w:rsidR="00520D77" w:rsidRPr="00451C38">
        <w:rPr>
          <w:rFonts w:asciiTheme="minorHAnsi" w:hAnsiTheme="minorHAnsi"/>
          <w:bCs/>
        </w:rPr>
        <w:t xml:space="preserve"> </w:t>
      </w:r>
    </w:p>
    <w:p w14:paraId="67A6A070" w14:textId="77777777" w:rsidR="00860DDB" w:rsidRPr="00451C38" w:rsidRDefault="00860DDB" w:rsidP="00293819">
      <w:pPr>
        <w:pStyle w:val="ListParagraph"/>
        <w:ind w:left="426" w:hanging="426"/>
      </w:pPr>
    </w:p>
    <w:p w14:paraId="2D582B7E" w14:textId="73AE69A8" w:rsidR="00A90EAA" w:rsidRPr="00451C38" w:rsidRDefault="00293819" w:rsidP="00293819">
      <w:pPr>
        <w:ind w:left="426" w:hanging="426"/>
      </w:pPr>
      <w:r w:rsidRPr="00451C38">
        <w:rPr>
          <w:rFonts w:asciiTheme="minorHAnsi" w:hAnsiTheme="minorHAnsi"/>
          <w:bCs/>
        </w:rPr>
        <w:t>12.</w:t>
      </w:r>
      <w:r w:rsidR="00451C38" w:rsidRPr="00451C38">
        <w:rPr>
          <w:rFonts w:asciiTheme="minorHAnsi" w:hAnsiTheme="minorHAnsi" w:cstheme="minorHAnsi"/>
          <w:bCs/>
        </w:rPr>
        <w:tab/>
      </w:r>
      <w:r w:rsidR="00B208FA" w:rsidRPr="00451C38">
        <w:rPr>
          <w:rFonts w:asciiTheme="minorHAnsi" w:hAnsiTheme="minorHAnsi"/>
          <w:bCs/>
        </w:rPr>
        <w:t>Dos jóvenes de la región de Oceanía (</w:t>
      </w:r>
      <w:proofErr w:type="spellStart"/>
      <w:r w:rsidR="00B208FA" w:rsidRPr="00451C38">
        <w:rPr>
          <w:rFonts w:asciiTheme="minorHAnsi" w:hAnsiTheme="minorHAnsi"/>
          <w:bCs/>
        </w:rPr>
        <w:t>Papua</w:t>
      </w:r>
      <w:proofErr w:type="spellEnd"/>
      <w:r w:rsidR="00B208FA" w:rsidRPr="00451C38">
        <w:rPr>
          <w:rFonts w:asciiTheme="minorHAnsi" w:hAnsiTheme="minorHAnsi"/>
          <w:bCs/>
        </w:rPr>
        <w:t xml:space="preserve"> Nueva Guinea y Kiribati) participaron en el panel y presentaron sus experiencias con los humedales, junto con el ministro de Medioambiente de Samoa, la Secretaria General de la Convención, el Director General del SPREP, el embajador de Fiyi en Indonesia y el embajador australiano para Cambio Climático.</w:t>
      </w:r>
    </w:p>
    <w:p w14:paraId="5336A48F" w14:textId="77777777" w:rsidR="003A7C5F" w:rsidRPr="00451C38" w:rsidRDefault="003A7C5F" w:rsidP="00293819">
      <w:pPr>
        <w:ind w:left="426" w:hanging="426"/>
      </w:pPr>
    </w:p>
    <w:p w14:paraId="2A895E49" w14:textId="11B8924E" w:rsidR="003A7C5F" w:rsidRPr="00451C38" w:rsidRDefault="00293819" w:rsidP="00293819">
      <w:pPr>
        <w:ind w:left="426" w:hanging="426"/>
      </w:pPr>
      <w:r w:rsidRPr="00451C38">
        <w:t>13.</w:t>
      </w:r>
      <w:r w:rsidR="00451C38" w:rsidRPr="00451C38">
        <w:rPr>
          <w:rFonts w:cstheme="minorHAnsi"/>
        </w:rPr>
        <w:tab/>
      </w:r>
      <w:r w:rsidR="003A7C5F" w:rsidRPr="00451C38">
        <w:t xml:space="preserve">La Presidencia del GTJ fue invitada a presentar el trabajo del Grupo durante un evento paralelo durante la COP28 de la CMNUCC el 10 de diciembre de 2023 llamado "Restauración de humedales frente al cambio climático: la participación de los jóvenes", organizado por la Asociación para la Conservación de los Humedales del Imperial </w:t>
      </w:r>
      <w:proofErr w:type="spellStart"/>
      <w:r w:rsidR="003A7C5F" w:rsidRPr="00451C38">
        <w:t>College</w:t>
      </w:r>
      <w:proofErr w:type="spellEnd"/>
      <w:r w:rsidR="003A7C5F" w:rsidRPr="00451C38">
        <w:t xml:space="preserve"> London.</w:t>
      </w:r>
    </w:p>
    <w:p w14:paraId="689C3EF9" w14:textId="77777777" w:rsidR="00A90EAA" w:rsidRPr="00451C38" w:rsidRDefault="00A90EAA" w:rsidP="00B9279F">
      <w:pPr>
        <w:ind w:left="0" w:firstLine="0"/>
        <w:rPr>
          <w:rFonts w:asciiTheme="minorHAnsi" w:hAnsiTheme="minorHAnsi" w:cstheme="minorHAnsi"/>
          <w:bCs/>
        </w:rPr>
      </w:pPr>
    </w:p>
    <w:p w14:paraId="610763CC" w14:textId="28A975E6" w:rsidR="00883E9F" w:rsidRPr="00451C38" w:rsidRDefault="00883E9F" w:rsidP="00B9279F">
      <w:pPr>
        <w:ind w:left="567" w:right="-187" w:hanging="567"/>
        <w:rPr>
          <w:rFonts w:asciiTheme="minorHAnsi" w:hAnsiTheme="minorHAnsi" w:cstheme="minorHAnsi"/>
        </w:rPr>
      </w:pPr>
      <w:r w:rsidRPr="00451C38">
        <w:rPr>
          <w:rFonts w:asciiTheme="minorHAnsi" w:hAnsiTheme="minorHAnsi"/>
          <w:b/>
          <w:bCs/>
        </w:rPr>
        <w:t>Versión final del plan de trabajo para la juventud</w:t>
      </w:r>
    </w:p>
    <w:p w14:paraId="702962FE" w14:textId="77777777" w:rsidR="00883E9F" w:rsidRPr="00451C38" w:rsidRDefault="00883E9F" w:rsidP="00293819">
      <w:pPr>
        <w:ind w:left="426" w:hanging="426"/>
        <w:rPr>
          <w:rFonts w:cstheme="minorHAnsi"/>
        </w:rPr>
      </w:pPr>
    </w:p>
    <w:p w14:paraId="72F2E45E" w14:textId="2E51AC05" w:rsidR="00F73B02" w:rsidRPr="00451C38" w:rsidRDefault="00293819" w:rsidP="00293819">
      <w:pPr>
        <w:ind w:left="426" w:hanging="426"/>
        <w:rPr>
          <w:rFonts w:cstheme="minorHAnsi"/>
        </w:rPr>
      </w:pPr>
      <w:r w:rsidRPr="00451C38">
        <w:t>14.</w:t>
      </w:r>
      <w:r w:rsidR="00451C38" w:rsidRPr="00451C38">
        <w:rPr>
          <w:rFonts w:cstheme="minorHAnsi"/>
        </w:rPr>
        <w:tab/>
      </w:r>
      <w:r w:rsidR="00F73B02" w:rsidRPr="00451C38">
        <w:t>El Plan de Trabajo para la Juventud ya ha sido finalizado y las Presidencias del GTJ están trabajando con las Partes, los miembros del Grupo y otras organizaciones para iniciar su ejecución.</w:t>
      </w:r>
    </w:p>
    <w:p w14:paraId="25B934B7" w14:textId="77777777" w:rsidR="00F73B02" w:rsidRPr="00451C38" w:rsidRDefault="00F73B02" w:rsidP="00B9279F">
      <w:pPr>
        <w:ind w:left="567" w:right="-187" w:hanging="567"/>
        <w:rPr>
          <w:rFonts w:asciiTheme="minorHAnsi" w:hAnsiTheme="minorHAnsi" w:cstheme="minorHAnsi"/>
          <w:b/>
          <w:bCs/>
        </w:rPr>
      </w:pPr>
    </w:p>
    <w:p w14:paraId="10BD9076" w14:textId="6C31CD67" w:rsidR="00C467F9" w:rsidRPr="00451C38" w:rsidRDefault="00C467F9" w:rsidP="00B9279F">
      <w:pPr>
        <w:ind w:left="567" w:right="-187" w:hanging="567"/>
        <w:rPr>
          <w:rFonts w:asciiTheme="minorHAnsi" w:hAnsiTheme="minorHAnsi" w:cstheme="minorHAnsi"/>
          <w:b/>
          <w:bCs/>
        </w:rPr>
      </w:pPr>
      <w:r w:rsidRPr="00451C38">
        <w:rPr>
          <w:rFonts w:asciiTheme="minorHAnsi" w:hAnsiTheme="minorHAnsi"/>
          <w:b/>
          <w:bCs/>
        </w:rPr>
        <w:t>Asesor para las cuestiones relacionadas con la juventud y ejecución del Plan de Trabajo</w:t>
      </w:r>
    </w:p>
    <w:p w14:paraId="535BA634" w14:textId="77777777" w:rsidR="00C467F9" w:rsidRPr="00451C38" w:rsidRDefault="00C467F9" w:rsidP="00B9279F">
      <w:pPr>
        <w:pStyle w:val="ListParagraph"/>
        <w:ind w:left="567" w:hanging="567"/>
        <w:contextualSpacing w:val="0"/>
        <w:rPr>
          <w:rFonts w:asciiTheme="minorHAnsi" w:hAnsiTheme="minorHAnsi" w:cstheme="minorHAnsi"/>
          <w:bCs/>
        </w:rPr>
      </w:pPr>
    </w:p>
    <w:p w14:paraId="6B2FDFC9" w14:textId="6F0E808D" w:rsidR="00915AE2" w:rsidRPr="00451C38" w:rsidRDefault="00293819" w:rsidP="00293819">
      <w:pPr>
        <w:ind w:left="426" w:hanging="426"/>
        <w:rPr>
          <w:rFonts w:cstheme="minorHAnsi"/>
        </w:rPr>
      </w:pPr>
      <w:r w:rsidRPr="00451C38">
        <w:t>15.</w:t>
      </w:r>
      <w:r w:rsidR="00451C38" w:rsidRPr="00451C38">
        <w:rPr>
          <w:rFonts w:cstheme="minorHAnsi"/>
        </w:rPr>
        <w:tab/>
      </w:r>
      <w:r w:rsidR="00C467F9" w:rsidRPr="00451C38">
        <w:t>En el párrafo 17 de la Resolución XIV.12 se pide la contratación por parte de la Secretaría de un asesor para las cuestiones relacionadas con la juventud, con el fin de promover la participación de los jóvenes y los proyectos correspondientes y ayudar a coordinar este programa de trabajo. Habida cuenta de que los fondos recibidos hasta la fecha son insuficientes para contratar a un asesor para las cuestiones relacionadas con la juventud, los fondos recibidos se utilizarán en su lugar para ejecutar las acciones del Plan de Trabajo para la Juventud.</w:t>
      </w:r>
      <w:bookmarkStart w:id="0" w:name="_GoBack"/>
      <w:bookmarkEnd w:id="0"/>
    </w:p>
    <w:sectPr w:rsidR="00915AE2" w:rsidRPr="00451C38" w:rsidSect="00F4406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0E0FF" w14:textId="77777777" w:rsidR="00084AE0" w:rsidRDefault="00084AE0" w:rsidP="00DF16AB">
      <w:r>
        <w:separator/>
      </w:r>
    </w:p>
  </w:endnote>
  <w:endnote w:type="continuationSeparator" w:id="0">
    <w:p w14:paraId="45AB38CF" w14:textId="77777777" w:rsidR="00084AE0" w:rsidRDefault="00084AE0" w:rsidP="00D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67E7" w14:textId="4D417F6A" w:rsidR="0051725A" w:rsidRPr="00F44065" w:rsidRDefault="00E220EE">
    <w:pPr>
      <w:pStyle w:val="Footer"/>
      <w:rPr>
        <w:sz w:val="20"/>
        <w:szCs w:val="20"/>
      </w:rPr>
    </w:pPr>
    <w:r>
      <w:rPr>
        <w:sz w:val="20"/>
        <w:szCs w:val="20"/>
      </w:rPr>
      <w:t>SC63 Doc.18</w:t>
    </w:r>
    <w:r>
      <w:rPr>
        <w:sz w:val="20"/>
        <w:szCs w:val="20"/>
      </w:rPr>
      <w:tab/>
    </w:r>
    <w:r>
      <w:rPr>
        <w:sz w:val="20"/>
        <w:szCs w:val="20"/>
      </w:rPr>
      <w:tab/>
    </w:r>
    <w:r w:rsidR="0051725A" w:rsidRPr="0051725A">
      <w:rPr>
        <w:sz w:val="20"/>
        <w:szCs w:val="20"/>
      </w:rPr>
      <w:fldChar w:fldCharType="begin"/>
    </w:r>
    <w:r w:rsidR="0051725A" w:rsidRPr="0051725A">
      <w:rPr>
        <w:sz w:val="20"/>
        <w:szCs w:val="20"/>
      </w:rPr>
      <w:instrText xml:space="preserve"> PAGE   \* MERGEFORMAT </w:instrText>
    </w:r>
    <w:r w:rsidR="0051725A" w:rsidRPr="0051725A">
      <w:rPr>
        <w:sz w:val="20"/>
        <w:szCs w:val="20"/>
      </w:rPr>
      <w:fldChar w:fldCharType="separate"/>
    </w:r>
    <w:r w:rsidR="00DC040C">
      <w:rPr>
        <w:sz w:val="20"/>
        <w:szCs w:val="20"/>
      </w:rPr>
      <w:t>2</w:t>
    </w:r>
    <w:r w:rsidR="0051725A" w:rsidRPr="0051725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C66FA" w14:textId="77777777" w:rsidR="00084AE0" w:rsidRDefault="00084AE0" w:rsidP="00DF16AB">
      <w:r>
        <w:separator/>
      </w:r>
    </w:p>
  </w:footnote>
  <w:footnote w:type="continuationSeparator" w:id="0">
    <w:p w14:paraId="48C6F40C" w14:textId="77777777" w:rsidR="00084AE0" w:rsidRDefault="00084AE0" w:rsidP="00DF16AB">
      <w:r>
        <w:continuationSeparator/>
      </w:r>
    </w:p>
  </w:footnote>
  <w:footnote w:id="1">
    <w:p w14:paraId="7972A50F" w14:textId="316D8143" w:rsidR="00202123" w:rsidRPr="005B5F47" w:rsidRDefault="00202123" w:rsidP="005B5F47">
      <w:pPr>
        <w:pStyle w:val="FootnoteText"/>
        <w:ind w:left="0" w:firstLine="0"/>
      </w:pPr>
      <w:r>
        <w:rPr>
          <w:rStyle w:val="FootnoteReference"/>
        </w:rPr>
        <w:footnoteRef/>
      </w:r>
      <w:r>
        <w:t xml:space="preserve"> </w:t>
      </w:r>
      <w:r w:rsidR="005B5F47" w:rsidRPr="005B5F47">
        <w:t>El plan de trabajo final se publicó en marzo de 2024 y puede consultarse en</w:t>
      </w:r>
      <w:r w:rsidR="005B5F47">
        <w:t xml:space="preserve"> </w:t>
      </w:r>
      <w:hyperlink r:id="rId1" w:history="1">
        <w:r w:rsidR="005B5F47" w:rsidRPr="005B5F47">
          <w:rPr>
            <w:rStyle w:val="Hyperlink"/>
          </w:rPr>
          <w:t>https://www.ramsar.org/es/document/youth-working-group-workplan</w:t>
        </w:r>
      </w:hyperlink>
      <w:r w:rsidR="005B5F47" w:rsidRPr="005B5F4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8255A7"/>
    <w:multiLevelType w:val="hybridMultilevel"/>
    <w:tmpl w:val="3EDAA8AA"/>
    <w:lvl w:ilvl="0" w:tplc="1EE45DE6">
      <w:start w:val="1"/>
      <w:numFmt w:val="bullet"/>
      <w:lvlText w:val="-"/>
      <w:lvlJc w:val="left"/>
      <w:pPr>
        <w:ind w:left="720" w:hanging="360"/>
      </w:pPr>
      <w:rPr>
        <w:rFonts w:ascii="Yu Gothic" w:eastAsia="Yu Gothic" w:hAnsi="Yu Gothic"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0648E3"/>
    <w:multiLevelType w:val="hybridMultilevel"/>
    <w:tmpl w:val="58CE3594"/>
    <w:lvl w:ilvl="0" w:tplc="95927ABE">
      <w:start w:val="1"/>
      <w:numFmt w:val="decimal"/>
      <w:lvlText w:val="%1."/>
      <w:lvlJc w:val="left"/>
      <w:pPr>
        <w:ind w:left="790" w:hanging="430"/>
      </w:pPr>
      <w:rPr>
        <w:rFonts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D555C"/>
    <w:multiLevelType w:val="hybridMultilevel"/>
    <w:tmpl w:val="065649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C1DCC"/>
    <w:multiLevelType w:val="hybridMultilevel"/>
    <w:tmpl w:val="B62A11F4"/>
    <w:lvl w:ilvl="0" w:tplc="95927ABE">
      <w:start w:val="1"/>
      <w:numFmt w:val="decimal"/>
      <w:lvlText w:val="%1."/>
      <w:lvlJc w:val="left"/>
      <w:pPr>
        <w:ind w:left="790" w:hanging="43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7C120D"/>
    <w:multiLevelType w:val="hybridMultilevel"/>
    <w:tmpl w:val="035AED6A"/>
    <w:lvl w:ilvl="0" w:tplc="0C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3B46185"/>
    <w:multiLevelType w:val="hybridMultilevel"/>
    <w:tmpl w:val="07F0FC9E"/>
    <w:lvl w:ilvl="0" w:tplc="95927ABE">
      <w:start w:val="1"/>
      <w:numFmt w:val="decimal"/>
      <w:lvlText w:val="%1."/>
      <w:lvlJc w:val="left"/>
      <w:pPr>
        <w:ind w:left="790" w:hanging="43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A4E38"/>
    <w:multiLevelType w:val="hybridMultilevel"/>
    <w:tmpl w:val="06564960"/>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9" w15:restartNumberingAfterBreak="0">
    <w:nsid w:val="269D02C8"/>
    <w:multiLevelType w:val="hybridMultilevel"/>
    <w:tmpl w:val="9FF4C4F8"/>
    <w:lvl w:ilvl="0" w:tplc="95927ABE">
      <w:start w:val="1"/>
      <w:numFmt w:val="decimal"/>
      <w:lvlText w:val="%1."/>
      <w:lvlJc w:val="left"/>
      <w:pPr>
        <w:ind w:left="790" w:hanging="43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1" w15:restartNumberingAfterBreak="0">
    <w:nsid w:val="34F148A7"/>
    <w:multiLevelType w:val="hybridMultilevel"/>
    <w:tmpl w:val="166C949E"/>
    <w:lvl w:ilvl="0" w:tplc="0C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8472EEA"/>
    <w:multiLevelType w:val="hybridMultilevel"/>
    <w:tmpl w:val="E040AB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6A674A"/>
    <w:multiLevelType w:val="multilevel"/>
    <w:tmpl w:val="918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D47D8"/>
    <w:multiLevelType w:val="hybridMultilevel"/>
    <w:tmpl w:val="FDD09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B1E23"/>
    <w:multiLevelType w:val="hybridMultilevel"/>
    <w:tmpl w:val="09FE953A"/>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8115DEA"/>
    <w:multiLevelType w:val="hybridMultilevel"/>
    <w:tmpl w:val="6C0EB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B50269B"/>
    <w:multiLevelType w:val="hybridMultilevel"/>
    <w:tmpl w:val="76B8D77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163063"/>
    <w:multiLevelType w:val="hybridMultilevel"/>
    <w:tmpl w:val="101EB25C"/>
    <w:lvl w:ilvl="0" w:tplc="F7B68B9C">
      <w:start w:val="1"/>
      <w:numFmt w:val="bullet"/>
      <w:lvlText w:val="•"/>
      <w:lvlJc w:val="left"/>
      <w:pPr>
        <w:tabs>
          <w:tab w:val="num" w:pos="720"/>
        </w:tabs>
        <w:ind w:left="720" w:hanging="360"/>
      </w:pPr>
      <w:rPr>
        <w:rFonts w:ascii="Calibri" w:hAnsi="Calibri" w:hint="default"/>
      </w:rPr>
    </w:lvl>
    <w:lvl w:ilvl="1" w:tplc="8542BA06" w:tentative="1">
      <w:start w:val="1"/>
      <w:numFmt w:val="bullet"/>
      <w:lvlText w:val="•"/>
      <w:lvlJc w:val="left"/>
      <w:pPr>
        <w:tabs>
          <w:tab w:val="num" w:pos="1440"/>
        </w:tabs>
        <w:ind w:left="1440" w:hanging="360"/>
      </w:pPr>
      <w:rPr>
        <w:rFonts w:ascii="Calibri" w:hAnsi="Calibri" w:hint="default"/>
      </w:rPr>
    </w:lvl>
    <w:lvl w:ilvl="2" w:tplc="F2124806" w:tentative="1">
      <w:start w:val="1"/>
      <w:numFmt w:val="bullet"/>
      <w:lvlText w:val="•"/>
      <w:lvlJc w:val="left"/>
      <w:pPr>
        <w:tabs>
          <w:tab w:val="num" w:pos="2160"/>
        </w:tabs>
        <w:ind w:left="2160" w:hanging="360"/>
      </w:pPr>
      <w:rPr>
        <w:rFonts w:ascii="Calibri" w:hAnsi="Calibri" w:hint="default"/>
      </w:rPr>
    </w:lvl>
    <w:lvl w:ilvl="3" w:tplc="A502AC00" w:tentative="1">
      <w:start w:val="1"/>
      <w:numFmt w:val="bullet"/>
      <w:lvlText w:val="•"/>
      <w:lvlJc w:val="left"/>
      <w:pPr>
        <w:tabs>
          <w:tab w:val="num" w:pos="2880"/>
        </w:tabs>
        <w:ind w:left="2880" w:hanging="360"/>
      </w:pPr>
      <w:rPr>
        <w:rFonts w:ascii="Calibri" w:hAnsi="Calibri" w:hint="default"/>
      </w:rPr>
    </w:lvl>
    <w:lvl w:ilvl="4" w:tplc="15EC61CA" w:tentative="1">
      <w:start w:val="1"/>
      <w:numFmt w:val="bullet"/>
      <w:lvlText w:val="•"/>
      <w:lvlJc w:val="left"/>
      <w:pPr>
        <w:tabs>
          <w:tab w:val="num" w:pos="3600"/>
        </w:tabs>
        <w:ind w:left="3600" w:hanging="360"/>
      </w:pPr>
      <w:rPr>
        <w:rFonts w:ascii="Calibri" w:hAnsi="Calibri" w:hint="default"/>
      </w:rPr>
    </w:lvl>
    <w:lvl w:ilvl="5" w:tplc="F692F8A2" w:tentative="1">
      <w:start w:val="1"/>
      <w:numFmt w:val="bullet"/>
      <w:lvlText w:val="•"/>
      <w:lvlJc w:val="left"/>
      <w:pPr>
        <w:tabs>
          <w:tab w:val="num" w:pos="4320"/>
        </w:tabs>
        <w:ind w:left="4320" w:hanging="360"/>
      </w:pPr>
      <w:rPr>
        <w:rFonts w:ascii="Calibri" w:hAnsi="Calibri" w:hint="default"/>
      </w:rPr>
    </w:lvl>
    <w:lvl w:ilvl="6" w:tplc="EEB63E54" w:tentative="1">
      <w:start w:val="1"/>
      <w:numFmt w:val="bullet"/>
      <w:lvlText w:val="•"/>
      <w:lvlJc w:val="left"/>
      <w:pPr>
        <w:tabs>
          <w:tab w:val="num" w:pos="5040"/>
        </w:tabs>
        <w:ind w:left="5040" w:hanging="360"/>
      </w:pPr>
      <w:rPr>
        <w:rFonts w:ascii="Calibri" w:hAnsi="Calibri" w:hint="default"/>
      </w:rPr>
    </w:lvl>
    <w:lvl w:ilvl="7" w:tplc="746E3296" w:tentative="1">
      <w:start w:val="1"/>
      <w:numFmt w:val="bullet"/>
      <w:lvlText w:val="•"/>
      <w:lvlJc w:val="left"/>
      <w:pPr>
        <w:tabs>
          <w:tab w:val="num" w:pos="5760"/>
        </w:tabs>
        <w:ind w:left="5760" w:hanging="360"/>
      </w:pPr>
      <w:rPr>
        <w:rFonts w:ascii="Calibri" w:hAnsi="Calibri" w:hint="default"/>
      </w:rPr>
    </w:lvl>
    <w:lvl w:ilvl="8" w:tplc="2176EFDC"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75A463F7"/>
    <w:multiLevelType w:val="hybridMultilevel"/>
    <w:tmpl w:val="A32E8544"/>
    <w:lvl w:ilvl="0" w:tplc="D61A4CDA">
      <w:start w:val="1"/>
      <w:numFmt w:val="upp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BA12C50"/>
    <w:multiLevelType w:val="hybridMultilevel"/>
    <w:tmpl w:val="8DCA1F6C"/>
    <w:lvl w:ilvl="0" w:tplc="95927ABE">
      <w:start w:val="1"/>
      <w:numFmt w:val="decimal"/>
      <w:lvlText w:val="%1."/>
      <w:lvlJc w:val="left"/>
      <w:pPr>
        <w:ind w:left="790" w:hanging="43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19"/>
  </w:num>
  <w:num w:numId="5">
    <w:abstractNumId w:val="15"/>
  </w:num>
  <w:num w:numId="6">
    <w:abstractNumId w:val="3"/>
  </w:num>
  <w:num w:numId="7">
    <w:abstractNumId w:val="8"/>
  </w:num>
  <w:num w:numId="8">
    <w:abstractNumId w:val="20"/>
  </w:num>
  <w:num w:numId="9">
    <w:abstractNumId w:val="16"/>
  </w:num>
  <w:num w:numId="10">
    <w:abstractNumId w:val="10"/>
  </w:num>
  <w:num w:numId="11">
    <w:abstractNumId w:val="24"/>
  </w:num>
  <w:num w:numId="12">
    <w:abstractNumId w:val="15"/>
  </w:num>
  <w:num w:numId="13">
    <w:abstractNumId w:val="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12"/>
  </w:num>
  <w:num w:numId="18">
    <w:abstractNumId w:val="22"/>
  </w:num>
  <w:num w:numId="19">
    <w:abstractNumId w:val="11"/>
  </w:num>
  <w:num w:numId="20">
    <w:abstractNumId w:val="13"/>
  </w:num>
  <w:num w:numId="21">
    <w:abstractNumId w:val="21"/>
  </w:num>
  <w:num w:numId="22">
    <w:abstractNumId w:val="6"/>
  </w:num>
  <w:num w:numId="23">
    <w:abstractNumId w:val="14"/>
  </w:num>
  <w:num w:numId="24">
    <w:abstractNumId w:val="18"/>
  </w:num>
  <w:num w:numId="25">
    <w:abstractNumId w:val="2"/>
  </w:num>
  <w:num w:numId="26">
    <w:abstractNumId w:val="26"/>
  </w:num>
  <w:num w:numId="27">
    <w:abstractNumId w:val="9"/>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104CC"/>
    <w:rsid w:val="0001398E"/>
    <w:rsid w:val="00015124"/>
    <w:rsid w:val="000220C9"/>
    <w:rsid w:val="0002255C"/>
    <w:rsid w:val="00030217"/>
    <w:rsid w:val="00044983"/>
    <w:rsid w:val="00045A74"/>
    <w:rsid w:val="000464C9"/>
    <w:rsid w:val="00046DB8"/>
    <w:rsid w:val="00052249"/>
    <w:rsid w:val="00060D7D"/>
    <w:rsid w:val="0006245C"/>
    <w:rsid w:val="000628DC"/>
    <w:rsid w:val="00072447"/>
    <w:rsid w:val="00084AE0"/>
    <w:rsid w:val="000A68C8"/>
    <w:rsid w:val="000B2B8D"/>
    <w:rsid w:val="000B6E87"/>
    <w:rsid w:val="000C3315"/>
    <w:rsid w:val="000C5687"/>
    <w:rsid w:val="00105D59"/>
    <w:rsid w:val="00116901"/>
    <w:rsid w:val="001169B8"/>
    <w:rsid w:val="00121053"/>
    <w:rsid w:val="00123203"/>
    <w:rsid w:val="00133471"/>
    <w:rsid w:val="00145837"/>
    <w:rsid w:val="00146992"/>
    <w:rsid w:val="0016014E"/>
    <w:rsid w:val="00162A67"/>
    <w:rsid w:val="00172079"/>
    <w:rsid w:val="00182A52"/>
    <w:rsid w:val="001922BF"/>
    <w:rsid w:val="00197527"/>
    <w:rsid w:val="001A469B"/>
    <w:rsid w:val="001A7385"/>
    <w:rsid w:val="001B0D43"/>
    <w:rsid w:val="001B224B"/>
    <w:rsid w:val="001B4C1E"/>
    <w:rsid w:val="001C0251"/>
    <w:rsid w:val="001D1006"/>
    <w:rsid w:val="001E0796"/>
    <w:rsid w:val="001F2926"/>
    <w:rsid w:val="001F5F49"/>
    <w:rsid w:val="001F773C"/>
    <w:rsid w:val="00202123"/>
    <w:rsid w:val="00206513"/>
    <w:rsid w:val="002118F8"/>
    <w:rsid w:val="00211E39"/>
    <w:rsid w:val="00213770"/>
    <w:rsid w:val="00221158"/>
    <w:rsid w:val="00230ADF"/>
    <w:rsid w:val="002366E5"/>
    <w:rsid w:val="00244CA4"/>
    <w:rsid w:val="002471C9"/>
    <w:rsid w:val="00250BF8"/>
    <w:rsid w:val="00250CF2"/>
    <w:rsid w:val="00257237"/>
    <w:rsid w:val="00267F7D"/>
    <w:rsid w:val="0027207C"/>
    <w:rsid w:val="00273ACF"/>
    <w:rsid w:val="00273C6D"/>
    <w:rsid w:val="00280A27"/>
    <w:rsid w:val="0028173E"/>
    <w:rsid w:val="00283F77"/>
    <w:rsid w:val="00290AC5"/>
    <w:rsid w:val="00293819"/>
    <w:rsid w:val="00297855"/>
    <w:rsid w:val="002A2134"/>
    <w:rsid w:val="002B07D6"/>
    <w:rsid w:val="002C2F09"/>
    <w:rsid w:val="002C467F"/>
    <w:rsid w:val="002C60EB"/>
    <w:rsid w:val="002D197A"/>
    <w:rsid w:val="002D3D7F"/>
    <w:rsid w:val="002D52B7"/>
    <w:rsid w:val="002D5EBB"/>
    <w:rsid w:val="002E2FEA"/>
    <w:rsid w:val="002E7337"/>
    <w:rsid w:val="002E7B73"/>
    <w:rsid w:val="002E7EDB"/>
    <w:rsid w:val="002F0750"/>
    <w:rsid w:val="002F1826"/>
    <w:rsid w:val="003004AB"/>
    <w:rsid w:val="00307197"/>
    <w:rsid w:val="003163C6"/>
    <w:rsid w:val="00324069"/>
    <w:rsid w:val="00333A0D"/>
    <w:rsid w:val="00357DD3"/>
    <w:rsid w:val="00360E90"/>
    <w:rsid w:val="003748F4"/>
    <w:rsid w:val="0037501F"/>
    <w:rsid w:val="0038305C"/>
    <w:rsid w:val="00387961"/>
    <w:rsid w:val="0039277D"/>
    <w:rsid w:val="00393B30"/>
    <w:rsid w:val="00397812"/>
    <w:rsid w:val="003A7C5F"/>
    <w:rsid w:val="003B1B7B"/>
    <w:rsid w:val="003D1A66"/>
    <w:rsid w:val="003D1F6F"/>
    <w:rsid w:val="003D7BC9"/>
    <w:rsid w:val="003E167E"/>
    <w:rsid w:val="003E549D"/>
    <w:rsid w:val="004040FB"/>
    <w:rsid w:val="00407AD8"/>
    <w:rsid w:val="00416ED2"/>
    <w:rsid w:val="00420FD1"/>
    <w:rsid w:val="00423306"/>
    <w:rsid w:val="004310EE"/>
    <w:rsid w:val="00434864"/>
    <w:rsid w:val="0044028B"/>
    <w:rsid w:val="00446563"/>
    <w:rsid w:val="00451C32"/>
    <w:rsid w:val="00451C38"/>
    <w:rsid w:val="00452742"/>
    <w:rsid w:val="0045339F"/>
    <w:rsid w:val="00471D26"/>
    <w:rsid w:val="00472AFE"/>
    <w:rsid w:val="0047747B"/>
    <w:rsid w:val="0048242B"/>
    <w:rsid w:val="00487F57"/>
    <w:rsid w:val="00492C35"/>
    <w:rsid w:val="004961DC"/>
    <w:rsid w:val="0049639F"/>
    <w:rsid w:val="004B1DB7"/>
    <w:rsid w:val="004B36F2"/>
    <w:rsid w:val="004B4B23"/>
    <w:rsid w:val="004B72B0"/>
    <w:rsid w:val="004C490B"/>
    <w:rsid w:val="004C4E1E"/>
    <w:rsid w:val="004D2B16"/>
    <w:rsid w:val="004D3888"/>
    <w:rsid w:val="004D5D5E"/>
    <w:rsid w:val="004D73FD"/>
    <w:rsid w:val="004D7828"/>
    <w:rsid w:val="004E0091"/>
    <w:rsid w:val="004F1BB2"/>
    <w:rsid w:val="00504B2B"/>
    <w:rsid w:val="00513305"/>
    <w:rsid w:val="00516446"/>
    <w:rsid w:val="0051725A"/>
    <w:rsid w:val="005200C5"/>
    <w:rsid w:val="00520D77"/>
    <w:rsid w:val="005269D9"/>
    <w:rsid w:val="005432CA"/>
    <w:rsid w:val="005455D0"/>
    <w:rsid w:val="0055409F"/>
    <w:rsid w:val="00555598"/>
    <w:rsid w:val="005576DC"/>
    <w:rsid w:val="00562179"/>
    <w:rsid w:val="0056219D"/>
    <w:rsid w:val="00563F66"/>
    <w:rsid w:val="00565563"/>
    <w:rsid w:val="0057313F"/>
    <w:rsid w:val="005A2311"/>
    <w:rsid w:val="005A47E9"/>
    <w:rsid w:val="005B44AA"/>
    <w:rsid w:val="005B5F47"/>
    <w:rsid w:val="005C6304"/>
    <w:rsid w:val="005D12EA"/>
    <w:rsid w:val="005D4724"/>
    <w:rsid w:val="005D69B1"/>
    <w:rsid w:val="005E5D1B"/>
    <w:rsid w:val="005F7E7C"/>
    <w:rsid w:val="00611422"/>
    <w:rsid w:val="00611526"/>
    <w:rsid w:val="00617AB1"/>
    <w:rsid w:val="00624784"/>
    <w:rsid w:val="006308F2"/>
    <w:rsid w:val="00635112"/>
    <w:rsid w:val="0064794D"/>
    <w:rsid w:val="006518C2"/>
    <w:rsid w:val="00655F23"/>
    <w:rsid w:val="0066133B"/>
    <w:rsid w:val="00666DEC"/>
    <w:rsid w:val="00667830"/>
    <w:rsid w:val="00674489"/>
    <w:rsid w:val="0067732F"/>
    <w:rsid w:val="00684C7D"/>
    <w:rsid w:val="00684E81"/>
    <w:rsid w:val="00693F2F"/>
    <w:rsid w:val="006950C1"/>
    <w:rsid w:val="0069517A"/>
    <w:rsid w:val="0069548B"/>
    <w:rsid w:val="00695756"/>
    <w:rsid w:val="006A39A8"/>
    <w:rsid w:val="006A3AB1"/>
    <w:rsid w:val="006A3E60"/>
    <w:rsid w:val="006A6757"/>
    <w:rsid w:val="006C3116"/>
    <w:rsid w:val="006D74D3"/>
    <w:rsid w:val="006E216F"/>
    <w:rsid w:val="006E52F6"/>
    <w:rsid w:val="006E5E26"/>
    <w:rsid w:val="006F6463"/>
    <w:rsid w:val="00700240"/>
    <w:rsid w:val="00707ED8"/>
    <w:rsid w:val="00710886"/>
    <w:rsid w:val="00717D29"/>
    <w:rsid w:val="00721CF7"/>
    <w:rsid w:val="0072546B"/>
    <w:rsid w:val="00730BD6"/>
    <w:rsid w:val="0073284B"/>
    <w:rsid w:val="00747A55"/>
    <w:rsid w:val="00750D39"/>
    <w:rsid w:val="00754CFE"/>
    <w:rsid w:val="00755BAF"/>
    <w:rsid w:val="00763BD0"/>
    <w:rsid w:val="00772DAB"/>
    <w:rsid w:val="00774400"/>
    <w:rsid w:val="00776CE3"/>
    <w:rsid w:val="00784DD7"/>
    <w:rsid w:val="00796A4C"/>
    <w:rsid w:val="007A3BA3"/>
    <w:rsid w:val="007C31A2"/>
    <w:rsid w:val="007D3033"/>
    <w:rsid w:val="007D4FD8"/>
    <w:rsid w:val="007F1159"/>
    <w:rsid w:val="007F5EB8"/>
    <w:rsid w:val="008019B8"/>
    <w:rsid w:val="00801F7F"/>
    <w:rsid w:val="008023BD"/>
    <w:rsid w:val="008122F1"/>
    <w:rsid w:val="0081611A"/>
    <w:rsid w:val="00817F52"/>
    <w:rsid w:val="00824811"/>
    <w:rsid w:val="008252BD"/>
    <w:rsid w:val="0084352E"/>
    <w:rsid w:val="00860DDB"/>
    <w:rsid w:val="0086310A"/>
    <w:rsid w:val="00866809"/>
    <w:rsid w:val="00872100"/>
    <w:rsid w:val="00873FDB"/>
    <w:rsid w:val="00883E9F"/>
    <w:rsid w:val="008942DC"/>
    <w:rsid w:val="0089761E"/>
    <w:rsid w:val="008A17F9"/>
    <w:rsid w:val="008A3089"/>
    <w:rsid w:val="008A3D7E"/>
    <w:rsid w:val="008A47C5"/>
    <w:rsid w:val="008B697C"/>
    <w:rsid w:val="008B7C24"/>
    <w:rsid w:val="008C09A0"/>
    <w:rsid w:val="008C1D78"/>
    <w:rsid w:val="008C323E"/>
    <w:rsid w:val="008D206A"/>
    <w:rsid w:val="008D4144"/>
    <w:rsid w:val="008E54AB"/>
    <w:rsid w:val="008F4369"/>
    <w:rsid w:val="008F5E5F"/>
    <w:rsid w:val="008F62A3"/>
    <w:rsid w:val="00915AE2"/>
    <w:rsid w:val="0091761A"/>
    <w:rsid w:val="009258BB"/>
    <w:rsid w:val="00927222"/>
    <w:rsid w:val="009276BB"/>
    <w:rsid w:val="00942B53"/>
    <w:rsid w:val="00957379"/>
    <w:rsid w:val="00961A8D"/>
    <w:rsid w:val="00965531"/>
    <w:rsid w:val="00987365"/>
    <w:rsid w:val="009923D8"/>
    <w:rsid w:val="00997800"/>
    <w:rsid w:val="009A192C"/>
    <w:rsid w:val="009A4120"/>
    <w:rsid w:val="009A507E"/>
    <w:rsid w:val="009A63E7"/>
    <w:rsid w:val="009B1423"/>
    <w:rsid w:val="009B4A0D"/>
    <w:rsid w:val="009B6620"/>
    <w:rsid w:val="009C6D18"/>
    <w:rsid w:val="009D1A1A"/>
    <w:rsid w:val="009D2699"/>
    <w:rsid w:val="009D3A7D"/>
    <w:rsid w:val="009F1CA9"/>
    <w:rsid w:val="009F2141"/>
    <w:rsid w:val="009F2A0D"/>
    <w:rsid w:val="00A123F6"/>
    <w:rsid w:val="00A124CC"/>
    <w:rsid w:val="00A15219"/>
    <w:rsid w:val="00A22A59"/>
    <w:rsid w:val="00A3638E"/>
    <w:rsid w:val="00A41195"/>
    <w:rsid w:val="00A4164A"/>
    <w:rsid w:val="00A43CCF"/>
    <w:rsid w:val="00A46833"/>
    <w:rsid w:val="00A52145"/>
    <w:rsid w:val="00A61878"/>
    <w:rsid w:val="00A709CB"/>
    <w:rsid w:val="00A72666"/>
    <w:rsid w:val="00A7438D"/>
    <w:rsid w:val="00A90530"/>
    <w:rsid w:val="00A90EAA"/>
    <w:rsid w:val="00A973C9"/>
    <w:rsid w:val="00AA6CC9"/>
    <w:rsid w:val="00AB3DC7"/>
    <w:rsid w:val="00AC694D"/>
    <w:rsid w:val="00AC7ED6"/>
    <w:rsid w:val="00AD4FFC"/>
    <w:rsid w:val="00AE183B"/>
    <w:rsid w:val="00AE6399"/>
    <w:rsid w:val="00AF0978"/>
    <w:rsid w:val="00AF4153"/>
    <w:rsid w:val="00AF6EF8"/>
    <w:rsid w:val="00B009E9"/>
    <w:rsid w:val="00B1014D"/>
    <w:rsid w:val="00B208FA"/>
    <w:rsid w:val="00B21F94"/>
    <w:rsid w:val="00B26680"/>
    <w:rsid w:val="00B32AE3"/>
    <w:rsid w:val="00B34B4A"/>
    <w:rsid w:val="00B37F05"/>
    <w:rsid w:val="00B4113C"/>
    <w:rsid w:val="00B45C29"/>
    <w:rsid w:val="00B52BFC"/>
    <w:rsid w:val="00B63155"/>
    <w:rsid w:val="00B660D3"/>
    <w:rsid w:val="00B719A9"/>
    <w:rsid w:val="00B74A6E"/>
    <w:rsid w:val="00B77A5E"/>
    <w:rsid w:val="00B8318B"/>
    <w:rsid w:val="00B83739"/>
    <w:rsid w:val="00B87E03"/>
    <w:rsid w:val="00B9279F"/>
    <w:rsid w:val="00B968EC"/>
    <w:rsid w:val="00B97E06"/>
    <w:rsid w:val="00BB4057"/>
    <w:rsid w:val="00BB6B17"/>
    <w:rsid w:val="00BC3554"/>
    <w:rsid w:val="00BD3C62"/>
    <w:rsid w:val="00BE14EE"/>
    <w:rsid w:val="00C00AD9"/>
    <w:rsid w:val="00C01679"/>
    <w:rsid w:val="00C01697"/>
    <w:rsid w:val="00C0743B"/>
    <w:rsid w:val="00C07C52"/>
    <w:rsid w:val="00C11ECE"/>
    <w:rsid w:val="00C467F9"/>
    <w:rsid w:val="00C53074"/>
    <w:rsid w:val="00C72ACF"/>
    <w:rsid w:val="00C737FB"/>
    <w:rsid w:val="00C80711"/>
    <w:rsid w:val="00C8103F"/>
    <w:rsid w:val="00C87061"/>
    <w:rsid w:val="00C87C32"/>
    <w:rsid w:val="00C93764"/>
    <w:rsid w:val="00CA17DA"/>
    <w:rsid w:val="00CA7B82"/>
    <w:rsid w:val="00CB2C8C"/>
    <w:rsid w:val="00CB2CBD"/>
    <w:rsid w:val="00CB6425"/>
    <w:rsid w:val="00CB6EE2"/>
    <w:rsid w:val="00CB7B0D"/>
    <w:rsid w:val="00CC4AB8"/>
    <w:rsid w:val="00CD2563"/>
    <w:rsid w:val="00CD4674"/>
    <w:rsid w:val="00CE6084"/>
    <w:rsid w:val="00CE6BCA"/>
    <w:rsid w:val="00CF7BE8"/>
    <w:rsid w:val="00D01A7F"/>
    <w:rsid w:val="00D07B7D"/>
    <w:rsid w:val="00D10F01"/>
    <w:rsid w:val="00D15DE5"/>
    <w:rsid w:val="00D41F17"/>
    <w:rsid w:val="00D45D73"/>
    <w:rsid w:val="00D45E71"/>
    <w:rsid w:val="00D4711F"/>
    <w:rsid w:val="00D53433"/>
    <w:rsid w:val="00D604C4"/>
    <w:rsid w:val="00D644D0"/>
    <w:rsid w:val="00D66803"/>
    <w:rsid w:val="00D72AA7"/>
    <w:rsid w:val="00D75AA3"/>
    <w:rsid w:val="00D75F70"/>
    <w:rsid w:val="00D809F0"/>
    <w:rsid w:val="00D81CCF"/>
    <w:rsid w:val="00D916EA"/>
    <w:rsid w:val="00D937D1"/>
    <w:rsid w:val="00D951AB"/>
    <w:rsid w:val="00D97F1B"/>
    <w:rsid w:val="00DA5977"/>
    <w:rsid w:val="00DB4738"/>
    <w:rsid w:val="00DB674E"/>
    <w:rsid w:val="00DB799E"/>
    <w:rsid w:val="00DC040C"/>
    <w:rsid w:val="00DC0FB4"/>
    <w:rsid w:val="00DC1197"/>
    <w:rsid w:val="00DC1DF5"/>
    <w:rsid w:val="00DC68E9"/>
    <w:rsid w:val="00DD01D7"/>
    <w:rsid w:val="00DD151F"/>
    <w:rsid w:val="00DE4430"/>
    <w:rsid w:val="00DE6D96"/>
    <w:rsid w:val="00DF16AB"/>
    <w:rsid w:val="00DF25E8"/>
    <w:rsid w:val="00DF4299"/>
    <w:rsid w:val="00E0522E"/>
    <w:rsid w:val="00E157F5"/>
    <w:rsid w:val="00E220EE"/>
    <w:rsid w:val="00E32899"/>
    <w:rsid w:val="00E34839"/>
    <w:rsid w:val="00E47920"/>
    <w:rsid w:val="00E50BEB"/>
    <w:rsid w:val="00E568CF"/>
    <w:rsid w:val="00E57896"/>
    <w:rsid w:val="00E72797"/>
    <w:rsid w:val="00E74BB7"/>
    <w:rsid w:val="00E824A1"/>
    <w:rsid w:val="00E844CF"/>
    <w:rsid w:val="00E85A6B"/>
    <w:rsid w:val="00E87711"/>
    <w:rsid w:val="00E921D0"/>
    <w:rsid w:val="00E94355"/>
    <w:rsid w:val="00E96F12"/>
    <w:rsid w:val="00EA3391"/>
    <w:rsid w:val="00EA4B20"/>
    <w:rsid w:val="00EA69DF"/>
    <w:rsid w:val="00EA7457"/>
    <w:rsid w:val="00EC0E90"/>
    <w:rsid w:val="00EC3E20"/>
    <w:rsid w:val="00ED15E6"/>
    <w:rsid w:val="00EE0441"/>
    <w:rsid w:val="00EE347D"/>
    <w:rsid w:val="00EE6A17"/>
    <w:rsid w:val="00EE6F57"/>
    <w:rsid w:val="00EE73D8"/>
    <w:rsid w:val="00EF3425"/>
    <w:rsid w:val="00EF5257"/>
    <w:rsid w:val="00F15559"/>
    <w:rsid w:val="00F173D3"/>
    <w:rsid w:val="00F256D0"/>
    <w:rsid w:val="00F25BCD"/>
    <w:rsid w:val="00F25E16"/>
    <w:rsid w:val="00F26729"/>
    <w:rsid w:val="00F3068B"/>
    <w:rsid w:val="00F4238F"/>
    <w:rsid w:val="00F44065"/>
    <w:rsid w:val="00F44DFE"/>
    <w:rsid w:val="00F47557"/>
    <w:rsid w:val="00F509D5"/>
    <w:rsid w:val="00F612C6"/>
    <w:rsid w:val="00F6613C"/>
    <w:rsid w:val="00F727A8"/>
    <w:rsid w:val="00F73B02"/>
    <w:rsid w:val="00F8068B"/>
    <w:rsid w:val="00F862C3"/>
    <w:rsid w:val="00F86FF5"/>
    <w:rsid w:val="00F87FCF"/>
    <w:rsid w:val="00FA04A1"/>
    <w:rsid w:val="00FA0831"/>
    <w:rsid w:val="00FA2F13"/>
    <w:rsid w:val="00FB1973"/>
    <w:rsid w:val="00FB41F0"/>
    <w:rsid w:val="00FB5D78"/>
    <w:rsid w:val="00FC2088"/>
    <w:rsid w:val="00FC3D1E"/>
    <w:rsid w:val="00FD3DD7"/>
    <w:rsid w:val="00FD471B"/>
    <w:rsid w:val="00FE6D9E"/>
    <w:rsid w:val="00FF1F19"/>
    <w:rsid w:val="00FF3E5A"/>
    <w:rsid w:val="082773D0"/>
    <w:rsid w:val="09260775"/>
    <w:rsid w:val="1B75397C"/>
    <w:rsid w:val="55929689"/>
    <w:rsid w:val="5991F8DB"/>
    <w:rsid w:val="6033A707"/>
    <w:rsid w:val="7242374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327B4"/>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s-ES"/>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s-ES"/>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s-ES"/>
    </w:rPr>
  </w:style>
  <w:style w:type="paragraph" w:styleId="Revision">
    <w:name w:val="Revision"/>
    <w:hidden/>
    <w:uiPriority w:val="99"/>
    <w:semiHidden/>
    <w:rsid w:val="00FC208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C323E"/>
    <w:rPr>
      <w:rFonts w:ascii="Arial" w:hAnsi="Arial" w:cs="Arial"/>
      <w:sz w:val="18"/>
      <w:szCs w:val="18"/>
    </w:rPr>
  </w:style>
  <w:style w:type="character" w:customStyle="1" w:styleId="BalloonTextChar">
    <w:name w:val="Balloon Text Char"/>
    <w:basedOn w:val="DefaultParagraphFont"/>
    <w:link w:val="BalloonText"/>
    <w:uiPriority w:val="99"/>
    <w:semiHidden/>
    <w:rsid w:val="008C323E"/>
    <w:rPr>
      <w:rFonts w:ascii="Arial" w:eastAsia="Calibri" w:hAnsi="Arial" w:cs="Arial"/>
      <w:sz w:val="18"/>
      <w:szCs w:val="18"/>
      <w:lang w:val="es-E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A0"/>
    <w:rPr>
      <w:b/>
      <w:bCs/>
    </w:rPr>
  </w:style>
  <w:style w:type="character" w:customStyle="1" w:styleId="CommentSubjectChar">
    <w:name w:val="Comment Subject Char"/>
    <w:basedOn w:val="CommentTextChar"/>
    <w:link w:val="CommentSubject"/>
    <w:uiPriority w:val="99"/>
    <w:semiHidden/>
    <w:rsid w:val="008C09A0"/>
    <w:rPr>
      <w:rFonts w:ascii="Calibri" w:eastAsia="Calibri" w:hAnsi="Calibri" w:cs="Times New Roman"/>
      <w:b/>
      <w:bCs/>
      <w:sz w:val="20"/>
      <w:szCs w:val="20"/>
      <w:lang w:val="es-ES"/>
    </w:rPr>
  </w:style>
  <w:style w:type="character" w:styleId="Mention">
    <w:name w:val="Mention"/>
    <w:basedOn w:val="DefaultParagraphFont"/>
    <w:uiPriority w:val="99"/>
    <w:unhideWhenUsed/>
    <w:rsid w:val="002E2FEA"/>
    <w:rPr>
      <w:color w:val="2B579A"/>
      <w:shd w:val="clear" w:color="auto" w:fill="E1DFDD"/>
    </w:rPr>
  </w:style>
  <w:style w:type="character" w:styleId="Hyperlink">
    <w:name w:val="Hyperlink"/>
    <w:basedOn w:val="DefaultParagraphFont"/>
    <w:uiPriority w:val="99"/>
    <w:unhideWhenUsed/>
    <w:rsid w:val="005B5F47"/>
    <w:rPr>
      <w:color w:val="0563C1" w:themeColor="hyperlink"/>
      <w:u w:val="single"/>
    </w:rPr>
  </w:style>
  <w:style w:type="character" w:styleId="UnresolvedMention">
    <w:name w:val="Unresolved Mention"/>
    <w:basedOn w:val="DefaultParagraphFont"/>
    <w:uiPriority w:val="99"/>
    <w:semiHidden/>
    <w:unhideWhenUsed/>
    <w:rsid w:val="005B5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6838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179080915">
      <w:bodyDiv w:val="1"/>
      <w:marLeft w:val="0"/>
      <w:marRight w:val="0"/>
      <w:marTop w:val="0"/>
      <w:marBottom w:val="0"/>
      <w:divBdr>
        <w:top w:val="none" w:sz="0" w:space="0" w:color="auto"/>
        <w:left w:val="none" w:sz="0" w:space="0" w:color="auto"/>
        <w:bottom w:val="none" w:sz="0" w:space="0" w:color="auto"/>
        <w:right w:val="none" w:sz="0" w:space="0" w:color="auto"/>
      </w:divBdr>
    </w:div>
    <w:div w:id="1303271096">
      <w:bodyDiv w:val="1"/>
      <w:marLeft w:val="0"/>
      <w:marRight w:val="0"/>
      <w:marTop w:val="0"/>
      <w:marBottom w:val="0"/>
      <w:divBdr>
        <w:top w:val="none" w:sz="0" w:space="0" w:color="auto"/>
        <w:left w:val="none" w:sz="0" w:space="0" w:color="auto"/>
        <w:bottom w:val="none" w:sz="0" w:space="0" w:color="auto"/>
        <w:right w:val="none" w:sz="0" w:space="0" w:color="auto"/>
      </w:divBdr>
      <w:divsChild>
        <w:div w:id="1484279548">
          <w:marLeft w:val="0"/>
          <w:marRight w:val="0"/>
          <w:marTop w:val="0"/>
          <w:marBottom w:val="0"/>
          <w:divBdr>
            <w:top w:val="none" w:sz="0" w:space="0" w:color="auto"/>
            <w:left w:val="none" w:sz="0" w:space="0" w:color="auto"/>
            <w:bottom w:val="none" w:sz="0" w:space="0" w:color="auto"/>
            <w:right w:val="none" w:sz="0" w:space="0" w:color="auto"/>
          </w:divBdr>
        </w:div>
        <w:div w:id="921644025">
          <w:marLeft w:val="0"/>
          <w:marRight w:val="0"/>
          <w:marTop w:val="0"/>
          <w:marBottom w:val="0"/>
          <w:divBdr>
            <w:top w:val="none" w:sz="0" w:space="0" w:color="auto"/>
            <w:left w:val="none" w:sz="0" w:space="0" w:color="auto"/>
            <w:bottom w:val="none" w:sz="0" w:space="0" w:color="auto"/>
            <w:right w:val="none" w:sz="0" w:space="0" w:color="auto"/>
          </w:divBdr>
        </w:div>
        <w:div w:id="53090641">
          <w:marLeft w:val="0"/>
          <w:marRight w:val="0"/>
          <w:marTop w:val="0"/>
          <w:marBottom w:val="0"/>
          <w:divBdr>
            <w:top w:val="none" w:sz="0" w:space="0" w:color="auto"/>
            <w:left w:val="none" w:sz="0" w:space="0" w:color="auto"/>
            <w:bottom w:val="none" w:sz="0" w:space="0" w:color="auto"/>
            <w:right w:val="none" w:sz="0" w:space="0" w:color="auto"/>
          </w:divBdr>
        </w:div>
      </w:divsChild>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886327870">
      <w:bodyDiv w:val="1"/>
      <w:marLeft w:val="0"/>
      <w:marRight w:val="0"/>
      <w:marTop w:val="0"/>
      <w:marBottom w:val="0"/>
      <w:divBdr>
        <w:top w:val="none" w:sz="0" w:space="0" w:color="auto"/>
        <w:left w:val="none" w:sz="0" w:space="0" w:color="auto"/>
        <w:bottom w:val="none" w:sz="0" w:space="0" w:color="auto"/>
        <w:right w:val="none" w:sz="0" w:space="0" w:color="auto"/>
      </w:divBdr>
    </w:div>
    <w:div w:id="1955088042">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 w:id="2021854599">
      <w:bodyDiv w:val="1"/>
      <w:marLeft w:val="0"/>
      <w:marRight w:val="0"/>
      <w:marTop w:val="0"/>
      <w:marBottom w:val="0"/>
      <w:divBdr>
        <w:top w:val="none" w:sz="0" w:space="0" w:color="auto"/>
        <w:left w:val="none" w:sz="0" w:space="0" w:color="auto"/>
        <w:bottom w:val="none" w:sz="0" w:space="0" w:color="auto"/>
        <w:right w:val="none" w:sz="0" w:space="0" w:color="auto"/>
      </w:divBdr>
      <w:divsChild>
        <w:div w:id="804851738">
          <w:marLeft w:val="547"/>
          <w:marRight w:val="0"/>
          <w:marTop w:val="0"/>
          <w:marBottom w:val="0"/>
          <w:divBdr>
            <w:top w:val="none" w:sz="0" w:space="0" w:color="auto"/>
            <w:left w:val="none" w:sz="0" w:space="0" w:color="auto"/>
            <w:bottom w:val="none" w:sz="0" w:space="0" w:color="auto"/>
            <w:right w:val="none" w:sz="0" w:space="0" w:color="auto"/>
          </w:divBdr>
        </w:div>
        <w:div w:id="937443677">
          <w:marLeft w:val="547"/>
          <w:marRight w:val="0"/>
          <w:marTop w:val="0"/>
          <w:marBottom w:val="0"/>
          <w:divBdr>
            <w:top w:val="none" w:sz="0" w:space="0" w:color="auto"/>
            <w:left w:val="none" w:sz="0" w:space="0" w:color="auto"/>
            <w:bottom w:val="none" w:sz="0" w:space="0" w:color="auto"/>
            <w:right w:val="none" w:sz="0" w:space="0" w:color="auto"/>
          </w:divBdr>
        </w:div>
        <w:div w:id="838152004">
          <w:marLeft w:val="547"/>
          <w:marRight w:val="0"/>
          <w:marTop w:val="0"/>
          <w:marBottom w:val="0"/>
          <w:divBdr>
            <w:top w:val="none" w:sz="0" w:space="0" w:color="auto"/>
            <w:left w:val="none" w:sz="0" w:space="0" w:color="auto"/>
            <w:bottom w:val="none" w:sz="0" w:space="0" w:color="auto"/>
            <w:right w:val="none" w:sz="0" w:space="0" w:color="auto"/>
          </w:divBdr>
        </w:div>
        <w:div w:id="798836011">
          <w:marLeft w:val="547"/>
          <w:marRight w:val="0"/>
          <w:marTop w:val="0"/>
          <w:marBottom w:val="0"/>
          <w:divBdr>
            <w:top w:val="none" w:sz="0" w:space="0" w:color="auto"/>
            <w:left w:val="none" w:sz="0" w:space="0" w:color="auto"/>
            <w:bottom w:val="none" w:sz="0" w:space="0" w:color="auto"/>
            <w:right w:val="none" w:sz="0" w:space="0" w:color="auto"/>
          </w:divBdr>
        </w:div>
        <w:div w:id="131411045">
          <w:marLeft w:val="547"/>
          <w:marRight w:val="0"/>
          <w:marTop w:val="0"/>
          <w:marBottom w:val="0"/>
          <w:divBdr>
            <w:top w:val="none" w:sz="0" w:space="0" w:color="auto"/>
            <w:left w:val="none" w:sz="0" w:space="0" w:color="auto"/>
            <w:bottom w:val="none" w:sz="0" w:space="0" w:color="auto"/>
            <w:right w:val="none" w:sz="0" w:space="0" w:color="auto"/>
          </w:divBdr>
        </w:div>
        <w:div w:id="1998872895">
          <w:marLeft w:val="547"/>
          <w:marRight w:val="0"/>
          <w:marTop w:val="0"/>
          <w:marBottom w:val="0"/>
          <w:divBdr>
            <w:top w:val="none" w:sz="0" w:space="0" w:color="auto"/>
            <w:left w:val="none" w:sz="0" w:space="0" w:color="auto"/>
            <w:bottom w:val="none" w:sz="0" w:space="0" w:color="auto"/>
            <w:right w:val="none" w:sz="0" w:space="0" w:color="auto"/>
          </w:divBdr>
        </w:div>
        <w:div w:id="410472621">
          <w:marLeft w:val="547"/>
          <w:marRight w:val="0"/>
          <w:marTop w:val="0"/>
          <w:marBottom w:val="0"/>
          <w:divBdr>
            <w:top w:val="none" w:sz="0" w:space="0" w:color="auto"/>
            <w:left w:val="none" w:sz="0" w:space="0" w:color="auto"/>
            <w:bottom w:val="none" w:sz="0" w:space="0" w:color="auto"/>
            <w:right w:val="none" w:sz="0" w:space="0" w:color="auto"/>
          </w:divBdr>
        </w:div>
        <w:div w:id="2093625318">
          <w:marLeft w:val="547"/>
          <w:marRight w:val="0"/>
          <w:marTop w:val="0"/>
          <w:marBottom w:val="0"/>
          <w:divBdr>
            <w:top w:val="none" w:sz="0" w:space="0" w:color="auto"/>
            <w:left w:val="none" w:sz="0" w:space="0" w:color="auto"/>
            <w:bottom w:val="none" w:sz="0" w:space="0" w:color="auto"/>
            <w:right w:val="none" w:sz="0" w:space="0" w:color="auto"/>
          </w:divBdr>
        </w:div>
        <w:div w:id="17502712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youth-working-group-work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8913f9-f658-49ad-a093-b53919ef1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8" ma:contentTypeDescription="Create a new document." ma:contentTypeScope="" ma:versionID="8445c46855de64cd3ab9e640c8158cf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b22ff77dfb419fb42bdafa3275e6d0d4"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5611-34CC-49DD-93B2-1EE235CE8740}">
  <ds:schemaRefs>
    <ds:schemaRef ds:uri="http://schemas.microsoft.com/sharepoint/v3/contenttype/forms"/>
  </ds:schemaRefs>
</ds:datastoreItem>
</file>

<file path=customXml/itemProps2.xml><?xml version="1.0" encoding="utf-8"?>
<ds:datastoreItem xmlns:ds="http://schemas.openxmlformats.org/officeDocument/2006/customXml" ds:itemID="{0267F2C8-7FDA-42EB-B5FC-7BCDDA5F800B}">
  <ds:schemaRefs>
    <ds:schemaRef ds:uri="http://schemas.microsoft.com/office/infopath/2007/PartnerControls"/>
    <ds:schemaRef ds:uri="http://schemas.microsoft.com/office/2006/documentManagement/types"/>
    <ds:schemaRef ds:uri="a28913f9-f658-49ad-a093-b53919ef12c6"/>
    <ds:schemaRef ds:uri="http://www.w3.org/XML/1998/namespace"/>
    <ds:schemaRef ds:uri="http://purl.org/dc/elements/1.1/"/>
    <ds:schemaRef ds:uri="c68b630d-a516-445e-9d53-7d1a6d7959c9"/>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2E279B9-F9E8-41DC-9392-D9D0D8E41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85EE8-7FAC-4728-A13F-F5E6C054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dcterms:created xsi:type="dcterms:W3CDTF">2024-03-14T16:26:00Z</dcterms:created>
  <dcterms:modified xsi:type="dcterms:W3CDTF">2024-03-14T16:26:00Z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y fmtid="{D5CDD505-2E9C-101B-9397-08002B2CF9AE}" pid="3" name="MediaServiceImageTags">
    <vt:lpwstr/>
  </property>
</Properties>
</file>