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D9C0" w14:textId="43384ECD" w:rsidR="00F26729" w:rsidRPr="00F44065" w:rsidRDefault="00555598" w:rsidP="00DC040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>
        <w:t xml:space="preserve">CONVENTION SUR LES ZONES HUMIDES </w:t>
      </w:r>
    </w:p>
    <w:p w14:paraId="30F29077" w14:textId="09F3632A" w:rsidR="00F26729" w:rsidRPr="00F44065" w:rsidRDefault="00F26729" w:rsidP="00DC040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>
        <w:t>63</w:t>
      </w:r>
      <w:r w:rsidR="00B76BD6" w:rsidRPr="00B76BD6">
        <w:rPr>
          <w:vertAlign w:val="superscript"/>
        </w:rPr>
        <w:t>e</w:t>
      </w:r>
      <w:r>
        <w:t xml:space="preserve"> réunion du Comité permanent</w:t>
      </w:r>
    </w:p>
    <w:p w14:paraId="649CE67E" w14:textId="1B9E8843" w:rsidR="00F26729" w:rsidRPr="00F44065" w:rsidRDefault="00F26729" w:rsidP="00DC040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>
        <w:t>Gland, Suisse, 3 au 7 juin 2024</w:t>
      </w:r>
    </w:p>
    <w:p w14:paraId="1476A649" w14:textId="77777777" w:rsidR="008F4369" w:rsidRDefault="008F4369">
      <w:pPr>
        <w:jc w:val="right"/>
        <w:rPr>
          <w:rFonts w:cs="Arial"/>
          <w:b/>
          <w:sz w:val="28"/>
          <w:szCs w:val="28"/>
        </w:rPr>
      </w:pPr>
    </w:p>
    <w:p w14:paraId="724351A1" w14:textId="6C6ECF0C" w:rsidR="00F26729" w:rsidRPr="00DA7E51" w:rsidRDefault="00F26729">
      <w:pPr>
        <w:jc w:val="right"/>
        <w:rPr>
          <w:rFonts w:cs="Arial"/>
          <w:sz w:val="28"/>
          <w:szCs w:val="28"/>
        </w:rPr>
      </w:pPr>
      <w:r>
        <w:rPr>
          <w:b/>
          <w:sz w:val="28"/>
        </w:rPr>
        <w:t>SC63 Doc.18</w:t>
      </w:r>
    </w:p>
    <w:p w14:paraId="7AB6FE07" w14:textId="77777777" w:rsidR="008F4369" w:rsidRDefault="008F4369">
      <w:pPr>
        <w:jc w:val="center"/>
        <w:rPr>
          <w:rFonts w:cs="Arial"/>
          <w:b/>
          <w:sz w:val="28"/>
          <w:szCs w:val="28"/>
        </w:rPr>
      </w:pPr>
    </w:p>
    <w:p w14:paraId="1B9F6FDF" w14:textId="1D833B09" w:rsidR="00F26729" w:rsidRPr="009A1374" w:rsidRDefault="00F26729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Rapport du Groupe de travail sur la jeunesse</w:t>
      </w:r>
    </w:p>
    <w:p w14:paraId="5B41AC3C" w14:textId="77777777" w:rsidR="0016014E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3CBD20EB" w14:textId="77777777" w:rsidR="0016014E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88D37" w14:textId="77777777" w:rsidR="00416ED2" w:rsidRPr="00416ED2" w:rsidRDefault="00416ED2" w:rsidP="00F44065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="Calibri-Bold"/>
          <w:b/>
          <w:bCs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1F0E3C11" wp14:editId="3AC112AF">
                <wp:extent cx="5800725" cy="1181100"/>
                <wp:effectExtent l="0" t="0" r="28575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D0BF" w14:textId="77FD0AB1" w:rsidR="00416ED2" w:rsidRDefault="00416ED2" w:rsidP="00416E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Mesure requise :</w:t>
                            </w:r>
                          </w:p>
                          <w:p w14:paraId="42391E22" w14:textId="77777777" w:rsidR="00416ED2" w:rsidRPr="00AE6399" w:rsidRDefault="00416ED2" w:rsidP="00416ED2">
                            <w:pPr>
                              <w:pStyle w:val="ColorfulList-Accent11"/>
                              <w:ind w:left="0"/>
                            </w:pPr>
                          </w:p>
                          <w:p w14:paraId="0B55ABDB" w14:textId="781F7497" w:rsidR="00997800" w:rsidRPr="00AE6399" w:rsidRDefault="00965531" w:rsidP="00E220E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>
                              <w:t>Le Comité permanent est invité à prendre note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des progrès réalisés par le Groupe de travail sur la jeunesse </w:t>
                            </w:r>
                            <w:r w:rsidR="00B76BD6">
                              <w:t xml:space="preserve">(YWG) </w:t>
                            </w:r>
                            <w:r>
                              <w:t xml:space="preserve">qui a organisé quatre réunions virtuelles. </w:t>
                            </w:r>
                            <w:r w:rsidR="00B76BD6">
                              <w:t xml:space="preserve">Le Groupe de travail a achevé l’élaboration du plan de travail </w:t>
                            </w:r>
                            <w:r>
                              <w:t>conformément au paragraphe 17 de la Résolution XIV.12,</w:t>
                            </w:r>
                            <w:r w:rsidR="00B76BD6">
                              <w:t xml:space="preserve"> et ses membres </w:t>
                            </w:r>
                            <w:r w:rsidR="00935766">
                              <w:t>ont réorienté leurs efforts vers la mise en œuvre du plan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E3C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">
                <v:textbox>
                  <w:txbxContent>
                    <w:p w14:paraId="6134D0BF" w14:textId="77FD0AB1" w:rsidR="00416ED2" w:rsidRDefault="00416ED2" w:rsidP="00416E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Mesure requise :</w:t>
                      </w:r>
                    </w:p>
                    <w:p w14:paraId="42391E22" w14:textId="77777777" w:rsidR="00416ED2" w:rsidRPr="00AE6399" w:rsidRDefault="00416ED2" w:rsidP="00416ED2">
                      <w:pPr>
                        <w:pStyle w:val="ColorfulList-Accent11"/>
                        <w:ind w:left="0"/>
                      </w:pPr>
                    </w:p>
                    <w:p w14:paraId="0B55ABDB" w14:textId="781F7497" w:rsidR="00997800" w:rsidRPr="00AE6399" w:rsidRDefault="00965531" w:rsidP="00E220EE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>
                        <w:t>Le Comité permanent est invité à prendre note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des progrès réalisés par le Groupe de travail sur la jeunesse </w:t>
                      </w:r>
                      <w:r w:rsidR="00B76BD6">
                        <w:t xml:space="preserve">(YWG) </w:t>
                      </w:r>
                      <w:r>
                        <w:t xml:space="preserve">qui a organisé quatre réunions virtuelles. </w:t>
                      </w:r>
                      <w:r w:rsidR="00B76BD6">
                        <w:t xml:space="preserve">Le Groupe de travail a achevé l’élaboration du plan de travail </w:t>
                      </w:r>
                      <w:r>
                        <w:t>conformément au paragraphe 17 de la Résolution XIV.12,</w:t>
                      </w:r>
                      <w:r w:rsidR="00B76BD6">
                        <w:t xml:space="preserve"> et ses membres </w:t>
                      </w:r>
                      <w:r w:rsidR="00935766">
                        <w:t>ont réorienté leurs efforts vers la mise en œuvre du plan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A384B" w14:textId="77777777" w:rsidR="008F4369" w:rsidRDefault="008F4369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3D7170D" w14:textId="2C34F57B" w:rsidR="000C5687" w:rsidRDefault="000C5687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3B3F9106" w14:textId="5C86AD16" w:rsidR="0016014E" w:rsidRPr="00172079" w:rsidRDefault="0016014E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Contexte </w:t>
      </w:r>
    </w:p>
    <w:p w14:paraId="3C436054" w14:textId="77777777" w:rsidR="00A4164A" w:rsidRPr="00172079" w:rsidRDefault="00A4164A" w:rsidP="00F44065">
      <w:pPr>
        <w:ind w:left="567" w:hanging="567"/>
        <w:rPr>
          <w:rFonts w:cs="Calibri"/>
        </w:rPr>
      </w:pPr>
    </w:p>
    <w:p w14:paraId="02824FF5" w14:textId="763C77CB" w:rsidR="008F4369" w:rsidRPr="00B9279F" w:rsidRDefault="00B9279F" w:rsidP="00B9279F">
      <w:pPr>
        <w:ind w:left="426" w:hanging="426"/>
        <w:rPr>
          <w:rFonts w:cstheme="minorHAnsi"/>
        </w:rPr>
      </w:pPr>
      <w:r>
        <w:t>1.</w:t>
      </w:r>
      <w:r>
        <w:tab/>
        <w:t xml:space="preserve">La Résolution XIV.12, </w:t>
      </w:r>
      <w:r>
        <w:rPr>
          <w:i/>
        </w:rPr>
        <w:t>Renforcement des liens Ramsar avec la jeunesse</w:t>
      </w:r>
      <w:r>
        <w:t>, a demandé au Comité permanent d</w:t>
      </w:r>
      <w:r w:rsidR="00B51C71">
        <w:t>’</w:t>
      </w:r>
      <w:r>
        <w:t>établir un Groupe de travail sur la jeunesse (YWG) dont le mandat vise à faciliter l</w:t>
      </w:r>
      <w:r w:rsidR="00B51C71">
        <w:t>’</w:t>
      </w:r>
      <w:r>
        <w:t>intégration de la participation des jeunes dans la gouvernance, les programmes de travail et les autres activités de la Convention.</w:t>
      </w:r>
    </w:p>
    <w:p w14:paraId="64FF0330" w14:textId="77777777" w:rsidR="00B9279F" w:rsidRDefault="00B9279F" w:rsidP="00B9279F">
      <w:pPr>
        <w:ind w:left="426" w:hanging="426"/>
        <w:rPr>
          <w:rFonts w:cstheme="minorHAnsi"/>
        </w:rPr>
      </w:pPr>
    </w:p>
    <w:p w14:paraId="0A1E31F2" w14:textId="4EEC98D1" w:rsidR="00B32AE3" w:rsidRPr="00B9279F" w:rsidRDefault="00B9279F" w:rsidP="00B9279F">
      <w:pPr>
        <w:ind w:left="426" w:hanging="426"/>
        <w:rPr>
          <w:rFonts w:cstheme="minorHAnsi"/>
        </w:rPr>
      </w:pPr>
      <w:r>
        <w:t>2.</w:t>
      </w:r>
      <w:r>
        <w:tab/>
        <w:t>À sa 61</w:t>
      </w:r>
      <w:r w:rsidR="003E275B" w:rsidRPr="003E275B">
        <w:rPr>
          <w:vertAlign w:val="superscript"/>
        </w:rPr>
        <w:t>e</w:t>
      </w:r>
      <w:r>
        <w:t xml:space="preserve"> réunion (SC61), le Comité permanent a nommé le Président par intérim et les membres du YWG dans ses Décisions SC61-06 et SC61-07 respectivement.</w:t>
      </w:r>
    </w:p>
    <w:p w14:paraId="1EB11AFF" w14:textId="77777777" w:rsidR="00CA7B82" w:rsidRDefault="00CA7B82" w:rsidP="00B9279F">
      <w:pPr>
        <w:ind w:left="851"/>
        <w:rPr>
          <w:rFonts w:cstheme="minorHAnsi"/>
        </w:rPr>
      </w:pPr>
    </w:p>
    <w:p w14:paraId="556BD8FC" w14:textId="2A453708" w:rsidR="00B32AE3" w:rsidRPr="00B9279F" w:rsidRDefault="00B9279F" w:rsidP="00B9279F">
      <w:pPr>
        <w:ind w:left="851"/>
        <w:rPr>
          <w:rFonts w:cstheme="minorHAnsi"/>
        </w:rPr>
      </w:pPr>
      <w:r>
        <w:t>a.</w:t>
      </w:r>
      <w:r>
        <w:tab/>
      </w:r>
      <w:r w:rsidR="005D10F0">
        <w:t>L</w:t>
      </w:r>
      <w:r w:rsidR="00B51C71">
        <w:t>’</w:t>
      </w:r>
      <w:r>
        <w:t>Australie (</w:t>
      </w:r>
      <w:proofErr w:type="spellStart"/>
      <w:r w:rsidR="0069361A">
        <w:t>coautrice</w:t>
      </w:r>
      <w:proofErr w:type="spellEnd"/>
      <w:r w:rsidR="0069361A">
        <w:t xml:space="preserve"> de la Résolution XIV.12 avec le Costa Rica</w:t>
      </w:r>
      <w:r>
        <w:t>) a été nommée à la présidence par intérim.</w:t>
      </w:r>
    </w:p>
    <w:p w14:paraId="4B324EB5" w14:textId="77777777" w:rsidR="00CA7B82" w:rsidRDefault="00CA7B82" w:rsidP="00B9279F">
      <w:pPr>
        <w:ind w:left="851"/>
        <w:rPr>
          <w:rFonts w:cstheme="minorHAnsi"/>
        </w:rPr>
      </w:pPr>
    </w:p>
    <w:p w14:paraId="25B25F15" w14:textId="1534DBE6" w:rsidR="00B32AE3" w:rsidRPr="00B9279F" w:rsidRDefault="00B9279F" w:rsidP="00B9279F">
      <w:pPr>
        <w:ind w:left="851"/>
        <w:rPr>
          <w:rFonts w:cstheme="minorHAnsi"/>
        </w:rPr>
      </w:pPr>
      <w:r>
        <w:t>b.</w:t>
      </w:r>
      <w:r>
        <w:tab/>
        <w:t xml:space="preserve">Le </w:t>
      </w:r>
      <w:r w:rsidR="00CA60F1">
        <w:t>YWG</w:t>
      </w:r>
      <w:r>
        <w:t xml:space="preserve"> se compose des Parties contractantes suivantes : le Congo, pour représenter la région Afrique ; l</w:t>
      </w:r>
      <w:r w:rsidR="00B51C71">
        <w:t>’</w:t>
      </w:r>
      <w:r>
        <w:t>Irak et l</w:t>
      </w:r>
      <w:r w:rsidR="00B51C71">
        <w:t>’</w:t>
      </w:r>
      <w:r>
        <w:t>Iran (République islamique d</w:t>
      </w:r>
      <w:r w:rsidR="00B51C71">
        <w:t>’</w:t>
      </w:r>
      <w:r>
        <w:t>), pour représenter la région Asie ; l</w:t>
      </w:r>
      <w:r w:rsidR="00B51C71">
        <w:t>’</w:t>
      </w:r>
      <w:r>
        <w:t>Autriche et la Slovaquie, pour représenter la région Europe ; la Colombie, pour représenter la région Amérique latine et Caraïbes ; et le Mexique, pour représenter la région Amérique du Nord.</w:t>
      </w:r>
    </w:p>
    <w:p w14:paraId="59D3E20F" w14:textId="77777777" w:rsidR="00B9279F" w:rsidRDefault="00B9279F" w:rsidP="00B9279F">
      <w:pPr>
        <w:ind w:left="851"/>
        <w:rPr>
          <w:rFonts w:cstheme="minorHAnsi"/>
        </w:rPr>
      </w:pPr>
    </w:p>
    <w:p w14:paraId="47D8748F" w14:textId="7C794870" w:rsidR="00B32AE3" w:rsidRPr="00B9279F" w:rsidRDefault="00B9279F" w:rsidP="00B9279F">
      <w:pPr>
        <w:ind w:left="426" w:hanging="426"/>
        <w:rPr>
          <w:rFonts w:cstheme="minorHAnsi"/>
        </w:rPr>
      </w:pPr>
      <w:r>
        <w:t>3.</w:t>
      </w:r>
      <w:r>
        <w:tab/>
        <w:t xml:space="preserve">Entre la SC61 et la SC62, le </w:t>
      </w:r>
      <w:r w:rsidR="00CA60F1">
        <w:t>YWG</w:t>
      </w:r>
      <w:r>
        <w:t xml:space="preserve"> a organisé deux réunions virtuelles et deux ateliers en ligne sur l</w:t>
      </w:r>
      <w:r w:rsidR="00B51C71">
        <w:t>’</w:t>
      </w:r>
      <w:r>
        <w:t>engagement de la jeunesse afin d</w:t>
      </w:r>
      <w:r w:rsidR="00B51C71">
        <w:t>’</w:t>
      </w:r>
      <w:r w:rsidR="00056EFD">
        <w:t>échanger avec les jeunes du monde entier et définir les priorités de travail pour le YWG</w:t>
      </w:r>
      <w:r>
        <w:t xml:space="preserve">. </w:t>
      </w:r>
      <w:r w:rsidR="00056EFD">
        <w:t>Les conclusions de ces réunions ont été compilées dans un</w:t>
      </w:r>
      <w:r>
        <w:t xml:space="preserve"> rapport consultatif ayant servi à élaborer un projet de plan de travail </w:t>
      </w:r>
      <w:r w:rsidR="005012FF">
        <w:t>sur</w:t>
      </w:r>
      <w:r>
        <w:t xml:space="preserve"> la jeunesse.</w:t>
      </w:r>
    </w:p>
    <w:p w14:paraId="43F5C7B9" w14:textId="77777777" w:rsidR="00B9279F" w:rsidRDefault="00B9279F" w:rsidP="00B9279F">
      <w:pPr>
        <w:ind w:left="426" w:hanging="426"/>
        <w:rPr>
          <w:rFonts w:cstheme="minorHAnsi"/>
        </w:rPr>
      </w:pPr>
    </w:p>
    <w:p w14:paraId="67E84E58" w14:textId="43BBD299" w:rsidR="006A3AB1" w:rsidRPr="00B9279F" w:rsidRDefault="00B9279F" w:rsidP="00B9279F">
      <w:pPr>
        <w:ind w:left="426" w:hanging="426"/>
        <w:rPr>
          <w:rFonts w:cstheme="minorHAnsi"/>
        </w:rPr>
      </w:pPr>
      <w:r>
        <w:t>4.</w:t>
      </w:r>
      <w:r>
        <w:tab/>
        <w:t>À sa 62</w:t>
      </w:r>
      <w:r w:rsidR="00947CAE" w:rsidRPr="00947CAE">
        <w:rPr>
          <w:vertAlign w:val="superscript"/>
        </w:rPr>
        <w:t>e</w:t>
      </w:r>
      <w:r>
        <w:t xml:space="preserve"> réunion, </w:t>
      </w:r>
      <w:r w:rsidR="00947CAE">
        <w:t>Le Comité permanent a pris note du rapport du Groupe de travail sur la jeunesse figurant dans le document SC62 Doc.17 (Décision SC62-29).</w:t>
      </w:r>
    </w:p>
    <w:p w14:paraId="47721F85" w14:textId="77777777" w:rsidR="002C2F09" w:rsidRPr="002C2F09" w:rsidRDefault="002C2F09" w:rsidP="00B9279F">
      <w:pPr>
        <w:ind w:left="851"/>
        <w:rPr>
          <w:rFonts w:cstheme="minorHAnsi"/>
        </w:rPr>
      </w:pPr>
    </w:p>
    <w:p w14:paraId="2B272960" w14:textId="3B87316F" w:rsidR="00244CA4" w:rsidRDefault="00684E81" w:rsidP="00B9279F">
      <w:pPr>
        <w:pStyle w:val="ListParagraph"/>
        <w:ind w:left="567" w:hanging="567"/>
        <w:contextualSpacing w:val="0"/>
        <w:rPr>
          <w:rFonts w:cstheme="minorHAnsi"/>
        </w:rPr>
      </w:pPr>
      <w:r>
        <w:rPr>
          <w:b/>
        </w:rPr>
        <w:t>Projet de plan de travail sur la jeunesse</w:t>
      </w:r>
    </w:p>
    <w:p w14:paraId="6CFA2AAA" w14:textId="77777777" w:rsidR="00684E81" w:rsidRDefault="00684E81" w:rsidP="00B9279F">
      <w:pPr>
        <w:pStyle w:val="ListParagraph"/>
        <w:ind w:left="567" w:hanging="567"/>
        <w:contextualSpacing w:val="0"/>
        <w:rPr>
          <w:rFonts w:cstheme="minorHAnsi"/>
        </w:rPr>
      </w:pPr>
    </w:p>
    <w:p w14:paraId="76C8F030" w14:textId="0E376E5C" w:rsidR="00B32AE3" w:rsidRDefault="00B9279F" w:rsidP="00B9279F">
      <w:pPr>
        <w:ind w:left="426" w:hanging="426"/>
      </w:pPr>
      <w:r>
        <w:t>5.</w:t>
      </w:r>
      <w:r>
        <w:tab/>
        <w:t xml:space="preserve">Après la troisième réunion du </w:t>
      </w:r>
      <w:r w:rsidR="00872864">
        <w:t>YWG</w:t>
      </w:r>
      <w:r>
        <w:t xml:space="preserve"> le 10 août 2023, le premier projet de plan de travail sur la jeunesse a été mis à jour de façon à inclure les </w:t>
      </w:r>
      <w:r w:rsidR="00872864">
        <w:t>commentaires reçus</w:t>
      </w:r>
      <w:r>
        <w:t xml:space="preserve"> pendant la réunion</w:t>
      </w:r>
      <w:r w:rsidR="0028758D">
        <w:t xml:space="preserve">, dont se sont dégagés les points clés suivants </w:t>
      </w:r>
      <w:r>
        <w:t>:</w:t>
      </w:r>
    </w:p>
    <w:p w14:paraId="0D604D8C" w14:textId="77777777" w:rsidR="00EF3425" w:rsidRPr="00B76BD6" w:rsidRDefault="00EF3425" w:rsidP="00B9279F">
      <w:pPr>
        <w:ind w:left="851"/>
        <w:rPr>
          <w:rFonts w:eastAsia="Times New Roman" w:cs="Calibri"/>
          <w:lang w:eastAsia="en-AU"/>
        </w:rPr>
      </w:pPr>
    </w:p>
    <w:p w14:paraId="0C03B6EC" w14:textId="5A8015B3" w:rsidR="00B32AE3" w:rsidRPr="00B32AE3" w:rsidRDefault="00B9279F" w:rsidP="00B9279F">
      <w:pPr>
        <w:ind w:left="851"/>
      </w:pPr>
      <w:r>
        <w:lastRenderedPageBreak/>
        <w:t>a.</w:t>
      </w:r>
      <w:r>
        <w:tab/>
      </w:r>
      <w:r w:rsidR="0028758D">
        <w:t xml:space="preserve">Les nombreuses tâches devraient être affinées </w:t>
      </w:r>
      <w:r>
        <w:t>afin de donner la priorité à celles qui seront réalisables d</w:t>
      </w:r>
      <w:r w:rsidR="00B51C71">
        <w:t>’</w:t>
      </w:r>
      <w:r>
        <w:t>ici à la COP15 en juin 2025 ;</w:t>
      </w:r>
    </w:p>
    <w:p w14:paraId="01C7C99E" w14:textId="77777777" w:rsidR="00EF3425" w:rsidRPr="00B76BD6" w:rsidRDefault="00EF3425" w:rsidP="00B9279F">
      <w:pPr>
        <w:ind w:left="851"/>
        <w:rPr>
          <w:rFonts w:eastAsia="Times New Roman" w:cs="Calibri"/>
          <w:lang w:eastAsia="en-AU"/>
        </w:rPr>
      </w:pPr>
    </w:p>
    <w:p w14:paraId="72F907BA" w14:textId="5CD4E76B" w:rsidR="00B32AE3" w:rsidRPr="00B32AE3" w:rsidRDefault="00B9279F" w:rsidP="00B9279F">
      <w:pPr>
        <w:ind w:left="851"/>
      </w:pPr>
      <w:r>
        <w:t>b.</w:t>
      </w:r>
      <w:r>
        <w:tab/>
      </w:r>
      <w:r w:rsidR="00F97D8B">
        <w:t>Les résultats du plan de travail doivent bénéficier d</w:t>
      </w:r>
      <w:r w:rsidR="00B51C71">
        <w:t>’</w:t>
      </w:r>
      <w:r w:rsidR="00F97D8B">
        <w:t>un suivi et d</w:t>
      </w:r>
      <w:r w:rsidR="00B51C71">
        <w:t>’</w:t>
      </w:r>
      <w:r w:rsidR="00F97D8B">
        <w:t xml:space="preserve">une évaluation à </w:t>
      </w:r>
      <w:r>
        <w:t>l</w:t>
      </w:r>
      <w:r w:rsidR="00B51C71">
        <w:t>’</w:t>
      </w:r>
      <w:r>
        <w:t>aide d</w:t>
      </w:r>
      <w:r w:rsidR="00B51C71">
        <w:t>’</w:t>
      </w:r>
      <w:r>
        <w:t>indicateurs comme, par exemple, des données métriques telles que le nombre de jeunes impliqués ;</w:t>
      </w:r>
    </w:p>
    <w:p w14:paraId="3A293113" w14:textId="77777777" w:rsidR="00EF3425" w:rsidRPr="00B76BD6" w:rsidRDefault="00EF3425" w:rsidP="00B9279F">
      <w:pPr>
        <w:ind w:left="851"/>
        <w:rPr>
          <w:rFonts w:eastAsia="Times New Roman" w:cs="Calibri"/>
          <w:lang w:eastAsia="en-AU"/>
        </w:rPr>
      </w:pPr>
    </w:p>
    <w:p w14:paraId="78DC33E4" w14:textId="296DB62D" w:rsidR="00B32AE3" w:rsidRPr="00B32AE3" w:rsidRDefault="00B9279F" w:rsidP="00B9279F">
      <w:pPr>
        <w:ind w:left="851"/>
      </w:pPr>
      <w:r>
        <w:t>c.</w:t>
      </w:r>
      <w:r>
        <w:tab/>
      </w:r>
      <w:r w:rsidR="00F97D8B">
        <w:t xml:space="preserve">Pour éviter tout doublon avec des travaux existants, il faut </w:t>
      </w:r>
      <w:r>
        <w:t>collabor</w:t>
      </w:r>
      <w:r w:rsidR="00F97D8B">
        <w:t xml:space="preserve">er </w:t>
      </w:r>
      <w:r>
        <w:t>avec d</w:t>
      </w:r>
      <w:r w:rsidR="00B51C71">
        <w:t>’</w:t>
      </w:r>
      <w:r>
        <w:t xml:space="preserve">autres organisations </w:t>
      </w:r>
      <w:r w:rsidR="000D48EC">
        <w:t>sur</w:t>
      </w:r>
      <w:r>
        <w:t xml:space="preserve"> la jeunesse telles que le </w:t>
      </w:r>
      <w:r w:rsidR="000D48EC" w:rsidRPr="000D48EC">
        <w:rPr>
          <w:rFonts w:eastAsia="Times New Roman" w:cs="Calibri"/>
          <w:lang w:eastAsia="en-AU"/>
        </w:rPr>
        <w:t xml:space="preserve">IUCN </w:t>
      </w:r>
      <w:proofErr w:type="spellStart"/>
      <w:r w:rsidR="000D48EC" w:rsidRPr="000D48EC">
        <w:rPr>
          <w:rFonts w:eastAsia="Times New Roman" w:cs="Calibri"/>
          <w:lang w:eastAsia="en-AU"/>
        </w:rPr>
        <w:t>Youth</w:t>
      </w:r>
      <w:proofErr w:type="spellEnd"/>
      <w:r w:rsidR="000D48EC" w:rsidRPr="000D48EC">
        <w:rPr>
          <w:rFonts w:eastAsia="Times New Roman" w:cs="Calibri"/>
          <w:lang w:eastAsia="en-AU"/>
        </w:rPr>
        <w:t xml:space="preserve"> Water Program</w:t>
      </w:r>
      <w:r>
        <w:t xml:space="preserve">, </w:t>
      </w:r>
      <w:r w:rsidR="00F97D8B">
        <w:t>de même que</w:t>
      </w:r>
      <w:r>
        <w:t xml:space="preserve"> partage</w:t>
      </w:r>
      <w:r w:rsidR="00F97D8B">
        <w:t>r</w:t>
      </w:r>
      <w:r>
        <w:t xml:space="preserve"> </w:t>
      </w:r>
      <w:r w:rsidR="00F97D8B">
        <w:t>toute information en lien avec des thématiques</w:t>
      </w:r>
      <w:r>
        <w:t xml:space="preserve"> comme le renforcement des capacités dans les espaces de convention ; et</w:t>
      </w:r>
    </w:p>
    <w:p w14:paraId="6779E5EF" w14:textId="77777777" w:rsidR="00EF3425" w:rsidRPr="00B76BD6" w:rsidRDefault="00EF3425" w:rsidP="00B9279F">
      <w:pPr>
        <w:ind w:left="851"/>
        <w:rPr>
          <w:rFonts w:eastAsia="Times New Roman" w:cs="Calibri"/>
          <w:lang w:eastAsia="en-AU"/>
        </w:rPr>
      </w:pPr>
    </w:p>
    <w:p w14:paraId="69E1131D" w14:textId="524B6EB4" w:rsidR="00B9279F" w:rsidRPr="00B9279F" w:rsidRDefault="00B9279F" w:rsidP="00B9279F">
      <w:pPr>
        <w:ind w:left="851"/>
      </w:pPr>
      <w:r>
        <w:t>d.</w:t>
      </w:r>
      <w:r>
        <w:tab/>
      </w:r>
      <w:r w:rsidR="00E14D80">
        <w:t>Il est suggéré qu</w:t>
      </w:r>
      <w:r w:rsidR="00B51C71">
        <w:t>’</w:t>
      </w:r>
      <w:r w:rsidR="00E14D80">
        <w:t>une</w:t>
      </w:r>
      <w:r>
        <w:t xml:space="preserve"> réunion d</w:t>
      </w:r>
      <w:r w:rsidR="00B51C71">
        <w:t>’</w:t>
      </w:r>
      <w:r>
        <w:t xml:space="preserve">introduction pré-COP </w:t>
      </w:r>
      <w:r w:rsidR="00E14D80">
        <w:t xml:space="preserve">(destinée particulièrement aux jeunes) soit organisée </w:t>
      </w:r>
      <w:r>
        <w:t>pour les nouveaux participants à la COP15.</w:t>
      </w:r>
    </w:p>
    <w:p w14:paraId="30B1C135" w14:textId="77777777" w:rsidR="00B9279F" w:rsidRDefault="00B9279F" w:rsidP="00B9279F">
      <w:pPr>
        <w:ind w:left="426" w:hanging="426"/>
        <w:rPr>
          <w:rFonts w:cstheme="minorHAnsi"/>
        </w:rPr>
      </w:pPr>
    </w:p>
    <w:p w14:paraId="448EC9B3" w14:textId="40C4B450" w:rsidR="00684E81" w:rsidRPr="00B32AE3" w:rsidRDefault="00B9279F" w:rsidP="00B9279F">
      <w:pPr>
        <w:ind w:left="426" w:hanging="426"/>
      </w:pPr>
      <w:r>
        <w:t>6.</w:t>
      </w:r>
      <w:r>
        <w:tab/>
        <w:t xml:space="preserve">Un second projet a par la suite été </w:t>
      </w:r>
      <w:r w:rsidR="004227B6">
        <w:t>diffusé</w:t>
      </w:r>
      <w:r>
        <w:t xml:space="preserve"> à un public plus large composé des Parties contractantes </w:t>
      </w:r>
      <w:r w:rsidR="004227B6">
        <w:t xml:space="preserve">intéressées </w:t>
      </w:r>
      <w:r>
        <w:t>qui, sur une période de deux mois allant du 11 août au 8 octobre 2023, l</w:t>
      </w:r>
      <w:r w:rsidR="00B51C71">
        <w:t>’</w:t>
      </w:r>
      <w:r>
        <w:t xml:space="preserve">ont examiné </w:t>
      </w:r>
      <w:r w:rsidR="004227B6">
        <w:t>et commenté</w:t>
      </w:r>
      <w:r>
        <w:t>.</w:t>
      </w:r>
    </w:p>
    <w:p w14:paraId="3C327F90" w14:textId="77777777" w:rsidR="00684E81" w:rsidRPr="002118F8" w:rsidRDefault="00684E81" w:rsidP="00B9279F">
      <w:pPr>
        <w:pStyle w:val="ListParagraph"/>
        <w:ind w:left="567" w:hanging="567"/>
        <w:contextualSpacing w:val="0"/>
        <w:rPr>
          <w:rFonts w:asciiTheme="minorHAnsi" w:hAnsiTheme="minorHAnsi" w:cstheme="minorHAnsi"/>
        </w:rPr>
      </w:pPr>
    </w:p>
    <w:p w14:paraId="58C3049D" w14:textId="0597D298" w:rsidR="00244CA4" w:rsidRPr="002118F8" w:rsidRDefault="00244CA4" w:rsidP="00B9279F">
      <w:pPr>
        <w:ind w:left="567" w:right="-188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Quatrième réunion du Groupe de travail sur la jeunesse</w:t>
      </w:r>
    </w:p>
    <w:p w14:paraId="63EAE6D3" w14:textId="77777777" w:rsidR="00244CA4" w:rsidRPr="002118F8" w:rsidRDefault="00244CA4" w:rsidP="00B9279F">
      <w:pPr>
        <w:ind w:left="567" w:right="-188" w:hanging="567"/>
        <w:rPr>
          <w:rFonts w:asciiTheme="minorHAnsi" w:hAnsiTheme="minorHAnsi" w:cstheme="minorHAnsi"/>
          <w:b/>
          <w:bCs/>
          <w:lang w:eastAsia="en-AU"/>
        </w:rPr>
      </w:pPr>
    </w:p>
    <w:p w14:paraId="2C1D839A" w14:textId="03A8D01C" w:rsidR="00B32AE3" w:rsidRPr="00B9279F" w:rsidRDefault="003B1B7B" w:rsidP="00B9279F">
      <w:pPr>
        <w:ind w:left="426" w:hanging="426"/>
        <w:rPr>
          <w:rFonts w:cs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La quatrième réunion du YWG s</w:t>
      </w:r>
      <w:r w:rsidR="00B51C7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est tenue virtuellement le 30 novembre 2023. L</w:t>
      </w:r>
      <w:r w:rsidR="00B51C7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invitation a été envoyée à tous les </w:t>
      </w:r>
      <w:r w:rsidR="00326DB0">
        <w:t>chefs des Autorités administratives</w:t>
      </w:r>
      <w:r>
        <w:rPr>
          <w:rFonts w:asciiTheme="minorHAnsi" w:hAnsiTheme="minorHAnsi"/>
        </w:rPr>
        <w:t xml:space="preserve"> et Correspondants nationaux des Parties contractantes afin </w:t>
      </w:r>
      <w:r w:rsidR="005527E2">
        <w:rPr>
          <w:rFonts w:asciiTheme="minorHAnsi" w:hAnsiTheme="minorHAnsi"/>
        </w:rPr>
        <w:t>d</w:t>
      </w:r>
      <w:r w:rsidR="00B51C71">
        <w:rPr>
          <w:rFonts w:asciiTheme="minorHAnsi" w:hAnsiTheme="minorHAnsi"/>
        </w:rPr>
        <w:t>’</w:t>
      </w:r>
      <w:r w:rsidR="005527E2">
        <w:rPr>
          <w:rFonts w:asciiTheme="minorHAnsi" w:hAnsiTheme="minorHAnsi"/>
        </w:rPr>
        <w:t>élargir la consultation sur le</w:t>
      </w:r>
      <w:r>
        <w:t xml:space="preserve"> projet de plan de travail sur la jeunesse</w:t>
      </w:r>
      <w:r w:rsidR="00FC0D63">
        <w:t>.</w:t>
      </w:r>
    </w:p>
    <w:p w14:paraId="4C1FC52F" w14:textId="77777777" w:rsidR="003B1B7B" w:rsidRDefault="003B1B7B" w:rsidP="00B9279F">
      <w:pPr>
        <w:ind w:left="426" w:hanging="426"/>
        <w:rPr>
          <w:rFonts w:cstheme="minorHAnsi"/>
        </w:rPr>
      </w:pPr>
    </w:p>
    <w:p w14:paraId="2EA71A13" w14:textId="369326B7" w:rsidR="00860DDB" w:rsidRPr="00B9279F" w:rsidRDefault="003B1B7B" w:rsidP="00B9279F">
      <w:pPr>
        <w:ind w:left="426" w:hanging="426"/>
        <w:rPr>
          <w:rFonts w:cstheme="minorHAnsi"/>
        </w:rPr>
      </w:pPr>
      <w:r>
        <w:t>8.</w:t>
      </w:r>
      <w:r>
        <w:tab/>
      </w:r>
      <w:r w:rsidR="00E5149F">
        <w:t>L</w:t>
      </w:r>
      <w:r>
        <w:t>a réunion</w:t>
      </w:r>
      <w:r w:rsidR="00E5149F">
        <w:t xml:space="preserve"> de 1h30 </w:t>
      </w:r>
      <w:r>
        <w:t xml:space="preserve">était structurée autour des trois thématiques du projet de plan de travail présenté par plusieurs Parties contractantes (Australie, Canada et Colombie) </w:t>
      </w:r>
      <w:r w:rsidR="00E5149F">
        <w:t xml:space="preserve">après quoi, </w:t>
      </w:r>
      <w:r>
        <w:t xml:space="preserve">des salles ont été ouvertes pour </w:t>
      </w:r>
      <w:r w:rsidR="00A22BAD">
        <w:t>échanger</w:t>
      </w:r>
      <w:r>
        <w:t xml:space="preserve"> en anglais et en français sur les résultats/contributions et tâches du plan de travail.</w:t>
      </w:r>
    </w:p>
    <w:p w14:paraId="4FF4F67A" w14:textId="77777777" w:rsidR="00EF3425" w:rsidRDefault="00EF3425" w:rsidP="003B1B7B">
      <w:pPr>
        <w:ind w:left="851"/>
        <w:rPr>
          <w:rFonts w:cstheme="minorHAnsi"/>
        </w:rPr>
      </w:pPr>
    </w:p>
    <w:p w14:paraId="2A9233D7" w14:textId="21B8C61E" w:rsidR="00B32AE3" w:rsidRPr="003B1B7B" w:rsidRDefault="003B1B7B" w:rsidP="003B1B7B">
      <w:pPr>
        <w:ind w:left="851"/>
        <w:rPr>
          <w:rFonts w:cstheme="minorHAnsi"/>
        </w:rPr>
      </w:pPr>
      <w:r>
        <w:t>a.</w:t>
      </w:r>
      <w:r>
        <w:tab/>
        <w:t>L</w:t>
      </w:r>
      <w:r w:rsidR="007E5244">
        <w:t xml:space="preserve">es échanges ont démarré </w:t>
      </w:r>
      <w:r>
        <w:t xml:space="preserve">par </w:t>
      </w:r>
      <w:r w:rsidR="007E5244">
        <w:t>des</w:t>
      </w:r>
      <w:r>
        <w:t xml:space="preserve"> questions </w:t>
      </w:r>
      <w:r w:rsidR="007E5244">
        <w:t>visant notamment à</w:t>
      </w:r>
      <w:r>
        <w:t xml:space="preserve"> savoir si le contenu</w:t>
      </w:r>
      <w:r w:rsidR="007E5244">
        <w:t xml:space="preserve"> du plan</w:t>
      </w:r>
      <w:r>
        <w:t xml:space="preserve"> reflète </w:t>
      </w:r>
      <w:r w:rsidR="007E5244">
        <w:t>convenablement</w:t>
      </w:r>
      <w:r>
        <w:t xml:space="preserve"> le mandat de la Résolution XIV.12</w:t>
      </w:r>
      <w:r w:rsidR="007E5244">
        <w:t> ;</w:t>
      </w:r>
      <w:r>
        <w:t xml:space="preserve"> comment les tâches doivent être hiérarchisées et suivies</w:t>
      </w:r>
      <w:r w:rsidR="007E5244">
        <w:t> ;</w:t>
      </w:r>
      <w:r>
        <w:t xml:space="preserve"> si des tâches doivent être modifiées ou supprimées</w:t>
      </w:r>
      <w:r w:rsidR="007E5244">
        <w:t> ;</w:t>
      </w:r>
      <w:r>
        <w:t xml:space="preserve"> quel est le budget estimé</w:t>
      </w:r>
      <w:r w:rsidR="007E5244">
        <w:t> ;</w:t>
      </w:r>
      <w:r>
        <w:t xml:space="preserve"> </w:t>
      </w:r>
      <w:r w:rsidR="007E5244">
        <w:t>s</w:t>
      </w:r>
      <w:r w:rsidR="00B51C71">
        <w:t>’</w:t>
      </w:r>
      <w:r w:rsidR="007E5244">
        <w:t>il</w:t>
      </w:r>
      <w:r>
        <w:t xml:space="preserve"> y aura </w:t>
      </w:r>
      <w:r w:rsidR="007E5244">
        <w:t xml:space="preserve">ou non </w:t>
      </w:r>
      <w:r>
        <w:t>des appels à contribution, etc.</w:t>
      </w:r>
    </w:p>
    <w:p w14:paraId="36F1AE01" w14:textId="77777777" w:rsidR="00293819" w:rsidRDefault="00293819" w:rsidP="00293819">
      <w:pPr>
        <w:ind w:left="426" w:hanging="426"/>
        <w:rPr>
          <w:rFonts w:cstheme="minorHAnsi"/>
        </w:rPr>
      </w:pPr>
    </w:p>
    <w:p w14:paraId="23E763C3" w14:textId="21269994" w:rsidR="00B32AE3" w:rsidRPr="00B32AE3" w:rsidRDefault="00293819" w:rsidP="00293819">
      <w:pPr>
        <w:ind w:left="426" w:hanging="426"/>
        <w:rPr>
          <w:rFonts w:cstheme="minorHAnsi"/>
        </w:rPr>
      </w:pPr>
      <w:r>
        <w:t>9.</w:t>
      </w:r>
      <w:r>
        <w:tab/>
        <w:t xml:space="preserve">La réunion a </w:t>
      </w:r>
      <w:r w:rsidR="00C07970">
        <w:t>suscité</w:t>
      </w:r>
      <w:r>
        <w:t xml:space="preserve"> un niveau élevé d</w:t>
      </w:r>
      <w:r w:rsidR="00B51C71">
        <w:t>’</w:t>
      </w:r>
      <w:r>
        <w:t xml:space="preserve">engagement de la part des participants, </w:t>
      </w:r>
      <w:r w:rsidR="00567B23">
        <w:t xml:space="preserve">ainsi que </w:t>
      </w:r>
      <w:r w:rsidR="00AC21C0">
        <w:t>de nombreux</w:t>
      </w:r>
      <w:r>
        <w:t xml:space="preserve"> commentaires et suggestions</w:t>
      </w:r>
      <w:r w:rsidR="00D621B2">
        <w:t>, dont se sont dégagés les points clés suivants :</w:t>
      </w:r>
    </w:p>
    <w:p w14:paraId="40196E4A" w14:textId="77777777" w:rsidR="00EF3425" w:rsidRDefault="00EF3425" w:rsidP="00293819">
      <w:pPr>
        <w:ind w:left="851"/>
      </w:pPr>
    </w:p>
    <w:p w14:paraId="3CABB553" w14:textId="6A60403A" w:rsidR="00B32AE3" w:rsidRPr="00293819" w:rsidRDefault="00293819" w:rsidP="00293819">
      <w:pPr>
        <w:ind w:left="851"/>
        <w:rPr>
          <w:rFonts w:cstheme="minorHAnsi"/>
        </w:rPr>
      </w:pPr>
      <w:r>
        <w:t>a.</w:t>
      </w:r>
      <w:r>
        <w:tab/>
      </w:r>
      <w:r w:rsidR="002C546D">
        <w:t>Des actions supplémentaires doivent être mises en place</w:t>
      </w:r>
      <w:r>
        <w:t xml:space="preserve"> </w:t>
      </w:r>
      <w:r w:rsidR="005B7CB2">
        <w:t>sur le</w:t>
      </w:r>
      <w:r>
        <w:t xml:space="preserve"> partage des connaissances entre les Parties contractantes ;</w:t>
      </w:r>
    </w:p>
    <w:p w14:paraId="2D4ED161" w14:textId="77777777" w:rsidR="00EF3425" w:rsidRDefault="00EF3425" w:rsidP="00293819">
      <w:pPr>
        <w:ind w:left="851"/>
      </w:pPr>
    </w:p>
    <w:p w14:paraId="23B14061" w14:textId="1E09FF89" w:rsidR="00B32AE3" w:rsidRPr="00293819" w:rsidRDefault="00293819" w:rsidP="00293819">
      <w:pPr>
        <w:ind w:left="851"/>
        <w:rPr>
          <w:rFonts w:cstheme="minorHAnsi"/>
        </w:rPr>
      </w:pPr>
      <w:r>
        <w:t>b.</w:t>
      </w:r>
      <w:r>
        <w:tab/>
      </w:r>
      <w:r w:rsidR="00B16B42">
        <w:t xml:space="preserve">Il faut davantage tenir compte des </w:t>
      </w:r>
      <w:r>
        <w:t xml:space="preserve">Parties contractantes et </w:t>
      </w:r>
      <w:r w:rsidR="00B16B42">
        <w:t>de</w:t>
      </w:r>
      <w:r w:rsidR="002A2046">
        <w:t>s jeunes qui manquent de moyens</w:t>
      </w:r>
      <w:r w:rsidR="00B16B42">
        <w:t xml:space="preserve">, y compris </w:t>
      </w:r>
      <w:r w:rsidR="002A2046">
        <w:t xml:space="preserve">ceux </w:t>
      </w:r>
      <w:r w:rsidR="00B16B42">
        <w:t>des groupes marginalisés et issus des minorités</w:t>
      </w:r>
      <w:r w:rsidR="002A2046">
        <w:t xml:space="preserve"> </w:t>
      </w:r>
      <w:r w:rsidR="00B16B42">
        <w:t>;</w:t>
      </w:r>
    </w:p>
    <w:p w14:paraId="357F70FA" w14:textId="77777777" w:rsidR="00EF3425" w:rsidRDefault="00EF3425" w:rsidP="00293819">
      <w:pPr>
        <w:ind w:left="851"/>
      </w:pPr>
    </w:p>
    <w:p w14:paraId="73102A46" w14:textId="55DE5DD6" w:rsidR="00B32AE3" w:rsidRPr="00293819" w:rsidRDefault="00293819" w:rsidP="00293819">
      <w:pPr>
        <w:ind w:left="851"/>
        <w:rPr>
          <w:rFonts w:cstheme="minorHAnsi"/>
        </w:rPr>
      </w:pPr>
      <w:r>
        <w:t>c.</w:t>
      </w:r>
      <w:r>
        <w:tab/>
      </w:r>
      <w:r w:rsidR="00616A4A">
        <w:t>Il faut inclure des</w:t>
      </w:r>
      <w:r>
        <w:t xml:space="preserve"> tâches </w:t>
      </w:r>
      <w:r w:rsidR="00616A4A">
        <w:t>visant à</w:t>
      </w:r>
      <w:r>
        <w:t xml:space="preserve"> entrer en contact avec </w:t>
      </w:r>
      <w:r w:rsidR="00616A4A">
        <w:t>l</w:t>
      </w:r>
      <w:r>
        <w:t>es jeunes travaillant sur le terrain ; et</w:t>
      </w:r>
    </w:p>
    <w:p w14:paraId="171292DA" w14:textId="77777777" w:rsidR="00EF3425" w:rsidRDefault="00EF3425" w:rsidP="00293819">
      <w:pPr>
        <w:ind w:left="851"/>
      </w:pPr>
    </w:p>
    <w:p w14:paraId="0581641D" w14:textId="5170B9F0" w:rsidR="00B32AE3" w:rsidRPr="00293819" w:rsidRDefault="00293819" w:rsidP="00293819">
      <w:pPr>
        <w:ind w:left="851"/>
        <w:rPr>
          <w:rFonts w:cstheme="minorHAnsi"/>
        </w:rPr>
      </w:pPr>
      <w:r>
        <w:t>d.</w:t>
      </w:r>
      <w:r>
        <w:tab/>
      </w:r>
      <w:r w:rsidR="00305BCE">
        <w:t>Il est suggéré d</w:t>
      </w:r>
      <w:r w:rsidR="00B51C71">
        <w:t>’</w:t>
      </w:r>
      <w:r w:rsidR="00305BCE">
        <w:t xml:space="preserve">instaurer des </w:t>
      </w:r>
      <w:r>
        <w:t xml:space="preserve">indicateurs </w:t>
      </w:r>
      <w:r w:rsidR="00305BCE">
        <w:t>de mesure des</w:t>
      </w:r>
      <w:r>
        <w:t xml:space="preserve"> tâches afin de surveiller les progrès réalisés.</w:t>
      </w:r>
    </w:p>
    <w:p w14:paraId="7CC0E2BF" w14:textId="77777777" w:rsidR="00293819" w:rsidRDefault="00293819" w:rsidP="00293819">
      <w:pPr>
        <w:ind w:left="426" w:hanging="426"/>
        <w:rPr>
          <w:rFonts w:cstheme="minorHAnsi"/>
        </w:rPr>
      </w:pPr>
    </w:p>
    <w:p w14:paraId="5F75430E" w14:textId="02570316" w:rsidR="002C60EB" w:rsidRPr="00B32AE3" w:rsidRDefault="00293819" w:rsidP="00293819">
      <w:pPr>
        <w:ind w:left="426" w:hanging="426"/>
        <w:rPr>
          <w:rFonts w:cstheme="minorHAnsi"/>
        </w:rPr>
      </w:pPr>
      <w:r>
        <w:lastRenderedPageBreak/>
        <w:t>10.</w:t>
      </w:r>
      <w:r>
        <w:tab/>
        <w:t xml:space="preserve">La Présidence a diffusé un communiqué le 19 décembre 2023 auprès des membres du </w:t>
      </w:r>
      <w:r w:rsidR="001E32CA">
        <w:t>YWG</w:t>
      </w:r>
      <w:r>
        <w:t xml:space="preserve"> afin de partager avec eux le troisième projet du plan de travail consolidé à partir des commentaires de la quatrième réunion. Un appel a été passé pour examiner une dernière fois le projet et soumettre les ultimes commentaires avant que le plan de travail ne soit </w:t>
      </w:r>
      <w:r w:rsidR="00527CDB">
        <w:t>achevé</w:t>
      </w:r>
      <w:r>
        <w:t xml:space="preserve"> à la fin du mois de février</w:t>
      </w:r>
      <w:r w:rsidR="009B3BCC">
        <w:rPr>
          <w:rStyle w:val="FootnoteReference"/>
        </w:rPr>
        <w:footnoteReference w:id="1"/>
      </w:r>
      <w:r>
        <w:t>. Un courrier électronique a été envoyé le 17 janvier 2024 pour solliciter une dernière fois des contributions.</w:t>
      </w:r>
    </w:p>
    <w:p w14:paraId="309A5863" w14:textId="77777777" w:rsidR="002C60EB" w:rsidRDefault="002C60EB" w:rsidP="00B9279F">
      <w:pPr>
        <w:rPr>
          <w:rFonts w:eastAsia="Times New Roman"/>
        </w:rPr>
      </w:pPr>
      <w:r>
        <w:t> </w:t>
      </w:r>
    </w:p>
    <w:p w14:paraId="22F449BD" w14:textId="457E3E2D" w:rsidR="00C467F9" w:rsidRDefault="00E5149F" w:rsidP="00B9279F">
      <w:pPr>
        <w:ind w:lef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</w:rPr>
        <w:t>Événements</w:t>
      </w:r>
      <w:r w:rsidR="00A90EAA">
        <w:rPr>
          <w:rFonts w:asciiTheme="minorHAnsi" w:hAnsiTheme="minorHAnsi"/>
          <w:b/>
        </w:rPr>
        <w:t xml:space="preserve"> en marge de la COP28 de la CCNUCC</w:t>
      </w:r>
    </w:p>
    <w:p w14:paraId="1EAA26CA" w14:textId="77777777" w:rsidR="00A90EAA" w:rsidRDefault="00A90EAA" w:rsidP="00B9279F">
      <w:pPr>
        <w:ind w:left="0" w:firstLine="0"/>
        <w:rPr>
          <w:rFonts w:asciiTheme="minorHAnsi" w:hAnsiTheme="minorHAnsi" w:cstheme="minorHAnsi"/>
          <w:bCs/>
        </w:rPr>
      </w:pPr>
    </w:p>
    <w:p w14:paraId="19106D74" w14:textId="6A989B37" w:rsidR="00860DDB" w:rsidRPr="00860DDB" w:rsidRDefault="00293819" w:rsidP="00293819">
      <w:pPr>
        <w:ind w:left="426" w:hanging="426"/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  <w:t>Le Secrétariat de la Convention sur les zones humides et le Secrétariat du Programme régional océanien de l</w:t>
      </w:r>
      <w:r w:rsidR="00B51C7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environnement (PROE) ont </w:t>
      </w:r>
      <w:r w:rsidR="0057103C">
        <w:rPr>
          <w:rFonts w:asciiTheme="minorHAnsi" w:hAnsiTheme="minorHAnsi"/>
        </w:rPr>
        <w:t>coorganisé</w:t>
      </w:r>
      <w:r>
        <w:rPr>
          <w:rFonts w:asciiTheme="minorHAnsi" w:hAnsiTheme="minorHAnsi"/>
        </w:rPr>
        <w:t xml:space="preserve"> un événement parallèle lors de la COP28 de la CCNUCC le 6 décembre 2023</w:t>
      </w:r>
      <w:r w:rsidR="00FC7C3C">
        <w:rPr>
          <w:rFonts w:asciiTheme="minorHAnsi" w:hAnsiTheme="minorHAnsi"/>
        </w:rPr>
        <w:t xml:space="preserve"> intitulé </w:t>
      </w:r>
      <w:r>
        <w:rPr>
          <w:rFonts w:asciiTheme="minorHAnsi" w:hAnsiTheme="minorHAnsi"/>
        </w:rPr>
        <w:t>« Donner aux jeunes les moyens de préserver les zones humides et de lutter contre le changement climatique dans le Pacifique ».</w:t>
      </w:r>
    </w:p>
    <w:p w14:paraId="67A6A070" w14:textId="77777777" w:rsidR="00860DDB" w:rsidRPr="00860DDB" w:rsidRDefault="00860DDB" w:rsidP="00293819">
      <w:pPr>
        <w:pStyle w:val="ListParagraph"/>
        <w:ind w:left="426" w:hanging="426"/>
      </w:pPr>
    </w:p>
    <w:p w14:paraId="4745F8E8" w14:textId="66C7A69B" w:rsidR="00A90EAA" w:rsidRDefault="00293819" w:rsidP="00293819">
      <w:pPr>
        <w:ind w:left="426" w:hanging="426"/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 xml:space="preserve">Deux jeunes de la région Océanie (Papouasie-Nouvelle-Guinée et Kiribati) ont rejoint le panel et partagé leurs expériences </w:t>
      </w:r>
      <w:r w:rsidR="0057103C">
        <w:rPr>
          <w:rFonts w:asciiTheme="minorHAnsi" w:hAnsiTheme="minorHAnsi"/>
        </w:rPr>
        <w:t>avec</w:t>
      </w:r>
      <w:r>
        <w:rPr>
          <w:rFonts w:asciiTheme="minorHAnsi" w:hAnsiTheme="minorHAnsi"/>
        </w:rPr>
        <w:t xml:space="preserve"> </w:t>
      </w:r>
      <w:r w:rsidR="0057103C">
        <w:rPr>
          <w:rFonts w:asciiTheme="minorHAnsi" w:hAnsiTheme="minorHAnsi"/>
        </w:rPr>
        <w:t>les</w:t>
      </w:r>
      <w:r>
        <w:rPr>
          <w:rFonts w:asciiTheme="minorHAnsi" w:hAnsiTheme="minorHAnsi"/>
        </w:rPr>
        <w:t xml:space="preserve"> zones humides. Le Ministère de l</w:t>
      </w:r>
      <w:r w:rsidR="00B51C7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environnement des îles Samoa, la Secrétaire générale de la Convention, le Directeur général du SPREP, l</w:t>
      </w:r>
      <w:r w:rsidR="00B51C7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Ambassadeur des îles Fidji en Indonésie et l</w:t>
      </w:r>
      <w:r w:rsidR="00B51C7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Ambassadeur du changement climatique pour l</w:t>
      </w:r>
      <w:r w:rsidR="00B51C7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Australie, </w:t>
      </w:r>
      <w:r w:rsidR="0057103C">
        <w:rPr>
          <w:rFonts w:asciiTheme="minorHAnsi" w:hAnsiTheme="minorHAnsi"/>
        </w:rPr>
        <w:t>faisaient également partie du panel.</w:t>
      </w:r>
    </w:p>
    <w:p w14:paraId="5336A48F" w14:textId="77777777" w:rsidR="003A7C5F" w:rsidRDefault="003A7C5F" w:rsidP="00293819">
      <w:pPr>
        <w:ind w:left="426" w:hanging="426"/>
      </w:pPr>
    </w:p>
    <w:p w14:paraId="4A4C533F" w14:textId="43676CE4" w:rsidR="003A7C5F" w:rsidRDefault="00293819" w:rsidP="00293819">
      <w:pPr>
        <w:ind w:left="426" w:hanging="426"/>
      </w:pPr>
      <w:r>
        <w:t>13.</w:t>
      </w:r>
      <w:r>
        <w:tab/>
        <w:t>L</w:t>
      </w:r>
      <w:r w:rsidR="00B411F5">
        <w:t>e Président</w:t>
      </w:r>
      <w:r>
        <w:t xml:space="preserve"> du Groupe de travail sur la jeunesse a également été invité pour présenter les travaux du </w:t>
      </w:r>
      <w:r w:rsidR="00FC7C3C">
        <w:t>YWG</w:t>
      </w:r>
      <w:r>
        <w:t xml:space="preserve"> à l</w:t>
      </w:r>
      <w:r w:rsidR="00B51C71">
        <w:t>’</w:t>
      </w:r>
      <w:r>
        <w:t>événement parallèle de la COP28 de la CCNUCC le 10 décembre 2023</w:t>
      </w:r>
      <w:r w:rsidR="00FC7C3C">
        <w:t xml:space="preserve"> intitulé </w:t>
      </w:r>
      <w:r>
        <w:t>« Restauration des zones humides au regard du changement climatique : Un engagement de la jeunesse », organisé par l</w:t>
      </w:r>
      <w:r w:rsidR="00B51C71">
        <w:t>’</w:t>
      </w:r>
      <w:r>
        <w:t>Association pour la conservation des zones humides de l</w:t>
      </w:r>
      <w:r w:rsidR="00B51C71">
        <w:t>’</w:t>
      </w:r>
      <w:r>
        <w:t xml:space="preserve">Imperial </w:t>
      </w:r>
      <w:proofErr w:type="spellStart"/>
      <w:r>
        <w:t>College</w:t>
      </w:r>
      <w:proofErr w:type="spellEnd"/>
      <w:r>
        <w:t xml:space="preserve"> London.</w:t>
      </w:r>
    </w:p>
    <w:p w14:paraId="689C3EF9" w14:textId="77777777" w:rsidR="00A90EAA" w:rsidRPr="00A90EAA" w:rsidRDefault="00A90EAA" w:rsidP="00B9279F">
      <w:pPr>
        <w:ind w:left="0" w:firstLine="0"/>
        <w:rPr>
          <w:rFonts w:asciiTheme="minorHAnsi" w:hAnsiTheme="minorHAnsi" w:cstheme="minorHAnsi"/>
          <w:bCs/>
        </w:rPr>
      </w:pPr>
    </w:p>
    <w:p w14:paraId="610763CC" w14:textId="28A975E6" w:rsidR="00883E9F" w:rsidRDefault="00883E9F" w:rsidP="00B9279F">
      <w:pPr>
        <w:ind w:left="567" w:right="-187" w:hanging="567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Version finale du plan de travail</w:t>
      </w:r>
    </w:p>
    <w:p w14:paraId="702962FE" w14:textId="77777777" w:rsidR="00883E9F" w:rsidRPr="00293819" w:rsidRDefault="00883E9F" w:rsidP="00293819">
      <w:pPr>
        <w:ind w:left="426" w:hanging="426"/>
        <w:rPr>
          <w:rFonts w:cstheme="minorHAnsi"/>
        </w:rPr>
      </w:pPr>
    </w:p>
    <w:p w14:paraId="460C2418" w14:textId="4E9DB5F5" w:rsidR="00F73B02" w:rsidRPr="00293819" w:rsidRDefault="00293819" w:rsidP="00293819">
      <w:pPr>
        <w:ind w:left="426" w:hanging="426"/>
        <w:rPr>
          <w:rFonts w:cstheme="minorHAnsi"/>
        </w:rPr>
      </w:pPr>
      <w:r>
        <w:t>14.</w:t>
      </w:r>
      <w:r>
        <w:tab/>
        <w:t xml:space="preserve">Le plan de travail étant maintenant </w:t>
      </w:r>
      <w:r w:rsidR="00B4477A">
        <w:t>achevé</w:t>
      </w:r>
      <w:r>
        <w:t xml:space="preserve">, la Présidence du Groupe de travail sur la jeunesse travaille aux côtés des Parties, des membres du </w:t>
      </w:r>
      <w:r w:rsidR="002B5B28">
        <w:t>YWG</w:t>
      </w:r>
      <w:r>
        <w:t xml:space="preserve"> et d</w:t>
      </w:r>
      <w:r w:rsidR="00B51C71">
        <w:t>’</w:t>
      </w:r>
      <w:r>
        <w:t>autres organisations pour commencer à le mettre en œuvre.</w:t>
      </w:r>
    </w:p>
    <w:p w14:paraId="25B934B7" w14:textId="77777777" w:rsidR="00F73B02" w:rsidRPr="00B76BD6" w:rsidRDefault="00F73B02" w:rsidP="00B9279F">
      <w:pPr>
        <w:ind w:left="567" w:right="-187" w:hanging="567"/>
        <w:rPr>
          <w:rFonts w:asciiTheme="minorHAnsi" w:hAnsiTheme="minorHAnsi" w:cstheme="minorHAnsi"/>
          <w:b/>
          <w:bCs/>
        </w:rPr>
      </w:pPr>
    </w:p>
    <w:p w14:paraId="10BD9076" w14:textId="6C31CD67" w:rsidR="00C467F9" w:rsidRPr="00C467F9" w:rsidRDefault="00C467F9" w:rsidP="00B9279F">
      <w:pPr>
        <w:ind w:left="567" w:right="-18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Conseiller des jeunes et mise en œuvre du plan de travail</w:t>
      </w:r>
    </w:p>
    <w:p w14:paraId="535BA634" w14:textId="77777777" w:rsidR="00C467F9" w:rsidRPr="00C467F9" w:rsidRDefault="00C467F9" w:rsidP="00B9279F">
      <w:pPr>
        <w:pStyle w:val="ListParagraph"/>
        <w:ind w:left="567" w:hanging="567"/>
        <w:contextualSpacing w:val="0"/>
        <w:rPr>
          <w:rFonts w:asciiTheme="minorHAnsi" w:hAnsiTheme="minorHAnsi" w:cstheme="minorHAnsi"/>
          <w:bCs/>
        </w:rPr>
      </w:pPr>
    </w:p>
    <w:p w14:paraId="4E3670DF" w14:textId="64E9386F" w:rsidR="00915AE2" w:rsidRPr="00293819" w:rsidRDefault="00293819" w:rsidP="00293819">
      <w:pPr>
        <w:ind w:left="426" w:hanging="426"/>
        <w:rPr>
          <w:rFonts w:cstheme="minorHAnsi"/>
        </w:rPr>
      </w:pPr>
      <w:r>
        <w:t>15.</w:t>
      </w:r>
      <w:r>
        <w:tab/>
        <w:t xml:space="preserve">Au paragraphe 17, la Résolution XIV.12 </w:t>
      </w:r>
      <w:proofErr w:type="gramStart"/>
      <w:r>
        <w:t>demande</w:t>
      </w:r>
      <w:proofErr w:type="gramEnd"/>
      <w:r>
        <w:t xml:space="preserve"> l</w:t>
      </w:r>
      <w:r w:rsidR="00B51C71">
        <w:t>’</w:t>
      </w:r>
      <w:r>
        <w:t>emploi d</w:t>
      </w:r>
      <w:r w:rsidR="00B51C71">
        <w:t>’</w:t>
      </w:r>
      <w:r>
        <w:t>un conseiller des jeunes au Secrétariat dans le but de faciliter l</w:t>
      </w:r>
      <w:r w:rsidR="00B51C71">
        <w:t>’</w:t>
      </w:r>
      <w:r>
        <w:t xml:space="preserve">engagement et les projets des jeunes et pour aider à coordonner ce programme de travail. </w:t>
      </w:r>
      <w:r w:rsidR="006D6B5A">
        <w:t>Les</w:t>
      </w:r>
      <w:r>
        <w:t xml:space="preserve"> financements reçus à ce jour </w:t>
      </w:r>
      <w:r w:rsidR="006D6B5A">
        <w:t>n</w:t>
      </w:r>
      <w:r w:rsidR="00B51C71">
        <w:t>’</w:t>
      </w:r>
      <w:r w:rsidR="00532C9F">
        <w:t xml:space="preserve">étant pas suffisants </w:t>
      </w:r>
      <w:r>
        <w:t xml:space="preserve">pour embaucher un conseiller des jeunes, </w:t>
      </w:r>
      <w:r w:rsidR="006D6B5A">
        <w:t>ceux-ci</w:t>
      </w:r>
      <w:r>
        <w:t xml:space="preserve"> seront </w:t>
      </w:r>
      <w:r w:rsidR="006D6B5A">
        <w:t xml:space="preserve">en lieu et place </w:t>
      </w:r>
      <w:r>
        <w:t>utilisés pour mettre en œuvre les actions du plan de travail sur la jeunesse.</w:t>
      </w:r>
    </w:p>
    <w:sectPr w:rsidR="00915AE2" w:rsidRPr="00293819" w:rsidSect="00BA25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7A1D" w14:textId="77777777" w:rsidR="00BA25BD" w:rsidRDefault="00BA25BD" w:rsidP="00DF16AB">
      <w:r>
        <w:separator/>
      </w:r>
    </w:p>
  </w:endnote>
  <w:endnote w:type="continuationSeparator" w:id="0">
    <w:p w14:paraId="28BD66BD" w14:textId="77777777" w:rsidR="00BA25BD" w:rsidRDefault="00BA25BD" w:rsidP="00D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CC34" w14:textId="77777777" w:rsidR="00E5149F" w:rsidRDefault="00E51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67E7" w14:textId="4D417F6A" w:rsidR="0051725A" w:rsidRPr="00F44065" w:rsidRDefault="00E220EE">
    <w:pPr>
      <w:pStyle w:val="Footer"/>
      <w:rPr>
        <w:sz w:val="20"/>
        <w:szCs w:val="20"/>
      </w:rPr>
    </w:pPr>
    <w:r>
      <w:rPr>
        <w:sz w:val="20"/>
      </w:rPr>
      <w:t>SC63 Doc.18</w:t>
    </w:r>
    <w:r>
      <w:rPr>
        <w:sz w:val="20"/>
      </w:rPr>
      <w:tab/>
    </w:r>
    <w:r>
      <w:rPr>
        <w:sz w:val="20"/>
      </w:rPr>
      <w:tab/>
    </w:r>
    <w:r w:rsidR="0051725A" w:rsidRPr="0051725A">
      <w:rPr>
        <w:sz w:val="20"/>
      </w:rPr>
      <w:fldChar w:fldCharType="begin"/>
    </w:r>
    <w:r w:rsidR="0051725A" w:rsidRPr="0051725A">
      <w:rPr>
        <w:sz w:val="20"/>
      </w:rPr>
      <w:instrText xml:space="preserve"> PAGE   \* MERGEFORMAT </w:instrText>
    </w:r>
    <w:r w:rsidR="0051725A" w:rsidRPr="0051725A">
      <w:rPr>
        <w:sz w:val="20"/>
      </w:rPr>
      <w:fldChar w:fldCharType="separate"/>
    </w:r>
    <w:r w:rsidR="00DC040C">
      <w:rPr>
        <w:sz w:val="20"/>
      </w:rPr>
      <w:t>2</w:t>
    </w:r>
    <w:r w:rsidR="0051725A" w:rsidRPr="0051725A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67E2" w14:textId="77777777" w:rsidR="00E5149F" w:rsidRDefault="00E51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3403" w14:textId="77777777" w:rsidR="00BA25BD" w:rsidRDefault="00BA25BD" w:rsidP="00DF16AB">
      <w:r>
        <w:separator/>
      </w:r>
    </w:p>
  </w:footnote>
  <w:footnote w:type="continuationSeparator" w:id="0">
    <w:p w14:paraId="332EC0E3" w14:textId="77777777" w:rsidR="00BA25BD" w:rsidRDefault="00BA25BD" w:rsidP="00DF16AB">
      <w:r>
        <w:continuationSeparator/>
      </w:r>
    </w:p>
  </w:footnote>
  <w:footnote w:id="1">
    <w:p w14:paraId="5F1E242E" w14:textId="61F445C2" w:rsidR="009B3BCC" w:rsidRPr="009B3BCC" w:rsidRDefault="009B3BCC" w:rsidP="009B3BCC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rPr>
          <w:rStyle w:val="ui-provider"/>
        </w:rPr>
        <w:t>Le plan de travail final a été publié en mars 2024 et peut être consulté à l'adresse su</w:t>
      </w:r>
      <w:bookmarkStart w:id="0" w:name="_GoBack"/>
      <w:bookmarkEnd w:id="0"/>
      <w:r>
        <w:rPr>
          <w:rStyle w:val="ui-provider"/>
        </w:rPr>
        <w:t xml:space="preserve">ivante : </w:t>
      </w:r>
      <w:hyperlink r:id="rId1" w:history="1">
        <w:r w:rsidRPr="009B3BCC">
          <w:rPr>
            <w:rStyle w:val="Hyperlink"/>
          </w:rPr>
          <w:t>https://www.ramsar.org/fr/document/youth-working-group-workplan</w:t>
        </w:r>
      </w:hyperlink>
      <w:r w:rsidR="00AA6A60" w:rsidRPr="00AA6A60">
        <w:rPr>
          <w:rStyle w:val="Hyperlink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A661" w14:textId="77777777" w:rsidR="00E5149F" w:rsidRDefault="00E51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782C" w14:textId="77777777" w:rsidR="00E5149F" w:rsidRDefault="00E51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E535" w14:textId="77777777" w:rsidR="00E5149F" w:rsidRDefault="00E51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3F0"/>
    <w:multiLevelType w:val="hybridMultilevel"/>
    <w:tmpl w:val="3C9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5A7"/>
    <w:multiLevelType w:val="hybridMultilevel"/>
    <w:tmpl w:val="3EDAA8AA"/>
    <w:lvl w:ilvl="0" w:tplc="1EE45DE6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8E3"/>
    <w:multiLevelType w:val="hybridMultilevel"/>
    <w:tmpl w:val="58CE3594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7F72"/>
    <w:multiLevelType w:val="hybridMultilevel"/>
    <w:tmpl w:val="0A48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55C"/>
    <w:multiLevelType w:val="hybridMultilevel"/>
    <w:tmpl w:val="06564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1DCC"/>
    <w:multiLevelType w:val="hybridMultilevel"/>
    <w:tmpl w:val="B62A11F4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120D"/>
    <w:multiLevelType w:val="hybridMultilevel"/>
    <w:tmpl w:val="035AED6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B46185"/>
    <w:multiLevelType w:val="hybridMultilevel"/>
    <w:tmpl w:val="07F0FC9E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4E38"/>
    <w:multiLevelType w:val="hybridMultilevel"/>
    <w:tmpl w:val="06564960"/>
    <w:lvl w:ilvl="0" w:tplc="0C09000F">
      <w:start w:val="1"/>
      <w:numFmt w:val="decimal"/>
      <w:lvlText w:val="%1."/>
      <w:lvlJc w:val="left"/>
      <w:pPr>
        <w:ind w:left="357" w:hanging="360"/>
      </w:pPr>
    </w:lvl>
    <w:lvl w:ilvl="1" w:tplc="0C090019">
      <w:start w:val="1"/>
      <w:numFmt w:val="lowerLetter"/>
      <w:lvlText w:val="%2."/>
      <w:lvlJc w:val="left"/>
      <w:pPr>
        <w:ind w:left="1077" w:hanging="360"/>
      </w:pPr>
    </w:lvl>
    <w:lvl w:ilvl="2" w:tplc="0C09001B">
      <w:start w:val="1"/>
      <w:numFmt w:val="lowerRoman"/>
      <w:lvlText w:val="%3."/>
      <w:lvlJc w:val="right"/>
      <w:pPr>
        <w:ind w:left="1797" w:hanging="180"/>
      </w:pPr>
    </w:lvl>
    <w:lvl w:ilvl="3" w:tplc="0C09000F" w:tentative="1">
      <w:start w:val="1"/>
      <w:numFmt w:val="decimal"/>
      <w:lvlText w:val="%4."/>
      <w:lvlJc w:val="left"/>
      <w:pPr>
        <w:ind w:left="2517" w:hanging="360"/>
      </w:pPr>
    </w:lvl>
    <w:lvl w:ilvl="4" w:tplc="0C090019" w:tentative="1">
      <w:start w:val="1"/>
      <w:numFmt w:val="lowerLetter"/>
      <w:lvlText w:val="%5."/>
      <w:lvlJc w:val="left"/>
      <w:pPr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69D02C8"/>
    <w:multiLevelType w:val="hybridMultilevel"/>
    <w:tmpl w:val="9FF4C4F8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46615"/>
    <w:multiLevelType w:val="hybridMultilevel"/>
    <w:tmpl w:val="5266975A"/>
    <w:lvl w:ilvl="0" w:tplc="A8DC7D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4F148A7"/>
    <w:multiLevelType w:val="hybridMultilevel"/>
    <w:tmpl w:val="166C949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8472EEA"/>
    <w:multiLevelType w:val="hybridMultilevel"/>
    <w:tmpl w:val="E040AB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A674A"/>
    <w:multiLevelType w:val="multilevel"/>
    <w:tmpl w:val="918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D47D8"/>
    <w:multiLevelType w:val="hybridMultilevel"/>
    <w:tmpl w:val="FDD09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B1E23"/>
    <w:multiLevelType w:val="hybridMultilevel"/>
    <w:tmpl w:val="09FE95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33F"/>
    <w:multiLevelType w:val="hybridMultilevel"/>
    <w:tmpl w:val="8A6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DEA"/>
    <w:multiLevelType w:val="hybridMultilevel"/>
    <w:tmpl w:val="6C0EBE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112AB"/>
    <w:multiLevelType w:val="hybridMultilevel"/>
    <w:tmpl w:val="665C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08B8"/>
    <w:multiLevelType w:val="hybridMultilevel"/>
    <w:tmpl w:val="6276A1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50269B"/>
    <w:multiLevelType w:val="hybridMultilevel"/>
    <w:tmpl w:val="76B8D77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63063"/>
    <w:multiLevelType w:val="hybridMultilevel"/>
    <w:tmpl w:val="101EB25C"/>
    <w:lvl w:ilvl="0" w:tplc="F7B6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542B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1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02A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5EC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92F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B6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6E3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76E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75A463F7"/>
    <w:multiLevelType w:val="hybridMultilevel"/>
    <w:tmpl w:val="A32E8544"/>
    <w:lvl w:ilvl="0" w:tplc="D61A4CDA">
      <w:start w:val="1"/>
      <w:numFmt w:val="upperRoman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E60E5"/>
    <w:multiLevelType w:val="hybridMultilevel"/>
    <w:tmpl w:val="5282D0E0"/>
    <w:lvl w:ilvl="0" w:tplc="FD60E36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CE15D1"/>
    <w:multiLevelType w:val="hybridMultilevel"/>
    <w:tmpl w:val="27CE7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2C50"/>
    <w:multiLevelType w:val="hybridMultilevel"/>
    <w:tmpl w:val="8DCA1F6C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9"/>
  </w:num>
  <w:num w:numId="5">
    <w:abstractNumId w:val="15"/>
  </w:num>
  <w:num w:numId="6">
    <w:abstractNumId w:val="3"/>
  </w:num>
  <w:num w:numId="7">
    <w:abstractNumId w:val="8"/>
  </w:num>
  <w:num w:numId="8">
    <w:abstractNumId w:val="20"/>
  </w:num>
  <w:num w:numId="9">
    <w:abstractNumId w:val="16"/>
  </w:num>
  <w:num w:numId="10">
    <w:abstractNumId w:val="10"/>
  </w:num>
  <w:num w:numId="11">
    <w:abstractNumId w:val="24"/>
  </w:num>
  <w:num w:numId="12">
    <w:abstractNumId w:val="15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2"/>
  </w:num>
  <w:num w:numId="18">
    <w:abstractNumId w:val="22"/>
  </w:num>
  <w:num w:numId="19">
    <w:abstractNumId w:val="11"/>
  </w:num>
  <w:num w:numId="20">
    <w:abstractNumId w:val="13"/>
  </w:num>
  <w:num w:numId="21">
    <w:abstractNumId w:val="21"/>
  </w:num>
  <w:num w:numId="22">
    <w:abstractNumId w:val="6"/>
  </w:num>
  <w:num w:numId="23">
    <w:abstractNumId w:val="14"/>
  </w:num>
  <w:num w:numId="24">
    <w:abstractNumId w:val="18"/>
  </w:num>
  <w:num w:numId="25">
    <w:abstractNumId w:val="2"/>
  </w:num>
  <w:num w:numId="26">
    <w:abstractNumId w:val="26"/>
  </w:num>
  <w:num w:numId="27">
    <w:abstractNumId w:val="9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4E"/>
    <w:rsid w:val="000104CC"/>
    <w:rsid w:val="0001398E"/>
    <w:rsid w:val="00015124"/>
    <w:rsid w:val="000220C9"/>
    <w:rsid w:val="0002255C"/>
    <w:rsid w:val="00030217"/>
    <w:rsid w:val="00044983"/>
    <w:rsid w:val="00045A74"/>
    <w:rsid w:val="000464C9"/>
    <w:rsid w:val="00046DB8"/>
    <w:rsid w:val="00052249"/>
    <w:rsid w:val="00056EFD"/>
    <w:rsid w:val="00060D7D"/>
    <w:rsid w:val="0006245C"/>
    <w:rsid w:val="000628DC"/>
    <w:rsid w:val="00072447"/>
    <w:rsid w:val="000B2B8D"/>
    <w:rsid w:val="000B6E87"/>
    <w:rsid w:val="000C3315"/>
    <w:rsid w:val="000C5687"/>
    <w:rsid w:val="000D48EC"/>
    <w:rsid w:val="00105D59"/>
    <w:rsid w:val="00116901"/>
    <w:rsid w:val="001169B8"/>
    <w:rsid w:val="00121053"/>
    <w:rsid w:val="00123203"/>
    <w:rsid w:val="00133471"/>
    <w:rsid w:val="00145837"/>
    <w:rsid w:val="00146992"/>
    <w:rsid w:val="0016014E"/>
    <w:rsid w:val="00162A67"/>
    <w:rsid w:val="00172079"/>
    <w:rsid w:val="00182A52"/>
    <w:rsid w:val="001922BF"/>
    <w:rsid w:val="00197527"/>
    <w:rsid w:val="001A469B"/>
    <w:rsid w:val="001A7385"/>
    <w:rsid w:val="001B0D43"/>
    <w:rsid w:val="001B224B"/>
    <w:rsid w:val="001B4C1E"/>
    <w:rsid w:val="001C0251"/>
    <w:rsid w:val="001D1006"/>
    <w:rsid w:val="001E0796"/>
    <w:rsid w:val="001E32CA"/>
    <w:rsid w:val="001F2926"/>
    <w:rsid w:val="001F5F49"/>
    <w:rsid w:val="001F773C"/>
    <w:rsid w:val="00206513"/>
    <w:rsid w:val="002118F8"/>
    <w:rsid w:val="00211E39"/>
    <w:rsid w:val="00213770"/>
    <w:rsid w:val="00221158"/>
    <w:rsid w:val="00225D02"/>
    <w:rsid w:val="00230ADF"/>
    <w:rsid w:val="002366E5"/>
    <w:rsid w:val="00244CA4"/>
    <w:rsid w:val="002471C9"/>
    <w:rsid w:val="00250BF8"/>
    <w:rsid w:val="00250CF2"/>
    <w:rsid w:val="00257237"/>
    <w:rsid w:val="00267F7D"/>
    <w:rsid w:val="0027207C"/>
    <w:rsid w:val="00273ACF"/>
    <w:rsid w:val="00280A27"/>
    <w:rsid w:val="0028173E"/>
    <w:rsid w:val="00283F77"/>
    <w:rsid w:val="0028758D"/>
    <w:rsid w:val="00290AC5"/>
    <w:rsid w:val="00293819"/>
    <w:rsid w:val="00297855"/>
    <w:rsid w:val="002A2046"/>
    <w:rsid w:val="002A2134"/>
    <w:rsid w:val="002B07D6"/>
    <w:rsid w:val="002B5B28"/>
    <w:rsid w:val="002C2F09"/>
    <w:rsid w:val="002C467F"/>
    <w:rsid w:val="002C546D"/>
    <w:rsid w:val="002C60EB"/>
    <w:rsid w:val="002D197A"/>
    <w:rsid w:val="002D3D7F"/>
    <w:rsid w:val="002D52B7"/>
    <w:rsid w:val="002D5EBB"/>
    <w:rsid w:val="002E2FEA"/>
    <w:rsid w:val="002E7337"/>
    <w:rsid w:val="002E7B73"/>
    <w:rsid w:val="002E7EDB"/>
    <w:rsid w:val="002F0750"/>
    <w:rsid w:val="002F1826"/>
    <w:rsid w:val="003004AB"/>
    <w:rsid w:val="00305BCE"/>
    <w:rsid w:val="00307197"/>
    <w:rsid w:val="003163C6"/>
    <w:rsid w:val="00324069"/>
    <w:rsid w:val="00326DB0"/>
    <w:rsid w:val="00333A0D"/>
    <w:rsid w:val="00357DD3"/>
    <w:rsid w:val="00360E90"/>
    <w:rsid w:val="003748F4"/>
    <w:rsid w:val="0037501F"/>
    <w:rsid w:val="0038305C"/>
    <w:rsid w:val="00387961"/>
    <w:rsid w:val="0039277D"/>
    <w:rsid w:val="00393B30"/>
    <w:rsid w:val="00397812"/>
    <w:rsid w:val="003A7C5F"/>
    <w:rsid w:val="003B1B7B"/>
    <w:rsid w:val="003D1A66"/>
    <w:rsid w:val="003D1F6F"/>
    <w:rsid w:val="003D45F5"/>
    <w:rsid w:val="003D7BC9"/>
    <w:rsid w:val="003E167E"/>
    <w:rsid w:val="003E275B"/>
    <w:rsid w:val="003E549D"/>
    <w:rsid w:val="004040FB"/>
    <w:rsid w:val="00407AD8"/>
    <w:rsid w:val="00416ED2"/>
    <w:rsid w:val="00420FD1"/>
    <w:rsid w:val="004227B6"/>
    <w:rsid w:val="00423306"/>
    <w:rsid w:val="004310EE"/>
    <w:rsid w:val="00434864"/>
    <w:rsid w:val="0044028B"/>
    <w:rsid w:val="00446563"/>
    <w:rsid w:val="00451C32"/>
    <w:rsid w:val="00452742"/>
    <w:rsid w:val="0045339F"/>
    <w:rsid w:val="00471D26"/>
    <w:rsid w:val="00472AFE"/>
    <w:rsid w:val="004732E6"/>
    <w:rsid w:val="0047747B"/>
    <w:rsid w:val="0048242B"/>
    <w:rsid w:val="00487F57"/>
    <w:rsid w:val="00492C35"/>
    <w:rsid w:val="004961DC"/>
    <w:rsid w:val="0049639F"/>
    <w:rsid w:val="004B1DB7"/>
    <w:rsid w:val="004B36F2"/>
    <w:rsid w:val="004B4B23"/>
    <w:rsid w:val="004B72B0"/>
    <w:rsid w:val="004C490B"/>
    <w:rsid w:val="004C4E1E"/>
    <w:rsid w:val="004D2B16"/>
    <w:rsid w:val="004D3888"/>
    <w:rsid w:val="004D5D5E"/>
    <w:rsid w:val="004D73FD"/>
    <w:rsid w:val="004D7828"/>
    <w:rsid w:val="004E0091"/>
    <w:rsid w:val="004F1BB2"/>
    <w:rsid w:val="005012FF"/>
    <w:rsid w:val="00504B2B"/>
    <w:rsid w:val="00513305"/>
    <w:rsid w:val="00516446"/>
    <w:rsid w:val="0051725A"/>
    <w:rsid w:val="005200C5"/>
    <w:rsid w:val="00520D77"/>
    <w:rsid w:val="005269D9"/>
    <w:rsid w:val="00527CDB"/>
    <w:rsid w:val="00532C9F"/>
    <w:rsid w:val="005432CA"/>
    <w:rsid w:val="005455D0"/>
    <w:rsid w:val="00546557"/>
    <w:rsid w:val="005527E2"/>
    <w:rsid w:val="0055409F"/>
    <w:rsid w:val="00555598"/>
    <w:rsid w:val="005576DC"/>
    <w:rsid w:val="005615D6"/>
    <w:rsid w:val="00562179"/>
    <w:rsid w:val="0056219D"/>
    <w:rsid w:val="00563F66"/>
    <w:rsid w:val="00565563"/>
    <w:rsid w:val="00567B23"/>
    <w:rsid w:val="0057103C"/>
    <w:rsid w:val="0057313F"/>
    <w:rsid w:val="005A2311"/>
    <w:rsid w:val="005A47E9"/>
    <w:rsid w:val="005B44AA"/>
    <w:rsid w:val="005B7CB2"/>
    <w:rsid w:val="005C6304"/>
    <w:rsid w:val="005D10F0"/>
    <w:rsid w:val="005D12EA"/>
    <w:rsid w:val="005D4724"/>
    <w:rsid w:val="005D69B1"/>
    <w:rsid w:val="005E0719"/>
    <w:rsid w:val="005E5D1B"/>
    <w:rsid w:val="005F7E7C"/>
    <w:rsid w:val="00611422"/>
    <w:rsid w:val="00611526"/>
    <w:rsid w:val="00616A4A"/>
    <w:rsid w:val="00617AB1"/>
    <w:rsid w:val="00624784"/>
    <w:rsid w:val="006308F2"/>
    <w:rsid w:val="00635112"/>
    <w:rsid w:val="00637027"/>
    <w:rsid w:val="0064794D"/>
    <w:rsid w:val="006518C2"/>
    <w:rsid w:val="00655F23"/>
    <w:rsid w:val="0066133B"/>
    <w:rsid w:val="00666DEC"/>
    <w:rsid w:val="00667830"/>
    <w:rsid w:val="00674489"/>
    <w:rsid w:val="0067732F"/>
    <w:rsid w:val="00684C7D"/>
    <w:rsid w:val="00684E81"/>
    <w:rsid w:val="0069361A"/>
    <w:rsid w:val="00693F2F"/>
    <w:rsid w:val="006950C1"/>
    <w:rsid w:val="0069517A"/>
    <w:rsid w:val="0069548B"/>
    <w:rsid w:val="00695756"/>
    <w:rsid w:val="006A39A8"/>
    <w:rsid w:val="006A3AB1"/>
    <w:rsid w:val="006A3E60"/>
    <w:rsid w:val="006A6757"/>
    <w:rsid w:val="006C3116"/>
    <w:rsid w:val="006D6B5A"/>
    <w:rsid w:val="006D74D3"/>
    <w:rsid w:val="006E216F"/>
    <w:rsid w:val="006E52F6"/>
    <w:rsid w:val="006E5E26"/>
    <w:rsid w:val="006F6463"/>
    <w:rsid w:val="00700240"/>
    <w:rsid w:val="00707ED8"/>
    <w:rsid w:val="00710886"/>
    <w:rsid w:val="00717D29"/>
    <w:rsid w:val="00721CF7"/>
    <w:rsid w:val="0072546B"/>
    <w:rsid w:val="00730BD6"/>
    <w:rsid w:val="0073284B"/>
    <w:rsid w:val="00747A55"/>
    <w:rsid w:val="00750D39"/>
    <w:rsid w:val="00754CFE"/>
    <w:rsid w:val="00755BAF"/>
    <w:rsid w:val="00763BD0"/>
    <w:rsid w:val="00772DAB"/>
    <w:rsid w:val="00774400"/>
    <w:rsid w:val="00776CE3"/>
    <w:rsid w:val="00784DD7"/>
    <w:rsid w:val="00796A4C"/>
    <w:rsid w:val="007A3BA3"/>
    <w:rsid w:val="007C31A2"/>
    <w:rsid w:val="007D3033"/>
    <w:rsid w:val="007D4FD8"/>
    <w:rsid w:val="007E5244"/>
    <w:rsid w:val="007F1159"/>
    <w:rsid w:val="007F5EB8"/>
    <w:rsid w:val="008019B8"/>
    <w:rsid w:val="00801F7F"/>
    <w:rsid w:val="008023BD"/>
    <w:rsid w:val="008122F1"/>
    <w:rsid w:val="0081611A"/>
    <w:rsid w:val="00817F52"/>
    <w:rsid w:val="00824811"/>
    <w:rsid w:val="008252BD"/>
    <w:rsid w:val="0084352E"/>
    <w:rsid w:val="00860DDB"/>
    <w:rsid w:val="0086310A"/>
    <w:rsid w:val="00866809"/>
    <w:rsid w:val="00872100"/>
    <w:rsid w:val="00872864"/>
    <w:rsid w:val="00873FDB"/>
    <w:rsid w:val="00883E9F"/>
    <w:rsid w:val="008942DC"/>
    <w:rsid w:val="0089761E"/>
    <w:rsid w:val="008A17F9"/>
    <w:rsid w:val="008A3089"/>
    <w:rsid w:val="008A3D7E"/>
    <w:rsid w:val="008A47C5"/>
    <w:rsid w:val="008B697C"/>
    <w:rsid w:val="008B7C24"/>
    <w:rsid w:val="008C09A0"/>
    <w:rsid w:val="008C1D78"/>
    <w:rsid w:val="008C323E"/>
    <w:rsid w:val="008D206A"/>
    <w:rsid w:val="008D4144"/>
    <w:rsid w:val="008E54AB"/>
    <w:rsid w:val="008F4369"/>
    <w:rsid w:val="008F5E5F"/>
    <w:rsid w:val="008F62A3"/>
    <w:rsid w:val="00915AE2"/>
    <w:rsid w:val="0091761A"/>
    <w:rsid w:val="009258BB"/>
    <w:rsid w:val="00927222"/>
    <w:rsid w:val="009276BB"/>
    <w:rsid w:val="00935766"/>
    <w:rsid w:val="00942B53"/>
    <w:rsid w:val="00947CAE"/>
    <w:rsid w:val="00957379"/>
    <w:rsid w:val="00961A8D"/>
    <w:rsid w:val="00965531"/>
    <w:rsid w:val="00987365"/>
    <w:rsid w:val="009902C1"/>
    <w:rsid w:val="009923D8"/>
    <w:rsid w:val="00997800"/>
    <w:rsid w:val="009A192C"/>
    <w:rsid w:val="009A4120"/>
    <w:rsid w:val="009A507E"/>
    <w:rsid w:val="009A63E7"/>
    <w:rsid w:val="009B1423"/>
    <w:rsid w:val="009B3BCC"/>
    <w:rsid w:val="009B4A0D"/>
    <w:rsid w:val="009B6620"/>
    <w:rsid w:val="009C6D18"/>
    <w:rsid w:val="009D1A1A"/>
    <w:rsid w:val="009D2699"/>
    <w:rsid w:val="009D3A7D"/>
    <w:rsid w:val="009F1CA9"/>
    <w:rsid w:val="009F2141"/>
    <w:rsid w:val="009F2A0D"/>
    <w:rsid w:val="00A123F6"/>
    <w:rsid w:val="00A124CC"/>
    <w:rsid w:val="00A15219"/>
    <w:rsid w:val="00A22A59"/>
    <w:rsid w:val="00A22BAD"/>
    <w:rsid w:val="00A3638E"/>
    <w:rsid w:val="00A41195"/>
    <w:rsid w:val="00A4164A"/>
    <w:rsid w:val="00A43CCF"/>
    <w:rsid w:val="00A46833"/>
    <w:rsid w:val="00A52145"/>
    <w:rsid w:val="00A61878"/>
    <w:rsid w:val="00A709CB"/>
    <w:rsid w:val="00A72666"/>
    <w:rsid w:val="00A7438D"/>
    <w:rsid w:val="00A90530"/>
    <w:rsid w:val="00A90EAA"/>
    <w:rsid w:val="00A973C9"/>
    <w:rsid w:val="00AA6A60"/>
    <w:rsid w:val="00AA6CC9"/>
    <w:rsid w:val="00AB3DC7"/>
    <w:rsid w:val="00AC21C0"/>
    <w:rsid w:val="00AC694D"/>
    <w:rsid w:val="00AC7ED6"/>
    <w:rsid w:val="00AD4FFC"/>
    <w:rsid w:val="00AE183B"/>
    <w:rsid w:val="00AE6399"/>
    <w:rsid w:val="00AF0978"/>
    <w:rsid w:val="00AF4153"/>
    <w:rsid w:val="00AF6EF8"/>
    <w:rsid w:val="00B009E9"/>
    <w:rsid w:val="00B1014D"/>
    <w:rsid w:val="00B16B42"/>
    <w:rsid w:val="00B208FA"/>
    <w:rsid w:val="00B21F94"/>
    <w:rsid w:val="00B26680"/>
    <w:rsid w:val="00B32AE3"/>
    <w:rsid w:val="00B34B4A"/>
    <w:rsid w:val="00B37F05"/>
    <w:rsid w:val="00B4113C"/>
    <w:rsid w:val="00B411F5"/>
    <w:rsid w:val="00B4477A"/>
    <w:rsid w:val="00B45C29"/>
    <w:rsid w:val="00B51C71"/>
    <w:rsid w:val="00B52BFC"/>
    <w:rsid w:val="00B63155"/>
    <w:rsid w:val="00B660D3"/>
    <w:rsid w:val="00B719A9"/>
    <w:rsid w:val="00B74A6E"/>
    <w:rsid w:val="00B76BD6"/>
    <w:rsid w:val="00B77A5E"/>
    <w:rsid w:val="00B8318B"/>
    <w:rsid w:val="00B83739"/>
    <w:rsid w:val="00B87E03"/>
    <w:rsid w:val="00B9279F"/>
    <w:rsid w:val="00B968EC"/>
    <w:rsid w:val="00B97E06"/>
    <w:rsid w:val="00BA25BD"/>
    <w:rsid w:val="00BB4057"/>
    <w:rsid w:val="00BB6B17"/>
    <w:rsid w:val="00BC3554"/>
    <w:rsid w:val="00BD3C62"/>
    <w:rsid w:val="00BE14EE"/>
    <w:rsid w:val="00C00AD9"/>
    <w:rsid w:val="00C01679"/>
    <w:rsid w:val="00C01697"/>
    <w:rsid w:val="00C0743B"/>
    <w:rsid w:val="00C07970"/>
    <w:rsid w:val="00C07C52"/>
    <w:rsid w:val="00C11ECE"/>
    <w:rsid w:val="00C464A5"/>
    <w:rsid w:val="00C467F9"/>
    <w:rsid w:val="00C53074"/>
    <w:rsid w:val="00C72ACF"/>
    <w:rsid w:val="00C737FB"/>
    <w:rsid w:val="00C80711"/>
    <w:rsid w:val="00C8103F"/>
    <w:rsid w:val="00C87061"/>
    <w:rsid w:val="00C87C32"/>
    <w:rsid w:val="00C93764"/>
    <w:rsid w:val="00CA07C2"/>
    <w:rsid w:val="00CA17DA"/>
    <w:rsid w:val="00CA60F1"/>
    <w:rsid w:val="00CA7B82"/>
    <w:rsid w:val="00CB2C8C"/>
    <w:rsid w:val="00CB2CBD"/>
    <w:rsid w:val="00CB6425"/>
    <w:rsid w:val="00CB6EE2"/>
    <w:rsid w:val="00CB7B0D"/>
    <w:rsid w:val="00CC4AB8"/>
    <w:rsid w:val="00CD2563"/>
    <w:rsid w:val="00CD4674"/>
    <w:rsid w:val="00CE6084"/>
    <w:rsid w:val="00CE6BCA"/>
    <w:rsid w:val="00CF7BE8"/>
    <w:rsid w:val="00D01A7F"/>
    <w:rsid w:val="00D07B7D"/>
    <w:rsid w:val="00D15DE5"/>
    <w:rsid w:val="00D41F17"/>
    <w:rsid w:val="00D45D73"/>
    <w:rsid w:val="00D45E71"/>
    <w:rsid w:val="00D4711F"/>
    <w:rsid w:val="00D53433"/>
    <w:rsid w:val="00D604C4"/>
    <w:rsid w:val="00D621B2"/>
    <w:rsid w:val="00D644D0"/>
    <w:rsid w:val="00D66803"/>
    <w:rsid w:val="00D72AA7"/>
    <w:rsid w:val="00D75AA3"/>
    <w:rsid w:val="00D75F70"/>
    <w:rsid w:val="00D809F0"/>
    <w:rsid w:val="00D81CCF"/>
    <w:rsid w:val="00D916EA"/>
    <w:rsid w:val="00D937D1"/>
    <w:rsid w:val="00D951AB"/>
    <w:rsid w:val="00D97F1B"/>
    <w:rsid w:val="00DA5977"/>
    <w:rsid w:val="00DB4738"/>
    <w:rsid w:val="00DB674E"/>
    <w:rsid w:val="00DB799E"/>
    <w:rsid w:val="00DC040C"/>
    <w:rsid w:val="00DC0FB4"/>
    <w:rsid w:val="00DC1197"/>
    <w:rsid w:val="00DC1DF5"/>
    <w:rsid w:val="00DC68E9"/>
    <w:rsid w:val="00DD01D7"/>
    <w:rsid w:val="00DD151F"/>
    <w:rsid w:val="00DE4430"/>
    <w:rsid w:val="00DE6D96"/>
    <w:rsid w:val="00DF16AB"/>
    <w:rsid w:val="00DF25E8"/>
    <w:rsid w:val="00DF4299"/>
    <w:rsid w:val="00E0522E"/>
    <w:rsid w:val="00E14D80"/>
    <w:rsid w:val="00E157F5"/>
    <w:rsid w:val="00E220EE"/>
    <w:rsid w:val="00E32899"/>
    <w:rsid w:val="00E34839"/>
    <w:rsid w:val="00E47920"/>
    <w:rsid w:val="00E50BEB"/>
    <w:rsid w:val="00E5149F"/>
    <w:rsid w:val="00E568CF"/>
    <w:rsid w:val="00E57896"/>
    <w:rsid w:val="00E72797"/>
    <w:rsid w:val="00E74BB7"/>
    <w:rsid w:val="00E824A1"/>
    <w:rsid w:val="00E844CF"/>
    <w:rsid w:val="00E85A6B"/>
    <w:rsid w:val="00E87711"/>
    <w:rsid w:val="00E921D0"/>
    <w:rsid w:val="00E94355"/>
    <w:rsid w:val="00E96F12"/>
    <w:rsid w:val="00EA3391"/>
    <w:rsid w:val="00EA4B20"/>
    <w:rsid w:val="00EA69DF"/>
    <w:rsid w:val="00EA7457"/>
    <w:rsid w:val="00EC0E90"/>
    <w:rsid w:val="00EC3E20"/>
    <w:rsid w:val="00ED15E6"/>
    <w:rsid w:val="00EE0441"/>
    <w:rsid w:val="00EE347D"/>
    <w:rsid w:val="00EE6A17"/>
    <w:rsid w:val="00EE6F57"/>
    <w:rsid w:val="00EE73D8"/>
    <w:rsid w:val="00EF3425"/>
    <w:rsid w:val="00EF5257"/>
    <w:rsid w:val="00F15559"/>
    <w:rsid w:val="00F173D3"/>
    <w:rsid w:val="00F256D0"/>
    <w:rsid w:val="00F25BCD"/>
    <w:rsid w:val="00F25E16"/>
    <w:rsid w:val="00F26729"/>
    <w:rsid w:val="00F3068B"/>
    <w:rsid w:val="00F4238F"/>
    <w:rsid w:val="00F44065"/>
    <w:rsid w:val="00F44DFE"/>
    <w:rsid w:val="00F45345"/>
    <w:rsid w:val="00F47557"/>
    <w:rsid w:val="00F509D5"/>
    <w:rsid w:val="00F612C6"/>
    <w:rsid w:val="00F6613C"/>
    <w:rsid w:val="00F727A8"/>
    <w:rsid w:val="00F73B02"/>
    <w:rsid w:val="00F8068B"/>
    <w:rsid w:val="00F862C3"/>
    <w:rsid w:val="00F86FF5"/>
    <w:rsid w:val="00F87FCF"/>
    <w:rsid w:val="00F97D8B"/>
    <w:rsid w:val="00FA04A1"/>
    <w:rsid w:val="00FA0831"/>
    <w:rsid w:val="00FA2F13"/>
    <w:rsid w:val="00FB1973"/>
    <w:rsid w:val="00FB41F0"/>
    <w:rsid w:val="00FB5D78"/>
    <w:rsid w:val="00FC0D63"/>
    <w:rsid w:val="00FC2088"/>
    <w:rsid w:val="00FC3D1E"/>
    <w:rsid w:val="00FC7C3C"/>
    <w:rsid w:val="00FD3DD7"/>
    <w:rsid w:val="00FD471B"/>
    <w:rsid w:val="00FE1DA7"/>
    <w:rsid w:val="00FE6D9E"/>
    <w:rsid w:val="00FF1F19"/>
    <w:rsid w:val="00FF3E5A"/>
    <w:rsid w:val="00FF7226"/>
    <w:rsid w:val="082773D0"/>
    <w:rsid w:val="09260775"/>
    <w:rsid w:val="1B75397C"/>
    <w:rsid w:val="55929689"/>
    <w:rsid w:val="5991F8DB"/>
    <w:rsid w:val="6033A707"/>
    <w:rsid w:val="724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27B4"/>
  <w15:chartTrackingRefBased/>
  <w15:docId w15:val="{74EDD251-82D9-458B-B394-F22EEC6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4E"/>
    <w:pPr>
      <w:spacing w:after="0" w:line="240" w:lineRule="auto"/>
      <w:ind w:left="425" w:hanging="42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16014E"/>
    <w:rPr>
      <w:rFonts w:ascii="Calibri" w:eastAsia="Calibri" w:hAnsi="Calibri" w:cs="Times New Roman"/>
      <w:lang w:val="fr-FR"/>
    </w:r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1601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6AB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F16A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16ED2"/>
    <w:pPr>
      <w:ind w:left="720"/>
      <w:contextualSpacing/>
    </w:pPr>
  </w:style>
  <w:style w:type="paragraph" w:customStyle="1" w:styleId="Default">
    <w:name w:val="Default"/>
    <w:rsid w:val="00915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0D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0D"/>
    <w:rPr>
      <w:rFonts w:ascii="Calibri" w:eastAsia="Calibri" w:hAnsi="Calibri" w:cs="Times New Roman"/>
      <w:lang w:val="fr-FR"/>
    </w:rPr>
  </w:style>
  <w:style w:type="paragraph" w:styleId="Revision">
    <w:name w:val="Revision"/>
    <w:hidden/>
    <w:uiPriority w:val="99"/>
    <w:semiHidden/>
    <w:rsid w:val="00FC208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E"/>
    <w:rPr>
      <w:rFonts w:ascii="Arial" w:eastAsia="Calibri" w:hAnsi="Arial" w:cs="Arial"/>
      <w:sz w:val="18"/>
      <w:szCs w:val="18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A0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styleId="Mention">
    <w:name w:val="Mention"/>
    <w:basedOn w:val="DefaultParagraphFont"/>
    <w:uiPriority w:val="99"/>
    <w:unhideWhenUsed/>
    <w:rsid w:val="002E2FEA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9B3BCC"/>
  </w:style>
  <w:style w:type="character" w:styleId="Hyperlink">
    <w:name w:val="Hyperlink"/>
    <w:basedOn w:val="DefaultParagraphFont"/>
    <w:uiPriority w:val="99"/>
    <w:unhideWhenUsed/>
    <w:rsid w:val="009B3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fr/document/youth-working-group-work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395F4A0F2A34CB6A6BC99A876F15D" ma:contentTypeVersion="18" ma:contentTypeDescription="Create a new document." ma:contentTypeScope="" ma:versionID="8445c46855de64cd3ab9e640c8158cff">
  <xsd:schema xmlns:xsd="http://www.w3.org/2001/XMLSchema" xmlns:xs="http://www.w3.org/2001/XMLSchema" xmlns:p="http://schemas.microsoft.com/office/2006/metadata/properties" xmlns:ns3="a28913f9-f658-49ad-a093-b53919ef12c6" xmlns:ns4="c68b630d-a516-445e-9d53-7d1a6d7959c9" targetNamespace="http://schemas.microsoft.com/office/2006/metadata/properties" ma:root="true" ma:fieldsID="b22ff77dfb419fb42bdafa3275e6d0d4" ns3:_="" ns4:_="">
    <xsd:import namespace="a28913f9-f658-49ad-a093-b53919ef12c6"/>
    <xsd:import namespace="c68b630d-a516-445e-9d53-7d1a6d79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13f9-f658-49ad-a093-b53919ef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30d-a516-445e-9d53-7d1a6d79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8913f9-f658-49ad-a093-b53919ef12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79B9-F9E8-41DC-9392-D9D0D8E4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913f9-f658-49ad-a093-b53919ef12c6"/>
    <ds:schemaRef ds:uri="c68b630d-a516-445e-9d53-7d1a6d79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7F2C8-7FDA-42EB-B5FC-7BCDDA5F800B}">
  <ds:schemaRefs>
    <ds:schemaRef ds:uri="c68b630d-a516-445e-9d53-7d1a6d7959c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a28913f9-f658-49ad-a093-b53919ef12c6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1D95611-34CC-49DD-93B2-1EE235CE8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4A2D1-7A5A-4C0E-A668-B93E1E4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3</cp:revision>
  <dcterms:created xsi:type="dcterms:W3CDTF">2024-03-14T16:00:00Z</dcterms:created>
  <dcterms:modified xsi:type="dcterms:W3CDTF">2024-03-14T16:31:00Z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0x010100753395F4A0F2A34CB6A6BC99A876F15D</vt:lpwstr>
  </property>
  <property fmtid="{D5CDD505-2E9C-101B-9397-08002B2CF9AE}" pid="3" name="MediaServiceImageTags">
    <vt:lpwstr/>
  </property>
</Properties>
</file>