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D9C0" w14:textId="43384ECD" w:rsidR="00F26729" w:rsidRPr="00F44065" w:rsidRDefault="00555598" w:rsidP="00DC040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</w:rPr>
      </w:pPr>
      <w:r w:rsidRPr="00F44065">
        <w:rPr>
          <w:bCs/>
        </w:rPr>
        <w:t xml:space="preserve">THE </w:t>
      </w:r>
      <w:r w:rsidR="001922BF" w:rsidRPr="00F44065">
        <w:rPr>
          <w:bCs/>
        </w:rPr>
        <w:t xml:space="preserve">CONVENTION ON </w:t>
      </w:r>
      <w:r w:rsidR="00F26729" w:rsidRPr="00F44065">
        <w:rPr>
          <w:bCs/>
        </w:rPr>
        <w:t xml:space="preserve">WETLANDS </w:t>
      </w:r>
    </w:p>
    <w:p w14:paraId="30F29077" w14:textId="7348B11C" w:rsidR="00F26729" w:rsidRPr="00F44065" w:rsidRDefault="00F26729" w:rsidP="00DC040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</w:rPr>
      </w:pPr>
      <w:r w:rsidRPr="00F44065">
        <w:rPr>
          <w:bCs/>
        </w:rPr>
        <w:t>6</w:t>
      </w:r>
      <w:r w:rsidR="009F2A0D">
        <w:rPr>
          <w:bCs/>
        </w:rPr>
        <w:t>3r</w:t>
      </w:r>
      <w:r w:rsidRPr="00F44065">
        <w:rPr>
          <w:bCs/>
        </w:rPr>
        <w:t xml:space="preserve">d </w:t>
      </w:r>
      <w:r w:rsidR="008F4369" w:rsidRPr="00F44065">
        <w:rPr>
          <w:bCs/>
        </w:rPr>
        <w:t>m</w:t>
      </w:r>
      <w:r w:rsidRPr="00F44065">
        <w:rPr>
          <w:bCs/>
        </w:rPr>
        <w:t>eeting of the Standing Committee</w:t>
      </w:r>
    </w:p>
    <w:p w14:paraId="649CE67E" w14:textId="1B9E8843" w:rsidR="00F26729" w:rsidRPr="00F44065" w:rsidRDefault="00F26729" w:rsidP="00DC040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</w:rPr>
      </w:pPr>
      <w:r w:rsidRPr="00F44065">
        <w:rPr>
          <w:bCs/>
        </w:rPr>
        <w:t xml:space="preserve">Gland, Switzerland, </w:t>
      </w:r>
      <w:r w:rsidR="009F2A0D">
        <w:rPr>
          <w:bCs/>
        </w:rPr>
        <w:t>3-7 June</w:t>
      </w:r>
      <w:r w:rsidR="00EE6F57" w:rsidRPr="00F44065">
        <w:rPr>
          <w:bCs/>
        </w:rPr>
        <w:t xml:space="preserve"> </w:t>
      </w:r>
      <w:r w:rsidRPr="00F44065">
        <w:rPr>
          <w:bCs/>
        </w:rPr>
        <w:t>202</w:t>
      </w:r>
      <w:r w:rsidR="009F2A0D">
        <w:rPr>
          <w:bCs/>
        </w:rPr>
        <w:t>4</w:t>
      </w:r>
    </w:p>
    <w:p w14:paraId="1476A649" w14:textId="77777777" w:rsidR="008F4369" w:rsidRDefault="008F4369">
      <w:pPr>
        <w:jc w:val="right"/>
        <w:rPr>
          <w:rFonts w:cs="Arial"/>
          <w:b/>
          <w:sz w:val="28"/>
          <w:szCs w:val="28"/>
        </w:rPr>
      </w:pPr>
    </w:p>
    <w:p w14:paraId="724351A1" w14:textId="6C6ECF0C" w:rsidR="00F26729" w:rsidRPr="00DA7E51" w:rsidRDefault="00F26729">
      <w:pPr>
        <w:jc w:val="right"/>
        <w:rPr>
          <w:rFonts w:cs="Arial"/>
          <w:sz w:val="28"/>
          <w:szCs w:val="28"/>
        </w:rPr>
      </w:pPr>
      <w:r w:rsidRPr="00DA7E51">
        <w:rPr>
          <w:rFonts w:cs="Arial"/>
          <w:b/>
          <w:sz w:val="28"/>
          <w:szCs w:val="28"/>
        </w:rPr>
        <w:t>SC</w:t>
      </w:r>
      <w:r>
        <w:rPr>
          <w:rFonts w:cs="Arial"/>
          <w:b/>
          <w:sz w:val="28"/>
          <w:szCs w:val="28"/>
        </w:rPr>
        <w:t>6</w:t>
      </w:r>
      <w:r w:rsidR="009F2A0D">
        <w:rPr>
          <w:rFonts w:cs="Arial"/>
          <w:b/>
          <w:sz w:val="28"/>
          <w:szCs w:val="28"/>
        </w:rPr>
        <w:t>3</w:t>
      </w:r>
      <w:r w:rsidR="008F4369">
        <w:rPr>
          <w:rFonts w:cs="Arial"/>
          <w:b/>
          <w:sz w:val="28"/>
          <w:szCs w:val="28"/>
        </w:rPr>
        <w:t xml:space="preserve"> Doc.</w:t>
      </w:r>
      <w:r w:rsidR="00B9279F">
        <w:rPr>
          <w:rFonts w:cs="Arial"/>
          <w:b/>
          <w:sz w:val="28"/>
          <w:szCs w:val="28"/>
        </w:rPr>
        <w:t>18</w:t>
      </w:r>
    </w:p>
    <w:p w14:paraId="7AB6FE07" w14:textId="77777777" w:rsidR="008F4369" w:rsidRDefault="008F4369">
      <w:pPr>
        <w:jc w:val="center"/>
        <w:rPr>
          <w:rFonts w:cs="Arial"/>
          <w:b/>
          <w:sz w:val="28"/>
          <w:szCs w:val="28"/>
        </w:rPr>
      </w:pPr>
    </w:p>
    <w:p w14:paraId="1B9F6FDF" w14:textId="26D5FF7C" w:rsidR="00F26729" w:rsidRPr="009A1374" w:rsidRDefault="00F26729">
      <w:pPr>
        <w:jc w:val="center"/>
        <w:rPr>
          <w:rFonts w:cs="Arial"/>
          <w:b/>
          <w:sz w:val="28"/>
          <w:szCs w:val="28"/>
        </w:rPr>
      </w:pPr>
      <w:r w:rsidRPr="00283F77">
        <w:rPr>
          <w:rFonts w:cs="Arial"/>
          <w:b/>
          <w:sz w:val="28"/>
          <w:szCs w:val="28"/>
        </w:rPr>
        <w:t xml:space="preserve">Report of the </w:t>
      </w:r>
      <w:r w:rsidR="001C0251" w:rsidRPr="00283F77">
        <w:rPr>
          <w:rFonts w:cs="Arial"/>
          <w:b/>
          <w:sz w:val="28"/>
          <w:szCs w:val="28"/>
        </w:rPr>
        <w:t xml:space="preserve">Youth </w:t>
      </w:r>
      <w:r w:rsidRPr="00283F77">
        <w:rPr>
          <w:rFonts w:cs="Arial"/>
          <w:b/>
          <w:sz w:val="28"/>
          <w:szCs w:val="28"/>
        </w:rPr>
        <w:t>Working Group</w:t>
      </w:r>
      <w:r>
        <w:rPr>
          <w:rFonts w:cs="Arial"/>
          <w:b/>
          <w:sz w:val="28"/>
          <w:szCs w:val="28"/>
        </w:rPr>
        <w:t xml:space="preserve"> </w:t>
      </w:r>
    </w:p>
    <w:p w14:paraId="5B41AC3C" w14:textId="77777777" w:rsidR="0016014E" w:rsidRDefault="0016014E">
      <w:pPr>
        <w:ind w:left="0" w:right="-188" w:firstLine="0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3CBD20EB" w14:textId="77777777" w:rsidR="0016014E" w:rsidRDefault="0016014E">
      <w:pPr>
        <w:ind w:left="0" w:right="-188" w:firstLine="0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0CB88D37" w14:textId="77777777" w:rsidR="00416ED2" w:rsidRPr="00416ED2" w:rsidRDefault="00416ED2" w:rsidP="00F44065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="Calibri-Bold"/>
          <w:b/>
          <w:bCs/>
          <w:lang w:val="en-AU"/>
        </w:rPr>
      </w:pPr>
      <w:r w:rsidRPr="00416ED2">
        <w:rPr>
          <w:rFonts w:asciiTheme="minorHAnsi" w:eastAsiaTheme="minorHAnsi" w:hAnsiTheme="minorHAnsi" w:cstheme="minorBidi"/>
          <w:noProof/>
          <w:lang w:eastAsia="en-GB"/>
        </w:rPr>
        <mc:AlternateContent>
          <mc:Choice Requires="wps">
            <w:drawing>
              <wp:inline distT="0" distB="0" distL="0" distR="0" wp14:anchorId="1F0E3C11" wp14:editId="3AC112AF">
                <wp:extent cx="5800725" cy="1181100"/>
                <wp:effectExtent l="0" t="0" r="28575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4D0BF" w14:textId="2C39C120" w:rsidR="00416ED2" w:rsidRDefault="00416ED2" w:rsidP="00416ED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Action requested: </w:t>
                            </w:r>
                          </w:p>
                          <w:p w14:paraId="42391E22" w14:textId="77777777" w:rsidR="00416ED2" w:rsidRPr="00AE6399" w:rsidRDefault="00416ED2" w:rsidP="00416ED2">
                            <w:pPr>
                              <w:pStyle w:val="ColorfulList-Accent11"/>
                              <w:ind w:left="0"/>
                            </w:pPr>
                          </w:p>
                          <w:p w14:paraId="0B55ABDB" w14:textId="35765C30" w:rsidR="00997800" w:rsidRPr="00AE6399" w:rsidRDefault="00965531" w:rsidP="00E220EE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  <w:r w:rsidRPr="0084352E">
                              <w:rPr>
                                <w:bCs/>
                              </w:rPr>
                              <w:t xml:space="preserve">The </w:t>
                            </w:r>
                            <w:r w:rsidR="00416ED2" w:rsidRPr="0084352E">
                              <w:rPr>
                                <w:bCs/>
                              </w:rPr>
                              <w:t xml:space="preserve">Standing Committee is </w:t>
                            </w:r>
                            <w:r w:rsidR="00416ED2" w:rsidRPr="0084352E">
                              <w:rPr>
                                <w:rFonts w:cs="Calibri"/>
                                <w:bCs/>
                              </w:rPr>
                              <w:t>invited to</w:t>
                            </w:r>
                            <w:r w:rsidR="00E220EE" w:rsidRPr="0084352E">
                              <w:rPr>
                                <w:rFonts w:cs="Calibri"/>
                                <w:bCs/>
                              </w:rPr>
                              <w:t xml:space="preserve"> </w:t>
                            </w:r>
                            <w:r w:rsidR="00451C32" w:rsidRPr="0084352E">
                              <w:rPr>
                                <w:rFonts w:cs="Calibri"/>
                                <w:bCs/>
                              </w:rPr>
                              <w:t>note</w:t>
                            </w:r>
                            <w:r w:rsidR="00015124" w:rsidRPr="00AE6399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015124" w:rsidRPr="00AE6399">
                              <w:rPr>
                                <w:rFonts w:cs="Calibri"/>
                              </w:rPr>
                              <w:t xml:space="preserve">the progress of the Youth Working Group, which </w:t>
                            </w:r>
                            <w:r w:rsidR="002C467F" w:rsidRPr="00AE6399">
                              <w:rPr>
                                <w:rFonts w:cs="Calibri"/>
                              </w:rPr>
                              <w:t xml:space="preserve">has </w:t>
                            </w:r>
                            <w:r w:rsidR="00015124" w:rsidRPr="00AE6399">
                              <w:rPr>
                                <w:rFonts w:cs="Calibri"/>
                              </w:rPr>
                              <w:t xml:space="preserve">held </w:t>
                            </w:r>
                            <w:r w:rsidR="002C467F" w:rsidRPr="00AE6399">
                              <w:rPr>
                                <w:rFonts w:cs="Calibri"/>
                              </w:rPr>
                              <w:t>four</w:t>
                            </w:r>
                            <w:r w:rsidR="00D809F0" w:rsidRPr="00AE6399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015124" w:rsidRPr="00AE6399">
                              <w:rPr>
                                <w:rFonts w:cs="Calibri"/>
                              </w:rPr>
                              <w:t>virtual meetings</w:t>
                            </w:r>
                            <w:r w:rsidR="00784DD7" w:rsidRPr="00AE6399">
                              <w:rPr>
                                <w:rFonts w:cs="Calibri"/>
                              </w:rPr>
                              <w:t xml:space="preserve">. The </w:t>
                            </w:r>
                            <w:r w:rsidR="000B6E87" w:rsidRPr="00AE6399">
                              <w:rPr>
                                <w:rFonts w:cs="Calibri"/>
                              </w:rPr>
                              <w:t>Working Group has finalised the work plan in accordance with para</w:t>
                            </w:r>
                            <w:r w:rsidR="0084352E">
                              <w:rPr>
                                <w:rFonts w:cs="Calibri"/>
                              </w:rPr>
                              <w:t>graph</w:t>
                            </w:r>
                            <w:r w:rsidR="000B6E87" w:rsidRPr="00AE6399">
                              <w:rPr>
                                <w:rFonts w:cs="Calibri"/>
                              </w:rPr>
                              <w:t xml:space="preserve"> 17 of Resolution XIV.12, </w:t>
                            </w:r>
                            <w:r w:rsidR="00B97E06" w:rsidRPr="00AE6399">
                              <w:rPr>
                                <w:rFonts w:cs="Calibri"/>
                              </w:rPr>
                              <w:t xml:space="preserve">and the </w:t>
                            </w:r>
                            <w:r w:rsidR="00860DDB" w:rsidRPr="00AE6399">
                              <w:rPr>
                                <w:rFonts w:cs="Calibri"/>
                              </w:rPr>
                              <w:t>Youth Working Group</w:t>
                            </w:r>
                            <w:r w:rsidR="00B97E06" w:rsidRPr="00AE6399">
                              <w:rPr>
                                <w:rFonts w:cs="Calibri"/>
                              </w:rPr>
                              <w:t xml:space="preserve"> has shifted towards implementation</w:t>
                            </w:r>
                            <w:r w:rsidR="000B6E87" w:rsidRPr="00AE6399">
                              <w:rPr>
                                <w:rFonts w:cs="Calibri"/>
                              </w:rPr>
                              <w:t xml:space="preserve"> of the work plan</w:t>
                            </w:r>
                            <w:r w:rsidR="00A709CB" w:rsidRPr="00AE6399"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0E3C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6.7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gdKwIAAFEEAAAOAAAAZHJzL2Uyb0RvYy54bWysVNuO0zAQfUfiHyy/0yRVy+5GTVdLlyKk&#10;5SLt8gGO4zQWjseM3Sbl6xk73VIB4gGRB8vjGR+fOTOT1e3YG3ZQ6DXYiheznDNlJTTa7ir+5Wn7&#10;6pozH4RthAGrKn5Unt+uX75YDa5Uc+jANAoZgVhfDq7iXQiuzDIvO9ULPwOnLDlbwF4EMnGXNSgG&#10;Qu9NNs/z19kA2DgEqbyn0/vJydcJv22VDJ/a1qvATMWJW0grprWOa7ZeiXKHwnVanmiIf2DRC23p&#10;0TPUvQiC7VH/BtVrieChDTMJfQZtq6VKOVA2Rf5LNo+dcCrlQuJ4d5bJ/z9Y+fHwGZluqHacWdFT&#10;iZ7UGNgbGFkR1RmcLyno0VFYGOk4RsZMvXsA+dUzC5tO2J26Q4ShU6IhdulmdnF1wvERpB4+QEPP&#10;iH2ABDS22EdAEoMROlXpeK5MpCLpcHmd51fzJWeSfEVxXRR5ql0myufrDn14p6BncVNxpNIneHF4&#10;8IESodDnkEQfjG622phk4K7eGGQHQW2yTV/Mna74yzBj2VDxmyUR+TtEnr4/QfQ6UL8b3VecUqJv&#10;6sCo21vbpG4MQptpT+8bSzSikFG7ScUw1uOpMDU0R5IUYeprmkPadIDfORuopyvuv+0FKs7Me0tl&#10;uSkWizgEyVgsr+Zk4KWnvvQIKwmq4oGzabsJ0+DsHepdRy9NjWDhjkrZ6iRypDqxOvGmvk1CnmYs&#10;DsalnaJ+/gnWPwAAAP//AwBQSwMEFAAGAAgAAAAhADcKVGDcAAAABQEAAA8AAABkcnMvZG93bnJl&#10;di54bWxMj8FOwzAQRO9I/IO1SFwQdUohpCFOhZBA9AYFwdWNt0mEvQ62m4a/Z+ECl5FWM5p5W60m&#10;Z8WIIfaeFMxnGQikxpueWgWvL/fnBYiYNBltPaGCL4ywqo+PKl0af6BnHDepFVxCsdQKupSGUsrY&#10;dOh0nPkBib2dD04nPkMrTdAHLndWXmRZLp3uiRc6PeBdh83HZu8UFJeP43tcL57emnxnl+nsenz4&#10;DEqdnky3NyASTukvDD/4jA41M239nkwUVgE/kn6VveV8cQViy6Eiz0DWlfxPX38DAAD//wMAUEsB&#10;Ai0AFAAGAAgAAAAhALaDOJL+AAAA4QEAABMAAAAAAAAAAAAAAAAAAAAAAFtDb250ZW50X1R5cGVz&#10;XS54bWxQSwECLQAUAAYACAAAACEAOP0h/9YAAACUAQAACwAAAAAAAAAAAAAAAAAvAQAAX3JlbHMv&#10;LnJlbHNQSwECLQAUAAYACAAAACEAVKoIHSsCAABRBAAADgAAAAAAAAAAAAAAAAAuAgAAZHJzL2Uy&#10;b0RvYy54bWxQSwECLQAUAAYACAAAACEANwpUYNwAAAAFAQAADwAAAAAAAAAAAAAAAACFBAAAZHJz&#10;L2Rvd25yZXYueG1sUEsFBgAAAAAEAAQA8wAAAI4FAAAAAA==&#10;">
                <v:textbox>
                  <w:txbxContent>
                    <w:p w14:paraId="6134D0BF" w14:textId="2C39C120" w:rsidR="00416ED2" w:rsidRDefault="00416ED2" w:rsidP="00416ED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Action requested: </w:t>
                      </w:r>
                    </w:p>
                    <w:p w14:paraId="42391E22" w14:textId="77777777" w:rsidR="00416ED2" w:rsidRPr="00AE6399" w:rsidRDefault="00416ED2" w:rsidP="00416ED2">
                      <w:pPr>
                        <w:pStyle w:val="ColorfulList-Accent11"/>
                        <w:ind w:left="0"/>
                      </w:pPr>
                    </w:p>
                    <w:p w14:paraId="0B55ABDB" w14:textId="35765C30" w:rsidR="00997800" w:rsidRPr="00AE6399" w:rsidRDefault="00965531" w:rsidP="00E220EE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  <w:r w:rsidRPr="0084352E">
                        <w:rPr>
                          <w:bCs/>
                        </w:rPr>
                        <w:t xml:space="preserve">The </w:t>
                      </w:r>
                      <w:r w:rsidR="00416ED2" w:rsidRPr="0084352E">
                        <w:rPr>
                          <w:bCs/>
                        </w:rPr>
                        <w:t xml:space="preserve">Standing Committee is </w:t>
                      </w:r>
                      <w:r w:rsidR="00416ED2" w:rsidRPr="0084352E">
                        <w:rPr>
                          <w:rFonts w:cs="Calibri"/>
                          <w:bCs/>
                        </w:rPr>
                        <w:t>invited to</w:t>
                      </w:r>
                      <w:r w:rsidR="00E220EE" w:rsidRPr="0084352E">
                        <w:rPr>
                          <w:rFonts w:cs="Calibri"/>
                          <w:bCs/>
                        </w:rPr>
                        <w:t xml:space="preserve"> </w:t>
                      </w:r>
                      <w:r w:rsidR="00451C32" w:rsidRPr="0084352E">
                        <w:rPr>
                          <w:rFonts w:cs="Calibri"/>
                          <w:bCs/>
                        </w:rPr>
                        <w:t>note</w:t>
                      </w:r>
                      <w:r w:rsidR="00015124" w:rsidRPr="00AE6399">
                        <w:rPr>
                          <w:rFonts w:cs="Calibri"/>
                          <w:b/>
                          <w:bCs/>
                        </w:rPr>
                        <w:t xml:space="preserve"> </w:t>
                      </w:r>
                      <w:r w:rsidR="00015124" w:rsidRPr="00AE6399">
                        <w:rPr>
                          <w:rFonts w:cs="Calibri"/>
                        </w:rPr>
                        <w:t xml:space="preserve">the progress of the Youth Working Group, which </w:t>
                      </w:r>
                      <w:r w:rsidR="002C467F" w:rsidRPr="00AE6399">
                        <w:rPr>
                          <w:rFonts w:cs="Calibri"/>
                        </w:rPr>
                        <w:t xml:space="preserve">has </w:t>
                      </w:r>
                      <w:r w:rsidR="00015124" w:rsidRPr="00AE6399">
                        <w:rPr>
                          <w:rFonts w:cs="Calibri"/>
                        </w:rPr>
                        <w:t xml:space="preserve">held </w:t>
                      </w:r>
                      <w:r w:rsidR="002C467F" w:rsidRPr="00AE6399">
                        <w:rPr>
                          <w:rFonts w:cs="Calibri"/>
                        </w:rPr>
                        <w:t>four</w:t>
                      </w:r>
                      <w:r w:rsidR="00D809F0" w:rsidRPr="00AE6399">
                        <w:rPr>
                          <w:rFonts w:cs="Calibri"/>
                        </w:rPr>
                        <w:t xml:space="preserve"> </w:t>
                      </w:r>
                      <w:r w:rsidR="00015124" w:rsidRPr="00AE6399">
                        <w:rPr>
                          <w:rFonts w:cs="Calibri"/>
                        </w:rPr>
                        <w:t>virtual meetings</w:t>
                      </w:r>
                      <w:r w:rsidR="00784DD7" w:rsidRPr="00AE6399">
                        <w:rPr>
                          <w:rFonts w:cs="Calibri"/>
                        </w:rPr>
                        <w:t xml:space="preserve">. The </w:t>
                      </w:r>
                      <w:r w:rsidR="000B6E87" w:rsidRPr="00AE6399">
                        <w:rPr>
                          <w:rFonts w:cs="Calibri"/>
                        </w:rPr>
                        <w:t>Working Group has finalised the work plan in accordance with para</w:t>
                      </w:r>
                      <w:r w:rsidR="0084352E">
                        <w:rPr>
                          <w:rFonts w:cs="Calibri"/>
                        </w:rPr>
                        <w:t>graph</w:t>
                      </w:r>
                      <w:r w:rsidR="000B6E87" w:rsidRPr="00AE6399">
                        <w:rPr>
                          <w:rFonts w:cs="Calibri"/>
                        </w:rPr>
                        <w:t xml:space="preserve"> 17 of Resolution XIV.12, </w:t>
                      </w:r>
                      <w:r w:rsidR="00B97E06" w:rsidRPr="00AE6399">
                        <w:rPr>
                          <w:rFonts w:cs="Calibri"/>
                        </w:rPr>
                        <w:t xml:space="preserve">and the </w:t>
                      </w:r>
                      <w:r w:rsidR="00860DDB" w:rsidRPr="00AE6399">
                        <w:rPr>
                          <w:rFonts w:cs="Calibri"/>
                        </w:rPr>
                        <w:t>Youth Working Group</w:t>
                      </w:r>
                      <w:r w:rsidR="00B97E06" w:rsidRPr="00AE6399">
                        <w:rPr>
                          <w:rFonts w:cs="Calibri"/>
                        </w:rPr>
                        <w:t xml:space="preserve"> has shifted towards implementation</w:t>
                      </w:r>
                      <w:r w:rsidR="000B6E87" w:rsidRPr="00AE6399">
                        <w:rPr>
                          <w:rFonts w:cs="Calibri"/>
                        </w:rPr>
                        <w:t xml:space="preserve"> of the work plan</w:t>
                      </w:r>
                      <w:r w:rsidR="00A709CB" w:rsidRPr="00AE6399"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A384B" w14:textId="77777777" w:rsidR="008F4369" w:rsidRDefault="008F4369">
      <w:pPr>
        <w:ind w:left="0" w:right="-188" w:firstLine="0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13D7170D" w14:textId="2C34F57B" w:rsidR="000C5687" w:rsidRDefault="000C5687">
      <w:pPr>
        <w:ind w:left="0" w:right="-188" w:firstLine="0"/>
        <w:rPr>
          <w:rFonts w:ascii="Arial" w:hAnsi="Arial" w:cs="Arial"/>
          <w:b/>
          <w:bCs/>
          <w:sz w:val="20"/>
          <w:szCs w:val="20"/>
          <w:lang w:eastAsia="en-AU"/>
        </w:rPr>
      </w:pPr>
    </w:p>
    <w:p w14:paraId="3B3F9106" w14:textId="5C86AD16" w:rsidR="0016014E" w:rsidRPr="00172079" w:rsidRDefault="0016014E" w:rsidP="00F44065">
      <w:pPr>
        <w:ind w:left="567" w:right="-188" w:hanging="567"/>
        <w:rPr>
          <w:rFonts w:ascii="Arial" w:hAnsi="Arial" w:cs="Arial"/>
          <w:b/>
          <w:bCs/>
          <w:sz w:val="20"/>
          <w:szCs w:val="20"/>
          <w:lang w:eastAsia="en-AU"/>
        </w:rPr>
      </w:pPr>
      <w:r w:rsidRPr="00172079">
        <w:rPr>
          <w:rFonts w:ascii="Arial" w:hAnsi="Arial" w:cs="Arial"/>
          <w:b/>
          <w:bCs/>
          <w:sz w:val="20"/>
          <w:szCs w:val="20"/>
          <w:lang w:eastAsia="en-AU"/>
        </w:rPr>
        <w:t xml:space="preserve">Background </w:t>
      </w:r>
    </w:p>
    <w:p w14:paraId="3C436054" w14:textId="77777777" w:rsidR="00A4164A" w:rsidRPr="00172079" w:rsidRDefault="00A4164A" w:rsidP="00F44065">
      <w:pPr>
        <w:ind w:left="567" w:hanging="567"/>
        <w:rPr>
          <w:rFonts w:cs="Calibri"/>
        </w:rPr>
      </w:pPr>
    </w:p>
    <w:p w14:paraId="02824FF5" w14:textId="76E60303" w:rsidR="008F4369" w:rsidRPr="00B9279F" w:rsidRDefault="00B9279F" w:rsidP="00B9279F">
      <w:pPr>
        <w:ind w:left="426" w:hanging="426"/>
        <w:rPr>
          <w:rFonts w:cstheme="minorHAnsi"/>
        </w:rPr>
      </w:pPr>
      <w:r>
        <w:rPr>
          <w:rFonts w:cs="Calibri"/>
        </w:rPr>
        <w:t>1.</w:t>
      </w:r>
      <w:r>
        <w:rPr>
          <w:rFonts w:cs="Calibri"/>
        </w:rPr>
        <w:tab/>
      </w:r>
      <w:r w:rsidR="00F44065" w:rsidRPr="00B9279F">
        <w:rPr>
          <w:rFonts w:cs="Calibri"/>
        </w:rPr>
        <w:t>Resolution XIV.12</w:t>
      </w:r>
      <w:r w:rsidR="008C09A0" w:rsidRPr="00B9279F">
        <w:rPr>
          <w:rFonts w:cs="Calibri"/>
        </w:rPr>
        <w:t xml:space="preserve"> on</w:t>
      </w:r>
      <w:r w:rsidR="0091761A" w:rsidRPr="00B9279F">
        <w:rPr>
          <w:rFonts w:cs="Calibri"/>
        </w:rPr>
        <w:t xml:space="preserve"> </w:t>
      </w:r>
      <w:r w:rsidR="008C09A0" w:rsidRPr="00B9279F">
        <w:rPr>
          <w:rFonts w:cs="Calibri"/>
          <w:i/>
        </w:rPr>
        <w:t>Strengthening Ramsar connections through youth</w:t>
      </w:r>
      <w:r w:rsidR="008C09A0" w:rsidRPr="00B9279F">
        <w:rPr>
          <w:rFonts w:cs="Calibri"/>
        </w:rPr>
        <w:t xml:space="preserve"> </w:t>
      </w:r>
      <w:r w:rsidR="008C323E" w:rsidRPr="00B9279F">
        <w:rPr>
          <w:rFonts w:cs="Calibri"/>
        </w:rPr>
        <w:t xml:space="preserve">requested the Standing Committee to establish </w:t>
      </w:r>
      <w:r w:rsidR="0091761A" w:rsidRPr="00B9279F">
        <w:rPr>
          <w:rFonts w:cs="Calibri"/>
        </w:rPr>
        <w:t>the Y</w:t>
      </w:r>
      <w:r w:rsidR="008C323E" w:rsidRPr="00B9279F">
        <w:rPr>
          <w:rFonts w:cs="Calibri"/>
        </w:rPr>
        <w:t xml:space="preserve">outh </w:t>
      </w:r>
      <w:r w:rsidR="0091761A" w:rsidRPr="00B9279F">
        <w:rPr>
          <w:rFonts w:cs="Calibri"/>
        </w:rPr>
        <w:t>W</w:t>
      </w:r>
      <w:r w:rsidR="008C323E" w:rsidRPr="00B9279F">
        <w:rPr>
          <w:rFonts w:cs="Calibri"/>
        </w:rPr>
        <w:t xml:space="preserve">orking </w:t>
      </w:r>
      <w:r w:rsidR="0091761A" w:rsidRPr="00B9279F">
        <w:rPr>
          <w:rFonts w:cs="Calibri"/>
        </w:rPr>
        <w:t>G</w:t>
      </w:r>
      <w:r w:rsidR="008C323E" w:rsidRPr="00B9279F">
        <w:rPr>
          <w:rFonts w:cs="Calibri"/>
        </w:rPr>
        <w:t>roup (YWG)</w:t>
      </w:r>
      <w:r w:rsidR="0091761A" w:rsidRPr="00B9279F">
        <w:rPr>
          <w:rFonts w:cs="Calibri"/>
        </w:rPr>
        <w:t xml:space="preserve">, with </w:t>
      </w:r>
      <w:r w:rsidR="00F8068B" w:rsidRPr="00B9279F">
        <w:rPr>
          <w:rFonts w:cs="Calibri"/>
        </w:rPr>
        <w:t xml:space="preserve">a mandate to </w:t>
      </w:r>
      <w:r w:rsidR="00F8068B" w:rsidRPr="00172079">
        <w:t>advise on mainstreaming youth engagement in the governance, programmes of work</w:t>
      </w:r>
      <w:r w:rsidR="00750D39">
        <w:t>,</w:t>
      </w:r>
      <w:r w:rsidR="00F8068B" w:rsidRPr="00172079">
        <w:t xml:space="preserve"> and other activities of the Convention.</w:t>
      </w:r>
    </w:p>
    <w:p w14:paraId="64FF0330" w14:textId="77777777" w:rsidR="00B9279F" w:rsidRDefault="00B9279F" w:rsidP="00B9279F">
      <w:pPr>
        <w:ind w:left="426" w:hanging="426"/>
        <w:rPr>
          <w:rFonts w:cstheme="minorHAnsi"/>
        </w:rPr>
      </w:pPr>
    </w:p>
    <w:p w14:paraId="0A1E31F2" w14:textId="0B241892" w:rsidR="00B32AE3" w:rsidRPr="00B9279F" w:rsidRDefault="00B9279F" w:rsidP="00B9279F">
      <w:pPr>
        <w:ind w:left="426" w:hanging="426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r w:rsidR="008C323E" w:rsidRPr="00B9279F">
        <w:rPr>
          <w:rFonts w:cstheme="minorHAnsi"/>
        </w:rPr>
        <w:t xml:space="preserve">At its </w:t>
      </w:r>
      <w:r w:rsidR="00172079" w:rsidRPr="00B9279F">
        <w:rPr>
          <w:rFonts w:cstheme="minorHAnsi"/>
        </w:rPr>
        <w:t>61st meeting</w:t>
      </w:r>
      <w:r w:rsidR="00293819">
        <w:rPr>
          <w:rFonts w:cstheme="minorHAnsi"/>
        </w:rPr>
        <w:t xml:space="preserve"> (SC61)</w:t>
      </w:r>
      <w:r w:rsidR="008C323E" w:rsidRPr="00B9279F">
        <w:rPr>
          <w:rFonts w:cstheme="minorHAnsi"/>
        </w:rPr>
        <w:t xml:space="preserve">, </w:t>
      </w:r>
      <w:r w:rsidR="00172079" w:rsidRPr="00B9279F">
        <w:rPr>
          <w:rFonts w:cstheme="minorHAnsi"/>
        </w:rPr>
        <w:t>the Standing Committee</w:t>
      </w:r>
      <w:r w:rsidR="00750D39" w:rsidRPr="00B9279F">
        <w:rPr>
          <w:rFonts w:cstheme="minorHAnsi"/>
        </w:rPr>
        <w:t xml:space="preserve"> decided on </w:t>
      </w:r>
      <w:r w:rsidR="00172079" w:rsidRPr="00B9279F">
        <w:rPr>
          <w:rFonts w:cstheme="minorHAnsi"/>
        </w:rPr>
        <w:t xml:space="preserve">an interim chair and members of the YWG, through </w:t>
      </w:r>
      <w:r w:rsidR="00965531" w:rsidRPr="00B9279F">
        <w:rPr>
          <w:rFonts w:cstheme="minorHAnsi"/>
        </w:rPr>
        <w:t>D</w:t>
      </w:r>
      <w:r w:rsidR="00172079" w:rsidRPr="00B9279F">
        <w:rPr>
          <w:rFonts w:cstheme="minorHAnsi"/>
        </w:rPr>
        <w:t xml:space="preserve">ecisions SC61-06 and SC61-07 respectively. </w:t>
      </w:r>
    </w:p>
    <w:p w14:paraId="1EB11AFF" w14:textId="77777777" w:rsidR="00CA7B82" w:rsidRDefault="00CA7B82" w:rsidP="00B9279F">
      <w:pPr>
        <w:ind w:left="851"/>
        <w:rPr>
          <w:rFonts w:cstheme="minorHAnsi"/>
        </w:rPr>
      </w:pPr>
    </w:p>
    <w:p w14:paraId="556BD8FC" w14:textId="21143139" w:rsidR="00B32AE3" w:rsidRPr="00B9279F" w:rsidRDefault="00B9279F" w:rsidP="00B9279F">
      <w:pPr>
        <w:ind w:left="851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750D39" w:rsidRPr="00B9279F">
        <w:rPr>
          <w:rFonts w:cstheme="minorHAnsi"/>
        </w:rPr>
        <w:t xml:space="preserve">Australia (co-sponsor of Resolution XIV.12 with Costa Rica) was appointed as the </w:t>
      </w:r>
      <w:r w:rsidR="004C490B" w:rsidRPr="00B9279F">
        <w:rPr>
          <w:rFonts w:cstheme="minorHAnsi"/>
        </w:rPr>
        <w:t>inter</w:t>
      </w:r>
      <w:r w:rsidR="008A47C5" w:rsidRPr="00B9279F">
        <w:rPr>
          <w:rFonts w:cstheme="minorHAnsi"/>
        </w:rPr>
        <w:t xml:space="preserve">im </w:t>
      </w:r>
      <w:r w:rsidR="001B0D43">
        <w:rPr>
          <w:rFonts w:cstheme="minorHAnsi"/>
        </w:rPr>
        <w:t>C</w:t>
      </w:r>
      <w:r w:rsidR="008A47C5" w:rsidRPr="00B9279F">
        <w:rPr>
          <w:rFonts w:cstheme="minorHAnsi"/>
        </w:rPr>
        <w:t>hair</w:t>
      </w:r>
      <w:r w:rsidR="00750D39" w:rsidRPr="00B9279F">
        <w:rPr>
          <w:rFonts w:cstheme="minorHAnsi"/>
        </w:rPr>
        <w:t>.</w:t>
      </w:r>
    </w:p>
    <w:p w14:paraId="4B324EB5" w14:textId="77777777" w:rsidR="00CA7B82" w:rsidRDefault="00CA7B82" w:rsidP="00B9279F">
      <w:pPr>
        <w:ind w:left="851"/>
        <w:rPr>
          <w:rFonts w:cstheme="minorHAnsi"/>
        </w:rPr>
      </w:pPr>
    </w:p>
    <w:p w14:paraId="25B25F15" w14:textId="0B656076" w:rsidR="00B32AE3" w:rsidRPr="00B9279F" w:rsidRDefault="00B9279F" w:rsidP="00B9279F">
      <w:pPr>
        <w:ind w:left="851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244CA4" w:rsidRPr="00B9279F">
        <w:rPr>
          <w:rFonts w:cstheme="minorHAnsi"/>
        </w:rPr>
        <w:t>Members</w:t>
      </w:r>
      <w:r w:rsidR="00965531" w:rsidRPr="00B9279F">
        <w:rPr>
          <w:rFonts w:cstheme="minorHAnsi"/>
        </w:rPr>
        <w:t>hip</w:t>
      </w:r>
      <w:r w:rsidR="00244CA4" w:rsidRPr="00B9279F">
        <w:rPr>
          <w:rFonts w:cstheme="minorHAnsi"/>
        </w:rPr>
        <w:t xml:space="preserve"> of </w:t>
      </w:r>
      <w:r w:rsidR="008A47C5" w:rsidRPr="00B9279F">
        <w:rPr>
          <w:rFonts w:cstheme="minorHAnsi"/>
        </w:rPr>
        <w:t xml:space="preserve">the YWG comprised the following </w:t>
      </w:r>
      <w:r w:rsidR="008C323E" w:rsidRPr="00B9279F">
        <w:rPr>
          <w:rFonts w:cstheme="minorHAnsi"/>
        </w:rPr>
        <w:t>Contracting P</w:t>
      </w:r>
      <w:r w:rsidR="008A47C5" w:rsidRPr="00B9279F">
        <w:rPr>
          <w:rFonts w:cstheme="minorHAnsi"/>
        </w:rPr>
        <w:t xml:space="preserve">arties: </w:t>
      </w:r>
      <w:r w:rsidR="008019B8" w:rsidRPr="00B9279F">
        <w:rPr>
          <w:rFonts w:cstheme="minorHAnsi"/>
        </w:rPr>
        <w:t xml:space="preserve">Congo, representing the Africa region; Iraq and Iran (Islamic Republic of), representing the Asia region; Austria and Slovakia, representing the Europe Region; Colombia, representing the Latin America and the Caribbean region; and Mexico, representing the North America </w:t>
      </w:r>
      <w:r w:rsidR="00965531" w:rsidRPr="00B9279F">
        <w:rPr>
          <w:rFonts w:cstheme="minorHAnsi"/>
        </w:rPr>
        <w:t>region</w:t>
      </w:r>
      <w:r w:rsidR="002C2F09" w:rsidRPr="00B9279F">
        <w:rPr>
          <w:rFonts w:cstheme="minorHAnsi"/>
        </w:rPr>
        <w:t>.</w:t>
      </w:r>
    </w:p>
    <w:p w14:paraId="59D3E20F" w14:textId="77777777" w:rsidR="00B9279F" w:rsidRDefault="00B9279F" w:rsidP="00B9279F">
      <w:pPr>
        <w:ind w:left="851"/>
        <w:rPr>
          <w:rFonts w:cstheme="minorHAnsi"/>
        </w:rPr>
      </w:pPr>
    </w:p>
    <w:p w14:paraId="47D8748F" w14:textId="61B811C3" w:rsidR="00B32AE3" w:rsidRPr="00B9279F" w:rsidRDefault="00B9279F" w:rsidP="00B9279F">
      <w:pPr>
        <w:ind w:left="426" w:hanging="426"/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</w:r>
      <w:r w:rsidR="008A3D7E" w:rsidRPr="00B9279F">
        <w:rPr>
          <w:rFonts w:cstheme="minorHAnsi"/>
        </w:rPr>
        <w:t xml:space="preserve">Between </w:t>
      </w:r>
      <w:r w:rsidR="00F47557" w:rsidRPr="00B9279F">
        <w:rPr>
          <w:rFonts w:cstheme="minorHAnsi"/>
        </w:rPr>
        <w:t xml:space="preserve">SC61 and </w:t>
      </w:r>
      <w:r w:rsidR="00D75F70" w:rsidRPr="00B9279F">
        <w:rPr>
          <w:rFonts w:cstheme="minorHAnsi"/>
        </w:rPr>
        <w:t>SC62, the YWG held two virtual</w:t>
      </w:r>
      <w:r w:rsidR="004E0091" w:rsidRPr="00B9279F">
        <w:rPr>
          <w:rFonts w:cstheme="minorHAnsi"/>
        </w:rPr>
        <w:t xml:space="preserve"> meetings and two virtual </w:t>
      </w:r>
      <w:r w:rsidR="00D45E71" w:rsidRPr="00B9279F">
        <w:rPr>
          <w:rFonts w:cstheme="minorHAnsi"/>
        </w:rPr>
        <w:t>youth engagement</w:t>
      </w:r>
      <w:r w:rsidR="00F6613C" w:rsidRPr="00B9279F">
        <w:rPr>
          <w:rFonts w:cstheme="minorHAnsi"/>
        </w:rPr>
        <w:t xml:space="preserve"> </w:t>
      </w:r>
      <w:r w:rsidR="004E0091" w:rsidRPr="00B9279F">
        <w:rPr>
          <w:rFonts w:cstheme="minorHAnsi"/>
        </w:rPr>
        <w:t>workshops</w:t>
      </w:r>
      <w:r w:rsidR="00F6613C" w:rsidRPr="00B9279F">
        <w:rPr>
          <w:rFonts w:cstheme="minorHAnsi"/>
        </w:rPr>
        <w:t xml:space="preserve"> to consult with young people globally and identify priority work for the YWG</w:t>
      </w:r>
      <w:r w:rsidR="00407AD8" w:rsidRPr="00B9279F">
        <w:rPr>
          <w:rFonts w:cstheme="minorHAnsi"/>
        </w:rPr>
        <w:t>, leading to a consultancy report, which was used to develop a draft youth workplan</w:t>
      </w:r>
      <w:r w:rsidR="00F6613C" w:rsidRPr="00B9279F">
        <w:rPr>
          <w:rFonts w:cstheme="minorHAnsi"/>
        </w:rPr>
        <w:t xml:space="preserve">. </w:t>
      </w:r>
    </w:p>
    <w:p w14:paraId="43F5C7B9" w14:textId="77777777" w:rsidR="00B9279F" w:rsidRDefault="00B9279F" w:rsidP="00B9279F">
      <w:pPr>
        <w:ind w:left="426" w:hanging="426"/>
        <w:rPr>
          <w:rFonts w:cstheme="minorHAnsi"/>
        </w:rPr>
      </w:pPr>
    </w:p>
    <w:p w14:paraId="67E84E58" w14:textId="5FC844DE" w:rsidR="006A3AB1" w:rsidRPr="00B9279F" w:rsidRDefault="00B9279F" w:rsidP="00B9279F">
      <w:pPr>
        <w:ind w:left="426" w:hanging="426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  <w:r w:rsidR="00FF3E5A" w:rsidRPr="00B9279F">
        <w:rPr>
          <w:rFonts w:cstheme="minorHAnsi"/>
        </w:rPr>
        <w:t>At its 62nd meeting, the Standing Committee</w:t>
      </w:r>
      <w:r w:rsidR="00357DD3" w:rsidRPr="00B9279F">
        <w:rPr>
          <w:rFonts w:cstheme="minorHAnsi"/>
        </w:rPr>
        <w:t xml:space="preserve"> </w:t>
      </w:r>
      <w:r w:rsidR="00357DD3">
        <w:t>took note of the report of the Youth Working Group as presented in document SC62 Doc.17 (Decision SC62-29).</w:t>
      </w:r>
      <w:r w:rsidR="00407AD8">
        <w:t xml:space="preserve"> </w:t>
      </w:r>
    </w:p>
    <w:p w14:paraId="47721F85" w14:textId="77777777" w:rsidR="002C2F09" w:rsidRPr="002C2F09" w:rsidRDefault="002C2F09" w:rsidP="00B9279F">
      <w:pPr>
        <w:ind w:left="851"/>
        <w:rPr>
          <w:rFonts w:cstheme="minorHAnsi"/>
        </w:rPr>
      </w:pPr>
    </w:p>
    <w:p w14:paraId="2B272960" w14:textId="3B87316F" w:rsidR="00244CA4" w:rsidRDefault="00684E81" w:rsidP="00B9279F">
      <w:pPr>
        <w:pStyle w:val="ListParagraph"/>
        <w:ind w:left="567" w:hanging="567"/>
        <w:contextualSpacing w:val="0"/>
        <w:rPr>
          <w:rFonts w:cstheme="minorHAnsi"/>
        </w:rPr>
      </w:pPr>
      <w:r>
        <w:rPr>
          <w:rFonts w:cstheme="minorHAnsi"/>
          <w:b/>
          <w:bCs/>
        </w:rPr>
        <w:t>Draft youth workplan</w:t>
      </w:r>
    </w:p>
    <w:p w14:paraId="6CFA2AAA" w14:textId="77777777" w:rsidR="00684E81" w:rsidRDefault="00684E81" w:rsidP="00B9279F">
      <w:pPr>
        <w:pStyle w:val="ListParagraph"/>
        <w:ind w:left="567" w:hanging="567"/>
        <w:contextualSpacing w:val="0"/>
        <w:rPr>
          <w:rFonts w:cstheme="minorHAnsi"/>
        </w:rPr>
      </w:pPr>
    </w:p>
    <w:p w14:paraId="76C8F030" w14:textId="3DEA8437" w:rsidR="00B32AE3" w:rsidRDefault="00B9279F" w:rsidP="00B9279F">
      <w:pPr>
        <w:ind w:left="426" w:hanging="426"/>
      </w:pPr>
      <w:r>
        <w:rPr>
          <w:rFonts w:cstheme="minorHAnsi"/>
        </w:rPr>
        <w:t>5.</w:t>
      </w:r>
      <w:r>
        <w:rPr>
          <w:rFonts w:cstheme="minorHAnsi"/>
        </w:rPr>
        <w:tab/>
      </w:r>
      <w:r w:rsidR="008B697C" w:rsidRPr="00B9279F">
        <w:rPr>
          <w:rFonts w:cstheme="minorHAnsi"/>
        </w:rPr>
        <w:t>After the third meeting of the YWG</w:t>
      </w:r>
      <w:r w:rsidR="00695756" w:rsidRPr="00B9279F">
        <w:rPr>
          <w:rFonts w:cstheme="minorHAnsi"/>
        </w:rPr>
        <w:t xml:space="preserve"> on </w:t>
      </w:r>
      <w:r w:rsidR="00C0743B" w:rsidRPr="00B9279F">
        <w:rPr>
          <w:rFonts w:cstheme="minorHAnsi"/>
        </w:rPr>
        <w:t>10 August 2023</w:t>
      </w:r>
      <w:r w:rsidR="008B697C" w:rsidRPr="00B9279F">
        <w:rPr>
          <w:rFonts w:cstheme="minorHAnsi"/>
        </w:rPr>
        <w:t xml:space="preserve">, the first draft of the youth workplan was </w:t>
      </w:r>
      <w:r w:rsidR="00674489" w:rsidRPr="00B9279F">
        <w:rPr>
          <w:rFonts w:cstheme="minorHAnsi"/>
        </w:rPr>
        <w:t xml:space="preserve">updated to include feedback received </w:t>
      </w:r>
      <w:r w:rsidR="00F727A8" w:rsidRPr="00B9279F">
        <w:rPr>
          <w:rFonts w:cstheme="minorHAnsi"/>
        </w:rPr>
        <w:t>during the meeting</w:t>
      </w:r>
      <w:r w:rsidR="00273ACF" w:rsidRPr="00B9279F">
        <w:rPr>
          <w:rFonts w:cstheme="minorHAnsi"/>
        </w:rPr>
        <w:t>.</w:t>
      </w:r>
      <w:r w:rsidR="0089761E" w:rsidRPr="00B9279F">
        <w:rPr>
          <w:rFonts w:cstheme="minorHAnsi"/>
        </w:rPr>
        <w:t xml:space="preserve"> </w:t>
      </w:r>
      <w:r w:rsidR="0089761E">
        <w:t>Key points of feedback included:</w:t>
      </w:r>
    </w:p>
    <w:p w14:paraId="0D604D8C" w14:textId="77777777" w:rsidR="00EF3425" w:rsidRDefault="00EF3425" w:rsidP="00B9279F">
      <w:pPr>
        <w:ind w:left="851"/>
        <w:rPr>
          <w:rFonts w:eastAsia="Times New Roman" w:cs="Calibri"/>
          <w:lang w:val="en-AU" w:eastAsia="en-AU"/>
        </w:rPr>
      </w:pPr>
    </w:p>
    <w:p w14:paraId="0C03B6EC" w14:textId="2D861F02" w:rsidR="00B32AE3" w:rsidRPr="00B32AE3" w:rsidRDefault="00B9279F" w:rsidP="00B9279F">
      <w:pPr>
        <w:ind w:left="851"/>
      </w:pPr>
      <w:r>
        <w:rPr>
          <w:rFonts w:eastAsia="Times New Roman" w:cs="Calibri"/>
          <w:lang w:val="en-AU" w:eastAsia="en-AU"/>
        </w:rPr>
        <w:t>a.</w:t>
      </w:r>
      <w:r>
        <w:rPr>
          <w:rFonts w:eastAsia="Times New Roman" w:cs="Calibri"/>
          <w:lang w:val="en-AU" w:eastAsia="en-AU"/>
        </w:rPr>
        <w:tab/>
      </w:r>
      <w:r w:rsidR="00EE6A17" w:rsidRPr="00B9279F">
        <w:rPr>
          <w:rFonts w:eastAsia="Times New Roman" w:cs="Calibri"/>
          <w:lang w:val="en-AU" w:eastAsia="en-AU"/>
        </w:rPr>
        <w:t>the large number of tasks should be refined to prioritise tasks achievable by COP15 in June 2025</w:t>
      </w:r>
      <w:r w:rsidR="00293819">
        <w:rPr>
          <w:rFonts w:eastAsia="Times New Roman" w:cs="Calibri"/>
          <w:lang w:val="en-AU" w:eastAsia="en-AU"/>
        </w:rPr>
        <w:t>;</w:t>
      </w:r>
    </w:p>
    <w:p w14:paraId="01C7C99E" w14:textId="77777777" w:rsidR="00EF3425" w:rsidRDefault="00EF3425" w:rsidP="00B9279F">
      <w:pPr>
        <w:ind w:left="851"/>
        <w:rPr>
          <w:rFonts w:eastAsia="Times New Roman" w:cs="Calibri"/>
          <w:lang w:val="en-AU" w:eastAsia="en-AU"/>
        </w:rPr>
      </w:pPr>
    </w:p>
    <w:p w14:paraId="72F907BA" w14:textId="428BA1B7" w:rsidR="00B32AE3" w:rsidRPr="00B32AE3" w:rsidRDefault="00B9279F" w:rsidP="00B9279F">
      <w:pPr>
        <w:ind w:left="851"/>
      </w:pPr>
      <w:r>
        <w:rPr>
          <w:rFonts w:eastAsia="Times New Roman" w:cs="Calibri"/>
          <w:lang w:val="en-AU" w:eastAsia="en-AU"/>
        </w:rPr>
        <w:lastRenderedPageBreak/>
        <w:t>b.</w:t>
      </w:r>
      <w:r>
        <w:rPr>
          <w:rFonts w:eastAsia="Times New Roman" w:cs="Calibri"/>
          <w:lang w:val="en-AU" w:eastAsia="en-AU"/>
        </w:rPr>
        <w:tab/>
      </w:r>
      <w:r w:rsidR="00EE6A17" w:rsidRPr="00B9279F">
        <w:rPr>
          <w:rFonts w:eastAsia="Times New Roman" w:cs="Calibri"/>
          <w:lang w:val="en-AU" w:eastAsia="en-AU"/>
        </w:rPr>
        <w:t xml:space="preserve">the need to monitor and evaluate our outcomes from the workplan with indicators - for example, metrics such as the number of </w:t>
      </w:r>
      <w:proofErr w:type="gramStart"/>
      <w:r w:rsidR="00EE6A17" w:rsidRPr="00B9279F">
        <w:rPr>
          <w:rFonts w:eastAsia="Times New Roman" w:cs="Calibri"/>
          <w:lang w:val="en-AU" w:eastAsia="en-AU"/>
        </w:rPr>
        <w:t>youth</w:t>
      </w:r>
      <w:proofErr w:type="gramEnd"/>
      <w:r w:rsidR="00EE6A17" w:rsidRPr="00B9279F">
        <w:rPr>
          <w:rFonts w:eastAsia="Times New Roman" w:cs="Calibri"/>
          <w:lang w:val="en-AU" w:eastAsia="en-AU"/>
        </w:rPr>
        <w:t xml:space="preserve"> involved</w:t>
      </w:r>
      <w:r w:rsidR="00293819">
        <w:rPr>
          <w:rFonts w:eastAsia="Times New Roman" w:cs="Calibri"/>
          <w:lang w:val="en-AU" w:eastAsia="en-AU"/>
        </w:rPr>
        <w:t>;</w:t>
      </w:r>
    </w:p>
    <w:p w14:paraId="3A293113" w14:textId="77777777" w:rsidR="00EF3425" w:rsidRDefault="00EF3425" w:rsidP="00B9279F">
      <w:pPr>
        <w:ind w:left="851"/>
        <w:rPr>
          <w:rFonts w:eastAsia="Times New Roman" w:cs="Calibri"/>
          <w:lang w:val="en-AU" w:eastAsia="en-AU"/>
        </w:rPr>
      </w:pPr>
    </w:p>
    <w:p w14:paraId="78DC33E4" w14:textId="688E6798" w:rsidR="00B32AE3" w:rsidRPr="00B32AE3" w:rsidRDefault="00B9279F" w:rsidP="00B9279F">
      <w:pPr>
        <w:ind w:left="851"/>
      </w:pPr>
      <w:r>
        <w:rPr>
          <w:rFonts w:eastAsia="Times New Roman" w:cs="Calibri"/>
          <w:lang w:val="en-AU" w:eastAsia="en-AU"/>
        </w:rPr>
        <w:t>c.</w:t>
      </w:r>
      <w:r>
        <w:rPr>
          <w:rFonts w:eastAsia="Times New Roman" w:cs="Calibri"/>
          <w:lang w:val="en-AU" w:eastAsia="en-AU"/>
        </w:rPr>
        <w:tab/>
      </w:r>
      <w:r w:rsidR="00FD3DD7">
        <w:rPr>
          <w:rFonts w:eastAsia="Times New Roman" w:cs="Calibri"/>
          <w:lang w:val="en-AU" w:eastAsia="en-AU"/>
        </w:rPr>
        <w:t xml:space="preserve">the need to </w:t>
      </w:r>
      <w:r w:rsidR="00EE6A17" w:rsidRPr="00B9279F">
        <w:rPr>
          <w:rFonts w:eastAsia="Times New Roman" w:cs="Calibri"/>
          <w:lang w:val="en-AU" w:eastAsia="en-AU"/>
        </w:rPr>
        <w:t>avoid replicating existing work, by collaborating with other youth organisations, such as the IUCN Youth Water Program, for sharing of resources on topics such as capacity-building in convention spaces</w:t>
      </w:r>
      <w:r w:rsidR="00293819">
        <w:rPr>
          <w:rFonts w:eastAsia="Times New Roman" w:cs="Calibri"/>
          <w:lang w:val="en-AU" w:eastAsia="en-AU"/>
        </w:rPr>
        <w:t>; and</w:t>
      </w:r>
    </w:p>
    <w:p w14:paraId="6779E5EF" w14:textId="77777777" w:rsidR="00EF3425" w:rsidRDefault="00EF3425" w:rsidP="00B9279F">
      <w:pPr>
        <w:ind w:left="851"/>
        <w:rPr>
          <w:rFonts w:eastAsia="Times New Roman" w:cs="Calibri"/>
          <w:lang w:val="en-AU" w:eastAsia="en-AU"/>
        </w:rPr>
      </w:pPr>
    </w:p>
    <w:p w14:paraId="69E1131D" w14:textId="5CB7668A" w:rsidR="00B9279F" w:rsidRPr="00B9279F" w:rsidRDefault="00B9279F" w:rsidP="00B9279F">
      <w:pPr>
        <w:ind w:left="851"/>
      </w:pPr>
      <w:r>
        <w:rPr>
          <w:rFonts w:eastAsia="Times New Roman" w:cs="Calibri"/>
          <w:lang w:val="en-AU" w:eastAsia="en-AU"/>
        </w:rPr>
        <w:t>d.</w:t>
      </w:r>
      <w:r>
        <w:rPr>
          <w:rFonts w:eastAsia="Times New Roman" w:cs="Calibri"/>
          <w:lang w:val="en-AU" w:eastAsia="en-AU"/>
        </w:rPr>
        <w:tab/>
      </w:r>
      <w:r w:rsidR="00EE6A17" w:rsidRPr="00B9279F">
        <w:rPr>
          <w:rFonts w:eastAsia="Times New Roman" w:cs="Calibri"/>
          <w:lang w:val="en-AU" w:eastAsia="en-AU"/>
        </w:rPr>
        <w:t xml:space="preserve">the suggestion to organise a pre-COP introductory session for new people attending COP15 (particularly </w:t>
      </w:r>
      <w:r w:rsidR="005D69B1">
        <w:rPr>
          <w:rFonts w:eastAsia="Times New Roman" w:cs="Calibri"/>
          <w:lang w:val="en-AU" w:eastAsia="en-AU"/>
        </w:rPr>
        <w:t xml:space="preserve">aimed at </w:t>
      </w:r>
      <w:r w:rsidR="00EE6A17" w:rsidRPr="00B9279F">
        <w:rPr>
          <w:rFonts w:eastAsia="Times New Roman" w:cs="Calibri"/>
          <w:lang w:val="en-AU" w:eastAsia="en-AU"/>
        </w:rPr>
        <w:t>youth)</w:t>
      </w:r>
      <w:r w:rsidR="00B719A9">
        <w:rPr>
          <w:rFonts w:eastAsia="Times New Roman" w:cs="Calibri"/>
          <w:lang w:val="en-AU" w:eastAsia="en-AU"/>
        </w:rPr>
        <w:t>.</w:t>
      </w:r>
    </w:p>
    <w:p w14:paraId="30B1C135" w14:textId="77777777" w:rsidR="00B9279F" w:rsidRDefault="00B9279F" w:rsidP="00B9279F">
      <w:pPr>
        <w:ind w:left="426" w:hanging="426"/>
        <w:rPr>
          <w:rFonts w:cstheme="minorHAnsi"/>
        </w:rPr>
      </w:pPr>
    </w:p>
    <w:p w14:paraId="448EC9B3" w14:textId="16701647" w:rsidR="00684E81" w:rsidRPr="00B32AE3" w:rsidRDefault="00B9279F" w:rsidP="00B9279F">
      <w:pPr>
        <w:ind w:left="426" w:hanging="426"/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="002F0750" w:rsidRPr="00B9279F">
        <w:rPr>
          <w:rFonts w:cstheme="minorHAnsi"/>
        </w:rPr>
        <w:t>A</w:t>
      </w:r>
      <w:r w:rsidR="00763BD0" w:rsidRPr="00B9279F">
        <w:rPr>
          <w:rFonts w:cstheme="minorHAnsi"/>
        </w:rPr>
        <w:t xml:space="preserve"> second draft </w:t>
      </w:r>
      <w:r w:rsidR="0037501F" w:rsidRPr="00B9279F">
        <w:rPr>
          <w:rFonts w:cstheme="minorHAnsi"/>
        </w:rPr>
        <w:t>was then circulated</w:t>
      </w:r>
      <w:r w:rsidR="00AE183B" w:rsidRPr="00B9279F">
        <w:rPr>
          <w:rFonts w:cstheme="minorHAnsi"/>
        </w:rPr>
        <w:t xml:space="preserve"> to a wider audience of interested </w:t>
      </w:r>
      <w:r w:rsidR="005D69B1">
        <w:rPr>
          <w:rFonts w:cstheme="minorHAnsi"/>
        </w:rPr>
        <w:t>Contracting Parties</w:t>
      </w:r>
      <w:r w:rsidR="00AE183B" w:rsidRPr="00B9279F">
        <w:rPr>
          <w:rFonts w:cstheme="minorHAnsi"/>
        </w:rPr>
        <w:t>,</w:t>
      </w:r>
      <w:r w:rsidR="0037501F" w:rsidRPr="00B9279F">
        <w:rPr>
          <w:rFonts w:cstheme="minorHAnsi"/>
        </w:rPr>
        <w:t xml:space="preserve"> </w:t>
      </w:r>
      <w:r w:rsidR="00763BD0" w:rsidRPr="00B9279F">
        <w:rPr>
          <w:rFonts w:cstheme="minorHAnsi"/>
        </w:rPr>
        <w:t xml:space="preserve">for review and feedback </w:t>
      </w:r>
      <w:r w:rsidR="00AE183B" w:rsidRPr="00B9279F">
        <w:rPr>
          <w:rFonts w:cstheme="minorHAnsi"/>
        </w:rPr>
        <w:t>over</w:t>
      </w:r>
      <w:r w:rsidR="00FB1973" w:rsidRPr="00B9279F">
        <w:rPr>
          <w:rFonts w:cstheme="minorHAnsi"/>
        </w:rPr>
        <w:t xml:space="preserve"> two months</w:t>
      </w:r>
      <w:r w:rsidR="0086310A" w:rsidRPr="00B9279F">
        <w:rPr>
          <w:rFonts w:cstheme="minorHAnsi"/>
        </w:rPr>
        <w:t xml:space="preserve"> from </w:t>
      </w:r>
      <w:r w:rsidR="004040FB" w:rsidRPr="00B9279F">
        <w:rPr>
          <w:rFonts w:cstheme="minorHAnsi"/>
        </w:rPr>
        <w:t>11</w:t>
      </w:r>
      <w:r w:rsidR="00C737FB" w:rsidRPr="00B9279F">
        <w:rPr>
          <w:rFonts w:cstheme="minorHAnsi"/>
        </w:rPr>
        <w:t xml:space="preserve"> August </w:t>
      </w:r>
      <w:r w:rsidR="00BC3554" w:rsidRPr="00B9279F">
        <w:rPr>
          <w:rFonts w:cstheme="minorHAnsi"/>
        </w:rPr>
        <w:t>to 8 October 2023.</w:t>
      </w:r>
    </w:p>
    <w:p w14:paraId="3C327F90" w14:textId="77777777" w:rsidR="00684E81" w:rsidRPr="002118F8" w:rsidRDefault="00684E81" w:rsidP="00B9279F">
      <w:pPr>
        <w:pStyle w:val="ListParagraph"/>
        <w:ind w:left="567" w:hanging="567"/>
        <w:contextualSpacing w:val="0"/>
        <w:rPr>
          <w:rFonts w:asciiTheme="minorHAnsi" w:hAnsiTheme="minorHAnsi" w:cstheme="minorHAnsi"/>
        </w:rPr>
      </w:pPr>
    </w:p>
    <w:p w14:paraId="58C3049D" w14:textId="0597D298" w:rsidR="00244CA4" w:rsidRPr="002118F8" w:rsidRDefault="00244CA4" w:rsidP="00B9279F">
      <w:pPr>
        <w:ind w:left="567" w:right="-188" w:hanging="567"/>
        <w:rPr>
          <w:rFonts w:asciiTheme="minorHAnsi" w:hAnsiTheme="minorHAnsi" w:cstheme="minorHAnsi"/>
          <w:b/>
          <w:bCs/>
          <w:lang w:eastAsia="en-AU"/>
        </w:rPr>
      </w:pPr>
      <w:r w:rsidRPr="002118F8">
        <w:rPr>
          <w:rFonts w:asciiTheme="minorHAnsi" w:hAnsiTheme="minorHAnsi" w:cstheme="minorHAnsi"/>
          <w:b/>
          <w:bCs/>
          <w:lang w:eastAsia="en-AU"/>
        </w:rPr>
        <w:t>F</w:t>
      </w:r>
      <w:r w:rsidR="00D53433" w:rsidRPr="002118F8">
        <w:rPr>
          <w:rFonts w:asciiTheme="minorHAnsi" w:hAnsiTheme="minorHAnsi" w:cstheme="minorHAnsi"/>
          <w:b/>
          <w:bCs/>
          <w:lang w:eastAsia="en-AU"/>
        </w:rPr>
        <w:t>ourth</w:t>
      </w:r>
      <w:r w:rsidRPr="002118F8">
        <w:rPr>
          <w:rFonts w:asciiTheme="minorHAnsi" w:hAnsiTheme="minorHAnsi" w:cstheme="minorHAnsi"/>
          <w:b/>
          <w:bCs/>
          <w:lang w:eastAsia="en-AU"/>
        </w:rPr>
        <w:t xml:space="preserve"> meeting of the YWG</w:t>
      </w:r>
    </w:p>
    <w:p w14:paraId="63EAE6D3" w14:textId="77777777" w:rsidR="00244CA4" w:rsidRPr="002118F8" w:rsidRDefault="00244CA4" w:rsidP="00B9279F">
      <w:pPr>
        <w:ind w:left="567" w:right="-188" w:hanging="567"/>
        <w:rPr>
          <w:rFonts w:asciiTheme="minorHAnsi" w:hAnsiTheme="minorHAnsi" w:cstheme="minorHAnsi"/>
          <w:b/>
          <w:bCs/>
          <w:lang w:eastAsia="en-AU"/>
        </w:rPr>
      </w:pPr>
    </w:p>
    <w:p w14:paraId="2C1D839A" w14:textId="4A78DF11" w:rsidR="00B32AE3" w:rsidRPr="00B9279F" w:rsidRDefault="003B1B7B" w:rsidP="00B9279F">
      <w:pPr>
        <w:ind w:left="426" w:hanging="426"/>
        <w:rPr>
          <w:rFonts w:cs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</w:r>
      <w:r w:rsidR="00750D39" w:rsidRPr="00B9279F">
        <w:rPr>
          <w:rFonts w:asciiTheme="minorHAnsi" w:hAnsiTheme="minorHAnsi" w:cstheme="minorHAnsi"/>
        </w:rPr>
        <w:t>The f</w:t>
      </w:r>
      <w:r w:rsidR="00045A74" w:rsidRPr="00B9279F">
        <w:rPr>
          <w:rFonts w:asciiTheme="minorHAnsi" w:hAnsiTheme="minorHAnsi" w:cstheme="minorHAnsi"/>
        </w:rPr>
        <w:t>ourth</w:t>
      </w:r>
      <w:r w:rsidR="00244CA4" w:rsidRPr="00B9279F">
        <w:rPr>
          <w:rFonts w:asciiTheme="minorHAnsi" w:hAnsiTheme="minorHAnsi" w:cstheme="minorHAnsi"/>
        </w:rPr>
        <w:t xml:space="preserve"> meeting of t</w:t>
      </w:r>
      <w:r w:rsidR="004C490B" w:rsidRPr="00B9279F">
        <w:rPr>
          <w:rFonts w:asciiTheme="minorHAnsi" w:hAnsiTheme="minorHAnsi" w:cstheme="minorHAnsi"/>
        </w:rPr>
        <w:t>he YWG</w:t>
      </w:r>
      <w:r w:rsidR="00244CA4" w:rsidRPr="00B9279F">
        <w:rPr>
          <w:rFonts w:asciiTheme="minorHAnsi" w:hAnsiTheme="minorHAnsi" w:cstheme="minorHAnsi"/>
        </w:rPr>
        <w:t xml:space="preserve"> was held virtually </w:t>
      </w:r>
      <w:r w:rsidR="004C490B" w:rsidRPr="00B9279F">
        <w:rPr>
          <w:rFonts w:asciiTheme="minorHAnsi" w:hAnsiTheme="minorHAnsi" w:cstheme="minorHAnsi"/>
        </w:rPr>
        <w:t xml:space="preserve">on </w:t>
      </w:r>
      <w:r w:rsidR="00045A74" w:rsidRPr="00B9279F">
        <w:rPr>
          <w:rFonts w:asciiTheme="minorHAnsi" w:hAnsiTheme="minorHAnsi" w:cstheme="minorHAnsi"/>
        </w:rPr>
        <w:t>30</w:t>
      </w:r>
      <w:r w:rsidR="00434864" w:rsidRPr="00B9279F">
        <w:rPr>
          <w:rFonts w:asciiTheme="minorHAnsi" w:hAnsiTheme="minorHAnsi" w:cstheme="minorHAnsi"/>
        </w:rPr>
        <w:t xml:space="preserve"> </w:t>
      </w:r>
      <w:r w:rsidR="00045A74" w:rsidRPr="00B9279F">
        <w:rPr>
          <w:rFonts w:asciiTheme="minorHAnsi" w:hAnsiTheme="minorHAnsi" w:cstheme="minorHAnsi"/>
        </w:rPr>
        <w:t>November</w:t>
      </w:r>
      <w:r w:rsidR="00434864" w:rsidRPr="00B9279F">
        <w:rPr>
          <w:rFonts w:asciiTheme="minorHAnsi" w:hAnsiTheme="minorHAnsi" w:cstheme="minorHAnsi"/>
        </w:rPr>
        <w:t xml:space="preserve"> 2023</w:t>
      </w:r>
      <w:r w:rsidR="00244CA4" w:rsidRPr="00B9279F">
        <w:rPr>
          <w:rFonts w:asciiTheme="minorHAnsi" w:hAnsiTheme="minorHAnsi" w:cstheme="minorHAnsi"/>
        </w:rPr>
        <w:t xml:space="preserve">. </w:t>
      </w:r>
      <w:r w:rsidR="004B36F2" w:rsidRPr="00B9279F">
        <w:rPr>
          <w:rFonts w:asciiTheme="minorHAnsi" w:hAnsiTheme="minorHAnsi" w:cstheme="minorHAnsi"/>
        </w:rPr>
        <w:t xml:space="preserve">The invitation was sent to all </w:t>
      </w:r>
      <w:r w:rsidR="00146992" w:rsidRPr="00B9279F">
        <w:rPr>
          <w:rFonts w:asciiTheme="minorHAnsi" w:hAnsiTheme="minorHAnsi" w:cstheme="minorHAnsi"/>
        </w:rPr>
        <w:t xml:space="preserve">Heads of Administrative Authorities and National Focal Points of the Contracting Parties </w:t>
      </w:r>
      <w:r w:rsidR="00060D7D" w:rsidRPr="00B9279F">
        <w:rPr>
          <w:rFonts w:asciiTheme="minorHAnsi" w:hAnsiTheme="minorHAnsi" w:cstheme="minorHAnsi"/>
        </w:rPr>
        <w:t>to ensure wider consultation</w:t>
      </w:r>
      <w:r w:rsidR="00060D7D" w:rsidRPr="00B9279F">
        <w:rPr>
          <w:rFonts w:cstheme="minorHAnsi"/>
        </w:rPr>
        <w:t xml:space="preserve"> on the </w:t>
      </w:r>
      <w:r w:rsidR="004B72B0" w:rsidRPr="00B9279F">
        <w:rPr>
          <w:rFonts w:cstheme="minorHAnsi"/>
        </w:rPr>
        <w:t xml:space="preserve">draft </w:t>
      </w:r>
      <w:r w:rsidR="00206513" w:rsidRPr="00B9279F">
        <w:rPr>
          <w:rFonts w:cstheme="minorHAnsi"/>
        </w:rPr>
        <w:t>youth workplan.</w:t>
      </w:r>
    </w:p>
    <w:p w14:paraId="4C1FC52F" w14:textId="77777777" w:rsidR="003B1B7B" w:rsidRDefault="003B1B7B" w:rsidP="00B9279F">
      <w:pPr>
        <w:ind w:left="426" w:hanging="426"/>
        <w:rPr>
          <w:rFonts w:cstheme="minorHAnsi"/>
        </w:rPr>
      </w:pPr>
    </w:p>
    <w:p w14:paraId="2EA71A13" w14:textId="7907E830" w:rsidR="00860DDB" w:rsidRPr="00B9279F" w:rsidRDefault="003B1B7B" w:rsidP="00B9279F">
      <w:pPr>
        <w:ind w:left="426" w:hanging="426"/>
        <w:rPr>
          <w:rFonts w:cstheme="minorHAnsi"/>
        </w:rPr>
      </w:pPr>
      <w:r>
        <w:rPr>
          <w:rFonts w:cstheme="minorHAnsi"/>
        </w:rPr>
        <w:t>8.</w:t>
      </w:r>
      <w:r>
        <w:rPr>
          <w:rFonts w:cstheme="minorHAnsi"/>
        </w:rPr>
        <w:tab/>
      </w:r>
      <w:r w:rsidR="00774400" w:rsidRPr="00B9279F">
        <w:rPr>
          <w:rFonts w:cstheme="minorHAnsi"/>
        </w:rPr>
        <w:t xml:space="preserve">The </w:t>
      </w:r>
      <w:proofErr w:type="gramStart"/>
      <w:r w:rsidR="00774400" w:rsidRPr="00B9279F">
        <w:rPr>
          <w:rFonts w:cstheme="minorHAnsi"/>
        </w:rPr>
        <w:t>1.5</w:t>
      </w:r>
      <w:r w:rsidR="002E2FEA" w:rsidRPr="00B9279F">
        <w:rPr>
          <w:rFonts w:cstheme="minorHAnsi"/>
        </w:rPr>
        <w:t xml:space="preserve"> </w:t>
      </w:r>
      <w:r w:rsidR="00774400" w:rsidRPr="00B9279F">
        <w:rPr>
          <w:rFonts w:cstheme="minorHAnsi"/>
        </w:rPr>
        <w:t>hour</w:t>
      </w:r>
      <w:proofErr w:type="gramEnd"/>
      <w:r w:rsidR="00774400" w:rsidRPr="00B9279F">
        <w:rPr>
          <w:rFonts w:cstheme="minorHAnsi"/>
        </w:rPr>
        <w:t xml:space="preserve"> meeting was structured </w:t>
      </w:r>
      <w:r w:rsidR="00747A55" w:rsidRPr="00B9279F">
        <w:rPr>
          <w:rFonts w:cstheme="minorHAnsi"/>
        </w:rPr>
        <w:t xml:space="preserve">with the three thematic areas of the draft workplan presented by </w:t>
      </w:r>
      <w:r w:rsidR="00AF6EF8" w:rsidRPr="00B9279F">
        <w:rPr>
          <w:rFonts w:cstheme="minorHAnsi"/>
        </w:rPr>
        <w:t>different Contracting Parties (Australia, Colombia and Canada)</w:t>
      </w:r>
      <w:r w:rsidR="005C6304" w:rsidRPr="00B9279F">
        <w:rPr>
          <w:rFonts w:cstheme="minorHAnsi"/>
        </w:rPr>
        <w:t xml:space="preserve">, followed by breakout rooms in English and French </w:t>
      </w:r>
      <w:r w:rsidR="00072447" w:rsidRPr="00B9279F">
        <w:rPr>
          <w:rFonts w:cstheme="minorHAnsi"/>
        </w:rPr>
        <w:t>for discussion on the workplan’s outcomes/outputs and tasks.</w:t>
      </w:r>
    </w:p>
    <w:p w14:paraId="4FF4F67A" w14:textId="77777777" w:rsidR="00EF3425" w:rsidRDefault="00EF3425" w:rsidP="003B1B7B">
      <w:pPr>
        <w:ind w:left="851"/>
        <w:rPr>
          <w:rFonts w:cstheme="minorHAnsi"/>
        </w:rPr>
      </w:pPr>
    </w:p>
    <w:p w14:paraId="2A9233D7" w14:textId="651356C4" w:rsidR="00B32AE3" w:rsidRPr="003B1B7B" w:rsidRDefault="003B1B7B" w:rsidP="003B1B7B">
      <w:pPr>
        <w:ind w:left="851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860DDB" w:rsidRPr="003B1B7B">
        <w:rPr>
          <w:rFonts w:cstheme="minorHAnsi"/>
        </w:rPr>
        <w:t>Discussion was prompted by</w:t>
      </w:r>
      <w:r w:rsidR="008D206A" w:rsidRPr="003B1B7B">
        <w:rPr>
          <w:rFonts w:cstheme="minorHAnsi"/>
        </w:rPr>
        <w:t xml:space="preserve"> </w:t>
      </w:r>
      <w:r w:rsidR="0044028B" w:rsidRPr="003B1B7B">
        <w:rPr>
          <w:rFonts w:cstheme="minorHAnsi"/>
        </w:rPr>
        <w:t>questions</w:t>
      </w:r>
      <w:r w:rsidR="00E94355" w:rsidRPr="003B1B7B">
        <w:rPr>
          <w:rFonts w:cstheme="minorHAnsi"/>
        </w:rPr>
        <w:t xml:space="preserve"> </w:t>
      </w:r>
      <w:r w:rsidR="00860DDB" w:rsidRPr="003B1B7B">
        <w:rPr>
          <w:rFonts w:cstheme="minorHAnsi"/>
        </w:rPr>
        <w:t>including</w:t>
      </w:r>
      <w:r w:rsidR="008F5E5F" w:rsidRPr="003B1B7B">
        <w:rPr>
          <w:rFonts w:cstheme="minorHAnsi"/>
        </w:rPr>
        <w:t xml:space="preserve"> whether</w:t>
      </w:r>
      <w:r w:rsidR="0028173E" w:rsidRPr="003B1B7B">
        <w:rPr>
          <w:rFonts w:cstheme="minorHAnsi"/>
        </w:rPr>
        <w:t xml:space="preserve"> the contents adequately reflected the mandate of the Resolution</w:t>
      </w:r>
      <w:r w:rsidR="001B0D43" w:rsidRPr="001B0D43">
        <w:rPr>
          <w:rFonts w:cs="Calibri"/>
        </w:rPr>
        <w:t xml:space="preserve"> </w:t>
      </w:r>
      <w:r w:rsidR="001B0D43" w:rsidRPr="00B9279F">
        <w:rPr>
          <w:rFonts w:cs="Calibri"/>
        </w:rPr>
        <w:t>XIV.12</w:t>
      </w:r>
      <w:r w:rsidR="0028173E" w:rsidRPr="003B1B7B">
        <w:rPr>
          <w:rFonts w:cstheme="minorHAnsi"/>
        </w:rPr>
        <w:t xml:space="preserve">; </w:t>
      </w:r>
      <w:r w:rsidR="005200C5" w:rsidRPr="003B1B7B">
        <w:rPr>
          <w:rFonts w:cstheme="minorHAnsi"/>
        </w:rPr>
        <w:t>how tasks should be prioritised and monitored</w:t>
      </w:r>
      <w:r w:rsidR="00E844CF" w:rsidRPr="003B1B7B">
        <w:rPr>
          <w:rFonts w:cstheme="minorHAnsi"/>
        </w:rPr>
        <w:t xml:space="preserve">; whether tasks </w:t>
      </w:r>
      <w:r w:rsidR="00393B30" w:rsidRPr="003B1B7B">
        <w:rPr>
          <w:rFonts w:cstheme="minorHAnsi"/>
        </w:rPr>
        <w:t>should be changed or</w:t>
      </w:r>
      <w:r w:rsidR="00E844CF" w:rsidRPr="003B1B7B">
        <w:rPr>
          <w:rFonts w:cstheme="minorHAnsi"/>
        </w:rPr>
        <w:t xml:space="preserve"> removed</w:t>
      </w:r>
      <w:r w:rsidR="00EE347D" w:rsidRPr="003B1B7B">
        <w:rPr>
          <w:rFonts w:cstheme="minorHAnsi"/>
        </w:rPr>
        <w:t xml:space="preserve">; </w:t>
      </w:r>
      <w:r w:rsidR="008F5E5F" w:rsidRPr="003B1B7B">
        <w:rPr>
          <w:rFonts w:cstheme="minorHAnsi"/>
        </w:rPr>
        <w:t xml:space="preserve">budget estimates; and </w:t>
      </w:r>
      <w:r w:rsidR="00872100" w:rsidRPr="003B1B7B">
        <w:rPr>
          <w:rFonts w:cstheme="minorHAnsi"/>
        </w:rPr>
        <w:t>calls for contributions.</w:t>
      </w:r>
    </w:p>
    <w:p w14:paraId="36F1AE01" w14:textId="77777777" w:rsidR="00293819" w:rsidRDefault="00293819" w:rsidP="00293819">
      <w:pPr>
        <w:ind w:left="426" w:hanging="426"/>
        <w:rPr>
          <w:rFonts w:cstheme="minorHAnsi"/>
        </w:rPr>
      </w:pPr>
    </w:p>
    <w:p w14:paraId="23E763C3" w14:textId="66827C91" w:rsidR="00B32AE3" w:rsidRPr="00B32AE3" w:rsidRDefault="00293819" w:rsidP="00293819">
      <w:pPr>
        <w:ind w:left="426" w:hanging="426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</w:r>
      <w:r w:rsidR="00504B2B" w:rsidRPr="00293819">
        <w:rPr>
          <w:rFonts w:cstheme="minorHAnsi"/>
        </w:rPr>
        <w:t>T</w:t>
      </w:r>
      <w:r w:rsidR="005E5D1B" w:rsidRPr="00293819">
        <w:rPr>
          <w:rFonts w:cstheme="minorHAnsi"/>
        </w:rPr>
        <w:t>he</w:t>
      </w:r>
      <w:r w:rsidR="00873FDB" w:rsidRPr="00293819">
        <w:rPr>
          <w:rFonts w:cstheme="minorHAnsi"/>
        </w:rPr>
        <w:t xml:space="preserve">re was a high level of </w:t>
      </w:r>
      <w:r w:rsidR="006308F2" w:rsidRPr="00293819">
        <w:rPr>
          <w:rFonts w:cstheme="minorHAnsi"/>
        </w:rPr>
        <w:t xml:space="preserve">participant </w:t>
      </w:r>
      <w:r w:rsidR="00873FDB" w:rsidRPr="00293819">
        <w:rPr>
          <w:rFonts w:cstheme="minorHAnsi"/>
        </w:rPr>
        <w:t>engagement</w:t>
      </w:r>
      <w:r w:rsidR="005E5D1B" w:rsidRPr="00293819">
        <w:rPr>
          <w:rFonts w:cstheme="minorHAnsi"/>
        </w:rPr>
        <w:t>,</w:t>
      </w:r>
      <w:r w:rsidR="005A47E9" w:rsidRPr="00293819">
        <w:rPr>
          <w:rFonts w:cstheme="minorHAnsi"/>
        </w:rPr>
        <w:t xml:space="preserve"> producing </w:t>
      </w:r>
      <w:r w:rsidR="00E921D0" w:rsidRPr="00293819">
        <w:rPr>
          <w:rFonts w:cstheme="minorHAnsi"/>
        </w:rPr>
        <w:t xml:space="preserve">lots </w:t>
      </w:r>
      <w:r w:rsidR="005A47E9" w:rsidRPr="00293819">
        <w:rPr>
          <w:rFonts w:cstheme="minorHAnsi"/>
        </w:rPr>
        <w:t>of</w:t>
      </w:r>
      <w:r w:rsidR="005E5D1B" w:rsidRPr="00293819">
        <w:rPr>
          <w:rFonts w:cstheme="minorHAnsi"/>
        </w:rPr>
        <w:t xml:space="preserve"> feedback and suggestions.</w:t>
      </w:r>
      <w:r w:rsidR="00E32899" w:rsidRPr="00293819">
        <w:rPr>
          <w:rFonts w:cstheme="minorHAnsi"/>
        </w:rPr>
        <w:t xml:space="preserve"> Key points of feedback included:</w:t>
      </w:r>
    </w:p>
    <w:p w14:paraId="40196E4A" w14:textId="77777777" w:rsidR="00EF3425" w:rsidRDefault="00EF3425" w:rsidP="00293819">
      <w:pPr>
        <w:ind w:left="851"/>
      </w:pPr>
    </w:p>
    <w:p w14:paraId="3CABB553" w14:textId="0CF1B6DE" w:rsidR="00B32AE3" w:rsidRPr="00293819" w:rsidRDefault="00293819" w:rsidP="00293819">
      <w:pPr>
        <w:ind w:left="851"/>
        <w:rPr>
          <w:rFonts w:cstheme="minorHAnsi"/>
        </w:rPr>
      </w:pPr>
      <w:r>
        <w:t>a.</w:t>
      </w:r>
      <w:r>
        <w:tab/>
      </w:r>
      <w:r w:rsidR="00667830">
        <w:t>the need for more actions around knowledge</w:t>
      </w:r>
      <w:r w:rsidR="001B0D43">
        <w:t xml:space="preserve"> </w:t>
      </w:r>
      <w:r w:rsidR="00667830">
        <w:t>sharing between Contracting Parties</w:t>
      </w:r>
      <w:r w:rsidR="00DD151F">
        <w:t>;</w:t>
      </w:r>
    </w:p>
    <w:p w14:paraId="2D4ED161" w14:textId="77777777" w:rsidR="00EF3425" w:rsidRDefault="00EF3425" w:rsidP="00293819">
      <w:pPr>
        <w:ind w:left="851"/>
      </w:pPr>
    </w:p>
    <w:p w14:paraId="23B14061" w14:textId="341C8269" w:rsidR="00B32AE3" w:rsidRPr="00293819" w:rsidRDefault="00293819" w:rsidP="00293819">
      <w:pPr>
        <w:ind w:left="851"/>
        <w:rPr>
          <w:rFonts w:cstheme="minorHAnsi"/>
        </w:rPr>
      </w:pPr>
      <w:r>
        <w:t>b.</w:t>
      </w:r>
      <w:r>
        <w:tab/>
      </w:r>
      <w:r w:rsidR="001F5F49">
        <w:t xml:space="preserve">improved considerations for </w:t>
      </w:r>
      <w:r w:rsidR="00162A67">
        <w:t>Contracting Parties and youth that lack capacity including youths in marginali</w:t>
      </w:r>
      <w:r w:rsidR="005D69B1">
        <w:t>s</w:t>
      </w:r>
      <w:r w:rsidR="00162A67">
        <w:t>ed and minority groups</w:t>
      </w:r>
      <w:r w:rsidR="00DD151F">
        <w:t>;</w:t>
      </w:r>
    </w:p>
    <w:p w14:paraId="357F70FA" w14:textId="77777777" w:rsidR="00EF3425" w:rsidRDefault="00EF3425" w:rsidP="00293819">
      <w:pPr>
        <w:ind w:left="851"/>
      </w:pPr>
    </w:p>
    <w:p w14:paraId="73102A46" w14:textId="3AF03427" w:rsidR="00B32AE3" w:rsidRPr="00293819" w:rsidRDefault="00293819" w:rsidP="00293819">
      <w:pPr>
        <w:ind w:left="851"/>
        <w:rPr>
          <w:rFonts w:cstheme="minorHAnsi"/>
        </w:rPr>
      </w:pPr>
      <w:r>
        <w:t>c.</w:t>
      </w:r>
      <w:r>
        <w:tab/>
      </w:r>
      <w:r w:rsidR="004D2B16">
        <w:t>the need to include tasks for connecting</w:t>
      </w:r>
      <w:r w:rsidR="00AF0978">
        <w:t xml:space="preserve"> youth working</w:t>
      </w:r>
      <w:r w:rsidR="005D69B1">
        <w:t xml:space="preserve"> in the field</w:t>
      </w:r>
      <w:r w:rsidR="00DD151F">
        <w:t>; and</w:t>
      </w:r>
    </w:p>
    <w:p w14:paraId="171292DA" w14:textId="77777777" w:rsidR="00EF3425" w:rsidRDefault="00EF3425" w:rsidP="00293819">
      <w:pPr>
        <w:ind w:left="851"/>
      </w:pPr>
    </w:p>
    <w:p w14:paraId="0581641D" w14:textId="751DE622" w:rsidR="00B32AE3" w:rsidRPr="00293819" w:rsidRDefault="00293819" w:rsidP="00293819">
      <w:pPr>
        <w:ind w:left="851"/>
        <w:rPr>
          <w:rFonts w:cstheme="minorHAnsi"/>
        </w:rPr>
      </w:pPr>
      <w:r>
        <w:t>d.</w:t>
      </w:r>
      <w:r>
        <w:tab/>
      </w:r>
      <w:r w:rsidR="00AB3DC7">
        <w:t>suggestions for tas</w:t>
      </w:r>
      <w:r w:rsidR="000464C9">
        <w:t>k metrics for monitoring progress</w:t>
      </w:r>
      <w:r w:rsidR="00B32AE3" w:rsidRPr="00293819">
        <w:rPr>
          <w:rFonts w:cstheme="minorHAnsi"/>
        </w:rPr>
        <w:t>.</w:t>
      </w:r>
    </w:p>
    <w:p w14:paraId="7CC0E2BF" w14:textId="77777777" w:rsidR="00293819" w:rsidRDefault="00293819" w:rsidP="00293819">
      <w:pPr>
        <w:ind w:left="426" w:hanging="426"/>
        <w:rPr>
          <w:rFonts w:cstheme="minorHAnsi"/>
        </w:rPr>
      </w:pPr>
    </w:p>
    <w:p w14:paraId="5F75430E" w14:textId="37932AD3" w:rsidR="002C60EB" w:rsidRPr="00B32AE3" w:rsidRDefault="00293819" w:rsidP="00293819">
      <w:pPr>
        <w:ind w:left="426" w:hanging="426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</w:r>
      <w:r w:rsidR="00FB41F0" w:rsidRPr="00293819">
        <w:rPr>
          <w:rFonts w:cstheme="minorHAnsi"/>
        </w:rPr>
        <w:t xml:space="preserve">The Chair released a communiqué on </w:t>
      </w:r>
      <w:r w:rsidR="002C60EB" w:rsidRPr="00293819">
        <w:rPr>
          <w:rFonts w:cstheme="minorHAnsi"/>
        </w:rPr>
        <w:t>19</w:t>
      </w:r>
      <w:r w:rsidR="00FB41F0" w:rsidRPr="00293819">
        <w:rPr>
          <w:rFonts w:cstheme="minorHAnsi"/>
        </w:rPr>
        <w:t xml:space="preserve"> December 2023 to the YWG members,</w:t>
      </w:r>
      <w:r w:rsidR="008F62A3" w:rsidRPr="00293819">
        <w:rPr>
          <w:rFonts w:cstheme="minorHAnsi"/>
        </w:rPr>
        <w:t xml:space="preserve"> sharing </w:t>
      </w:r>
      <w:r w:rsidR="00866809" w:rsidRPr="00293819">
        <w:rPr>
          <w:rFonts w:cstheme="minorHAnsi"/>
        </w:rPr>
        <w:t xml:space="preserve">a </w:t>
      </w:r>
      <w:r w:rsidR="003D1A66" w:rsidRPr="00293819">
        <w:rPr>
          <w:rFonts w:cstheme="minorHAnsi"/>
        </w:rPr>
        <w:t>third</w:t>
      </w:r>
      <w:r w:rsidR="00866809" w:rsidRPr="00293819">
        <w:rPr>
          <w:rFonts w:cstheme="minorHAnsi"/>
        </w:rPr>
        <w:t xml:space="preserve"> draft of the workplan, </w:t>
      </w:r>
      <w:r w:rsidR="002C60EB" w:rsidRPr="00293819">
        <w:rPr>
          <w:rFonts w:cstheme="minorHAnsi"/>
        </w:rPr>
        <w:t>consolidat</w:t>
      </w:r>
      <w:r w:rsidR="00866809" w:rsidRPr="00293819">
        <w:rPr>
          <w:rFonts w:cstheme="minorHAnsi"/>
        </w:rPr>
        <w:t>ing</w:t>
      </w:r>
      <w:r w:rsidR="002C60EB" w:rsidRPr="00293819">
        <w:rPr>
          <w:rFonts w:cstheme="minorHAnsi"/>
        </w:rPr>
        <w:t xml:space="preserve"> </w:t>
      </w:r>
      <w:r w:rsidR="00866809" w:rsidRPr="00293819">
        <w:rPr>
          <w:rFonts w:cstheme="minorHAnsi"/>
        </w:rPr>
        <w:t>the</w:t>
      </w:r>
      <w:r w:rsidR="002C60EB" w:rsidRPr="00293819">
        <w:rPr>
          <w:rFonts w:cstheme="minorHAnsi"/>
        </w:rPr>
        <w:t xml:space="preserve"> feedback</w:t>
      </w:r>
      <w:r w:rsidR="00866809" w:rsidRPr="00293819">
        <w:rPr>
          <w:rFonts w:cstheme="minorHAnsi"/>
        </w:rPr>
        <w:t xml:space="preserve"> from the fourth meeting. </w:t>
      </w:r>
      <w:r w:rsidR="00F87FCF" w:rsidRPr="00293819">
        <w:rPr>
          <w:rFonts w:cstheme="minorHAnsi"/>
        </w:rPr>
        <w:t xml:space="preserve">A call was made for </w:t>
      </w:r>
      <w:r w:rsidR="00C07C52" w:rsidRPr="00293819">
        <w:rPr>
          <w:rFonts w:cstheme="minorHAnsi"/>
        </w:rPr>
        <w:t xml:space="preserve">the final </w:t>
      </w:r>
      <w:r w:rsidR="00D604C4" w:rsidRPr="00293819">
        <w:rPr>
          <w:rFonts w:cstheme="minorHAnsi"/>
        </w:rPr>
        <w:t xml:space="preserve">review and feedback on the draft, before the </w:t>
      </w:r>
      <w:r w:rsidR="003004AB" w:rsidRPr="00293819">
        <w:rPr>
          <w:rFonts w:cstheme="minorHAnsi"/>
        </w:rPr>
        <w:t xml:space="preserve">workplan is finalised </w:t>
      </w:r>
      <w:r w:rsidR="00DD151F">
        <w:rPr>
          <w:rFonts w:cstheme="minorHAnsi"/>
        </w:rPr>
        <w:t>at the</w:t>
      </w:r>
      <w:r w:rsidR="00DD151F" w:rsidRPr="00293819">
        <w:rPr>
          <w:rFonts w:cstheme="minorHAnsi"/>
        </w:rPr>
        <w:t xml:space="preserve"> </w:t>
      </w:r>
      <w:r w:rsidR="003004AB" w:rsidRPr="00293819">
        <w:rPr>
          <w:rFonts w:cstheme="minorHAnsi"/>
        </w:rPr>
        <w:t>end of February.</w:t>
      </w:r>
      <w:r w:rsidR="00931103">
        <w:rPr>
          <w:rStyle w:val="FootnoteReference"/>
          <w:rFonts w:cstheme="minorHAnsi"/>
        </w:rPr>
        <w:footnoteReference w:id="1"/>
      </w:r>
      <w:r w:rsidR="00C07C52" w:rsidRPr="00293819">
        <w:rPr>
          <w:rFonts w:cstheme="minorHAnsi"/>
        </w:rPr>
        <w:t xml:space="preserve"> A follow-up email was sent on </w:t>
      </w:r>
      <w:r w:rsidR="00FA0831" w:rsidRPr="00293819">
        <w:rPr>
          <w:rFonts w:cstheme="minorHAnsi"/>
        </w:rPr>
        <w:t>17 January</w:t>
      </w:r>
      <w:r w:rsidR="00DD151F">
        <w:rPr>
          <w:rFonts w:cstheme="minorHAnsi"/>
        </w:rPr>
        <w:t xml:space="preserve"> 2024</w:t>
      </w:r>
      <w:r w:rsidR="00FA0831" w:rsidRPr="00293819">
        <w:rPr>
          <w:rFonts w:cstheme="minorHAnsi"/>
        </w:rPr>
        <w:t>, requesting final inputs.</w:t>
      </w:r>
    </w:p>
    <w:p w14:paraId="309A5863" w14:textId="77777777" w:rsidR="002C60EB" w:rsidRDefault="002C60EB" w:rsidP="00B9279F">
      <w:pPr>
        <w:rPr>
          <w:rFonts w:eastAsia="Times New Roman"/>
        </w:rPr>
      </w:pPr>
      <w:r w:rsidRPr="55929689">
        <w:rPr>
          <w:rFonts w:eastAsia="Times New Roman"/>
        </w:rPr>
        <w:t> </w:t>
      </w:r>
    </w:p>
    <w:p w14:paraId="22F449BD" w14:textId="11E03C65" w:rsidR="00C467F9" w:rsidRDefault="00A90EAA" w:rsidP="00B9279F">
      <w:pPr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UNFCCC COP28 side event</w:t>
      </w:r>
      <w:r w:rsidR="003A7C5F">
        <w:rPr>
          <w:rFonts w:asciiTheme="minorHAnsi" w:hAnsiTheme="minorHAnsi" w:cstheme="minorHAnsi"/>
          <w:b/>
        </w:rPr>
        <w:t>s</w:t>
      </w:r>
    </w:p>
    <w:p w14:paraId="1EAA26CA" w14:textId="77777777" w:rsidR="00A90EAA" w:rsidRDefault="00A90EAA" w:rsidP="00B9279F">
      <w:pPr>
        <w:ind w:left="0" w:firstLine="0"/>
        <w:rPr>
          <w:rFonts w:asciiTheme="minorHAnsi" w:hAnsiTheme="minorHAnsi" w:cstheme="minorHAnsi"/>
          <w:bCs/>
        </w:rPr>
      </w:pPr>
    </w:p>
    <w:p w14:paraId="19106D74" w14:textId="4267358C" w:rsidR="00860DDB" w:rsidRPr="00860DDB" w:rsidRDefault="00293819" w:rsidP="00293819">
      <w:pPr>
        <w:ind w:left="426" w:hanging="426"/>
      </w:pPr>
      <w:r>
        <w:rPr>
          <w:rFonts w:asciiTheme="minorHAnsi" w:hAnsiTheme="minorHAnsi" w:cstheme="minorHAnsi"/>
          <w:bCs/>
        </w:rPr>
        <w:lastRenderedPageBreak/>
        <w:t>11.</w:t>
      </w:r>
      <w:r>
        <w:rPr>
          <w:rFonts w:asciiTheme="minorHAnsi" w:hAnsiTheme="minorHAnsi" w:cstheme="minorHAnsi"/>
          <w:bCs/>
        </w:rPr>
        <w:tab/>
      </w:r>
      <w:r w:rsidR="00520D77" w:rsidRPr="00293819">
        <w:rPr>
          <w:rFonts w:asciiTheme="minorHAnsi" w:hAnsiTheme="minorHAnsi" w:cstheme="minorHAnsi"/>
          <w:bCs/>
        </w:rPr>
        <w:t>The Convention on Wetlands Secretariat co-hosted with the Secretariat of the Pacific Regional En</w:t>
      </w:r>
      <w:r w:rsidR="00BB6B17" w:rsidRPr="00293819">
        <w:rPr>
          <w:rFonts w:asciiTheme="minorHAnsi" w:hAnsiTheme="minorHAnsi" w:cstheme="minorHAnsi"/>
          <w:bCs/>
        </w:rPr>
        <w:t xml:space="preserve">vironment Programme (SPREP) a side event </w:t>
      </w:r>
      <w:r w:rsidR="001B0D43">
        <w:rPr>
          <w:rFonts w:asciiTheme="minorHAnsi" w:hAnsiTheme="minorHAnsi" w:cstheme="minorHAnsi"/>
          <w:bCs/>
        </w:rPr>
        <w:t xml:space="preserve">at </w:t>
      </w:r>
      <w:r w:rsidR="001B0D43" w:rsidRPr="001B0D43">
        <w:rPr>
          <w:rFonts w:asciiTheme="minorHAnsi" w:hAnsiTheme="minorHAnsi" w:cstheme="minorHAnsi"/>
        </w:rPr>
        <w:t>UNFCCC COP28</w:t>
      </w:r>
      <w:r w:rsidR="001B0D43">
        <w:rPr>
          <w:rFonts w:asciiTheme="minorHAnsi" w:hAnsiTheme="minorHAnsi" w:cstheme="minorHAnsi"/>
          <w:b/>
        </w:rPr>
        <w:t xml:space="preserve"> </w:t>
      </w:r>
      <w:r w:rsidR="00BB6B17" w:rsidRPr="00293819">
        <w:rPr>
          <w:rFonts w:asciiTheme="minorHAnsi" w:hAnsiTheme="minorHAnsi" w:cstheme="minorHAnsi"/>
          <w:bCs/>
        </w:rPr>
        <w:t>on 6 December 2023, called “Empowering yout</w:t>
      </w:r>
      <w:r w:rsidR="00D644D0" w:rsidRPr="00293819">
        <w:rPr>
          <w:rFonts w:asciiTheme="minorHAnsi" w:hAnsiTheme="minorHAnsi" w:cstheme="minorHAnsi"/>
          <w:bCs/>
        </w:rPr>
        <w:t xml:space="preserve">h for wetland conservation and addressing climate change in the Pacific”. </w:t>
      </w:r>
    </w:p>
    <w:p w14:paraId="67A6A070" w14:textId="77777777" w:rsidR="00860DDB" w:rsidRPr="00860DDB" w:rsidRDefault="00860DDB" w:rsidP="00293819">
      <w:pPr>
        <w:pStyle w:val="ListParagraph"/>
        <w:ind w:left="426" w:hanging="426"/>
      </w:pPr>
    </w:p>
    <w:p w14:paraId="4745F8E8" w14:textId="64C1D800" w:rsidR="00A90EAA" w:rsidRDefault="00293819" w:rsidP="00293819">
      <w:pPr>
        <w:ind w:left="426" w:hanging="426"/>
      </w:pPr>
      <w:r>
        <w:rPr>
          <w:rFonts w:asciiTheme="minorHAnsi" w:hAnsiTheme="minorHAnsi" w:cstheme="minorHAnsi"/>
          <w:bCs/>
        </w:rPr>
        <w:t>12.</w:t>
      </w:r>
      <w:r>
        <w:rPr>
          <w:rFonts w:asciiTheme="minorHAnsi" w:hAnsiTheme="minorHAnsi" w:cstheme="minorHAnsi"/>
          <w:bCs/>
        </w:rPr>
        <w:tab/>
      </w:r>
      <w:r w:rsidR="00B208FA" w:rsidRPr="00293819">
        <w:rPr>
          <w:rFonts w:asciiTheme="minorHAnsi" w:hAnsiTheme="minorHAnsi" w:cstheme="minorHAnsi"/>
          <w:bCs/>
        </w:rPr>
        <w:t xml:space="preserve">Two youth from </w:t>
      </w:r>
      <w:r w:rsidR="002A2134" w:rsidRPr="00293819">
        <w:rPr>
          <w:rFonts w:asciiTheme="minorHAnsi" w:hAnsiTheme="minorHAnsi" w:cstheme="minorHAnsi"/>
          <w:bCs/>
        </w:rPr>
        <w:t>the</w:t>
      </w:r>
      <w:r w:rsidR="005D69B1">
        <w:rPr>
          <w:rFonts w:asciiTheme="minorHAnsi" w:hAnsiTheme="minorHAnsi" w:cstheme="minorHAnsi"/>
          <w:bCs/>
        </w:rPr>
        <w:t xml:space="preserve"> Oceania region </w:t>
      </w:r>
      <w:r w:rsidR="002A2134" w:rsidRPr="00293819">
        <w:rPr>
          <w:rFonts w:asciiTheme="minorHAnsi" w:hAnsiTheme="minorHAnsi" w:cstheme="minorHAnsi"/>
          <w:bCs/>
        </w:rPr>
        <w:t xml:space="preserve">(Papua New Guinea and Kiribati) </w:t>
      </w:r>
      <w:r w:rsidR="009923D8" w:rsidRPr="00293819">
        <w:rPr>
          <w:rFonts w:asciiTheme="minorHAnsi" w:hAnsiTheme="minorHAnsi" w:cstheme="minorHAnsi"/>
          <w:bCs/>
        </w:rPr>
        <w:t xml:space="preserve">joined the panel </w:t>
      </w:r>
      <w:r w:rsidR="008252BD" w:rsidRPr="00293819">
        <w:rPr>
          <w:rFonts w:asciiTheme="minorHAnsi" w:hAnsiTheme="minorHAnsi" w:cstheme="minorHAnsi"/>
          <w:bCs/>
        </w:rPr>
        <w:t xml:space="preserve">and presented their experiences with wetlands, </w:t>
      </w:r>
      <w:r w:rsidR="009923D8" w:rsidRPr="00293819">
        <w:rPr>
          <w:rFonts w:asciiTheme="minorHAnsi" w:hAnsiTheme="minorHAnsi" w:cstheme="minorHAnsi"/>
          <w:bCs/>
        </w:rPr>
        <w:t xml:space="preserve">alongside the Samoan Environment Minister, </w:t>
      </w:r>
      <w:r w:rsidR="005D69B1">
        <w:rPr>
          <w:rFonts w:asciiTheme="minorHAnsi" w:hAnsiTheme="minorHAnsi" w:cstheme="minorHAnsi"/>
          <w:bCs/>
        </w:rPr>
        <w:t>the Secretary General of the Convention</w:t>
      </w:r>
      <w:r w:rsidR="004961DC" w:rsidRPr="00293819">
        <w:rPr>
          <w:rFonts w:asciiTheme="minorHAnsi" w:hAnsiTheme="minorHAnsi" w:cstheme="minorHAnsi"/>
          <w:bCs/>
        </w:rPr>
        <w:t xml:space="preserve">, </w:t>
      </w:r>
      <w:r w:rsidR="00213770" w:rsidRPr="00293819">
        <w:rPr>
          <w:rFonts w:asciiTheme="minorHAnsi" w:hAnsiTheme="minorHAnsi" w:cstheme="minorHAnsi"/>
          <w:bCs/>
        </w:rPr>
        <w:t xml:space="preserve">the SPREP Director General, </w:t>
      </w:r>
      <w:r w:rsidR="00C93764" w:rsidRPr="00293819">
        <w:rPr>
          <w:rFonts w:asciiTheme="minorHAnsi" w:hAnsiTheme="minorHAnsi" w:cstheme="minorHAnsi"/>
          <w:bCs/>
        </w:rPr>
        <w:t>the Ambassador of Fiji to Indonesia and the Australian Ambassador of Climate Change</w:t>
      </w:r>
      <w:r w:rsidR="008252BD" w:rsidRPr="00293819">
        <w:rPr>
          <w:rFonts w:asciiTheme="minorHAnsi" w:hAnsiTheme="minorHAnsi" w:cstheme="minorHAnsi"/>
          <w:bCs/>
        </w:rPr>
        <w:t>.</w:t>
      </w:r>
    </w:p>
    <w:p w14:paraId="5336A48F" w14:textId="77777777" w:rsidR="003A7C5F" w:rsidRDefault="003A7C5F" w:rsidP="00293819">
      <w:pPr>
        <w:ind w:left="426" w:hanging="426"/>
      </w:pPr>
    </w:p>
    <w:p w14:paraId="4A4C533F" w14:textId="176CC437" w:rsidR="003A7C5F" w:rsidRDefault="00293819" w:rsidP="00293819">
      <w:pPr>
        <w:ind w:left="426" w:hanging="426"/>
      </w:pPr>
      <w:r>
        <w:rPr>
          <w:rFonts w:cstheme="minorHAnsi"/>
        </w:rPr>
        <w:t>13.</w:t>
      </w:r>
      <w:r>
        <w:rPr>
          <w:rFonts w:cstheme="minorHAnsi"/>
        </w:rPr>
        <w:tab/>
      </w:r>
      <w:r w:rsidR="003A7C5F" w:rsidRPr="00293819">
        <w:rPr>
          <w:rFonts w:cstheme="minorHAnsi"/>
        </w:rPr>
        <w:t xml:space="preserve">The YWG Chair was invited to present the work of the YWG at a </w:t>
      </w:r>
      <w:r w:rsidR="003A7C5F">
        <w:t>UNFCCC COP28 side event on 10 December 2023 called “Wetlands restoration under climate change: Youth engagement”, hosted by Imperial College London Wetlands Conservation Association.</w:t>
      </w:r>
    </w:p>
    <w:p w14:paraId="689C3EF9" w14:textId="77777777" w:rsidR="00A90EAA" w:rsidRPr="00A90EAA" w:rsidRDefault="00A90EAA" w:rsidP="00B9279F">
      <w:pPr>
        <w:ind w:left="0" w:firstLine="0"/>
        <w:rPr>
          <w:rFonts w:asciiTheme="minorHAnsi" w:hAnsiTheme="minorHAnsi" w:cstheme="minorHAnsi"/>
          <w:bCs/>
        </w:rPr>
      </w:pPr>
    </w:p>
    <w:p w14:paraId="610763CC" w14:textId="28A975E6" w:rsidR="00883E9F" w:rsidRDefault="00883E9F" w:rsidP="00B9279F">
      <w:pPr>
        <w:ind w:left="567" w:right="-187" w:hanging="567"/>
        <w:rPr>
          <w:rFonts w:asciiTheme="minorHAnsi" w:hAnsiTheme="minorHAnsi" w:cstheme="minorHAnsi"/>
          <w:lang w:val="it-CH"/>
        </w:rPr>
      </w:pPr>
      <w:r>
        <w:rPr>
          <w:rFonts w:asciiTheme="minorHAnsi" w:hAnsiTheme="minorHAnsi" w:cstheme="minorHAnsi"/>
          <w:b/>
          <w:bCs/>
          <w:lang w:val="it-CH"/>
        </w:rPr>
        <w:t>Final youth workplan</w:t>
      </w:r>
    </w:p>
    <w:p w14:paraId="702962FE" w14:textId="77777777" w:rsidR="00883E9F" w:rsidRPr="00293819" w:rsidRDefault="00883E9F" w:rsidP="00293819">
      <w:pPr>
        <w:ind w:left="426" w:hanging="426"/>
        <w:rPr>
          <w:rFonts w:cstheme="minorHAnsi"/>
        </w:rPr>
      </w:pPr>
    </w:p>
    <w:p w14:paraId="460C2418" w14:textId="45D66639" w:rsidR="00F73B02" w:rsidRPr="00293819" w:rsidRDefault="00293819" w:rsidP="00293819">
      <w:pPr>
        <w:ind w:left="426" w:hanging="426"/>
        <w:rPr>
          <w:rFonts w:cstheme="minorHAnsi"/>
        </w:rPr>
      </w:pPr>
      <w:r>
        <w:rPr>
          <w:rFonts w:cstheme="minorHAnsi"/>
        </w:rPr>
        <w:t>14.</w:t>
      </w:r>
      <w:r>
        <w:rPr>
          <w:rFonts w:cstheme="minorHAnsi"/>
        </w:rPr>
        <w:tab/>
      </w:r>
      <w:r w:rsidR="00F73B02" w:rsidRPr="00293819">
        <w:rPr>
          <w:rFonts w:cstheme="minorHAnsi"/>
        </w:rPr>
        <w:t xml:space="preserve">The youth workplan is now finalised and the Chairs of the YWG </w:t>
      </w:r>
      <w:r w:rsidR="00FB5D78" w:rsidRPr="00293819">
        <w:rPr>
          <w:rFonts w:cstheme="minorHAnsi"/>
        </w:rPr>
        <w:t>are working with Parties, the members of the YWG and other organisations to</w:t>
      </w:r>
      <w:r w:rsidR="006E52F6" w:rsidRPr="00293819">
        <w:rPr>
          <w:rFonts w:cstheme="minorHAnsi"/>
        </w:rPr>
        <w:t xml:space="preserve"> begin implementation.</w:t>
      </w:r>
    </w:p>
    <w:p w14:paraId="25B934B7" w14:textId="77777777" w:rsidR="00F73B02" w:rsidRDefault="00F73B02" w:rsidP="00B9279F">
      <w:pPr>
        <w:ind w:left="567" w:right="-187" w:hanging="567"/>
        <w:rPr>
          <w:rFonts w:asciiTheme="minorHAnsi" w:hAnsiTheme="minorHAnsi" w:cstheme="minorHAnsi"/>
          <w:b/>
          <w:bCs/>
          <w:lang w:val="it-CH"/>
        </w:rPr>
      </w:pPr>
    </w:p>
    <w:p w14:paraId="10BD9076" w14:textId="6C31CD67" w:rsidR="00C467F9" w:rsidRPr="00C467F9" w:rsidRDefault="00C467F9" w:rsidP="00B9279F">
      <w:pPr>
        <w:ind w:left="567" w:right="-187" w:hanging="567"/>
        <w:rPr>
          <w:rFonts w:asciiTheme="minorHAnsi" w:hAnsiTheme="minorHAnsi" w:cstheme="minorHAnsi"/>
          <w:b/>
          <w:bCs/>
          <w:lang w:val="it-CH"/>
        </w:rPr>
      </w:pPr>
      <w:r w:rsidRPr="00C467F9">
        <w:rPr>
          <w:rFonts w:asciiTheme="minorHAnsi" w:hAnsiTheme="minorHAnsi" w:cstheme="minorHAnsi"/>
          <w:b/>
          <w:bCs/>
          <w:lang w:val="it-CH"/>
        </w:rPr>
        <w:t>Youth</w:t>
      </w:r>
      <w:r w:rsidR="004B4B23">
        <w:rPr>
          <w:rFonts w:asciiTheme="minorHAnsi" w:hAnsiTheme="minorHAnsi" w:cstheme="minorHAnsi"/>
          <w:b/>
          <w:bCs/>
          <w:lang w:val="it-CH"/>
        </w:rPr>
        <w:t xml:space="preserve"> advisor and</w:t>
      </w:r>
      <w:r w:rsidRPr="00C467F9">
        <w:rPr>
          <w:rFonts w:asciiTheme="minorHAnsi" w:hAnsiTheme="minorHAnsi" w:cstheme="minorHAnsi"/>
          <w:b/>
          <w:bCs/>
          <w:lang w:val="it-CH"/>
        </w:rPr>
        <w:t xml:space="preserve"> </w:t>
      </w:r>
      <w:r w:rsidR="001E0796">
        <w:rPr>
          <w:rFonts w:asciiTheme="minorHAnsi" w:hAnsiTheme="minorHAnsi" w:cstheme="minorHAnsi"/>
          <w:b/>
          <w:bCs/>
          <w:lang w:val="it-CH"/>
        </w:rPr>
        <w:t>workplan implemem</w:t>
      </w:r>
      <w:r w:rsidR="004B4B23">
        <w:rPr>
          <w:rFonts w:asciiTheme="minorHAnsi" w:hAnsiTheme="minorHAnsi" w:cstheme="minorHAnsi"/>
          <w:b/>
          <w:bCs/>
          <w:lang w:val="it-CH"/>
        </w:rPr>
        <w:t>entation</w:t>
      </w:r>
    </w:p>
    <w:p w14:paraId="535BA634" w14:textId="77777777" w:rsidR="00C467F9" w:rsidRPr="00C467F9" w:rsidRDefault="00C467F9" w:rsidP="00B9279F">
      <w:pPr>
        <w:pStyle w:val="ListParagraph"/>
        <w:ind w:left="567" w:hanging="567"/>
        <w:contextualSpacing w:val="0"/>
        <w:rPr>
          <w:rFonts w:asciiTheme="minorHAnsi" w:hAnsiTheme="minorHAnsi" w:cstheme="minorHAnsi"/>
          <w:bCs/>
        </w:rPr>
      </w:pPr>
    </w:p>
    <w:p w14:paraId="4E3670DF" w14:textId="3F61DB94" w:rsidR="00915AE2" w:rsidRPr="00293819" w:rsidRDefault="00293819" w:rsidP="00293819">
      <w:pPr>
        <w:ind w:left="426" w:hanging="426"/>
        <w:rPr>
          <w:rFonts w:cstheme="minorHAnsi"/>
        </w:rPr>
      </w:pPr>
      <w:r>
        <w:rPr>
          <w:rFonts w:cstheme="minorHAnsi"/>
        </w:rPr>
        <w:t>15.</w:t>
      </w:r>
      <w:r>
        <w:rPr>
          <w:rFonts w:cstheme="minorHAnsi"/>
        </w:rPr>
        <w:tab/>
      </w:r>
      <w:r w:rsidR="00C467F9" w:rsidRPr="00293819">
        <w:rPr>
          <w:rFonts w:cstheme="minorHAnsi"/>
        </w:rPr>
        <w:t>Paragraph 17 of Resolution XIV.12 requests the employment of a youth advisor in the Secretariat to facilitate youth engagement and projects and to help coordinate this programme of work</w:t>
      </w:r>
      <w:r w:rsidR="0081611A" w:rsidRPr="00293819">
        <w:rPr>
          <w:rFonts w:cstheme="minorHAnsi"/>
        </w:rPr>
        <w:t>.</w:t>
      </w:r>
      <w:r w:rsidR="00961A8D" w:rsidRPr="00293819">
        <w:rPr>
          <w:rFonts w:cstheme="minorHAnsi"/>
        </w:rPr>
        <w:t xml:space="preserve"> </w:t>
      </w:r>
      <w:r w:rsidR="00046DB8" w:rsidRPr="00293819">
        <w:rPr>
          <w:rFonts w:cstheme="minorHAnsi"/>
        </w:rPr>
        <w:t>As</w:t>
      </w:r>
      <w:r w:rsidR="00B63155" w:rsidRPr="00293819">
        <w:rPr>
          <w:rFonts w:cstheme="minorHAnsi"/>
        </w:rPr>
        <w:t xml:space="preserve"> the finances</w:t>
      </w:r>
      <w:r w:rsidR="0081611A" w:rsidRPr="00293819">
        <w:rPr>
          <w:rFonts w:cstheme="minorHAnsi"/>
        </w:rPr>
        <w:t xml:space="preserve"> received to date</w:t>
      </w:r>
      <w:r w:rsidR="00B63155" w:rsidRPr="00293819">
        <w:rPr>
          <w:rFonts w:cstheme="minorHAnsi"/>
        </w:rPr>
        <w:t xml:space="preserve"> are insufficient to employ a youth advisor, </w:t>
      </w:r>
      <w:r w:rsidR="0047747B" w:rsidRPr="00293819">
        <w:rPr>
          <w:rFonts w:cstheme="minorHAnsi"/>
        </w:rPr>
        <w:t xml:space="preserve">the funds received will </w:t>
      </w:r>
      <w:r w:rsidR="0081611A" w:rsidRPr="00293819">
        <w:rPr>
          <w:rFonts w:cstheme="minorHAnsi"/>
        </w:rPr>
        <w:t xml:space="preserve">instead </w:t>
      </w:r>
      <w:r w:rsidR="0047747B" w:rsidRPr="00293819">
        <w:rPr>
          <w:rFonts w:cstheme="minorHAnsi"/>
        </w:rPr>
        <w:t xml:space="preserve">be </w:t>
      </w:r>
      <w:r w:rsidR="00961A8D" w:rsidRPr="00293819">
        <w:rPr>
          <w:rFonts w:cstheme="minorHAnsi"/>
        </w:rPr>
        <w:t>used</w:t>
      </w:r>
      <w:r w:rsidR="0081611A" w:rsidRPr="00293819">
        <w:rPr>
          <w:rFonts w:cstheme="minorHAnsi"/>
        </w:rPr>
        <w:t xml:space="preserve"> </w:t>
      </w:r>
      <w:r w:rsidR="00776CE3" w:rsidRPr="00293819">
        <w:rPr>
          <w:rFonts w:cstheme="minorHAnsi"/>
        </w:rPr>
        <w:t xml:space="preserve">to </w:t>
      </w:r>
      <w:r w:rsidR="00B83739" w:rsidRPr="00293819">
        <w:rPr>
          <w:rFonts w:cstheme="minorHAnsi"/>
        </w:rPr>
        <w:t>implement the actions in the youth workplan.</w:t>
      </w:r>
    </w:p>
    <w:sectPr w:rsidR="00915AE2" w:rsidRPr="00293819" w:rsidSect="00F44065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06290" w14:textId="77777777" w:rsidR="00563F66" w:rsidRDefault="00563F66" w:rsidP="00DF16AB">
      <w:r>
        <w:separator/>
      </w:r>
    </w:p>
  </w:endnote>
  <w:endnote w:type="continuationSeparator" w:id="0">
    <w:p w14:paraId="53EA8464" w14:textId="77777777" w:rsidR="00563F66" w:rsidRDefault="00563F66" w:rsidP="00DF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67E7" w14:textId="4D417F6A" w:rsidR="0051725A" w:rsidRPr="00F44065" w:rsidRDefault="00E220EE">
    <w:pPr>
      <w:pStyle w:val="Footer"/>
      <w:rPr>
        <w:sz w:val="20"/>
        <w:szCs w:val="20"/>
      </w:rPr>
    </w:pPr>
    <w:r>
      <w:rPr>
        <w:sz w:val="20"/>
        <w:szCs w:val="20"/>
      </w:rPr>
      <w:t>S</w:t>
    </w:r>
    <w:r w:rsidR="0051725A" w:rsidRPr="00F44065">
      <w:rPr>
        <w:sz w:val="20"/>
        <w:szCs w:val="20"/>
      </w:rPr>
      <w:t>C6</w:t>
    </w:r>
    <w:r w:rsidR="00B9279F">
      <w:rPr>
        <w:sz w:val="20"/>
        <w:szCs w:val="20"/>
      </w:rPr>
      <w:t>3</w:t>
    </w:r>
    <w:r w:rsidR="0051725A" w:rsidRPr="00F44065">
      <w:rPr>
        <w:sz w:val="20"/>
        <w:szCs w:val="20"/>
      </w:rPr>
      <w:t xml:space="preserve"> Doc.1</w:t>
    </w:r>
    <w:r w:rsidR="00B9279F">
      <w:rPr>
        <w:sz w:val="20"/>
        <w:szCs w:val="20"/>
      </w:rPr>
      <w:t>8</w:t>
    </w:r>
    <w:r w:rsidR="0051725A">
      <w:rPr>
        <w:sz w:val="20"/>
        <w:szCs w:val="20"/>
      </w:rPr>
      <w:tab/>
    </w:r>
    <w:r w:rsidR="0051725A">
      <w:rPr>
        <w:sz w:val="20"/>
        <w:szCs w:val="20"/>
      </w:rPr>
      <w:tab/>
    </w:r>
    <w:r w:rsidR="0051725A" w:rsidRPr="0051725A">
      <w:rPr>
        <w:sz w:val="20"/>
        <w:szCs w:val="20"/>
      </w:rPr>
      <w:fldChar w:fldCharType="begin"/>
    </w:r>
    <w:r w:rsidR="0051725A" w:rsidRPr="0051725A">
      <w:rPr>
        <w:sz w:val="20"/>
        <w:szCs w:val="20"/>
      </w:rPr>
      <w:instrText xml:space="preserve"> PAGE   \* MERGEFORMAT </w:instrText>
    </w:r>
    <w:r w:rsidR="0051725A" w:rsidRPr="0051725A">
      <w:rPr>
        <w:sz w:val="20"/>
        <w:szCs w:val="20"/>
      </w:rPr>
      <w:fldChar w:fldCharType="separate"/>
    </w:r>
    <w:r w:rsidR="00DC040C">
      <w:rPr>
        <w:noProof/>
        <w:sz w:val="20"/>
        <w:szCs w:val="20"/>
      </w:rPr>
      <w:t>2</w:t>
    </w:r>
    <w:r w:rsidR="0051725A" w:rsidRPr="0051725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19A1" w14:textId="77777777" w:rsidR="00563F66" w:rsidRDefault="00563F66" w:rsidP="00DF16AB">
      <w:r>
        <w:separator/>
      </w:r>
    </w:p>
  </w:footnote>
  <w:footnote w:type="continuationSeparator" w:id="0">
    <w:p w14:paraId="4A7E5ECF" w14:textId="77777777" w:rsidR="00563F66" w:rsidRDefault="00563F66" w:rsidP="00DF16AB">
      <w:r>
        <w:continuationSeparator/>
      </w:r>
    </w:p>
  </w:footnote>
  <w:footnote w:id="1">
    <w:p w14:paraId="23DEA5BD" w14:textId="72C1291B" w:rsidR="00931103" w:rsidRDefault="00931103" w:rsidP="008B49CF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The final workplan was published in March 2024, and can be accessed at</w:t>
      </w:r>
      <w:r w:rsidR="008B49CF">
        <w:t xml:space="preserve"> </w:t>
      </w:r>
      <w:bookmarkStart w:id="0" w:name="_GoBack"/>
      <w:bookmarkEnd w:id="0"/>
      <w:r w:rsidR="008B49CF">
        <w:fldChar w:fldCharType="begin"/>
      </w:r>
      <w:r w:rsidR="008B49CF">
        <w:instrText xml:space="preserve"> HYPERLINK "https://www.ramsar.org/document/youth-working-group-workplan" </w:instrText>
      </w:r>
      <w:r w:rsidR="008B49CF">
        <w:fldChar w:fldCharType="separate"/>
      </w:r>
      <w:r w:rsidR="008B49CF" w:rsidRPr="008B49CF">
        <w:rPr>
          <w:rStyle w:val="Hyperlink"/>
        </w:rPr>
        <w:t>https://www.ramsar.org/document/youth-working-group-workplan</w:t>
      </w:r>
      <w:r w:rsidR="008B49CF">
        <w:fldChar w:fldCharType="end"/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3F0"/>
    <w:multiLevelType w:val="hybridMultilevel"/>
    <w:tmpl w:val="3C96C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5A7"/>
    <w:multiLevelType w:val="hybridMultilevel"/>
    <w:tmpl w:val="3EDAA8AA"/>
    <w:lvl w:ilvl="0" w:tplc="1EE45DE6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8E3"/>
    <w:multiLevelType w:val="hybridMultilevel"/>
    <w:tmpl w:val="58CE3594"/>
    <w:lvl w:ilvl="0" w:tplc="95927ABE">
      <w:start w:val="1"/>
      <w:numFmt w:val="decimal"/>
      <w:lvlText w:val="%1."/>
      <w:lvlJc w:val="left"/>
      <w:pPr>
        <w:ind w:left="790" w:hanging="430"/>
      </w:pPr>
      <w:rPr>
        <w:rFonts w:cs="Calibr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7F72"/>
    <w:multiLevelType w:val="hybridMultilevel"/>
    <w:tmpl w:val="0A48B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55C"/>
    <w:multiLevelType w:val="hybridMultilevel"/>
    <w:tmpl w:val="06564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1DCC"/>
    <w:multiLevelType w:val="hybridMultilevel"/>
    <w:tmpl w:val="B62A11F4"/>
    <w:lvl w:ilvl="0" w:tplc="95927ABE">
      <w:start w:val="1"/>
      <w:numFmt w:val="decimal"/>
      <w:lvlText w:val="%1."/>
      <w:lvlJc w:val="left"/>
      <w:pPr>
        <w:ind w:left="790" w:hanging="43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120D"/>
    <w:multiLevelType w:val="hybridMultilevel"/>
    <w:tmpl w:val="035AED6A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B46185"/>
    <w:multiLevelType w:val="hybridMultilevel"/>
    <w:tmpl w:val="07F0FC9E"/>
    <w:lvl w:ilvl="0" w:tplc="95927ABE">
      <w:start w:val="1"/>
      <w:numFmt w:val="decimal"/>
      <w:lvlText w:val="%1."/>
      <w:lvlJc w:val="left"/>
      <w:pPr>
        <w:ind w:left="790" w:hanging="43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4E38"/>
    <w:multiLevelType w:val="hybridMultilevel"/>
    <w:tmpl w:val="06564960"/>
    <w:lvl w:ilvl="0" w:tplc="0C09000F">
      <w:start w:val="1"/>
      <w:numFmt w:val="decimal"/>
      <w:lvlText w:val="%1."/>
      <w:lvlJc w:val="left"/>
      <w:pPr>
        <w:ind w:left="357" w:hanging="360"/>
      </w:pPr>
    </w:lvl>
    <w:lvl w:ilvl="1" w:tplc="0C090019">
      <w:start w:val="1"/>
      <w:numFmt w:val="lowerLetter"/>
      <w:lvlText w:val="%2."/>
      <w:lvlJc w:val="left"/>
      <w:pPr>
        <w:ind w:left="1077" w:hanging="360"/>
      </w:pPr>
    </w:lvl>
    <w:lvl w:ilvl="2" w:tplc="0C09001B">
      <w:start w:val="1"/>
      <w:numFmt w:val="lowerRoman"/>
      <w:lvlText w:val="%3."/>
      <w:lvlJc w:val="right"/>
      <w:pPr>
        <w:ind w:left="1797" w:hanging="180"/>
      </w:pPr>
    </w:lvl>
    <w:lvl w:ilvl="3" w:tplc="0C09000F" w:tentative="1">
      <w:start w:val="1"/>
      <w:numFmt w:val="decimal"/>
      <w:lvlText w:val="%4."/>
      <w:lvlJc w:val="left"/>
      <w:pPr>
        <w:ind w:left="2517" w:hanging="360"/>
      </w:pPr>
    </w:lvl>
    <w:lvl w:ilvl="4" w:tplc="0C090019" w:tentative="1">
      <w:start w:val="1"/>
      <w:numFmt w:val="lowerLetter"/>
      <w:lvlText w:val="%5."/>
      <w:lvlJc w:val="left"/>
      <w:pPr>
        <w:ind w:left="3237" w:hanging="360"/>
      </w:pPr>
    </w:lvl>
    <w:lvl w:ilvl="5" w:tplc="0C09001B" w:tentative="1">
      <w:start w:val="1"/>
      <w:numFmt w:val="lowerRoman"/>
      <w:lvlText w:val="%6."/>
      <w:lvlJc w:val="right"/>
      <w:pPr>
        <w:ind w:left="3957" w:hanging="180"/>
      </w:pPr>
    </w:lvl>
    <w:lvl w:ilvl="6" w:tplc="0C09000F" w:tentative="1">
      <w:start w:val="1"/>
      <w:numFmt w:val="decimal"/>
      <w:lvlText w:val="%7."/>
      <w:lvlJc w:val="left"/>
      <w:pPr>
        <w:ind w:left="4677" w:hanging="360"/>
      </w:pPr>
    </w:lvl>
    <w:lvl w:ilvl="7" w:tplc="0C090019" w:tentative="1">
      <w:start w:val="1"/>
      <w:numFmt w:val="lowerLetter"/>
      <w:lvlText w:val="%8."/>
      <w:lvlJc w:val="left"/>
      <w:pPr>
        <w:ind w:left="5397" w:hanging="360"/>
      </w:pPr>
    </w:lvl>
    <w:lvl w:ilvl="8" w:tplc="0C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269D02C8"/>
    <w:multiLevelType w:val="hybridMultilevel"/>
    <w:tmpl w:val="9FF4C4F8"/>
    <w:lvl w:ilvl="0" w:tplc="95927ABE">
      <w:start w:val="1"/>
      <w:numFmt w:val="decimal"/>
      <w:lvlText w:val="%1."/>
      <w:lvlJc w:val="left"/>
      <w:pPr>
        <w:ind w:left="790" w:hanging="43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46615"/>
    <w:multiLevelType w:val="hybridMultilevel"/>
    <w:tmpl w:val="5266975A"/>
    <w:lvl w:ilvl="0" w:tplc="A8DC7D1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34F148A7"/>
    <w:multiLevelType w:val="hybridMultilevel"/>
    <w:tmpl w:val="166C949E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8472EEA"/>
    <w:multiLevelType w:val="hybridMultilevel"/>
    <w:tmpl w:val="E040AB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A674A"/>
    <w:multiLevelType w:val="multilevel"/>
    <w:tmpl w:val="918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6D47D8"/>
    <w:multiLevelType w:val="hybridMultilevel"/>
    <w:tmpl w:val="FDD09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C49D5"/>
    <w:multiLevelType w:val="hybridMultilevel"/>
    <w:tmpl w:val="43D6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B1E23"/>
    <w:multiLevelType w:val="hybridMultilevel"/>
    <w:tmpl w:val="09FE953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033F"/>
    <w:multiLevelType w:val="hybridMultilevel"/>
    <w:tmpl w:val="8A64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15DEA"/>
    <w:multiLevelType w:val="hybridMultilevel"/>
    <w:tmpl w:val="6C0EBE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112AB"/>
    <w:multiLevelType w:val="hybridMultilevel"/>
    <w:tmpl w:val="665C4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308B8"/>
    <w:multiLevelType w:val="hybridMultilevel"/>
    <w:tmpl w:val="6276A13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B50269B"/>
    <w:multiLevelType w:val="hybridMultilevel"/>
    <w:tmpl w:val="76B8D77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63063"/>
    <w:multiLevelType w:val="hybridMultilevel"/>
    <w:tmpl w:val="101EB25C"/>
    <w:lvl w:ilvl="0" w:tplc="F7B68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542B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2124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502A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5EC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92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EB63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46E3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176E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75A463F7"/>
    <w:multiLevelType w:val="hybridMultilevel"/>
    <w:tmpl w:val="A32E8544"/>
    <w:lvl w:ilvl="0" w:tplc="D61A4CDA">
      <w:start w:val="1"/>
      <w:numFmt w:val="upperRoman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E60E5"/>
    <w:multiLevelType w:val="hybridMultilevel"/>
    <w:tmpl w:val="5282D0E0"/>
    <w:lvl w:ilvl="0" w:tplc="FD60E36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CE15D1"/>
    <w:multiLevelType w:val="hybridMultilevel"/>
    <w:tmpl w:val="27CE72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2C50"/>
    <w:multiLevelType w:val="hybridMultilevel"/>
    <w:tmpl w:val="8DCA1F6C"/>
    <w:lvl w:ilvl="0" w:tplc="95927ABE">
      <w:start w:val="1"/>
      <w:numFmt w:val="decimal"/>
      <w:lvlText w:val="%1."/>
      <w:lvlJc w:val="left"/>
      <w:pPr>
        <w:ind w:left="790" w:hanging="430"/>
      </w:pPr>
      <w:rPr>
        <w:rFonts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</w:num>
  <w:num w:numId="4">
    <w:abstractNumId w:val="19"/>
  </w:num>
  <w:num w:numId="5">
    <w:abstractNumId w:val="15"/>
  </w:num>
  <w:num w:numId="6">
    <w:abstractNumId w:val="3"/>
  </w:num>
  <w:num w:numId="7">
    <w:abstractNumId w:val="8"/>
  </w:num>
  <w:num w:numId="8">
    <w:abstractNumId w:val="20"/>
  </w:num>
  <w:num w:numId="9">
    <w:abstractNumId w:val="16"/>
  </w:num>
  <w:num w:numId="10">
    <w:abstractNumId w:val="10"/>
  </w:num>
  <w:num w:numId="11">
    <w:abstractNumId w:val="24"/>
  </w:num>
  <w:num w:numId="12">
    <w:abstractNumId w:val="15"/>
  </w:num>
  <w:num w:numId="13">
    <w:abstractNumId w:val="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12"/>
  </w:num>
  <w:num w:numId="18">
    <w:abstractNumId w:val="22"/>
  </w:num>
  <w:num w:numId="19">
    <w:abstractNumId w:val="11"/>
  </w:num>
  <w:num w:numId="20">
    <w:abstractNumId w:val="13"/>
  </w:num>
  <w:num w:numId="21">
    <w:abstractNumId w:val="21"/>
  </w:num>
  <w:num w:numId="22">
    <w:abstractNumId w:val="6"/>
  </w:num>
  <w:num w:numId="23">
    <w:abstractNumId w:val="14"/>
  </w:num>
  <w:num w:numId="24">
    <w:abstractNumId w:val="18"/>
  </w:num>
  <w:num w:numId="25">
    <w:abstractNumId w:val="2"/>
  </w:num>
  <w:num w:numId="26">
    <w:abstractNumId w:val="26"/>
  </w:num>
  <w:num w:numId="27">
    <w:abstractNumId w:val="9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4E"/>
    <w:rsid w:val="000104CC"/>
    <w:rsid w:val="0001398E"/>
    <w:rsid w:val="00015124"/>
    <w:rsid w:val="000220C9"/>
    <w:rsid w:val="0002255C"/>
    <w:rsid w:val="00030217"/>
    <w:rsid w:val="00044983"/>
    <w:rsid w:val="00045A74"/>
    <w:rsid w:val="000464C9"/>
    <w:rsid w:val="00046DB8"/>
    <w:rsid w:val="00052249"/>
    <w:rsid w:val="00060D7D"/>
    <w:rsid w:val="0006245C"/>
    <w:rsid w:val="000628DC"/>
    <w:rsid w:val="00072447"/>
    <w:rsid w:val="000B2B8D"/>
    <w:rsid w:val="000B6E87"/>
    <w:rsid w:val="000C3315"/>
    <w:rsid w:val="000C5687"/>
    <w:rsid w:val="00105D59"/>
    <w:rsid w:val="00116901"/>
    <w:rsid w:val="001169B8"/>
    <w:rsid w:val="00121053"/>
    <w:rsid w:val="00123203"/>
    <w:rsid w:val="00133471"/>
    <w:rsid w:val="00145837"/>
    <w:rsid w:val="00146992"/>
    <w:rsid w:val="0016014E"/>
    <w:rsid w:val="00162A67"/>
    <w:rsid w:val="00172079"/>
    <w:rsid w:val="00182A52"/>
    <w:rsid w:val="001922BF"/>
    <w:rsid w:val="00197527"/>
    <w:rsid w:val="001A469B"/>
    <w:rsid w:val="001A7385"/>
    <w:rsid w:val="001B0D43"/>
    <w:rsid w:val="001B224B"/>
    <w:rsid w:val="001B4C1E"/>
    <w:rsid w:val="001C0251"/>
    <w:rsid w:val="001D1006"/>
    <w:rsid w:val="001E0796"/>
    <w:rsid w:val="001F2926"/>
    <w:rsid w:val="001F5F49"/>
    <w:rsid w:val="001F773C"/>
    <w:rsid w:val="00206513"/>
    <w:rsid w:val="002118F8"/>
    <w:rsid w:val="00211E39"/>
    <w:rsid w:val="00213770"/>
    <w:rsid w:val="00221158"/>
    <w:rsid w:val="00230ADF"/>
    <w:rsid w:val="002366E5"/>
    <w:rsid w:val="00244CA4"/>
    <w:rsid w:val="002471C9"/>
    <w:rsid w:val="00250BF8"/>
    <w:rsid w:val="00250CF2"/>
    <w:rsid w:val="00257237"/>
    <w:rsid w:val="00267F7D"/>
    <w:rsid w:val="0027207C"/>
    <w:rsid w:val="00273ACF"/>
    <w:rsid w:val="00280A27"/>
    <w:rsid w:val="0028173E"/>
    <w:rsid w:val="00283F77"/>
    <w:rsid w:val="00290AC5"/>
    <w:rsid w:val="00293819"/>
    <w:rsid w:val="00297855"/>
    <w:rsid w:val="002A2134"/>
    <w:rsid w:val="002B07D6"/>
    <w:rsid w:val="002C2F09"/>
    <w:rsid w:val="002C467F"/>
    <w:rsid w:val="002C60EB"/>
    <w:rsid w:val="002D197A"/>
    <w:rsid w:val="002D3D7F"/>
    <w:rsid w:val="002D52B7"/>
    <w:rsid w:val="002D5EBB"/>
    <w:rsid w:val="002E2FEA"/>
    <w:rsid w:val="002E7337"/>
    <w:rsid w:val="002E7B73"/>
    <w:rsid w:val="002E7EDB"/>
    <w:rsid w:val="002F0750"/>
    <w:rsid w:val="002F1826"/>
    <w:rsid w:val="003004AB"/>
    <w:rsid w:val="00307197"/>
    <w:rsid w:val="003163C6"/>
    <w:rsid w:val="00324069"/>
    <w:rsid w:val="00333A0D"/>
    <w:rsid w:val="00357DD3"/>
    <w:rsid w:val="00360E90"/>
    <w:rsid w:val="003748F4"/>
    <w:rsid w:val="0037501F"/>
    <w:rsid w:val="0038305C"/>
    <w:rsid w:val="00387961"/>
    <w:rsid w:val="0039277D"/>
    <w:rsid w:val="00393B30"/>
    <w:rsid w:val="00397812"/>
    <w:rsid w:val="003A7C5F"/>
    <w:rsid w:val="003B1B7B"/>
    <w:rsid w:val="003D1A66"/>
    <w:rsid w:val="003D1F6F"/>
    <w:rsid w:val="003D7BC9"/>
    <w:rsid w:val="003E167E"/>
    <w:rsid w:val="003E549D"/>
    <w:rsid w:val="004040FB"/>
    <w:rsid w:val="00407AD8"/>
    <w:rsid w:val="00416ED2"/>
    <w:rsid w:val="00420FD1"/>
    <w:rsid w:val="00423306"/>
    <w:rsid w:val="004310EE"/>
    <w:rsid w:val="00434864"/>
    <w:rsid w:val="0044028B"/>
    <w:rsid w:val="00446563"/>
    <w:rsid w:val="00451C32"/>
    <w:rsid w:val="00452742"/>
    <w:rsid w:val="0045339F"/>
    <w:rsid w:val="00471D26"/>
    <w:rsid w:val="00472AFE"/>
    <w:rsid w:val="0047747B"/>
    <w:rsid w:val="0048242B"/>
    <w:rsid w:val="00487F57"/>
    <w:rsid w:val="00492C35"/>
    <w:rsid w:val="004961DC"/>
    <w:rsid w:val="0049639F"/>
    <w:rsid w:val="004B1DB7"/>
    <w:rsid w:val="004B36F2"/>
    <w:rsid w:val="004B4B23"/>
    <w:rsid w:val="004B72B0"/>
    <w:rsid w:val="004C490B"/>
    <w:rsid w:val="004C4E1E"/>
    <w:rsid w:val="004D2B16"/>
    <w:rsid w:val="004D3888"/>
    <w:rsid w:val="004D5D5E"/>
    <w:rsid w:val="004D73FD"/>
    <w:rsid w:val="004D7828"/>
    <w:rsid w:val="004E0091"/>
    <w:rsid w:val="004F1BB2"/>
    <w:rsid w:val="00504B2B"/>
    <w:rsid w:val="00513305"/>
    <w:rsid w:val="0051725A"/>
    <w:rsid w:val="005200C5"/>
    <w:rsid w:val="00520D77"/>
    <w:rsid w:val="005269D9"/>
    <w:rsid w:val="005432CA"/>
    <w:rsid w:val="005455D0"/>
    <w:rsid w:val="0055409F"/>
    <w:rsid w:val="00555598"/>
    <w:rsid w:val="005576DC"/>
    <w:rsid w:val="00562179"/>
    <w:rsid w:val="0056219D"/>
    <w:rsid w:val="00563F66"/>
    <w:rsid w:val="00565563"/>
    <w:rsid w:val="0057313F"/>
    <w:rsid w:val="005A2311"/>
    <w:rsid w:val="005A47E9"/>
    <w:rsid w:val="005B44AA"/>
    <w:rsid w:val="005C6304"/>
    <w:rsid w:val="005D12EA"/>
    <w:rsid w:val="005D4724"/>
    <w:rsid w:val="005D69B1"/>
    <w:rsid w:val="005E5D1B"/>
    <w:rsid w:val="005F7E7C"/>
    <w:rsid w:val="00611422"/>
    <w:rsid w:val="00611526"/>
    <w:rsid w:val="00617AB1"/>
    <w:rsid w:val="00624784"/>
    <w:rsid w:val="006308F2"/>
    <w:rsid w:val="00635112"/>
    <w:rsid w:val="0064794D"/>
    <w:rsid w:val="006518C2"/>
    <w:rsid w:val="00655F23"/>
    <w:rsid w:val="0066133B"/>
    <w:rsid w:val="00666DEC"/>
    <w:rsid w:val="00667830"/>
    <w:rsid w:val="00674489"/>
    <w:rsid w:val="0067732F"/>
    <w:rsid w:val="00684C7D"/>
    <w:rsid w:val="00684E81"/>
    <w:rsid w:val="00693F2F"/>
    <w:rsid w:val="006950C1"/>
    <w:rsid w:val="0069517A"/>
    <w:rsid w:val="0069548B"/>
    <w:rsid w:val="00695756"/>
    <w:rsid w:val="006A39A8"/>
    <w:rsid w:val="006A3AB1"/>
    <w:rsid w:val="006A3E60"/>
    <w:rsid w:val="006A6757"/>
    <w:rsid w:val="006C3116"/>
    <w:rsid w:val="006D74D3"/>
    <w:rsid w:val="006E216F"/>
    <w:rsid w:val="006E52F6"/>
    <w:rsid w:val="006E5E26"/>
    <w:rsid w:val="006F6463"/>
    <w:rsid w:val="00700240"/>
    <w:rsid w:val="00707ED8"/>
    <w:rsid w:val="00710886"/>
    <w:rsid w:val="00717D29"/>
    <w:rsid w:val="00721CF7"/>
    <w:rsid w:val="0072546B"/>
    <w:rsid w:val="00730BD6"/>
    <w:rsid w:val="0073284B"/>
    <w:rsid w:val="00747A55"/>
    <w:rsid w:val="00750D39"/>
    <w:rsid w:val="00754CFE"/>
    <w:rsid w:val="00755BAF"/>
    <w:rsid w:val="00763BD0"/>
    <w:rsid w:val="00772DAB"/>
    <w:rsid w:val="00774400"/>
    <w:rsid w:val="00776CE3"/>
    <w:rsid w:val="00784DD7"/>
    <w:rsid w:val="00796A4C"/>
    <w:rsid w:val="007A3BA3"/>
    <w:rsid w:val="007C31A2"/>
    <w:rsid w:val="007D3033"/>
    <w:rsid w:val="007D4FD8"/>
    <w:rsid w:val="007F1159"/>
    <w:rsid w:val="007F5EB8"/>
    <w:rsid w:val="008019B8"/>
    <w:rsid w:val="00801F7F"/>
    <w:rsid w:val="008023BD"/>
    <w:rsid w:val="008122F1"/>
    <w:rsid w:val="0081611A"/>
    <w:rsid w:val="00817F52"/>
    <w:rsid w:val="00824811"/>
    <w:rsid w:val="008252BD"/>
    <w:rsid w:val="0084352E"/>
    <w:rsid w:val="00860DDB"/>
    <w:rsid w:val="0086310A"/>
    <w:rsid w:val="00866809"/>
    <w:rsid w:val="00872100"/>
    <w:rsid w:val="00873FDB"/>
    <w:rsid w:val="00883E9F"/>
    <w:rsid w:val="008942DC"/>
    <w:rsid w:val="0089761E"/>
    <w:rsid w:val="008A17F9"/>
    <w:rsid w:val="008A3089"/>
    <w:rsid w:val="008A3D7E"/>
    <w:rsid w:val="008A47C5"/>
    <w:rsid w:val="008B49CF"/>
    <w:rsid w:val="008B697C"/>
    <w:rsid w:val="008B7C24"/>
    <w:rsid w:val="008C09A0"/>
    <w:rsid w:val="008C1D78"/>
    <w:rsid w:val="008C323E"/>
    <w:rsid w:val="008D206A"/>
    <w:rsid w:val="008D4144"/>
    <w:rsid w:val="008E54AB"/>
    <w:rsid w:val="008F4369"/>
    <w:rsid w:val="008F5E5F"/>
    <w:rsid w:val="008F62A3"/>
    <w:rsid w:val="00915AE2"/>
    <w:rsid w:val="0091761A"/>
    <w:rsid w:val="009258BB"/>
    <w:rsid w:val="00927222"/>
    <w:rsid w:val="009276BB"/>
    <w:rsid w:val="00931103"/>
    <w:rsid w:val="00942B53"/>
    <w:rsid w:val="00957379"/>
    <w:rsid w:val="00961A8D"/>
    <w:rsid w:val="00965531"/>
    <w:rsid w:val="00987365"/>
    <w:rsid w:val="009923D8"/>
    <w:rsid w:val="00997800"/>
    <w:rsid w:val="009A192C"/>
    <w:rsid w:val="009A4120"/>
    <w:rsid w:val="009A507E"/>
    <w:rsid w:val="009A63E7"/>
    <w:rsid w:val="009B1423"/>
    <w:rsid w:val="009B4A0D"/>
    <w:rsid w:val="009B6620"/>
    <w:rsid w:val="009C6D18"/>
    <w:rsid w:val="009D1A1A"/>
    <w:rsid w:val="009D2699"/>
    <w:rsid w:val="009D3A7D"/>
    <w:rsid w:val="009F1CA9"/>
    <w:rsid w:val="009F2141"/>
    <w:rsid w:val="009F2A0D"/>
    <w:rsid w:val="00A123F6"/>
    <w:rsid w:val="00A124CC"/>
    <w:rsid w:val="00A15219"/>
    <w:rsid w:val="00A22A59"/>
    <w:rsid w:val="00A3638E"/>
    <w:rsid w:val="00A41195"/>
    <w:rsid w:val="00A4164A"/>
    <w:rsid w:val="00A43CCF"/>
    <w:rsid w:val="00A46833"/>
    <w:rsid w:val="00A52145"/>
    <w:rsid w:val="00A61878"/>
    <w:rsid w:val="00A709CB"/>
    <w:rsid w:val="00A72666"/>
    <w:rsid w:val="00A7438D"/>
    <w:rsid w:val="00A90530"/>
    <w:rsid w:val="00A90EAA"/>
    <w:rsid w:val="00A973C9"/>
    <w:rsid w:val="00AA6CC9"/>
    <w:rsid w:val="00AB3DC7"/>
    <w:rsid w:val="00AC694D"/>
    <w:rsid w:val="00AC7ED6"/>
    <w:rsid w:val="00AD4FFC"/>
    <w:rsid w:val="00AE183B"/>
    <w:rsid w:val="00AE6399"/>
    <w:rsid w:val="00AF0978"/>
    <w:rsid w:val="00AF4153"/>
    <w:rsid w:val="00AF6EF8"/>
    <w:rsid w:val="00B009E9"/>
    <w:rsid w:val="00B1014D"/>
    <w:rsid w:val="00B208FA"/>
    <w:rsid w:val="00B21F94"/>
    <w:rsid w:val="00B26680"/>
    <w:rsid w:val="00B32AE3"/>
    <w:rsid w:val="00B34B4A"/>
    <w:rsid w:val="00B37F05"/>
    <w:rsid w:val="00B4113C"/>
    <w:rsid w:val="00B45C29"/>
    <w:rsid w:val="00B52BFC"/>
    <w:rsid w:val="00B63155"/>
    <w:rsid w:val="00B660D3"/>
    <w:rsid w:val="00B719A9"/>
    <w:rsid w:val="00B74A6E"/>
    <w:rsid w:val="00B77A5E"/>
    <w:rsid w:val="00B8318B"/>
    <w:rsid w:val="00B83739"/>
    <w:rsid w:val="00B87E03"/>
    <w:rsid w:val="00B9279F"/>
    <w:rsid w:val="00B968EC"/>
    <w:rsid w:val="00B97E06"/>
    <w:rsid w:val="00BB4057"/>
    <w:rsid w:val="00BB6B17"/>
    <w:rsid w:val="00BC3554"/>
    <w:rsid w:val="00BD3C62"/>
    <w:rsid w:val="00BE14EE"/>
    <w:rsid w:val="00C00AD9"/>
    <w:rsid w:val="00C01679"/>
    <w:rsid w:val="00C01697"/>
    <w:rsid w:val="00C0743B"/>
    <w:rsid w:val="00C07C52"/>
    <w:rsid w:val="00C11ECE"/>
    <w:rsid w:val="00C467F9"/>
    <w:rsid w:val="00C53074"/>
    <w:rsid w:val="00C72ACF"/>
    <w:rsid w:val="00C737FB"/>
    <w:rsid w:val="00C80711"/>
    <w:rsid w:val="00C8103F"/>
    <w:rsid w:val="00C87061"/>
    <w:rsid w:val="00C87C32"/>
    <w:rsid w:val="00C93764"/>
    <w:rsid w:val="00CA17DA"/>
    <w:rsid w:val="00CA7B82"/>
    <w:rsid w:val="00CB2C8C"/>
    <w:rsid w:val="00CB2CBD"/>
    <w:rsid w:val="00CB6425"/>
    <w:rsid w:val="00CB6EE2"/>
    <w:rsid w:val="00CB7B0D"/>
    <w:rsid w:val="00CC4AB8"/>
    <w:rsid w:val="00CD2563"/>
    <w:rsid w:val="00CD4674"/>
    <w:rsid w:val="00CE6084"/>
    <w:rsid w:val="00CE6BCA"/>
    <w:rsid w:val="00CF7BE8"/>
    <w:rsid w:val="00D01A7F"/>
    <w:rsid w:val="00D07B7D"/>
    <w:rsid w:val="00D15DE5"/>
    <w:rsid w:val="00D41F17"/>
    <w:rsid w:val="00D45D73"/>
    <w:rsid w:val="00D45E71"/>
    <w:rsid w:val="00D4711F"/>
    <w:rsid w:val="00D53433"/>
    <w:rsid w:val="00D604C4"/>
    <w:rsid w:val="00D644D0"/>
    <w:rsid w:val="00D66803"/>
    <w:rsid w:val="00D72AA7"/>
    <w:rsid w:val="00D75AA3"/>
    <w:rsid w:val="00D75F70"/>
    <w:rsid w:val="00D809F0"/>
    <w:rsid w:val="00D81CCF"/>
    <w:rsid w:val="00D916EA"/>
    <w:rsid w:val="00D937D1"/>
    <w:rsid w:val="00D951AB"/>
    <w:rsid w:val="00D97F1B"/>
    <w:rsid w:val="00DA5977"/>
    <w:rsid w:val="00DB4738"/>
    <w:rsid w:val="00DB674E"/>
    <w:rsid w:val="00DB799E"/>
    <w:rsid w:val="00DC040C"/>
    <w:rsid w:val="00DC0FB4"/>
    <w:rsid w:val="00DC1197"/>
    <w:rsid w:val="00DC1DF5"/>
    <w:rsid w:val="00DC68E9"/>
    <w:rsid w:val="00DD01D7"/>
    <w:rsid w:val="00DD151F"/>
    <w:rsid w:val="00DE4430"/>
    <w:rsid w:val="00DE6D96"/>
    <w:rsid w:val="00DF16AB"/>
    <w:rsid w:val="00DF25E8"/>
    <w:rsid w:val="00DF4299"/>
    <w:rsid w:val="00E0522E"/>
    <w:rsid w:val="00E157F5"/>
    <w:rsid w:val="00E220EE"/>
    <w:rsid w:val="00E32899"/>
    <w:rsid w:val="00E34839"/>
    <w:rsid w:val="00E47920"/>
    <w:rsid w:val="00E50BEB"/>
    <w:rsid w:val="00E568CF"/>
    <w:rsid w:val="00E57896"/>
    <w:rsid w:val="00E72797"/>
    <w:rsid w:val="00E74BB7"/>
    <w:rsid w:val="00E824A1"/>
    <w:rsid w:val="00E844CF"/>
    <w:rsid w:val="00E85A6B"/>
    <w:rsid w:val="00E87711"/>
    <w:rsid w:val="00E921D0"/>
    <w:rsid w:val="00E94355"/>
    <w:rsid w:val="00E96F12"/>
    <w:rsid w:val="00EA3391"/>
    <w:rsid w:val="00EA4B20"/>
    <w:rsid w:val="00EA69DF"/>
    <w:rsid w:val="00EA7457"/>
    <w:rsid w:val="00EC0E90"/>
    <w:rsid w:val="00EC3E20"/>
    <w:rsid w:val="00ED15E6"/>
    <w:rsid w:val="00EE0441"/>
    <w:rsid w:val="00EE347D"/>
    <w:rsid w:val="00EE6A17"/>
    <w:rsid w:val="00EE6F57"/>
    <w:rsid w:val="00EE73D8"/>
    <w:rsid w:val="00EF3425"/>
    <w:rsid w:val="00EF5257"/>
    <w:rsid w:val="00F15559"/>
    <w:rsid w:val="00F173D3"/>
    <w:rsid w:val="00F256D0"/>
    <w:rsid w:val="00F25BCD"/>
    <w:rsid w:val="00F25E16"/>
    <w:rsid w:val="00F26729"/>
    <w:rsid w:val="00F3068B"/>
    <w:rsid w:val="00F4238F"/>
    <w:rsid w:val="00F44065"/>
    <w:rsid w:val="00F44DFE"/>
    <w:rsid w:val="00F47557"/>
    <w:rsid w:val="00F509D5"/>
    <w:rsid w:val="00F612C6"/>
    <w:rsid w:val="00F6613C"/>
    <w:rsid w:val="00F727A8"/>
    <w:rsid w:val="00F73B02"/>
    <w:rsid w:val="00F8068B"/>
    <w:rsid w:val="00F862C3"/>
    <w:rsid w:val="00F86FF5"/>
    <w:rsid w:val="00F87FCF"/>
    <w:rsid w:val="00FA04A1"/>
    <w:rsid w:val="00FA0831"/>
    <w:rsid w:val="00FA2F13"/>
    <w:rsid w:val="00FB1973"/>
    <w:rsid w:val="00FB41F0"/>
    <w:rsid w:val="00FB5D78"/>
    <w:rsid w:val="00FC2088"/>
    <w:rsid w:val="00FC3D1E"/>
    <w:rsid w:val="00FD3DD7"/>
    <w:rsid w:val="00FD471B"/>
    <w:rsid w:val="00FE6D9E"/>
    <w:rsid w:val="00FF1F19"/>
    <w:rsid w:val="00FF3E5A"/>
    <w:rsid w:val="082773D0"/>
    <w:rsid w:val="09260775"/>
    <w:rsid w:val="1B75397C"/>
    <w:rsid w:val="55929689"/>
    <w:rsid w:val="5991F8DB"/>
    <w:rsid w:val="6033A707"/>
    <w:rsid w:val="724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327B4"/>
  <w15:chartTrackingRefBased/>
  <w15:docId w15:val="{74EDD251-82D9-458B-B394-F22EEC6B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14E"/>
    <w:pPr>
      <w:spacing w:after="0" w:line="240" w:lineRule="auto"/>
      <w:ind w:left="425" w:hanging="425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c para Char,List Paragraph (numbered (a)) Char"/>
    <w:link w:val="ListParagraph"/>
    <w:uiPriority w:val="34"/>
    <w:locked/>
    <w:rsid w:val="0016014E"/>
    <w:rPr>
      <w:rFonts w:ascii="Calibri" w:eastAsia="Calibri" w:hAnsi="Calibri" w:cs="Times New Roman"/>
      <w:lang w:val="en-GB"/>
    </w:rPr>
  </w:style>
  <w:style w:type="paragraph" w:styleId="ListParagraph">
    <w:name w:val="List Paragraph"/>
    <w:aliases w:val="Rec para,List Paragraph (numbered (a))"/>
    <w:basedOn w:val="Normal"/>
    <w:link w:val="ListParagraphChar"/>
    <w:uiPriority w:val="34"/>
    <w:qFormat/>
    <w:rsid w:val="001601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1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6AB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F16A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16ED2"/>
    <w:pPr>
      <w:ind w:left="720"/>
      <w:contextualSpacing/>
    </w:pPr>
  </w:style>
  <w:style w:type="paragraph" w:customStyle="1" w:styleId="Default">
    <w:name w:val="Default"/>
    <w:rsid w:val="00915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0D"/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FC208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23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E"/>
    <w:rPr>
      <w:rFonts w:ascii="Arial" w:eastAsia="Calibri" w:hAnsi="Arial" w:cs="Arial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A0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2E2FE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B4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8913f9-f658-49ad-a093-b53919ef12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395F4A0F2A34CB6A6BC99A876F15D" ma:contentTypeVersion="18" ma:contentTypeDescription="Create a new document." ma:contentTypeScope="" ma:versionID="8445c46855de64cd3ab9e640c8158cff">
  <xsd:schema xmlns:xsd="http://www.w3.org/2001/XMLSchema" xmlns:xs="http://www.w3.org/2001/XMLSchema" xmlns:p="http://schemas.microsoft.com/office/2006/metadata/properties" xmlns:ns3="a28913f9-f658-49ad-a093-b53919ef12c6" xmlns:ns4="c68b630d-a516-445e-9d53-7d1a6d7959c9" targetNamespace="http://schemas.microsoft.com/office/2006/metadata/properties" ma:root="true" ma:fieldsID="b22ff77dfb419fb42bdafa3275e6d0d4" ns3:_="" ns4:_="">
    <xsd:import namespace="a28913f9-f658-49ad-a093-b53919ef12c6"/>
    <xsd:import namespace="c68b630d-a516-445e-9d53-7d1a6d795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13f9-f658-49ad-a093-b53919ef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b630d-a516-445e-9d53-7d1a6d795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F2C8-7FDA-42EB-B5FC-7BCDDA5F800B}">
  <ds:schemaRefs>
    <ds:schemaRef ds:uri="a28913f9-f658-49ad-a093-b53919ef12c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c68b630d-a516-445e-9d53-7d1a6d7959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D95611-34CC-49DD-93B2-1EE235CE8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279B9-F9E8-41DC-9392-D9D0D8E41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913f9-f658-49ad-a093-b53919ef12c6"/>
    <ds:schemaRef ds:uri="c68b630d-a516-445e-9d53-7d1a6d795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10495-C472-45CD-BA39-0E6C4783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3</cp:revision>
  <cp:lastPrinted>2024-03-14T16:27:00Z</cp:lastPrinted>
  <dcterms:created xsi:type="dcterms:W3CDTF">2024-03-14T15:29:00Z</dcterms:created>
  <dcterms:modified xsi:type="dcterms:W3CDTF">2024-03-14T16:29:00Z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0x010100753395F4A0F2A34CB6A6BC99A876F15D</vt:lpwstr>
  </property>
  <property fmtid="{D5CDD505-2E9C-101B-9397-08002B2CF9AE}" pid="3" name="MediaServiceImageTags">
    <vt:lpwstr/>
  </property>
</Properties>
</file>