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932AB" w14:textId="77777777" w:rsidR="00726DC5" w:rsidRPr="0089282D" w:rsidRDefault="00726DC5" w:rsidP="00726DC5">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bookmarkStart w:id="0" w:name="_Hlk162249698"/>
      <w:r>
        <w:t>CONVENTION SUR LES ZONES HUMIDES</w:t>
      </w:r>
    </w:p>
    <w:p w14:paraId="0C59CD53" w14:textId="77777777" w:rsidR="00726DC5" w:rsidRPr="0089282D" w:rsidRDefault="00726DC5" w:rsidP="00726DC5">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t>63</w:t>
      </w:r>
      <w:r>
        <w:rPr>
          <w:vertAlign w:val="superscript"/>
        </w:rPr>
        <w:t>e</w:t>
      </w:r>
      <w:r>
        <w:t> réunion du Comité permanent</w:t>
      </w:r>
    </w:p>
    <w:p w14:paraId="6C269EB9" w14:textId="77777777" w:rsidR="00726DC5" w:rsidRPr="0089282D" w:rsidRDefault="00726DC5" w:rsidP="00726DC5">
      <w:pPr>
        <w:pBdr>
          <w:top w:val="single" w:sz="12" w:space="0" w:color="auto" w:shadow="1"/>
          <w:left w:val="single" w:sz="12" w:space="4" w:color="auto" w:shadow="1"/>
          <w:bottom w:val="single" w:sz="12" w:space="1" w:color="auto" w:shadow="1"/>
          <w:right w:val="single" w:sz="12" w:space="7" w:color="auto" w:shadow="1"/>
        </w:pBdr>
        <w:suppressAutoHyphens/>
        <w:ind w:right="4490"/>
        <w:rPr>
          <w:rFonts w:cs="Arial"/>
          <w:b/>
          <w:sz w:val="28"/>
          <w:szCs w:val="28"/>
        </w:rPr>
      </w:pPr>
      <w:r>
        <w:t>Gland, Suisse, 3 au 7 juin 2024</w:t>
      </w:r>
    </w:p>
    <w:p w14:paraId="20A41A8B" w14:textId="77777777" w:rsidR="00726DC5" w:rsidRDefault="00726DC5" w:rsidP="00B953B8">
      <w:pPr>
        <w:ind w:left="100"/>
        <w:jc w:val="right"/>
        <w:rPr>
          <w:b/>
          <w:sz w:val="28"/>
          <w:u w:val="single"/>
        </w:rPr>
      </w:pPr>
    </w:p>
    <w:p w14:paraId="529AF95F" w14:textId="77777777" w:rsidR="00726DC5" w:rsidRPr="00B953B8" w:rsidRDefault="00726DC5" w:rsidP="00B953B8">
      <w:pPr>
        <w:ind w:left="100"/>
        <w:jc w:val="right"/>
        <w:rPr>
          <w:b/>
          <w:sz w:val="28"/>
        </w:rPr>
      </w:pPr>
      <w:r>
        <w:rPr>
          <w:b/>
          <w:sz w:val="28"/>
        </w:rPr>
        <w:t>SC63 Doc.12</w:t>
      </w:r>
    </w:p>
    <w:p w14:paraId="1E5D982A" w14:textId="77777777" w:rsidR="00726DC5" w:rsidRPr="00B953B8" w:rsidRDefault="00726DC5" w:rsidP="00B953B8">
      <w:pPr>
        <w:ind w:left="100"/>
        <w:jc w:val="right"/>
        <w:rPr>
          <w:b/>
          <w:sz w:val="28"/>
          <w:u w:val="single"/>
        </w:rPr>
      </w:pPr>
    </w:p>
    <w:p w14:paraId="07A35742" w14:textId="77777777" w:rsidR="00AE2704" w:rsidRPr="00B953B8" w:rsidRDefault="00F82B4B" w:rsidP="00B953B8">
      <w:pPr>
        <w:ind w:left="100"/>
        <w:jc w:val="center"/>
        <w:rPr>
          <w:b/>
          <w:sz w:val="28"/>
        </w:rPr>
      </w:pPr>
      <w:r>
        <w:rPr>
          <w:b/>
          <w:sz w:val="28"/>
        </w:rPr>
        <w:t>Rapport du Groupe de travail sur le renforcement institutionnel</w:t>
      </w:r>
    </w:p>
    <w:p w14:paraId="205723D8" w14:textId="77777777" w:rsidR="00AE2704" w:rsidRDefault="00AE2704" w:rsidP="00B953B8">
      <w:pPr>
        <w:pStyle w:val="BodyText"/>
        <w:spacing w:before="0"/>
        <w:ind w:left="0" w:firstLine="0"/>
        <w:jc w:val="left"/>
        <w:rPr>
          <w:b/>
        </w:rPr>
      </w:pPr>
    </w:p>
    <w:p w14:paraId="4A06D708" w14:textId="77777777" w:rsidR="00726DC5" w:rsidRDefault="00726DC5" w:rsidP="00726DC5">
      <w:pPr>
        <w:ind w:left="100"/>
        <w:rPr>
          <w:b/>
        </w:rPr>
      </w:pPr>
      <w:r>
        <w:rPr>
          <w:noProof/>
        </w:rPr>
        <mc:AlternateContent>
          <mc:Choice Requires="wps">
            <w:drawing>
              <wp:inline distT="0" distB="0" distL="0" distR="0" wp14:anchorId="10DF661E" wp14:editId="5749A438">
                <wp:extent cx="5887329" cy="2178657"/>
                <wp:effectExtent l="0" t="0" r="1841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329" cy="2178657"/>
                        </a:xfrm>
                        <a:prstGeom prst="rect">
                          <a:avLst/>
                        </a:prstGeom>
                        <a:solidFill>
                          <a:srgbClr val="FFFFFF"/>
                        </a:solidFill>
                        <a:ln w="9525">
                          <a:solidFill>
                            <a:srgbClr val="000000"/>
                          </a:solidFill>
                          <a:miter lim="800000"/>
                          <a:headEnd/>
                          <a:tailEnd/>
                        </a:ln>
                      </wps:spPr>
                      <wps:txbx>
                        <w:txbxContent>
                          <w:p w14:paraId="7B5659BD" w14:textId="725B1FDB" w:rsidR="004059BA" w:rsidRDefault="004059BA" w:rsidP="00726DC5">
                            <w:pPr>
                              <w:rPr>
                                <w:b/>
                                <w:bCs/>
                              </w:rPr>
                            </w:pPr>
                            <w:r>
                              <w:rPr>
                                <w:b/>
                              </w:rPr>
                              <w:t xml:space="preserve">Mesures requises : </w:t>
                            </w:r>
                          </w:p>
                          <w:p w14:paraId="3ABD9D13" w14:textId="77777777" w:rsidR="004059BA" w:rsidRDefault="004059BA" w:rsidP="00726DC5">
                            <w:pPr>
                              <w:pStyle w:val="ColorfulList-Accent11"/>
                              <w:ind w:left="0"/>
                            </w:pPr>
                          </w:p>
                          <w:p w14:paraId="173FADA8" w14:textId="77777777" w:rsidR="004059BA" w:rsidRDefault="004059BA" w:rsidP="00726DC5">
                            <w:pPr>
                              <w:pStyle w:val="ColorfulList-Accent11"/>
                              <w:ind w:left="0" w:firstLine="0"/>
                              <w:rPr>
                                <w:rFonts w:cs="Calibri"/>
                              </w:rPr>
                            </w:pPr>
                            <w:r>
                              <w:t>Le Comité permanent est invité à :</w:t>
                            </w:r>
                          </w:p>
                          <w:p w14:paraId="00F5D203" w14:textId="77777777" w:rsidR="004059BA" w:rsidRDefault="004059BA" w:rsidP="00B953B8">
                            <w:pPr>
                              <w:pStyle w:val="ColorfulList-Accent11"/>
                              <w:ind w:left="-425" w:firstLine="0"/>
                              <w:rPr>
                                <w:rFonts w:cs="Calibri"/>
                              </w:rPr>
                            </w:pPr>
                          </w:p>
                          <w:p w14:paraId="7186779B" w14:textId="77777777" w:rsidR="004059BA" w:rsidRDefault="004059BA" w:rsidP="00B953B8">
                            <w:pPr>
                              <w:tabs>
                                <w:tab w:val="left" w:pos="820"/>
                              </w:tabs>
                              <w:ind w:left="425" w:hanging="425"/>
                            </w:pPr>
                            <w:r>
                              <w:t>i.</w:t>
                            </w:r>
                            <w:r>
                              <w:tab/>
                              <w:t>prendre note de ce premier rapport d’activité sur les travaux du Groupe de travail sur le renforcement institutionnel établi à la 62</w:t>
                            </w:r>
                            <w:r>
                              <w:rPr>
                                <w:vertAlign w:val="superscript"/>
                              </w:rPr>
                              <w:t>e</w:t>
                            </w:r>
                            <w:r>
                              <w:t> Réunion du Comité permanent ;</w:t>
                            </w:r>
                          </w:p>
                          <w:p w14:paraId="4EA77031" w14:textId="77777777" w:rsidR="004059BA" w:rsidRDefault="004059BA" w:rsidP="00B953B8">
                            <w:pPr>
                              <w:pStyle w:val="ListParagraph"/>
                              <w:tabs>
                                <w:tab w:val="left" w:pos="820"/>
                              </w:tabs>
                              <w:spacing w:before="0"/>
                              <w:ind w:left="425" w:hanging="425"/>
                            </w:pPr>
                          </w:p>
                          <w:p w14:paraId="0887E8FD" w14:textId="6B921A55" w:rsidR="004059BA" w:rsidRPr="00B953B8" w:rsidRDefault="004059BA" w:rsidP="00B953B8">
                            <w:pPr>
                              <w:tabs>
                                <w:tab w:val="left" w:pos="820"/>
                              </w:tabs>
                              <w:ind w:left="425" w:hanging="425"/>
                            </w:pPr>
                            <w:r>
                              <w:t>ii.</w:t>
                            </w:r>
                            <w:r>
                              <w:tab/>
                              <w:t>prendre note du rapport de synthèse de la consultante élaboré pour soutenir les travaux du GTRI ; et</w:t>
                            </w:r>
                          </w:p>
                          <w:p w14:paraId="6101D593" w14:textId="77777777" w:rsidR="004059BA" w:rsidRDefault="004059BA" w:rsidP="00B953B8">
                            <w:pPr>
                              <w:pStyle w:val="ListParagraph"/>
                              <w:tabs>
                                <w:tab w:val="left" w:pos="820"/>
                              </w:tabs>
                              <w:spacing w:before="0"/>
                              <w:ind w:left="425" w:hanging="425"/>
                            </w:pPr>
                          </w:p>
                          <w:p w14:paraId="1E6B53ED" w14:textId="15D77B54" w:rsidR="004059BA" w:rsidRPr="00B953B8" w:rsidRDefault="004059BA" w:rsidP="00B953B8">
                            <w:pPr>
                              <w:tabs>
                                <w:tab w:val="left" w:pos="817"/>
                              </w:tabs>
                              <w:ind w:left="425" w:hanging="425"/>
                            </w:pPr>
                            <w:r>
                              <w:t>iii.</w:t>
                            </w:r>
                            <w:r>
                              <w:tab/>
                              <w:t xml:space="preserve">examiner les paragraphes 10 et 11 du présent document et étendre </w:t>
                            </w:r>
                            <w:r w:rsidR="00994318">
                              <w:t>les</w:t>
                            </w:r>
                            <w:r>
                              <w:t xml:space="preserve"> travaux du GTRI </w:t>
                            </w:r>
                            <w:r w:rsidR="00994318">
                              <w:t xml:space="preserve">à </w:t>
                            </w:r>
                            <w:r>
                              <w:t>des activités supplémentaires.</w:t>
                            </w:r>
                          </w:p>
                          <w:p w14:paraId="167F77AD" w14:textId="77777777" w:rsidR="004059BA" w:rsidRDefault="004059BA" w:rsidP="00B953B8">
                            <w:pPr>
                              <w:pStyle w:val="ListParagraph"/>
                              <w:tabs>
                                <w:tab w:val="left" w:pos="817"/>
                              </w:tabs>
                              <w:spacing w:before="0"/>
                              <w:ind w:left="817" w:firstLine="0"/>
                            </w:pPr>
                          </w:p>
                        </w:txbxContent>
                      </wps:txbx>
                      <wps:bodyPr rot="0" vert="horz" wrap="square" lIns="91440" tIns="45720" rIns="91440" bIns="45720" anchor="t" anchorCtr="0" upright="1">
                        <a:noAutofit/>
                      </wps:bodyPr>
                    </wps:wsp>
                  </a:graphicData>
                </a:graphic>
              </wp:inline>
            </w:drawing>
          </mc:Choice>
          <mc:Fallback>
            <w:pict>
              <v:shapetype w14:anchorId="10DF661E" id="_x0000_t202" coordsize="21600,21600" o:spt="202" path="m,l,21600r21600,l21600,xe">
                <v:stroke joinstyle="miter"/>
                <v:path gradientshapeok="t" o:connecttype="rect"/>
              </v:shapetype>
              <v:shape id="Text Box 10" o:spid="_x0000_s1026" type="#_x0000_t202" style="width:463.55pt;height:1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">
                <v:textbox>
                  <w:txbxContent>
                    <w:p w14:paraId="7B5659BD" w14:textId="725B1FDB" w:rsidR="004059BA" w:rsidRDefault="004059BA" w:rsidP="00726DC5">
                      <w:pPr>
                        <w:rPr>
                          <w:b/>
                          <w:bCs/>
                        </w:rPr>
                      </w:pPr>
                      <w:r>
                        <w:rPr>
                          <w:b/>
                        </w:rPr>
                        <w:t xml:space="preserve">Mesures requises : </w:t>
                      </w:r>
                    </w:p>
                    <w:p w14:paraId="3ABD9D13" w14:textId="77777777" w:rsidR="004059BA" w:rsidRDefault="004059BA" w:rsidP="00726DC5">
                      <w:pPr>
                        <w:pStyle w:val="ColorfulList-Accent11"/>
                        <w:ind w:left="0"/>
                      </w:pPr>
                    </w:p>
                    <w:p w14:paraId="173FADA8" w14:textId="77777777" w:rsidR="004059BA" w:rsidRDefault="004059BA" w:rsidP="00726DC5">
                      <w:pPr>
                        <w:pStyle w:val="ColorfulList-Accent11"/>
                        <w:ind w:left="0" w:firstLine="0"/>
                        <w:rPr>
                          <w:rFonts w:cs="Calibri"/>
                        </w:rPr>
                      </w:pPr>
                      <w:r>
                        <w:t>Le Comité permanent est invité à :</w:t>
                      </w:r>
                    </w:p>
                    <w:p w14:paraId="00F5D203" w14:textId="77777777" w:rsidR="004059BA" w:rsidRDefault="004059BA" w:rsidP="00B953B8">
                      <w:pPr>
                        <w:pStyle w:val="ColorfulList-Accent11"/>
                        <w:ind w:left="-425" w:firstLine="0"/>
                        <w:rPr>
                          <w:rFonts w:cs="Calibri"/>
                        </w:rPr>
                      </w:pPr>
                    </w:p>
                    <w:p w14:paraId="7186779B" w14:textId="77777777" w:rsidR="004059BA" w:rsidRDefault="004059BA" w:rsidP="00B953B8">
                      <w:pPr>
                        <w:tabs>
                          <w:tab w:val="left" w:pos="820"/>
                        </w:tabs>
                        <w:ind w:left="425" w:hanging="425"/>
                      </w:pPr>
                      <w:r>
                        <w:t>i.</w:t>
                      </w:r>
                      <w:r>
                        <w:tab/>
                        <w:t>prendre note de ce premier rapport d’activité sur les travaux du Groupe de travail sur le renforcement institutionnel établi à la 62</w:t>
                      </w:r>
                      <w:r>
                        <w:rPr>
                          <w:vertAlign w:val="superscript"/>
                        </w:rPr>
                        <w:t>e</w:t>
                      </w:r>
                      <w:r>
                        <w:t> Réunion du Comité permanent ;</w:t>
                      </w:r>
                    </w:p>
                    <w:p w14:paraId="4EA77031" w14:textId="77777777" w:rsidR="004059BA" w:rsidRDefault="004059BA" w:rsidP="00B953B8">
                      <w:pPr>
                        <w:pStyle w:val="ListParagraph"/>
                        <w:tabs>
                          <w:tab w:val="left" w:pos="820"/>
                        </w:tabs>
                        <w:spacing w:before="0"/>
                        <w:ind w:left="425" w:hanging="425"/>
                      </w:pPr>
                    </w:p>
                    <w:p w14:paraId="0887E8FD" w14:textId="6B921A55" w:rsidR="004059BA" w:rsidRPr="00B953B8" w:rsidRDefault="004059BA" w:rsidP="00B953B8">
                      <w:pPr>
                        <w:tabs>
                          <w:tab w:val="left" w:pos="820"/>
                        </w:tabs>
                        <w:ind w:left="425" w:hanging="425"/>
                      </w:pPr>
                      <w:r>
                        <w:t>ii.</w:t>
                      </w:r>
                      <w:r>
                        <w:tab/>
                        <w:t>prendre note du rapport de synthèse de la consultante élaboré pour soutenir les travaux du GTRI ; et</w:t>
                      </w:r>
                    </w:p>
                    <w:p w14:paraId="6101D593" w14:textId="77777777" w:rsidR="004059BA" w:rsidRDefault="004059BA" w:rsidP="00B953B8">
                      <w:pPr>
                        <w:pStyle w:val="ListParagraph"/>
                        <w:tabs>
                          <w:tab w:val="left" w:pos="820"/>
                        </w:tabs>
                        <w:spacing w:before="0"/>
                        <w:ind w:left="425" w:hanging="425"/>
                      </w:pPr>
                    </w:p>
                    <w:p w14:paraId="1E6B53ED" w14:textId="15D77B54" w:rsidR="004059BA" w:rsidRPr="00B953B8" w:rsidRDefault="004059BA" w:rsidP="00B953B8">
                      <w:pPr>
                        <w:tabs>
                          <w:tab w:val="left" w:pos="817"/>
                        </w:tabs>
                        <w:ind w:left="425" w:hanging="425"/>
                      </w:pPr>
                      <w:r>
                        <w:t>iii.</w:t>
                      </w:r>
                      <w:r>
                        <w:tab/>
                        <w:t xml:space="preserve">examiner les paragraphes 10 et 11 du présent document et étendre </w:t>
                      </w:r>
                      <w:r w:rsidR="00994318">
                        <w:t>les</w:t>
                      </w:r>
                      <w:r>
                        <w:t xml:space="preserve"> travaux du GTRI </w:t>
                      </w:r>
                      <w:r w:rsidR="00994318">
                        <w:t xml:space="preserve">à </w:t>
                      </w:r>
                      <w:r>
                        <w:t>des activités supplémentaires.</w:t>
                      </w:r>
                    </w:p>
                    <w:p w14:paraId="167F77AD" w14:textId="77777777" w:rsidR="004059BA" w:rsidRDefault="004059BA" w:rsidP="00B953B8">
                      <w:pPr>
                        <w:pStyle w:val="ListParagraph"/>
                        <w:tabs>
                          <w:tab w:val="left" w:pos="817"/>
                        </w:tabs>
                        <w:spacing w:before="0"/>
                        <w:ind w:left="817" w:firstLine="0"/>
                      </w:pPr>
                    </w:p>
                  </w:txbxContent>
                </v:textbox>
                <w10:anchorlock/>
              </v:shape>
            </w:pict>
          </mc:Fallback>
        </mc:AlternateContent>
      </w:r>
    </w:p>
    <w:p w14:paraId="03742547" w14:textId="77777777" w:rsidR="00726DC5" w:rsidRDefault="00726DC5" w:rsidP="00726DC5">
      <w:pPr>
        <w:ind w:left="100"/>
        <w:rPr>
          <w:b/>
        </w:rPr>
      </w:pPr>
    </w:p>
    <w:p w14:paraId="19C6C054" w14:textId="77777777" w:rsidR="00A53108" w:rsidRDefault="00A53108" w:rsidP="00B953B8">
      <w:pPr>
        <w:ind w:left="100"/>
        <w:rPr>
          <w:b/>
        </w:rPr>
      </w:pPr>
    </w:p>
    <w:p w14:paraId="78CD1E72" w14:textId="5727F15A" w:rsidR="00AE2704" w:rsidRDefault="00213E21" w:rsidP="00B953B8">
      <w:pPr>
        <w:ind w:left="425" w:hanging="425"/>
        <w:rPr>
          <w:b/>
          <w:spacing w:val="-2"/>
        </w:rPr>
      </w:pPr>
      <w:r>
        <w:rPr>
          <w:b/>
        </w:rPr>
        <w:t>Rapport d</w:t>
      </w:r>
      <w:r w:rsidR="00776267">
        <w:rPr>
          <w:b/>
        </w:rPr>
        <w:t>’</w:t>
      </w:r>
      <w:r>
        <w:rPr>
          <w:b/>
        </w:rPr>
        <w:t xml:space="preserve">activité et </w:t>
      </w:r>
      <w:r w:rsidR="00C15394">
        <w:rPr>
          <w:b/>
        </w:rPr>
        <w:t>tâches futures</w:t>
      </w:r>
    </w:p>
    <w:p w14:paraId="7015E3A3" w14:textId="77777777" w:rsidR="00726DC5" w:rsidRDefault="00726DC5" w:rsidP="00B953B8">
      <w:pPr>
        <w:ind w:left="100"/>
        <w:rPr>
          <w:b/>
        </w:rPr>
      </w:pPr>
    </w:p>
    <w:p w14:paraId="12CAD788" w14:textId="1162E432" w:rsidR="00AE2704" w:rsidRDefault="00726DC5" w:rsidP="00B953B8">
      <w:pPr>
        <w:tabs>
          <w:tab w:val="left" w:pos="818"/>
        </w:tabs>
        <w:ind w:left="425" w:hanging="425"/>
      </w:pPr>
      <w:r>
        <w:t>1.</w:t>
      </w:r>
      <w:r>
        <w:rPr>
          <w:i/>
        </w:rPr>
        <w:tab/>
      </w:r>
      <w:r>
        <w:t xml:space="preserve">À sa quatorzième session, la Conférence des Parties contractantes a adopté la Résolution XIV.6 </w:t>
      </w:r>
      <w:r>
        <w:rPr>
          <w:i/>
          <w:iCs/>
        </w:rPr>
        <w:t>Renforcer la visibilité de la Convention et les synergies avec d</w:t>
      </w:r>
      <w:r w:rsidR="00776267">
        <w:rPr>
          <w:i/>
          <w:iCs/>
        </w:rPr>
        <w:t>’</w:t>
      </w:r>
      <w:r>
        <w:rPr>
          <w:i/>
          <w:iCs/>
        </w:rPr>
        <w:t>autres accords multilatéraux sur l</w:t>
      </w:r>
      <w:r w:rsidR="00776267">
        <w:rPr>
          <w:i/>
          <w:iCs/>
        </w:rPr>
        <w:t>’</w:t>
      </w:r>
      <w:r>
        <w:rPr>
          <w:i/>
          <w:iCs/>
        </w:rPr>
        <w:t>environnement et institutions internationales</w:t>
      </w:r>
      <w:r>
        <w:t>, dans laquelle, au paragraphe 22, elle :</w:t>
      </w:r>
    </w:p>
    <w:p w14:paraId="0ABB44DE" w14:textId="77777777" w:rsidR="00D75E0D" w:rsidRDefault="00D75E0D" w:rsidP="00B953B8">
      <w:pPr>
        <w:ind w:left="425" w:hanging="425"/>
      </w:pPr>
    </w:p>
    <w:p w14:paraId="4D4D9E90" w14:textId="2B66CE33" w:rsidR="00AE2704" w:rsidRPr="00B953B8" w:rsidRDefault="00213E21" w:rsidP="00C6361A">
      <w:pPr>
        <w:pStyle w:val="BodyText"/>
        <w:spacing w:before="0"/>
        <w:ind w:left="851" w:firstLine="0"/>
        <w:jc w:val="left"/>
        <w:rPr>
          <w:i/>
        </w:rPr>
      </w:pPr>
      <w:r>
        <w:rPr>
          <w:i/>
          <w:iCs/>
        </w:rPr>
        <w:t>« donne instruction au Secrétariat, en consultation avec les Parties contractantes intéressées, de préparer un rapport sur le renforcement institutionnel, contenant des recommandations relatives aux besoins du Secrétariat de renforcer la solidité de sa structure organisationnelle pour soutenir l</w:t>
      </w:r>
      <w:r w:rsidR="00776267">
        <w:rPr>
          <w:i/>
          <w:iCs/>
        </w:rPr>
        <w:t>’</w:t>
      </w:r>
      <w:r>
        <w:rPr>
          <w:i/>
          <w:iCs/>
        </w:rPr>
        <w:t>application de la Convention, y compris mais sans s</w:t>
      </w:r>
      <w:r w:rsidR="00776267">
        <w:rPr>
          <w:i/>
          <w:iCs/>
        </w:rPr>
        <w:t>’</w:t>
      </w:r>
      <w:r>
        <w:rPr>
          <w:i/>
          <w:iCs/>
        </w:rPr>
        <w:t>y limiter, en ce qui concerne les dispositions administratives, la gouvernance, le leadership, l</w:t>
      </w:r>
      <w:r w:rsidR="00776267">
        <w:rPr>
          <w:i/>
          <w:iCs/>
        </w:rPr>
        <w:t>’</w:t>
      </w:r>
      <w:r>
        <w:rPr>
          <w:i/>
          <w:iCs/>
        </w:rPr>
        <w:t>indépendance des ressources humaines, le haut niveau de l</w:t>
      </w:r>
      <w:r w:rsidR="00776267">
        <w:rPr>
          <w:i/>
          <w:iCs/>
        </w:rPr>
        <w:t>’</w:t>
      </w:r>
      <w:r>
        <w:rPr>
          <w:i/>
          <w:iCs/>
        </w:rPr>
        <w:t>engagement politique et les objectifs en matière de visibilité de la Convention, et charge le Secrétariat de présenter le rapport, assorti de recommandations à la 62</w:t>
      </w:r>
      <w:r>
        <w:rPr>
          <w:i/>
          <w:iCs/>
          <w:vertAlign w:val="superscript"/>
        </w:rPr>
        <w:t>e</w:t>
      </w:r>
      <w:r>
        <w:rPr>
          <w:i/>
          <w:iCs/>
        </w:rPr>
        <w:t> Réunion du Comité permanent, pour discussion ainsi qu</w:t>
      </w:r>
      <w:r w:rsidR="00776267">
        <w:rPr>
          <w:i/>
          <w:iCs/>
        </w:rPr>
        <w:t>’</w:t>
      </w:r>
      <w:r>
        <w:rPr>
          <w:i/>
          <w:iCs/>
        </w:rPr>
        <w:t>un projet de résolution subséquent à la 63</w:t>
      </w:r>
      <w:r>
        <w:rPr>
          <w:i/>
          <w:iCs/>
          <w:vertAlign w:val="superscript"/>
        </w:rPr>
        <w:t>e</w:t>
      </w:r>
      <w:r>
        <w:rPr>
          <w:i/>
          <w:iCs/>
        </w:rPr>
        <w:t> Réunion, pour examen. »</w:t>
      </w:r>
    </w:p>
    <w:p w14:paraId="35C8D0B5" w14:textId="77777777" w:rsidR="00726DC5" w:rsidRDefault="00726DC5" w:rsidP="00B953B8">
      <w:pPr>
        <w:pStyle w:val="BodyText"/>
        <w:spacing w:before="0"/>
        <w:ind w:left="425" w:hanging="425"/>
      </w:pPr>
    </w:p>
    <w:p w14:paraId="73FB73C9" w14:textId="6F267EFB" w:rsidR="00AE2704" w:rsidRDefault="00726DC5" w:rsidP="00B953B8">
      <w:pPr>
        <w:tabs>
          <w:tab w:val="left" w:pos="818"/>
          <w:tab w:val="left" w:pos="820"/>
        </w:tabs>
        <w:ind w:left="425" w:hanging="425"/>
      </w:pPr>
      <w:r>
        <w:t>2.</w:t>
      </w:r>
      <w:r>
        <w:tab/>
        <w:t>Conformément au paragraphe 22, le Secrétariat a présenté un rapport à la 62</w:t>
      </w:r>
      <w:r>
        <w:rPr>
          <w:vertAlign w:val="superscript"/>
        </w:rPr>
        <w:t>e</w:t>
      </w:r>
      <w:r>
        <w:t> Réunion du Comité permanent</w:t>
      </w:r>
      <w:r w:rsidR="00D10A4C">
        <w:rPr>
          <w:rStyle w:val="FootnoteReference"/>
        </w:rPr>
        <w:footnoteReference w:id="1"/>
      </w:r>
      <w:r>
        <w:t xml:space="preserve"> basé sur deux consultations avec les Parties intéressées, qui comprend diverses options pour relever les défis dans cinq domaines.</w:t>
      </w:r>
    </w:p>
    <w:p w14:paraId="1095E387" w14:textId="77777777" w:rsidR="00726DC5" w:rsidRDefault="00726DC5" w:rsidP="00B953B8">
      <w:pPr>
        <w:tabs>
          <w:tab w:val="left" w:pos="818"/>
          <w:tab w:val="left" w:pos="820"/>
        </w:tabs>
        <w:ind w:left="820" w:right="196" w:hanging="360"/>
      </w:pPr>
    </w:p>
    <w:p w14:paraId="61466F1C" w14:textId="27C66B9C" w:rsidR="00AE2704" w:rsidRDefault="00726DC5" w:rsidP="00C6361A">
      <w:pPr>
        <w:keepNext/>
        <w:tabs>
          <w:tab w:val="left" w:pos="818"/>
        </w:tabs>
        <w:ind w:left="425" w:hanging="425"/>
        <w:rPr>
          <w:spacing w:val="-5"/>
        </w:rPr>
      </w:pPr>
      <w:r>
        <w:lastRenderedPageBreak/>
        <w:t>3.</w:t>
      </w:r>
      <w:r>
        <w:tab/>
        <w:t>À sa 62</w:t>
      </w:r>
      <w:r>
        <w:rPr>
          <w:vertAlign w:val="superscript"/>
        </w:rPr>
        <w:t>e</w:t>
      </w:r>
      <w:r>
        <w:t> Réunion, le Comité permanent :</w:t>
      </w:r>
    </w:p>
    <w:p w14:paraId="6621606F" w14:textId="77777777" w:rsidR="00D75E0D" w:rsidRDefault="00D75E0D" w:rsidP="00C6361A">
      <w:pPr>
        <w:keepNext/>
        <w:tabs>
          <w:tab w:val="left" w:pos="818"/>
        </w:tabs>
        <w:ind w:left="818" w:hanging="358"/>
      </w:pPr>
    </w:p>
    <w:p w14:paraId="297D654E" w14:textId="1D7B4138" w:rsidR="00AE2704" w:rsidRDefault="00726DC5" w:rsidP="00B953B8">
      <w:pPr>
        <w:tabs>
          <w:tab w:val="left" w:pos="1538"/>
          <w:tab w:val="left" w:pos="1540"/>
        </w:tabs>
        <w:ind w:left="850" w:hanging="425"/>
      </w:pPr>
      <w:r>
        <w:t>a.</w:t>
      </w:r>
      <w:r>
        <w:tab/>
        <w:t>a pris note du rapport du Secrétariat sur le renforcement institutionnel pour soutenir l</w:t>
      </w:r>
      <w:r w:rsidR="00776267">
        <w:t>’</w:t>
      </w:r>
      <w:r>
        <w:t>application de la Convention en réponse à la Résolution XIV.6, paragraphe 22 ;</w:t>
      </w:r>
    </w:p>
    <w:p w14:paraId="4AA43927" w14:textId="77777777" w:rsidR="00D75E0D" w:rsidRDefault="00D75E0D" w:rsidP="00B953B8">
      <w:pPr>
        <w:tabs>
          <w:tab w:val="left" w:pos="1538"/>
          <w:tab w:val="left" w:pos="1540"/>
        </w:tabs>
        <w:ind w:left="850" w:hanging="425"/>
      </w:pPr>
    </w:p>
    <w:p w14:paraId="19316284" w14:textId="3841BF9B" w:rsidR="00AE2704" w:rsidRDefault="00726DC5" w:rsidP="00B953B8">
      <w:pPr>
        <w:tabs>
          <w:tab w:val="left" w:pos="1540"/>
        </w:tabs>
        <w:ind w:left="850" w:hanging="425"/>
      </w:pPr>
      <w:r>
        <w:t>b.</w:t>
      </w:r>
      <w:r>
        <w:tab/>
        <w:t>a pris note des recommandations des Parties contractantes intéressées et du Secrétariat qui sont reflétées dans l</w:t>
      </w:r>
      <w:r w:rsidR="00776267">
        <w:t>’</w:t>
      </w:r>
      <w:r>
        <w:t>annexe 2 du rapport ;</w:t>
      </w:r>
    </w:p>
    <w:p w14:paraId="169D1129" w14:textId="77777777" w:rsidR="00D75E0D" w:rsidRDefault="00D75E0D" w:rsidP="00B953B8">
      <w:pPr>
        <w:tabs>
          <w:tab w:val="left" w:pos="1540"/>
        </w:tabs>
        <w:ind w:left="850" w:hanging="425"/>
      </w:pPr>
    </w:p>
    <w:p w14:paraId="22A81602" w14:textId="1F4D9609" w:rsidR="00AE2704" w:rsidRDefault="00726DC5" w:rsidP="00B953B8">
      <w:pPr>
        <w:tabs>
          <w:tab w:val="left" w:pos="1540"/>
        </w:tabs>
        <w:ind w:left="850" w:hanging="425"/>
        <w:rPr>
          <w:spacing w:val="-2"/>
        </w:rPr>
      </w:pPr>
      <w:r>
        <w:t>c.</w:t>
      </w:r>
      <w:r>
        <w:tab/>
        <w:t>a constitué un Groupe de travail chargé de piloter le processus visant à assurer le renforcement institutionnel pour soutenir l</w:t>
      </w:r>
      <w:r w:rsidR="00776267">
        <w:t>’</w:t>
      </w:r>
      <w:r>
        <w:t>application de la Convention, y compris par la préparation d</w:t>
      </w:r>
      <w:r w:rsidR="00776267">
        <w:t>’</w:t>
      </w:r>
      <w:r>
        <w:t>un projet de résolution pour examen par le Comité permanent à sa 63</w:t>
      </w:r>
      <w:r>
        <w:rPr>
          <w:vertAlign w:val="superscript"/>
        </w:rPr>
        <w:t>e</w:t>
      </w:r>
      <w:r>
        <w:t> Réunion, et a demandé que le mandat du Groupe de travail soit soumis à la 62</w:t>
      </w:r>
      <w:r>
        <w:rPr>
          <w:vertAlign w:val="superscript"/>
        </w:rPr>
        <w:t>e</w:t>
      </w:r>
      <w:r>
        <w:t> Réunion ; (Décision SC62-17)</w:t>
      </w:r>
    </w:p>
    <w:p w14:paraId="2561027A" w14:textId="77777777" w:rsidR="00D75E0D" w:rsidRDefault="00D75E0D" w:rsidP="00B953B8">
      <w:pPr>
        <w:tabs>
          <w:tab w:val="left" w:pos="1540"/>
        </w:tabs>
        <w:ind w:left="850" w:hanging="425"/>
      </w:pPr>
    </w:p>
    <w:p w14:paraId="15A8BB32" w14:textId="59F3EB9B" w:rsidR="00AE2704" w:rsidRDefault="00726DC5" w:rsidP="00B953B8">
      <w:pPr>
        <w:tabs>
          <w:tab w:val="left" w:pos="1540"/>
        </w:tabs>
        <w:ind w:left="850" w:hanging="425"/>
      </w:pPr>
      <w:r>
        <w:t>d.</w:t>
      </w:r>
      <w:r>
        <w:tab/>
        <w:t xml:space="preserve">a pris note du </w:t>
      </w:r>
      <w:r w:rsidR="00352A89" w:rsidRPr="00352A89">
        <w:t xml:space="preserve">cahier des charges </w:t>
      </w:r>
      <w:r>
        <w:t>convenu par le Groupe de travail et présenté à la 62</w:t>
      </w:r>
      <w:r>
        <w:rPr>
          <w:vertAlign w:val="superscript"/>
        </w:rPr>
        <w:t>e</w:t>
      </w:r>
      <w:r>
        <w:t> Réunion du Comité permanent dans le document SC62 Com.2. (Décision SC62-5</w:t>
      </w:r>
      <w:r w:rsidR="00352A89">
        <w:t>1</w:t>
      </w:r>
      <w:r>
        <w:t>)</w:t>
      </w:r>
    </w:p>
    <w:p w14:paraId="05221B79" w14:textId="77777777" w:rsidR="00726DC5" w:rsidRDefault="00726DC5" w:rsidP="00B953B8">
      <w:pPr>
        <w:tabs>
          <w:tab w:val="left" w:pos="1540"/>
        </w:tabs>
        <w:ind w:left="1540" w:right="197" w:hanging="360"/>
      </w:pPr>
    </w:p>
    <w:p w14:paraId="0884AE2D" w14:textId="060F964F" w:rsidR="00AE2704" w:rsidRDefault="00726DC5" w:rsidP="00B953B8">
      <w:pPr>
        <w:tabs>
          <w:tab w:val="left" w:pos="818"/>
          <w:tab w:val="left" w:pos="820"/>
        </w:tabs>
        <w:ind w:left="425" w:hanging="425"/>
      </w:pPr>
      <w:r>
        <w:t>4.</w:t>
      </w:r>
      <w:r>
        <w:tab/>
        <w:t>Une fois constitué, sous la présidence de l</w:t>
      </w:r>
      <w:r w:rsidR="00776267">
        <w:t>’</w:t>
      </w:r>
      <w:r>
        <w:t>Afrique du Sud et la coprésidence des États-Unis d</w:t>
      </w:r>
      <w:r w:rsidR="00776267">
        <w:t>’</w:t>
      </w:r>
      <w:r>
        <w:t>Amérique, le Groupe de travail sur le renforcement institutionnel (GTRI) a élaboré son plan de travail (voir annexe 1 du présent document) et s</w:t>
      </w:r>
      <w:r w:rsidR="00776267">
        <w:t>’</w:t>
      </w:r>
      <w:r>
        <w:t>est réuni quatre fois avant la 63</w:t>
      </w:r>
      <w:r>
        <w:rPr>
          <w:vertAlign w:val="superscript"/>
        </w:rPr>
        <w:t>e</w:t>
      </w:r>
      <w:r>
        <w:t xml:space="preserve"> Réunion du Comité permanent : le 11 octobre 2023, le 11 janvier 2024, le 12 février 2024 et le 4 mars 2024. Le GTRI était constitué de 17 membres qui représentaient chacune des six régions de la Convention. Les pays </w:t>
      </w:r>
      <w:r w:rsidR="002801A2">
        <w:t>présents étaient</w:t>
      </w:r>
      <w:r>
        <w:t> : l</w:t>
      </w:r>
      <w:r w:rsidR="00776267">
        <w:t>’</w:t>
      </w:r>
      <w:r>
        <w:t>Afrique du Sud, l</w:t>
      </w:r>
      <w:r w:rsidR="00776267">
        <w:t>’</w:t>
      </w:r>
      <w:r>
        <w:t>Australie, le Brésil, le Cambodge, la Colombie, le Costa Rica, les États-Unis d</w:t>
      </w:r>
      <w:r w:rsidR="00776267">
        <w:t>’</w:t>
      </w:r>
      <w:r>
        <w:t>Amérique, l</w:t>
      </w:r>
      <w:r w:rsidR="00776267">
        <w:t>’</w:t>
      </w:r>
      <w:r>
        <w:t>Iran (République islamique d</w:t>
      </w:r>
      <w:r w:rsidR="00776267">
        <w:t>’</w:t>
      </w:r>
      <w:r>
        <w:t>), le Japon, le Maroc, le Mexique, le Panama, la Suisse, l</w:t>
      </w:r>
      <w:r w:rsidR="00776267">
        <w:t>’</w:t>
      </w:r>
      <w:r>
        <w:t>Ukraine, la Zambie et le Zimbabwe. (Conformément au mandat du Groupe de travail, d</w:t>
      </w:r>
      <w:r w:rsidR="00776267">
        <w:t>’</w:t>
      </w:r>
      <w:r>
        <w:t>autres Parties contractantes pouvaient s</w:t>
      </w:r>
      <w:r w:rsidR="00776267">
        <w:t>’</w:t>
      </w:r>
      <w:r>
        <w:t>y joindre à tout moment). Le GTRI, avec l</w:t>
      </w:r>
      <w:r w:rsidR="00776267">
        <w:t>’</w:t>
      </w:r>
      <w:r>
        <w:t xml:space="preserve">appui du Secrétariat, a </w:t>
      </w:r>
      <w:r w:rsidR="00D96D92">
        <w:t>créé</w:t>
      </w:r>
      <w:r>
        <w:t xml:space="preserve"> une base de données SharePoint pou</w:t>
      </w:r>
      <w:r w:rsidR="009020E0">
        <w:t>r la gestion</w:t>
      </w:r>
      <w:r w:rsidR="00536E55">
        <w:t xml:space="preserve"> </w:t>
      </w:r>
      <w:r w:rsidR="009020E0">
        <w:t>d</w:t>
      </w:r>
      <w:r w:rsidR="00536E55">
        <w:t>es</w:t>
      </w:r>
      <w:r>
        <w:t xml:space="preserve"> documents </w:t>
      </w:r>
      <w:r w:rsidR="00651FCB">
        <w:t xml:space="preserve">visant à </w:t>
      </w:r>
      <w:r>
        <w:t xml:space="preserve">éclairer les membres et les Parties contractantes intéressées </w:t>
      </w:r>
      <w:r w:rsidR="000D611C">
        <w:t>afin qu’elles</w:t>
      </w:r>
      <w:r>
        <w:t xml:space="preserve"> pren</w:t>
      </w:r>
      <w:r w:rsidR="00E569D4">
        <w:t>nent</w:t>
      </w:r>
      <w:r>
        <w:t xml:space="preserve"> part aux délibérations.</w:t>
      </w:r>
    </w:p>
    <w:p w14:paraId="651AB72F" w14:textId="77777777" w:rsidR="00D75E0D" w:rsidRDefault="00D75E0D" w:rsidP="00B953B8">
      <w:pPr>
        <w:tabs>
          <w:tab w:val="left" w:pos="818"/>
          <w:tab w:val="left" w:pos="820"/>
        </w:tabs>
        <w:ind w:left="820" w:right="194" w:hanging="360"/>
      </w:pPr>
    </w:p>
    <w:p w14:paraId="4CF260D0" w14:textId="368417EA" w:rsidR="00AE2704" w:rsidRDefault="00726DC5" w:rsidP="00B953B8">
      <w:pPr>
        <w:tabs>
          <w:tab w:val="left" w:pos="818"/>
          <w:tab w:val="left" w:pos="820"/>
        </w:tabs>
        <w:ind w:left="425" w:hanging="425"/>
        <w:rPr>
          <w:spacing w:val="-2"/>
        </w:rPr>
      </w:pPr>
      <w:r>
        <w:t>5.</w:t>
      </w:r>
      <w:r>
        <w:tab/>
      </w:r>
      <w:r>
        <w:rPr>
          <w:b/>
        </w:rPr>
        <w:t xml:space="preserve">Première réunion du GTRI : </w:t>
      </w:r>
      <w:r w:rsidR="006447F6">
        <w:t>l</w:t>
      </w:r>
      <w:r>
        <w:t>a réunion initiale du GTRI, tenue le 11 octobre 2023, a donné lieu à une discussion très générale pour recueillir les points de vue du GTRI sur les définitions essentielles des termes, et dégager une interprétation commune des buts et objectifs du Groupe. En s</w:t>
      </w:r>
      <w:r w:rsidR="00776267">
        <w:t>’</w:t>
      </w:r>
      <w:r>
        <w:t xml:space="preserve">appuyant sur une présentation conjointe de la Suisse et du Mexique, le GTRI a parcouru une chronologie des initiatives précédentes menées entre 1984 et la dernière période triennale en 2022. </w:t>
      </w:r>
      <w:r w:rsidRPr="00AB5F18">
        <w:t xml:space="preserve">Le GTRI a examiné un plan de travail initial et a pris note </w:t>
      </w:r>
      <w:r w:rsidR="009B5EC6" w:rsidRPr="00AB5F18">
        <w:t xml:space="preserve">de la difficulté de </w:t>
      </w:r>
      <w:r w:rsidR="004C3FB0" w:rsidRPr="00AB5F18">
        <w:t>faire face à</w:t>
      </w:r>
      <w:r w:rsidRPr="00AB5F18">
        <w:t xml:space="preserve"> l</w:t>
      </w:r>
      <w:r w:rsidR="00776267" w:rsidRPr="00AB5F18">
        <w:t>’</w:t>
      </w:r>
      <w:r w:rsidRPr="00AB5F18">
        <w:t xml:space="preserve">ampleur de la tâche </w:t>
      </w:r>
      <w:r w:rsidR="004C3FB0" w:rsidRPr="00AB5F18">
        <w:t>dans</w:t>
      </w:r>
      <w:r w:rsidRPr="00AB5F18">
        <w:t xml:space="preserve"> le </w:t>
      </w:r>
      <w:r w:rsidR="00E32CAD" w:rsidRPr="00AB5F18">
        <w:t>délai</w:t>
      </w:r>
      <w:r w:rsidRPr="00AB5F18">
        <w:t xml:space="preserve"> imparti avant la 63</w:t>
      </w:r>
      <w:r w:rsidRPr="00AB5F18">
        <w:rPr>
          <w:vertAlign w:val="superscript"/>
        </w:rPr>
        <w:t>e</w:t>
      </w:r>
      <w:r w:rsidRPr="00AB5F18">
        <w:t> Réunion du Comité permanent</w:t>
      </w:r>
      <w:r>
        <w:t>. Une consultation visant à élaborer un « rapport de synthèse » a fait l</w:t>
      </w:r>
      <w:r w:rsidR="00776267">
        <w:t>’</w:t>
      </w:r>
      <w:r>
        <w:t xml:space="preserve">objet de </w:t>
      </w:r>
      <w:r w:rsidRPr="00CB60FF">
        <w:t>discussions, la Suisse ayant proposé d</w:t>
      </w:r>
      <w:r w:rsidR="00861E15" w:rsidRPr="00CB60FF">
        <w:t>’examiner les ressources</w:t>
      </w:r>
      <w:r w:rsidRPr="00CB60FF">
        <w:t xml:space="preserve"> </w:t>
      </w:r>
      <w:r w:rsidR="0002501D" w:rsidRPr="00CB60FF">
        <w:t xml:space="preserve">qu’elle pouvait mobiliser </w:t>
      </w:r>
      <w:r w:rsidRPr="00CB60FF">
        <w:t>pour contribuer à cette initiative. (Le GTRI n</w:t>
      </w:r>
      <w:r w:rsidR="00776267" w:rsidRPr="00CB60FF">
        <w:t>’</w:t>
      </w:r>
      <w:r w:rsidRPr="00CB60FF">
        <w:t>a émis aucune objection à la proposition de la Suisse.)</w:t>
      </w:r>
    </w:p>
    <w:p w14:paraId="0978E422" w14:textId="77777777" w:rsidR="00D75E0D" w:rsidRDefault="00D75E0D" w:rsidP="00B953B8">
      <w:pPr>
        <w:tabs>
          <w:tab w:val="left" w:pos="818"/>
          <w:tab w:val="left" w:pos="820"/>
        </w:tabs>
        <w:ind w:left="425" w:hanging="425"/>
      </w:pPr>
    </w:p>
    <w:p w14:paraId="7DD49449" w14:textId="04F0E8B4" w:rsidR="00AE2704" w:rsidRDefault="00726DC5" w:rsidP="00B953B8">
      <w:pPr>
        <w:tabs>
          <w:tab w:val="left" w:pos="818"/>
          <w:tab w:val="left" w:pos="820"/>
        </w:tabs>
        <w:ind w:left="425" w:hanging="425"/>
      </w:pPr>
      <w:r>
        <w:t>6.</w:t>
      </w:r>
      <w:r>
        <w:tab/>
        <w:t xml:space="preserve">Une fois les contributions volontaires de la Suisse déterminées, un « Cahier des charges pour la préparation du rapport de synthèse sur la gouvernance » a été élaboré et un processus de sélection </w:t>
      </w:r>
      <w:r w:rsidR="00A749C6">
        <w:t xml:space="preserve">a été </w:t>
      </w:r>
      <w:r>
        <w:t xml:space="preserve">lancé par un panel de sélection de consultants, </w:t>
      </w:r>
      <w:r w:rsidR="00D943DB">
        <w:t>composé</w:t>
      </w:r>
      <w:r>
        <w:t xml:space="preserve"> </w:t>
      </w:r>
      <w:r w:rsidR="00A749C6">
        <w:t>d</w:t>
      </w:r>
      <w:r>
        <w:t xml:space="preserve">es coprésidents (Afrique du Sud et États-Unis), </w:t>
      </w:r>
      <w:r w:rsidR="00FE1666">
        <w:t xml:space="preserve">de </w:t>
      </w:r>
      <w:r>
        <w:t xml:space="preserve">la Colombie, </w:t>
      </w:r>
      <w:r w:rsidR="00CD1CCC">
        <w:t xml:space="preserve">de </w:t>
      </w:r>
      <w:r>
        <w:t>l</w:t>
      </w:r>
      <w:r w:rsidR="00776267">
        <w:t>’</w:t>
      </w:r>
      <w:r>
        <w:t xml:space="preserve">Iran et </w:t>
      </w:r>
      <w:r w:rsidR="00CD1CCC">
        <w:t xml:space="preserve">de </w:t>
      </w:r>
      <w:r>
        <w:t xml:space="preserve">la Suisse. Les membres du GTRI ont examiné et approuvé le cahier des charges. Sur les sept candidatures, une candidate de premier plan (Mme Sophie Thirion) a été retenue le 11 décembre 2023 </w:t>
      </w:r>
      <w:r w:rsidR="002A028E">
        <w:t>à la suite d’une</w:t>
      </w:r>
      <w:r>
        <w:t xml:space="preserve"> évaluation quantitative et </w:t>
      </w:r>
      <w:r w:rsidR="002A028E">
        <w:t>de</w:t>
      </w:r>
      <w:r w:rsidR="008A2F3D">
        <w:t>s</w:t>
      </w:r>
      <w:r>
        <w:t xml:space="preserve"> délibérations du panel.</w:t>
      </w:r>
    </w:p>
    <w:p w14:paraId="5F49AD9A" w14:textId="77777777" w:rsidR="00D75E0D" w:rsidRDefault="00D75E0D" w:rsidP="00B953B8">
      <w:pPr>
        <w:tabs>
          <w:tab w:val="left" w:pos="818"/>
          <w:tab w:val="left" w:pos="820"/>
        </w:tabs>
        <w:ind w:left="425" w:hanging="425"/>
      </w:pPr>
    </w:p>
    <w:p w14:paraId="2895DB2B" w14:textId="5E11A599" w:rsidR="00AE2704" w:rsidRDefault="00726DC5" w:rsidP="00B953B8">
      <w:pPr>
        <w:tabs>
          <w:tab w:val="left" w:pos="818"/>
          <w:tab w:val="left" w:pos="820"/>
        </w:tabs>
        <w:ind w:left="425" w:hanging="425"/>
        <w:rPr>
          <w:color w:val="000000"/>
        </w:rPr>
      </w:pPr>
      <w:r>
        <w:t>7.</w:t>
      </w:r>
      <w:r>
        <w:tab/>
      </w:r>
      <w:r>
        <w:rPr>
          <w:b/>
        </w:rPr>
        <w:t>Deuxième réunion du GTRI</w:t>
      </w:r>
      <w:r>
        <w:t> :</w:t>
      </w:r>
      <w:r>
        <w:rPr>
          <w:b/>
        </w:rPr>
        <w:t xml:space="preserve"> </w:t>
      </w:r>
      <w:r w:rsidR="008A2F3D">
        <w:t>l</w:t>
      </w:r>
      <w:r>
        <w:t xml:space="preserve">ors de la réunion suivante du GTRI, le 11 janvier 2024, Mme Thirion a présenté une proposition de cadre et de plan du rapport de synthèse, qui contenait, entre autres, un objectif, le contexte, une chronologie des événements, </w:t>
      </w:r>
      <w:r w:rsidR="00E55359">
        <w:t>ainsi que</w:t>
      </w:r>
      <w:r w:rsidR="0098718D">
        <w:t xml:space="preserve"> </w:t>
      </w:r>
      <w:r>
        <w:t xml:space="preserve">les défis et </w:t>
      </w:r>
      <w:r w:rsidR="00E55359">
        <w:t xml:space="preserve">les </w:t>
      </w:r>
      <w:r>
        <w:t xml:space="preserve">options </w:t>
      </w:r>
      <w:r w:rsidR="00F65D71">
        <w:t>pour les relever</w:t>
      </w:r>
      <w:r>
        <w:t xml:space="preserve">. </w:t>
      </w:r>
      <w:r w:rsidR="00544A61" w:rsidRPr="00160281">
        <w:t>L</w:t>
      </w:r>
      <w:r w:rsidRPr="00160281">
        <w:t>e GTRI</w:t>
      </w:r>
      <w:r w:rsidR="00235282" w:rsidRPr="00160281">
        <w:t xml:space="preserve"> </w:t>
      </w:r>
      <w:r w:rsidR="003A4DE6" w:rsidRPr="00160281">
        <w:t>a également abordé la question</w:t>
      </w:r>
      <w:r>
        <w:t xml:space="preserve"> du laps de temps assez court d</w:t>
      </w:r>
      <w:r w:rsidR="00776267">
        <w:t>’</w:t>
      </w:r>
      <w:r>
        <w:t>ici à la 63</w:t>
      </w:r>
      <w:r>
        <w:rPr>
          <w:vertAlign w:val="superscript"/>
        </w:rPr>
        <w:t>e</w:t>
      </w:r>
      <w:r>
        <w:t xml:space="preserve"> Réunion du Comité permanent. </w:t>
      </w:r>
      <w:r w:rsidR="003D3D35" w:rsidRPr="00840472">
        <w:t>Même si</w:t>
      </w:r>
      <w:r w:rsidR="007B186F" w:rsidRPr="00840472">
        <w:t xml:space="preserve"> </w:t>
      </w:r>
      <w:r w:rsidRPr="00840472">
        <w:t>la Décision SC62-17</w:t>
      </w:r>
      <w:r w:rsidR="003D3D35" w:rsidRPr="00840472">
        <w:t xml:space="preserve"> prévoyait </w:t>
      </w:r>
      <w:r w:rsidRPr="00840472">
        <w:t>qu</w:t>
      </w:r>
      <w:r w:rsidR="00776267" w:rsidRPr="00840472">
        <w:t>’</w:t>
      </w:r>
      <w:r w:rsidRPr="00840472">
        <w:t>un projet de résolution soit présenté à la 63</w:t>
      </w:r>
      <w:r w:rsidRPr="00840472">
        <w:rPr>
          <w:vertAlign w:val="superscript"/>
        </w:rPr>
        <w:t>e</w:t>
      </w:r>
      <w:r w:rsidRPr="00840472">
        <w:t> Réunion du Comité permanent,</w:t>
      </w:r>
      <w:r>
        <w:t xml:space="preserve"> le GTRI </w:t>
      </w:r>
      <w:r>
        <w:rPr>
          <w:color w:val="000000"/>
        </w:rPr>
        <w:t>a décidé de demander une prorogation pour permettre un examen adéquat du rapport de synthèse, et l</w:t>
      </w:r>
      <w:r w:rsidR="00776267">
        <w:rPr>
          <w:color w:val="000000"/>
        </w:rPr>
        <w:t>’</w:t>
      </w:r>
      <w:r>
        <w:rPr>
          <w:color w:val="000000"/>
        </w:rPr>
        <w:t>organisation d</w:t>
      </w:r>
      <w:r w:rsidR="00776267">
        <w:rPr>
          <w:color w:val="000000"/>
        </w:rPr>
        <w:t>’</w:t>
      </w:r>
      <w:r>
        <w:rPr>
          <w:color w:val="000000"/>
        </w:rPr>
        <w:t xml:space="preserve">un atelier de consultation </w:t>
      </w:r>
      <w:r w:rsidR="00EF71B4">
        <w:rPr>
          <w:color w:val="000000"/>
        </w:rPr>
        <w:t xml:space="preserve">en présentiel </w:t>
      </w:r>
      <w:r>
        <w:rPr>
          <w:color w:val="000000"/>
        </w:rPr>
        <w:t>durant la 63</w:t>
      </w:r>
      <w:r>
        <w:rPr>
          <w:color w:val="000000"/>
          <w:vertAlign w:val="superscript"/>
        </w:rPr>
        <w:t>e</w:t>
      </w:r>
      <w:r>
        <w:rPr>
          <w:color w:val="000000"/>
        </w:rPr>
        <w:t> Réunion afin d</w:t>
      </w:r>
      <w:r w:rsidR="00776267">
        <w:rPr>
          <w:color w:val="000000"/>
        </w:rPr>
        <w:t>’</w:t>
      </w:r>
      <w:r>
        <w:rPr>
          <w:color w:val="000000"/>
        </w:rPr>
        <w:t>élaborer un résumé des options pour examen par les Parties contractantes, toujours lors de la 63</w:t>
      </w:r>
      <w:r>
        <w:rPr>
          <w:color w:val="000000"/>
          <w:vertAlign w:val="superscript"/>
        </w:rPr>
        <w:t>e</w:t>
      </w:r>
      <w:r>
        <w:rPr>
          <w:color w:val="000000"/>
        </w:rPr>
        <w:t> Réunion</w:t>
      </w:r>
      <w:r>
        <w:t>.</w:t>
      </w:r>
    </w:p>
    <w:p w14:paraId="1805BB84" w14:textId="77777777" w:rsidR="00D75E0D" w:rsidRDefault="00D75E0D" w:rsidP="00B953B8">
      <w:pPr>
        <w:tabs>
          <w:tab w:val="left" w:pos="818"/>
          <w:tab w:val="left" w:pos="820"/>
        </w:tabs>
        <w:ind w:left="425" w:hanging="425"/>
      </w:pPr>
    </w:p>
    <w:p w14:paraId="2EF787F4" w14:textId="2660A434" w:rsidR="00AE2704" w:rsidRDefault="00726DC5" w:rsidP="00B953B8">
      <w:pPr>
        <w:tabs>
          <w:tab w:val="left" w:pos="818"/>
          <w:tab w:val="left" w:pos="820"/>
        </w:tabs>
        <w:ind w:left="425" w:hanging="425"/>
        <w:rPr>
          <w:color w:val="000000"/>
        </w:rPr>
      </w:pPr>
      <w:r w:rsidRPr="00F36387">
        <w:rPr>
          <w:color w:val="000000"/>
        </w:rPr>
        <w:t>8.</w:t>
      </w:r>
      <w:r w:rsidRPr="00F36387">
        <w:rPr>
          <w:color w:val="000000"/>
        </w:rPr>
        <w:tab/>
      </w:r>
      <w:r w:rsidRPr="00F36387">
        <w:rPr>
          <w:b/>
        </w:rPr>
        <w:t xml:space="preserve">Troisième réunion du GTRI : </w:t>
      </w:r>
      <w:r w:rsidRPr="00F36387">
        <w:t>la réunion du 12 février 2024</w:t>
      </w:r>
      <w:r w:rsidR="005A3755" w:rsidRPr="00F36387">
        <w:t xml:space="preserve"> a porté essentiellement sur</w:t>
      </w:r>
      <w:r w:rsidRPr="00F36387">
        <w:t xml:space="preserve"> une présentation </w:t>
      </w:r>
      <w:r w:rsidR="005A3755" w:rsidRPr="00F36387">
        <w:t>par</w:t>
      </w:r>
      <w:r w:rsidRPr="00F36387">
        <w:t xml:space="preserve"> Mme Thirion </w:t>
      </w:r>
      <w:r w:rsidR="005A3755" w:rsidRPr="00F36387">
        <w:t>du</w:t>
      </w:r>
      <w:r w:rsidRPr="00F36387">
        <w:t xml:space="preserve"> projet de rapport. Les membres du GTRI </w:t>
      </w:r>
      <w:r w:rsidR="00B75873" w:rsidRPr="00F36387">
        <w:t>ont été</w:t>
      </w:r>
      <w:r w:rsidRPr="00F36387">
        <w:t xml:space="preserve"> invités à donner leur avis sur </w:t>
      </w:r>
      <w:r w:rsidR="00DF4DAF" w:rsidRPr="00F36387">
        <w:t>ce</w:t>
      </w:r>
      <w:r w:rsidRPr="00F36387">
        <w:t xml:space="preserve"> projet, qui </w:t>
      </w:r>
      <w:r w:rsidR="00AE521B" w:rsidRPr="00F36387">
        <w:t xml:space="preserve">formule </w:t>
      </w:r>
      <w:r w:rsidRPr="00F36387">
        <w:t>des recommandations visant à inclure des informations supplémentaires, telles que des scénarios d</w:t>
      </w:r>
      <w:r w:rsidR="00776267" w:rsidRPr="00F36387">
        <w:t>’</w:t>
      </w:r>
      <w:r w:rsidRPr="00F36387">
        <w:t xml:space="preserve">hébergement, </w:t>
      </w:r>
      <w:r w:rsidR="005163E4" w:rsidRPr="00F36387">
        <w:t>et qui propose</w:t>
      </w:r>
      <w:r w:rsidRPr="00F36387">
        <w:t xml:space="preserve"> des modifications destinées à assurer la cohérence des termes </w:t>
      </w:r>
      <w:r w:rsidRPr="00F36387">
        <w:rPr>
          <w:color w:val="000000"/>
        </w:rPr>
        <w:t xml:space="preserve">et définitions </w:t>
      </w:r>
      <w:r w:rsidRPr="00F36387">
        <w:t>clés.</w:t>
      </w:r>
      <w:r w:rsidRPr="00F36387">
        <w:rPr>
          <w:color w:val="000000"/>
        </w:rPr>
        <w:t xml:space="preserve"> Ils ont également été invités à soumettre des commentaires supplémentaires avant le 19 février 2024, destinés à contribuer à l</w:t>
      </w:r>
      <w:r w:rsidR="00776267" w:rsidRPr="00F36387">
        <w:rPr>
          <w:color w:val="000000"/>
        </w:rPr>
        <w:t>’</w:t>
      </w:r>
      <w:r w:rsidRPr="00F36387">
        <w:rPr>
          <w:color w:val="000000"/>
        </w:rPr>
        <w:t>élaboration d</w:t>
      </w:r>
      <w:r w:rsidR="00776267" w:rsidRPr="00F36387">
        <w:rPr>
          <w:color w:val="000000"/>
        </w:rPr>
        <w:t>’</w:t>
      </w:r>
      <w:r w:rsidRPr="00F36387">
        <w:rPr>
          <w:color w:val="000000"/>
        </w:rPr>
        <w:t>un rapport final pour mars 2024. La présidence réitère l</w:t>
      </w:r>
      <w:r w:rsidR="00776267" w:rsidRPr="00F36387">
        <w:rPr>
          <w:color w:val="000000"/>
        </w:rPr>
        <w:t>’</w:t>
      </w:r>
      <w:r w:rsidRPr="00F36387">
        <w:rPr>
          <w:color w:val="000000"/>
        </w:rPr>
        <w:t>opportunité d</w:t>
      </w:r>
      <w:r w:rsidR="00776267" w:rsidRPr="00F36387">
        <w:rPr>
          <w:color w:val="000000"/>
        </w:rPr>
        <w:t>’</w:t>
      </w:r>
      <w:r w:rsidRPr="00F36387">
        <w:rPr>
          <w:color w:val="000000"/>
        </w:rPr>
        <w:t>un atelier en présentiel le premier jour de la 63</w:t>
      </w:r>
      <w:r w:rsidRPr="00F36387">
        <w:rPr>
          <w:color w:val="000000"/>
          <w:vertAlign w:val="superscript"/>
        </w:rPr>
        <w:t>e</w:t>
      </w:r>
      <w:r w:rsidRPr="00F36387">
        <w:rPr>
          <w:color w:val="000000"/>
        </w:rPr>
        <w:t> Réunion du Comité permanent (le 3 juin 2024) pour faire avancer l</w:t>
      </w:r>
      <w:r w:rsidR="00776267" w:rsidRPr="00F36387">
        <w:rPr>
          <w:color w:val="000000"/>
        </w:rPr>
        <w:t>’</w:t>
      </w:r>
      <w:r w:rsidRPr="00F36387">
        <w:rPr>
          <w:color w:val="000000"/>
        </w:rPr>
        <w:t>élaboration d</w:t>
      </w:r>
      <w:r w:rsidR="00776267" w:rsidRPr="00F36387">
        <w:rPr>
          <w:color w:val="000000"/>
        </w:rPr>
        <w:t>’</w:t>
      </w:r>
      <w:r w:rsidRPr="00F36387">
        <w:rPr>
          <w:color w:val="000000"/>
        </w:rPr>
        <w:t>un projet de résolution, notamment l</w:t>
      </w:r>
      <w:r w:rsidR="00776267" w:rsidRPr="00F36387">
        <w:rPr>
          <w:color w:val="000000"/>
        </w:rPr>
        <w:t>’</w:t>
      </w:r>
      <w:r w:rsidRPr="00F36387">
        <w:rPr>
          <w:color w:val="000000"/>
        </w:rPr>
        <w:t>élaboration d</w:t>
      </w:r>
      <w:r w:rsidR="00776267" w:rsidRPr="00F36387">
        <w:rPr>
          <w:color w:val="000000"/>
        </w:rPr>
        <w:t>’</w:t>
      </w:r>
      <w:r w:rsidRPr="00F36387">
        <w:rPr>
          <w:color w:val="000000"/>
        </w:rPr>
        <w:t>un tableau récapitulatif</w:t>
      </w:r>
      <w:r>
        <w:rPr>
          <w:color w:val="000000"/>
        </w:rPr>
        <w:t xml:space="preserve"> des options.</w:t>
      </w:r>
    </w:p>
    <w:p w14:paraId="69275CAD" w14:textId="77777777" w:rsidR="00D75E0D" w:rsidRPr="00726DC5" w:rsidRDefault="00D75E0D" w:rsidP="00B953B8">
      <w:pPr>
        <w:tabs>
          <w:tab w:val="left" w:pos="818"/>
          <w:tab w:val="left" w:pos="820"/>
        </w:tabs>
        <w:ind w:left="425" w:hanging="425"/>
        <w:rPr>
          <w:color w:val="000000"/>
        </w:rPr>
      </w:pPr>
    </w:p>
    <w:p w14:paraId="261B4C2A" w14:textId="5B2AFFCC" w:rsidR="00AE2704" w:rsidRDefault="00726DC5" w:rsidP="006F25F6">
      <w:pPr>
        <w:tabs>
          <w:tab w:val="left" w:pos="820"/>
        </w:tabs>
        <w:ind w:left="425" w:hanging="425"/>
      </w:pPr>
      <w:r>
        <w:t>9.</w:t>
      </w:r>
      <w:r>
        <w:tab/>
      </w:r>
      <w:r>
        <w:rPr>
          <w:b/>
        </w:rPr>
        <w:t xml:space="preserve">Quatrième réunion du GTRI : </w:t>
      </w:r>
      <w:r w:rsidR="00154743">
        <w:t>l</w:t>
      </w:r>
      <w:r>
        <w:t>e 4 mars 2024, le GTRI s</w:t>
      </w:r>
      <w:r w:rsidR="00776267">
        <w:t>’</w:t>
      </w:r>
      <w:r>
        <w:t>est réuni pour examiner le rapport de synthèse final, ainsi que le projet de rapport du Groupe de travail à soumettre à la 63</w:t>
      </w:r>
      <w:r>
        <w:rPr>
          <w:vertAlign w:val="superscript"/>
        </w:rPr>
        <w:t>e</w:t>
      </w:r>
      <w:r>
        <w:t> Réunion du Comité permanent, et pour discuter des approches possibles à présenter dans le tableau des options. À la suite d</w:t>
      </w:r>
      <w:r w:rsidR="00776267">
        <w:t>’</w:t>
      </w:r>
      <w:r>
        <w:t xml:space="preserve">une discussion avec les membres, la présidence </w:t>
      </w:r>
      <w:r w:rsidR="00355305">
        <w:t>a indiqué</w:t>
      </w:r>
      <w:r>
        <w:t xml:space="preserve"> que le rapport </w:t>
      </w:r>
      <w:r w:rsidR="00355305">
        <w:t>serait</w:t>
      </w:r>
      <w:r>
        <w:t xml:space="preserve"> communiqué à la 63</w:t>
      </w:r>
      <w:r>
        <w:rPr>
          <w:vertAlign w:val="superscript"/>
        </w:rPr>
        <w:t>e</w:t>
      </w:r>
      <w:r>
        <w:t> Réunion du Comité permanent comme une partie du rapport du Groupe de travail sur le renforcement institutionnel. Il a également été prévu de se réunir en marge de la 63</w:t>
      </w:r>
      <w:r>
        <w:rPr>
          <w:vertAlign w:val="superscript"/>
        </w:rPr>
        <w:t>e</w:t>
      </w:r>
      <w:r>
        <w:t> Réunion du Comité permanent au format hybride. Un petit groupe de travail a également été formé pour préparer un « document de transition » résumant les défis et les options afin d</w:t>
      </w:r>
      <w:r w:rsidR="00776267">
        <w:t>’</w:t>
      </w:r>
      <w:r>
        <w:t>éclairer les discussions futures.</w:t>
      </w:r>
    </w:p>
    <w:p w14:paraId="0045AFA5" w14:textId="77777777" w:rsidR="008408E7" w:rsidRDefault="008408E7" w:rsidP="00B953B8">
      <w:pPr>
        <w:tabs>
          <w:tab w:val="left" w:pos="820"/>
        </w:tabs>
        <w:ind w:left="425" w:hanging="425"/>
      </w:pPr>
    </w:p>
    <w:p w14:paraId="0C6FEBE4" w14:textId="3D2CBFE7" w:rsidR="00AE2704" w:rsidRDefault="00213E21" w:rsidP="00B953B8">
      <w:pPr>
        <w:ind w:left="425" w:hanging="425"/>
        <w:rPr>
          <w:b/>
          <w:spacing w:val="-5"/>
        </w:rPr>
      </w:pPr>
      <w:r>
        <w:rPr>
          <w:b/>
        </w:rPr>
        <w:t>Étapes à suivre par le GTRI pour élaborer un projet de résolution conformément à la Décision SC62-17</w:t>
      </w:r>
    </w:p>
    <w:p w14:paraId="3CB93DFB" w14:textId="77777777" w:rsidR="00D75E0D" w:rsidRDefault="00D75E0D" w:rsidP="00B953B8">
      <w:pPr>
        <w:ind w:left="100"/>
        <w:rPr>
          <w:b/>
        </w:rPr>
      </w:pPr>
    </w:p>
    <w:p w14:paraId="298B9839" w14:textId="77777777" w:rsidR="00AE2704" w:rsidRDefault="00726DC5" w:rsidP="00B953B8">
      <w:pPr>
        <w:tabs>
          <w:tab w:val="left" w:pos="818"/>
        </w:tabs>
        <w:ind w:left="425" w:hanging="425"/>
        <w:rPr>
          <w:spacing w:val="-2"/>
        </w:rPr>
      </w:pPr>
      <w:r>
        <w:t>10.</w:t>
      </w:r>
      <w:r>
        <w:tab/>
        <w:t>Le GTRI recommande les étapes suivantes pour examen à la 63</w:t>
      </w:r>
      <w:r>
        <w:rPr>
          <w:vertAlign w:val="superscript"/>
        </w:rPr>
        <w:t>e</w:t>
      </w:r>
      <w:r>
        <w:t> Réunion du Comité permanent :</w:t>
      </w:r>
    </w:p>
    <w:p w14:paraId="6B5B894A" w14:textId="77777777" w:rsidR="00D75E0D" w:rsidRDefault="00D75E0D" w:rsidP="00B953B8">
      <w:pPr>
        <w:tabs>
          <w:tab w:val="left" w:pos="818"/>
        </w:tabs>
        <w:ind w:left="425" w:hanging="425"/>
      </w:pPr>
    </w:p>
    <w:p w14:paraId="31AEB9C5" w14:textId="67F256E0" w:rsidR="00AE2704" w:rsidRDefault="00726DC5" w:rsidP="00B953B8">
      <w:pPr>
        <w:tabs>
          <w:tab w:val="left" w:pos="1538"/>
          <w:tab w:val="left" w:pos="1540"/>
        </w:tabs>
        <w:ind w:left="850" w:hanging="425"/>
      </w:pPr>
      <w:r>
        <w:t>a.</w:t>
      </w:r>
      <w:r>
        <w:tab/>
        <w:t>Les Parties intéressées sont priées de prendre note du rapport de synthèse final « </w:t>
      </w:r>
      <w:r>
        <w:rPr>
          <w:i/>
        </w:rPr>
        <w:t>Governance synthesis report on institutional strengthening in response to Decision SC62-17 of the Standing Committee of the Convention on Wetlands</w:t>
      </w:r>
      <w:r>
        <w:t> » (Rapport de synthèse sur la gouvernance concernant le renforcement institutionnel en réponse à la Décision SC62-17 du Comité permanent de la Convention sur les zones humides), accessible sur le site web de la Convention à l</w:t>
      </w:r>
      <w:r w:rsidR="00776267">
        <w:t>’</w:t>
      </w:r>
      <w:r>
        <w:t>adresse suivante :</w:t>
      </w:r>
      <w:r w:rsidR="00440EAD">
        <w:t xml:space="preserve"> </w:t>
      </w:r>
      <w:hyperlink r:id="rId11" w:history="1">
        <w:r w:rsidR="00440EAD" w:rsidRPr="00E04616">
          <w:rPr>
            <w:rStyle w:val="Hyperlink"/>
          </w:rPr>
          <w:t>https://www.ramsar.org/fr/document/governance-synthesis-report-institutional-strengthening</w:t>
        </w:r>
      </w:hyperlink>
      <w:r>
        <w:t>.</w:t>
      </w:r>
    </w:p>
    <w:p w14:paraId="171984F9" w14:textId="77777777" w:rsidR="00D75E0D" w:rsidRDefault="00D75E0D" w:rsidP="00B953B8">
      <w:pPr>
        <w:tabs>
          <w:tab w:val="left" w:pos="1538"/>
          <w:tab w:val="left" w:pos="1540"/>
        </w:tabs>
        <w:ind w:left="850" w:hanging="425"/>
      </w:pPr>
    </w:p>
    <w:p w14:paraId="490F0618" w14:textId="04995D4A" w:rsidR="00AE2704" w:rsidRDefault="00726DC5" w:rsidP="00B953B8">
      <w:pPr>
        <w:tabs>
          <w:tab w:val="left" w:pos="1540"/>
        </w:tabs>
        <w:ind w:left="850" w:hanging="425"/>
      </w:pPr>
      <w:r>
        <w:t>b.</w:t>
      </w:r>
      <w:r>
        <w:tab/>
        <w:t>Les Parties intéressées sont priées d</w:t>
      </w:r>
      <w:r w:rsidR="00776267">
        <w:t>’</w:t>
      </w:r>
      <w:r>
        <w:t>assister à la session d</w:t>
      </w:r>
      <w:r w:rsidR="00776267">
        <w:t>’</w:t>
      </w:r>
      <w:r>
        <w:t>information organisée par le GTRI (date et heure à déterminer) qui présentera les détails de la prorogation des délais prévus dans la Décision SC62-17, y compris les nouvelles étapes qui seront soumise</w:t>
      </w:r>
      <w:r w:rsidR="00DF45BC">
        <w:t>s</w:t>
      </w:r>
      <w:r>
        <w:t xml:space="preserve"> à l</w:t>
      </w:r>
      <w:r w:rsidR="00776267">
        <w:t>’</w:t>
      </w:r>
      <w:r>
        <w:t>approbation du Comité permanent à sa 63</w:t>
      </w:r>
      <w:r>
        <w:rPr>
          <w:vertAlign w:val="superscript"/>
        </w:rPr>
        <w:t>e</w:t>
      </w:r>
      <w:r>
        <w:t> Réunion. Il s</w:t>
      </w:r>
      <w:r w:rsidR="00776267">
        <w:t>’</w:t>
      </w:r>
      <w:r>
        <w:t xml:space="preserve">agit notamment des changements suivants apportés </w:t>
      </w:r>
      <w:r>
        <w:lastRenderedPageBreak/>
        <w:t>au plan de travail du GTRI (voir annexe 1) :</w:t>
      </w:r>
    </w:p>
    <w:p w14:paraId="6069A50D" w14:textId="77777777" w:rsidR="00D75E0D" w:rsidRDefault="00D75E0D" w:rsidP="00B953B8">
      <w:pPr>
        <w:tabs>
          <w:tab w:val="left" w:pos="1540"/>
        </w:tabs>
        <w:ind w:left="425" w:hanging="425"/>
      </w:pPr>
    </w:p>
    <w:p w14:paraId="4FEDD7DC" w14:textId="74279C19" w:rsidR="00AE2704" w:rsidRDefault="00726DC5" w:rsidP="00ED7871">
      <w:pPr>
        <w:tabs>
          <w:tab w:val="left" w:pos="2258"/>
          <w:tab w:val="left" w:pos="2260"/>
        </w:tabs>
        <w:ind w:left="1276" w:hanging="425"/>
      </w:pPr>
      <w:r>
        <w:t>i.</w:t>
      </w:r>
      <w:r>
        <w:tab/>
        <w:t>Le GTRI se réunira le 3 juin pour un atelier de consultation en présentiel afin de produire un rapport sur les résultats après avoir examiné en détail le rapport de synthèse et ses conclusions, et discuter des engagements des parties prenantes.</w:t>
      </w:r>
    </w:p>
    <w:p w14:paraId="727F0197" w14:textId="77777777" w:rsidR="00D75E0D" w:rsidRDefault="00D75E0D" w:rsidP="00ED7871">
      <w:pPr>
        <w:tabs>
          <w:tab w:val="left" w:pos="2258"/>
          <w:tab w:val="left" w:pos="2260"/>
        </w:tabs>
        <w:ind w:left="1276" w:hanging="425"/>
      </w:pPr>
    </w:p>
    <w:p w14:paraId="0D6CE290" w14:textId="01FD6E0B" w:rsidR="00185153" w:rsidRDefault="00726DC5" w:rsidP="00ED7871">
      <w:pPr>
        <w:tabs>
          <w:tab w:val="left" w:pos="2258"/>
          <w:tab w:val="left" w:pos="2260"/>
        </w:tabs>
        <w:ind w:left="1276" w:hanging="425"/>
      </w:pPr>
      <w:r>
        <w:t>ii.</w:t>
      </w:r>
      <w:r>
        <w:tab/>
        <w:t>Peu après la 63</w:t>
      </w:r>
      <w:r>
        <w:rPr>
          <w:vertAlign w:val="superscript"/>
        </w:rPr>
        <w:t>e</w:t>
      </w:r>
      <w:r>
        <w:t> Réunion du Comité permanent, le GTRI organisera une session d</w:t>
      </w:r>
      <w:r w:rsidR="00776267">
        <w:t>’</w:t>
      </w:r>
      <w:r>
        <w:t>information à distance ouverte à toutes les Parties contractantes sur les résultats du rapport de synthèse et présentera une marche à suivre contenant un plan de travail actualisé.</w:t>
      </w:r>
    </w:p>
    <w:p w14:paraId="253C6696" w14:textId="77777777" w:rsidR="00D75E0D" w:rsidRDefault="00D75E0D" w:rsidP="00ED7871">
      <w:pPr>
        <w:tabs>
          <w:tab w:val="left" w:pos="2258"/>
          <w:tab w:val="left" w:pos="2260"/>
        </w:tabs>
        <w:ind w:left="1276" w:hanging="425"/>
      </w:pPr>
    </w:p>
    <w:p w14:paraId="19384BC8" w14:textId="0257C354" w:rsidR="00AE2704" w:rsidRDefault="00726DC5" w:rsidP="00ED7871">
      <w:pPr>
        <w:tabs>
          <w:tab w:val="left" w:pos="2257"/>
          <w:tab w:val="left" w:pos="2260"/>
        </w:tabs>
        <w:ind w:left="1276" w:hanging="425"/>
      </w:pPr>
      <w:r>
        <w:t>iii.</w:t>
      </w:r>
      <w:r>
        <w:tab/>
        <w:t xml:space="preserve">Le GTRI se réunira à distance pour produire un premier projet de rapport sur les défis du renforcement institutionnel de la Convention sur les zones humides et les options pour </w:t>
      </w:r>
      <w:r w:rsidR="00A31FD8">
        <w:t>les relever</w:t>
      </w:r>
      <w:r>
        <w:t>, ainsi que pour élaborer un plan d</w:t>
      </w:r>
      <w:r w:rsidR="00776267">
        <w:t>’</w:t>
      </w:r>
      <w:r>
        <w:t>engagement des parties prenantes afin de recueillir des points de vue, notamment d</w:t>
      </w:r>
      <w:r w:rsidR="00776267">
        <w:t>’</w:t>
      </w:r>
      <w:r>
        <w:t>organisations pertinentes issues de toutes les régions géographiques.</w:t>
      </w:r>
    </w:p>
    <w:p w14:paraId="1FBFEF7B" w14:textId="77777777" w:rsidR="00D75E0D" w:rsidRDefault="00D75E0D" w:rsidP="00ED7871">
      <w:pPr>
        <w:tabs>
          <w:tab w:val="left" w:pos="2257"/>
          <w:tab w:val="left" w:pos="2260"/>
        </w:tabs>
        <w:ind w:left="1276" w:hanging="425"/>
      </w:pPr>
    </w:p>
    <w:p w14:paraId="21530186" w14:textId="0358E62C" w:rsidR="00AE2704" w:rsidRDefault="00726DC5" w:rsidP="00ED7871">
      <w:pPr>
        <w:tabs>
          <w:tab w:val="left" w:pos="2257"/>
          <w:tab w:val="left" w:pos="2260"/>
        </w:tabs>
        <w:ind w:left="1276" w:hanging="425"/>
      </w:pPr>
      <w:r>
        <w:t>iv.</w:t>
      </w:r>
      <w:r>
        <w:tab/>
        <w:t xml:space="preserve">Sur la base de ces délibérations, </w:t>
      </w:r>
      <w:r w:rsidR="00165259">
        <w:t xml:space="preserve">le GTRI soumettra </w:t>
      </w:r>
      <w:r>
        <w:t xml:space="preserve">un projet de résolution </w:t>
      </w:r>
      <w:r w:rsidR="00165259">
        <w:t>au Comité permanent à</w:t>
      </w:r>
      <w:r w:rsidR="00483782">
        <w:t xml:space="preserve"> sa</w:t>
      </w:r>
      <w:r>
        <w:t xml:space="preserve"> 64</w:t>
      </w:r>
      <w:r>
        <w:rPr>
          <w:vertAlign w:val="superscript"/>
        </w:rPr>
        <w:t>e</w:t>
      </w:r>
      <w:r>
        <w:t> Réunion du Comité permanent, en novembre 2024.</w:t>
      </w:r>
    </w:p>
    <w:p w14:paraId="086E423B" w14:textId="77777777" w:rsidR="006F25F6" w:rsidRDefault="006F25F6" w:rsidP="00B953B8">
      <w:pPr>
        <w:tabs>
          <w:tab w:val="left" w:pos="2257"/>
          <w:tab w:val="left" w:pos="2260"/>
        </w:tabs>
        <w:ind w:left="1276" w:hanging="425"/>
        <w:jc w:val="both"/>
      </w:pPr>
    </w:p>
    <w:p w14:paraId="08EF8F07" w14:textId="127203AF" w:rsidR="00AE2704" w:rsidRDefault="00726DC5" w:rsidP="00B953B8">
      <w:pPr>
        <w:tabs>
          <w:tab w:val="left" w:pos="1540"/>
          <w:tab w:val="left" w:pos="9270"/>
        </w:tabs>
        <w:ind w:left="850" w:hanging="425"/>
      </w:pPr>
      <w:r>
        <w:t>c.</w:t>
      </w:r>
      <w:r>
        <w:tab/>
        <w:t>Dans l</w:t>
      </w:r>
      <w:r w:rsidR="00776267">
        <w:t>’</w:t>
      </w:r>
      <w:r>
        <w:t>attente de l</w:t>
      </w:r>
      <w:r w:rsidR="00776267">
        <w:t>’</w:t>
      </w:r>
      <w:r>
        <w:t>atelier de consultation en présentiel, les Parties contractantes sont invitées à envisager de soutenir des activités supplémentaires du GTRI de juin 2024 à janvier 2025.</w:t>
      </w:r>
    </w:p>
    <w:p w14:paraId="694EBEDB" w14:textId="77777777" w:rsidR="00D75E0D" w:rsidRDefault="00D75E0D" w:rsidP="00B953B8">
      <w:pPr>
        <w:tabs>
          <w:tab w:val="left" w:pos="1540"/>
          <w:tab w:val="left" w:pos="9270"/>
        </w:tabs>
        <w:ind w:left="425" w:hanging="425"/>
      </w:pPr>
    </w:p>
    <w:p w14:paraId="0CFCC40F" w14:textId="27F34C2B" w:rsidR="00AE2704" w:rsidRDefault="00726DC5" w:rsidP="00B953B8">
      <w:pPr>
        <w:tabs>
          <w:tab w:val="left" w:pos="818"/>
          <w:tab w:val="left" w:pos="820"/>
        </w:tabs>
        <w:ind w:left="425" w:hanging="425"/>
      </w:pPr>
      <w:r>
        <w:t>11.</w:t>
      </w:r>
      <w:r>
        <w:tab/>
        <w:t>Après examen par le Comité permanent de l</w:t>
      </w:r>
      <w:r w:rsidR="00776267">
        <w:t>’</w:t>
      </w:r>
      <w:r>
        <w:t>approche proposée et des étapes suggérées plus haut, et après avoir pris note de tout amendement convenu, le GTRI adoptera le résultat et travaillera à sa mise en œuvre.</w:t>
      </w:r>
    </w:p>
    <w:p w14:paraId="57FA2786" w14:textId="77777777" w:rsidR="00493F9F" w:rsidRDefault="00493F9F" w:rsidP="00B953B8">
      <w:pPr>
        <w:tabs>
          <w:tab w:val="left" w:pos="818"/>
          <w:tab w:val="left" w:pos="820"/>
        </w:tabs>
        <w:ind w:left="460" w:right="193"/>
      </w:pPr>
    </w:p>
    <w:p w14:paraId="32CB22BC" w14:textId="77777777" w:rsidR="00493F9F" w:rsidRDefault="00493F9F" w:rsidP="00B953B8">
      <w:pPr>
        <w:tabs>
          <w:tab w:val="left" w:pos="818"/>
          <w:tab w:val="left" w:pos="820"/>
        </w:tabs>
        <w:ind w:left="460" w:right="193"/>
      </w:pPr>
    </w:p>
    <w:p w14:paraId="36006515" w14:textId="77777777" w:rsidR="00AE2704" w:rsidRDefault="00AE2704" w:rsidP="00B953B8">
      <w:pPr>
        <w:jc w:val="both"/>
        <w:sectPr w:rsidR="00AE2704" w:rsidSect="00B953B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299"/>
        </w:sectPr>
      </w:pPr>
    </w:p>
    <w:p w14:paraId="4832A7DA" w14:textId="77777777" w:rsidR="008408E7" w:rsidRPr="00B953B8" w:rsidRDefault="008408E7" w:rsidP="008408E7">
      <w:pPr>
        <w:rPr>
          <w:b/>
          <w:spacing w:val="-4"/>
          <w:sz w:val="24"/>
        </w:rPr>
      </w:pPr>
      <w:r>
        <w:rPr>
          <w:b/>
          <w:sz w:val="24"/>
        </w:rPr>
        <w:lastRenderedPageBreak/>
        <w:t>Annexe 1</w:t>
      </w:r>
    </w:p>
    <w:p w14:paraId="5A5E2C23" w14:textId="77777777" w:rsidR="00AE2704" w:rsidRPr="00B953B8" w:rsidRDefault="00213E21" w:rsidP="00B953B8">
      <w:pPr>
        <w:rPr>
          <w:b/>
          <w:spacing w:val="-2"/>
          <w:sz w:val="24"/>
        </w:rPr>
      </w:pPr>
      <w:r>
        <w:rPr>
          <w:b/>
          <w:sz w:val="24"/>
        </w:rPr>
        <w:t>Plan de travail du GTRI</w:t>
      </w:r>
    </w:p>
    <w:p w14:paraId="69D021AA" w14:textId="77777777" w:rsidR="000D79FD" w:rsidRDefault="000D79FD" w:rsidP="00B953B8">
      <w:pPr>
        <w:ind w:left="100"/>
        <w:rPr>
          <w:b/>
          <w:spacing w:val="-2"/>
        </w:rPr>
      </w:pPr>
    </w:p>
    <w:tbl>
      <w:tblPr>
        <w:tblW w:w="5088" w:type="pct"/>
        <w:tblLayout w:type="fixed"/>
        <w:tblCellMar>
          <w:top w:w="28" w:type="dxa"/>
          <w:left w:w="85" w:type="dxa"/>
          <w:bottom w:w="28" w:type="dxa"/>
          <w:right w:w="85" w:type="dxa"/>
        </w:tblCellMar>
        <w:tblLook w:val="04A0" w:firstRow="1" w:lastRow="0" w:firstColumn="1" w:lastColumn="0" w:noHBand="0" w:noVBand="1"/>
      </w:tblPr>
      <w:tblGrid>
        <w:gridCol w:w="1412"/>
        <w:gridCol w:w="2976"/>
        <w:gridCol w:w="2269"/>
        <w:gridCol w:w="1418"/>
        <w:gridCol w:w="5103"/>
      </w:tblGrid>
      <w:tr w:rsidR="0054196C" w:rsidRPr="000D79FD" w14:paraId="0ACDC539" w14:textId="77777777" w:rsidTr="00352A89">
        <w:trPr>
          <w:cantSplit/>
          <w:trHeight w:val="288"/>
          <w:tblHeader/>
        </w:trPr>
        <w:tc>
          <w:tcPr>
            <w:tcW w:w="53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0A866A0" w14:textId="77777777" w:rsidR="000D79FD" w:rsidRPr="000D79FD" w:rsidRDefault="000D79FD" w:rsidP="00B953B8">
            <w:pPr>
              <w:widowControl/>
              <w:autoSpaceDE/>
              <w:autoSpaceDN/>
              <w:jc w:val="center"/>
              <w:rPr>
                <w:rFonts w:eastAsia="Times New Roman"/>
                <w:b/>
                <w:bCs/>
                <w:color w:val="000000"/>
              </w:rPr>
            </w:pPr>
            <w:r>
              <w:rPr>
                <w:b/>
                <w:color w:val="000000"/>
              </w:rPr>
              <w:t>Date</w:t>
            </w:r>
          </w:p>
        </w:tc>
        <w:tc>
          <w:tcPr>
            <w:tcW w:w="1129" w:type="pct"/>
            <w:tcBorders>
              <w:top w:val="single" w:sz="4" w:space="0" w:color="auto"/>
              <w:left w:val="nil"/>
              <w:bottom w:val="single" w:sz="4" w:space="0" w:color="auto"/>
              <w:right w:val="single" w:sz="4" w:space="0" w:color="auto"/>
            </w:tcBorders>
            <w:shd w:val="clear" w:color="000000" w:fill="D9D9D9"/>
            <w:vAlign w:val="center"/>
            <w:hideMark/>
          </w:tcPr>
          <w:p w14:paraId="0775E93C" w14:textId="77777777" w:rsidR="000D79FD" w:rsidRPr="000D79FD" w:rsidRDefault="000D79FD" w:rsidP="00B953B8">
            <w:pPr>
              <w:widowControl/>
              <w:autoSpaceDE/>
              <w:autoSpaceDN/>
              <w:jc w:val="center"/>
              <w:rPr>
                <w:rFonts w:eastAsia="Times New Roman"/>
                <w:b/>
                <w:bCs/>
                <w:color w:val="000000"/>
              </w:rPr>
            </w:pPr>
            <w:r>
              <w:rPr>
                <w:b/>
                <w:color w:val="000000"/>
              </w:rPr>
              <w:t>Résultat attendu</w:t>
            </w:r>
          </w:p>
        </w:tc>
        <w:tc>
          <w:tcPr>
            <w:tcW w:w="861" w:type="pct"/>
            <w:tcBorders>
              <w:top w:val="single" w:sz="4" w:space="0" w:color="auto"/>
              <w:left w:val="nil"/>
              <w:bottom w:val="single" w:sz="4" w:space="0" w:color="auto"/>
              <w:right w:val="single" w:sz="4" w:space="0" w:color="auto"/>
            </w:tcBorders>
            <w:shd w:val="clear" w:color="000000" w:fill="D9D9D9"/>
            <w:vAlign w:val="center"/>
            <w:hideMark/>
          </w:tcPr>
          <w:p w14:paraId="518165DB" w14:textId="77777777" w:rsidR="000D79FD" w:rsidRPr="000D79FD" w:rsidRDefault="000D79FD" w:rsidP="00B953B8">
            <w:pPr>
              <w:widowControl/>
              <w:autoSpaceDE/>
              <w:autoSpaceDN/>
              <w:jc w:val="center"/>
              <w:rPr>
                <w:rFonts w:eastAsia="Times New Roman"/>
                <w:b/>
                <w:bCs/>
                <w:color w:val="000000"/>
              </w:rPr>
            </w:pPr>
            <w:r>
              <w:rPr>
                <w:b/>
                <w:color w:val="000000"/>
              </w:rPr>
              <w:t>Responsabilité</w:t>
            </w:r>
          </w:p>
        </w:tc>
        <w:tc>
          <w:tcPr>
            <w:tcW w:w="538" w:type="pct"/>
            <w:tcBorders>
              <w:top w:val="single" w:sz="4" w:space="0" w:color="auto"/>
              <w:left w:val="nil"/>
              <w:bottom w:val="single" w:sz="4" w:space="0" w:color="auto"/>
              <w:right w:val="single" w:sz="4" w:space="0" w:color="auto"/>
            </w:tcBorders>
            <w:shd w:val="clear" w:color="000000" w:fill="D9D9D9"/>
            <w:vAlign w:val="center"/>
            <w:hideMark/>
          </w:tcPr>
          <w:p w14:paraId="6C2D7233" w14:textId="77777777" w:rsidR="000D79FD" w:rsidRPr="000D79FD" w:rsidRDefault="000D79FD" w:rsidP="00B953B8">
            <w:pPr>
              <w:widowControl/>
              <w:autoSpaceDE/>
              <w:autoSpaceDN/>
              <w:jc w:val="center"/>
              <w:rPr>
                <w:rFonts w:eastAsia="Times New Roman"/>
                <w:b/>
                <w:bCs/>
                <w:color w:val="000000"/>
              </w:rPr>
            </w:pPr>
            <w:r>
              <w:rPr>
                <w:b/>
                <w:color w:val="000000"/>
              </w:rPr>
              <w:t>Coût</w:t>
            </w:r>
          </w:p>
        </w:tc>
        <w:tc>
          <w:tcPr>
            <w:tcW w:w="1936" w:type="pct"/>
            <w:tcBorders>
              <w:top w:val="single" w:sz="4" w:space="0" w:color="auto"/>
              <w:left w:val="nil"/>
              <w:bottom w:val="single" w:sz="4" w:space="0" w:color="auto"/>
              <w:right w:val="single" w:sz="4" w:space="0" w:color="auto"/>
            </w:tcBorders>
            <w:shd w:val="clear" w:color="000000" w:fill="D9D9D9"/>
            <w:vAlign w:val="center"/>
            <w:hideMark/>
          </w:tcPr>
          <w:p w14:paraId="26830118" w14:textId="77777777" w:rsidR="000D79FD" w:rsidRPr="000D79FD" w:rsidRDefault="000D79FD" w:rsidP="00B953B8">
            <w:pPr>
              <w:widowControl/>
              <w:autoSpaceDE/>
              <w:autoSpaceDN/>
              <w:jc w:val="center"/>
              <w:rPr>
                <w:rFonts w:eastAsia="Times New Roman"/>
                <w:b/>
                <w:bCs/>
                <w:color w:val="000000"/>
              </w:rPr>
            </w:pPr>
            <w:r>
              <w:rPr>
                <w:b/>
                <w:color w:val="000000"/>
              </w:rPr>
              <w:t>Commentaires</w:t>
            </w:r>
          </w:p>
        </w:tc>
      </w:tr>
      <w:tr w:rsidR="0054196C" w:rsidRPr="000D79FD" w14:paraId="3F38BBAD" w14:textId="77777777" w:rsidTr="00352A89">
        <w:trPr>
          <w:cantSplit/>
          <w:trHeight w:val="288"/>
        </w:trPr>
        <w:tc>
          <w:tcPr>
            <w:tcW w:w="536" w:type="pct"/>
            <w:tcBorders>
              <w:top w:val="nil"/>
              <w:left w:val="single" w:sz="4" w:space="0" w:color="auto"/>
              <w:bottom w:val="single" w:sz="4" w:space="0" w:color="auto"/>
              <w:right w:val="single" w:sz="4" w:space="0" w:color="auto"/>
            </w:tcBorders>
            <w:shd w:val="clear" w:color="auto" w:fill="auto"/>
            <w:hideMark/>
          </w:tcPr>
          <w:p w14:paraId="1313C479" w14:textId="77777777" w:rsidR="000D79FD" w:rsidRPr="000D79FD" w:rsidRDefault="000D79FD" w:rsidP="00726DC5">
            <w:pPr>
              <w:widowControl/>
              <w:autoSpaceDE/>
              <w:autoSpaceDN/>
              <w:rPr>
                <w:rFonts w:eastAsia="Times New Roman"/>
              </w:rPr>
            </w:pPr>
            <w:r>
              <w:t>11 octobre 2023</w:t>
            </w:r>
          </w:p>
        </w:tc>
        <w:tc>
          <w:tcPr>
            <w:tcW w:w="1129" w:type="pct"/>
            <w:tcBorders>
              <w:top w:val="nil"/>
              <w:left w:val="nil"/>
              <w:bottom w:val="single" w:sz="4" w:space="0" w:color="auto"/>
              <w:right w:val="single" w:sz="4" w:space="0" w:color="auto"/>
            </w:tcBorders>
            <w:shd w:val="clear" w:color="auto" w:fill="auto"/>
            <w:hideMark/>
          </w:tcPr>
          <w:p w14:paraId="7865023D" w14:textId="77777777" w:rsidR="000D79FD" w:rsidRPr="000D79FD" w:rsidRDefault="000D79FD" w:rsidP="00726DC5">
            <w:pPr>
              <w:widowControl/>
              <w:autoSpaceDE/>
              <w:autoSpaceDN/>
              <w:rPr>
                <w:rFonts w:eastAsia="Times New Roman"/>
              </w:rPr>
            </w:pPr>
            <w:r>
              <w:t>1</w:t>
            </w:r>
            <w:r>
              <w:rPr>
                <w:vertAlign w:val="superscript"/>
              </w:rPr>
              <w:t>ère</w:t>
            </w:r>
            <w:r>
              <w:t> réunion du GTRI</w:t>
            </w:r>
          </w:p>
        </w:tc>
        <w:tc>
          <w:tcPr>
            <w:tcW w:w="861" w:type="pct"/>
            <w:tcBorders>
              <w:top w:val="nil"/>
              <w:left w:val="nil"/>
              <w:bottom w:val="single" w:sz="4" w:space="0" w:color="auto"/>
              <w:right w:val="single" w:sz="4" w:space="0" w:color="auto"/>
            </w:tcBorders>
            <w:shd w:val="clear" w:color="auto" w:fill="auto"/>
            <w:hideMark/>
          </w:tcPr>
          <w:p w14:paraId="5613C569" w14:textId="77777777" w:rsidR="000D79FD" w:rsidRPr="000D79FD" w:rsidRDefault="000D79FD" w:rsidP="00726DC5">
            <w:pPr>
              <w:widowControl/>
              <w:autoSpaceDE/>
              <w:autoSpaceDN/>
              <w:rPr>
                <w:rFonts w:eastAsia="Times New Roman"/>
              </w:rPr>
            </w:pPr>
            <w:r>
              <w:t>Présidence, coprésidence, Secrétariat de la Convention</w:t>
            </w:r>
          </w:p>
        </w:tc>
        <w:tc>
          <w:tcPr>
            <w:tcW w:w="538" w:type="pct"/>
            <w:tcBorders>
              <w:top w:val="nil"/>
              <w:left w:val="nil"/>
              <w:bottom w:val="single" w:sz="4" w:space="0" w:color="auto"/>
              <w:right w:val="single" w:sz="4" w:space="0" w:color="auto"/>
            </w:tcBorders>
            <w:shd w:val="clear" w:color="auto" w:fill="auto"/>
            <w:hideMark/>
          </w:tcPr>
          <w:p w14:paraId="4F8932AC"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5D69CF0B" w14:textId="71F1AE82" w:rsidR="000D79FD" w:rsidRPr="000D79FD" w:rsidRDefault="000D79FD" w:rsidP="00726DC5">
            <w:pPr>
              <w:widowControl/>
              <w:autoSpaceDE/>
              <w:autoSpaceDN/>
              <w:rPr>
                <w:rFonts w:eastAsia="Times New Roman"/>
              </w:rPr>
            </w:pPr>
            <w:r>
              <w:t>Préciser le contexte, discuter des objectifs du projet et des potentielles approche et étapes clés (affiner le plan de travail).</w:t>
            </w:r>
          </w:p>
        </w:tc>
      </w:tr>
      <w:tr w:rsidR="0054196C" w:rsidRPr="000D79FD" w14:paraId="19B541A6" w14:textId="77777777" w:rsidTr="00352A89">
        <w:trPr>
          <w:cantSplit/>
          <w:trHeight w:val="864"/>
        </w:trPr>
        <w:tc>
          <w:tcPr>
            <w:tcW w:w="536" w:type="pct"/>
            <w:tcBorders>
              <w:top w:val="nil"/>
              <w:left w:val="single" w:sz="4" w:space="0" w:color="auto"/>
              <w:bottom w:val="single" w:sz="4" w:space="0" w:color="auto"/>
              <w:right w:val="single" w:sz="4" w:space="0" w:color="auto"/>
            </w:tcBorders>
            <w:shd w:val="clear" w:color="auto" w:fill="auto"/>
            <w:hideMark/>
          </w:tcPr>
          <w:p w14:paraId="7E84BE26" w14:textId="77777777" w:rsidR="000D79FD" w:rsidRPr="000D79FD" w:rsidRDefault="000D79FD" w:rsidP="00726DC5">
            <w:pPr>
              <w:widowControl/>
              <w:autoSpaceDE/>
              <w:autoSpaceDN/>
              <w:rPr>
                <w:rFonts w:eastAsia="Times New Roman"/>
                <w:b/>
                <w:bCs/>
              </w:rPr>
            </w:pPr>
            <w:r>
              <w:rPr>
                <w:b/>
              </w:rPr>
              <w:t>20 octobre 2023</w:t>
            </w:r>
          </w:p>
        </w:tc>
        <w:tc>
          <w:tcPr>
            <w:tcW w:w="1129" w:type="pct"/>
            <w:tcBorders>
              <w:top w:val="nil"/>
              <w:left w:val="nil"/>
              <w:bottom w:val="single" w:sz="4" w:space="0" w:color="auto"/>
              <w:right w:val="single" w:sz="4" w:space="0" w:color="auto"/>
            </w:tcBorders>
            <w:shd w:val="clear" w:color="auto" w:fill="auto"/>
            <w:hideMark/>
          </w:tcPr>
          <w:p w14:paraId="457FC3FF" w14:textId="7B159D32" w:rsidR="000D79FD" w:rsidRPr="000D79FD" w:rsidRDefault="000D79FD" w:rsidP="00726DC5">
            <w:pPr>
              <w:widowControl/>
              <w:autoSpaceDE/>
              <w:autoSpaceDN/>
              <w:rPr>
                <w:rFonts w:eastAsia="Times New Roman"/>
                <w:b/>
                <w:bCs/>
              </w:rPr>
            </w:pPr>
            <w:r>
              <w:rPr>
                <w:b/>
              </w:rPr>
              <w:t>Développement d</w:t>
            </w:r>
            <w:r w:rsidR="00776267">
              <w:rPr>
                <w:b/>
              </w:rPr>
              <w:t>’</w:t>
            </w:r>
            <w:r>
              <w:rPr>
                <w:b/>
              </w:rPr>
              <w:t>un portail documentaire SharePoint</w:t>
            </w:r>
          </w:p>
        </w:tc>
        <w:tc>
          <w:tcPr>
            <w:tcW w:w="861" w:type="pct"/>
            <w:tcBorders>
              <w:top w:val="nil"/>
              <w:left w:val="nil"/>
              <w:bottom w:val="single" w:sz="4" w:space="0" w:color="auto"/>
              <w:right w:val="single" w:sz="4" w:space="0" w:color="auto"/>
            </w:tcBorders>
            <w:shd w:val="clear" w:color="auto" w:fill="auto"/>
            <w:hideMark/>
          </w:tcPr>
          <w:p w14:paraId="518EE1C8" w14:textId="77777777" w:rsidR="000D79FD" w:rsidRPr="000D79FD" w:rsidRDefault="000D79FD" w:rsidP="00726DC5">
            <w:pPr>
              <w:widowControl/>
              <w:autoSpaceDE/>
              <w:autoSpaceDN/>
              <w:rPr>
                <w:rFonts w:eastAsia="Times New Roman"/>
                <w:b/>
                <w:bCs/>
              </w:rPr>
            </w:pPr>
            <w:r>
              <w:rPr>
                <w:b/>
              </w:rPr>
              <w:t>Secrétariat de la Convention</w:t>
            </w:r>
          </w:p>
        </w:tc>
        <w:tc>
          <w:tcPr>
            <w:tcW w:w="538" w:type="pct"/>
            <w:tcBorders>
              <w:top w:val="nil"/>
              <w:left w:val="nil"/>
              <w:bottom w:val="single" w:sz="4" w:space="0" w:color="auto"/>
              <w:right w:val="single" w:sz="4" w:space="0" w:color="auto"/>
            </w:tcBorders>
            <w:shd w:val="clear" w:color="auto" w:fill="auto"/>
            <w:hideMark/>
          </w:tcPr>
          <w:p w14:paraId="71788ED1"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390BEDF9" w14:textId="3F3BF311" w:rsidR="000D79FD" w:rsidRPr="000D79FD" w:rsidRDefault="000D79FD" w:rsidP="00726DC5">
            <w:pPr>
              <w:widowControl/>
              <w:autoSpaceDE/>
              <w:autoSpaceDN/>
              <w:rPr>
                <w:rFonts w:eastAsia="Times New Roman"/>
              </w:rPr>
            </w:pPr>
            <w:r>
              <w:t>Portail SharePoint alimenté avec tous les documents pertinents de la COP2 à la COP14, création d</w:t>
            </w:r>
            <w:r w:rsidR="00776267">
              <w:t>’</w:t>
            </w:r>
            <w:r>
              <w:t>un dossier pour tous les documents liés au GTRI. Permet une facilité et une égalité d</w:t>
            </w:r>
            <w:r w:rsidR="00776267">
              <w:t>’</w:t>
            </w:r>
            <w:r>
              <w:t xml:space="preserve">accès à toutes les informations relatives aux travaux du Groupe. </w:t>
            </w:r>
          </w:p>
        </w:tc>
      </w:tr>
      <w:tr w:rsidR="0054196C" w:rsidRPr="000D79FD" w14:paraId="67E7D744" w14:textId="77777777" w:rsidTr="00352A89">
        <w:trPr>
          <w:cantSplit/>
          <w:trHeight w:val="288"/>
        </w:trPr>
        <w:tc>
          <w:tcPr>
            <w:tcW w:w="536" w:type="pct"/>
            <w:tcBorders>
              <w:top w:val="nil"/>
              <w:left w:val="single" w:sz="4" w:space="0" w:color="auto"/>
              <w:bottom w:val="single" w:sz="4" w:space="0" w:color="auto"/>
              <w:right w:val="single" w:sz="4" w:space="0" w:color="auto"/>
            </w:tcBorders>
            <w:shd w:val="clear" w:color="auto" w:fill="auto"/>
            <w:hideMark/>
          </w:tcPr>
          <w:p w14:paraId="59A44F20" w14:textId="77777777" w:rsidR="000D79FD" w:rsidRPr="000D79FD" w:rsidRDefault="000D79FD" w:rsidP="00726DC5">
            <w:pPr>
              <w:widowControl/>
              <w:autoSpaceDE/>
              <w:autoSpaceDN/>
              <w:rPr>
                <w:rFonts w:eastAsia="Times New Roman"/>
              </w:rPr>
            </w:pPr>
            <w:r>
              <w:t>10 décembre 2023</w:t>
            </w:r>
          </w:p>
        </w:tc>
        <w:tc>
          <w:tcPr>
            <w:tcW w:w="1129" w:type="pct"/>
            <w:tcBorders>
              <w:top w:val="nil"/>
              <w:left w:val="nil"/>
              <w:bottom w:val="single" w:sz="4" w:space="0" w:color="auto"/>
              <w:right w:val="single" w:sz="4" w:space="0" w:color="auto"/>
            </w:tcBorders>
            <w:shd w:val="clear" w:color="auto" w:fill="auto"/>
            <w:hideMark/>
          </w:tcPr>
          <w:p w14:paraId="0F7C65F4" w14:textId="6B0F08FB" w:rsidR="000D79FD" w:rsidRPr="000D79FD" w:rsidRDefault="000D79FD" w:rsidP="00726DC5">
            <w:pPr>
              <w:widowControl/>
              <w:autoSpaceDE/>
              <w:autoSpaceDN/>
              <w:rPr>
                <w:rFonts w:eastAsia="Times New Roman"/>
              </w:rPr>
            </w:pPr>
            <w:r>
              <w:t>Engagement d</w:t>
            </w:r>
            <w:r w:rsidR="00776267">
              <w:t>’</w:t>
            </w:r>
            <w:r>
              <w:t>un.e consultant.e</w:t>
            </w:r>
          </w:p>
        </w:tc>
        <w:tc>
          <w:tcPr>
            <w:tcW w:w="861" w:type="pct"/>
            <w:tcBorders>
              <w:top w:val="nil"/>
              <w:left w:val="nil"/>
              <w:bottom w:val="single" w:sz="4" w:space="0" w:color="auto"/>
              <w:right w:val="single" w:sz="4" w:space="0" w:color="auto"/>
            </w:tcBorders>
            <w:shd w:val="clear" w:color="auto" w:fill="auto"/>
            <w:hideMark/>
          </w:tcPr>
          <w:p w14:paraId="326007A0" w14:textId="1D3D52D6" w:rsidR="000D79FD" w:rsidRPr="000D79FD" w:rsidRDefault="000D79FD" w:rsidP="00726DC5">
            <w:pPr>
              <w:widowControl/>
              <w:autoSpaceDE/>
              <w:autoSpaceDN/>
              <w:rPr>
                <w:rFonts w:eastAsia="Times New Roman"/>
              </w:rPr>
            </w:pPr>
            <w:r>
              <w:t>Panel d</w:t>
            </w:r>
            <w:r w:rsidR="00776267">
              <w:t>’</w:t>
            </w:r>
            <w:r>
              <w:t>évaluation</w:t>
            </w:r>
          </w:p>
        </w:tc>
        <w:tc>
          <w:tcPr>
            <w:tcW w:w="538" w:type="pct"/>
            <w:tcBorders>
              <w:top w:val="nil"/>
              <w:left w:val="nil"/>
              <w:bottom w:val="single" w:sz="4" w:space="0" w:color="auto"/>
              <w:right w:val="single" w:sz="4" w:space="0" w:color="auto"/>
            </w:tcBorders>
            <w:shd w:val="clear" w:color="auto" w:fill="auto"/>
            <w:hideMark/>
          </w:tcPr>
          <w:p w14:paraId="291151A1"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1875526D" w14:textId="0D454F78" w:rsidR="000D79FD" w:rsidRPr="000D79FD" w:rsidRDefault="000D79FD" w:rsidP="00726DC5">
            <w:pPr>
              <w:widowControl/>
              <w:autoSpaceDE/>
              <w:autoSpaceDN/>
              <w:rPr>
                <w:rFonts w:eastAsia="Times New Roman"/>
              </w:rPr>
            </w:pPr>
            <w:r>
              <w:t>Engagement d</w:t>
            </w:r>
            <w:r w:rsidR="00776267">
              <w:t>’</w:t>
            </w:r>
            <w:r>
              <w:t>un.e consultant.e a pour élaborer un rapport de synthèse.</w:t>
            </w:r>
          </w:p>
        </w:tc>
      </w:tr>
      <w:tr w:rsidR="0054196C" w:rsidRPr="000D79FD" w14:paraId="665F1DC0" w14:textId="77777777" w:rsidTr="00352A89">
        <w:trPr>
          <w:cantSplit/>
          <w:trHeight w:val="576"/>
        </w:trPr>
        <w:tc>
          <w:tcPr>
            <w:tcW w:w="536" w:type="pct"/>
            <w:tcBorders>
              <w:top w:val="nil"/>
              <w:left w:val="single" w:sz="4" w:space="0" w:color="auto"/>
              <w:bottom w:val="single" w:sz="4" w:space="0" w:color="auto"/>
              <w:right w:val="single" w:sz="4" w:space="0" w:color="auto"/>
            </w:tcBorders>
            <w:shd w:val="clear" w:color="auto" w:fill="auto"/>
            <w:hideMark/>
          </w:tcPr>
          <w:p w14:paraId="443A4A55" w14:textId="77777777" w:rsidR="000D79FD" w:rsidRPr="000D79FD" w:rsidRDefault="000D79FD" w:rsidP="00726DC5">
            <w:pPr>
              <w:widowControl/>
              <w:autoSpaceDE/>
              <w:autoSpaceDN/>
              <w:rPr>
                <w:rFonts w:eastAsia="Times New Roman"/>
              </w:rPr>
            </w:pPr>
            <w:r>
              <w:t>8 janvier 2024</w:t>
            </w:r>
          </w:p>
        </w:tc>
        <w:tc>
          <w:tcPr>
            <w:tcW w:w="1129" w:type="pct"/>
            <w:tcBorders>
              <w:top w:val="nil"/>
              <w:left w:val="nil"/>
              <w:bottom w:val="single" w:sz="4" w:space="0" w:color="auto"/>
              <w:right w:val="single" w:sz="4" w:space="0" w:color="auto"/>
            </w:tcBorders>
            <w:shd w:val="clear" w:color="auto" w:fill="auto"/>
            <w:hideMark/>
          </w:tcPr>
          <w:p w14:paraId="0B4277AC" w14:textId="7C5E1BA4" w:rsidR="000D79FD" w:rsidRPr="000D79FD" w:rsidRDefault="000D79FD" w:rsidP="00726DC5">
            <w:pPr>
              <w:widowControl/>
              <w:autoSpaceDE/>
              <w:autoSpaceDN/>
              <w:rPr>
                <w:rFonts w:eastAsia="Times New Roman"/>
              </w:rPr>
            </w:pPr>
            <w:r>
              <w:t>Cadre du rapport de synthèse</w:t>
            </w:r>
          </w:p>
        </w:tc>
        <w:tc>
          <w:tcPr>
            <w:tcW w:w="861" w:type="pct"/>
            <w:tcBorders>
              <w:top w:val="nil"/>
              <w:left w:val="nil"/>
              <w:bottom w:val="single" w:sz="4" w:space="0" w:color="auto"/>
              <w:right w:val="single" w:sz="4" w:space="0" w:color="auto"/>
            </w:tcBorders>
            <w:shd w:val="clear" w:color="auto" w:fill="auto"/>
            <w:hideMark/>
          </w:tcPr>
          <w:p w14:paraId="0FF5BE54" w14:textId="77777777" w:rsidR="000D79FD" w:rsidRPr="000D79FD" w:rsidRDefault="000D79FD" w:rsidP="00726DC5">
            <w:pPr>
              <w:widowControl/>
              <w:autoSpaceDE/>
              <w:autoSpaceDN/>
              <w:rPr>
                <w:rFonts w:eastAsia="Times New Roman"/>
              </w:rPr>
            </w:pPr>
            <w:r>
              <w:t>Consultant.e</w:t>
            </w:r>
          </w:p>
        </w:tc>
        <w:tc>
          <w:tcPr>
            <w:tcW w:w="538" w:type="pct"/>
            <w:vMerge w:val="restart"/>
            <w:tcBorders>
              <w:top w:val="nil"/>
              <w:left w:val="single" w:sz="4" w:space="0" w:color="auto"/>
              <w:bottom w:val="single" w:sz="4" w:space="0" w:color="000000"/>
              <w:right w:val="single" w:sz="4" w:space="0" w:color="auto"/>
            </w:tcBorders>
            <w:shd w:val="clear" w:color="auto" w:fill="auto"/>
            <w:hideMark/>
          </w:tcPr>
          <w:p w14:paraId="619362DF" w14:textId="77777777" w:rsidR="000D79FD" w:rsidRPr="000D79FD" w:rsidRDefault="000D79FD" w:rsidP="00726DC5">
            <w:pPr>
              <w:widowControl/>
              <w:autoSpaceDE/>
              <w:autoSpaceDN/>
              <w:rPr>
                <w:rFonts w:eastAsia="Times New Roman"/>
              </w:rPr>
            </w:pPr>
            <w:r>
              <w:t>10 000 CHF (financé par la Suisse)</w:t>
            </w:r>
          </w:p>
        </w:tc>
        <w:tc>
          <w:tcPr>
            <w:tcW w:w="1936" w:type="pct"/>
            <w:tcBorders>
              <w:top w:val="nil"/>
              <w:left w:val="nil"/>
              <w:bottom w:val="single" w:sz="4" w:space="0" w:color="auto"/>
              <w:right w:val="single" w:sz="4" w:space="0" w:color="auto"/>
            </w:tcBorders>
            <w:shd w:val="clear" w:color="auto" w:fill="auto"/>
            <w:hideMark/>
          </w:tcPr>
          <w:p w14:paraId="6E44F45A" w14:textId="4DDA8268" w:rsidR="000D79FD" w:rsidRPr="000D79FD" w:rsidRDefault="000D79FD" w:rsidP="00726DC5">
            <w:pPr>
              <w:widowControl/>
              <w:autoSpaceDE/>
              <w:autoSpaceDN/>
              <w:rPr>
                <w:rFonts w:eastAsia="Times New Roman"/>
              </w:rPr>
            </w:pPr>
            <w:r>
              <w:t xml:space="preserve">Plan du rapport de synthèse à définir pour permettre une intervention en amont du GT sur la structure et le contenu du rapport. </w:t>
            </w:r>
          </w:p>
        </w:tc>
      </w:tr>
      <w:tr w:rsidR="0054196C" w:rsidRPr="000D79FD" w14:paraId="6C5A9ADD" w14:textId="77777777" w:rsidTr="00352A89">
        <w:trPr>
          <w:cantSplit/>
          <w:trHeight w:val="288"/>
        </w:trPr>
        <w:tc>
          <w:tcPr>
            <w:tcW w:w="536" w:type="pct"/>
            <w:tcBorders>
              <w:top w:val="nil"/>
              <w:left w:val="single" w:sz="4" w:space="0" w:color="auto"/>
              <w:bottom w:val="single" w:sz="4" w:space="0" w:color="auto"/>
              <w:right w:val="single" w:sz="4" w:space="0" w:color="auto"/>
            </w:tcBorders>
            <w:shd w:val="clear" w:color="auto" w:fill="auto"/>
            <w:hideMark/>
          </w:tcPr>
          <w:p w14:paraId="6A052EBB" w14:textId="77777777" w:rsidR="000D79FD" w:rsidRPr="000D79FD" w:rsidRDefault="000D79FD" w:rsidP="00726DC5">
            <w:pPr>
              <w:widowControl/>
              <w:autoSpaceDE/>
              <w:autoSpaceDN/>
              <w:rPr>
                <w:rFonts w:eastAsia="Times New Roman"/>
              </w:rPr>
            </w:pPr>
            <w:r>
              <w:t>11 janvier 2024</w:t>
            </w:r>
          </w:p>
        </w:tc>
        <w:tc>
          <w:tcPr>
            <w:tcW w:w="1129" w:type="pct"/>
            <w:tcBorders>
              <w:top w:val="nil"/>
              <w:left w:val="nil"/>
              <w:bottom w:val="single" w:sz="4" w:space="0" w:color="auto"/>
              <w:right w:val="single" w:sz="4" w:space="0" w:color="auto"/>
            </w:tcBorders>
            <w:shd w:val="clear" w:color="auto" w:fill="auto"/>
            <w:hideMark/>
          </w:tcPr>
          <w:p w14:paraId="63DEAFEC" w14:textId="77777777" w:rsidR="000D79FD" w:rsidRPr="000D79FD" w:rsidRDefault="000D79FD" w:rsidP="00726DC5">
            <w:pPr>
              <w:widowControl/>
              <w:autoSpaceDE/>
              <w:autoSpaceDN/>
              <w:rPr>
                <w:rFonts w:eastAsia="Times New Roman"/>
              </w:rPr>
            </w:pPr>
            <w:r>
              <w:t>2</w:t>
            </w:r>
            <w:r>
              <w:rPr>
                <w:vertAlign w:val="superscript"/>
              </w:rPr>
              <w:t>e</w:t>
            </w:r>
            <w:r>
              <w:t> réunion du GTRI</w:t>
            </w:r>
          </w:p>
        </w:tc>
        <w:tc>
          <w:tcPr>
            <w:tcW w:w="861" w:type="pct"/>
            <w:tcBorders>
              <w:top w:val="nil"/>
              <w:left w:val="nil"/>
              <w:bottom w:val="single" w:sz="4" w:space="0" w:color="auto"/>
              <w:right w:val="single" w:sz="4" w:space="0" w:color="auto"/>
            </w:tcBorders>
            <w:shd w:val="clear" w:color="auto" w:fill="auto"/>
            <w:hideMark/>
          </w:tcPr>
          <w:p w14:paraId="710FD177" w14:textId="77777777" w:rsidR="000D79FD" w:rsidRPr="000D79FD" w:rsidRDefault="000D79FD" w:rsidP="00726DC5">
            <w:pPr>
              <w:widowControl/>
              <w:autoSpaceDE/>
              <w:autoSpaceDN/>
              <w:rPr>
                <w:rFonts w:eastAsia="Times New Roman"/>
              </w:rPr>
            </w:pPr>
            <w:r>
              <w:t>Présidence, coprésidence, Secrétariat de la Convention</w:t>
            </w:r>
          </w:p>
        </w:tc>
        <w:tc>
          <w:tcPr>
            <w:tcW w:w="538" w:type="pct"/>
            <w:vMerge/>
            <w:tcBorders>
              <w:top w:val="nil"/>
              <w:left w:val="single" w:sz="4" w:space="0" w:color="auto"/>
              <w:bottom w:val="single" w:sz="4" w:space="0" w:color="000000"/>
              <w:right w:val="single" w:sz="4" w:space="0" w:color="auto"/>
            </w:tcBorders>
            <w:hideMark/>
          </w:tcPr>
          <w:p w14:paraId="06E3AF2E" w14:textId="77777777" w:rsidR="000D79FD" w:rsidRPr="00776267" w:rsidRDefault="000D79FD" w:rsidP="00726DC5">
            <w:pPr>
              <w:widowControl/>
              <w:autoSpaceDE/>
              <w:autoSpaceDN/>
              <w:rPr>
                <w:rFonts w:eastAsia="Times New Roman"/>
                <w:lang w:eastAsia="en-ZA"/>
              </w:rPr>
            </w:pPr>
          </w:p>
        </w:tc>
        <w:tc>
          <w:tcPr>
            <w:tcW w:w="1936" w:type="pct"/>
            <w:tcBorders>
              <w:top w:val="nil"/>
              <w:left w:val="nil"/>
              <w:bottom w:val="single" w:sz="4" w:space="0" w:color="auto"/>
              <w:right w:val="single" w:sz="4" w:space="0" w:color="auto"/>
            </w:tcBorders>
            <w:shd w:val="clear" w:color="auto" w:fill="auto"/>
            <w:hideMark/>
          </w:tcPr>
          <w:p w14:paraId="67C42F61" w14:textId="04CCBC42" w:rsidR="000D79FD" w:rsidRPr="000D79FD" w:rsidRDefault="001B5C81" w:rsidP="00726DC5">
            <w:pPr>
              <w:widowControl/>
              <w:autoSpaceDE/>
              <w:autoSpaceDN/>
              <w:rPr>
                <w:rFonts w:eastAsia="Times New Roman"/>
              </w:rPr>
            </w:pPr>
            <w:r>
              <w:t>R</w:t>
            </w:r>
            <w:r w:rsidR="000D79FD">
              <w:t>éunion pour discuter du cadre du rapport de synthèse et du plan de travail.</w:t>
            </w:r>
          </w:p>
        </w:tc>
      </w:tr>
      <w:tr w:rsidR="0054196C" w:rsidRPr="000D79FD" w14:paraId="23B6839C" w14:textId="77777777" w:rsidTr="00352A89">
        <w:trPr>
          <w:cantSplit/>
          <w:trHeight w:val="288"/>
        </w:trPr>
        <w:tc>
          <w:tcPr>
            <w:tcW w:w="536" w:type="pct"/>
            <w:tcBorders>
              <w:top w:val="nil"/>
              <w:left w:val="single" w:sz="4" w:space="0" w:color="auto"/>
              <w:bottom w:val="single" w:sz="4" w:space="0" w:color="auto"/>
              <w:right w:val="single" w:sz="4" w:space="0" w:color="auto"/>
            </w:tcBorders>
            <w:shd w:val="clear" w:color="auto" w:fill="auto"/>
            <w:hideMark/>
          </w:tcPr>
          <w:p w14:paraId="6AF40F70" w14:textId="77777777" w:rsidR="000D79FD" w:rsidRPr="000D79FD" w:rsidRDefault="000D79FD" w:rsidP="00726DC5">
            <w:pPr>
              <w:widowControl/>
              <w:autoSpaceDE/>
              <w:autoSpaceDN/>
              <w:rPr>
                <w:rFonts w:eastAsia="Times New Roman"/>
              </w:rPr>
            </w:pPr>
            <w:r>
              <w:t>5 février 2024</w:t>
            </w:r>
          </w:p>
        </w:tc>
        <w:tc>
          <w:tcPr>
            <w:tcW w:w="1129" w:type="pct"/>
            <w:tcBorders>
              <w:top w:val="nil"/>
              <w:left w:val="nil"/>
              <w:bottom w:val="single" w:sz="4" w:space="0" w:color="auto"/>
              <w:right w:val="single" w:sz="4" w:space="0" w:color="auto"/>
            </w:tcBorders>
            <w:shd w:val="clear" w:color="auto" w:fill="auto"/>
            <w:hideMark/>
          </w:tcPr>
          <w:p w14:paraId="30011EF8" w14:textId="5DB17D3C" w:rsidR="000D79FD" w:rsidRPr="000D79FD" w:rsidRDefault="000D79FD" w:rsidP="00726DC5">
            <w:pPr>
              <w:widowControl/>
              <w:autoSpaceDE/>
              <w:autoSpaceDN/>
              <w:rPr>
                <w:rFonts w:eastAsia="Times New Roman"/>
              </w:rPr>
            </w:pPr>
            <w:r>
              <w:t>Projet de rapport de synthèse</w:t>
            </w:r>
          </w:p>
        </w:tc>
        <w:tc>
          <w:tcPr>
            <w:tcW w:w="861" w:type="pct"/>
            <w:tcBorders>
              <w:top w:val="nil"/>
              <w:left w:val="nil"/>
              <w:bottom w:val="single" w:sz="4" w:space="0" w:color="auto"/>
              <w:right w:val="single" w:sz="4" w:space="0" w:color="auto"/>
            </w:tcBorders>
            <w:shd w:val="clear" w:color="auto" w:fill="auto"/>
            <w:hideMark/>
          </w:tcPr>
          <w:p w14:paraId="360DDD7F" w14:textId="77777777" w:rsidR="000D79FD" w:rsidRPr="000D79FD" w:rsidRDefault="000D79FD" w:rsidP="00726DC5">
            <w:pPr>
              <w:widowControl/>
              <w:autoSpaceDE/>
              <w:autoSpaceDN/>
              <w:rPr>
                <w:rFonts w:eastAsia="Times New Roman"/>
              </w:rPr>
            </w:pPr>
            <w:r>
              <w:t>Consultant.e</w:t>
            </w:r>
          </w:p>
        </w:tc>
        <w:tc>
          <w:tcPr>
            <w:tcW w:w="538" w:type="pct"/>
            <w:vMerge/>
            <w:tcBorders>
              <w:top w:val="nil"/>
              <w:left w:val="single" w:sz="4" w:space="0" w:color="auto"/>
              <w:bottom w:val="single" w:sz="4" w:space="0" w:color="000000"/>
              <w:right w:val="single" w:sz="4" w:space="0" w:color="auto"/>
            </w:tcBorders>
            <w:hideMark/>
          </w:tcPr>
          <w:p w14:paraId="4CF71CF7" w14:textId="77777777" w:rsidR="000D79FD" w:rsidRPr="000D79FD" w:rsidRDefault="000D79FD" w:rsidP="00726DC5">
            <w:pPr>
              <w:widowControl/>
              <w:autoSpaceDE/>
              <w:autoSpaceDN/>
              <w:rPr>
                <w:rFonts w:eastAsia="Times New Roman"/>
                <w:lang w:val="en-ZA" w:eastAsia="en-ZA"/>
              </w:rPr>
            </w:pPr>
          </w:p>
        </w:tc>
        <w:tc>
          <w:tcPr>
            <w:tcW w:w="1936" w:type="pct"/>
            <w:tcBorders>
              <w:top w:val="nil"/>
              <w:left w:val="nil"/>
              <w:bottom w:val="single" w:sz="4" w:space="0" w:color="auto"/>
              <w:right w:val="single" w:sz="4" w:space="0" w:color="auto"/>
            </w:tcBorders>
            <w:shd w:val="clear" w:color="auto" w:fill="auto"/>
            <w:hideMark/>
          </w:tcPr>
          <w:p w14:paraId="3F1F02AD" w14:textId="7D1E4CD9" w:rsidR="000D79FD" w:rsidRPr="000D79FD" w:rsidRDefault="000D79FD" w:rsidP="00726DC5">
            <w:pPr>
              <w:widowControl/>
              <w:autoSpaceDE/>
              <w:autoSpaceDN/>
              <w:rPr>
                <w:rFonts w:eastAsia="Times New Roman"/>
              </w:rPr>
            </w:pPr>
            <w:r>
              <w:t>Projet de rapport de synthèse élaboré et diffusé aux membres du GT pour commentaires.</w:t>
            </w:r>
          </w:p>
        </w:tc>
      </w:tr>
      <w:tr w:rsidR="0054196C" w:rsidRPr="000D79FD" w14:paraId="4CD39F33" w14:textId="77777777" w:rsidTr="00352A89">
        <w:trPr>
          <w:cantSplit/>
          <w:trHeight w:val="288"/>
        </w:trPr>
        <w:tc>
          <w:tcPr>
            <w:tcW w:w="536" w:type="pct"/>
            <w:tcBorders>
              <w:top w:val="nil"/>
              <w:left w:val="single" w:sz="4" w:space="0" w:color="auto"/>
              <w:bottom w:val="single" w:sz="4" w:space="0" w:color="auto"/>
              <w:right w:val="single" w:sz="4" w:space="0" w:color="auto"/>
            </w:tcBorders>
            <w:shd w:val="clear" w:color="auto" w:fill="auto"/>
            <w:hideMark/>
          </w:tcPr>
          <w:p w14:paraId="2BE3CC91" w14:textId="77777777" w:rsidR="000D79FD" w:rsidRPr="000D79FD" w:rsidRDefault="000D79FD" w:rsidP="00726DC5">
            <w:pPr>
              <w:widowControl/>
              <w:autoSpaceDE/>
              <w:autoSpaceDN/>
              <w:rPr>
                <w:rFonts w:eastAsia="Times New Roman"/>
              </w:rPr>
            </w:pPr>
            <w:r>
              <w:t>12 février 2024</w:t>
            </w:r>
          </w:p>
        </w:tc>
        <w:tc>
          <w:tcPr>
            <w:tcW w:w="1129" w:type="pct"/>
            <w:tcBorders>
              <w:top w:val="nil"/>
              <w:left w:val="nil"/>
              <w:bottom w:val="single" w:sz="4" w:space="0" w:color="auto"/>
              <w:right w:val="single" w:sz="4" w:space="0" w:color="auto"/>
            </w:tcBorders>
            <w:shd w:val="clear" w:color="auto" w:fill="auto"/>
            <w:hideMark/>
          </w:tcPr>
          <w:p w14:paraId="5D2BA8CC" w14:textId="77777777" w:rsidR="000D79FD" w:rsidRPr="000D79FD" w:rsidRDefault="000D79FD" w:rsidP="00726DC5">
            <w:pPr>
              <w:widowControl/>
              <w:autoSpaceDE/>
              <w:autoSpaceDN/>
              <w:rPr>
                <w:rFonts w:eastAsia="Times New Roman"/>
              </w:rPr>
            </w:pPr>
            <w:r>
              <w:t>3</w:t>
            </w:r>
            <w:r>
              <w:rPr>
                <w:vertAlign w:val="superscript"/>
              </w:rPr>
              <w:t>e</w:t>
            </w:r>
            <w:r>
              <w:t> réunion du GTRI</w:t>
            </w:r>
          </w:p>
        </w:tc>
        <w:tc>
          <w:tcPr>
            <w:tcW w:w="861" w:type="pct"/>
            <w:tcBorders>
              <w:top w:val="nil"/>
              <w:left w:val="nil"/>
              <w:bottom w:val="single" w:sz="4" w:space="0" w:color="auto"/>
              <w:right w:val="single" w:sz="4" w:space="0" w:color="auto"/>
            </w:tcBorders>
            <w:shd w:val="clear" w:color="auto" w:fill="auto"/>
            <w:hideMark/>
          </w:tcPr>
          <w:p w14:paraId="6EF776F1" w14:textId="77777777" w:rsidR="000D79FD" w:rsidRPr="000D79FD" w:rsidRDefault="000D79FD" w:rsidP="00726DC5">
            <w:pPr>
              <w:widowControl/>
              <w:autoSpaceDE/>
              <w:autoSpaceDN/>
              <w:rPr>
                <w:rFonts w:eastAsia="Times New Roman"/>
              </w:rPr>
            </w:pPr>
            <w:r>
              <w:t>Présidence, coprésidence, Secrétariat de la Convention</w:t>
            </w:r>
          </w:p>
        </w:tc>
        <w:tc>
          <w:tcPr>
            <w:tcW w:w="538" w:type="pct"/>
            <w:vMerge/>
            <w:tcBorders>
              <w:top w:val="nil"/>
              <w:left w:val="single" w:sz="4" w:space="0" w:color="auto"/>
              <w:bottom w:val="single" w:sz="4" w:space="0" w:color="000000"/>
              <w:right w:val="single" w:sz="4" w:space="0" w:color="auto"/>
            </w:tcBorders>
            <w:hideMark/>
          </w:tcPr>
          <w:p w14:paraId="269AFDC7" w14:textId="77777777" w:rsidR="000D79FD" w:rsidRPr="00776267" w:rsidRDefault="000D79FD" w:rsidP="00726DC5">
            <w:pPr>
              <w:widowControl/>
              <w:autoSpaceDE/>
              <w:autoSpaceDN/>
              <w:rPr>
                <w:rFonts w:eastAsia="Times New Roman"/>
                <w:lang w:eastAsia="en-ZA"/>
              </w:rPr>
            </w:pPr>
          </w:p>
        </w:tc>
        <w:tc>
          <w:tcPr>
            <w:tcW w:w="1936" w:type="pct"/>
            <w:tcBorders>
              <w:top w:val="nil"/>
              <w:left w:val="nil"/>
              <w:bottom w:val="single" w:sz="4" w:space="0" w:color="auto"/>
              <w:right w:val="single" w:sz="4" w:space="0" w:color="auto"/>
            </w:tcBorders>
            <w:shd w:val="clear" w:color="auto" w:fill="auto"/>
            <w:hideMark/>
          </w:tcPr>
          <w:p w14:paraId="23068972" w14:textId="5CA88ADF" w:rsidR="000D79FD" w:rsidRPr="000D79FD" w:rsidRDefault="001B5C81" w:rsidP="00726DC5">
            <w:pPr>
              <w:widowControl/>
              <w:autoSpaceDE/>
              <w:autoSpaceDN/>
              <w:rPr>
                <w:rFonts w:eastAsia="Times New Roman"/>
              </w:rPr>
            </w:pPr>
            <w:r>
              <w:t>A</w:t>
            </w:r>
            <w:r w:rsidR="000D79FD">
              <w:t>telier sur le projet de rapport de synthèse.</w:t>
            </w:r>
          </w:p>
        </w:tc>
      </w:tr>
      <w:tr w:rsidR="0054196C" w:rsidRPr="000D79FD" w14:paraId="06F28732" w14:textId="77777777" w:rsidTr="00352A89">
        <w:trPr>
          <w:cantSplit/>
          <w:trHeight w:val="288"/>
        </w:trPr>
        <w:tc>
          <w:tcPr>
            <w:tcW w:w="536" w:type="pct"/>
            <w:tcBorders>
              <w:top w:val="nil"/>
              <w:left w:val="single" w:sz="4" w:space="0" w:color="auto"/>
              <w:bottom w:val="single" w:sz="4" w:space="0" w:color="auto"/>
              <w:right w:val="single" w:sz="4" w:space="0" w:color="auto"/>
            </w:tcBorders>
            <w:shd w:val="clear" w:color="auto" w:fill="auto"/>
            <w:hideMark/>
          </w:tcPr>
          <w:p w14:paraId="6D8F37A0" w14:textId="77777777" w:rsidR="000D79FD" w:rsidRPr="000D79FD" w:rsidRDefault="000D79FD" w:rsidP="00726DC5">
            <w:pPr>
              <w:widowControl/>
              <w:autoSpaceDE/>
              <w:autoSpaceDN/>
              <w:rPr>
                <w:rFonts w:eastAsia="Times New Roman"/>
                <w:b/>
                <w:bCs/>
              </w:rPr>
            </w:pPr>
            <w:r>
              <w:rPr>
                <w:b/>
              </w:rPr>
              <w:t>28 février 2024</w:t>
            </w:r>
          </w:p>
        </w:tc>
        <w:tc>
          <w:tcPr>
            <w:tcW w:w="1129" w:type="pct"/>
            <w:tcBorders>
              <w:top w:val="nil"/>
              <w:left w:val="nil"/>
              <w:bottom w:val="single" w:sz="4" w:space="0" w:color="auto"/>
              <w:right w:val="single" w:sz="4" w:space="0" w:color="auto"/>
            </w:tcBorders>
            <w:shd w:val="clear" w:color="auto" w:fill="auto"/>
            <w:hideMark/>
          </w:tcPr>
          <w:p w14:paraId="2A55D5A2" w14:textId="580869EF" w:rsidR="000D79FD" w:rsidRPr="000D79FD" w:rsidRDefault="000D79FD" w:rsidP="00726DC5">
            <w:pPr>
              <w:widowControl/>
              <w:autoSpaceDE/>
              <w:autoSpaceDN/>
              <w:rPr>
                <w:rFonts w:eastAsia="Times New Roman"/>
                <w:b/>
                <w:bCs/>
              </w:rPr>
            </w:pPr>
            <w:r>
              <w:rPr>
                <w:b/>
              </w:rPr>
              <w:t>Rapport de synthèse final</w:t>
            </w:r>
          </w:p>
        </w:tc>
        <w:tc>
          <w:tcPr>
            <w:tcW w:w="861" w:type="pct"/>
            <w:tcBorders>
              <w:top w:val="nil"/>
              <w:left w:val="nil"/>
              <w:bottom w:val="single" w:sz="4" w:space="0" w:color="auto"/>
              <w:right w:val="single" w:sz="4" w:space="0" w:color="auto"/>
            </w:tcBorders>
            <w:shd w:val="clear" w:color="auto" w:fill="auto"/>
            <w:hideMark/>
          </w:tcPr>
          <w:p w14:paraId="39F17FE5" w14:textId="77777777" w:rsidR="000D79FD" w:rsidRPr="000D79FD" w:rsidRDefault="000D79FD" w:rsidP="00726DC5">
            <w:pPr>
              <w:widowControl/>
              <w:autoSpaceDE/>
              <w:autoSpaceDN/>
              <w:rPr>
                <w:rFonts w:eastAsia="Times New Roman"/>
              </w:rPr>
            </w:pPr>
            <w:r>
              <w:t>Consultant.e</w:t>
            </w:r>
          </w:p>
        </w:tc>
        <w:tc>
          <w:tcPr>
            <w:tcW w:w="538" w:type="pct"/>
            <w:vMerge/>
            <w:tcBorders>
              <w:top w:val="nil"/>
              <w:left w:val="single" w:sz="4" w:space="0" w:color="auto"/>
              <w:bottom w:val="single" w:sz="4" w:space="0" w:color="000000"/>
              <w:right w:val="single" w:sz="4" w:space="0" w:color="auto"/>
            </w:tcBorders>
            <w:hideMark/>
          </w:tcPr>
          <w:p w14:paraId="00C43815" w14:textId="77777777" w:rsidR="000D79FD" w:rsidRPr="000D79FD" w:rsidRDefault="000D79FD" w:rsidP="00726DC5">
            <w:pPr>
              <w:widowControl/>
              <w:autoSpaceDE/>
              <w:autoSpaceDN/>
              <w:rPr>
                <w:rFonts w:eastAsia="Times New Roman"/>
                <w:lang w:val="en-ZA" w:eastAsia="en-ZA"/>
              </w:rPr>
            </w:pPr>
          </w:p>
        </w:tc>
        <w:tc>
          <w:tcPr>
            <w:tcW w:w="1936" w:type="pct"/>
            <w:tcBorders>
              <w:top w:val="nil"/>
              <w:left w:val="nil"/>
              <w:bottom w:val="single" w:sz="4" w:space="0" w:color="auto"/>
              <w:right w:val="single" w:sz="4" w:space="0" w:color="auto"/>
            </w:tcBorders>
            <w:shd w:val="clear" w:color="auto" w:fill="auto"/>
            <w:hideMark/>
          </w:tcPr>
          <w:p w14:paraId="02A8207A" w14:textId="61858F0A" w:rsidR="000D79FD" w:rsidRPr="000D79FD" w:rsidRDefault="000D79FD" w:rsidP="00726DC5">
            <w:pPr>
              <w:widowControl/>
              <w:autoSpaceDE/>
              <w:autoSpaceDN/>
              <w:rPr>
                <w:rFonts w:eastAsia="Times New Roman"/>
              </w:rPr>
            </w:pPr>
            <w:r>
              <w:t>Élaboration du rapport de synthèse final.</w:t>
            </w:r>
          </w:p>
        </w:tc>
      </w:tr>
      <w:tr w:rsidR="0054196C" w:rsidRPr="000D79FD" w14:paraId="48A4FD72" w14:textId="77777777" w:rsidTr="00352A89">
        <w:trPr>
          <w:cantSplit/>
          <w:trHeight w:val="288"/>
        </w:trPr>
        <w:tc>
          <w:tcPr>
            <w:tcW w:w="536" w:type="pct"/>
            <w:tcBorders>
              <w:top w:val="nil"/>
              <w:left w:val="single" w:sz="4" w:space="0" w:color="auto"/>
              <w:bottom w:val="single" w:sz="4" w:space="0" w:color="auto"/>
              <w:right w:val="single" w:sz="4" w:space="0" w:color="auto"/>
            </w:tcBorders>
            <w:shd w:val="clear" w:color="auto" w:fill="auto"/>
            <w:hideMark/>
          </w:tcPr>
          <w:p w14:paraId="213941D9" w14:textId="77777777" w:rsidR="000D79FD" w:rsidRPr="000D79FD" w:rsidRDefault="000D79FD" w:rsidP="00726DC5">
            <w:pPr>
              <w:widowControl/>
              <w:autoSpaceDE/>
              <w:autoSpaceDN/>
              <w:rPr>
                <w:rFonts w:eastAsia="Times New Roman"/>
              </w:rPr>
            </w:pPr>
            <w:r>
              <w:lastRenderedPageBreak/>
              <w:t>4 mars 2024</w:t>
            </w:r>
          </w:p>
        </w:tc>
        <w:tc>
          <w:tcPr>
            <w:tcW w:w="1129" w:type="pct"/>
            <w:tcBorders>
              <w:top w:val="nil"/>
              <w:left w:val="nil"/>
              <w:bottom w:val="single" w:sz="4" w:space="0" w:color="auto"/>
              <w:right w:val="single" w:sz="4" w:space="0" w:color="auto"/>
            </w:tcBorders>
            <w:shd w:val="clear" w:color="auto" w:fill="auto"/>
            <w:hideMark/>
          </w:tcPr>
          <w:p w14:paraId="2C9FE145" w14:textId="77777777" w:rsidR="000D79FD" w:rsidRPr="000D79FD" w:rsidRDefault="000D79FD" w:rsidP="00726DC5">
            <w:pPr>
              <w:widowControl/>
              <w:autoSpaceDE/>
              <w:autoSpaceDN/>
              <w:rPr>
                <w:rFonts w:eastAsia="Times New Roman"/>
              </w:rPr>
            </w:pPr>
            <w:r>
              <w:t>4</w:t>
            </w:r>
            <w:r>
              <w:rPr>
                <w:vertAlign w:val="superscript"/>
              </w:rPr>
              <w:t>e</w:t>
            </w:r>
            <w:r>
              <w:t> réunion du GTRI</w:t>
            </w:r>
          </w:p>
        </w:tc>
        <w:tc>
          <w:tcPr>
            <w:tcW w:w="861" w:type="pct"/>
            <w:tcBorders>
              <w:top w:val="nil"/>
              <w:left w:val="nil"/>
              <w:bottom w:val="single" w:sz="4" w:space="0" w:color="auto"/>
              <w:right w:val="single" w:sz="4" w:space="0" w:color="auto"/>
            </w:tcBorders>
            <w:shd w:val="clear" w:color="auto" w:fill="auto"/>
            <w:hideMark/>
          </w:tcPr>
          <w:p w14:paraId="0C91E0B9" w14:textId="77777777" w:rsidR="000D79FD" w:rsidRPr="000D79FD" w:rsidRDefault="000D79FD" w:rsidP="00726DC5">
            <w:pPr>
              <w:widowControl/>
              <w:autoSpaceDE/>
              <w:autoSpaceDN/>
              <w:rPr>
                <w:rFonts w:eastAsia="Times New Roman"/>
              </w:rPr>
            </w:pPr>
            <w:r>
              <w:t>Présidence, coprésidence, Secrétariat de la Convention</w:t>
            </w:r>
          </w:p>
        </w:tc>
        <w:tc>
          <w:tcPr>
            <w:tcW w:w="538" w:type="pct"/>
            <w:vMerge/>
            <w:tcBorders>
              <w:top w:val="nil"/>
              <w:left w:val="single" w:sz="4" w:space="0" w:color="auto"/>
              <w:bottom w:val="single" w:sz="4" w:space="0" w:color="000000"/>
              <w:right w:val="single" w:sz="4" w:space="0" w:color="auto"/>
            </w:tcBorders>
            <w:hideMark/>
          </w:tcPr>
          <w:p w14:paraId="5366C5B7" w14:textId="77777777" w:rsidR="000D79FD" w:rsidRPr="00776267" w:rsidRDefault="000D79FD" w:rsidP="00726DC5">
            <w:pPr>
              <w:widowControl/>
              <w:autoSpaceDE/>
              <w:autoSpaceDN/>
              <w:rPr>
                <w:rFonts w:eastAsia="Times New Roman"/>
                <w:lang w:eastAsia="en-ZA"/>
              </w:rPr>
            </w:pPr>
          </w:p>
        </w:tc>
        <w:tc>
          <w:tcPr>
            <w:tcW w:w="1936" w:type="pct"/>
            <w:tcBorders>
              <w:top w:val="nil"/>
              <w:left w:val="nil"/>
              <w:bottom w:val="single" w:sz="4" w:space="0" w:color="auto"/>
              <w:right w:val="single" w:sz="4" w:space="0" w:color="auto"/>
            </w:tcBorders>
            <w:shd w:val="clear" w:color="auto" w:fill="auto"/>
            <w:hideMark/>
          </w:tcPr>
          <w:p w14:paraId="28BBD346" w14:textId="6BAA6FD3" w:rsidR="000D79FD" w:rsidRPr="000D79FD" w:rsidRDefault="000D79FD" w:rsidP="00726DC5">
            <w:pPr>
              <w:widowControl/>
              <w:autoSpaceDE/>
              <w:autoSpaceDN/>
              <w:rPr>
                <w:rFonts w:eastAsia="Times New Roman"/>
              </w:rPr>
            </w:pPr>
            <w:r>
              <w:t>Présentation du rapport de synthèse actualisé. Préparer le rapport de retour d</w:t>
            </w:r>
            <w:r w:rsidR="00776267">
              <w:t>’</w:t>
            </w:r>
            <w:r>
              <w:t>information pour la 63</w:t>
            </w:r>
            <w:r>
              <w:rPr>
                <w:vertAlign w:val="superscript"/>
              </w:rPr>
              <w:t>e</w:t>
            </w:r>
            <w:r>
              <w:t> Réunion du Comité permanent et planifier les prochaines étapes.</w:t>
            </w:r>
          </w:p>
        </w:tc>
      </w:tr>
      <w:tr w:rsidR="0054196C" w:rsidRPr="000D79FD" w14:paraId="26CD180E" w14:textId="77777777" w:rsidTr="00352A89">
        <w:trPr>
          <w:cantSplit/>
          <w:trHeight w:val="864"/>
        </w:trPr>
        <w:tc>
          <w:tcPr>
            <w:tcW w:w="536" w:type="pct"/>
            <w:tcBorders>
              <w:top w:val="nil"/>
              <w:left w:val="single" w:sz="4" w:space="0" w:color="auto"/>
              <w:bottom w:val="single" w:sz="4" w:space="0" w:color="auto"/>
              <w:right w:val="single" w:sz="4" w:space="0" w:color="auto"/>
            </w:tcBorders>
            <w:shd w:val="clear" w:color="auto" w:fill="auto"/>
            <w:hideMark/>
          </w:tcPr>
          <w:p w14:paraId="7C9BD028" w14:textId="77777777" w:rsidR="000D79FD" w:rsidRPr="000D79FD" w:rsidRDefault="000D79FD" w:rsidP="00726DC5">
            <w:pPr>
              <w:widowControl/>
              <w:autoSpaceDE/>
              <w:autoSpaceDN/>
              <w:rPr>
                <w:rFonts w:eastAsia="Times New Roman"/>
              </w:rPr>
            </w:pPr>
            <w:r>
              <w:t>20 mars 2024</w:t>
            </w:r>
          </w:p>
        </w:tc>
        <w:tc>
          <w:tcPr>
            <w:tcW w:w="1129" w:type="pct"/>
            <w:tcBorders>
              <w:top w:val="nil"/>
              <w:left w:val="nil"/>
              <w:bottom w:val="single" w:sz="4" w:space="0" w:color="auto"/>
              <w:right w:val="single" w:sz="4" w:space="0" w:color="auto"/>
            </w:tcBorders>
            <w:shd w:val="clear" w:color="auto" w:fill="auto"/>
            <w:hideMark/>
          </w:tcPr>
          <w:p w14:paraId="008D9542" w14:textId="12F62768" w:rsidR="000D79FD" w:rsidRPr="000D79FD" w:rsidRDefault="000D79FD" w:rsidP="00726DC5">
            <w:pPr>
              <w:widowControl/>
              <w:autoSpaceDE/>
              <w:autoSpaceDN/>
              <w:rPr>
                <w:rFonts w:eastAsia="Times New Roman"/>
              </w:rPr>
            </w:pPr>
            <w:r>
              <w:t>Réunion du sous-groupe du GTRI</w:t>
            </w:r>
          </w:p>
        </w:tc>
        <w:tc>
          <w:tcPr>
            <w:tcW w:w="861" w:type="pct"/>
            <w:tcBorders>
              <w:top w:val="nil"/>
              <w:left w:val="nil"/>
              <w:bottom w:val="single" w:sz="4" w:space="0" w:color="auto"/>
              <w:right w:val="single" w:sz="4" w:space="0" w:color="auto"/>
            </w:tcBorders>
            <w:shd w:val="clear" w:color="auto" w:fill="auto"/>
            <w:hideMark/>
          </w:tcPr>
          <w:p w14:paraId="52A3A8DE" w14:textId="6050E1FB" w:rsidR="000D79FD" w:rsidRPr="000D79FD" w:rsidRDefault="000D79FD" w:rsidP="00726DC5">
            <w:pPr>
              <w:widowControl/>
              <w:autoSpaceDE/>
              <w:autoSpaceDN/>
              <w:rPr>
                <w:rFonts w:eastAsia="Times New Roman"/>
              </w:rPr>
            </w:pPr>
            <w:r>
              <w:t>Sous-groupe du GTRI</w:t>
            </w:r>
          </w:p>
        </w:tc>
        <w:tc>
          <w:tcPr>
            <w:tcW w:w="538" w:type="pct"/>
            <w:tcBorders>
              <w:top w:val="nil"/>
              <w:left w:val="nil"/>
              <w:bottom w:val="single" w:sz="4" w:space="0" w:color="auto"/>
              <w:right w:val="single" w:sz="4" w:space="0" w:color="auto"/>
            </w:tcBorders>
            <w:shd w:val="clear" w:color="auto" w:fill="auto"/>
            <w:hideMark/>
          </w:tcPr>
          <w:p w14:paraId="6B9226B6"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60E40628" w14:textId="4C12F937" w:rsidR="000D79FD" w:rsidRPr="000D79FD" w:rsidRDefault="000D79FD" w:rsidP="00726DC5">
            <w:pPr>
              <w:widowControl/>
              <w:autoSpaceDE/>
              <w:autoSpaceDN/>
              <w:rPr>
                <w:rFonts w:eastAsia="Times New Roman"/>
              </w:rPr>
            </w:pPr>
            <w:r>
              <w:t>Atelier avec un sous-groupe de membres volontaires du GTRI pour échanger sur la manière de présenter les défis, les opportunités et les options pour faciliter la prise de décisions, élaborer un projet de tableau et discuter de l</w:t>
            </w:r>
            <w:r w:rsidR="00776267">
              <w:t>’</w:t>
            </w:r>
            <w:r>
              <w:t>approche à utiliser pour remplir le tableau.</w:t>
            </w:r>
          </w:p>
        </w:tc>
      </w:tr>
      <w:tr w:rsidR="0054196C" w:rsidRPr="000D79FD" w14:paraId="0581FBFB" w14:textId="77777777" w:rsidTr="00352A89">
        <w:trPr>
          <w:cantSplit/>
          <w:trHeight w:val="864"/>
        </w:trPr>
        <w:tc>
          <w:tcPr>
            <w:tcW w:w="536" w:type="pct"/>
            <w:tcBorders>
              <w:top w:val="nil"/>
              <w:left w:val="single" w:sz="4" w:space="0" w:color="auto"/>
              <w:bottom w:val="single" w:sz="4" w:space="0" w:color="auto"/>
              <w:right w:val="single" w:sz="4" w:space="0" w:color="auto"/>
            </w:tcBorders>
            <w:shd w:val="clear" w:color="auto" w:fill="auto"/>
            <w:hideMark/>
          </w:tcPr>
          <w:p w14:paraId="25209DAA" w14:textId="77777777" w:rsidR="000D79FD" w:rsidRPr="000D79FD" w:rsidRDefault="000D79FD" w:rsidP="00726DC5">
            <w:pPr>
              <w:widowControl/>
              <w:autoSpaceDE/>
              <w:autoSpaceDN/>
              <w:rPr>
                <w:rFonts w:eastAsia="Times New Roman"/>
                <w:b/>
                <w:bCs/>
              </w:rPr>
            </w:pPr>
            <w:r>
              <w:rPr>
                <w:b/>
              </w:rPr>
              <w:t>12 avril 2024</w:t>
            </w:r>
          </w:p>
        </w:tc>
        <w:tc>
          <w:tcPr>
            <w:tcW w:w="1129" w:type="pct"/>
            <w:tcBorders>
              <w:top w:val="nil"/>
              <w:left w:val="nil"/>
              <w:bottom w:val="single" w:sz="4" w:space="0" w:color="auto"/>
              <w:right w:val="single" w:sz="4" w:space="0" w:color="auto"/>
            </w:tcBorders>
            <w:shd w:val="clear" w:color="auto" w:fill="auto"/>
            <w:hideMark/>
          </w:tcPr>
          <w:p w14:paraId="6F4D4EA8" w14:textId="1B8AF294" w:rsidR="000D79FD" w:rsidRPr="000D79FD" w:rsidRDefault="000D79FD" w:rsidP="00726DC5">
            <w:pPr>
              <w:widowControl/>
              <w:autoSpaceDE/>
              <w:autoSpaceDN/>
              <w:rPr>
                <w:rFonts w:eastAsia="Times New Roman"/>
                <w:b/>
                <w:bCs/>
              </w:rPr>
            </w:pPr>
            <w:r>
              <w:rPr>
                <w:b/>
              </w:rPr>
              <w:t>Élaboration d</w:t>
            </w:r>
            <w:r w:rsidR="00776267">
              <w:rPr>
                <w:b/>
              </w:rPr>
              <w:t>’</w:t>
            </w:r>
            <w:r>
              <w:rPr>
                <w:b/>
              </w:rPr>
              <w:t>un cadre pour une matrice d</w:t>
            </w:r>
            <w:r w:rsidR="00776267">
              <w:rPr>
                <w:b/>
              </w:rPr>
              <w:t>’</w:t>
            </w:r>
            <w:r>
              <w:rPr>
                <w:b/>
              </w:rPr>
              <w:t>évaluation des défis et des options</w:t>
            </w:r>
          </w:p>
        </w:tc>
        <w:tc>
          <w:tcPr>
            <w:tcW w:w="861" w:type="pct"/>
            <w:tcBorders>
              <w:top w:val="nil"/>
              <w:left w:val="nil"/>
              <w:bottom w:val="single" w:sz="4" w:space="0" w:color="auto"/>
              <w:right w:val="single" w:sz="4" w:space="0" w:color="auto"/>
            </w:tcBorders>
            <w:shd w:val="clear" w:color="auto" w:fill="auto"/>
            <w:hideMark/>
          </w:tcPr>
          <w:p w14:paraId="03CF8350" w14:textId="309065FF" w:rsidR="000D79FD" w:rsidRPr="000D79FD" w:rsidRDefault="000D79FD" w:rsidP="00726DC5">
            <w:pPr>
              <w:widowControl/>
              <w:autoSpaceDE/>
              <w:autoSpaceDN/>
              <w:rPr>
                <w:rFonts w:eastAsia="Times New Roman"/>
              </w:rPr>
            </w:pPr>
            <w:r>
              <w:t>Sous-groupe du GTRI</w:t>
            </w:r>
          </w:p>
        </w:tc>
        <w:tc>
          <w:tcPr>
            <w:tcW w:w="538" w:type="pct"/>
            <w:tcBorders>
              <w:top w:val="nil"/>
              <w:left w:val="nil"/>
              <w:bottom w:val="single" w:sz="4" w:space="0" w:color="auto"/>
              <w:right w:val="single" w:sz="4" w:space="0" w:color="auto"/>
            </w:tcBorders>
            <w:shd w:val="clear" w:color="auto" w:fill="auto"/>
            <w:hideMark/>
          </w:tcPr>
          <w:p w14:paraId="4AED4657"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0BB04CE1" w14:textId="6B4DC8A0" w:rsidR="000D79FD" w:rsidRPr="000D79FD" w:rsidRDefault="000D79FD" w:rsidP="00726DC5">
            <w:pPr>
              <w:widowControl/>
              <w:autoSpaceDE/>
              <w:autoSpaceDN/>
              <w:rPr>
                <w:rFonts w:eastAsia="Times New Roman"/>
              </w:rPr>
            </w:pPr>
            <w:r>
              <w:t>Défis extraits du rapport de synthèse et regroupés en sous-groupes. Indiquer dans le tableau les défis qui sont abordés dans le cadre d</w:t>
            </w:r>
            <w:r w:rsidR="00776267">
              <w:t>’</w:t>
            </w:r>
            <w:r>
              <w:t>autres processus ou groupes de travail. Compléter le cadre (test et exemple) pour un thème, celui des « dispositions administratives ».</w:t>
            </w:r>
          </w:p>
        </w:tc>
      </w:tr>
      <w:tr w:rsidR="0054196C" w:rsidRPr="000D79FD" w14:paraId="52D7FDE9" w14:textId="77777777" w:rsidTr="00352A89">
        <w:trPr>
          <w:cantSplit/>
          <w:trHeight w:val="576"/>
        </w:trPr>
        <w:tc>
          <w:tcPr>
            <w:tcW w:w="536" w:type="pct"/>
            <w:tcBorders>
              <w:top w:val="nil"/>
              <w:left w:val="single" w:sz="4" w:space="0" w:color="auto"/>
              <w:bottom w:val="single" w:sz="4" w:space="0" w:color="auto"/>
              <w:right w:val="single" w:sz="4" w:space="0" w:color="auto"/>
            </w:tcBorders>
            <w:shd w:val="clear" w:color="auto" w:fill="auto"/>
            <w:hideMark/>
          </w:tcPr>
          <w:p w14:paraId="66AC6E0D" w14:textId="77777777" w:rsidR="000D79FD" w:rsidRPr="000D79FD" w:rsidRDefault="000D79FD" w:rsidP="00726DC5">
            <w:pPr>
              <w:widowControl/>
              <w:autoSpaceDE/>
              <w:autoSpaceDN/>
              <w:rPr>
                <w:rFonts w:eastAsia="Times New Roman"/>
              </w:rPr>
            </w:pPr>
            <w:r>
              <w:t>12 avril 2024</w:t>
            </w:r>
          </w:p>
        </w:tc>
        <w:tc>
          <w:tcPr>
            <w:tcW w:w="1129" w:type="pct"/>
            <w:tcBorders>
              <w:top w:val="nil"/>
              <w:left w:val="nil"/>
              <w:bottom w:val="single" w:sz="4" w:space="0" w:color="auto"/>
              <w:right w:val="single" w:sz="4" w:space="0" w:color="auto"/>
            </w:tcBorders>
            <w:shd w:val="clear" w:color="auto" w:fill="auto"/>
            <w:hideMark/>
          </w:tcPr>
          <w:p w14:paraId="0006C676" w14:textId="77777777" w:rsidR="000D79FD" w:rsidRPr="000D79FD" w:rsidRDefault="000D79FD" w:rsidP="00726DC5">
            <w:pPr>
              <w:widowControl/>
              <w:autoSpaceDE/>
              <w:autoSpaceDN/>
              <w:rPr>
                <w:rFonts w:eastAsia="Times New Roman"/>
              </w:rPr>
            </w:pPr>
            <w:r>
              <w:t>5</w:t>
            </w:r>
            <w:r>
              <w:rPr>
                <w:vertAlign w:val="superscript"/>
              </w:rPr>
              <w:t>e</w:t>
            </w:r>
            <w:r>
              <w:t> réunion du GTRI</w:t>
            </w:r>
          </w:p>
        </w:tc>
        <w:tc>
          <w:tcPr>
            <w:tcW w:w="861" w:type="pct"/>
            <w:tcBorders>
              <w:top w:val="nil"/>
              <w:left w:val="nil"/>
              <w:bottom w:val="single" w:sz="4" w:space="0" w:color="auto"/>
              <w:right w:val="single" w:sz="4" w:space="0" w:color="auto"/>
            </w:tcBorders>
            <w:shd w:val="clear" w:color="auto" w:fill="auto"/>
            <w:hideMark/>
          </w:tcPr>
          <w:p w14:paraId="1EF85943" w14:textId="77777777" w:rsidR="000D79FD" w:rsidRPr="000D79FD" w:rsidRDefault="000D79FD" w:rsidP="00726DC5">
            <w:pPr>
              <w:widowControl/>
              <w:autoSpaceDE/>
              <w:autoSpaceDN/>
              <w:rPr>
                <w:rFonts w:eastAsia="Times New Roman"/>
              </w:rPr>
            </w:pPr>
            <w:r>
              <w:t>Présidence, coprésidence, Secrétariat de la Convention</w:t>
            </w:r>
          </w:p>
        </w:tc>
        <w:tc>
          <w:tcPr>
            <w:tcW w:w="538" w:type="pct"/>
            <w:tcBorders>
              <w:top w:val="nil"/>
              <w:left w:val="nil"/>
              <w:bottom w:val="single" w:sz="4" w:space="0" w:color="auto"/>
              <w:right w:val="single" w:sz="4" w:space="0" w:color="auto"/>
            </w:tcBorders>
            <w:shd w:val="clear" w:color="auto" w:fill="auto"/>
            <w:hideMark/>
          </w:tcPr>
          <w:p w14:paraId="38852241"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667FE097" w14:textId="5395D5D2" w:rsidR="000D79FD" w:rsidRPr="000D79FD" w:rsidRDefault="000D79FD" w:rsidP="00726DC5">
            <w:pPr>
              <w:widowControl/>
              <w:autoSpaceDE/>
              <w:autoSpaceDN/>
              <w:rPr>
                <w:rFonts w:eastAsia="Times New Roman"/>
              </w:rPr>
            </w:pPr>
            <w:r>
              <w:t>Présentation et discussion du plan de la Rev.0 du tableau, et échanges pour confirmer l</w:t>
            </w:r>
            <w:r w:rsidR="00776267">
              <w:t>’</w:t>
            </w:r>
            <w:r>
              <w:t>approche à utiliser pour compléter le rapport d</w:t>
            </w:r>
            <w:r w:rsidR="00776267">
              <w:t>’</w:t>
            </w:r>
            <w:r>
              <w:t>évaluation des défis et des options.</w:t>
            </w:r>
          </w:p>
        </w:tc>
      </w:tr>
      <w:tr w:rsidR="0054196C" w:rsidRPr="000D79FD" w14:paraId="132ACC3A" w14:textId="77777777" w:rsidTr="00352A89">
        <w:trPr>
          <w:cantSplit/>
          <w:trHeight w:val="1440"/>
        </w:trPr>
        <w:tc>
          <w:tcPr>
            <w:tcW w:w="536" w:type="pct"/>
            <w:tcBorders>
              <w:top w:val="nil"/>
              <w:left w:val="single" w:sz="4" w:space="0" w:color="auto"/>
              <w:bottom w:val="single" w:sz="4" w:space="0" w:color="auto"/>
              <w:right w:val="single" w:sz="4" w:space="0" w:color="auto"/>
            </w:tcBorders>
            <w:shd w:val="clear" w:color="auto" w:fill="auto"/>
            <w:hideMark/>
          </w:tcPr>
          <w:p w14:paraId="4334B38E" w14:textId="77777777" w:rsidR="000D79FD" w:rsidRPr="000D79FD" w:rsidRDefault="000D79FD" w:rsidP="00726DC5">
            <w:pPr>
              <w:widowControl/>
              <w:autoSpaceDE/>
              <w:autoSpaceDN/>
              <w:rPr>
                <w:rFonts w:eastAsia="Times New Roman"/>
                <w:b/>
                <w:bCs/>
              </w:rPr>
            </w:pPr>
            <w:r>
              <w:rPr>
                <w:b/>
              </w:rPr>
              <w:t>16 mai 2024</w:t>
            </w:r>
          </w:p>
        </w:tc>
        <w:tc>
          <w:tcPr>
            <w:tcW w:w="1129" w:type="pct"/>
            <w:tcBorders>
              <w:top w:val="nil"/>
              <w:left w:val="nil"/>
              <w:bottom w:val="single" w:sz="4" w:space="0" w:color="auto"/>
              <w:right w:val="single" w:sz="4" w:space="0" w:color="auto"/>
            </w:tcBorders>
            <w:shd w:val="clear" w:color="auto" w:fill="auto"/>
            <w:hideMark/>
          </w:tcPr>
          <w:p w14:paraId="57D9153E" w14:textId="6E2A8800" w:rsidR="000D79FD" w:rsidRPr="000D79FD" w:rsidRDefault="000D79FD" w:rsidP="00726DC5">
            <w:pPr>
              <w:widowControl/>
              <w:autoSpaceDE/>
              <w:autoSpaceDN/>
              <w:rPr>
                <w:rFonts w:eastAsia="Times New Roman"/>
                <w:b/>
                <w:bCs/>
              </w:rPr>
            </w:pPr>
            <w:r>
              <w:rPr>
                <w:b/>
              </w:rPr>
              <w:t>Élaboration de la Rev.0 du rapport sur les défis et les options pour le renforcement institutionnel de la Convention sur les zones humides</w:t>
            </w:r>
          </w:p>
        </w:tc>
        <w:tc>
          <w:tcPr>
            <w:tcW w:w="861" w:type="pct"/>
            <w:tcBorders>
              <w:top w:val="nil"/>
              <w:left w:val="nil"/>
              <w:bottom w:val="single" w:sz="4" w:space="0" w:color="auto"/>
              <w:right w:val="single" w:sz="4" w:space="0" w:color="auto"/>
            </w:tcBorders>
            <w:shd w:val="clear" w:color="auto" w:fill="auto"/>
            <w:hideMark/>
          </w:tcPr>
          <w:p w14:paraId="3E10D061" w14:textId="4FD88FBF" w:rsidR="000D79FD" w:rsidRPr="000D79FD" w:rsidRDefault="000D79FD" w:rsidP="00726DC5">
            <w:pPr>
              <w:widowControl/>
              <w:autoSpaceDE/>
              <w:autoSpaceDN/>
              <w:rPr>
                <w:rFonts w:eastAsia="Times New Roman"/>
              </w:rPr>
            </w:pPr>
            <w:r>
              <w:t>Sous-groupe du GTRI : responsables de thèmes</w:t>
            </w:r>
          </w:p>
        </w:tc>
        <w:tc>
          <w:tcPr>
            <w:tcW w:w="538" w:type="pct"/>
            <w:tcBorders>
              <w:top w:val="nil"/>
              <w:left w:val="nil"/>
              <w:bottom w:val="single" w:sz="4" w:space="0" w:color="auto"/>
              <w:right w:val="single" w:sz="4" w:space="0" w:color="auto"/>
            </w:tcBorders>
            <w:shd w:val="clear" w:color="auto" w:fill="auto"/>
            <w:hideMark/>
          </w:tcPr>
          <w:p w14:paraId="2616DF73"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5686F9D2" w14:textId="39BB1A7B" w:rsidR="000D79FD" w:rsidRPr="000D79FD" w:rsidRDefault="000D79FD" w:rsidP="00726DC5">
            <w:pPr>
              <w:widowControl/>
              <w:autoSpaceDE/>
              <w:autoSpaceDN/>
              <w:rPr>
                <w:rFonts w:eastAsia="Times New Roman"/>
              </w:rPr>
            </w:pPr>
            <w:r>
              <w:t>Les responsables de thèmes, membres volontaires du sous-groupe du GTRI, complètent la matrice d</w:t>
            </w:r>
            <w:r w:rsidR="00776267">
              <w:t>’</w:t>
            </w:r>
            <w:r>
              <w:t>évaluation (pour leurs thèmes respectifs) et définissent les questions clés qui aideront à décomposer en ses différents éléments le</w:t>
            </w:r>
            <w:r w:rsidR="00352A89">
              <w:t>s</w:t>
            </w:r>
            <w:bookmarkStart w:id="1" w:name="_GoBack"/>
            <w:bookmarkEnd w:id="1"/>
            <w:r>
              <w:t xml:space="preserve"> défi</w:t>
            </w:r>
            <w:r w:rsidR="00352A89">
              <w:t>s</w:t>
            </w:r>
            <w:r>
              <w:t xml:space="preserve"> (identifier les causes profondes) et à décrire les implications (avantages et inconvénients) des options.</w:t>
            </w:r>
          </w:p>
        </w:tc>
      </w:tr>
      <w:tr w:rsidR="0054196C" w:rsidRPr="000D79FD" w14:paraId="30060F11" w14:textId="77777777" w:rsidTr="00352A89">
        <w:trPr>
          <w:cantSplit/>
          <w:trHeight w:val="576"/>
        </w:trPr>
        <w:tc>
          <w:tcPr>
            <w:tcW w:w="536" w:type="pct"/>
            <w:tcBorders>
              <w:top w:val="nil"/>
              <w:left w:val="single" w:sz="4" w:space="0" w:color="auto"/>
              <w:bottom w:val="single" w:sz="4" w:space="0" w:color="auto"/>
              <w:right w:val="single" w:sz="4" w:space="0" w:color="auto"/>
            </w:tcBorders>
            <w:shd w:val="clear" w:color="auto" w:fill="auto"/>
            <w:hideMark/>
          </w:tcPr>
          <w:p w14:paraId="6BE985DD" w14:textId="77777777" w:rsidR="000D79FD" w:rsidRPr="000D79FD" w:rsidRDefault="000D79FD" w:rsidP="00726DC5">
            <w:pPr>
              <w:widowControl/>
              <w:autoSpaceDE/>
              <w:autoSpaceDN/>
              <w:rPr>
                <w:rFonts w:eastAsia="Times New Roman"/>
              </w:rPr>
            </w:pPr>
            <w:r>
              <w:t>16 mai 2024</w:t>
            </w:r>
          </w:p>
        </w:tc>
        <w:tc>
          <w:tcPr>
            <w:tcW w:w="1129" w:type="pct"/>
            <w:tcBorders>
              <w:top w:val="nil"/>
              <w:left w:val="nil"/>
              <w:bottom w:val="single" w:sz="4" w:space="0" w:color="auto"/>
              <w:right w:val="single" w:sz="4" w:space="0" w:color="auto"/>
            </w:tcBorders>
            <w:shd w:val="clear" w:color="auto" w:fill="auto"/>
            <w:hideMark/>
          </w:tcPr>
          <w:p w14:paraId="78C16359" w14:textId="630C9FD1" w:rsidR="000D79FD" w:rsidRPr="000D79FD" w:rsidRDefault="000D79FD" w:rsidP="00726DC5">
            <w:pPr>
              <w:widowControl/>
              <w:autoSpaceDE/>
              <w:autoSpaceDN/>
              <w:rPr>
                <w:rFonts w:eastAsia="Times New Roman"/>
              </w:rPr>
            </w:pPr>
            <w:r>
              <w:t>Réunion du sous-groupe du GTRI</w:t>
            </w:r>
          </w:p>
        </w:tc>
        <w:tc>
          <w:tcPr>
            <w:tcW w:w="861" w:type="pct"/>
            <w:tcBorders>
              <w:top w:val="nil"/>
              <w:left w:val="nil"/>
              <w:bottom w:val="single" w:sz="4" w:space="0" w:color="auto"/>
              <w:right w:val="single" w:sz="4" w:space="0" w:color="auto"/>
            </w:tcBorders>
            <w:shd w:val="clear" w:color="auto" w:fill="auto"/>
            <w:hideMark/>
          </w:tcPr>
          <w:p w14:paraId="2E0D351C" w14:textId="42256CE1" w:rsidR="000D79FD" w:rsidRPr="000D79FD" w:rsidRDefault="000D79FD" w:rsidP="00726DC5">
            <w:pPr>
              <w:widowControl/>
              <w:autoSpaceDE/>
              <w:autoSpaceDN/>
              <w:rPr>
                <w:rFonts w:eastAsia="Times New Roman"/>
              </w:rPr>
            </w:pPr>
            <w:r>
              <w:t>Sous-groupe du GTRI</w:t>
            </w:r>
          </w:p>
        </w:tc>
        <w:tc>
          <w:tcPr>
            <w:tcW w:w="538" w:type="pct"/>
            <w:tcBorders>
              <w:top w:val="nil"/>
              <w:left w:val="nil"/>
              <w:bottom w:val="single" w:sz="4" w:space="0" w:color="auto"/>
              <w:right w:val="single" w:sz="4" w:space="0" w:color="auto"/>
            </w:tcBorders>
            <w:shd w:val="clear" w:color="auto" w:fill="auto"/>
            <w:hideMark/>
          </w:tcPr>
          <w:p w14:paraId="4BBB3CAD"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691399F4" w14:textId="037685BD" w:rsidR="000D79FD" w:rsidRPr="000D79FD" w:rsidRDefault="000D79FD" w:rsidP="00726DC5">
            <w:pPr>
              <w:widowControl/>
              <w:autoSpaceDE/>
              <w:autoSpaceDN/>
              <w:rPr>
                <w:rFonts w:eastAsia="Times New Roman"/>
              </w:rPr>
            </w:pPr>
            <w:r>
              <w:t>Réunion pour discuter de la Rev.</w:t>
            </w:r>
            <w:r w:rsidR="000F0198">
              <w:t xml:space="preserve">0 </w:t>
            </w:r>
            <w:r>
              <w:t>du rapport sur les défis et les options pour le renforcement institutionnel de la Convention sur les zones humides.</w:t>
            </w:r>
          </w:p>
        </w:tc>
      </w:tr>
      <w:tr w:rsidR="0054196C" w:rsidRPr="000D79FD" w14:paraId="7F0C5B95" w14:textId="77777777" w:rsidTr="00352A89">
        <w:trPr>
          <w:cantSplit/>
          <w:trHeight w:val="828"/>
        </w:trPr>
        <w:tc>
          <w:tcPr>
            <w:tcW w:w="536" w:type="pct"/>
            <w:tcBorders>
              <w:top w:val="nil"/>
              <w:left w:val="single" w:sz="4" w:space="0" w:color="auto"/>
              <w:bottom w:val="single" w:sz="4" w:space="0" w:color="auto"/>
              <w:right w:val="single" w:sz="4" w:space="0" w:color="auto"/>
            </w:tcBorders>
            <w:shd w:val="clear" w:color="auto" w:fill="auto"/>
            <w:hideMark/>
          </w:tcPr>
          <w:p w14:paraId="737CC874" w14:textId="77777777" w:rsidR="000D79FD" w:rsidRPr="000D79FD" w:rsidRDefault="000D79FD" w:rsidP="00726DC5">
            <w:pPr>
              <w:widowControl/>
              <w:autoSpaceDE/>
              <w:autoSpaceDN/>
              <w:rPr>
                <w:rFonts w:eastAsia="Times New Roman"/>
              </w:rPr>
            </w:pPr>
            <w:r>
              <w:lastRenderedPageBreak/>
              <w:t>3 juin 2024</w:t>
            </w:r>
          </w:p>
        </w:tc>
        <w:tc>
          <w:tcPr>
            <w:tcW w:w="1129" w:type="pct"/>
            <w:tcBorders>
              <w:top w:val="nil"/>
              <w:left w:val="nil"/>
              <w:bottom w:val="single" w:sz="4" w:space="0" w:color="auto"/>
              <w:right w:val="single" w:sz="4" w:space="0" w:color="auto"/>
            </w:tcBorders>
            <w:shd w:val="clear" w:color="auto" w:fill="auto"/>
            <w:hideMark/>
          </w:tcPr>
          <w:p w14:paraId="1522FCB5" w14:textId="77777777" w:rsidR="000D79FD" w:rsidRPr="000D79FD" w:rsidRDefault="000D79FD" w:rsidP="00726DC5">
            <w:pPr>
              <w:widowControl/>
              <w:autoSpaceDE/>
              <w:autoSpaceDN/>
              <w:rPr>
                <w:rFonts w:eastAsia="Times New Roman"/>
              </w:rPr>
            </w:pPr>
            <w:r>
              <w:t>6</w:t>
            </w:r>
            <w:r>
              <w:rPr>
                <w:vertAlign w:val="superscript"/>
              </w:rPr>
              <w:t>e</w:t>
            </w:r>
            <w:r>
              <w:t xml:space="preserve"> réunion du GTRI </w:t>
            </w:r>
          </w:p>
        </w:tc>
        <w:tc>
          <w:tcPr>
            <w:tcW w:w="861" w:type="pct"/>
            <w:tcBorders>
              <w:top w:val="nil"/>
              <w:left w:val="nil"/>
              <w:bottom w:val="single" w:sz="4" w:space="0" w:color="auto"/>
              <w:right w:val="single" w:sz="4" w:space="0" w:color="auto"/>
            </w:tcBorders>
            <w:shd w:val="clear" w:color="auto" w:fill="auto"/>
            <w:hideMark/>
          </w:tcPr>
          <w:p w14:paraId="7A457B40" w14:textId="38180051" w:rsidR="000D79FD" w:rsidRPr="000D79FD" w:rsidRDefault="000D79FD" w:rsidP="00726DC5">
            <w:pPr>
              <w:widowControl/>
              <w:autoSpaceDE/>
              <w:autoSpaceDN/>
              <w:rPr>
                <w:rFonts w:eastAsia="Times New Roman"/>
              </w:rPr>
            </w:pPr>
            <w:r>
              <w:t>Présidence, coprésidence, responsables des thèmes des sous-groupes du GTRI</w:t>
            </w:r>
          </w:p>
        </w:tc>
        <w:tc>
          <w:tcPr>
            <w:tcW w:w="538" w:type="pct"/>
            <w:tcBorders>
              <w:top w:val="nil"/>
              <w:left w:val="nil"/>
              <w:bottom w:val="single" w:sz="4" w:space="0" w:color="auto"/>
              <w:right w:val="single" w:sz="4" w:space="0" w:color="auto"/>
            </w:tcBorders>
            <w:shd w:val="clear" w:color="auto" w:fill="auto"/>
            <w:hideMark/>
          </w:tcPr>
          <w:p w14:paraId="56963BBD"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5C7E944E" w14:textId="76E049D9" w:rsidR="000D79FD" w:rsidRPr="000D79FD" w:rsidRDefault="000D79FD" w:rsidP="00726DC5">
            <w:pPr>
              <w:widowControl/>
              <w:autoSpaceDE/>
              <w:autoSpaceDN/>
              <w:rPr>
                <w:rFonts w:eastAsia="Times New Roman"/>
              </w:rPr>
            </w:pPr>
            <w:r>
              <w:t>Atelier pour discuter de la Rev.0 : défis et causes profondes, questions à clarifier et personnes à impliquer pour aborder ces questions. Définir les prochaines étapes, y compris la planification des engagements des parties prenantes et la détermination des rôles et responsabilités des membres du GT. Comme pour toutes les réunions du GTRI, les non-membres du Groupe sont les bienvenus. Le rapport sera disponible deux semaines après la réunion pour fournir une contribution écrite.</w:t>
            </w:r>
          </w:p>
        </w:tc>
      </w:tr>
      <w:tr w:rsidR="0054196C" w:rsidRPr="000D79FD" w14:paraId="230F6DCF" w14:textId="77777777" w:rsidTr="00352A89">
        <w:trPr>
          <w:cantSplit/>
          <w:trHeight w:val="576"/>
        </w:trPr>
        <w:tc>
          <w:tcPr>
            <w:tcW w:w="536" w:type="pct"/>
            <w:tcBorders>
              <w:top w:val="nil"/>
              <w:left w:val="single" w:sz="4" w:space="0" w:color="auto"/>
              <w:bottom w:val="single" w:sz="4" w:space="0" w:color="auto"/>
              <w:right w:val="single" w:sz="4" w:space="0" w:color="auto"/>
            </w:tcBorders>
            <w:shd w:val="clear" w:color="auto" w:fill="auto"/>
            <w:hideMark/>
          </w:tcPr>
          <w:p w14:paraId="18226EDF" w14:textId="59CC0601" w:rsidR="000D79FD" w:rsidRPr="000D79FD" w:rsidRDefault="000D79FD" w:rsidP="00726DC5">
            <w:pPr>
              <w:widowControl/>
              <w:autoSpaceDE/>
              <w:autoSpaceDN/>
              <w:rPr>
                <w:rFonts w:eastAsia="Times New Roman"/>
              </w:rPr>
            </w:pPr>
            <w:r>
              <w:t>4-7 juin 2024</w:t>
            </w:r>
          </w:p>
        </w:tc>
        <w:tc>
          <w:tcPr>
            <w:tcW w:w="1129" w:type="pct"/>
            <w:tcBorders>
              <w:top w:val="nil"/>
              <w:left w:val="nil"/>
              <w:bottom w:val="single" w:sz="4" w:space="0" w:color="auto"/>
              <w:right w:val="single" w:sz="4" w:space="0" w:color="auto"/>
            </w:tcBorders>
            <w:shd w:val="clear" w:color="auto" w:fill="auto"/>
            <w:hideMark/>
          </w:tcPr>
          <w:p w14:paraId="7C0431B5" w14:textId="77777777" w:rsidR="000D79FD" w:rsidRPr="000D79FD" w:rsidRDefault="000D79FD" w:rsidP="00726DC5">
            <w:pPr>
              <w:widowControl/>
              <w:autoSpaceDE/>
              <w:autoSpaceDN/>
              <w:rPr>
                <w:rFonts w:eastAsia="Times New Roman"/>
              </w:rPr>
            </w:pPr>
            <w:r>
              <w:t>63</w:t>
            </w:r>
            <w:r>
              <w:rPr>
                <w:vertAlign w:val="superscript"/>
              </w:rPr>
              <w:t>e</w:t>
            </w:r>
            <w:r>
              <w:t xml:space="preserve"> Réunion du Comité permanent : soumission du rapport du GTRI </w:t>
            </w:r>
          </w:p>
        </w:tc>
        <w:tc>
          <w:tcPr>
            <w:tcW w:w="861" w:type="pct"/>
            <w:tcBorders>
              <w:top w:val="nil"/>
              <w:left w:val="nil"/>
              <w:bottom w:val="single" w:sz="4" w:space="0" w:color="auto"/>
              <w:right w:val="single" w:sz="4" w:space="0" w:color="auto"/>
            </w:tcBorders>
            <w:shd w:val="clear" w:color="auto" w:fill="auto"/>
            <w:hideMark/>
          </w:tcPr>
          <w:p w14:paraId="47F3DEA5" w14:textId="77777777" w:rsidR="000D79FD" w:rsidRPr="000D79FD" w:rsidRDefault="000D79FD" w:rsidP="00726DC5">
            <w:pPr>
              <w:widowControl/>
              <w:autoSpaceDE/>
              <w:autoSpaceDN/>
              <w:rPr>
                <w:rFonts w:eastAsia="Times New Roman"/>
              </w:rPr>
            </w:pPr>
            <w:r>
              <w:t>Coprésidence</w:t>
            </w:r>
          </w:p>
        </w:tc>
        <w:tc>
          <w:tcPr>
            <w:tcW w:w="538" w:type="pct"/>
            <w:tcBorders>
              <w:top w:val="nil"/>
              <w:left w:val="nil"/>
              <w:bottom w:val="single" w:sz="4" w:space="0" w:color="auto"/>
              <w:right w:val="single" w:sz="4" w:space="0" w:color="auto"/>
            </w:tcBorders>
            <w:shd w:val="clear" w:color="auto" w:fill="auto"/>
            <w:hideMark/>
          </w:tcPr>
          <w:p w14:paraId="71B13D60"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378C791F" w14:textId="5F552FAB" w:rsidR="000D79FD" w:rsidRPr="000D79FD" w:rsidRDefault="000D79FD" w:rsidP="00726DC5">
            <w:pPr>
              <w:widowControl/>
              <w:autoSpaceDE/>
              <w:autoSpaceDN/>
              <w:rPr>
                <w:rFonts w:eastAsia="Times New Roman"/>
              </w:rPr>
            </w:pPr>
            <w:r>
              <w:t>Rapport du GTRI : demande de prorogation</w:t>
            </w:r>
            <w:r w:rsidR="00150E21">
              <w:t xml:space="preserve">. </w:t>
            </w:r>
            <w:r w:rsidR="00843144">
              <w:t>P</w:t>
            </w:r>
            <w:r>
              <w:t>rendre note des résultats du rapport de synthèse et des prochaines étapes (engagement des parties prenantes et approche en vue d</w:t>
            </w:r>
            <w:r w:rsidR="00776267">
              <w:t>’</w:t>
            </w:r>
            <w:r>
              <w:t>une résolution).</w:t>
            </w:r>
          </w:p>
        </w:tc>
      </w:tr>
      <w:tr w:rsidR="0054196C" w:rsidRPr="000D79FD" w14:paraId="4D6051AE" w14:textId="77777777" w:rsidTr="00352A89">
        <w:trPr>
          <w:cantSplit/>
          <w:trHeight w:val="864"/>
        </w:trPr>
        <w:tc>
          <w:tcPr>
            <w:tcW w:w="536" w:type="pct"/>
            <w:tcBorders>
              <w:top w:val="nil"/>
              <w:left w:val="single" w:sz="4" w:space="0" w:color="auto"/>
              <w:bottom w:val="single" w:sz="4" w:space="0" w:color="auto"/>
              <w:right w:val="single" w:sz="4" w:space="0" w:color="auto"/>
            </w:tcBorders>
            <w:shd w:val="clear" w:color="auto" w:fill="auto"/>
            <w:hideMark/>
          </w:tcPr>
          <w:p w14:paraId="21F465FC" w14:textId="77777777" w:rsidR="000D79FD" w:rsidRPr="000D79FD" w:rsidRDefault="000D79FD" w:rsidP="00726DC5">
            <w:pPr>
              <w:widowControl/>
              <w:autoSpaceDE/>
              <w:autoSpaceDN/>
              <w:rPr>
                <w:rFonts w:eastAsia="Times New Roman"/>
                <w:b/>
                <w:bCs/>
              </w:rPr>
            </w:pPr>
            <w:r>
              <w:rPr>
                <w:b/>
              </w:rPr>
              <w:t>20 juin 2024 (à confirmer)</w:t>
            </w:r>
          </w:p>
        </w:tc>
        <w:tc>
          <w:tcPr>
            <w:tcW w:w="1129" w:type="pct"/>
            <w:tcBorders>
              <w:top w:val="nil"/>
              <w:left w:val="nil"/>
              <w:bottom w:val="single" w:sz="4" w:space="0" w:color="auto"/>
              <w:right w:val="single" w:sz="4" w:space="0" w:color="auto"/>
            </w:tcBorders>
            <w:shd w:val="clear" w:color="auto" w:fill="auto"/>
            <w:hideMark/>
          </w:tcPr>
          <w:p w14:paraId="37F92879" w14:textId="7D004C44" w:rsidR="000D79FD" w:rsidRPr="000D79FD" w:rsidRDefault="000D79FD" w:rsidP="00726DC5">
            <w:pPr>
              <w:widowControl/>
              <w:autoSpaceDE/>
              <w:autoSpaceDN/>
              <w:rPr>
                <w:rFonts w:eastAsia="Times New Roman"/>
                <w:b/>
                <w:bCs/>
              </w:rPr>
            </w:pPr>
            <w:r>
              <w:rPr>
                <w:b/>
              </w:rPr>
              <w:t>Session d</w:t>
            </w:r>
            <w:r w:rsidR="00776267">
              <w:rPr>
                <w:b/>
              </w:rPr>
              <w:t>’</w:t>
            </w:r>
            <w:r>
              <w:rPr>
                <w:b/>
              </w:rPr>
              <w:t>échange d</w:t>
            </w:r>
            <w:r w:rsidR="00776267">
              <w:rPr>
                <w:b/>
              </w:rPr>
              <w:t>’</w:t>
            </w:r>
            <w:r>
              <w:rPr>
                <w:b/>
              </w:rPr>
              <w:t>informations en ligne avec toutes les Parties contractantes</w:t>
            </w:r>
          </w:p>
        </w:tc>
        <w:tc>
          <w:tcPr>
            <w:tcW w:w="861" w:type="pct"/>
            <w:tcBorders>
              <w:top w:val="nil"/>
              <w:left w:val="nil"/>
              <w:bottom w:val="single" w:sz="4" w:space="0" w:color="auto"/>
              <w:right w:val="single" w:sz="4" w:space="0" w:color="auto"/>
            </w:tcBorders>
            <w:shd w:val="clear" w:color="auto" w:fill="auto"/>
            <w:hideMark/>
          </w:tcPr>
          <w:p w14:paraId="6C927F13" w14:textId="77777777" w:rsidR="000D79FD" w:rsidRPr="000D79FD" w:rsidRDefault="000D79FD" w:rsidP="00726DC5">
            <w:pPr>
              <w:widowControl/>
              <w:autoSpaceDE/>
              <w:autoSpaceDN/>
              <w:rPr>
                <w:rFonts w:eastAsia="Times New Roman"/>
              </w:rPr>
            </w:pPr>
            <w:r>
              <w:t>Membres du GTRI, Secrétariat de la Convention</w:t>
            </w:r>
          </w:p>
        </w:tc>
        <w:tc>
          <w:tcPr>
            <w:tcW w:w="538" w:type="pct"/>
            <w:tcBorders>
              <w:top w:val="nil"/>
              <w:left w:val="nil"/>
              <w:bottom w:val="single" w:sz="4" w:space="0" w:color="auto"/>
              <w:right w:val="single" w:sz="4" w:space="0" w:color="auto"/>
            </w:tcBorders>
            <w:shd w:val="clear" w:color="auto" w:fill="auto"/>
            <w:hideMark/>
          </w:tcPr>
          <w:p w14:paraId="4B21E2EE"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6E0B9502" w14:textId="7EF69B61" w:rsidR="000D79FD" w:rsidRPr="000D79FD" w:rsidRDefault="000D79FD" w:rsidP="00726DC5">
            <w:pPr>
              <w:widowControl/>
              <w:autoSpaceDE/>
              <w:autoSpaceDN/>
              <w:rPr>
                <w:rFonts w:eastAsia="Times New Roman"/>
              </w:rPr>
            </w:pPr>
            <w:r>
              <w:t>L</w:t>
            </w:r>
            <w:r w:rsidR="00776267">
              <w:t>’</w:t>
            </w:r>
            <w:r>
              <w:t>objectif est d</w:t>
            </w:r>
            <w:r w:rsidR="00776267">
              <w:t>’</w:t>
            </w:r>
            <w:r>
              <w:t>organiser une session d</w:t>
            </w:r>
            <w:r w:rsidR="00776267">
              <w:t>’</w:t>
            </w:r>
            <w:r>
              <w:t>information en ligne pour échanger avec toutes les Parties contractantes : objectif du GTRI, approche suivie et progrès accomplis jusqu</w:t>
            </w:r>
            <w:r w:rsidR="00776267">
              <w:t>’</w:t>
            </w:r>
            <w:r>
              <w:t>ici (résultats du rapport de synthèse) et pour leur rappeler les prochaines étapes (rapport sur les défis et les options).</w:t>
            </w:r>
          </w:p>
        </w:tc>
      </w:tr>
      <w:tr w:rsidR="0054196C" w:rsidRPr="000D79FD" w14:paraId="581CAB30" w14:textId="77777777" w:rsidTr="00352A89">
        <w:trPr>
          <w:cantSplit/>
          <w:trHeight w:val="576"/>
        </w:trPr>
        <w:tc>
          <w:tcPr>
            <w:tcW w:w="536" w:type="pct"/>
            <w:tcBorders>
              <w:top w:val="nil"/>
              <w:left w:val="single" w:sz="4" w:space="0" w:color="auto"/>
              <w:bottom w:val="single" w:sz="4" w:space="0" w:color="auto"/>
              <w:right w:val="single" w:sz="4" w:space="0" w:color="auto"/>
            </w:tcBorders>
            <w:shd w:val="clear" w:color="auto" w:fill="auto"/>
            <w:hideMark/>
          </w:tcPr>
          <w:p w14:paraId="032A660B" w14:textId="77777777" w:rsidR="000D79FD" w:rsidRPr="000D79FD" w:rsidRDefault="000D79FD" w:rsidP="00726DC5">
            <w:pPr>
              <w:widowControl/>
              <w:autoSpaceDE/>
              <w:autoSpaceDN/>
              <w:rPr>
                <w:rFonts w:eastAsia="Times New Roman"/>
              </w:rPr>
            </w:pPr>
            <w:r>
              <w:t>Juillet 2024</w:t>
            </w:r>
          </w:p>
        </w:tc>
        <w:tc>
          <w:tcPr>
            <w:tcW w:w="1129" w:type="pct"/>
            <w:tcBorders>
              <w:top w:val="nil"/>
              <w:left w:val="nil"/>
              <w:bottom w:val="single" w:sz="4" w:space="0" w:color="auto"/>
              <w:right w:val="single" w:sz="4" w:space="0" w:color="auto"/>
            </w:tcBorders>
            <w:shd w:val="clear" w:color="auto" w:fill="auto"/>
            <w:hideMark/>
          </w:tcPr>
          <w:p w14:paraId="0C9961B5" w14:textId="77777777" w:rsidR="000D79FD" w:rsidRPr="000D79FD" w:rsidRDefault="000D79FD" w:rsidP="00726DC5">
            <w:pPr>
              <w:widowControl/>
              <w:autoSpaceDE/>
              <w:autoSpaceDN/>
              <w:rPr>
                <w:rFonts w:eastAsia="Times New Roman"/>
              </w:rPr>
            </w:pPr>
            <w:r>
              <w:t>7</w:t>
            </w:r>
            <w:r>
              <w:rPr>
                <w:vertAlign w:val="superscript"/>
              </w:rPr>
              <w:t>e</w:t>
            </w:r>
            <w:r>
              <w:t> réunion du GTRI</w:t>
            </w:r>
          </w:p>
        </w:tc>
        <w:tc>
          <w:tcPr>
            <w:tcW w:w="861" w:type="pct"/>
            <w:tcBorders>
              <w:top w:val="nil"/>
              <w:left w:val="nil"/>
              <w:bottom w:val="single" w:sz="4" w:space="0" w:color="auto"/>
              <w:right w:val="single" w:sz="4" w:space="0" w:color="auto"/>
            </w:tcBorders>
            <w:shd w:val="clear" w:color="auto" w:fill="auto"/>
            <w:hideMark/>
          </w:tcPr>
          <w:p w14:paraId="73460896" w14:textId="77777777" w:rsidR="000D79FD" w:rsidRPr="000D79FD" w:rsidRDefault="000D79FD" w:rsidP="00726DC5">
            <w:pPr>
              <w:widowControl/>
              <w:autoSpaceDE/>
              <w:autoSpaceDN/>
              <w:rPr>
                <w:rFonts w:eastAsia="Times New Roman"/>
              </w:rPr>
            </w:pPr>
            <w:r>
              <w:t>Présidence, coprésidence, Secrétariat de la Convention</w:t>
            </w:r>
          </w:p>
        </w:tc>
        <w:tc>
          <w:tcPr>
            <w:tcW w:w="538" w:type="pct"/>
            <w:tcBorders>
              <w:top w:val="nil"/>
              <w:left w:val="nil"/>
              <w:bottom w:val="single" w:sz="4" w:space="0" w:color="auto"/>
              <w:right w:val="single" w:sz="4" w:space="0" w:color="auto"/>
            </w:tcBorders>
            <w:shd w:val="clear" w:color="auto" w:fill="auto"/>
            <w:hideMark/>
          </w:tcPr>
          <w:p w14:paraId="60C45D4A"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683BC5B5" w14:textId="6E7504F4" w:rsidR="000D79FD" w:rsidRPr="000D79FD" w:rsidRDefault="000D79FD" w:rsidP="00726DC5">
            <w:pPr>
              <w:widowControl/>
              <w:autoSpaceDE/>
              <w:autoSpaceDN/>
              <w:rPr>
                <w:rFonts w:eastAsia="Times New Roman"/>
              </w:rPr>
            </w:pPr>
            <w:r>
              <w:t>Possibilité d</w:t>
            </w:r>
            <w:r w:rsidR="00776267">
              <w:t>’</w:t>
            </w:r>
            <w:r>
              <w:t>organiser une réunion pour continuer à travailler sur le rapport sur les défis et les options - suite de la réunion du 3 juin, si nécessaire.</w:t>
            </w:r>
          </w:p>
        </w:tc>
      </w:tr>
      <w:tr w:rsidR="0054196C" w:rsidRPr="000D79FD" w14:paraId="3C729447" w14:textId="77777777" w:rsidTr="00352A89">
        <w:trPr>
          <w:cantSplit/>
          <w:trHeight w:val="576"/>
        </w:trPr>
        <w:tc>
          <w:tcPr>
            <w:tcW w:w="536" w:type="pct"/>
            <w:tcBorders>
              <w:top w:val="nil"/>
              <w:left w:val="single" w:sz="4" w:space="0" w:color="auto"/>
              <w:bottom w:val="single" w:sz="4" w:space="0" w:color="auto"/>
              <w:right w:val="single" w:sz="4" w:space="0" w:color="auto"/>
            </w:tcBorders>
            <w:shd w:val="clear" w:color="auto" w:fill="auto"/>
            <w:hideMark/>
          </w:tcPr>
          <w:p w14:paraId="5EE022A2" w14:textId="77777777" w:rsidR="000D79FD" w:rsidRPr="000D79FD" w:rsidRDefault="000D79FD" w:rsidP="00726DC5">
            <w:pPr>
              <w:widowControl/>
              <w:autoSpaceDE/>
              <w:autoSpaceDN/>
              <w:rPr>
                <w:rFonts w:eastAsia="Times New Roman"/>
                <w:b/>
                <w:bCs/>
              </w:rPr>
            </w:pPr>
            <w:r>
              <w:rPr>
                <w:b/>
              </w:rPr>
              <w:t>Juillet 2024</w:t>
            </w:r>
          </w:p>
        </w:tc>
        <w:tc>
          <w:tcPr>
            <w:tcW w:w="1129" w:type="pct"/>
            <w:tcBorders>
              <w:top w:val="nil"/>
              <w:left w:val="nil"/>
              <w:bottom w:val="single" w:sz="4" w:space="0" w:color="auto"/>
              <w:right w:val="single" w:sz="4" w:space="0" w:color="auto"/>
            </w:tcBorders>
            <w:shd w:val="clear" w:color="auto" w:fill="auto"/>
            <w:hideMark/>
          </w:tcPr>
          <w:p w14:paraId="579D84A8" w14:textId="061C3D6A" w:rsidR="000D79FD" w:rsidRPr="000D79FD" w:rsidRDefault="000D79FD" w:rsidP="00726DC5">
            <w:pPr>
              <w:widowControl/>
              <w:autoSpaceDE/>
              <w:autoSpaceDN/>
              <w:rPr>
                <w:rFonts w:eastAsia="Times New Roman"/>
                <w:b/>
                <w:bCs/>
              </w:rPr>
            </w:pPr>
            <w:r>
              <w:rPr>
                <w:b/>
              </w:rPr>
              <w:t>Réunion du sous-groupe du GTRI</w:t>
            </w:r>
          </w:p>
        </w:tc>
        <w:tc>
          <w:tcPr>
            <w:tcW w:w="861" w:type="pct"/>
            <w:tcBorders>
              <w:top w:val="nil"/>
              <w:left w:val="nil"/>
              <w:bottom w:val="single" w:sz="4" w:space="0" w:color="auto"/>
              <w:right w:val="single" w:sz="4" w:space="0" w:color="auto"/>
            </w:tcBorders>
            <w:shd w:val="clear" w:color="auto" w:fill="auto"/>
            <w:hideMark/>
          </w:tcPr>
          <w:p w14:paraId="50F6F8C6" w14:textId="5A60814C" w:rsidR="000D79FD" w:rsidRPr="000D79FD" w:rsidRDefault="000D79FD" w:rsidP="00726DC5">
            <w:pPr>
              <w:widowControl/>
              <w:autoSpaceDE/>
              <w:autoSpaceDN/>
              <w:rPr>
                <w:rFonts w:eastAsia="Times New Roman"/>
              </w:rPr>
            </w:pPr>
            <w:r>
              <w:t>Sous-groupe du GTRI</w:t>
            </w:r>
          </w:p>
        </w:tc>
        <w:tc>
          <w:tcPr>
            <w:tcW w:w="538" w:type="pct"/>
            <w:tcBorders>
              <w:top w:val="nil"/>
              <w:left w:val="nil"/>
              <w:bottom w:val="single" w:sz="4" w:space="0" w:color="auto"/>
              <w:right w:val="single" w:sz="4" w:space="0" w:color="auto"/>
            </w:tcBorders>
            <w:shd w:val="clear" w:color="auto" w:fill="auto"/>
            <w:hideMark/>
          </w:tcPr>
          <w:p w14:paraId="2DB2924E"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36A39407" w14:textId="65BB35FB" w:rsidR="000D79FD" w:rsidRPr="000D79FD" w:rsidRDefault="000D79FD" w:rsidP="00726DC5">
            <w:pPr>
              <w:widowControl/>
              <w:autoSpaceDE/>
              <w:autoSpaceDN/>
              <w:rPr>
                <w:rFonts w:eastAsia="Times New Roman"/>
              </w:rPr>
            </w:pPr>
            <w:r>
              <w:t>Réunion pour discuter des résultats de la réunion avec le GTRI, et actualiser le rapport sur les défis et les options pour le renforcement institutionnel et le plan pour les engagements requis.</w:t>
            </w:r>
          </w:p>
        </w:tc>
      </w:tr>
      <w:tr w:rsidR="0054196C" w:rsidRPr="000D79FD" w14:paraId="0575DE41" w14:textId="77777777" w:rsidTr="00352A89">
        <w:trPr>
          <w:cantSplit/>
          <w:trHeight w:val="1440"/>
        </w:trPr>
        <w:tc>
          <w:tcPr>
            <w:tcW w:w="536" w:type="pct"/>
            <w:tcBorders>
              <w:top w:val="nil"/>
              <w:left w:val="single" w:sz="4" w:space="0" w:color="auto"/>
              <w:bottom w:val="single" w:sz="4" w:space="0" w:color="auto"/>
              <w:right w:val="single" w:sz="4" w:space="0" w:color="auto"/>
            </w:tcBorders>
            <w:shd w:val="clear" w:color="auto" w:fill="auto"/>
            <w:hideMark/>
          </w:tcPr>
          <w:p w14:paraId="12AF496D" w14:textId="77777777" w:rsidR="000D79FD" w:rsidRPr="000D79FD" w:rsidRDefault="000D79FD" w:rsidP="00726DC5">
            <w:pPr>
              <w:widowControl/>
              <w:autoSpaceDE/>
              <w:autoSpaceDN/>
              <w:rPr>
                <w:rFonts w:eastAsia="Times New Roman"/>
                <w:b/>
                <w:bCs/>
              </w:rPr>
            </w:pPr>
            <w:r>
              <w:rPr>
                <w:b/>
              </w:rPr>
              <w:lastRenderedPageBreak/>
              <w:t>Début juillet 2024</w:t>
            </w:r>
          </w:p>
        </w:tc>
        <w:tc>
          <w:tcPr>
            <w:tcW w:w="1129" w:type="pct"/>
            <w:tcBorders>
              <w:top w:val="nil"/>
              <w:left w:val="nil"/>
              <w:bottom w:val="single" w:sz="4" w:space="0" w:color="auto"/>
              <w:right w:val="single" w:sz="4" w:space="0" w:color="auto"/>
            </w:tcBorders>
            <w:shd w:val="clear" w:color="auto" w:fill="auto"/>
            <w:hideMark/>
          </w:tcPr>
          <w:p w14:paraId="69A0A812" w14:textId="490605C7" w:rsidR="000D79FD" w:rsidRPr="000D79FD" w:rsidRDefault="000D79FD" w:rsidP="00726DC5">
            <w:pPr>
              <w:widowControl/>
              <w:autoSpaceDE/>
              <w:autoSpaceDN/>
              <w:rPr>
                <w:rFonts w:eastAsia="Times New Roman"/>
                <w:b/>
                <w:bCs/>
              </w:rPr>
            </w:pPr>
            <w:r>
              <w:rPr>
                <w:b/>
              </w:rPr>
              <w:t>Élaboration de la Rev.1 du rapport sur les défis et les options pour le renforcement institutionnel de la Convention sur les zones humides</w:t>
            </w:r>
          </w:p>
        </w:tc>
        <w:tc>
          <w:tcPr>
            <w:tcW w:w="861" w:type="pct"/>
            <w:tcBorders>
              <w:top w:val="nil"/>
              <w:left w:val="nil"/>
              <w:bottom w:val="single" w:sz="4" w:space="0" w:color="auto"/>
              <w:right w:val="single" w:sz="4" w:space="0" w:color="auto"/>
            </w:tcBorders>
            <w:shd w:val="clear" w:color="auto" w:fill="auto"/>
            <w:hideMark/>
          </w:tcPr>
          <w:p w14:paraId="535CB3B2" w14:textId="1C816442" w:rsidR="000D79FD" w:rsidRPr="000D79FD" w:rsidRDefault="000D79FD" w:rsidP="00726DC5">
            <w:pPr>
              <w:widowControl/>
              <w:autoSpaceDE/>
              <w:autoSpaceDN/>
              <w:rPr>
                <w:rFonts w:eastAsia="Times New Roman"/>
              </w:rPr>
            </w:pPr>
            <w:r>
              <w:t>Présidence, coprésidence, sous-groupes du GTRI</w:t>
            </w:r>
          </w:p>
        </w:tc>
        <w:tc>
          <w:tcPr>
            <w:tcW w:w="538" w:type="pct"/>
            <w:tcBorders>
              <w:top w:val="nil"/>
              <w:left w:val="nil"/>
              <w:bottom w:val="single" w:sz="4" w:space="0" w:color="auto"/>
              <w:right w:val="single" w:sz="4" w:space="0" w:color="auto"/>
            </w:tcBorders>
            <w:shd w:val="clear" w:color="auto" w:fill="auto"/>
            <w:hideMark/>
          </w:tcPr>
          <w:p w14:paraId="2666A8DB"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4B689055" w14:textId="6D2CB4A3" w:rsidR="000D79FD" w:rsidRPr="000D79FD" w:rsidRDefault="000D79FD" w:rsidP="00726DC5">
            <w:pPr>
              <w:widowControl/>
              <w:autoSpaceDE/>
              <w:autoSpaceDN/>
              <w:rPr>
                <w:rFonts w:eastAsia="Times New Roman"/>
              </w:rPr>
            </w:pPr>
            <w:r>
              <w:t>Tableau sur les objectifs, l</w:t>
            </w:r>
            <w:r w:rsidR="00776267">
              <w:t>’</w:t>
            </w:r>
            <w:r>
              <w:t xml:space="preserve">énoncé du problème, les défis, les options, présentant les coûts et les avantages et les autres implications des différentes options, ainsi que les recommandations à court et à long terme. </w:t>
            </w:r>
          </w:p>
        </w:tc>
      </w:tr>
      <w:tr w:rsidR="0054196C" w:rsidRPr="000D79FD" w14:paraId="293B3EC3" w14:textId="77777777" w:rsidTr="00352A89">
        <w:trPr>
          <w:cantSplit/>
          <w:trHeight w:val="576"/>
        </w:trPr>
        <w:tc>
          <w:tcPr>
            <w:tcW w:w="536" w:type="pct"/>
            <w:tcBorders>
              <w:top w:val="nil"/>
              <w:left w:val="single" w:sz="4" w:space="0" w:color="auto"/>
              <w:bottom w:val="single" w:sz="4" w:space="0" w:color="auto"/>
              <w:right w:val="single" w:sz="4" w:space="0" w:color="auto"/>
            </w:tcBorders>
            <w:shd w:val="clear" w:color="auto" w:fill="auto"/>
            <w:hideMark/>
          </w:tcPr>
          <w:p w14:paraId="15DC2122" w14:textId="77777777" w:rsidR="000D79FD" w:rsidRPr="000D79FD" w:rsidRDefault="000D79FD" w:rsidP="00726DC5">
            <w:pPr>
              <w:widowControl/>
              <w:autoSpaceDE/>
              <w:autoSpaceDN/>
              <w:rPr>
                <w:rFonts w:eastAsia="Times New Roman"/>
                <w:b/>
                <w:bCs/>
              </w:rPr>
            </w:pPr>
            <w:r>
              <w:rPr>
                <w:b/>
              </w:rPr>
              <w:t>Juillet-août 2024</w:t>
            </w:r>
          </w:p>
        </w:tc>
        <w:tc>
          <w:tcPr>
            <w:tcW w:w="1129" w:type="pct"/>
            <w:tcBorders>
              <w:top w:val="nil"/>
              <w:left w:val="nil"/>
              <w:bottom w:val="single" w:sz="4" w:space="0" w:color="auto"/>
              <w:right w:val="single" w:sz="4" w:space="0" w:color="auto"/>
            </w:tcBorders>
            <w:shd w:val="clear" w:color="auto" w:fill="auto"/>
            <w:hideMark/>
          </w:tcPr>
          <w:p w14:paraId="38EFCDB3" w14:textId="5D55D888" w:rsidR="000D79FD" w:rsidRPr="000D79FD" w:rsidRDefault="000D79FD" w:rsidP="00726DC5">
            <w:pPr>
              <w:widowControl/>
              <w:autoSpaceDE/>
              <w:autoSpaceDN/>
              <w:rPr>
                <w:rFonts w:eastAsia="Times New Roman"/>
                <w:b/>
                <w:bCs/>
              </w:rPr>
            </w:pPr>
            <w:r>
              <w:rPr>
                <w:b/>
              </w:rPr>
              <w:t>Engagements sur le projet de rapport sur les défis et les options (Rev.1)</w:t>
            </w:r>
          </w:p>
        </w:tc>
        <w:tc>
          <w:tcPr>
            <w:tcW w:w="861" w:type="pct"/>
            <w:tcBorders>
              <w:top w:val="nil"/>
              <w:left w:val="nil"/>
              <w:bottom w:val="single" w:sz="4" w:space="0" w:color="auto"/>
              <w:right w:val="single" w:sz="4" w:space="0" w:color="auto"/>
            </w:tcBorders>
            <w:shd w:val="clear" w:color="auto" w:fill="auto"/>
            <w:hideMark/>
          </w:tcPr>
          <w:p w14:paraId="62B31648" w14:textId="39F97952" w:rsidR="000D79FD" w:rsidRPr="000D79FD" w:rsidRDefault="000D79FD" w:rsidP="00726DC5">
            <w:pPr>
              <w:widowControl/>
              <w:autoSpaceDE/>
              <w:autoSpaceDN/>
              <w:rPr>
                <w:rFonts w:eastAsia="Times New Roman"/>
              </w:rPr>
            </w:pPr>
            <w:r>
              <w:t>Présidence, coprésidence, sous-groupes du GTRI (à confirmer)</w:t>
            </w:r>
          </w:p>
        </w:tc>
        <w:tc>
          <w:tcPr>
            <w:tcW w:w="538" w:type="pct"/>
            <w:tcBorders>
              <w:top w:val="nil"/>
              <w:left w:val="nil"/>
              <w:bottom w:val="single" w:sz="4" w:space="0" w:color="auto"/>
              <w:right w:val="single" w:sz="4" w:space="0" w:color="auto"/>
            </w:tcBorders>
            <w:shd w:val="clear" w:color="auto" w:fill="auto"/>
            <w:hideMark/>
          </w:tcPr>
          <w:p w14:paraId="0B6AA239"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14DE24EC" w14:textId="7ADBE2D6" w:rsidR="000D79FD" w:rsidRPr="000D79FD" w:rsidRDefault="000D79FD" w:rsidP="00726DC5">
            <w:pPr>
              <w:widowControl/>
              <w:autoSpaceDE/>
              <w:autoSpaceDN/>
              <w:rPr>
                <w:rFonts w:eastAsia="Times New Roman"/>
              </w:rPr>
            </w:pPr>
            <w:r>
              <w:t>Engagements pris avec, entre autres, le Secrétariat de la Convention, le PNUE, l</w:t>
            </w:r>
            <w:r w:rsidR="00776267">
              <w:t>’</w:t>
            </w:r>
            <w:r>
              <w:t>UICN et les Parties contractantes pour affiner le rapport sur les défis et les options, et la matrice d</w:t>
            </w:r>
            <w:r w:rsidR="00776267">
              <w:t>’</w:t>
            </w:r>
            <w:r>
              <w:t xml:space="preserve">évaluation. </w:t>
            </w:r>
          </w:p>
        </w:tc>
      </w:tr>
      <w:tr w:rsidR="0054196C" w:rsidRPr="000D79FD" w14:paraId="10877F31" w14:textId="77777777" w:rsidTr="00352A89">
        <w:trPr>
          <w:cantSplit/>
          <w:trHeight w:val="576"/>
        </w:trPr>
        <w:tc>
          <w:tcPr>
            <w:tcW w:w="536" w:type="pct"/>
            <w:tcBorders>
              <w:top w:val="nil"/>
              <w:left w:val="single" w:sz="4" w:space="0" w:color="auto"/>
              <w:bottom w:val="single" w:sz="4" w:space="0" w:color="auto"/>
              <w:right w:val="single" w:sz="4" w:space="0" w:color="auto"/>
            </w:tcBorders>
            <w:shd w:val="clear" w:color="auto" w:fill="auto"/>
            <w:hideMark/>
          </w:tcPr>
          <w:p w14:paraId="60E38E30" w14:textId="77777777" w:rsidR="000D79FD" w:rsidRPr="000D79FD" w:rsidRDefault="000D79FD" w:rsidP="00726DC5">
            <w:pPr>
              <w:widowControl/>
              <w:autoSpaceDE/>
              <w:autoSpaceDN/>
              <w:rPr>
                <w:rFonts w:eastAsia="Times New Roman"/>
              </w:rPr>
            </w:pPr>
            <w:r>
              <w:t>Août 2024</w:t>
            </w:r>
          </w:p>
        </w:tc>
        <w:tc>
          <w:tcPr>
            <w:tcW w:w="1129" w:type="pct"/>
            <w:tcBorders>
              <w:top w:val="nil"/>
              <w:left w:val="nil"/>
              <w:bottom w:val="single" w:sz="4" w:space="0" w:color="auto"/>
              <w:right w:val="single" w:sz="4" w:space="0" w:color="auto"/>
            </w:tcBorders>
            <w:shd w:val="clear" w:color="auto" w:fill="auto"/>
            <w:hideMark/>
          </w:tcPr>
          <w:p w14:paraId="14D2AEFE" w14:textId="77777777" w:rsidR="000D79FD" w:rsidRPr="000D79FD" w:rsidRDefault="000D79FD" w:rsidP="00726DC5">
            <w:pPr>
              <w:widowControl/>
              <w:autoSpaceDE/>
              <w:autoSpaceDN/>
              <w:rPr>
                <w:rFonts w:eastAsia="Times New Roman"/>
              </w:rPr>
            </w:pPr>
            <w:r>
              <w:t>Rédaction du projet de préambule de la résolution</w:t>
            </w:r>
          </w:p>
        </w:tc>
        <w:tc>
          <w:tcPr>
            <w:tcW w:w="861" w:type="pct"/>
            <w:tcBorders>
              <w:top w:val="nil"/>
              <w:left w:val="nil"/>
              <w:bottom w:val="single" w:sz="4" w:space="0" w:color="auto"/>
              <w:right w:val="single" w:sz="4" w:space="0" w:color="auto"/>
            </w:tcBorders>
            <w:shd w:val="clear" w:color="auto" w:fill="auto"/>
            <w:hideMark/>
          </w:tcPr>
          <w:p w14:paraId="718FFACC" w14:textId="77777777" w:rsidR="000D79FD" w:rsidRPr="000D79FD" w:rsidRDefault="000D79FD" w:rsidP="00726DC5">
            <w:pPr>
              <w:widowControl/>
              <w:autoSpaceDE/>
              <w:autoSpaceDN/>
              <w:rPr>
                <w:rFonts w:eastAsia="Times New Roman"/>
              </w:rPr>
            </w:pPr>
            <w:r>
              <w:t>À confirmer</w:t>
            </w:r>
          </w:p>
        </w:tc>
        <w:tc>
          <w:tcPr>
            <w:tcW w:w="538" w:type="pct"/>
            <w:tcBorders>
              <w:top w:val="nil"/>
              <w:left w:val="nil"/>
              <w:bottom w:val="single" w:sz="4" w:space="0" w:color="auto"/>
              <w:right w:val="single" w:sz="4" w:space="0" w:color="auto"/>
            </w:tcBorders>
            <w:shd w:val="clear" w:color="auto" w:fill="auto"/>
            <w:hideMark/>
          </w:tcPr>
          <w:p w14:paraId="3B954A9D"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695C2F17" w14:textId="59CC339D" w:rsidR="000D79FD" w:rsidRPr="000D79FD" w:rsidRDefault="000D79FD" w:rsidP="00726DC5">
            <w:pPr>
              <w:widowControl/>
              <w:autoSpaceDE/>
              <w:autoSpaceDN/>
              <w:rPr>
                <w:rFonts w:eastAsia="Times New Roman"/>
              </w:rPr>
            </w:pPr>
            <w:r>
              <w:t>Rédiger le préambule du projet de résolution dès le début du processus. La trame de la résolution doit être élaboré</w:t>
            </w:r>
            <w:r w:rsidR="00034139">
              <w:t>e</w:t>
            </w:r>
            <w:r>
              <w:t xml:space="preserve"> en même temps que la Rev.2 du rapport.</w:t>
            </w:r>
          </w:p>
        </w:tc>
      </w:tr>
      <w:tr w:rsidR="0054196C" w:rsidRPr="000D79FD" w14:paraId="5EFA7614" w14:textId="77777777" w:rsidTr="00352A89">
        <w:trPr>
          <w:cantSplit/>
          <w:trHeight w:val="576"/>
        </w:trPr>
        <w:tc>
          <w:tcPr>
            <w:tcW w:w="536" w:type="pct"/>
            <w:tcBorders>
              <w:top w:val="nil"/>
              <w:left w:val="single" w:sz="4" w:space="0" w:color="auto"/>
              <w:bottom w:val="single" w:sz="4" w:space="0" w:color="auto"/>
              <w:right w:val="single" w:sz="4" w:space="0" w:color="auto"/>
            </w:tcBorders>
            <w:shd w:val="clear" w:color="auto" w:fill="auto"/>
            <w:hideMark/>
          </w:tcPr>
          <w:p w14:paraId="39273B9D" w14:textId="77777777" w:rsidR="000D79FD" w:rsidRPr="000D79FD" w:rsidRDefault="000D79FD" w:rsidP="00726DC5">
            <w:pPr>
              <w:widowControl/>
              <w:autoSpaceDE/>
              <w:autoSpaceDN/>
              <w:rPr>
                <w:rFonts w:eastAsia="Times New Roman"/>
              </w:rPr>
            </w:pPr>
            <w:r>
              <w:t>Fin août/ début sept. 2024</w:t>
            </w:r>
          </w:p>
        </w:tc>
        <w:tc>
          <w:tcPr>
            <w:tcW w:w="1129" w:type="pct"/>
            <w:tcBorders>
              <w:top w:val="nil"/>
              <w:left w:val="nil"/>
              <w:bottom w:val="single" w:sz="4" w:space="0" w:color="auto"/>
              <w:right w:val="single" w:sz="4" w:space="0" w:color="auto"/>
            </w:tcBorders>
            <w:shd w:val="clear" w:color="auto" w:fill="auto"/>
            <w:hideMark/>
          </w:tcPr>
          <w:p w14:paraId="3126D472" w14:textId="77777777" w:rsidR="000D79FD" w:rsidRPr="000D79FD" w:rsidRDefault="000D79FD" w:rsidP="00726DC5">
            <w:pPr>
              <w:widowControl/>
              <w:autoSpaceDE/>
              <w:autoSpaceDN/>
              <w:rPr>
                <w:rFonts w:eastAsia="Times New Roman"/>
              </w:rPr>
            </w:pPr>
            <w:r>
              <w:t>8</w:t>
            </w:r>
            <w:r>
              <w:rPr>
                <w:vertAlign w:val="superscript"/>
              </w:rPr>
              <w:t>e</w:t>
            </w:r>
            <w:r>
              <w:t xml:space="preserve"> réunion du GTRI </w:t>
            </w:r>
          </w:p>
        </w:tc>
        <w:tc>
          <w:tcPr>
            <w:tcW w:w="861" w:type="pct"/>
            <w:tcBorders>
              <w:top w:val="nil"/>
              <w:left w:val="nil"/>
              <w:bottom w:val="single" w:sz="4" w:space="0" w:color="auto"/>
              <w:right w:val="single" w:sz="4" w:space="0" w:color="auto"/>
            </w:tcBorders>
            <w:shd w:val="clear" w:color="auto" w:fill="auto"/>
            <w:hideMark/>
          </w:tcPr>
          <w:p w14:paraId="39B0EE29" w14:textId="77777777" w:rsidR="000D79FD" w:rsidRPr="000D79FD" w:rsidRDefault="000D79FD" w:rsidP="00726DC5">
            <w:pPr>
              <w:widowControl/>
              <w:autoSpaceDE/>
              <w:autoSpaceDN/>
              <w:rPr>
                <w:rFonts w:eastAsia="Times New Roman"/>
              </w:rPr>
            </w:pPr>
            <w:r>
              <w:t>Présidence, coprésidence, Secrétariat de la Convention</w:t>
            </w:r>
          </w:p>
        </w:tc>
        <w:tc>
          <w:tcPr>
            <w:tcW w:w="538" w:type="pct"/>
            <w:tcBorders>
              <w:top w:val="nil"/>
              <w:left w:val="nil"/>
              <w:bottom w:val="single" w:sz="4" w:space="0" w:color="auto"/>
              <w:right w:val="single" w:sz="4" w:space="0" w:color="auto"/>
            </w:tcBorders>
            <w:shd w:val="clear" w:color="auto" w:fill="auto"/>
            <w:hideMark/>
          </w:tcPr>
          <w:p w14:paraId="53AD5F14"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3D256758" w14:textId="7698DC0C" w:rsidR="000D79FD" w:rsidRPr="000D79FD" w:rsidRDefault="000D79FD" w:rsidP="00726DC5">
            <w:pPr>
              <w:widowControl/>
              <w:autoSpaceDE/>
              <w:autoSpaceDN/>
              <w:rPr>
                <w:rFonts w:eastAsia="Times New Roman"/>
              </w:rPr>
            </w:pPr>
            <w:r>
              <w:t>Discussion sur les résultats de la consultation des parties prenantes et finalisation du rapport sur les options, début des discussions sur le contenu d</w:t>
            </w:r>
            <w:r w:rsidR="00776267">
              <w:t>’</w:t>
            </w:r>
            <w:r>
              <w:t>un projet de résolution.</w:t>
            </w:r>
          </w:p>
        </w:tc>
      </w:tr>
      <w:tr w:rsidR="0054196C" w:rsidRPr="000D79FD" w14:paraId="411C6316" w14:textId="77777777" w:rsidTr="00352A89">
        <w:trPr>
          <w:cantSplit/>
          <w:trHeight w:val="1440"/>
        </w:trPr>
        <w:tc>
          <w:tcPr>
            <w:tcW w:w="536" w:type="pct"/>
            <w:tcBorders>
              <w:top w:val="nil"/>
              <w:left w:val="single" w:sz="4" w:space="0" w:color="auto"/>
              <w:bottom w:val="single" w:sz="4" w:space="0" w:color="auto"/>
              <w:right w:val="single" w:sz="4" w:space="0" w:color="auto"/>
            </w:tcBorders>
            <w:shd w:val="clear" w:color="auto" w:fill="auto"/>
            <w:hideMark/>
          </w:tcPr>
          <w:p w14:paraId="4990D8AC" w14:textId="77777777" w:rsidR="000D79FD" w:rsidRPr="000D79FD" w:rsidRDefault="000D79FD" w:rsidP="00726DC5">
            <w:pPr>
              <w:widowControl/>
              <w:autoSpaceDE/>
              <w:autoSpaceDN/>
              <w:rPr>
                <w:rFonts w:eastAsia="Times New Roman"/>
              </w:rPr>
            </w:pPr>
            <w:r>
              <w:t>30 septembre 2024</w:t>
            </w:r>
          </w:p>
        </w:tc>
        <w:tc>
          <w:tcPr>
            <w:tcW w:w="1129" w:type="pct"/>
            <w:tcBorders>
              <w:top w:val="nil"/>
              <w:left w:val="nil"/>
              <w:bottom w:val="single" w:sz="4" w:space="0" w:color="auto"/>
              <w:right w:val="single" w:sz="4" w:space="0" w:color="auto"/>
            </w:tcBorders>
            <w:shd w:val="clear" w:color="auto" w:fill="auto"/>
            <w:hideMark/>
          </w:tcPr>
          <w:p w14:paraId="54D51E8B" w14:textId="7EF5AA8B" w:rsidR="000D79FD" w:rsidRPr="000D79FD" w:rsidRDefault="000D79FD" w:rsidP="00726DC5">
            <w:pPr>
              <w:widowControl/>
              <w:autoSpaceDE/>
              <w:autoSpaceDN/>
              <w:rPr>
                <w:rFonts w:eastAsia="Times New Roman"/>
                <w:b/>
                <w:bCs/>
              </w:rPr>
            </w:pPr>
            <w:r>
              <w:rPr>
                <w:b/>
              </w:rPr>
              <w:t>Élaboration de la Rev.2 (final) du rapport sur les défis et les options pour le renforcement institutionnel de la Convention sur les zones humides</w:t>
            </w:r>
          </w:p>
        </w:tc>
        <w:tc>
          <w:tcPr>
            <w:tcW w:w="861" w:type="pct"/>
            <w:tcBorders>
              <w:top w:val="nil"/>
              <w:left w:val="nil"/>
              <w:bottom w:val="single" w:sz="4" w:space="0" w:color="auto"/>
              <w:right w:val="single" w:sz="4" w:space="0" w:color="auto"/>
            </w:tcBorders>
            <w:shd w:val="clear" w:color="auto" w:fill="auto"/>
            <w:hideMark/>
          </w:tcPr>
          <w:p w14:paraId="0F018F18" w14:textId="4055C36F" w:rsidR="000D79FD" w:rsidRPr="000D79FD" w:rsidRDefault="000D79FD" w:rsidP="00726DC5">
            <w:pPr>
              <w:widowControl/>
              <w:autoSpaceDE/>
              <w:autoSpaceDN/>
              <w:rPr>
                <w:rFonts w:eastAsia="Times New Roman"/>
              </w:rPr>
            </w:pPr>
            <w:r>
              <w:t>Présidence, coprésidence, sous-groupes du GTRI (à confirmer)</w:t>
            </w:r>
          </w:p>
        </w:tc>
        <w:tc>
          <w:tcPr>
            <w:tcW w:w="538" w:type="pct"/>
            <w:tcBorders>
              <w:top w:val="nil"/>
              <w:left w:val="nil"/>
              <w:bottom w:val="single" w:sz="4" w:space="0" w:color="auto"/>
              <w:right w:val="single" w:sz="4" w:space="0" w:color="auto"/>
            </w:tcBorders>
            <w:shd w:val="clear" w:color="auto" w:fill="auto"/>
            <w:hideMark/>
          </w:tcPr>
          <w:p w14:paraId="49DB41F7"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7B7E8E0C" w14:textId="0695EC2E" w:rsidR="000D79FD" w:rsidRPr="000D79FD" w:rsidRDefault="000D79FD" w:rsidP="00726DC5">
            <w:pPr>
              <w:widowControl/>
              <w:autoSpaceDE/>
              <w:autoSpaceDN/>
              <w:rPr>
                <w:rFonts w:eastAsia="Times New Roman"/>
              </w:rPr>
            </w:pPr>
            <w:r>
              <w:t>Matrice d</w:t>
            </w:r>
            <w:r w:rsidR="00776267">
              <w:t>’</w:t>
            </w:r>
            <w:r>
              <w:t>évaluation/rapport sur les options achevés, prêts à être soumis pour accompagner la résolution à transmettre au Comité permanent à sa 64</w:t>
            </w:r>
            <w:r>
              <w:rPr>
                <w:vertAlign w:val="superscript"/>
              </w:rPr>
              <w:t>e</w:t>
            </w:r>
            <w:r>
              <w:t xml:space="preserve"> Réunion. </w:t>
            </w:r>
          </w:p>
        </w:tc>
      </w:tr>
      <w:tr w:rsidR="0054196C" w:rsidRPr="000D79FD" w14:paraId="01740F9D" w14:textId="77777777" w:rsidTr="00352A89">
        <w:trPr>
          <w:cantSplit/>
          <w:trHeight w:val="288"/>
        </w:trPr>
        <w:tc>
          <w:tcPr>
            <w:tcW w:w="536" w:type="pct"/>
            <w:tcBorders>
              <w:top w:val="nil"/>
              <w:left w:val="single" w:sz="4" w:space="0" w:color="auto"/>
              <w:bottom w:val="single" w:sz="4" w:space="0" w:color="auto"/>
              <w:right w:val="single" w:sz="4" w:space="0" w:color="auto"/>
            </w:tcBorders>
            <w:shd w:val="clear" w:color="auto" w:fill="auto"/>
            <w:hideMark/>
          </w:tcPr>
          <w:p w14:paraId="79121F3A" w14:textId="77777777" w:rsidR="000D79FD" w:rsidRPr="000D79FD" w:rsidRDefault="000D79FD" w:rsidP="00726DC5">
            <w:pPr>
              <w:widowControl/>
              <w:autoSpaceDE/>
              <w:autoSpaceDN/>
              <w:rPr>
                <w:rFonts w:eastAsia="Times New Roman"/>
                <w:b/>
                <w:bCs/>
              </w:rPr>
            </w:pPr>
            <w:r>
              <w:rPr>
                <w:b/>
              </w:rPr>
              <w:t>Octobre 2024</w:t>
            </w:r>
          </w:p>
        </w:tc>
        <w:tc>
          <w:tcPr>
            <w:tcW w:w="1129" w:type="pct"/>
            <w:tcBorders>
              <w:top w:val="nil"/>
              <w:left w:val="nil"/>
              <w:bottom w:val="single" w:sz="4" w:space="0" w:color="auto"/>
              <w:right w:val="single" w:sz="4" w:space="0" w:color="auto"/>
            </w:tcBorders>
            <w:shd w:val="clear" w:color="auto" w:fill="auto"/>
            <w:hideMark/>
          </w:tcPr>
          <w:p w14:paraId="4744E4EA" w14:textId="77777777" w:rsidR="000D79FD" w:rsidRPr="000D79FD" w:rsidRDefault="000D79FD" w:rsidP="00726DC5">
            <w:pPr>
              <w:widowControl/>
              <w:autoSpaceDE/>
              <w:autoSpaceDN/>
              <w:rPr>
                <w:rFonts w:eastAsia="Times New Roman"/>
                <w:b/>
                <w:bCs/>
              </w:rPr>
            </w:pPr>
            <w:r>
              <w:rPr>
                <w:b/>
              </w:rPr>
              <w:t>Premier projet de résolution (Rev.1)</w:t>
            </w:r>
          </w:p>
        </w:tc>
        <w:tc>
          <w:tcPr>
            <w:tcW w:w="861" w:type="pct"/>
            <w:tcBorders>
              <w:top w:val="nil"/>
              <w:left w:val="nil"/>
              <w:bottom w:val="single" w:sz="4" w:space="0" w:color="auto"/>
              <w:right w:val="single" w:sz="4" w:space="0" w:color="auto"/>
            </w:tcBorders>
            <w:shd w:val="clear" w:color="auto" w:fill="auto"/>
            <w:hideMark/>
          </w:tcPr>
          <w:p w14:paraId="390EADC4" w14:textId="77777777" w:rsidR="000D79FD" w:rsidRPr="000D79FD" w:rsidRDefault="000D79FD" w:rsidP="00726DC5">
            <w:pPr>
              <w:widowControl/>
              <w:autoSpaceDE/>
              <w:autoSpaceDN/>
              <w:rPr>
                <w:rFonts w:eastAsia="Times New Roman"/>
              </w:rPr>
            </w:pPr>
            <w:r>
              <w:t>À confirmer</w:t>
            </w:r>
          </w:p>
        </w:tc>
        <w:tc>
          <w:tcPr>
            <w:tcW w:w="538" w:type="pct"/>
            <w:tcBorders>
              <w:top w:val="nil"/>
              <w:left w:val="nil"/>
              <w:bottom w:val="single" w:sz="4" w:space="0" w:color="auto"/>
              <w:right w:val="single" w:sz="4" w:space="0" w:color="auto"/>
            </w:tcBorders>
            <w:shd w:val="clear" w:color="auto" w:fill="auto"/>
            <w:hideMark/>
          </w:tcPr>
          <w:p w14:paraId="032CF9FF"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hideMark/>
          </w:tcPr>
          <w:p w14:paraId="6F7F4B2E" w14:textId="28782D2C" w:rsidR="000D79FD" w:rsidRPr="000D79FD" w:rsidRDefault="000D79FD" w:rsidP="00726DC5">
            <w:pPr>
              <w:widowControl/>
              <w:autoSpaceDE/>
              <w:autoSpaceDN/>
              <w:rPr>
                <w:rFonts w:eastAsia="Times New Roman"/>
              </w:rPr>
            </w:pPr>
            <w:r>
              <w:t>Premier projet de résolution basé sur les résultats du rapport sur les options.</w:t>
            </w:r>
          </w:p>
        </w:tc>
      </w:tr>
      <w:tr w:rsidR="0054196C" w:rsidRPr="000D79FD" w14:paraId="1697AE73" w14:textId="77777777" w:rsidTr="00352A89">
        <w:trPr>
          <w:cantSplit/>
          <w:trHeight w:val="288"/>
        </w:trPr>
        <w:tc>
          <w:tcPr>
            <w:tcW w:w="536" w:type="pct"/>
            <w:tcBorders>
              <w:top w:val="nil"/>
              <w:left w:val="single" w:sz="4" w:space="0" w:color="auto"/>
              <w:bottom w:val="single" w:sz="4" w:space="0" w:color="auto"/>
              <w:right w:val="single" w:sz="4" w:space="0" w:color="auto"/>
            </w:tcBorders>
            <w:shd w:val="clear" w:color="auto" w:fill="auto"/>
            <w:hideMark/>
          </w:tcPr>
          <w:p w14:paraId="5C87B3CE" w14:textId="77777777" w:rsidR="000D79FD" w:rsidRPr="000D79FD" w:rsidRDefault="000D79FD" w:rsidP="00726DC5">
            <w:pPr>
              <w:widowControl/>
              <w:autoSpaceDE/>
              <w:autoSpaceDN/>
              <w:rPr>
                <w:rFonts w:eastAsia="Times New Roman"/>
              </w:rPr>
            </w:pPr>
            <w:r>
              <w:t>Octobre 2024</w:t>
            </w:r>
          </w:p>
        </w:tc>
        <w:tc>
          <w:tcPr>
            <w:tcW w:w="1129" w:type="pct"/>
            <w:tcBorders>
              <w:top w:val="nil"/>
              <w:left w:val="nil"/>
              <w:bottom w:val="single" w:sz="4" w:space="0" w:color="auto"/>
              <w:right w:val="single" w:sz="4" w:space="0" w:color="auto"/>
            </w:tcBorders>
            <w:shd w:val="clear" w:color="auto" w:fill="auto"/>
            <w:hideMark/>
          </w:tcPr>
          <w:p w14:paraId="5D09C166" w14:textId="77777777" w:rsidR="000D79FD" w:rsidRPr="000D79FD" w:rsidRDefault="000D79FD" w:rsidP="00726DC5">
            <w:pPr>
              <w:widowControl/>
              <w:autoSpaceDE/>
              <w:autoSpaceDN/>
              <w:rPr>
                <w:rFonts w:eastAsia="Times New Roman"/>
              </w:rPr>
            </w:pPr>
            <w:r>
              <w:t>9</w:t>
            </w:r>
            <w:r>
              <w:rPr>
                <w:vertAlign w:val="superscript"/>
              </w:rPr>
              <w:t>e</w:t>
            </w:r>
            <w:r>
              <w:t> réunion du GTRI</w:t>
            </w:r>
          </w:p>
        </w:tc>
        <w:tc>
          <w:tcPr>
            <w:tcW w:w="861" w:type="pct"/>
            <w:tcBorders>
              <w:top w:val="nil"/>
              <w:left w:val="nil"/>
              <w:bottom w:val="single" w:sz="4" w:space="0" w:color="auto"/>
              <w:right w:val="single" w:sz="4" w:space="0" w:color="auto"/>
            </w:tcBorders>
            <w:shd w:val="clear" w:color="auto" w:fill="auto"/>
            <w:hideMark/>
          </w:tcPr>
          <w:p w14:paraId="5A4D4A02" w14:textId="77777777" w:rsidR="000D79FD" w:rsidRPr="000D79FD" w:rsidRDefault="000D79FD" w:rsidP="00726DC5">
            <w:pPr>
              <w:widowControl/>
              <w:autoSpaceDE/>
              <w:autoSpaceDN/>
              <w:rPr>
                <w:rFonts w:eastAsia="Times New Roman"/>
              </w:rPr>
            </w:pPr>
            <w:r>
              <w:t>Présidence, coprésidence, Secrétariat de la Convention</w:t>
            </w:r>
          </w:p>
        </w:tc>
        <w:tc>
          <w:tcPr>
            <w:tcW w:w="538" w:type="pct"/>
            <w:tcBorders>
              <w:top w:val="nil"/>
              <w:left w:val="nil"/>
              <w:bottom w:val="single" w:sz="4" w:space="0" w:color="auto"/>
              <w:right w:val="single" w:sz="4" w:space="0" w:color="auto"/>
            </w:tcBorders>
            <w:shd w:val="clear" w:color="auto" w:fill="auto"/>
            <w:hideMark/>
          </w:tcPr>
          <w:p w14:paraId="621D1467"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noWrap/>
            <w:hideMark/>
          </w:tcPr>
          <w:p w14:paraId="10A49FEB" w14:textId="3EBF35E1" w:rsidR="000D79FD" w:rsidRPr="000D79FD" w:rsidRDefault="000D79FD" w:rsidP="00726DC5">
            <w:pPr>
              <w:widowControl/>
              <w:autoSpaceDE/>
              <w:autoSpaceDN/>
              <w:rPr>
                <w:rFonts w:eastAsia="Times New Roman"/>
              </w:rPr>
            </w:pPr>
            <w:r>
              <w:t>Discussion sur le projet de résolution.</w:t>
            </w:r>
          </w:p>
        </w:tc>
      </w:tr>
      <w:tr w:rsidR="0054196C" w:rsidRPr="000D79FD" w14:paraId="344653AC" w14:textId="77777777" w:rsidTr="00352A89">
        <w:trPr>
          <w:cantSplit/>
          <w:trHeight w:val="288"/>
        </w:trPr>
        <w:tc>
          <w:tcPr>
            <w:tcW w:w="536" w:type="pct"/>
            <w:tcBorders>
              <w:top w:val="nil"/>
              <w:left w:val="single" w:sz="4" w:space="0" w:color="auto"/>
              <w:bottom w:val="single" w:sz="4" w:space="0" w:color="auto"/>
              <w:right w:val="single" w:sz="4" w:space="0" w:color="auto"/>
            </w:tcBorders>
            <w:shd w:val="clear" w:color="auto" w:fill="auto"/>
            <w:hideMark/>
          </w:tcPr>
          <w:p w14:paraId="540C2E78" w14:textId="77777777" w:rsidR="000D79FD" w:rsidRPr="000D79FD" w:rsidRDefault="000D79FD" w:rsidP="00726DC5">
            <w:pPr>
              <w:widowControl/>
              <w:autoSpaceDE/>
              <w:autoSpaceDN/>
              <w:rPr>
                <w:rFonts w:eastAsia="Times New Roman"/>
              </w:rPr>
            </w:pPr>
            <w:r>
              <w:lastRenderedPageBreak/>
              <w:t>Novembre 2024</w:t>
            </w:r>
          </w:p>
        </w:tc>
        <w:tc>
          <w:tcPr>
            <w:tcW w:w="1129" w:type="pct"/>
            <w:tcBorders>
              <w:top w:val="nil"/>
              <w:left w:val="nil"/>
              <w:bottom w:val="single" w:sz="4" w:space="0" w:color="auto"/>
              <w:right w:val="single" w:sz="4" w:space="0" w:color="auto"/>
            </w:tcBorders>
            <w:shd w:val="clear" w:color="auto" w:fill="auto"/>
            <w:hideMark/>
          </w:tcPr>
          <w:p w14:paraId="725F9060" w14:textId="77777777" w:rsidR="000D79FD" w:rsidRPr="000D79FD" w:rsidRDefault="000D79FD" w:rsidP="00726DC5">
            <w:pPr>
              <w:widowControl/>
              <w:autoSpaceDE/>
              <w:autoSpaceDN/>
              <w:rPr>
                <w:rFonts w:eastAsia="Times New Roman"/>
              </w:rPr>
            </w:pPr>
            <w:r>
              <w:t>10</w:t>
            </w:r>
            <w:r>
              <w:rPr>
                <w:vertAlign w:val="superscript"/>
              </w:rPr>
              <w:t>e</w:t>
            </w:r>
            <w:r>
              <w:t> réunion du GTRI</w:t>
            </w:r>
          </w:p>
        </w:tc>
        <w:tc>
          <w:tcPr>
            <w:tcW w:w="861" w:type="pct"/>
            <w:tcBorders>
              <w:top w:val="nil"/>
              <w:left w:val="nil"/>
              <w:bottom w:val="single" w:sz="4" w:space="0" w:color="auto"/>
              <w:right w:val="single" w:sz="4" w:space="0" w:color="auto"/>
            </w:tcBorders>
            <w:shd w:val="clear" w:color="auto" w:fill="auto"/>
            <w:hideMark/>
          </w:tcPr>
          <w:p w14:paraId="5732AA76" w14:textId="77777777" w:rsidR="000D79FD" w:rsidRPr="000D79FD" w:rsidRDefault="000D79FD" w:rsidP="00726DC5">
            <w:pPr>
              <w:widowControl/>
              <w:autoSpaceDE/>
              <w:autoSpaceDN/>
              <w:rPr>
                <w:rFonts w:eastAsia="Times New Roman"/>
              </w:rPr>
            </w:pPr>
            <w:r>
              <w:t>Présidence, coprésidence, Secrétariat de la Convention</w:t>
            </w:r>
          </w:p>
        </w:tc>
        <w:tc>
          <w:tcPr>
            <w:tcW w:w="538" w:type="pct"/>
            <w:tcBorders>
              <w:top w:val="nil"/>
              <w:left w:val="nil"/>
              <w:bottom w:val="single" w:sz="4" w:space="0" w:color="auto"/>
              <w:right w:val="single" w:sz="4" w:space="0" w:color="auto"/>
            </w:tcBorders>
            <w:shd w:val="clear" w:color="auto" w:fill="auto"/>
            <w:hideMark/>
          </w:tcPr>
          <w:p w14:paraId="4DC246CF"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noWrap/>
            <w:hideMark/>
          </w:tcPr>
          <w:p w14:paraId="31235A27" w14:textId="7675B88C" w:rsidR="000D79FD" w:rsidRPr="000D79FD" w:rsidRDefault="000D79FD" w:rsidP="00726DC5">
            <w:pPr>
              <w:widowControl/>
              <w:autoSpaceDE/>
              <w:autoSpaceDN/>
              <w:rPr>
                <w:rFonts w:eastAsia="Times New Roman"/>
              </w:rPr>
            </w:pPr>
            <w:r>
              <w:t>Discussion sur le projet de résolution actualisé.</w:t>
            </w:r>
          </w:p>
        </w:tc>
      </w:tr>
      <w:tr w:rsidR="0054196C" w:rsidRPr="000D79FD" w14:paraId="3552CAC5" w14:textId="77777777" w:rsidTr="00352A89">
        <w:trPr>
          <w:cantSplit/>
          <w:trHeight w:val="576"/>
        </w:trPr>
        <w:tc>
          <w:tcPr>
            <w:tcW w:w="536" w:type="pct"/>
            <w:tcBorders>
              <w:top w:val="nil"/>
              <w:left w:val="single" w:sz="4" w:space="0" w:color="auto"/>
              <w:bottom w:val="single" w:sz="4" w:space="0" w:color="auto"/>
              <w:right w:val="single" w:sz="4" w:space="0" w:color="auto"/>
            </w:tcBorders>
            <w:shd w:val="clear" w:color="auto" w:fill="auto"/>
            <w:hideMark/>
          </w:tcPr>
          <w:p w14:paraId="0904CE98" w14:textId="77777777" w:rsidR="000D79FD" w:rsidRPr="000D79FD" w:rsidRDefault="000D79FD" w:rsidP="00726DC5">
            <w:pPr>
              <w:widowControl/>
              <w:autoSpaceDE/>
              <w:autoSpaceDN/>
              <w:rPr>
                <w:rFonts w:eastAsia="Times New Roman"/>
                <w:b/>
                <w:bCs/>
              </w:rPr>
            </w:pPr>
            <w:r>
              <w:rPr>
                <w:b/>
              </w:rPr>
              <w:t>24 novembre 2024</w:t>
            </w:r>
          </w:p>
        </w:tc>
        <w:tc>
          <w:tcPr>
            <w:tcW w:w="1129" w:type="pct"/>
            <w:tcBorders>
              <w:top w:val="nil"/>
              <w:left w:val="nil"/>
              <w:bottom w:val="single" w:sz="4" w:space="0" w:color="auto"/>
              <w:right w:val="single" w:sz="4" w:space="0" w:color="auto"/>
            </w:tcBorders>
            <w:shd w:val="clear" w:color="auto" w:fill="auto"/>
            <w:hideMark/>
          </w:tcPr>
          <w:p w14:paraId="18766048" w14:textId="07BDFD93" w:rsidR="000D79FD" w:rsidRPr="000D79FD" w:rsidRDefault="000D79FD" w:rsidP="00726DC5">
            <w:pPr>
              <w:widowControl/>
              <w:autoSpaceDE/>
              <w:autoSpaceDN/>
              <w:rPr>
                <w:rFonts w:eastAsia="Times New Roman"/>
                <w:b/>
                <w:bCs/>
              </w:rPr>
            </w:pPr>
            <w:r>
              <w:rPr>
                <w:b/>
              </w:rPr>
              <w:t xml:space="preserve">Projet de résolution mis à jour </w:t>
            </w:r>
            <w:r>
              <w:rPr>
                <w:b/>
              </w:rPr>
              <w:br/>
              <w:t>(Rev.2)</w:t>
            </w:r>
          </w:p>
        </w:tc>
        <w:tc>
          <w:tcPr>
            <w:tcW w:w="861" w:type="pct"/>
            <w:tcBorders>
              <w:top w:val="nil"/>
              <w:left w:val="nil"/>
              <w:bottom w:val="single" w:sz="4" w:space="0" w:color="auto"/>
              <w:right w:val="single" w:sz="4" w:space="0" w:color="auto"/>
            </w:tcBorders>
            <w:shd w:val="clear" w:color="auto" w:fill="auto"/>
            <w:hideMark/>
          </w:tcPr>
          <w:p w14:paraId="10587370" w14:textId="77777777" w:rsidR="000D79FD" w:rsidRPr="000D79FD" w:rsidRDefault="000D79FD" w:rsidP="00726DC5">
            <w:pPr>
              <w:widowControl/>
              <w:autoSpaceDE/>
              <w:autoSpaceDN/>
              <w:rPr>
                <w:rFonts w:eastAsia="Times New Roman"/>
              </w:rPr>
            </w:pPr>
            <w:r>
              <w:t>À confirmer</w:t>
            </w:r>
          </w:p>
        </w:tc>
        <w:tc>
          <w:tcPr>
            <w:tcW w:w="538" w:type="pct"/>
            <w:tcBorders>
              <w:top w:val="nil"/>
              <w:left w:val="nil"/>
              <w:bottom w:val="single" w:sz="4" w:space="0" w:color="auto"/>
              <w:right w:val="single" w:sz="4" w:space="0" w:color="auto"/>
            </w:tcBorders>
            <w:shd w:val="clear" w:color="auto" w:fill="auto"/>
            <w:hideMark/>
          </w:tcPr>
          <w:p w14:paraId="2C515BE4"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noWrap/>
            <w:hideMark/>
          </w:tcPr>
          <w:p w14:paraId="483F0940" w14:textId="3806AFCD" w:rsidR="000D79FD" w:rsidRPr="000D79FD" w:rsidRDefault="000D79FD" w:rsidP="00726DC5">
            <w:pPr>
              <w:widowControl/>
              <w:autoSpaceDE/>
              <w:autoSpaceDN/>
              <w:rPr>
                <w:rFonts w:eastAsia="Times New Roman"/>
              </w:rPr>
            </w:pPr>
            <w:r>
              <w:t>Rapport du GT et projet de résolution soumis au Comité permanent à sa 64</w:t>
            </w:r>
            <w:r>
              <w:rPr>
                <w:vertAlign w:val="superscript"/>
              </w:rPr>
              <w:t>e</w:t>
            </w:r>
            <w:r>
              <w:t> Réunion.</w:t>
            </w:r>
          </w:p>
        </w:tc>
      </w:tr>
      <w:tr w:rsidR="0054196C" w:rsidRPr="000D79FD" w14:paraId="352BAB1F" w14:textId="77777777" w:rsidTr="00352A89">
        <w:trPr>
          <w:cantSplit/>
          <w:trHeight w:val="576"/>
        </w:trPr>
        <w:tc>
          <w:tcPr>
            <w:tcW w:w="536" w:type="pct"/>
            <w:tcBorders>
              <w:top w:val="nil"/>
              <w:left w:val="single" w:sz="4" w:space="0" w:color="auto"/>
              <w:bottom w:val="single" w:sz="4" w:space="0" w:color="auto"/>
              <w:right w:val="single" w:sz="4" w:space="0" w:color="auto"/>
            </w:tcBorders>
            <w:shd w:val="clear" w:color="auto" w:fill="auto"/>
            <w:hideMark/>
          </w:tcPr>
          <w:p w14:paraId="4439BE55" w14:textId="77777777" w:rsidR="000D79FD" w:rsidRPr="000D79FD" w:rsidRDefault="000D79FD" w:rsidP="00726DC5">
            <w:pPr>
              <w:widowControl/>
              <w:autoSpaceDE/>
              <w:autoSpaceDN/>
              <w:rPr>
                <w:rFonts w:eastAsia="Times New Roman"/>
              </w:rPr>
            </w:pPr>
            <w:r>
              <w:t>Janvier 2025 (à confirmer)</w:t>
            </w:r>
          </w:p>
        </w:tc>
        <w:tc>
          <w:tcPr>
            <w:tcW w:w="1129" w:type="pct"/>
            <w:tcBorders>
              <w:top w:val="nil"/>
              <w:left w:val="nil"/>
              <w:bottom w:val="single" w:sz="4" w:space="0" w:color="auto"/>
              <w:right w:val="single" w:sz="4" w:space="0" w:color="auto"/>
            </w:tcBorders>
            <w:shd w:val="clear" w:color="auto" w:fill="auto"/>
            <w:hideMark/>
          </w:tcPr>
          <w:p w14:paraId="7647A9C1" w14:textId="77777777" w:rsidR="000D79FD" w:rsidRPr="000D79FD" w:rsidRDefault="000D79FD" w:rsidP="00726DC5">
            <w:pPr>
              <w:widowControl/>
              <w:autoSpaceDE/>
              <w:autoSpaceDN/>
              <w:rPr>
                <w:rFonts w:eastAsia="Times New Roman"/>
              </w:rPr>
            </w:pPr>
            <w:r>
              <w:t>64</w:t>
            </w:r>
            <w:r>
              <w:rPr>
                <w:vertAlign w:val="superscript"/>
              </w:rPr>
              <w:t>e</w:t>
            </w:r>
            <w:r>
              <w:t xml:space="preserve"> Réunion du Comité permanent : soumission du rapport du GTRI </w:t>
            </w:r>
          </w:p>
        </w:tc>
        <w:tc>
          <w:tcPr>
            <w:tcW w:w="861" w:type="pct"/>
            <w:tcBorders>
              <w:top w:val="nil"/>
              <w:left w:val="nil"/>
              <w:bottom w:val="single" w:sz="4" w:space="0" w:color="auto"/>
              <w:right w:val="single" w:sz="4" w:space="0" w:color="auto"/>
            </w:tcBorders>
            <w:shd w:val="clear" w:color="auto" w:fill="auto"/>
            <w:hideMark/>
          </w:tcPr>
          <w:p w14:paraId="36483A04" w14:textId="77777777" w:rsidR="000D79FD" w:rsidRPr="000D79FD" w:rsidRDefault="000D79FD" w:rsidP="00726DC5">
            <w:pPr>
              <w:widowControl/>
              <w:autoSpaceDE/>
              <w:autoSpaceDN/>
              <w:rPr>
                <w:rFonts w:eastAsia="Times New Roman"/>
              </w:rPr>
            </w:pPr>
            <w:r>
              <w:t xml:space="preserve"> Coprésidence</w:t>
            </w:r>
          </w:p>
        </w:tc>
        <w:tc>
          <w:tcPr>
            <w:tcW w:w="538" w:type="pct"/>
            <w:tcBorders>
              <w:top w:val="nil"/>
              <w:left w:val="nil"/>
              <w:bottom w:val="single" w:sz="4" w:space="0" w:color="auto"/>
              <w:right w:val="single" w:sz="4" w:space="0" w:color="auto"/>
            </w:tcBorders>
            <w:shd w:val="clear" w:color="auto" w:fill="auto"/>
            <w:hideMark/>
          </w:tcPr>
          <w:p w14:paraId="0BE66A52"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noWrap/>
            <w:hideMark/>
          </w:tcPr>
          <w:p w14:paraId="21898E7A" w14:textId="74C74F7C" w:rsidR="000D79FD" w:rsidRPr="000D79FD" w:rsidRDefault="000D79FD" w:rsidP="00726DC5">
            <w:pPr>
              <w:widowControl/>
              <w:autoSpaceDE/>
              <w:autoSpaceDN/>
              <w:rPr>
                <w:rFonts w:eastAsia="Times New Roman"/>
              </w:rPr>
            </w:pPr>
            <w:r>
              <w:t>Présenter le rapport sur les options pour qu</w:t>
            </w:r>
            <w:r w:rsidR="00776267">
              <w:t>’</w:t>
            </w:r>
            <w:r>
              <w:t>il en soit pris note et la résolution pour qu</w:t>
            </w:r>
            <w:r w:rsidR="00776267">
              <w:t>’</w:t>
            </w:r>
            <w:r>
              <w:t>elle soit approuvée et soumise à la COP15.</w:t>
            </w:r>
          </w:p>
        </w:tc>
      </w:tr>
      <w:tr w:rsidR="0054196C" w:rsidRPr="000D79FD" w14:paraId="13EE993F" w14:textId="77777777" w:rsidTr="00352A89">
        <w:trPr>
          <w:cantSplit/>
          <w:trHeight w:val="288"/>
        </w:trPr>
        <w:tc>
          <w:tcPr>
            <w:tcW w:w="536" w:type="pct"/>
            <w:tcBorders>
              <w:top w:val="nil"/>
              <w:left w:val="single" w:sz="4" w:space="0" w:color="auto"/>
              <w:bottom w:val="single" w:sz="4" w:space="0" w:color="auto"/>
              <w:right w:val="single" w:sz="4" w:space="0" w:color="auto"/>
            </w:tcBorders>
            <w:shd w:val="clear" w:color="auto" w:fill="auto"/>
            <w:hideMark/>
          </w:tcPr>
          <w:p w14:paraId="6750A511" w14:textId="77777777" w:rsidR="000D79FD" w:rsidRPr="000D79FD" w:rsidRDefault="000D79FD" w:rsidP="00726DC5">
            <w:pPr>
              <w:widowControl/>
              <w:autoSpaceDE/>
              <w:autoSpaceDN/>
              <w:rPr>
                <w:rFonts w:eastAsia="Times New Roman"/>
              </w:rPr>
            </w:pPr>
            <w:r>
              <w:t>Février 2025</w:t>
            </w:r>
          </w:p>
        </w:tc>
        <w:tc>
          <w:tcPr>
            <w:tcW w:w="1129" w:type="pct"/>
            <w:tcBorders>
              <w:top w:val="nil"/>
              <w:left w:val="nil"/>
              <w:bottom w:val="single" w:sz="4" w:space="0" w:color="auto"/>
              <w:right w:val="single" w:sz="4" w:space="0" w:color="auto"/>
            </w:tcBorders>
            <w:shd w:val="clear" w:color="auto" w:fill="auto"/>
            <w:hideMark/>
          </w:tcPr>
          <w:p w14:paraId="1BD97118" w14:textId="77777777" w:rsidR="000D79FD" w:rsidRPr="000D79FD" w:rsidRDefault="000D79FD" w:rsidP="00726DC5">
            <w:pPr>
              <w:widowControl/>
              <w:autoSpaceDE/>
              <w:autoSpaceDN/>
              <w:rPr>
                <w:rFonts w:eastAsia="Times New Roman"/>
              </w:rPr>
            </w:pPr>
            <w:r>
              <w:t>11</w:t>
            </w:r>
            <w:r>
              <w:rPr>
                <w:vertAlign w:val="superscript"/>
              </w:rPr>
              <w:t>e</w:t>
            </w:r>
            <w:r>
              <w:t> réunion du GTRI</w:t>
            </w:r>
          </w:p>
        </w:tc>
        <w:tc>
          <w:tcPr>
            <w:tcW w:w="861" w:type="pct"/>
            <w:tcBorders>
              <w:top w:val="nil"/>
              <w:left w:val="nil"/>
              <w:bottom w:val="single" w:sz="4" w:space="0" w:color="auto"/>
              <w:right w:val="single" w:sz="4" w:space="0" w:color="auto"/>
            </w:tcBorders>
            <w:shd w:val="clear" w:color="auto" w:fill="auto"/>
            <w:hideMark/>
          </w:tcPr>
          <w:p w14:paraId="7FD4591E" w14:textId="77777777" w:rsidR="000D79FD" w:rsidRPr="000D79FD" w:rsidRDefault="000D79FD" w:rsidP="00726DC5">
            <w:pPr>
              <w:widowControl/>
              <w:autoSpaceDE/>
              <w:autoSpaceDN/>
              <w:rPr>
                <w:rFonts w:eastAsia="Times New Roman"/>
              </w:rPr>
            </w:pPr>
            <w:r>
              <w:t>Présidence, coprésidence, Secrétariat de la Convention</w:t>
            </w:r>
          </w:p>
        </w:tc>
        <w:tc>
          <w:tcPr>
            <w:tcW w:w="538" w:type="pct"/>
            <w:tcBorders>
              <w:top w:val="nil"/>
              <w:left w:val="nil"/>
              <w:bottom w:val="single" w:sz="4" w:space="0" w:color="auto"/>
              <w:right w:val="single" w:sz="4" w:space="0" w:color="auto"/>
            </w:tcBorders>
            <w:shd w:val="clear" w:color="auto" w:fill="auto"/>
            <w:hideMark/>
          </w:tcPr>
          <w:p w14:paraId="106BC4F8"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noWrap/>
            <w:hideMark/>
          </w:tcPr>
          <w:p w14:paraId="11701552" w14:textId="73931C8B" w:rsidR="000D79FD" w:rsidRPr="000D79FD" w:rsidRDefault="000D79FD" w:rsidP="00726DC5">
            <w:pPr>
              <w:widowControl/>
              <w:autoSpaceDE/>
              <w:autoSpaceDN/>
              <w:rPr>
                <w:rFonts w:eastAsia="Times New Roman"/>
              </w:rPr>
            </w:pPr>
            <w:r>
              <w:t>Discussion sur le projet de résolution actualisé (à confirmer en fonction des résultats de la 64</w:t>
            </w:r>
            <w:r>
              <w:rPr>
                <w:vertAlign w:val="superscript"/>
              </w:rPr>
              <w:t>e</w:t>
            </w:r>
            <w:r>
              <w:t> Réunion du Comité permanent).</w:t>
            </w:r>
          </w:p>
        </w:tc>
      </w:tr>
      <w:tr w:rsidR="0054196C" w:rsidRPr="000D79FD" w14:paraId="319D729D" w14:textId="77777777" w:rsidTr="00352A89">
        <w:trPr>
          <w:cantSplit/>
          <w:trHeight w:val="576"/>
        </w:trPr>
        <w:tc>
          <w:tcPr>
            <w:tcW w:w="536" w:type="pct"/>
            <w:tcBorders>
              <w:top w:val="nil"/>
              <w:left w:val="single" w:sz="4" w:space="0" w:color="auto"/>
              <w:bottom w:val="single" w:sz="4" w:space="0" w:color="auto"/>
              <w:right w:val="single" w:sz="4" w:space="0" w:color="auto"/>
            </w:tcBorders>
            <w:shd w:val="clear" w:color="auto" w:fill="auto"/>
            <w:hideMark/>
          </w:tcPr>
          <w:p w14:paraId="4379D10A" w14:textId="77777777" w:rsidR="000D79FD" w:rsidRPr="000D79FD" w:rsidRDefault="000D79FD" w:rsidP="00726DC5">
            <w:pPr>
              <w:widowControl/>
              <w:autoSpaceDE/>
              <w:autoSpaceDN/>
              <w:rPr>
                <w:rFonts w:eastAsia="Times New Roman"/>
                <w:b/>
                <w:bCs/>
              </w:rPr>
            </w:pPr>
            <w:r>
              <w:rPr>
                <w:b/>
              </w:rPr>
              <w:t>Février 2025</w:t>
            </w:r>
          </w:p>
        </w:tc>
        <w:tc>
          <w:tcPr>
            <w:tcW w:w="1129" w:type="pct"/>
            <w:tcBorders>
              <w:top w:val="nil"/>
              <w:left w:val="nil"/>
              <w:bottom w:val="single" w:sz="4" w:space="0" w:color="auto"/>
              <w:right w:val="single" w:sz="4" w:space="0" w:color="auto"/>
            </w:tcBorders>
            <w:shd w:val="clear" w:color="auto" w:fill="auto"/>
            <w:hideMark/>
          </w:tcPr>
          <w:p w14:paraId="33554D97" w14:textId="376A838E" w:rsidR="000D79FD" w:rsidRPr="000D79FD" w:rsidRDefault="000D79FD" w:rsidP="00726DC5">
            <w:pPr>
              <w:widowControl/>
              <w:autoSpaceDE/>
              <w:autoSpaceDN/>
              <w:rPr>
                <w:rFonts w:eastAsia="Times New Roman"/>
                <w:b/>
                <w:bCs/>
              </w:rPr>
            </w:pPr>
            <w:r>
              <w:rPr>
                <w:b/>
              </w:rPr>
              <w:t xml:space="preserve">Projet de résolution mis à jour </w:t>
            </w:r>
            <w:r>
              <w:rPr>
                <w:b/>
              </w:rPr>
              <w:br/>
              <w:t>(Rev.3)</w:t>
            </w:r>
          </w:p>
        </w:tc>
        <w:tc>
          <w:tcPr>
            <w:tcW w:w="861" w:type="pct"/>
            <w:tcBorders>
              <w:top w:val="nil"/>
              <w:left w:val="nil"/>
              <w:bottom w:val="single" w:sz="4" w:space="0" w:color="auto"/>
              <w:right w:val="single" w:sz="4" w:space="0" w:color="auto"/>
            </w:tcBorders>
            <w:shd w:val="clear" w:color="auto" w:fill="auto"/>
            <w:hideMark/>
          </w:tcPr>
          <w:p w14:paraId="6A8E7557" w14:textId="77777777" w:rsidR="000D79FD" w:rsidRPr="000D79FD" w:rsidRDefault="000D79FD" w:rsidP="00726DC5">
            <w:pPr>
              <w:widowControl/>
              <w:autoSpaceDE/>
              <w:autoSpaceDN/>
              <w:rPr>
                <w:rFonts w:eastAsia="Times New Roman"/>
              </w:rPr>
            </w:pPr>
            <w:r>
              <w:t>À confirmer</w:t>
            </w:r>
          </w:p>
        </w:tc>
        <w:tc>
          <w:tcPr>
            <w:tcW w:w="538" w:type="pct"/>
            <w:tcBorders>
              <w:top w:val="nil"/>
              <w:left w:val="nil"/>
              <w:bottom w:val="single" w:sz="4" w:space="0" w:color="auto"/>
              <w:right w:val="single" w:sz="4" w:space="0" w:color="auto"/>
            </w:tcBorders>
            <w:shd w:val="clear" w:color="auto" w:fill="auto"/>
            <w:hideMark/>
          </w:tcPr>
          <w:p w14:paraId="7638827D"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noWrap/>
            <w:hideMark/>
          </w:tcPr>
          <w:p w14:paraId="70F2E739" w14:textId="302FBF22" w:rsidR="000D79FD" w:rsidRPr="000D79FD" w:rsidRDefault="000D79FD" w:rsidP="00726DC5">
            <w:pPr>
              <w:widowControl/>
              <w:autoSpaceDE/>
              <w:autoSpaceDN/>
              <w:rPr>
                <w:rFonts w:eastAsia="Times New Roman"/>
              </w:rPr>
            </w:pPr>
            <w:r>
              <w:t>Comprend les résultats de la 64</w:t>
            </w:r>
            <w:r>
              <w:rPr>
                <w:vertAlign w:val="superscript"/>
              </w:rPr>
              <w:t>e</w:t>
            </w:r>
            <w:r>
              <w:t> Réunion du Comité permanent.</w:t>
            </w:r>
          </w:p>
        </w:tc>
      </w:tr>
      <w:tr w:rsidR="0054196C" w:rsidRPr="000D79FD" w14:paraId="37B2831E" w14:textId="77777777" w:rsidTr="00352A89">
        <w:trPr>
          <w:cantSplit/>
          <w:trHeight w:val="576"/>
        </w:trPr>
        <w:tc>
          <w:tcPr>
            <w:tcW w:w="536" w:type="pct"/>
            <w:tcBorders>
              <w:top w:val="nil"/>
              <w:left w:val="single" w:sz="4" w:space="0" w:color="auto"/>
              <w:bottom w:val="single" w:sz="4" w:space="0" w:color="auto"/>
              <w:right w:val="single" w:sz="4" w:space="0" w:color="auto"/>
            </w:tcBorders>
            <w:shd w:val="clear" w:color="auto" w:fill="auto"/>
            <w:hideMark/>
          </w:tcPr>
          <w:p w14:paraId="0042C316" w14:textId="77777777" w:rsidR="000D79FD" w:rsidRPr="000D79FD" w:rsidRDefault="000D79FD" w:rsidP="00726DC5">
            <w:pPr>
              <w:widowControl/>
              <w:autoSpaceDE/>
              <w:autoSpaceDN/>
              <w:rPr>
                <w:rFonts w:eastAsia="Times New Roman"/>
              </w:rPr>
            </w:pPr>
            <w:r>
              <w:t>Avril 2025</w:t>
            </w:r>
          </w:p>
        </w:tc>
        <w:tc>
          <w:tcPr>
            <w:tcW w:w="1129" w:type="pct"/>
            <w:tcBorders>
              <w:top w:val="nil"/>
              <w:left w:val="nil"/>
              <w:bottom w:val="single" w:sz="4" w:space="0" w:color="auto"/>
              <w:right w:val="single" w:sz="4" w:space="0" w:color="auto"/>
            </w:tcBorders>
            <w:shd w:val="clear" w:color="auto" w:fill="auto"/>
            <w:hideMark/>
          </w:tcPr>
          <w:p w14:paraId="1C42D280" w14:textId="6A2A8BB1" w:rsidR="000D79FD" w:rsidRPr="000D79FD" w:rsidRDefault="000D79FD" w:rsidP="00726DC5">
            <w:pPr>
              <w:widowControl/>
              <w:autoSpaceDE/>
              <w:autoSpaceDN/>
              <w:rPr>
                <w:rFonts w:eastAsia="Times New Roman"/>
              </w:rPr>
            </w:pPr>
            <w:r>
              <w:t>Échange d</w:t>
            </w:r>
            <w:r w:rsidR="00776267">
              <w:t>’</w:t>
            </w:r>
            <w:r>
              <w:t xml:space="preserve">informations sur le projet de résolution </w:t>
            </w:r>
          </w:p>
        </w:tc>
        <w:tc>
          <w:tcPr>
            <w:tcW w:w="861" w:type="pct"/>
            <w:tcBorders>
              <w:top w:val="nil"/>
              <w:left w:val="nil"/>
              <w:bottom w:val="single" w:sz="4" w:space="0" w:color="auto"/>
              <w:right w:val="single" w:sz="4" w:space="0" w:color="auto"/>
            </w:tcBorders>
            <w:shd w:val="clear" w:color="auto" w:fill="auto"/>
            <w:hideMark/>
          </w:tcPr>
          <w:p w14:paraId="4A92321F" w14:textId="77777777" w:rsidR="000D79FD" w:rsidRPr="000D79FD" w:rsidRDefault="000D79FD" w:rsidP="00726DC5">
            <w:pPr>
              <w:widowControl/>
              <w:autoSpaceDE/>
              <w:autoSpaceDN/>
              <w:rPr>
                <w:rFonts w:eastAsia="Times New Roman"/>
              </w:rPr>
            </w:pPr>
            <w:r>
              <w:t>À confirmer</w:t>
            </w:r>
          </w:p>
        </w:tc>
        <w:tc>
          <w:tcPr>
            <w:tcW w:w="538" w:type="pct"/>
            <w:tcBorders>
              <w:top w:val="nil"/>
              <w:left w:val="nil"/>
              <w:bottom w:val="single" w:sz="4" w:space="0" w:color="auto"/>
              <w:right w:val="single" w:sz="4" w:space="0" w:color="auto"/>
            </w:tcBorders>
            <w:shd w:val="clear" w:color="auto" w:fill="auto"/>
            <w:hideMark/>
          </w:tcPr>
          <w:p w14:paraId="6599AB46"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noWrap/>
            <w:hideMark/>
          </w:tcPr>
          <w:p w14:paraId="534C785E" w14:textId="6F84028E" w:rsidR="000D79FD" w:rsidRPr="000D79FD" w:rsidRDefault="000D79FD" w:rsidP="00726DC5">
            <w:pPr>
              <w:widowControl/>
              <w:autoSpaceDE/>
              <w:autoSpaceDN/>
              <w:rPr>
                <w:rFonts w:eastAsia="Times New Roman"/>
              </w:rPr>
            </w:pPr>
            <w:r>
              <w:t>Réalisé dans le cadre des réunions régionales de la COP.</w:t>
            </w:r>
          </w:p>
        </w:tc>
      </w:tr>
      <w:tr w:rsidR="0054196C" w:rsidRPr="000D79FD" w14:paraId="2CEC2CEB" w14:textId="77777777" w:rsidTr="00352A89">
        <w:trPr>
          <w:cantSplit/>
          <w:trHeight w:val="288"/>
        </w:trPr>
        <w:tc>
          <w:tcPr>
            <w:tcW w:w="536" w:type="pct"/>
            <w:tcBorders>
              <w:top w:val="nil"/>
              <w:left w:val="single" w:sz="4" w:space="0" w:color="auto"/>
              <w:bottom w:val="single" w:sz="4" w:space="0" w:color="auto"/>
              <w:right w:val="single" w:sz="4" w:space="0" w:color="auto"/>
            </w:tcBorders>
            <w:shd w:val="clear" w:color="auto" w:fill="auto"/>
            <w:hideMark/>
          </w:tcPr>
          <w:p w14:paraId="565CEEFD" w14:textId="77777777" w:rsidR="000D79FD" w:rsidRPr="000D79FD" w:rsidRDefault="000D79FD" w:rsidP="00726DC5">
            <w:pPr>
              <w:widowControl/>
              <w:autoSpaceDE/>
              <w:autoSpaceDN/>
              <w:rPr>
                <w:rFonts w:eastAsia="Times New Roman"/>
              </w:rPr>
            </w:pPr>
            <w:r>
              <w:t>23-31 juillet 2025</w:t>
            </w:r>
          </w:p>
        </w:tc>
        <w:tc>
          <w:tcPr>
            <w:tcW w:w="1129" w:type="pct"/>
            <w:tcBorders>
              <w:top w:val="nil"/>
              <w:left w:val="nil"/>
              <w:bottom w:val="single" w:sz="4" w:space="0" w:color="auto"/>
              <w:right w:val="single" w:sz="4" w:space="0" w:color="auto"/>
            </w:tcBorders>
            <w:shd w:val="clear" w:color="auto" w:fill="auto"/>
            <w:hideMark/>
          </w:tcPr>
          <w:p w14:paraId="464938A0" w14:textId="77777777" w:rsidR="000D79FD" w:rsidRPr="000D79FD" w:rsidRDefault="000D79FD" w:rsidP="00726DC5">
            <w:pPr>
              <w:widowControl/>
              <w:autoSpaceDE/>
              <w:autoSpaceDN/>
              <w:rPr>
                <w:rFonts w:eastAsia="Times New Roman"/>
              </w:rPr>
            </w:pPr>
            <w:r>
              <w:t>COP15</w:t>
            </w:r>
          </w:p>
        </w:tc>
        <w:tc>
          <w:tcPr>
            <w:tcW w:w="861" w:type="pct"/>
            <w:tcBorders>
              <w:top w:val="nil"/>
              <w:left w:val="nil"/>
              <w:bottom w:val="single" w:sz="4" w:space="0" w:color="auto"/>
              <w:right w:val="single" w:sz="4" w:space="0" w:color="auto"/>
            </w:tcBorders>
            <w:shd w:val="clear" w:color="auto" w:fill="auto"/>
            <w:hideMark/>
          </w:tcPr>
          <w:p w14:paraId="020E2E5E" w14:textId="77777777" w:rsidR="000D79FD" w:rsidRPr="000D79FD" w:rsidRDefault="000D79FD" w:rsidP="00726DC5">
            <w:pPr>
              <w:widowControl/>
              <w:autoSpaceDE/>
              <w:autoSpaceDN/>
              <w:rPr>
                <w:rFonts w:eastAsia="Times New Roman"/>
              </w:rPr>
            </w:pPr>
            <w:r>
              <w:t> </w:t>
            </w:r>
          </w:p>
        </w:tc>
        <w:tc>
          <w:tcPr>
            <w:tcW w:w="538" w:type="pct"/>
            <w:tcBorders>
              <w:top w:val="nil"/>
              <w:left w:val="nil"/>
              <w:bottom w:val="single" w:sz="4" w:space="0" w:color="auto"/>
              <w:right w:val="single" w:sz="4" w:space="0" w:color="auto"/>
            </w:tcBorders>
            <w:shd w:val="clear" w:color="auto" w:fill="auto"/>
            <w:hideMark/>
          </w:tcPr>
          <w:p w14:paraId="75157043" w14:textId="77777777" w:rsidR="000D79FD" w:rsidRPr="000D79FD" w:rsidRDefault="000D79FD" w:rsidP="00726DC5">
            <w:pPr>
              <w:widowControl/>
              <w:autoSpaceDE/>
              <w:autoSpaceDN/>
              <w:rPr>
                <w:rFonts w:eastAsia="Times New Roman"/>
              </w:rPr>
            </w:pPr>
            <w:r>
              <w:t>0,00 CHF</w:t>
            </w:r>
          </w:p>
        </w:tc>
        <w:tc>
          <w:tcPr>
            <w:tcW w:w="1936" w:type="pct"/>
            <w:tcBorders>
              <w:top w:val="nil"/>
              <w:left w:val="nil"/>
              <w:bottom w:val="single" w:sz="4" w:space="0" w:color="auto"/>
              <w:right w:val="single" w:sz="4" w:space="0" w:color="auto"/>
            </w:tcBorders>
            <w:shd w:val="clear" w:color="auto" w:fill="auto"/>
            <w:noWrap/>
            <w:hideMark/>
          </w:tcPr>
          <w:p w14:paraId="5280A94F" w14:textId="0EEC7845" w:rsidR="000D79FD" w:rsidRPr="000D79FD" w:rsidRDefault="000D79FD" w:rsidP="00726DC5">
            <w:pPr>
              <w:widowControl/>
              <w:autoSpaceDE/>
              <w:autoSpaceDN/>
              <w:rPr>
                <w:rFonts w:eastAsia="Times New Roman"/>
              </w:rPr>
            </w:pPr>
            <w:r>
              <w:t>Négociation et adoption de la résolution.</w:t>
            </w:r>
          </w:p>
        </w:tc>
      </w:tr>
      <w:bookmarkEnd w:id="0"/>
    </w:tbl>
    <w:p w14:paraId="7B83F874" w14:textId="77777777" w:rsidR="00AE2704" w:rsidRDefault="00AE2704" w:rsidP="00B953B8">
      <w:pPr>
        <w:ind w:left="100"/>
        <w:rPr>
          <w:b/>
        </w:rPr>
      </w:pPr>
    </w:p>
    <w:sectPr w:rsidR="00AE2704" w:rsidSect="00B953B8">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8C559" w14:textId="77777777" w:rsidR="00832CAC" w:rsidRDefault="00832CAC" w:rsidP="003469A4">
      <w:r>
        <w:separator/>
      </w:r>
    </w:p>
  </w:endnote>
  <w:endnote w:type="continuationSeparator" w:id="0">
    <w:p w14:paraId="157E2960" w14:textId="77777777" w:rsidR="00832CAC" w:rsidRDefault="00832CAC" w:rsidP="0034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097D" w14:textId="77777777" w:rsidR="00DF45BC" w:rsidRDefault="00DF4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8743" w14:textId="77777777" w:rsidR="004059BA" w:rsidRDefault="004059BA" w:rsidP="00B953B8">
    <w:pPr>
      <w:pStyle w:val="Header"/>
      <w:rPr>
        <w:noProof/>
      </w:rPr>
    </w:pPr>
    <w:r>
      <w:rPr>
        <w:sz w:val="20"/>
      </w:rPr>
      <w:t>SC63 Doc.12</w:t>
    </w:r>
    <w:r>
      <w:ptab w:relativeTo="margin" w:alignment="right" w:leader="none"/>
    </w:r>
    <w:sdt>
      <w:sdtPr>
        <w:id w:val="-1790969534"/>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Pr>
            <w:sz w:val="20"/>
          </w:rPr>
          <w:t>2</w:t>
        </w:r>
        <w:r w:rsidRPr="00F344DE">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C87E" w14:textId="77777777" w:rsidR="00DF45BC" w:rsidRDefault="00DF4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A4BC8" w14:textId="77777777" w:rsidR="00832CAC" w:rsidRDefault="00832CAC" w:rsidP="003469A4">
      <w:r>
        <w:separator/>
      </w:r>
    </w:p>
  </w:footnote>
  <w:footnote w:type="continuationSeparator" w:id="0">
    <w:p w14:paraId="4AD44914" w14:textId="77777777" w:rsidR="00832CAC" w:rsidRDefault="00832CAC" w:rsidP="003469A4">
      <w:r>
        <w:continuationSeparator/>
      </w:r>
    </w:p>
  </w:footnote>
  <w:footnote w:id="1">
    <w:p w14:paraId="314DFA9D" w14:textId="3148DAB1" w:rsidR="004059BA" w:rsidRPr="00692EE4" w:rsidRDefault="004059BA">
      <w:pPr>
        <w:pStyle w:val="FootnoteText"/>
        <w:rPr>
          <w:color w:val="0000FF" w:themeColor="hyperlink"/>
          <w:u w:val="single"/>
        </w:rPr>
      </w:pPr>
      <w:r>
        <w:rPr>
          <w:rStyle w:val="FootnoteReference"/>
        </w:rPr>
        <w:footnoteRef/>
      </w:r>
      <w:r>
        <w:t xml:space="preserve"> Voir le document SC62 Doc.11 à l’adresse </w:t>
      </w:r>
      <w:hyperlink r:id="rId1" w:history="1">
        <w:r>
          <w:rPr>
            <w:rStyle w:val="Hyperlink"/>
          </w:rPr>
          <w:t>https://www.ramsar.org/sites/default/files/2023-08/SC62_11_institutional_strengthening_f.pdf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97D17" w14:textId="77777777" w:rsidR="00DF45BC" w:rsidRDefault="00DF4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79898" w14:textId="77777777" w:rsidR="00DF45BC" w:rsidRDefault="00DF4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F27CC" w14:textId="77777777" w:rsidR="00DF45BC" w:rsidRDefault="00DF4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24CB7"/>
    <w:multiLevelType w:val="hybridMultilevel"/>
    <w:tmpl w:val="A9408076"/>
    <w:lvl w:ilvl="0" w:tplc="C5A00922">
      <w:start w:val="1"/>
      <w:numFmt w:val="lowerRoman"/>
      <w:lvlText w:val="%1."/>
      <w:lvlJc w:val="left"/>
      <w:pPr>
        <w:ind w:left="820" w:hanging="360"/>
      </w:pPr>
      <w:rPr>
        <w:rFonts w:ascii="Calibri" w:eastAsia="Calibri" w:hAnsi="Calibri" w:cs="Calibri" w:hint="default"/>
        <w:b w:val="0"/>
        <w:bCs w:val="0"/>
        <w:i w:val="0"/>
        <w:iCs w:val="0"/>
        <w:spacing w:val="-1"/>
        <w:w w:val="100"/>
        <w:sz w:val="22"/>
        <w:szCs w:val="22"/>
        <w:lang w:val="en-GB" w:eastAsia="en-US" w:bidi="ar-SA"/>
      </w:rPr>
    </w:lvl>
    <w:lvl w:ilvl="1" w:tplc="3654B71A">
      <w:start w:val="1"/>
      <w:numFmt w:val="decimal"/>
      <w:lvlText w:val="%2."/>
      <w:lvlJc w:val="left"/>
      <w:pPr>
        <w:ind w:left="820" w:hanging="360"/>
      </w:pPr>
      <w:rPr>
        <w:rFonts w:hint="default"/>
        <w:spacing w:val="0"/>
        <w:w w:val="100"/>
        <w:lang w:val="en-US" w:eastAsia="en-US" w:bidi="ar-SA"/>
      </w:rPr>
    </w:lvl>
    <w:lvl w:ilvl="2" w:tplc="DC96FFCA">
      <w:start w:val="1"/>
      <w:numFmt w:val="lowerLetter"/>
      <w:lvlText w:val="%3."/>
      <w:lvlJc w:val="left"/>
      <w:pPr>
        <w:ind w:left="1540" w:hanging="360"/>
      </w:pPr>
      <w:rPr>
        <w:rFonts w:ascii="Calibri" w:eastAsia="Calibri" w:hAnsi="Calibri" w:cs="Calibri" w:hint="default"/>
        <w:b w:val="0"/>
        <w:bCs w:val="0"/>
        <w:i w:val="0"/>
        <w:iCs w:val="0"/>
        <w:spacing w:val="-1"/>
        <w:w w:val="100"/>
        <w:sz w:val="22"/>
        <w:szCs w:val="22"/>
        <w:lang w:val="en-US" w:eastAsia="en-US" w:bidi="ar-SA"/>
      </w:rPr>
    </w:lvl>
    <w:lvl w:ilvl="3" w:tplc="7B2E1B8A">
      <w:start w:val="1"/>
      <w:numFmt w:val="lowerRoman"/>
      <w:lvlText w:val="%4."/>
      <w:lvlJc w:val="left"/>
      <w:pPr>
        <w:ind w:left="2260" w:hanging="286"/>
        <w:jc w:val="right"/>
      </w:pPr>
      <w:rPr>
        <w:rFonts w:ascii="Calibri" w:eastAsia="Calibri" w:hAnsi="Calibri" w:cs="Calibri" w:hint="default"/>
        <w:b w:val="0"/>
        <w:bCs w:val="0"/>
        <w:i w:val="0"/>
        <w:iCs w:val="0"/>
        <w:spacing w:val="-1"/>
        <w:w w:val="99"/>
        <w:sz w:val="22"/>
        <w:szCs w:val="22"/>
        <w:lang w:val="en-US" w:eastAsia="en-US" w:bidi="ar-SA"/>
      </w:rPr>
    </w:lvl>
    <w:lvl w:ilvl="4" w:tplc="F3B02BBE">
      <w:numFmt w:val="bullet"/>
      <w:lvlText w:val="•"/>
      <w:lvlJc w:val="left"/>
      <w:pPr>
        <w:ind w:left="4110" w:hanging="286"/>
      </w:pPr>
      <w:rPr>
        <w:rFonts w:hint="default"/>
        <w:lang w:val="en-US" w:eastAsia="en-US" w:bidi="ar-SA"/>
      </w:rPr>
    </w:lvl>
    <w:lvl w:ilvl="5" w:tplc="74F0B606">
      <w:numFmt w:val="bullet"/>
      <w:lvlText w:val="•"/>
      <w:lvlJc w:val="left"/>
      <w:pPr>
        <w:ind w:left="5035" w:hanging="286"/>
      </w:pPr>
      <w:rPr>
        <w:rFonts w:hint="default"/>
        <w:lang w:val="en-US" w:eastAsia="en-US" w:bidi="ar-SA"/>
      </w:rPr>
    </w:lvl>
    <w:lvl w:ilvl="6" w:tplc="A2004394">
      <w:numFmt w:val="bullet"/>
      <w:lvlText w:val="•"/>
      <w:lvlJc w:val="left"/>
      <w:pPr>
        <w:ind w:left="5960" w:hanging="286"/>
      </w:pPr>
      <w:rPr>
        <w:rFonts w:hint="default"/>
        <w:lang w:val="en-US" w:eastAsia="en-US" w:bidi="ar-SA"/>
      </w:rPr>
    </w:lvl>
    <w:lvl w:ilvl="7" w:tplc="EC0AC22A">
      <w:numFmt w:val="bullet"/>
      <w:lvlText w:val="•"/>
      <w:lvlJc w:val="left"/>
      <w:pPr>
        <w:ind w:left="6885" w:hanging="286"/>
      </w:pPr>
      <w:rPr>
        <w:rFonts w:hint="default"/>
        <w:lang w:val="en-US" w:eastAsia="en-US" w:bidi="ar-SA"/>
      </w:rPr>
    </w:lvl>
    <w:lvl w:ilvl="8" w:tplc="7918ED0E">
      <w:numFmt w:val="bullet"/>
      <w:lvlText w:val="•"/>
      <w:lvlJc w:val="left"/>
      <w:pPr>
        <w:ind w:left="7810" w:hanging="28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04"/>
    <w:rsid w:val="00010EB5"/>
    <w:rsid w:val="0002501D"/>
    <w:rsid w:val="00026DD3"/>
    <w:rsid w:val="00034139"/>
    <w:rsid w:val="00042F35"/>
    <w:rsid w:val="00045451"/>
    <w:rsid w:val="00060CA6"/>
    <w:rsid w:val="000C436D"/>
    <w:rsid w:val="000C4A5C"/>
    <w:rsid w:val="000D611C"/>
    <w:rsid w:val="000D79FD"/>
    <w:rsid w:val="000F0198"/>
    <w:rsid w:val="00150E21"/>
    <w:rsid w:val="00154743"/>
    <w:rsid w:val="00160281"/>
    <w:rsid w:val="00165259"/>
    <w:rsid w:val="00185153"/>
    <w:rsid w:val="001B5C81"/>
    <w:rsid w:val="001D760C"/>
    <w:rsid w:val="0020378E"/>
    <w:rsid w:val="00213E21"/>
    <w:rsid w:val="00231D94"/>
    <w:rsid w:val="00235282"/>
    <w:rsid w:val="00260AC1"/>
    <w:rsid w:val="002725F9"/>
    <w:rsid w:val="002801A2"/>
    <w:rsid w:val="00293DAB"/>
    <w:rsid w:val="002A028E"/>
    <w:rsid w:val="002D1BE5"/>
    <w:rsid w:val="002D4724"/>
    <w:rsid w:val="00322EF8"/>
    <w:rsid w:val="00327A48"/>
    <w:rsid w:val="00333E79"/>
    <w:rsid w:val="0033581F"/>
    <w:rsid w:val="003469A4"/>
    <w:rsid w:val="00352A89"/>
    <w:rsid w:val="00355305"/>
    <w:rsid w:val="00356AB5"/>
    <w:rsid w:val="0037349B"/>
    <w:rsid w:val="003A4DE6"/>
    <w:rsid w:val="003B15D7"/>
    <w:rsid w:val="003D3D35"/>
    <w:rsid w:val="004028C9"/>
    <w:rsid w:val="004059BA"/>
    <w:rsid w:val="004214B3"/>
    <w:rsid w:val="00426B34"/>
    <w:rsid w:val="00430AC3"/>
    <w:rsid w:val="00432DBF"/>
    <w:rsid w:val="004333AD"/>
    <w:rsid w:val="00437456"/>
    <w:rsid w:val="00440EAD"/>
    <w:rsid w:val="00443DE9"/>
    <w:rsid w:val="00483782"/>
    <w:rsid w:val="00492DE3"/>
    <w:rsid w:val="00493F9F"/>
    <w:rsid w:val="004B57C1"/>
    <w:rsid w:val="004C3FB0"/>
    <w:rsid w:val="004F3506"/>
    <w:rsid w:val="00500668"/>
    <w:rsid w:val="0050540A"/>
    <w:rsid w:val="005163E4"/>
    <w:rsid w:val="00536280"/>
    <w:rsid w:val="00536E55"/>
    <w:rsid w:val="005413B4"/>
    <w:rsid w:val="0054196C"/>
    <w:rsid w:val="00542A5E"/>
    <w:rsid w:val="00544A61"/>
    <w:rsid w:val="00575DB7"/>
    <w:rsid w:val="005A3755"/>
    <w:rsid w:val="005D0E1C"/>
    <w:rsid w:val="005D70AB"/>
    <w:rsid w:val="005F3522"/>
    <w:rsid w:val="006447F6"/>
    <w:rsid w:val="00651FCB"/>
    <w:rsid w:val="00677C89"/>
    <w:rsid w:val="006864C9"/>
    <w:rsid w:val="00692EE4"/>
    <w:rsid w:val="006A6AAC"/>
    <w:rsid w:val="006C5A60"/>
    <w:rsid w:val="006F14EA"/>
    <w:rsid w:val="006F25F6"/>
    <w:rsid w:val="006F6114"/>
    <w:rsid w:val="00726DC5"/>
    <w:rsid w:val="00766D27"/>
    <w:rsid w:val="00774514"/>
    <w:rsid w:val="00776267"/>
    <w:rsid w:val="00790D01"/>
    <w:rsid w:val="007A7D5B"/>
    <w:rsid w:val="007B186F"/>
    <w:rsid w:val="007E685E"/>
    <w:rsid w:val="008079C8"/>
    <w:rsid w:val="008145C0"/>
    <w:rsid w:val="00832CAC"/>
    <w:rsid w:val="00840472"/>
    <w:rsid w:val="008408E7"/>
    <w:rsid w:val="00843144"/>
    <w:rsid w:val="008466DA"/>
    <w:rsid w:val="008510C3"/>
    <w:rsid w:val="00861E15"/>
    <w:rsid w:val="008A2F3D"/>
    <w:rsid w:val="008D1DE8"/>
    <w:rsid w:val="009020E0"/>
    <w:rsid w:val="0090349E"/>
    <w:rsid w:val="009220F3"/>
    <w:rsid w:val="0098718D"/>
    <w:rsid w:val="009925D0"/>
    <w:rsid w:val="00994318"/>
    <w:rsid w:val="009957F9"/>
    <w:rsid w:val="009B3114"/>
    <w:rsid w:val="009B5EC6"/>
    <w:rsid w:val="009F5BD9"/>
    <w:rsid w:val="00A117FC"/>
    <w:rsid w:val="00A31FD8"/>
    <w:rsid w:val="00A53108"/>
    <w:rsid w:val="00A749C6"/>
    <w:rsid w:val="00A90DA3"/>
    <w:rsid w:val="00AB5F18"/>
    <w:rsid w:val="00AE2704"/>
    <w:rsid w:val="00AE521B"/>
    <w:rsid w:val="00AF18A3"/>
    <w:rsid w:val="00B207F6"/>
    <w:rsid w:val="00B73F9E"/>
    <w:rsid w:val="00B75873"/>
    <w:rsid w:val="00B9123F"/>
    <w:rsid w:val="00B953B8"/>
    <w:rsid w:val="00BD5E1E"/>
    <w:rsid w:val="00C15394"/>
    <w:rsid w:val="00C506FF"/>
    <w:rsid w:val="00C5184C"/>
    <w:rsid w:val="00C6361A"/>
    <w:rsid w:val="00CB60FF"/>
    <w:rsid w:val="00CC1650"/>
    <w:rsid w:val="00CD1CCC"/>
    <w:rsid w:val="00CE4B47"/>
    <w:rsid w:val="00CF38FC"/>
    <w:rsid w:val="00D10A4C"/>
    <w:rsid w:val="00D347A8"/>
    <w:rsid w:val="00D43CCB"/>
    <w:rsid w:val="00D75E0D"/>
    <w:rsid w:val="00D943DB"/>
    <w:rsid w:val="00D96D92"/>
    <w:rsid w:val="00DC1B27"/>
    <w:rsid w:val="00DF45BC"/>
    <w:rsid w:val="00DF4DAF"/>
    <w:rsid w:val="00E32CAC"/>
    <w:rsid w:val="00E32CAD"/>
    <w:rsid w:val="00E33DA9"/>
    <w:rsid w:val="00E54522"/>
    <w:rsid w:val="00E55359"/>
    <w:rsid w:val="00E56627"/>
    <w:rsid w:val="00E569D4"/>
    <w:rsid w:val="00E849AC"/>
    <w:rsid w:val="00E84F7F"/>
    <w:rsid w:val="00ED1A7C"/>
    <w:rsid w:val="00ED7871"/>
    <w:rsid w:val="00EF71B4"/>
    <w:rsid w:val="00EF725E"/>
    <w:rsid w:val="00F2063A"/>
    <w:rsid w:val="00F36387"/>
    <w:rsid w:val="00F44C99"/>
    <w:rsid w:val="00F65D71"/>
    <w:rsid w:val="00F77561"/>
    <w:rsid w:val="00F82B4B"/>
    <w:rsid w:val="00FE1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B77E53"/>
  <w15:docId w15:val="{63F63C2B-10D8-4939-A783-BCBE31F0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820" w:hanging="360"/>
      <w:jc w:val="both"/>
    </w:pPr>
  </w:style>
  <w:style w:type="paragraph" w:styleId="ListParagraph">
    <w:name w:val="List Paragraph"/>
    <w:basedOn w:val="Normal"/>
    <w:uiPriority w:val="1"/>
    <w:qFormat/>
    <w:pPr>
      <w:spacing w:before="159"/>
      <w:ind w:left="820" w:hanging="360"/>
      <w:jc w:val="both"/>
    </w:pPr>
  </w:style>
  <w:style w:type="paragraph" w:customStyle="1" w:styleId="TableParagraph">
    <w:name w:val="Table Paragraph"/>
    <w:basedOn w:val="Normal"/>
    <w:uiPriority w:val="1"/>
    <w:qFormat/>
    <w:pPr>
      <w:ind w:left="14"/>
    </w:pPr>
  </w:style>
  <w:style w:type="paragraph" w:styleId="Revision">
    <w:name w:val="Revision"/>
    <w:hidden/>
    <w:uiPriority w:val="99"/>
    <w:semiHidden/>
    <w:rsid w:val="008466D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E33DA9"/>
    <w:rPr>
      <w:sz w:val="16"/>
      <w:szCs w:val="16"/>
    </w:rPr>
  </w:style>
  <w:style w:type="paragraph" w:styleId="CommentText">
    <w:name w:val="annotation text"/>
    <w:basedOn w:val="Normal"/>
    <w:link w:val="CommentTextChar"/>
    <w:uiPriority w:val="99"/>
    <w:unhideWhenUsed/>
    <w:rsid w:val="00E33DA9"/>
    <w:rPr>
      <w:sz w:val="20"/>
      <w:szCs w:val="20"/>
    </w:rPr>
  </w:style>
  <w:style w:type="character" w:customStyle="1" w:styleId="CommentTextChar">
    <w:name w:val="Comment Text Char"/>
    <w:basedOn w:val="DefaultParagraphFont"/>
    <w:link w:val="CommentText"/>
    <w:uiPriority w:val="99"/>
    <w:rsid w:val="00E33DA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3DA9"/>
    <w:rPr>
      <w:b/>
      <w:bCs/>
    </w:rPr>
  </w:style>
  <w:style w:type="character" w:customStyle="1" w:styleId="CommentSubjectChar">
    <w:name w:val="Comment Subject Char"/>
    <w:basedOn w:val="CommentTextChar"/>
    <w:link w:val="CommentSubject"/>
    <w:uiPriority w:val="99"/>
    <w:semiHidden/>
    <w:rsid w:val="00E33DA9"/>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33DA9"/>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E33DA9"/>
    <w:rPr>
      <w:rFonts w:ascii="MS Shell Dlg" w:eastAsia="Calibri" w:hAnsi="MS Shell Dlg" w:cs="MS Shell Dlg"/>
      <w:sz w:val="18"/>
      <w:szCs w:val="18"/>
    </w:rPr>
  </w:style>
  <w:style w:type="paragraph" w:styleId="Header">
    <w:name w:val="header"/>
    <w:basedOn w:val="Normal"/>
    <w:link w:val="HeaderChar"/>
    <w:uiPriority w:val="99"/>
    <w:unhideWhenUsed/>
    <w:rsid w:val="003469A4"/>
    <w:pPr>
      <w:tabs>
        <w:tab w:val="center" w:pos="4513"/>
        <w:tab w:val="right" w:pos="9026"/>
      </w:tabs>
    </w:pPr>
  </w:style>
  <w:style w:type="character" w:customStyle="1" w:styleId="HeaderChar">
    <w:name w:val="Header Char"/>
    <w:basedOn w:val="DefaultParagraphFont"/>
    <w:link w:val="Header"/>
    <w:uiPriority w:val="99"/>
    <w:rsid w:val="003469A4"/>
    <w:rPr>
      <w:rFonts w:ascii="Calibri" w:eastAsia="Calibri" w:hAnsi="Calibri" w:cs="Calibri"/>
    </w:rPr>
  </w:style>
  <w:style w:type="paragraph" w:styleId="Footer">
    <w:name w:val="footer"/>
    <w:basedOn w:val="Normal"/>
    <w:link w:val="FooterChar"/>
    <w:uiPriority w:val="99"/>
    <w:unhideWhenUsed/>
    <w:rsid w:val="003469A4"/>
    <w:pPr>
      <w:tabs>
        <w:tab w:val="center" w:pos="4513"/>
        <w:tab w:val="right" w:pos="9026"/>
      </w:tabs>
    </w:pPr>
  </w:style>
  <w:style w:type="character" w:customStyle="1" w:styleId="FooterChar">
    <w:name w:val="Footer Char"/>
    <w:basedOn w:val="DefaultParagraphFont"/>
    <w:link w:val="Footer"/>
    <w:uiPriority w:val="99"/>
    <w:rsid w:val="003469A4"/>
    <w:rPr>
      <w:rFonts w:ascii="Calibri" w:eastAsia="Calibri" w:hAnsi="Calibri" w:cs="Calibri"/>
    </w:rPr>
  </w:style>
  <w:style w:type="paragraph" w:customStyle="1" w:styleId="ColorfulList-Accent11">
    <w:name w:val="Colorful List - Accent 11"/>
    <w:basedOn w:val="Normal"/>
    <w:uiPriority w:val="34"/>
    <w:qFormat/>
    <w:rsid w:val="00726DC5"/>
    <w:pPr>
      <w:widowControl/>
      <w:autoSpaceDE/>
      <w:autoSpaceDN/>
      <w:ind w:left="720" w:hanging="425"/>
      <w:contextualSpacing/>
    </w:pPr>
    <w:rPr>
      <w:rFonts w:cs="Times New Roman"/>
    </w:rPr>
  </w:style>
  <w:style w:type="paragraph" w:styleId="FootnoteText">
    <w:name w:val="footnote text"/>
    <w:basedOn w:val="Normal"/>
    <w:link w:val="FootnoteTextChar"/>
    <w:uiPriority w:val="99"/>
    <w:semiHidden/>
    <w:unhideWhenUsed/>
    <w:rsid w:val="00D10A4C"/>
    <w:rPr>
      <w:sz w:val="20"/>
      <w:szCs w:val="20"/>
    </w:rPr>
  </w:style>
  <w:style w:type="character" w:customStyle="1" w:styleId="FootnoteTextChar">
    <w:name w:val="Footnote Text Char"/>
    <w:basedOn w:val="DefaultParagraphFont"/>
    <w:link w:val="FootnoteText"/>
    <w:uiPriority w:val="99"/>
    <w:semiHidden/>
    <w:rsid w:val="00D10A4C"/>
    <w:rPr>
      <w:rFonts w:ascii="Calibri" w:eastAsia="Calibri" w:hAnsi="Calibri" w:cs="Calibri"/>
      <w:sz w:val="20"/>
      <w:szCs w:val="20"/>
    </w:rPr>
  </w:style>
  <w:style w:type="character" w:styleId="FootnoteReference">
    <w:name w:val="footnote reference"/>
    <w:basedOn w:val="DefaultParagraphFont"/>
    <w:uiPriority w:val="99"/>
    <w:semiHidden/>
    <w:unhideWhenUsed/>
    <w:rsid w:val="00D10A4C"/>
    <w:rPr>
      <w:vertAlign w:val="superscript"/>
    </w:rPr>
  </w:style>
  <w:style w:type="character" w:styleId="Hyperlink">
    <w:name w:val="Hyperlink"/>
    <w:basedOn w:val="DefaultParagraphFont"/>
    <w:uiPriority w:val="99"/>
    <w:unhideWhenUsed/>
    <w:rsid w:val="00D10A4C"/>
    <w:rPr>
      <w:color w:val="0000FF" w:themeColor="hyperlink"/>
      <w:u w:val="single"/>
    </w:rPr>
  </w:style>
  <w:style w:type="character" w:styleId="UnresolvedMention">
    <w:name w:val="Unresolved Mention"/>
    <w:basedOn w:val="DefaultParagraphFont"/>
    <w:uiPriority w:val="99"/>
    <w:semiHidden/>
    <w:unhideWhenUsed/>
    <w:rsid w:val="00D10A4C"/>
    <w:rPr>
      <w:color w:val="605E5C"/>
      <w:shd w:val="clear" w:color="auto" w:fill="E1DFDD"/>
    </w:rPr>
  </w:style>
  <w:style w:type="character" w:styleId="FollowedHyperlink">
    <w:name w:val="FollowedHyperlink"/>
    <w:basedOn w:val="DefaultParagraphFont"/>
    <w:uiPriority w:val="99"/>
    <w:semiHidden/>
    <w:unhideWhenUsed/>
    <w:rsid w:val="00575D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49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fr/document/governance-synthesis-report-institutional-strengthen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2023-08/SC62_11_institutional_strengthening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A56F9-A3F8-46EB-90B9-AA89C3E79B4E}">
  <ds:schemaRefs>
    <ds:schemaRef ds:uri="http://schemas.microsoft.com/sharepoint/v3/contenttype/forms"/>
  </ds:schemaRefs>
</ds:datastoreItem>
</file>

<file path=customXml/itemProps2.xml><?xml version="1.0" encoding="utf-8"?>
<ds:datastoreItem xmlns:ds="http://schemas.openxmlformats.org/officeDocument/2006/customXml" ds:itemID="{3B42CF5C-8496-4E8F-9BEE-C21FF11E4B40}">
  <ds:schemaRefs>
    <ds:schemaRef ds:uri="8c0b6b05-eb82-4bda-97e8-cd82d0d6b453"/>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aedd258d-19a7-41ba-8260-b0918f25313d"/>
  </ds:schemaRefs>
</ds:datastoreItem>
</file>

<file path=customXml/itemProps3.xml><?xml version="1.0" encoding="utf-8"?>
<ds:datastoreItem xmlns:ds="http://schemas.openxmlformats.org/officeDocument/2006/customXml" ds:itemID="{0632CF03-C65E-4256-9BCB-146B6B66F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CE392-A5F2-41A7-A2B5-437D1DEE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JENNINGS Edmund</cp:lastModifiedBy>
  <cp:revision>3</cp:revision>
  <dcterms:created xsi:type="dcterms:W3CDTF">2024-03-28T17:50:00Z</dcterms:created>
  <dcterms:modified xsi:type="dcterms:W3CDTF">2024-03-28T18:02:00Z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for Microsoft 365</vt:lpwstr>
  </property>
  <property fmtid="{D5CDD505-2E9C-101B-9397-08002B2CF9AE}" pid="4" name="LastSaved">
    <vt:filetime>2024-03-19T00:00:00Z</vt:filetime>
  </property>
  <property fmtid="{D5CDD505-2E9C-101B-9397-08002B2CF9AE}" pid="5" name="Producer">
    <vt:lpwstr>Microsoft® Word for Microsoft 365</vt:lpwstr>
  </property>
  <property fmtid="{D5CDD505-2E9C-101B-9397-08002B2CF9AE}" pid="6" name="ContentTypeId">
    <vt:lpwstr>0x01010020C2866174F1EB4584C940634C144C32</vt:lpwstr>
  </property>
</Properties>
</file>