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68CD" w14:textId="1D9D88C3" w:rsidR="00275F13" w:rsidRPr="00196369" w:rsidRDefault="00D40D72" w:rsidP="00014168">
      <w:pPr>
        <w:pBdr>
          <w:top w:val="single" w:sz="12" w:space="0" w:color="auto" w:shadow="1"/>
          <w:left w:val="single" w:sz="12" w:space="4" w:color="auto" w:shadow="1"/>
          <w:bottom w:val="single" w:sz="12" w:space="1" w:color="auto" w:shadow="1"/>
          <w:right w:val="single" w:sz="12" w:space="7" w:color="auto" w:shadow="1"/>
        </w:pBdr>
        <w:ind w:right="2790"/>
        <w:rPr>
          <w:bCs/>
          <w:noProof/>
          <w:lang w:val="es-ES"/>
        </w:rPr>
      </w:pPr>
      <w:r w:rsidRPr="00196369">
        <w:rPr>
          <w:bCs/>
          <w:noProof/>
          <w:lang w:val="es-ES"/>
        </w:rPr>
        <w:t>LA CONVENCIÓN SOBRE LOS HUMEDALES</w:t>
      </w:r>
    </w:p>
    <w:p w14:paraId="5E17725D" w14:textId="298BD9C4" w:rsidR="00DF2386" w:rsidRPr="00196369" w:rsidRDefault="00A9552A" w:rsidP="00014168">
      <w:pPr>
        <w:pBdr>
          <w:top w:val="single" w:sz="12" w:space="0" w:color="auto" w:shadow="1"/>
          <w:left w:val="single" w:sz="12" w:space="4" w:color="auto" w:shadow="1"/>
          <w:bottom w:val="single" w:sz="12" w:space="1" w:color="auto" w:shadow="1"/>
          <w:right w:val="single" w:sz="12" w:space="7" w:color="auto" w:shadow="1"/>
        </w:pBdr>
        <w:ind w:right="2790"/>
        <w:rPr>
          <w:bCs/>
          <w:noProof/>
          <w:lang w:val="es-ES"/>
        </w:rPr>
      </w:pPr>
      <w:r w:rsidRPr="00196369">
        <w:rPr>
          <w:bCs/>
          <w:noProof/>
          <w:lang w:val="es-ES"/>
        </w:rPr>
        <w:t>63</w:t>
      </w:r>
      <w:r w:rsidR="00837974" w:rsidRPr="00196369">
        <w:rPr>
          <w:rFonts w:cs="Arial"/>
          <w:noProof/>
          <w:lang w:val="es-ES"/>
        </w:rPr>
        <w:t>ª</w:t>
      </w:r>
      <w:r w:rsidR="00B83EF9" w:rsidRPr="00196369">
        <w:rPr>
          <w:bCs/>
          <w:noProof/>
          <w:lang w:val="es-ES"/>
        </w:rPr>
        <w:t xml:space="preserve"> </w:t>
      </w:r>
      <w:r w:rsidR="00DF39C3" w:rsidRPr="00196369">
        <w:rPr>
          <w:bCs/>
          <w:noProof/>
          <w:lang w:val="es-ES"/>
        </w:rPr>
        <w:t>reunión del Comité Permanente</w:t>
      </w:r>
    </w:p>
    <w:p w14:paraId="448B3739" w14:textId="0AE3225F" w:rsidR="00DF2386" w:rsidRPr="00196369"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noProof/>
          <w:lang w:val="es-ES"/>
        </w:rPr>
      </w:pPr>
      <w:r w:rsidRPr="00196369">
        <w:rPr>
          <w:bCs/>
          <w:noProof/>
          <w:lang w:val="es-ES"/>
        </w:rPr>
        <w:t xml:space="preserve">Gland, </w:t>
      </w:r>
      <w:r w:rsidR="00DF39C3" w:rsidRPr="00196369">
        <w:rPr>
          <w:bCs/>
          <w:noProof/>
          <w:lang w:val="es-ES"/>
        </w:rPr>
        <w:t>Suiza</w:t>
      </w:r>
      <w:r w:rsidRPr="00196369">
        <w:rPr>
          <w:bCs/>
          <w:noProof/>
          <w:lang w:val="es-ES"/>
        </w:rPr>
        <w:t xml:space="preserve">, </w:t>
      </w:r>
      <w:r w:rsidR="00A9552A" w:rsidRPr="00196369">
        <w:rPr>
          <w:bCs/>
          <w:noProof/>
          <w:lang w:val="es-ES"/>
        </w:rPr>
        <w:t>4</w:t>
      </w:r>
      <w:r w:rsidR="00DF39C3" w:rsidRPr="00196369">
        <w:rPr>
          <w:bCs/>
          <w:noProof/>
          <w:lang w:val="es-ES"/>
        </w:rPr>
        <w:t xml:space="preserve"> a </w:t>
      </w:r>
      <w:r w:rsidR="00A9552A" w:rsidRPr="00196369">
        <w:rPr>
          <w:bCs/>
          <w:noProof/>
          <w:lang w:val="es-ES"/>
        </w:rPr>
        <w:t>7</w:t>
      </w:r>
      <w:r w:rsidR="0007175F" w:rsidRPr="00196369">
        <w:rPr>
          <w:bCs/>
          <w:noProof/>
          <w:lang w:val="es-ES"/>
        </w:rPr>
        <w:t xml:space="preserve"> </w:t>
      </w:r>
      <w:r w:rsidR="00DF39C3" w:rsidRPr="00196369">
        <w:rPr>
          <w:bCs/>
          <w:noProof/>
          <w:lang w:val="es-ES"/>
        </w:rPr>
        <w:t>de junio de</w:t>
      </w:r>
      <w:r w:rsidR="0007175F" w:rsidRPr="00196369">
        <w:rPr>
          <w:bCs/>
          <w:noProof/>
          <w:lang w:val="es-ES"/>
        </w:rPr>
        <w:t xml:space="preserve"> 202</w:t>
      </w:r>
      <w:r w:rsidR="00A9552A" w:rsidRPr="00196369">
        <w:rPr>
          <w:bCs/>
          <w:noProof/>
          <w:lang w:val="es-ES"/>
        </w:rPr>
        <w:t>4</w:t>
      </w:r>
    </w:p>
    <w:p w14:paraId="2BD24C97" w14:textId="77777777" w:rsidR="00DF2386" w:rsidRPr="00196369" w:rsidRDefault="00DF2386" w:rsidP="00014168">
      <w:pPr>
        <w:outlineLvl w:val="0"/>
        <w:rPr>
          <w:b/>
          <w:noProof/>
          <w:lang w:val="es-ES"/>
        </w:rPr>
      </w:pPr>
    </w:p>
    <w:p w14:paraId="3DD11040" w14:textId="77777777" w:rsidR="00DF2386" w:rsidRPr="00196369" w:rsidRDefault="0014749C" w:rsidP="0014749C">
      <w:pPr>
        <w:jc w:val="right"/>
        <w:rPr>
          <w:b/>
          <w:noProof/>
          <w:sz w:val="28"/>
          <w:lang w:val="es-ES"/>
        </w:rPr>
      </w:pPr>
      <w:r w:rsidRPr="00196369">
        <w:rPr>
          <w:rFonts w:cs="Arial"/>
          <w:b/>
          <w:noProof/>
          <w:sz w:val="28"/>
          <w:szCs w:val="28"/>
          <w:lang w:val="es-ES"/>
        </w:rPr>
        <w:t>SC</w:t>
      </w:r>
      <w:r w:rsidR="00A9552A" w:rsidRPr="00196369">
        <w:rPr>
          <w:rFonts w:cs="Arial"/>
          <w:b/>
          <w:noProof/>
          <w:sz w:val="28"/>
          <w:szCs w:val="28"/>
          <w:lang w:val="es-ES"/>
        </w:rPr>
        <w:t>63</w:t>
      </w:r>
      <w:r w:rsidRPr="00196369">
        <w:rPr>
          <w:rFonts w:cs="Arial"/>
          <w:b/>
          <w:noProof/>
          <w:sz w:val="28"/>
          <w:szCs w:val="28"/>
          <w:lang w:val="es-ES"/>
        </w:rPr>
        <w:t xml:space="preserve"> </w:t>
      </w:r>
      <w:r w:rsidR="00FD76BF" w:rsidRPr="00196369">
        <w:rPr>
          <w:rFonts w:cs="Arial"/>
          <w:b/>
          <w:noProof/>
          <w:sz w:val="28"/>
          <w:szCs w:val="28"/>
          <w:lang w:val="es-ES"/>
        </w:rPr>
        <w:t>Doc</w:t>
      </w:r>
      <w:r w:rsidRPr="00196369">
        <w:rPr>
          <w:rFonts w:cs="Arial"/>
          <w:b/>
          <w:noProof/>
          <w:sz w:val="28"/>
          <w:szCs w:val="28"/>
          <w:lang w:val="es-ES"/>
        </w:rPr>
        <w:t>.</w:t>
      </w:r>
      <w:r w:rsidR="006E610A" w:rsidRPr="00196369">
        <w:rPr>
          <w:rFonts w:cs="Arial"/>
          <w:b/>
          <w:noProof/>
          <w:sz w:val="28"/>
          <w:szCs w:val="28"/>
          <w:lang w:val="es-ES"/>
        </w:rPr>
        <w:t>8</w:t>
      </w:r>
    </w:p>
    <w:p w14:paraId="18694776" w14:textId="77777777" w:rsidR="0014749C" w:rsidRPr="00196369" w:rsidRDefault="0014749C" w:rsidP="00014168">
      <w:pPr>
        <w:jc w:val="center"/>
        <w:rPr>
          <w:rFonts w:cs="Arial"/>
          <w:b/>
          <w:noProof/>
          <w:sz w:val="28"/>
          <w:szCs w:val="28"/>
          <w:lang w:val="es-ES"/>
        </w:rPr>
      </w:pPr>
    </w:p>
    <w:p w14:paraId="40C0CD85" w14:textId="26E6B050" w:rsidR="00DF39C3" w:rsidRPr="00196369" w:rsidRDefault="00DF39C3" w:rsidP="00A9552A">
      <w:pPr>
        <w:jc w:val="center"/>
        <w:rPr>
          <w:rFonts w:cs="Arial"/>
          <w:b/>
          <w:noProof/>
          <w:sz w:val="28"/>
          <w:szCs w:val="28"/>
          <w:lang w:val="es-ES"/>
        </w:rPr>
      </w:pPr>
      <w:r w:rsidRPr="00196369">
        <w:rPr>
          <w:rFonts w:cs="Arial"/>
          <w:b/>
          <w:noProof/>
          <w:sz w:val="28"/>
          <w:szCs w:val="28"/>
          <w:lang w:val="es-ES"/>
        </w:rPr>
        <w:t>Informe de la Secretaría sobre la aplicación de las decisiones</w:t>
      </w:r>
    </w:p>
    <w:p w14:paraId="5610CBA3" w14:textId="3AD67786" w:rsidR="00DF2386" w:rsidRPr="00196369" w:rsidRDefault="00DF39C3" w:rsidP="0053645B">
      <w:pPr>
        <w:ind w:left="0" w:firstLine="0"/>
        <w:jc w:val="center"/>
        <w:rPr>
          <w:rFonts w:cs="Arial"/>
          <w:b/>
          <w:noProof/>
          <w:sz w:val="28"/>
          <w:szCs w:val="28"/>
          <w:lang w:val="es-ES"/>
        </w:rPr>
      </w:pPr>
      <w:r w:rsidRPr="00196369">
        <w:rPr>
          <w:rFonts w:cs="Arial"/>
          <w:b/>
          <w:noProof/>
          <w:sz w:val="28"/>
          <w:szCs w:val="28"/>
          <w:lang w:val="es-ES"/>
        </w:rPr>
        <w:t>del Comité Permanente</w:t>
      </w:r>
    </w:p>
    <w:p w14:paraId="5D611A48" w14:textId="77777777" w:rsidR="00A9552A" w:rsidRPr="00196369" w:rsidRDefault="00A9552A" w:rsidP="00A9552A">
      <w:pPr>
        <w:jc w:val="center"/>
        <w:rPr>
          <w:rFonts w:cs="Arial"/>
          <w:b/>
          <w:noProof/>
          <w:sz w:val="28"/>
          <w:szCs w:val="28"/>
          <w:lang w:val="es-ES"/>
        </w:rPr>
      </w:pPr>
    </w:p>
    <w:p w14:paraId="713A35D6" w14:textId="77777777" w:rsidR="00DF2386" w:rsidRPr="00196369" w:rsidRDefault="00DF2386" w:rsidP="00014168">
      <w:pPr>
        <w:rPr>
          <w:rFonts w:ascii="Garamond" w:hAnsi="Garamond" w:cs="Arial"/>
          <w:noProof/>
          <w:lang w:val="es-ES"/>
        </w:rPr>
      </w:pPr>
    </w:p>
    <w:p w14:paraId="61305258" w14:textId="77777777" w:rsidR="000C2489" w:rsidRPr="00196369" w:rsidRDefault="000C2489" w:rsidP="00014168">
      <w:pPr>
        <w:autoSpaceDE w:val="0"/>
        <w:autoSpaceDN w:val="0"/>
        <w:adjustRightInd w:val="0"/>
        <w:rPr>
          <w:rFonts w:asciiTheme="minorHAnsi" w:eastAsiaTheme="minorHAnsi" w:hAnsiTheme="minorHAnsi" w:cs="Calibri-Bold"/>
          <w:b/>
          <w:bCs/>
          <w:noProof/>
          <w:lang w:val="es-ES"/>
        </w:rPr>
      </w:pPr>
      <w:r w:rsidRPr="00196369">
        <w:rPr>
          <w:noProof/>
          <w:lang w:val="es-ES" w:eastAsia="en-GB"/>
        </w:rPr>
        <mc:AlternateContent>
          <mc:Choice Requires="wps">
            <w:drawing>
              <wp:inline distT="0" distB="0" distL="0" distR="0" wp14:anchorId="62013487" wp14:editId="79949ED6">
                <wp:extent cx="5867400" cy="3200400"/>
                <wp:effectExtent l="0" t="0" r="1270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00400"/>
                        </a:xfrm>
                        <a:prstGeom prst="rect">
                          <a:avLst/>
                        </a:prstGeom>
                        <a:solidFill>
                          <a:srgbClr val="FFFFFF"/>
                        </a:solidFill>
                        <a:ln w="9525">
                          <a:solidFill>
                            <a:srgbClr val="000000"/>
                          </a:solidFill>
                          <a:miter lim="800000"/>
                          <a:headEnd/>
                          <a:tailEnd/>
                        </a:ln>
                      </wps:spPr>
                      <wps:txbx>
                        <w:txbxContent>
                          <w:p w14:paraId="155D4708" w14:textId="360F60F6" w:rsidR="000C2489" w:rsidRPr="00DF39C3" w:rsidRDefault="003862E6" w:rsidP="000C2489">
                            <w:pPr>
                              <w:rPr>
                                <w:b/>
                                <w:bCs/>
                                <w:noProof/>
                                <w:lang w:val="es-ES"/>
                              </w:rPr>
                            </w:pPr>
                            <w:proofErr w:type="spellStart"/>
                            <w:r w:rsidRPr="002119D2">
                              <w:rPr>
                                <w:rFonts w:asciiTheme="minorHAnsi" w:hAnsiTheme="minorHAnsi"/>
                                <w:b/>
                              </w:rPr>
                              <w:t>Ac</w:t>
                            </w:r>
                            <w:bookmarkStart w:id="0" w:name="_GoBack"/>
                            <w:bookmarkEnd w:id="0"/>
                            <w:r w:rsidRPr="002119D2">
                              <w:rPr>
                                <w:rFonts w:asciiTheme="minorHAnsi" w:hAnsiTheme="minorHAnsi"/>
                                <w:b/>
                              </w:rPr>
                              <w:t>ción</w:t>
                            </w:r>
                            <w:proofErr w:type="spellEnd"/>
                            <w:r w:rsidRPr="002119D2">
                              <w:rPr>
                                <w:rFonts w:asciiTheme="minorHAnsi" w:hAnsiTheme="minorHAnsi"/>
                                <w:b/>
                              </w:rPr>
                              <w:t xml:space="preserve"> </w:t>
                            </w:r>
                            <w:proofErr w:type="spellStart"/>
                            <w:r w:rsidRPr="002119D2">
                              <w:rPr>
                                <w:rFonts w:asciiTheme="minorHAnsi" w:hAnsiTheme="minorHAnsi"/>
                                <w:b/>
                              </w:rPr>
                              <w:t>solicitada</w:t>
                            </w:r>
                            <w:proofErr w:type="spellEnd"/>
                            <w:r w:rsidR="000C2489" w:rsidRPr="00DF39C3">
                              <w:rPr>
                                <w:b/>
                                <w:bCs/>
                                <w:noProof/>
                                <w:lang w:val="es-ES"/>
                              </w:rPr>
                              <w:t xml:space="preserve">: </w:t>
                            </w:r>
                          </w:p>
                          <w:p w14:paraId="367AB0B5" w14:textId="77777777" w:rsidR="000C2489" w:rsidRPr="00DF39C3" w:rsidRDefault="000C2489" w:rsidP="000C2489">
                            <w:pPr>
                              <w:pStyle w:val="ColorfulList-Accent11"/>
                              <w:ind w:left="0"/>
                              <w:rPr>
                                <w:noProof/>
                                <w:lang w:val="es-ES"/>
                              </w:rPr>
                            </w:pPr>
                          </w:p>
                          <w:p w14:paraId="1BD9EF71" w14:textId="16DC1CFE" w:rsidR="000C2489" w:rsidRPr="00DF39C3" w:rsidRDefault="00DF39C3" w:rsidP="00275F13">
                            <w:pPr>
                              <w:pStyle w:val="ColorfulList-Accent11"/>
                              <w:ind w:left="0" w:firstLine="0"/>
                              <w:rPr>
                                <w:rFonts w:cs="Calibri"/>
                                <w:noProof/>
                                <w:lang w:val="es-ES"/>
                              </w:rPr>
                            </w:pPr>
                            <w:r>
                              <w:rPr>
                                <w:noProof/>
                                <w:lang w:val="es-ES"/>
                              </w:rPr>
                              <w:t>Se invita al Comité Permanente a hacer lo siguiente</w:t>
                            </w:r>
                            <w:r w:rsidR="000C2489" w:rsidRPr="00DF39C3">
                              <w:rPr>
                                <w:rFonts w:cs="Calibri"/>
                                <w:noProof/>
                                <w:lang w:val="es-ES"/>
                              </w:rPr>
                              <w:t>:</w:t>
                            </w:r>
                          </w:p>
                          <w:p w14:paraId="12C373CE" w14:textId="77777777" w:rsidR="000C2489" w:rsidRPr="00DF39C3" w:rsidRDefault="000C2489" w:rsidP="000C2489">
                            <w:pPr>
                              <w:pStyle w:val="ColorfulList-Accent11"/>
                              <w:ind w:left="0"/>
                              <w:rPr>
                                <w:rFonts w:cs="Calibri"/>
                                <w:noProof/>
                                <w:lang w:val="es-ES"/>
                              </w:rPr>
                            </w:pPr>
                          </w:p>
                          <w:p w14:paraId="6F3E70B0" w14:textId="49DDD48B" w:rsidR="00370C3C" w:rsidRPr="00DF39C3" w:rsidRDefault="00275F13" w:rsidP="00370C3C">
                            <w:pPr>
                              <w:pStyle w:val="ColorfulList-Accent11"/>
                              <w:ind w:left="425"/>
                              <w:rPr>
                                <w:rFonts w:cs="Calibri"/>
                                <w:noProof/>
                                <w:lang w:val="es-ES"/>
                              </w:rPr>
                            </w:pPr>
                            <w:r w:rsidRPr="00DF39C3">
                              <w:rPr>
                                <w:rFonts w:cs="Calibri"/>
                                <w:noProof/>
                                <w:lang w:val="es-ES"/>
                              </w:rPr>
                              <w:t>i.</w:t>
                            </w:r>
                            <w:r w:rsidRPr="00DF39C3">
                              <w:rPr>
                                <w:rFonts w:cs="Calibri"/>
                                <w:noProof/>
                                <w:lang w:val="es-ES"/>
                              </w:rPr>
                              <w:tab/>
                            </w:r>
                            <w:r w:rsidR="00DF39C3">
                              <w:rPr>
                                <w:rFonts w:cs="Calibri"/>
                                <w:noProof/>
                                <w:lang w:val="es-ES"/>
                              </w:rPr>
                              <w:t>T</w:t>
                            </w:r>
                            <w:r w:rsidR="00DF39C3" w:rsidRPr="00DF39C3">
                              <w:rPr>
                                <w:rFonts w:cs="Calibri"/>
                                <w:noProof/>
                                <w:lang w:val="es-ES"/>
                              </w:rPr>
                              <w:t>omar nota del informe preparado por la Secretaría</w:t>
                            </w:r>
                            <w:r w:rsidR="00D375D7" w:rsidRPr="00DF39C3">
                              <w:rPr>
                                <w:rFonts w:cs="Calibri"/>
                                <w:noProof/>
                                <w:lang w:val="es-ES"/>
                              </w:rPr>
                              <w:t>;</w:t>
                            </w:r>
                            <w:r w:rsidR="004D1CCA" w:rsidRPr="00DF39C3">
                              <w:rPr>
                                <w:rFonts w:cs="Calibri"/>
                                <w:noProof/>
                                <w:lang w:val="es-ES"/>
                              </w:rPr>
                              <w:t xml:space="preserve"> </w:t>
                            </w:r>
                          </w:p>
                          <w:p w14:paraId="4975FB62" w14:textId="77777777" w:rsidR="000C2489" w:rsidRPr="00DF39C3" w:rsidRDefault="000C2489" w:rsidP="00FD76BF">
                            <w:pPr>
                              <w:pStyle w:val="ColorfulList-Accent11"/>
                              <w:ind w:left="425"/>
                              <w:rPr>
                                <w:noProof/>
                                <w:lang w:val="es-ES"/>
                              </w:rPr>
                            </w:pPr>
                          </w:p>
                          <w:p w14:paraId="687FEBE7" w14:textId="3CCAD9F2" w:rsidR="00DF39C3" w:rsidRDefault="00275F13" w:rsidP="00DE5579">
                            <w:pPr>
                              <w:pStyle w:val="ColorfulList-Accent11"/>
                              <w:ind w:left="425"/>
                              <w:rPr>
                                <w:rFonts w:cs="Calibri"/>
                                <w:noProof/>
                                <w:lang w:val="es-ES"/>
                              </w:rPr>
                            </w:pPr>
                            <w:r w:rsidRPr="00DF39C3">
                              <w:rPr>
                                <w:rFonts w:cs="Calibri"/>
                                <w:noProof/>
                                <w:lang w:val="es-ES"/>
                              </w:rPr>
                              <w:t>ii.</w:t>
                            </w:r>
                            <w:r w:rsidRPr="00DF39C3">
                              <w:rPr>
                                <w:rFonts w:cs="Calibri"/>
                                <w:noProof/>
                                <w:lang w:val="es-ES"/>
                              </w:rPr>
                              <w:tab/>
                            </w:r>
                            <w:r w:rsidR="00DF39C3" w:rsidRPr="00DF39C3">
                              <w:rPr>
                                <w:rFonts w:cs="Calibri"/>
                                <w:noProof/>
                                <w:lang w:val="es-ES"/>
                              </w:rPr>
                              <w:t xml:space="preserve">Tomar nota de que las dos listas de </w:t>
                            </w:r>
                            <w:r w:rsidR="00DF39C3">
                              <w:rPr>
                                <w:rFonts w:cs="Calibri"/>
                                <w:noProof/>
                                <w:lang w:val="es-ES"/>
                              </w:rPr>
                              <w:t>d</w:t>
                            </w:r>
                            <w:r w:rsidR="00DF39C3" w:rsidRPr="00DF39C3">
                              <w:rPr>
                                <w:rFonts w:cs="Calibri"/>
                                <w:noProof/>
                                <w:lang w:val="es-ES"/>
                              </w:rPr>
                              <w:t>ecisiones</w:t>
                            </w:r>
                            <w:r w:rsidR="005F6D14">
                              <w:rPr>
                                <w:rFonts w:cs="Calibri"/>
                                <w:noProof/>
                                <w:lang w:val="es-ES"/>
                              </w:rPr>
                              <w:t xml:space="preserve"> aprobadas entre las</w:t>
                            </w:r>
                            <w:r w:rsidR="00DF39C3" w:rsidRPr="00DF39C3">
                              <w:rPr>
                                <w:rFonts w:cs="Calibri"/>
                                <w:noProof/>
                                <w:lang w:val="es-ES"/>
                              </w:rPr>
                              <w:t xml:space="preserve"> </w:t>
                            </w:r>
                            <w:r w:rsidR="005F6D14">
                              <w:rPr>
                                <w:rFonts w:cs="Calibri"/>
                                <w:noProof/>
                                <w:lang w:val="es-ES"/>
                              </w:rPr>
                              <w:t>reuniones</w:t>
                            </w:r>
                            <w:r w:rsidR="00DF39C3" w:rsidRPr="00DF39C3">
                              <w:rPr>
                                <w:rFonts w:cs="Calibri"/>
                                <w:noProof/>
                                <w:lang w:val="es-ES"/>
                              </w:rPr>
                              <w:t xml:space="preserve"> SC24 </w:t>
                            </w:r>
                            <w:r w:rsidR="005F6D14">
                              <w:rPr>
                                <w:rFonts w:cs="Calibri"/>
                                <w:noProof/>
                                <w:lang w:val="es-ES"/>
                              </w:rPr>
                              <w:t>y</w:t>
                            </w:r>
                            <w:r w:rsidR="00DF39C3" w:rsidRPr="00DF39C3">
                              <w:rPr>
                                <w:rFonts w:cs="Calibri"/>
                                <w:noProof/>
                                <w:lang w:val="es-ES"/>
                              </w:rPr>
                              <w:t xml:space="preserve"> SC62</w:t>
                            </w:r>
                            <w:r w:rsidR="00D96075">
                              <w:rPr>
                                <w:rFonts w:cs="Calibri"/>
                                <w:noProof/>
                                <w:lang w:val="es-ES"/>
                              </w:rPr>
                              <w:t xml:space="preserve"> </w:t>
                            </w:r>
                            <w:r w:rsidR="00DF39C3" w:rsidRPr="00DF39C3">
                              <w:rPr>
                                <w:rFonts w:cs="Calibri"/>
                                <w:noProof/>
                                <w:lang w:val="es-ES"/>
                              </w:rPr>
                              <w:t>que se encuentran en la dirección</w:t>
                            </w:r>
                            <w:r w:rsidR="000631A7">
                              <w:rPr>
                                <w:rFonts w:cs="Calibri"/>
                                <w:noProof/>
                                <w:lang w:val="es-ES"/>
                              </w:rPr>
                              <w:t xml:space="preserve"> </w:t>
                            </w:r>
                            <w:r w:rsidR="00CF107B">
                              <w:rPr>
                                <w:rFonts w:cs="Calibri"/>
                                <w:noProof/>
                                <w:lang w:val="es-ES"/>
                              </w:rPr>
                              <w:t>respectiva</w:t>
                            </w:r>
                            <w:r w:rsidR="00DF39C3" w:rsidRPr="00DF39C3">
                              <w:rPr>
                                <w:rFonts w:cs="Calibri"/>
                                <w:noProof/>
                                <w:lang w:val="es-ES"/>
                              </w:rPr>
                              <w:t xml:space="preserve"> y en el Anexo 1 </w:t>
                            </w:r>
                            <w:r w:rsidR="00CF107B">
                              <w:rPr>
                                <w:rFonts w:cs="Calibri"/>
                                <w:noProof/>
                                <w:lang w:val="es-ES"/>
                              </w:rPr>
                              <w:t>cumplen el</w:t>
                            </w:r>
                            <w:r w:rsidR="00DF39C3" w:rsidRPr="00DF39C3">
                              <w:rPr>
                                <w:rFonts w:cs="Calibri"/>
                                <w:noProof/>
                                <w:lang w:val="es-ES"/>
                              </w:rPr>
                              <w:t xml:space="preserve"> primer y segundo paso del proceso aprobado en la Decisión SC62-21</w:t>
                            </w:r>
                            <w:r w:rsidR="00DF39C3">
                              <w:rPr>
                                <w:rFonts w:cs="Calibri"/>
                                <w:noProof/>
                                <w:lang w:val="es-ES"/>
                              </w:rPr>
                              <w:t>;</w:t>
                            </w:r>
                          </w:p>
                          <w:p w14:paraId="1A22F92B" w14:textId="77777777" w:rsidR="00873205" w:rsidRPr="00DF39C3" w:rsidRDefault="00873205" w:rsidP="000631A7">
                            <w:pPr>
                              <w:pStyle w:val="ColorfulList-Accent11"/>
                              <w:ind w:left="0" w:firstLine="0"/>
                              <w:rPr>
                                <w:rFonts w:cs="Calibri"/>
                                <w:noProof/>
                                <w:lang w:val="es-ES"/>
                              </w:rPr>
                            </w:pPr>
                          </w:p>
                          <w:p w14:paraId="4506C932" w14:textId="09D9C0E1" w:rsidR="000631A7" w:rsidRDefault="00BA58DF" w:rsidP="00DE5579">
                            <w:pPr>
                              <w:pStyle w:val="ColorfulList-Accent11"/>
                              <w:ind w:left="425"/>
                              <w:rPr>
                                <w:rFonts w:cs="Calibri"/>
                                <w:noProof/>
                                <w:lang w:val="es-ES"/>
                              </w:rPr>
                            </w:pPr>
                            <w:r w:rsidRPr="00DF39C3">
                              <w:rPr>
                                <w:rFonts w:cs="Calibri"/>
                                <w:noProof/>
                                <w:lang w:val="es-ES"/>
                              </w:rPr>
                              <w:t>i</w:t>
                            </w:r>
                            <w:r w:rsidR="00D375D7" w:rsidRPr="00DF39C3">
                              <w:rPr>
                                <w:rFonts w:cs="Calibri"/>
                                <w:noProof/>
                                <w:lang w:val="es-ES"/>
                              </w:rPr>
                              <w:t>ii</w:t>
                            </w:r>
                            <w:r w:rsidRPr="00DF39C3">
                              <w:rPr>
                                <w:rFonts w:cs="Calibri"/>
                                <w:noProof/>
                                <w:lang w:val="es-ES"/>
                              </w:rPr>
                              <w:t xml:space="preserve">. </w:t>
                            </w:r>
                            <w:r w:rsidR="008E4F79" w:rsidRPr="00DF39C3">
                              <w:rPr>
                                <w:rFonts w:cs="Calibri"/>
                                <w:noProof/>
                                <w:lang w:val="es-ES"/>
                              </w:rPr>
                              <w:tab/>
                            </w:r>
                            <w:r w:rsidR="000631A7" w:rsidRPr="000631A7">
                              <w:rPr>
                                <w:rFonts w:cs="Calibri"/>
                                <w:noProof/>
                                <w:lang w:val="es-ES"/>
                              </w:rPr>
                              <w:t xml:space="preserve">Decidir que las </w:t>
                            </w:r>
                            <w:r w:rsidR="000631A7">
                              <w:rPr>
                                <w:rFonts w:cs="Calibri"/>
                                <w:noProof/>
                                <w:lang w:val="es-ES"/>
                              </w:rPr>
                              <w:t>d</w:t>
                            </w:r>
                            <w:r w:rsidR="000631A7" w:rsidRPr="000631A7">
                              <w:rPr>
                                <w:rFonts w:cs="Calibri"/>
                                <w:noProof/>
                                <w:lang w:val="es-ES"/>
                              </w:rPr>
                              <w:t xml:space="preserve">ecisiones identificadas como </w:t>
                            </w:r>
                            <w:r w:rsidR="000631A7">
                              <w:rPr>
                                <w:rFonts w:cs="Calibri"/>
                                <w:noProof/>
                                <w:lang w:val="es-ES"/>
                              </w:rPr>
                              <w:t>“</w:t>
                            </w:r>
                            <w:r w:rsidR="000631A7" w:rsidRPr="000631A7">
                              <w:rPr>
                                <w:rFonts w:cs="Calibri"/>
                                <w:noProof/>
                                <w:lang w:val="es-ES"/>
                              </w:rPr>
                              <w:t>pendientes</w:t>
                            </w:r>
                            <w:r w:rsidR="000631A7">
                              <w:rPr>
                                <w:rFonts w:cs="Calibri"/>
                                <w:noProof/>
                                <w:lang w:val="es-ES"/>
                              </w:rPr>
                              <w:t>”</w:t>
                            </w:r>
                            <w:r w:rsidR="000631A7" w:rsidRPr="000631A7">
                              <w:rPr>
                                <w:rFonts w:cs="Calibri"/>
                                <w:noProof/>
                                <w:lang w:val="es-ES"/>
                              </w:rPr>
                              <w:t xml:space="preserve"> se presentarán en reuniones </w:t>
                            </w:r>
                            <w:r w:rsidR="00D96075" w:rsidRPr="000631A7">
                              <w:rPr>
                                <w:rFonts w:cs="Calibri"/>
                                <w:noProof/>
                                <w:lang w:val="es-ES"/>
                              </w:rPr>
                              <w:t xml:space="preserve">futuras </w:t>
                            </w:r>
                            <w:r w:rsidR="000631A7" w:rsidRPr="000631A7">
                              <w:rPr>
                                <w:rFonts w:cs="Calibri"/>
                                <w:noProof/>
                                <w:lang w:val="es-ES"/>
                              </w:rPr>
                              <w:t>del Comité Permanente</w:t>
                            </w:r>
                            <w:r w:rsidR="004B6BA5">
                              <w:rPr>
                                <w:rFonts w:cs="Calibri"/>
                                <w:noProof/>
                                <w:lang w:val="es-ES"/>
                              </w:rPr>
                              <w:t>, tal</w:t>
                            </w:r>
                            <w:r w:rsidR="000631A7" w:rsidRPr="000631A7">
                              <w:rPr>
                                <w:rFonts w:cs="Calibri"/>
                                <w:noProof/>
                                <w:lang w:val="es-ES"/>
                              </w:rPr>
                              <w:t xml:space="preserve"> como se describe en el párrafo 4</w:t>
                            </w:r>
                            <w:r w:rsidR="000631A7">
                              <w:rPr>
                                <w:rFonts w:cs="Calibri"/>
                                <w:noProof/>
                                <w:lang w:val="es-ES"/>
                              </w:rPr>
                              <w:t xml:space="preserve">, </w:t>
                            </w:r>
                            <w:r w:rsidR="000631A7" w:rsidRPr="000631A7">
                              <w:rPr>
                                <w:rFonts w:cs="Calibri"/>
                                <w:noProof/>
                                <w:lang w:val="es-ES"/>
                              </w:rPr>
                              <w:t xml:space="preserve">y que las </w:t>
                            </w:r>
                            <w:r w:rsidR="000631A7">
                              <w:rPr>
                                <w:rFonts w:cs="Calibri"/>
                                <w:noProof/>
                                <w:lang w:val="es-ES"/>
                              </w:rPr>
                              <w:t>d</w:t>
                            </w:r>
                            <w:r w:rsidR="000631A7" w:rsidRPr="000631A7">
                              <w:rPr>
                                <w:rFonts w:cs="Calibri"/>
                                <w:noProof/>
                                <w:lang w:val="es-ES"/>
                              </w:rPr>
                              <w:t xml:space="preserve">ecisiones identificadas como </w:t>
                            </w:r>
                            <w:r w:rsidR="000631A7">
                              <w:rPr>
                                <w:rFonts w:cs="Calibri"/>
                                <w:noProof/>
                                <w:lang w:val="es-ES"/>
                              </w:rPr>
                              <w:t>“aplicadas”</w:t>
                            </w:r>
                            <w:r w:rsidR="000631A7" w:rsidRPr="000631A7">
                              <w:rPr>
                                <w:rFonts w:cs="Calibri"/>
                                <w:noProof/>
                                <w:lang w:val="es-ES"/>
                              </w:rPr>
                              <w:t xml:space="preserve"> no</w:t>
                            </w:r>
                            <w:r w:rsidR="000631A7" w:rsidRPr="00D46621">
                              <w:rPr>
                                <w:lang w:val="es-ES"/>
                              </w:rPr>
                              <w:t xml:space="preserve"> </w:t>
                            </w:r>
                            <w:r w:rsidR="000631A7" w:rsidRPr="000631A7">
                              <w:rPr>
                                <w:rFonts w:cs="Calibri"/>
                                <w:noProof/>
                                <w:lang w:val="es-ES"/>
                              </w:rPr>
                              <w:t xml:space="preserve">se presentarán en reuniones </w:t>
                            </w:r>
                            <w:r w:rsidR="004B6BA5" w:rsidRPr="000631A7">
                              <w:rPr>
                                <w:rFonts w:cs="Calibri"/>
                                <w:noProof/>
                                <w:lang w:val="es-ES"/>
                              </w:rPr>
                              <w:t xml:space="preserve">futuras </w:t>
                            </w:r>
                            <w:r w:rsidR="000631A7" w:rsidRPr="000631A7">
                              <w:rPr>
                                <w:rFonts w:cs="Calibri"/>
                                <w:noProof/>
                                <w:lang w:val="es-ES"/>
                              </w:rPr>
                              <w:t>del Comité Permanente</w:t>
                            </w:r>
                            <w:r w:rsidR="000631A7">
                              <w:rPr>
                                <w:rFonts w:cs="Calibri"/>
                                <w:noProof/>
                                <w:lang w:val="es-ES"/>
                              </w:rPr>
                              <w:t>;</w:t>
                            </w:r>
                          </w:p>
                          <w:p w14:paraId="6B458F48" w14:textId="77777777" w:rsidR="007C4093" w:rsidRPr="00DF39C3" w:rsidRDefault="007C4093" w:rsidP="00DE5579">
                            <w:pPr>
                              <w:pStyle w:val="ColorfulList-Accent11"/>
                              <w:ind w:left="425"/>
                              <w:rPr>
                                <w:rFonts w:cs="Calibri"/>
                                <w:noProof/>
                                <w:lang w:val="es-ES"/>
                              </w:rPr>
                            </w:pPr>
                          </w:p>
                          <w:p w14:paraId="66969FFC" w14:textId="070E5758" w:rsidR="007C4093" w:rsidRPr="00DF39C3" w:rsidRDefault="007C4093" w:rsidP="00837974">
                            <w:pPr>
                              <w:pStyle w:val="ColorfulList-Accent11"/>
                              <w:ind w:left="425"/>
                              <w:rPr>
                                <w:rFonts w:cs="Calibri"/>
                                <w:noProof/>
                                <w:lang w:val="es-ES"/>
                              </w:rPr>
                            </w:pPr>
                            <w:r w:rsidRPr="00DF39C3">
                              <w:rPr>
                                <w:rFonts w:cs="Calibri"/>
                                <w:noProof/>
                                <w:lang w:val="es-ES"/>
                              </w:rPr>
                              <w:t>i</w:t>
                            </w:r>
                            <w:r w:rsidR="004B6BA5">
                              <w:rPr>
                                <w:rFonts w:cs="Calibri"/>
                                <w:noProof/>
                                <w:lang w:val="es-ES"/>
                              </w:rPr>
                              <w:t>v</w:t>
                            </w:r>
                            <w:r w:rsidRPr="00DF39C3">
                              <w:rPr>
                                <w:rFonts w:cs="Calibri"/>
                                <w:noProof/>
                                <w:lang w:val="es-ES"/>
                              </w:rPr>
                              <w:t>.</w:t>
                            </w:r>
                            <w:r w:rsidRPr="00DF39C3">
                              <w:rPr>
                                <w:rFonts w:cs="Calibri"/>
                                <w:noProof/>
                                <w:lang w:val="es-ES"/>
                              </w:rPr>
                              <w:tab/>
                            </w:r>
                            <w:r w:rsidR="000631A7" w:rsidRPr="000631A7">
                              <w:rPr>
                                <w:rFonts w:cs="Calibri"/>
                                <w:noProof/>
                                <w:lang w:val="es-ES"/>
                              </w:rPr>
                              <w:t xml:space="preserve">Recomienda que, cuando proceda, las </w:t>
                            </w:r>
                            <w:r w:rsidR="000631A7">
                              <w:rPr>
                                <w:rFonts w:cs="Calibri"/>
                                <w:noProof/>
                                <w:lang w:val="es-ES"/>
                              </w:rPr>
                              <w:t>d</w:t>
                            </w:r>
                            <w:r w:rsidR="000631A7" w:rsidRPr="000631A7">
                              <w:rPr>
                                <w:rFonts w:cs="Calibri"/>
                                <w:noProof/>
                                <w:lang w:val="es-ES"/>
                              </w:rPr>
                              <w:t xml:space="preserve">ecisiones </w:t>
                            </w:r>
                            <w:r w:rsidR="000631A7">
                              <w:rPr>
                                <w:rFonts w:cs="Calibri"/>
                                <w:noProof/>
                                <w:lang w:val="es-ES"/>
                              </w:rPr>
                              <w:t>“</w:t>
                            </w:r>
                            <w:r w:rsidR="000631A7" w:rsidRPr="000631A7">
                              <w:rPr>
                                <w:rFonts w:cs="Calibri"/>
                                <w:noProof/>
                                <w:lang w:val="es-ES"/>
                              </w:rPr>
                              <w:t>pendientes</w:t>
                            </w:r>
                            <w:r w:rsidR="000631A7">
                              <w:rPr>
                                <w:rFonts w:cs="Calibri"/>
                                <w:noProof/>
                                <w:lang w:val="es-ES"/>
                              </w:rPr>
                              <w:t>”</w:t>
                            </w:r>
                            <w:r w:rsidR="000631A7" w:rsidRPr="000631A7">
                              <w:rPr>
                                <w:rFonts w:cs="Calibri"/>
                                <w:noProof/>
                                <w:lang w:val="es-ES"/>
                              </w:rPr>
                              <w:t xml:space="preserve"> se incorporen </w:t>
                            </w:r>
                            <w:r w:rsidR="00837974">
                              <w:rPr>
                                <w:rFonts w:cs="Calibri"/>
                                <w:noProof/>
                                <w:lang w:val="es-ES"/>
                              </w:rPr>
                              <w:t>en</w:t>
                            </w:r>
                            <w:r w:rsidR="000631A7" w:rsidRPr="000631A7">
                              <w:rPr>
                                <w:rFonts w:cs="Calibri"/>
                                <w:noProof/>
                                <w:lang w:val="es-ES"/>
                              </w:rPr>
                              <w:t xml:space="preserve"> </w:t>
                            </w:r>
                            <w:r w:rsidR="000631A7">
                              <w:rPr>
                                <w:rFonts w:cs="Calibri"/>
                                <w:noProof/>
                                <w:lang w:val="es-ES"/>
                              </w:rPr>
                              <w:t>r</w:t>
                            </w:r>
                            <w:r w:rsidR="000631A7" w:rsidRPr="000631A7">
                              <w:rPr>
                                <w:rFonts w:cs="Calibri"/>
                                <w:noProof/>
                                <w:lang w:val="es-ES"/>
                              </w:rPr>
                              <w:t>esoluciones</w:t>
                            </w:r>
                            <w:r w:rsidR="000631A7">
                              <w:rPr>
                                <w:rFonts w:cs="Calibri"/>
                                <w:noProof/>
                                <w:lang w:val="es-ES"/>
                              </w:rPr>
                              <w:t xml:space="preserve"> futuras,</w:t>
                            </w:r>
                            <w:r w:rsidR="000631A7" w:rsidRPr="000631A7">
                              <w:rPr>
                                <w:rFonts w:cs="Calibri"/>
                                <w:noProof/>
                                <w:lang w:val="es-ES"/>
                              </w:rPr>
                              <w:t xml:space="preserve"> de modo que puedan considerarse </w:t>
                            </w:r>
                            <w:r w:rsidR="000631A7">
                              <w:rPr>
                                <w:rFonts w:cs="Calibri"/>
                                <w:noProof/>
                                <w:lang w:val="es-ES"/>
                              </w:rPr>
                              <w:t>como “</w:t>
                            </w:r>
                            <w:r w:rsidR="000631A7" w:rsidRPr="000631A7">
                              <w:rPr>
                                <w:rFonts w:cs="Calibri"/>
                                <w:noProof/>
                                <w:lang w:val="es-ES"/>
                              </w:rPr>
                              <w:t>aplicadas</w:t>
                            </w:r>
                            <w:r w:rsidR="000631A7">
                              <w:rPr>
                                <w:rFonts w:cs="Calibri"/>
                                <w:noProof/>
                                <w:lang w:val="es-ES"/>
                              </w:rPr>
                              <w:t>”</w:t>
                            </w:r>
                            <w:r w:rsidR="000631A7" w:rsidRPr="000631A7">
                              <w:rPr>
                                <w:rFonts w:cs="Calibri"/>
                                <w:noProof/>
                                <w:lang w:val="es-ES"/>
                              </w:rPr>
                              <w:t xml:space="preserve"> y eliminarse de la lista de </w:t>
                            </w:r>
                            <w:r w:rsidR="000631A7">
                              <w:rPr>
                                <w:rFonts w:cs="Calibri"/>
                                <w:noProof/>
                                <w:lang w:val="es-ES"/>
                              </w:rPr>
                              <w:t>d</w:t>
                            </w:r>
                            <w:r w:rsidR="000631A7" w:rsidRPr="000631A7">
                              <w:rPr>
                                <w:rFonts w:cs="Calibri"/>
                                <w:noProof/>
                                <w:lang w:val="es-ES"/>
                              </w:rPr>
                              <w:t xml:space="preserve">ecisiones </w:t>
                            </w:r>
                            <w:r w:rsidR="000631A7">
                              <w:rPr>
                                <w:rFonts w:cs="Calibri"/>
                                <w:noProof/>
                                <w:lang w:val="es-ES"/>
                              </w:rPr>
                              <w:t>“</w:t>
                            </w:r>
                            <w:r w:rsidR="000631A7" w:rsidRPr="000631A7">
                              <w:rPr>
                                <w:rFonts w:cs="Calibri"/>
                                <w:noProof/>
                                <w:lang w:val="es-ES"/>
                              </w:rPr>
                              <w:t>pendientes</w:t>
                            </w:r>
                            <w:r w:rsidR="000631A7">
                              <w:rPr>
                                <w:rFonts w:cs="Calibri"/>
                                <w:noProof/>
                                <w:lang w:val="es-ES"/>
                              </w:rPr>
                              <w:t>”</w:t>
                            </w:r>
                            <w:r w:rsidR="000631A7" w:rsidRPr="000631A7">
                              <w:rPr>
                                <w:rFonts w:cs="Calibri"/>
                                <w:noProof/>
                                <w:lang w:val="es-ES"/>
                              </w:rPr>
                              <w:t>.</w:t>
                            </w:r>
                            <w:r w:rsidRPr="00DF39C3">
                              <w:rPr>
                                <w:noProof/>
                                <w:lang w:val="es-ES"/>
                              </w:rPr>
                              <w:t xml:space="preserve"> </w:t>
                            </w:r>
                          </w:p>
                          <w:p w14:paraId="3B8476DD" w14:textId="77777777" w:rsidR="0083768D" w:rsidRPr="00DF39C3" w:rsidRDefault="00A20D3D" w:rsidP="00DE5579">
                            <w:pPr>
                              <w:pStyle w:val="ColorfulList-Accent11"/>
                              <w:ind w:left="425"/>
                              <w:rPr>
                                <w:rFonts w:cs="Calibri"/>
                                <w:noProof/>
                                <w:lang w:val="es-ES"/>
                              </w:rPr>
                            </w:pPr>
                            <w:r w:rsidRPr="00DF39C3">
                              <w:rPr>
                                <w:rFonts w:cs="Calibri"/>
                                <w:noProof/>
                                <w:lang w:val="es-ES"/>
                              </w:rPr>
                              <w:t xml:space="preserve"> </w:t>
                            </w: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">
                <v:textbox>
                  <w:txbxContent>
                    <w:p w14:paraId="155D4708" w14:textId="360F60F6" w:rsidR="000C2489" w:rsidRPr="00DF39C3" w:rsidRDefault="003862E6" w:rsidP="000C2489">
                      <w:pPr>
                        <w:rPr>
                          <w:b/>
                          <w:bCs/>
                          <w:noProof/>
                          <w:lang w:val="es-ES"/>
                        </w:rPr>
                      </w:pPr>
                      <w:proofErr w:type="spellStart"/>
                      <w:r w:rsidRPr="002119D2">
                        <w:rPr>
                          <w:rFonts w:asciiTheme="minorHAnsi" w:hAnsiTheme="minorHAnsi"/>
                          <w:b/>
                        </w:rPr>
                        <w:t>Ac</w:t>
                      </w:r>
                      <w:bookmarkStart w:id="1" w:name="_GoBack"/>
                      <w:bookmarkEnd w:id="1"/>
                      <w:r w:rsidRPr="002119D2">
                        <w:rPr>
                          <w:rFonts w:asciiTheme="minorHAnsi" w:hAnsiTheme="minorHAnsi"/>
                          <w:b/>
                        </w:rPr>
                        <w:t>ción</w:t>
                      </w:r>
                      <w:proofErr w:type="spellEnd"/>
                      <w:r w:rsidRPr="002119D2">
                        <w:rPr>
                          <w:rFonts w:asciiTheme="minorHAnsi" w:hAnsiTheme="minorHAnsi"/>
                          <w:b/>
                        </w:rPr>
                        <w:t xml:space="preserve"> </w:t>
                      </w:r>
                      <w:proofErr w:type="spellStart"/>
                      <w:r w:rsidRPr="002119D2">
                        <w:rPr>
                          <w:rFonts w:asciiTheme="minorHAnsi" w:hAnsiTheme="minorHAnsi"/>
                          <w:b/>
                        </w:rPr>
                        <w:t>solicitada</w:t>
                      </w:r>
                      <w:proofErr w:type="spellEnd"/>
                      <w:r w:rsidR="000C2489" w:rsidRPr="00DF39C3">
                        <w:rPr>
                          <w:b/>
                          <w:bCs/>
                          <w:noProof/>
                          <w:lang w:val="es-ES"/>
                        </w:rPr>
                        <w:t xml:space="preserve">: </w:t>
                      </w:r>
                    </w:p>
                    <w:p w14:paraId="367AB0B5" w14:textId="77777777" w:rsidR="000C2489" w:rsidRPr="00DF39C3" w:rsidRDefault="000C2489" w:rsidP="000C2489">
                      <w:pPr>
                        <w:pStyle w:val="ColorfulList-Accent11"/>
                        <w:ind w:left="0"/>
                        <w:rPr>
                          <w:noProof/>
                          <w:lang w:val="es-ES"/>
                        </w:rPr>
                      </w:pPr>
                    </w:p>
                    <w:p w14:paraId="1BD9EF71" w14:textId="16DC1CFE" w:rsidR="000C2489" w:rsidRPr="00DF39C3" w:rsidRDefault="00DF39C3" w:rsidP="00275F13">
                      <w:pPr>
                        <w:pStyle w:val="ColorfulList-Accent11"/>
                        <w:ind w:left="0" w:firstLine="0"/>
                        <w:rPr>
                          <w:rFonts w:cs="Calibri"/>
                          <w:noProof/>
                          <w:lang w:val="es-ES"/>
                        </w:rPr>
                      </w:pPr>
                      <w:r>
                        <w:rPr>
                          <w:noProof/>
                          <w:lang w:val="es-ES"/>
                        </w:rPr>
                        <w:t>Se invita al Comité Permanente a hacer lo siguiente</w:t>
                      </w:r>
                      <w:r w:rsidR="000C2489" w:rsidRPr="00DF39C3">
                        <w:rPr>
                          <w:rFonts w:cs="Calibri"/>
                          <w:noProof/>
                          <w:lang w:val="es-ES"/>
                        </w:rPr>
                        <w:t>:</w:t>
                      </w:r>
                    </w:p>
                    <w:p w14:paraId="12C373CE" w14:textId="77777777" w:rsidR="000C2489" w:rsidRPr="00DF39C3" w:rsidRDefault="000C2489" w:rsidP="000C2489">
                      <w:pPr>
                        <w:pStyle w:val="ColorfulList-Accent11"/>
                        <w:ind w:left="0"/>
                        <w:rPr>
                          <w:rFonts w:cs="Calibri"/>
                          <w:noProof/>
                          <w:lang w:val="es-ES"/>
                        </w:rPr>
                      </w:pPr>
                    </w:p>
                    <w:p w14:paraId="6F3E70B0" w14:textId="49DDD48B" w:rsidR="00370C3C" w:rsidRPr="00DF39C3" w:rsidRDefault="00275F13" w:rsidP="00370C3C">
                      <w:pPr>
                        <w:pStyle w:val="ColorfulList-Accent11"/>
                        <w:ind w:left="425"/>
                        <w:rPr>
                          <w:rFonts w:cs="Calibri"/>
                          <w:noProof/>
                          <w:lang w:val="es-ES"/>
                        </w:rPr>
                      </w:pPr>
                      <w:r w:rsidRPr="00DF39C3">
                        <w:rPr>
                          <w:rFonts w:cs="Calibri"/>
                          <w:noProof/>
                          <w:lang w:val="es-ES"/>
                        </w:rPr>
                        <w:t>i.</w:t>
                      </w:r>
                      <w:r w:rsidRPr="00DF39C3">
                        <w:rPr>
                          <w:rFonts w:cs="Calibri"/>
                          <w:noProof/>
                          <w:lang w:val="es-ES"/>
                        </w:rPr>
                        <w:tab/>
                      </w:r>
                      <w:r w:rsidR="00DF39C3">
                        <w:rPr>
                          <w:rFonts w:cs="Calibri"/>
                          <w:noProof/>
                          <w:lang w:val="es-ES"/>
                        </w:rPr>
                        <w:t>T</w:t>
                      </w:r>
                      <w:r w:rsidR="00DF39C3" w:rsidRPr="00DF39C3">
                        <w:rPr>
                          <w:rFonts w:cs="Calibri"/>
                          <w:noProof/>
                          <w:lang w:val="es-ES"/>
                        </w:rPr>
                        <w:t>omar nota del informe preparado por la Secretaría</w:t>
                      </w:r>
                      <w:r w:rsidR="00D375D7" w:rsidRPr="00DF39C3">
                        <w:rPr>
                          <w:rFonts w:cs="Calibri"/>
                          <w:noProof/>
                          <w:lang w:val="es-ES"/>
                        </w:rPr>
                        <w:t>;</w:t>
                      </w:r>
                      <w:r w:rsidR="004D1CCA" w:rsidRPr="00DF39C3">
                        <w:rPr>
                          <w:rFonts w:cs="Calibri"/>
                          <w:noProof/>
                          <w:lang w:val="es-ES"/>
                        </w:rPr>
                        <w:t xml:space="preserve"> </w:t>
                      </w:r>
                    </w:p>
                    <w:p w14:paraId="4975FB62" w14:textId="77777777" w:rsidR="000C2489" w:rsidRPr="00DF39C3" w:rsidRDefault="000C2489" w:rsidP="00FD76BF">
                      <w:pPr>
                        <w:pStyle w:val="ColorfulList-Accent11"/>
                        <w:ind w:left="425"/>
                        <w:rPr>
                          <w:noProof/>
                          <w:lang w:val="es-ES"/>
                        </w:rPr>
                      </w:pPr>
                    </w:p>
                    <w:p w14:paraId="687FEBE7" w14:textId="3CCAD9F2" w:rsidR="00DF39C3" w:rsidRDefault="00275F13" w:rsidP="00DE5579">
                      <w:pPr>
                        <w:pStyle w:val="ColorfulList-Accent11"/>
                        <w:ind w:left="425"/>
                        <w:rPr>
                          <w:rFonts w:cs="Calibri"/>
                          <w:noProof/>
                          <w:lang w:val="es-ES"/>
                        </w:rPr>
                      </w:pPr>
                      <w:r w:rsidRPr="00DF39C3">
                        <w:rPr>
                          <w:rFonts w:cs="Calibri"/>
                          <w:noProof/>
                          <w:lang w:val="es-ES"/>
                        </w:rPr>
                        <w:t>ii.</w:t>
                      </w:r>
                      <w:r w:rsidRPr="00DF39C3">
                        <w:rPr>
                          <w:rFonts w:cs="Calibri"/>
                          <w:noProof/>
                          <w:lang w:val="es-ES"/>
                        </w:rPr>
                        <w:tab/>
                      </w:r>
                      <w:r w:rsidR="00DF39C3" w:rsidRPr="00DF39C3">
                        <w:rPr>
                          <w:rFonts w:cs="Calibri"/>
                          <w:noProof/>
                          <w:lang w:val="es-ES"/>
                        </w:rPr>
                        <w:t xml:space="preserve">Tomar nota de que las dos listas de </w:t>
                      </w:r>
                      <w:r w:rsidR="00DF39C3">
                        <w:rPr>
                          <w:rFonts w:cs="Calibri"/>
                          <w:noProof/>
                          <w:lang w:val="es-ES"/>
                        </w:rPr>
                        <w:t>d</w:t>
                      </w:r>
                      <w:r w:rsidR="00DF39C3" w:rsidRPr="00DF39C3">
                        <w:rPr>
                          <w:rFonts w:cs="Calibri"/>
                          <w:noProof/>
                          <w:lang w:val="es-ES"/>
                        </w:rPr>
                        <w:t>ecisiones</w:t>
                      </w:r>
                      <w:r w:rsidR="005F6D14">
                        <w:rPr>
                          <w:rFonts w:cs="Calibri"/>
                          <w:noProof/>
                          <w:lang w:val="es-ES"/>
                        </w:rPr>
                        <w:t xml:space="preserve"> aprobadas entre las</w:t>
                      </w:r>
                      <w:r w:rsidR="00DF39C3" w:rsidRPr="00DF39C3">
                        <w:rPr>
                          <w:rFonts w:cs="Calibri"/>
                          <w:noProof/>
                          <w:lang w:val="es-ES"/>
                        </w:rPr>
                        <w:t xml:space="preserve"> </w:t>
                      </w:r>
                      <w:r w:rsidR="005F6D14">
                        <w:rPr>
                          <w:rFonts w:cs="Calibri"/>
                          <w:noProof/>
                          <w:lang w:val="es-ES"/>
                        </w:rPr>
                        <w:t>reuniones</w:t>
                      </w:r>
                      <w:r w:rsidR="00DF39C3" w:rsidRPr="00DF39C3">
                        <w:rPr>
                          <w:rFonts w:cs="Calibri"/>
                          <w:noProof/>
                          <w:lang w:val="es-ES"/>
                        </w:rPr>
                        <w:t xml:space="preserve"> SC24 </w:t>
                      </w:r>
                      <w:r w:rsidR="005F6D14">
                        <w:rPr>
                          <w:rFonts w:cs="Calibri"/>
                          <w:noProof/>
                          <w:lang w:val="es-ES"/>
                        </w:rPr>
                        <w:t>y</w:t>
                      </w:r>
                      <w:r w:rsidR="00DF39C3" w:rsidRPr="00DF39C3">
                        <w:rPr>
                          <w:rFonts w:cs="Calibri"/>
                          <w:noProof/>
                          <w:lang w:val="es-ES"/>
                        </w:rPr>
                        <w:t xml:space="preserve"> SC62</w:t>
                      </w:r>
                      <w:r w:rsidR="00D96075">
                        <w:rPr>
                          <w:rFonts w:cs="Calibri"/>
                          <w:noProof/>
                          <w:lang w:val="es-ES"/>
                        </w:rPr>
                        <w:t xml:space="preserve"> </w:t>
                      </w:r>
                      <w:r w:rsidR="00DF39C3" w:rsidRPr="00DF39C3">
                        <w:rPr>
                          <w:rFonts w:cs="Calibri"/>
                          <w:noProof/>
                          <w:lang w:val="es-ES"/>
                        </w:rPr>
                        <w:t>que se encuentran en la dirección</w:t>
                      </w:r>
                      <w:r w:rsidR="000631A7">
                        <w:rPr>
                          <w:rFonts w:cs="Calibri"/>
                          <w:noProof/>
                          <w:lang w:val="es-ES"/>
                        </w:rPr>
                        <w:t xml:space="preserve"> </w:t>
                      </w:r>
                      <w:r w:rsidR="00CF107B">
                        <w:rPr>
                          <w:rFonts w:cs="Calibri"/>
                          <w:noProof/>
                          <w:lang w:val="es-ES"/>
                        </w:rPr>
                        <w:t>respectiva</w:t>
                      </w:r>
                      <w:r w:rsidR="00DF39C3" w:rsidRPr="00DF39C3">
                        <w:rPr>
                          <w:rFonts w:cs="Calibri"/>
                          <w:noProof/>
                          <w:lang w:val="es-ES"/>
                        </w:rPr>
                        <w:t xml:space="preserve"> y en el Anexo 1 </w:t>
                      </w:r>
                      <w:r w:rsidR="00CF107B">
                        <w:rPr>
                          <w:rFonts w:cs="Calibri"/>
                          <w:noProof/>
                          <w:lang w:val="es-ES"/>
                        </w:rPr>
                        <w:t>cumplen el</w:t>
                      </w:r>
                      <w:r w:rsidR="00DF39C3" w:rsidRPr="00DF39C3">
                        <w:rPr>
                          <w:rFonts w:cs="Calibri"/>
                          <w:noProof/>
                          <w:lang w:val="es-ES"/>
                        </w:rPr>
                        <w:t xml:space="preserve"> primer y segundo paso del proceso aprobado en la Decisión SC62-21</w:t>
                      </w:r>
                      <w:r w:rsidR="00DF39C3">
                        <w:rPr>
                          <w:rFonts w:cs="Calibri"/>
                          <w:noProof/>
                          <w:lang w:val="es-ES"/>
                        </w:rPr>
                        <w:t>;</w:t>
                      </w:r>
                    </w:p>
                    <w:p w14:paraId="1A22F92B" w14:textId="77777777" w:rsidR="00873205" w:rsidRPr="00DF39C3" w:rsidRDefault="00873205" w:rsidP="000631A7">
                      <w:pPr>
                        <w:pStyle w:val="ColorfulList-Accent11"/>
                        <w:ind w:left="0" w:firstLine="0"/>
                        <w:rPr>
                          <w:rFonts w:cs="Calibri"/>
                          <w:noProof/>
                          <w:lang w:val="es-ES"/>
                        </w:rPr>
                      </w:pPr>
                    </w:p>
                    <w:p w14:paraId="4506C932" w14:textId="09D9C0E1" w:rsidR="000631A7" w:rsidRDefault="00BA58DF" w:rsidP="00DE5579">
                      <w:pPr>
                        <w:pStyle w:val="ColorfulList-Accent11"/>
                        <w:ind w:left="425"/>
                        <w:rPr>
                          <w:rFonts w:cs="Calibri"/>
                          <w:noProof/>
                          <w:lang w:val="es-ES"/>
                        </w:rPr>
                      </w:pPr>
                      <w:r w:rsidRPr="00DF39C3">
                        <w:rPr>
                          <w:rFonts w:cs="Calibri"/>
                          <w:noProof/>
                          <w:lang w:val="es-ES"/>
                        </w:rPr>
                        <w:t>i</w:t>
                      </w:r>
                      <w:r w:rsidR="00D375D7" w:rsidRPr="00DF39C3">
                        <w:rPr>
                          <w:rFonts w:cs="Calibri"/>
                          <w:noProof/>
                          <w:lang w:val="es-ES"/>
                        </w:rPr>
                        <w:t>ii</w:t>
                      </w:r>
                      <w:r w:rsidRPr="00DF39C3">
                        <w:rPr>
                          <w:rFonts w:cs="Calibri"/>
                          <w:noProof/>
                          <w:lang w:val="es-ES"/>
                        </w:rPr>
                        <w:t xml:space="preserve">. </w:t>
                      </w:r>
                      <w:r w:rsidR="008E4F79" w:rsidRPr="00DF39C3">
                        <w:rPr>
                          <w:rFonts w:cs="Calibri"/>
                          <w:noProof/>
                          <w:lang w:val="es-ES"/>
                        </w:rPr>
                        <w:tab/>
                      </w:r>
                      <w:r w:rsidR="000631A7" w:rsidRPr="000631A7">
                        <w:rPr>
                          <w:rFonts w:cs="Calibri"/>
                          <w:noProof/>
                          <w:lang w:val="es-ES"/>
                        </w:rPr>
                        <w:t xml:space="preserve">Decidir que las </w:t>
                      </w:r>
                      <w:r w:rsidR="000631A7">
                        <w:rPr>
                          <w:rFonts w:cs="Calibri"/>
                          <w:noProof/>
                          <w:lang w:val="es-ES"/>
                        </w:rPr>
                        <w:t>d</w:t>
                      </w:r>
                      <w:r w:rsidR="000631A7" w:rsidRPr="000631A7">
                        <w:rPr>
                          <w:rFonts w:cs="Calibri"/>
                          <w:noProof/>
                          <w:lang w:val="es-ES"/>
                        </w:rPr>
                        <w:t xml:space="preserve">ecisiones identificadas como </w:t>
                      </w:r>
                      <w:r w:rsidR="000631A7">
                        <w:rPr>
                          <w:rFonts w:cs="Calibri"/>
                          <w:noProof/>
                          <w:lang w:val="es-ES"/>
                        </w:rPr>
                        <w:t>“</w:t>
                      </w:r>
                      <w:r w:rsidR="000631A7" w:rsidRPr="000631A7">
                        <w:rPr>
                          <w:rFonts w:cs="Calibri"/>
                          <w:noProof/>
                          <w:lang w:val="es-ES"/>
                        </w:rPr>
                        <w:t>pendientes</w:t>
                      </w:r>
                      <w:r w:rsidR="000631A7">
                        <w:rPr>
                          <w:rFonts w:cs="Calibri"/>
                          <w:noProof/>
                          <w:lang w:val="es-ES"/>
                        </w:rPr>
                        <w:t>”</w:t>
                      </w:r>
                      <w:r w:rsidR="000631A7" w:rsidRPr="000631A7">
                        <w:rPr>
                          <w:rFonts w:cs="Calibri"/>
                          <w:noProof/>
                          <w:lang w:val="es-ES"/>
                        </w:rPr>
                        <w:t xml:space="preserve"> se presentarán en reuniones </w:t>
                      </w:r>
                      <w:r w:rsidR="00D96075" w:rsidRPr="000631A7">
                        <w:rPr>
                          <w:rFonts w:cs="Calibri"/>
                          <w:noProof/>
                          <w:lang w:val="es-ES"/>
                        </w:rPr>
                        <w:t xml:space="preserve">futuras </w:t>
                      </w:r>
                      <w:r w:rsidR="000631A7" w:rsidRPr="000631A7">
                        <w:rPr>
                          <w:rFonts w:cs="Calibri"/>
                          <w:noProof/>
                          <w:lang w:val="es-ES"/>
                        </w:rPr>
                        <w:t>del Comité Permanente</w:t>
                      </w:r>
                      <w:r w:rsidR="004B6BA5">
                        <w:rPr>
                          <w:rFonts w:cs="Calibri"/>
                          <w:noProof/>
                          <w:lang w:val="es-ES"/>
                        </w:rPr>
                        <w:t>, tal</w:t>
                      </w:r>
                      <w:r w:rsidR="000631A7" w:rsidRPr="000631A7">
                        <w:rPr>
                          <w:rFonts w:cs="Calibri"/>
                          <w:noProof/>
                          <w:lang w:val="es-ES"/>
                        </w:rPr>
                        <w:t xml:space="preserve"> como se describe en el párrafo 4</w:t>
                      </w:r>
                      <w:r w:rsidR="000631A7">
                        <w:rPr>
                          <w:rFonts w:cs="Calibri"/>
                          <w:noProof/>
                          <w:lang w:val="es-ES"/>
                        </w:rPr>
                        <w:t xml:space="preserve">, </w:t>
                      </w:r>
                      <w:r w:rsidR="000631A7" w:rsidRPr="000631A7">
                        <w:rPr>
                          <w:rFonts w:cs="Calibri"/>
                          <w:noProof/>
                          <w:lang w:val="es-ES"/>
                        </w:rPr>
                        <w:t xml:space="preserve">y que las </w:t>
                      </w:r>
                      <w:r w:rsidR="000631A7">
                        <w:rPr>
                          <w:rFonts w:cs="Calibri"/>
                          <w:noProof/>
                          <w:lang w:val="es-ES"/>
                        </w:rPr>
                        <w:t>d</w:t>
                      </w:r>
                      <w:r w:rsidR="000631A7" w:rsidRPr="000631A7">
                        <w:rPr>
                          <w:rFonts w:cs="Calibri"/>
                          <w:noProof/>
                          <w:lang w:val="es-ES"/>
                        </w:rPr>
                        <w:t xml:space="preserve">ecisiones identificadas como </w:t>
                      </w:r>
                      <w:r w:rsidR="000631A7">
                        <w:rPr>
                          <w:rFonts w:cs="Calibri"/>
                          <w:noProof/>
                          <w:lang w:val="es-ES"/>
                        </w:rPr>
                        <w:t>“aplicadas”</w:t>
                      </w:r>
                      <w:r w:rsidR="000631A7" w:rsidRPr="000631A7">
                        <w:rPr>
                          <w:rFonts w:cs="Calibri"/>
                          <w:noProof/>
                          <w:lang w:val="es-ES"/>
                        </w:rPr>
                        <w:t xml:space="preserve"> no</w:t>
                      </w:r>
                      <w:r w:rsidR="000631A7" w:rsidRPr="00D46621">
                        <w:rPr>
                          <w:lang w:val="es-ES"/>
                        </w:rPr>
                        <w:t xml:space="preserve"> </w:t>
                      </w:r>
                      <w:r w:rsidR="000631A7" w:rsidRPr="000631A7">
                        <w:rPr>
                          <w:rFonts w:cs="Calibri"/>
                          <w:noProof/>
                          <w:lang w:val="es-ES"/>
                        </w:rPr>
                        <w:t xml:space="preserve">se presentarán en reuniones </w:t>
                      </w:r>
                      <w:r w:rsidR="004B6BA5" w:rsidRPr="000631A7">
                        <w:rPr>
                          <w:rFonts w:cs="Calibri"/>
                          <w:noProof/>
                          <w:lang w:val="es-ES"/>
                        </w:rPr>
                        <w:t xml:space="preserve">futuras </w:t>
                      </w:r>
                      <w:r w:rsidR="000631A7" w:rsidRPr="000631A7">
                        <w:rPr>
                          <w:rFonts w:cs="Calibri"/>
                          <w:noProof/>
                          <w:lang w:val="es-ES"/>
                        </w:rPr>
                        <w:t>del Comité Permanente</w:t>
                      </w:r>
                      <w:r w:rsidR="000631A7">
                        <w:rPr>
                          <w:rFonts w:cs="Calibri"/>
                          <w:noProof/>
                          <w:lang w:val="es-ES"/>
                        </w:rPr>
                        <w:t>;</w:t>
                      </w:r>
                    </w:p>
                    <w:p w14:paraId="6B458F48" w14:textId="77777777" w:rsidR="007C4093" w:rsidRPr="00DF39C3" w:rsidRDefault="007C4093" w:rsidP="00DE5579">
                      <w:pPr>
                        <w:pStyle w:val="ColorfulList-Accent11"/>
                        <w:ind w:left="425"/>
                        <w:rPr>
                          <w:rFonts w:cs="Calibri"/>
                          <w:noProof/>
                          <w:lang w:val="es-ES"/>
                        </w:rPr>
                      </w:pPr>
                    </w:p>
                    <w:p w14:paraId="66969FFC" w14:textId="070E5758" w:rsidR="007C4093" w:rsidRPr="00DF39C3" w:rsidRDefault="007C4093" w:rsidP="00837974">
                      <w:pPr>
                        <w:pStyle w:val="ColorfulList-Accent11"/>
                        <w:ind w:left="425"/>
                        <w:rPr>
                          <w:rFonts w:cs="Calibri"/>
                          <w:noProof/>
                          <w:lang w:val="es-ES"/>
                        </w:rPr>
                      </w:pPr>
                      <w:r w:rsidRPr="00DF39C3">
                        <w:rPr>
                          <w:rFonts w:cs="Calibri"/>
                          <w:noProof/>
                          <w:lang w:val="es-ES"/>
                        </w:rPr>
                        <w:t>i</w:t>
                      </w:r>
                      <w:r w:rsidR="004B6BA5">
                        <w:rPr>
                          <w:rFonts w:cs="Calibri"/>
                          <w:noProof/>
                          <w:lang w:val="es-ES"/>
                        </w:rPr>
                        <w:t>v</w:t>
                      </w:r>
                      <w:r w:rsidRPr="00DF39C3">
                        <w:rPr>
                          <w:rFonts w:cs="Calibri"/>
                          <w:noProof/>
                          <w:lang w:val="es-ES"/>
                        </w:rPr>
                        <w:t>.</w:t>
                      </w:r>
                      <w:r w:rsidRPr="00DF39C3">
                        <w:rPr>
                          <w:rFonts w:cs="Calibri"/>
                          <w:noProof/>
                          <w:lang w:val="es-ES"/>
                        </w:rPr>
                        <w:tab/>
                      </w:r>
                      <w:r w:rsidR="000631A7" w:rsidRPr="000631A7">
                        <w:rPr>
                          <w:rFonts w:cs="Calibri"/>
                          <w:noProof/>
                          <w:lang w:val="es-ES"/>
                        </w:rPr>
                        <w:t xml:space="preserve">Recomienda que, cuando proceda, las </w:t>
                      </w:r>
                      <w:r w:rsidR="000631A7">
                        <w:rPr>
                          <w:rFonts w:cs="Calibri"/>
                          <w:noProof/>
                          <w:lang w:val="es-ES"/>
                        </w:rPr>
                        <w:t>d</w:t>
                      </w:r>
                      <w:r w:rsidR="000631A7" w:rsidRPr="000631A7">
                        <w:rPr>
                          <w:rFonts w:cs="Calibri"/>
                          <w:noProof/>
                          <w:lang w:val="es-ES"/>
                        </w:rPr>
                        <w:t xml:space="preserve">ecisiones </w:t>
                      </w:r>
                      <w:r w:rsidR="000631A7">
                        <w:rPr>
                          <w:rFonts w:cs="Calibri"/>
                          <w:noProof/>
                          <w:lang w:val="es-ES"/>
                        </w:rPr>
                        <w:t>“</w:t>
                      </w:r>
                      <w:r w:rsidR="000631A7" w:rsidRPr="000631A7">
                        <w:rPr>
                          <w:rFonts w:cs="Calibri"/>
                          <w:noProof/>
                          <w:lang w:val="es-ES"/>
                        </w:rPr>
                        <w:t>pendientes</w:t>
                      </w:r>
                      <w:r w:rsidR="000631A7">
                        <w:rPr>
                          <w:rFonts w:cs="Calibri"/>
                          <w:noProof/>
                          <w:lang w:val="es-ES"/>
                        </w:rPr>
                        <w:t>”</w:t>
                      </w:r>
                      <w:r w:rsidR="000631A7" w:rsidRPr="000631A7">
                        <w:rPr>
                          <w:rFonts w:cs="Calibri"/>
                          <w:noProof/>
                          <w:lang w:val="es-ES"/>
                        </w:rPr>
                        <w:t xml:space="preserve"> se incorporen </w:t>
                      </w:r>
                      <w:r w:rsidR="00837974">
                        <w:rPr>
                          <w:rFonts w:cs="Calibri"/>
                          <w:noProof/>
                          <w:lang w:val="es-ES"/>
                        </w:rPr>
                        <w:t>en</w:t>
                      </w:r>
                      <w:r w:rsidR="000631A7" w:rsidRPr="000631A7">
                        <w:rPr>
                          <w:rFonts w:cs="Calibri"/>
                          <w:noProof/>
                          <w:lang w:val="es-ES"/>
                        </w:rPr>
                        <w:t xml:space="preserve"> </w:t>
                      </w:r>
                      <w:r w:rsidR="000631A7">
                        <w:rPr>
                          <w:rFonts w:cs="Calibri"/>
                          <w:noProof/>
                          <w:lang w:val="es-ES"/>
                        </w:rPr>
                        <w:t>r</w:t>
                      </w:r>
                      <w:r w:rsidR="000631A7" w:rsidRPr="000631A7">
                        <w:rPr>
                          <w:rFonts w:cs="Calibri"/>
                          <w:noProof/>
                          <w:lang w:val="es-ES"/>
                        </w:rPr>
                        <w:t>esoluciones</w:t>
                      </w:r>
                      <w:r w:rsidR="000631A7">
                        <w:rPr>
                          <w:rFonts w:cs="Calibri"/>
                          <w:noProof/>
                          <w:lang w:val="es-ES"/>
                        </w:rPr>
                        <w:t xml:space="preserve"> futuras,</w:t>
                      </w:r>
                      <w:r w:rsidR="000631A7" w:rsidRPr="000631A7">
                        <w:rPr>
                          <w:rFonts w:cs="Calibri"/>
                          <w:noProof/>
                          <w:lang w:val="es-ES"/>
                        </w:rPr>
                        <w:t xml:space="preserve"> de modo que puedan considerarse </w:t>
                      </w:r>
                      <w:r w:rsidR="000631A7">
                        <w:rPr>
                          <w:rFonts w:cs="Calibri"/>
                          <w:noProof/>
                          <w:lang w:val="es-ES"/>
                        </w:rPr>
                        <w:t>como “</w:t>
                      </w:r>
                      <w:r w:rsidR="000631A7" w:rsidRPr="000631A7">
                        <w:rPr>
                          <w:rFonts w:cs="Calibri"/>
                          <w:noProof/>
                          <w:lang w:val="es-ES"/>
                        </w:rPr>
                        <w:t>aplicadas</w:t>
                      </w:r>
                      <w:r w:rsidR="000631A7">
                        <w:rPr>
                          <w:rFonts w:cs="Calibri"/>
                          <w:noProof/>
                          <w:lang w:val="es-ES"/>
                        </w:rPr>
                        <w:t>”</w:t>
                      </w:r>
                      <w:r w:rsidR="000631A7" w:rsidRPr="000631A7">
                        <w:rPr>
                          <w:rFonts w:cs="Calibri"/>
                          <w:noProof/>
                          <w:lang w:val="es-ES"/>
                        </w:rPr>
                        <w:t xml:space="preserve"> y eliminarse de la lista de </w:t>
                      </w:r>
                      <w:r w:rsidR="000631A7">
                        <w:rPr>
                          <w:rFonts w:cs="Calibri"/>
                          <w:noProof/>
                          <w:lang w:val="es-ES"/>
                        </w:rPr>
                        <w:t>d</w:t>
                      </w:r>
                      <w:r w:rsidR="000631A7" w:rsidRPr="000631A7">
                        <w:rPr>
                          <w:rFonts w:cs="Calibri"/>
                          <w:noProof/>
                          <w:lang w:val="es-ES"/>
                        </w:rPr>
                        <w:t xml:space="preserve">ecisiones </w:t>
                      </w:r>
                      <w:r w:rsidR="000631A7">
                        <w:rPr>
                          <w:rFonts w:cs="Calibri"/>
                          <w:noProof/>
                          <w:lang w:val="es-ES"/>
                        </w:rPr>
                        <w:t>“</w:t>
                      </w:r>
                      <w:r w:rsidR="000631A7" w:rsidRPr="000631A7">
                        <w:rPr>
                          <w:rFonts w:cs="Calibri"/>
                          <w:noProof/>
                          <w:lang w:val="es-ES"/>
                        </w:rPr>
                        <w:t>pendientes</w:t>
                      </w:r>
                      <w:r w:rsidR="000631A7">
                        <w:rPr>
                          <w:rFonts w:cs="Calibri"/>
                          <w:noProof/>
                          <w:lang w:val="es-ES"/>
                        </w:rPr>
                        <w:t>”</w:t>
                      </w:r>
                      <w:r w:rsidR="000631A7" w:rsidRPr="000631A7">
                        <w:rPr>
                          <w:rFonts w:cs="Calibri"/>
                          <w:noProof/>
                          <w:lang w:val="es-ES"/>
                        </w:rPr>
                        <w:t>.</w:t>
                      </w:r>
                      <w:r w:rsidRPr="00DF39C3">
                        <w:rPr>
                          <w:noProof/>
                          <w:lang w:val="es-ES"/>
                        </w:rPr>
                        <w:t xml:space="preserve"> </w:t>
                      </w:r>
                    </w:p>
                    <w:p w14:paraId="3B8476DD" w14:textId="77777777" w:rsidR="0083768D" w:rsidRPr="00DF39C3" w:rsidRDefault="00A20D3D" w:rsidP="00DE5579">
                      <w:pPr>
                        <w:pStyle w:val="ColorfulList-Accent11"/>
                        <w:ind w:left="425"/>
                        <w:rPr>
                          <w:rFonts w:cs="Calibri"/>
                          <w:noProof/>
                          <w:lang w:val="es-ES"/>
                        </w:rPr>
                      </w:pPr>
                      <w:r w:rsidRPr="00DF39C3">
                        <w:rPr>
                          <w:rFonts w:cs="Calibri"/>
                          <w:noProof/>
                          <w:lang w:val="es-ES"/>
                        </w:rPr>
                        <w:t xml:space="preserve"> </w:t>
                      </w:r>
                    </w:p>
                  </w:txbxContent>
                </v:textbox>
                <w10:anchorlock/>
              </v:shape>
            </w:pict>
          </mc:Fallback>
        </mc:AlternateContent>
      </w:r>
    </w:p>
    <w:p w14:paraId="15D3E0B3" w14:textId="77777777" w:rsidR="009E0AE8" w:rsidRPr="00196369" w:rsidRDefault="009E0AE8" w:rsidP="006A2401">
      <w:pPr>
        <w:rPr>
          <w:rFonts w:cs="Arial"/>
          <w:b/>
          <w:noProof/>
          <w:lang w:val="es-ES"/>
        </w:rPr>
      </w:pPr>
    </w:p>
    <w:p w14:paraId="7C5FE7A0" w14:textId="77777777" w:rsidR="00370C3C" w:rsidRPr="00196369" w:rsidRDefault="00370C3C" w:rsidP="009C5199">
      <w:pPr>
        <w:rPr>
          <w:rFonts w:cs="Arial"/>
          <w:b/>
          <w:noProof/>
          <w:lang w:val="es-ES"/>
        </w:rPr>
      </w:pPr>
    </w:p>
    <w:p w14:paraId="3FACF998" w14:textId="5EA0D966" w:rsidR="004B6C84" w:rsidRPr="00196369" w:rsidRDefault="00837974" w:rsidP="009C5199">
      <w:pPr>
        <w:rPr>
          <w:rFonts w:cs="Arial"/>
          <w:b/>
          <w:noProof/>
          <w:lang w:val="es-ES"/>
        </w:rPr>
      </w:pPr>
      <w:r w:rsidRPr="00196369">
        <w:rPr>
          <w:rFonts w:cs="Arial"/>
          <w:b/>
          <w:noProof/>
          <w:lang w:val="es-ES"/>
        </w:rPr>
        <w:t>Antecedentes e introducción</w:t>
      </w:r>
    </w:p>
    <w:p w14:paraId="189633F7" w14:textId="77777777" w:rsidR="00837974" w:rsidRPr="00196369" w:rsidRDefault="00837974" w:rsidP="009C5199">
      <w:pPr>
        <w:rPr>
          <w:rFonts w:ascii="Garamond" w:hAnsi="Garamond" w:cs="Arial"/>
          <w:noProof/>
          <w:lang w:val="es-ES"/>
        </w:rPr>
      </w:pPr>
    </w:p>
    <w:p w14:paraId="1CF17CC6" w14:textId="55390EA4" w:rsidR="00837974" w:rsidRPr="00196369" w:rsidRDefault="00275F13" w:rsidP="00A240F0">
      <w:pPr>
        <w:rPr>
          <w:rFonts w:cs="Arial"/>
          <w:noProof/>
          <w:lang w:val="es-ES"/>
        </w:rPr>
      </w:pPr>
      <w:r w:rsidRPr="00196369">
        <w:rPr>
          <w:rFonts w:cs="Arial"/>
          <w:noProof/>
          <w:lang w:val="es-ES"/>
        </w:rPr>
        <w:t>1.</w:t>
      </w:r>
      <w:r w:rsidRPr="00196369">
        <w:rPr>
          <w:rFonts w:cs="Arial"/>
          <w:noProof/>
          <w:lang w:val="es-ES"/>
        </w:rPr>
        <w:tab/>
      </w:r>
      <w:r w:rsidR="00837974" w:rsidRPr="00196369">
        <w:rPr>
          <w:rFonts w:cs="Arial"/>
          <w:noProof/>
          <w:lang w:val="es-ES"/>
        </w:rPr>
        <w:t xml:space="preserve">En la 14ª reunión de la Conferencia de las Partes Contratantes (COP14) que se celebró en 2022, las Partes aprobaron la Resolución XIV.5 en </w:t>
      </w:r>
      <w:r w:rsidR="009D1A03" w:rsidRPr="00196369">
        <w:rPr>
          <w:rFonts w:cs="Arial"/>
          <w:noProof/>
          <w:lang w:val="es-ES"/>
        </w:rPr>
        <w:t>cuyo</w:t>
      </w:r>
      <w:r w:rsidR="00837974" w:rsidRPr="00196369">
        <w:rPr>
          <w:rFonts w:cs="Arial"/>
          <w:noProof/>
          <w:lang w:val="es-ES"/>
        </w:rPr>
        <w:t xml:space="preserve"> párrafo 13 las Partes </w:t>
      </w:r>
      <w:r w:rsidR="005852FD" w:rsidRPr="00196369">
        <w:rPr>
          <w:rFonts w:cs="Arial"/>
          <w:noProof/>
          <w:lang w:val="es-ES"/>
        </w:rPr>
        <w:t>acordaron</w:t>
      </w:r>
      <w:r w:rsidR="00837974" w:rsidRPr="00196369">
        <w:rPr>
          <w:rFonts w:cs="Arial"/>
          <w:noProof/>
          <w:lang w:val="es-ES"/>
        </w:rPr>
        <w:t xml:space="preserve"> </w:t>
      </w:r>
      <w:r w:rsidR="008B1EFC" w:rsidRPr="00196369">
        <w:rPr>
          <w:rFonts w:cs="Arial"/>
          <w:noProof/>
          <w:lang w:val="es-ES"/>
        </w:rPr>
        <w:t>“</w:t>
      </w:r>
      <w:r w:rsidR="00837974" w:rsidRPr="00196369">
        <w:rPr>
          <w:rFonts w:cs="Arial"/>
          <w:i/>
          <w:iCs/>
          <w:noProof/>
          <w:lang w:val="es-ES"/>
        </w:rPr>
        <w:t xml:space="preserve">que </w:t>
      </w:r>
      <w:r w:rsidR="008B1EFC" w:rsidRPr="00196369">
        <w:rPr>
          <w:rFonts w:asciiTheme="minorHAnsi" w:hAnsiTheme="minorHAnsi" w:cstheme="minorHAnsi"/>
          <w:i/>
          <w:iCs/>
          <w:noProof/>
          <w:lang w:val="es-ES"/>
        </w:rPr>
        <w:t>el propio Comité Permanente decidirá acerca del procedimiento para el archivo y mantenimiento de las decisiones del Comité Permanente, siempre que todas las decisiones en vigor y anteriores estén fácilmente disponibles en el sitio web de la Convención</w:t>
      </w:r>
      <w:r w:rsidR="008B1EFC" w:rsidRPr="00196369">
        <w:rPr>
          <w:rFonts w:asciiTheme="minorHAnsi" w:hAnsiTheme="minorHAnsi" w:cstheme="minorHAnsi"/>
          <w:noProof/>
          <w:lang w:val="es-ES"/>
        </w:rPr>
        <w:t>”</w:t>
      </w:r>
      <w:r w:rsidR="00837974" w:rsidRPr="00196369">
        <w:rPr>
          <w:rFonts w:cs="Arial"/>
          <w:noProof/>
          <w:lang w:val="es-ES"/>
        </w:rPr>
        <w:t>;</w:t>
      </w:r>
    </w:p>
    <w:p w14:paraId="3AB06D71" w14:textId="77777777" w:rsidR="001A2D10" w:rsidRPr="00196369" w:rsidRDefault="001A2D10" w:rsidP="009D1A03">
      <w:pPr>
        <w:ind w:left="0" w:firstLine="0"/>
        <w:rPr>
          <w:rFonts w:cs="Arial"/>
          <w:noProof/>
          <w:lang w:val="es-ES"/>
        </w:rPr>
      </w:pPr>
    </w:p>
    <w:p w14:paraId="1EBB0BD5" w14:textId="452FAFCC" w:rsidR="009D1A03" w:rsidRPr="00196369" w:rsidRDefault="00275F13" w:rsidP="009D1A03">
      <w:pPr>
        <w:contextualSpacing/>
        <w:rPr>
          <w:rFonts w:cstheme="minorHAnsi"/>
          <w:i/>
          <w:iCs/>
          <w:noProof/>
          <w:lang w:val="es-ES"/>
        </w:rPr>
      </w:pPr>
      <w:r w:rsidRPr="00196369">
        <w:rPr>
          <w:noProof/>
          <w:lang w:val="es-ES"/>
        </w:rPr>
        <w:t>2.</w:t>
      </w:r>
      <w:r w:rsidRPr="00196369">
        <w:rPr>
          <w:noProof/>
          <w:lang w:val="es-ES"/>
        </w:rPr>
        <w:tab/>
      </w:r>
      <w:r w:rsidR="009D1A03" w:rsidRPr="00196369">
        <w:rPr>
          <w:noProof/>
          <w:lang w:val="es-ES"/>
        </w:rPr>
        <w:t>Como seguimiento de esta instrucción, en la Decisión SC62-21 de su 62ª reunión (SC62), el Comité Permanente “</w:t>
      </w:r>
      <w:r w:rsidR="009D1A03" w:rsidRPr="00196369">
        <w:rPr>
          <w:rFonts w:cstheme="minorHAnsi"/>
          <w:i/>
          <w:iCs/>
          <w:noProof/>
          <w:lang w:val="es-ES"/>
        </w:rPr>
        <w:t>aprobó el proceso de tres pasos indicado en el párrafo 23 del documento SC62 Doc.15 para el mantenimiento de la lista de decisiones en vigor del Comité Permanente, con la salvedad de que no se considere que las decisiones más antiguas que estén excluidas de la lista no son aplicables sino que estén accesibles en el sitio web de la Convención y puedan ser incluidas en la lista si se observa que aún están en vigor</w:t>
      </w:r>
      <w:r w:rsidR="00261F3E" w:rsidRPr="00196369">
        <w:rPr>
          <w:rFonts w:cstheme="minorHAnsi"/>
          <w:i/>
          <w:iCs/>
          <w:noProof/>
          <w:lang w:val="es-ES"/>
        </w:rPr>
        <w:t>”</w:t>
      </w:r>
      <w:r w:rsidR="009D1A03" w:rsidRPr="00196369">
        <w:rPr>
          <w:rFonts w:cstheme="minorHAnsi"/>
          <w:i/>
          <w:iCs/>
          <w:noProof/>
          <w:lang w:val="es-ES"/>
        </w:rPr>
        <w:t xml:space="preserve">. </w:t>
      </w:r>
    </w:p>
    <w:p w14:paraId="46F7933C" w14:textId="5B63B658" w:rsidR="000B5B72" w:rsidRPr="00196369" w:rsidRDefault="000B5B72" w:rsidP="00261F3E">
      <w:pPr>
        <w:ind w:left="0" w:firstLine="0"/>
        <w:contextualSpacing/>
        <w:rPr>
          <w:rFonts w:cstheme="minorHAnsi"/>
          <w:b/>
          <w:i/>
          <w:noProof/>
          <w:lang w:val="es-ES"/>
        </w:rPr>
      </w:pPr>
    </w:p>
    <w:p w14:paraId="2B306EBF" w14:textId="239608AD" w:rsidR="00261F3E" w:rsidRPr="00196369" w:rsidRDefault="000B5B72" w:rsidP="000B5B72">
      <w:pPr>
        <w:pStyle w:val="CommentText"/>
        <w:rPr>
          <w:noProof/>
          <w:sz w:val="22"/>
          <w:szCs w:val="22"/>
          <w:lang w:val="es-ES"/>
        </w:rPr>
      </w:pPr>
      <w:r w:rsidRPr="00196369">
        <w:rPr>
          <w:noProof/>
          <w:sz w:val="22"/>
          <w:szCs w:val="22"/>
          <w:lang w:val="es-ES"/>
        </w:rPr>
        <w:t>3.</w:t>
      </w:r>
      <w:r w:rsidRPr="00196369">
        <w:rPr>
          <w:noProof/>
          <w:sz w:val="22"/>
          <w:szCs w:val="22"/>
          <w:lang w:val="es-ES"/>
        </w:rPr>
        <w:tab/>
      </w:r>
      <w:r w:rsidR="00261F3E" w:rsidRPr="00196369">
        <w:rPr>
          <w:noProof/>
          <w:sz w:val="22"/>
          <w:szCs w:val="22"/>
          <w:lang w:val="es-ES"/>
        </w:rPr>
        <w:t xml:space="preserve">Los tres pasos </w:t>
      </w:r>
      <w:r w:rsidR="00BA4DDD" w:rsidRPr="00196369">
        <w:rPr>
          <w:noProof/>
          <w:sz w:val="22"/>
          <w:szCs w:val="22"/>
          <w:lang w:val="es-ES"/>
        </w:rPr>
        <w:t>descritos</w:t>
      </w:r>
      <w:r w:rsidR="00261F3E" w:rsidRPr="00196369">
        <w:rPr>
          <w:noProof/>
          <w:sz w:val="22"/>
          <w:szCs w:val="22"/>
          <w:lang w:val="es-ES"/>
        </w:rPr>
        <w:t xml:space="preserve"> en el documento SC62 Doc.15 son los siguientes:</w:t>
      </w:r>
    </w:p>
    <w:p w14:paraId="032173F6" w14:textId="77777777" w:rsidR="000B5B72" w:rsidRPr="00196369" w:rsidRDefault="000B5B72" w:rsidP="00261F3E">
      <w:pPr>
        <w:pStyle w:val="CommentText"/>
        <w:ind w:left="0" w:firstLine="0"/>
        <w:rPr>
          <w:noProof/>
          <w:sz w:val="22"/>
          <w:szCs w:val="22"/>
          <w:lang w:val="es-ES"/>
        </w:rPr>
      </w:pPr>
    </w:p>
    <w:p w14:paraId="07B60428" w14:textId="47BED123" w:rsidR="00261F3E" w:rsidRPr="00196369" w:rsidRDefault="000B5B72" w:rsidP="00261F3E">
      <w:pPr>
        <w:ind w:left="851"/>
        <w:rPr>
          <w:rFonts w:cstheme="minorHAnsi"/>
          <w:noProof/>
          <w:lang w:val="es-ES"/>
        </w:rPr>
      </w:pPr>
      <w:r w:rsidRPr="00196369">
        <w:rPr>
          <w:noProof/>
          <w:lang w:val="es-ES"/>
        </w:rPr>
        <w:t xml:space="preserve">a) </w:t>
      </w:r>
      <w:r w:rsidRPr="00196369">
        <w:rPr>
          <w:noProof/>
          <w:lang w:val="es-ES"/>
        </w:rPr>
        <w:tab/>
      </w:r>
      <w:r w:rsidR="00261F3E" w:rsidRPr="00196369">
        <w:rPr>
          <w:rFonts w:cstheme="minorHAnsi"/>
          <w:noProof/>
          <w:lang w:val="es-ES"/>
        </w:rPr>
        <w:t xml:space="preserve">Como primer paso, el Comité Permanente podría decidir considerar caducas todas las decisiones adoptadas antes de la fecha de alguna reunión específica del Comité, con el fin </w:t>
      </w:r>
      <w:r w:rsidR="00261F3E" w:rsidRPr="00196369">
        <w:rPr>
          <w:rFonts w:cstheme="minorHAnsi"/>
          <w:noProof/>
          <w:lang w:val="es-ES"/>
        </w:rPr>
        <w:lastRenderedPageBreak/>
        <w:t xml:space="preserve">de evitar tener que examinar cientos de decisiones antiguas sin necesidad. La Secretaría propone que se establezca, por ejemplo, la reunión SC50 (2015) como fecha de corte. </w:t>
      </w:r>
    </w:p>
    <w:p w14:paraId="4C934150" w14:textId="77777777" w:rsidR="000B5B72" w:rsidRPr="00196369" w:rsidRDefault="000B5B72" w:rsidP="00261F3E">
      <w:pPr>
        <w:pStyle w:val="CommentText"/>
        <w:ind w:left="0" w:firstLine="0"/>
        <w:rPr>
          <w:noProof/>
          <w:sz w:val="22"/>
          <w:szCs w:val="22"/>
          <w:lang w:val="es-ES"/>
        </w:rPr>
      </w:pPr>
    </w:p>
    <w:p w14:paraId="548D6D53" w14:textId="77777777" w:rsidR="00261F3E" w:rsidRPr="00196369" w:rsidRDefault="000B5B72" w:rsidP="00261F3E">
      <w:pPr>
        <w:ind w:left="851"/>
        <w:rPr>
          <w:rFonts w:cstheme="minorHAnsi"/>
          <w:noProof/>
          <w:lang w:val="es-ES"/>
        </w:rPr>
      </w:pPr>
      <w:r w:rsidRPr="00196369">
        <w:rPr>
          <w:noProof/>
          <w:lang w:val="es-ES"/>
        </w:rPr>
        <w:t xml:space="preserve">b) </w:t>
      </w:r>
      <w:r w:rsidRPr="00196369">
        <w:rPr>
          <w:noProof/>
          <w:lang w:val="es-ES"/>
        </w:rPr>
        <w:tab/>
      </w:r>
      <w:r w:rsidR="00261F3E" w:rsidRPr="00196369">
        <w:rPr>
          <w:rFonts w:cstheme="minorHAnsi"/>
          <w:noProof/>
          <w:lang w:val="es-ES"/>
        </w:rPr>
        <w:t xml:space="preserve">El segundo paso sería que la Secretaría preparase un documento con una lista de todas las decisiones del Comité Permanente desde la reunión SC50 hasta la fecha, anotadas para indicar su estado. </w:t>
      </w:r>
    </w:p>
    <w:p w14:paraId="7B03FA86" w14:textId="77777777" w:rsidR="000B5B72" w:rsidRPr="00196369" w:rsidRDefault="000B5B72" w:rsidP="000729B1">
      <w:pPr>
        <w:pStyle w:val="CommentText"/>
        <w:ind w:left="0" w:firstLine="0"/>
        <w:rPr>
          <w:noProof/>
          <w:sz w:val="22"/>
          <w:szCs w:val="22"/>
          <w:lang w:val="es-ES"/>
        </w:rPr>
      </w:pPr>
    </w:p>
    <w:p w14:paraId="345C225E" w14:textId="77777777" w:rsidR="000729B1" w:rsidRPr="00196369" w:rsidRDefault="000B5B72" w:rsidP="000729B1">
      <w:pPr>
        <w:ind w:left="851"/>
        <w:rPr>
          <w:rFonts w:cstheme="minorHAnsi"/>
          <w:noProof/>
          <w:lang w:val="es-ES"/>
        </w:rPr>
      </w:pPr>
      <w:r w:rsidRPr="00196369">
        <w:rPr>
          <w:noProof/>
          <w:lang w:val="es-ES"/>
        </w:rPr>
        <w:t xml:space="preserve">c) </w:t>
      </w:r>
      <w:r w:rsidRPr="00196369">
        <w:rPr>
          <w:noProof/>
          <w:lang w:val="es-ES"/>
        </w:rPr>
        <w:tab/>
      </w:r>
      <w:r w:rsidR="000729B1" w:rsidRPr="00196369">
        <w:rPr>
          <w:rFonts w:cstheme="minorHAnsi"/>
          <w:noProof/>
          <w:lang w:val="es-ES"/>
        </w:rPr>
        <w:t xml:space="preserve">El tercer paso consistiría en que la Secretaría presentase, en cada reunión del Comité Permanente, una versión actualizada de la lista de decisiones vigentes en la que se indica lo que se ha hecho y las decisiones que ya puedan ser señaladas como completas o caducas. La lista presentada en cada reunión, por consiguiente, excluiría las decisiones que ya no se consideren vigentes. </w:t>
      </w:r>
    </w:p>
    <w:p w14:paraId="06567488" w14:textId="77777777" w:rsidR="009E0AE8" w:rsidRPr="00196369" w:rsidRDefault="009E0AE8" w:rsidP="000E373A">
      <w:pPr>
        <w:pStyle w:val="NoSpacing"/>
        <w:ind w:left="0" w:firstLine="0"/>
        <w:rPr>
          <w:noProof/>
          <w:lang w:val="es-ES"/>
        </w:rPr>
      </w:pPr>
    </w:p>
    <w:p w14:paraId="06A7FC2D" w14:textId="68D69D43" w:rsidR="000729B1" w:rsidRPr="00196369" w:rsidRDefault="00DF6B79" w:rsidP="000E373A">
      <w:pPr>
        <w:ind w:left="426" w:hanging="426"/>
        <w:rPr>
          <w:noProof/>
          <w:lang w:val="es-ES"/>
        </w:rPr>
      </w:pPr>
      <w:r w:rsidRPr="00196369">
        <w:rPr>
          <w:noProof/>
          <w:lang w:val="es-ES"/>
        </w:rPr>
        <w:t>4</w:t>
      </w:r>
      <w:r w:rsidR="00275F13" w:rsidRPr="00196369">
        <w:rPr>
          <w:noProof/>
          <w:lang w:val="es-ES"/>
        </w:rPr>
        <w:t>.</w:t>
      </w:r>
      <w:r w:rsidR="00275F13" w:rsidRPr="00196369">
        <w:rPr>
          <w:noProof/>
          <w:lang w:val="es-ES"/>
        </w:rPr>
        <w:tab/>
      </w:r>
      <w:r w:rsidR="000729B1" w:rsidRPr="00196369">
        <w:rPr>
          <w:noProof/>
          <w:lang w:val="es-ES"/>
        </w:rPr>
        <w:t>La Secretaría ha aplicado el proceso acordado en la reunión SC62 de la manera siguiente:</w:t>
      </w:r>
    </w:p>
    <w:p w14:paraId="3B36CAAD" w14:textId="77777777" w:rsidR="000E373A" w:rsidRPr="00196369" w:rsidRDefault="000E373A" w:rsidP="000E373A">
      <w:pPr>
        <w:rPr>
          <w:rFonts w:cstheme="minorHAnsi"/>
          <w:noProof/>
          <w:lang w:val="es-ES"/>
        </w:rPr>
      </w:pPr>
    </w:p>
    <w:p w14:paraId="3EBAC2F8" w14:textId="5F7F1CEB" w:rsidR="000729B1" w:rsidRPr="00196369" w:rsidRDefault="000E373A" w:rsidP="0025780B">
      <w:pPr>
        <w:ind w:left="851"/>
        <w:rPr>
          <w:rFonts w:cstheme="minorHAnsi"/>
          <w:noProof/>
          <w:lang w:val="es-ES"/>
        </w:rPr>
      </w:pPr>
      <w:r w:rsidRPr="00196369">
        <w:rPr>
          <w:rFonts w:cstheme="minorHAnsi"/>
          <w:noProof/>
          <w:lang w:val="es-ES"/>
        </w:rPr>
        <w:t>a)</w:t>
      </w:r>
      <w:r w:rsidRPr="00196369">
        <w:rPr>
          <w:rFonts w:cstheme="minorHAnsi"/>
          <w:noProof/>
          <w:lang w:val="es-ES"/>
        </w:rPr>
        <w:tab/>
      </w:r>
      <w:r w:rsidR="000729B1" w:rsidRPr="00196369">
        <w:rPr>
          <w:rFonts w:cstheme="minorHAnsi"/>
          <w:noProof/>
          <w:lang w:val="es-ES"/>
        </w:rPr>
        <w:t xml:space="preserve">En consonancia con lo dispuesto en la Decisión SC62-21 </w:t>
      </w:r>
      <w:r w:rsidR="00547C3A" w:rsidRPr="00196369">
        <w:rPr>
          <w:rFonts w:cstheme="minorHAnsi"/>
          <w:noProof/>
          <w:lang w:val="es-ES"/>
        </w:rPr>
        <w:t>respecto</w:t>
      </w:r>
      <w:r w:rsidR="000729B1" w:rsidRPr="00196369">
        <w:rPr>
          <w:rFonts w:cstheme="minorHAnsi"/>
          <w:noProof/>
          <w:lang w:val="es-ES"/>
        </w:rPr>
        <w:t xml:space="preserve"> al primer paso propuesto, todas las </w:t>
      </w:r>
      <w:r w:rsidR="00547C3A" w:rsidRPr="00196369">
        <w:rPr>
          <w:rFonts w:cstheme="minorHAnsi"/>
          <w:noProof/>
          <w:lang w:val="es-ES"/>
        </w:rPr>
        <w:t>d</w:t>
      </w:r>
      <w:r w:rsidR="000729B1" w:rsidRPr="00196369">
        <w:rPr>
          <w:rFonts w:cstheme="minorHAnsi"/>
          <w:noProof/>
          <w:lang w:val="es-ES"/>
        </w:rPr>
        <w:t xml:space="preserve">ecisiones del Comité Permanente </w:t>
      </w:r>
      <w:r w:rsidR="00547C3A" w:rsidRPr="00196369">
        <w:rPr>
          <w:rFonts w:cstheme="minorHAnsi"/>
          <w:noProof/>
          <w:lang w:val="es-ES"/>
        </w:rPr>
        <w:t>permanecen</w:t>
      </w:r>
      <w:r w:rsidR="000729B1" w:rsidRPr="00196369">
        <w:rPr>
          <w:rFonts w:cstheme="minorHAnsi"/>
          <w:noProof/>
          <w:lang w:val="es-ES"/>
        </w:rPr>
        <w:t xml:space="preserve"> accesibles en el sitio web de la Convención.</w:t>
      </w:r>
    </w:p>
    <w:p w14:paraId="79A415B3" w14:textId="77777777" w:rsidR="00CF3413" w:rsidRPr="00196369" w:rsidRDefault="00CF3413" w:rsidP="00547C3A">
      <w:pPr>
        <w:ind w:left="0" w:firstLine="0"/>
        <w:rPr>
          <w:rFonts w:cstheme="minorHAnsi"/>
          <w:noProof/>
          <w:lang w:val="es-ES"/>
        </w:rPr>
      </w:pPr>
    </w:p>
    <w:p w14:paraId="2093813F" w14:textId="0202F454" w:rsidR="00547C3A" w:rsidRPr="00196369" w:rsidRDefault="00CF3413" w:rsidP="00CF3413">
      <w:pPr>
        <w:ind w:left="851"/>
        <w:rPr>
          <w:rFonts w:cstheme="minorHAnsi"/>
          <w:noProof/>
          <w:lang w:val="es-ES"/>
        </w:rPr>
      </w:pPr>
      <w:r w:rsidRPr="00196369">
        <w:rPr>
          <w:rFonts w:cstheme="minorHAnsi"/>
          <w:noProof/>
          <w:lang w:val="es-ES"/>
        </w:rPr>
        <w:t>b)</w:t>
      </w:r>
      <w:r w:rsidRPr="00196369">
        <w:rPr>
          <w:rFonts w:cstheme="minorHAnsi"/>
          <w:noProof/>
          <w:lang w:val="es-ES"/>
        </w:rPr>
        <w:tab/>
      </w:r>
      <w:r w:rsidR="00547C3A" w:rsidRPr="00196369">
        <w:rPr>
          <w:rFonts w:cstheme="minorHAnsi"/>
          <w:noProof/>
          <w:lang w:val="es-ES"/>
        </w:rPr>
        <w:t xml:space="preserve">En cuanto al primer paso acerca de la fecha de corte que se utilizará para el examen de las decisiones del Comité Permanente, los miembros del Comité Permanente </w:t>
      </w:r>
      <w:r w:rsidR="005F6D14" w:rsidRPr="00196369">
        <w:rPr>
          <w:rFonts w:cstheme="minorHAnsi"/>
          <w:noProof/>
          <w:lang w:val="es-ES"/>
        </w:rPr>
        <w:t>expresaron su preferencia por</w:t>
      </w:r>
      <w:r w:rsidR="00547C3A" w:rsidRPr="00196369">
        <w:rPr>
          <w:rFonts w:cstheme="minorHAnsi"/>
          <w:noProof/>
          <w:lang w:val="es-ES"/>
        </w:rPr>
        <w:t xml:space="preserve"> </w:t>
      </w:r>
      <w:r w:rsidR="00205EE3" w:rsidRPr="00196369">
        <w:rPr>
          <w:rFonts w:cstheme="minorHAnsi"/>
          <w:noProof/>
          <w:lang w:val="es-ES"/>
        </w:rPr>
        <w:t>enumerar las decisiones a partir de</w:t>
      </w:r>
      <w:r w:rsidR="00841CE8" w:rsidRPr="00196369">
        <w:rPr>
          <w:rFonts w:cstheme="minorHAnsi"/>
          <w:noProof/>
          <w:lang w:val="es-ES"/>
        </w:rPr>
        <w:t xml:space="preserve"> las que se aprobaron en</w:t>
      </w:r>
      <w:r w:rsidR="00547C3A" w:rsidRPr="00196369">
        <w:rPr>
          <w:rFonts w:cstheme="minorHAnsi"/>
          <w:noProof/>
          <w:lang w:val="es-ES"/>
        </w:rPr>
        <w:t xml:space="preserve"> la reunión SC24. Por consiguiente, la Secretaría ha examinado todas las decisiones del Comité Permanente aprobadas entre las reuniones SC24 y SC62.</w:t>
      </w:r>
    </w:p>
    <w:p w14:paraId="4338DBAC" w14:textId="77777777" w:rsidR="00CF3413" w:rsidRPr="00196369" w:rsidRDefault="00CF3413" w:rsidP="00547C3A">
      <w:pPr>
        <w:ind w:left="0" w:firstLine="0"/>
        <w:rPr>
          <w:rFonts w:cstheme="minorHAnsi"/>
          <w:noProof/>
          <w:lang w:val="es-ES"/>
        </w:rPr>
      </w:pPr>
    </w:p>
    <w:p w14:paraId="481205EE" w14:textId="7DC2A25D" w:rsidR="00547C3A" w:rsidRPr="00196369" w:rsidRDefault="00CF3413" w:rsidP="00B16009">
      <w:pPr>
        <w:ind w:left="851"/>
        <w:rPr>
          <w:rFonts w:cstheme="minorHAnsi"/>
          <w:noProof/>
          <w:lang w:val="es-ES"/>
        </w:rPr>
      </w:pPr>
      <w:r w:rsidRPr="00196369">
        <w:rPr>
          <w:rFonts w:cstheme="minorHAnsi"/>
          <w:noProof/>
          <w:lang w:val="es-ES"/>
        </w:rPr>
        <w:t>c)</w:t>
      </w:r>
      <w:r w:rsidRPr="00196369">
        <w:rPr>
          <w:rFonts w:cstheme="minorHAnsi"/>
          <w:noProof/>
          <w:lang w:val="es-ES"/>
        </w:rPr>
        <w:tab/>
      </w:r>
      <w:r w:rsidR="00547C3A" w:rsidRPr="00196369">
        <w:rPr>
          <w:rFonts w:cstheme="minorHAnsi"/>
          <w:noProof/>
          <w:lang w:val="es-ES"/>
        </w:rPr>
        <w:t>Con arreglo al segundo paso</w:t>
      </w:r>
      <w:r w:rsidR="00B16009" w:rsidRPr="00196369">
        <w:rPr>
          <w:rFonts w:cstheme="minorHAnsi"/>
          <w:noProof/>
          <w:lang w:val="es-ES"/>
        </w:rPr>
        <w:t>,</w:t>
      </w:r>
      <w:r w:rsidR="00547C3A" w:rsidRPr="00196369">
        <w:rPr>
          <w:rFonts w:cstheme="minorHAnsi"/>
          <w:noProof/>
          <w:lang w:val="es-ES"/>
        </w:rPr>
        <w:t xml:space="preserve"> </w:t>
      </w:r>
      <w:r w:rsidR="00B16009" w:rsidRPr="00196369">
        <w:rPr>
          <w:rFonts w:cstheme="minorHAnsi"/>
          <w:noProof/>
          <w:lang w:val="es-ES"/>
        </w:rPr>
        <w:t>indicado</w:t>
      </w:r>
      <w:r w:rsidR="00547C3A" w:rsidRPr="00196369">
        <w:rPr>
          <w:rFonts w:cstheme="minorHAnsi"/>
          <w:noProof/>
          <w:lang w:val="es-ES"/>
        </w:rPr>
        <w:t xml:space="preserve"> en el documento SC62 Doc.15, la Secretaría ha examinado las 1</w:t>
      </w:r>
      <w:r w:rsidR="00205EE3" w:rsidRPr="00196369">
        <w:rPr>
          <w:rFonts w:cstheme="minorHAnsi"/>
          <w:noProof/>
          <w:lang w:val="es-ES"/>
        </w:rPr>
        <w:t xml:space="preserve"> </w:t>
      </w:r>
      <w:r w:rsidR="00547C3A" w:rsidRPr="00196369">
        <w:rPr>
          <w:rFonts w:cstheme="minorHAnsi"/>
          <w:noProof/>
          <w:lang w:val="es-ES"/>
        </w:rPr>
        <w:t>07</w:t>
      </w:r>
      <w:r w:rsidR="00D46621" w:rsidRPr="00196369">
        <w:rPr>
          <w:rFonts w:cstheme="minorHAnsi"/>
          <w:noProof/>
          <w:lang w:val="es-ES"/>
        </w:rPr>
        <w:t>2</w:t>
      </w:r>
      <w:r w:rsidR="00547C3A" w:rsidRPr="00196369">
        <w:rPr>
          <w:rFonts w:cstheme="minorHAnsi"/>
          <w:noProof/>
          <w:lang w:val="es-ES"/>
        </w:rPr>
        <w:t xml:space="preserve"> decisiones </w:t>
      </w:r>
      <w:r w:rsidR="00B16009" w:rsidRPr="00196369">
        <w:rPr>
          <w:rFonts w:cstheme="minorHAnsi"/>
          <w:noProof/>
          <w:lang w:val="es-ES"/>
        </w:rPr>
        <w:t>que</w:t>
      </w:r>
      <w:r w:rsidR="00547C3A" w:rsidRPr="00196369">
        <w:rPr>
          <w:rFonts w:cstheme="minorHAnsi"/>
          <w:noProof/>
          <w:lang w:val="es-ES"/>
        </w:rPr>
        <w:t xml:space="preserve"> el Comité Permanente </w:t>
      </w:r>
      <w:r w:rsidR="00B16009" w:rsidRPr="00196369">
        <w:rPr>
          <w:rFonts w:cstheme="minorHAnsi"/>
          <w:noProof/>
          <w:lang w:val="es-ES"/>
        </w:rPr>
        <w:t xml:space="preserve">ha aprobado </w:t>
      </w:r>
      <w:r w:rsidR="00547C3A" w:rsidRPr="00196369">
        <w:rPr>
          <w:rFonts w:cstheme="minorHAnsi"/>
          <w:noProof/>
          <w:lang w:val="es-ES"/>
        </w:rPr>
        <w:t>desde la reunión SC24 y, sobre esta base, ha elaborado dos listas:</w:t>
      </w:r>
    </w:p>
    <w:p w14:paraId="20E5540C" w14:textId="74DCC724" w:rsidR="00B16009" w:rsidRPr="00196369" w:rsidRDefault="00C20016" w:rsidP="0025780B">
      <w:pPr>
        <w:pStyle w:val="ListParagraph"/>
        <w:numPr>
          <w:ilvl w:val="0"/>
          <w:numId w:val="43"/>
        </w:numPr>
        <w:ind w:left="1276" w:hanging="425"/>
        <w:rPr>
          <w:rFonts w:cstheme="minorHAnsi"/>
          <w:noProof/>
          <w:lang w:val="es-ES"/>
        </w:rPr>
      </w:pPr>
      <w:r w:rsidRPr="00196369">
        <w:rPr>
          <w:rFonts w:cstheme="minorHAnsi"/>
          <w:noProof/>
          <w:lang w:val="es-ES"/>
        </w:rPr>
        <w:t xml:space="preserve">una lista de todas las decisiones que han sido “aplicadas” y ya no están en vigor, que pueden consultarse en </w:t>
      </w:r>
      <w:hyperlink r:id="rId11" w:history="1">
        <w:r w:rsidR="00D46621" w:rsidRPr="005A1F35">
          <w:rPr>
            <w:rStyle w:val="Hyperlink"/>
            <w:rFonts w:cstheme="minorHAnsi"/>
            <w:lang w:val="es-ES"/>
          </w:rPr>
          <w:t>https://www.ramsar.org/document/list-standing-committee-decisions-which-have-been-implemented-are-no-longer-effect</w:t>
        </w:r>
      </w:hyperlink>
      <w:r w:rsidRPr="00196369">
        <w:rPr>
          <w:rFonts w:cstheme="minorHAnsi"/>
          <w:noProof/>
          <w:lang w:val="es-ES"/>
        </w:rPr>
        <w:t>;</w:t>
      </w:r>
    </w:p>
    <w:p w14:paraId="6F223867" w14:textId="2F06E37D" w:rsidR="00C20016" w:rsidRPr="00196369" w:rsidRDefault="00C20016" w:rsidP="00830792">
      <w:pPr>
        <w:pStyle w:val="ListParagraph"/>
        <w:numPr>
          <w:ilvl w:val="0"/>
          <w:numId w:val="43"/>
        </w:numPr>
        <w:ind w:left="1276" w:hanging="425"/>
        <w:rPr>
          <w:rFonts w:cstheme="minorHAnsi"/>
          <w:noProof/>
          <w:lang w:val="es-ES"/>
        </w:rPr>
      </w:pPr>
      <w:r w:rsidRPr="00196369">
        <w:rPr>
          <w:rFonts w:cstheme="minorHAnsi"/>
          <w:noProof/>
          <w:lang w:val="es-ES"/>
        </w:rPr>
        <w:t>una lista de las decisiones “pendientes”, que se puede consultar en el Anexo 1 de este documento.</w:t>
      </w:r>
    </w:p>
    <w:p w14:paraId="271E91A5" w14:textId="40278B85" w:rsidR="000E373A" w:rsidRPr="00196369" w:rsidRDefault="000E373A" w:rsidP="000E373A">
      <w:pPr>
        <w:ind w:left="851"/>
        <w:rPr>
          <w:rFonts w:cstheme="minorHAnsi"/>
          <w:noProof/>
          <w:lang w:val="es-ES"/>
        </w:rPr>
      </w:pPr>
    </w:p>
    <w:p w14:paraId="0AE226C8" w14:textId="238C9ED4" w:rsidR="00C20016" w:rsidRPr="00196369" w:rsidRDefault="00CF3413" w:rsidP="0036257A">
      <w:pPr>
        <w:ind w:left="851"/>
        <w:rPr>
          <w:rFonts w:cstheme="minorHAnsi"/>
          <w:noProof/>
          <w:lang w:val="es-ES"/>
        </w:rPr>
      </w:pPr>
      <w:r w:rsidRPr="00196369">
        <w:rPr>
          <w:rFonts w:cstheme="minorHAnsi"/>
          <w:noProof/>
          <w:lang w:val="es-ES"/>
        </w:rPr>
        <w:t xml:space="preserve">d) </w:t>
      </w:r>
      <w:r w:rsidRPr="00196369">
        <w:rPr>
          <w:rFonts w:cstheme="minorHAnsi"/>
          <w:noProof/>
          <w:lang w:val="es-ES"/>
        </w:rPr>
        <w:tab/>
      </w:r>
      <w:r w:rsidR="00C20016" w:rsidRPr="00196369">
        <w:rPr>
          <w:rFonts w:cstheme="minorHAnsi"/>
          <w:noProof/>
          <w:lang w:val="es-ES"/>
        </w:rPr>
        <w:t xml:space="preserve">En consonancia con el tercer paso, la Secretaría ha </w:t>
      </w:r>
      <w:r w:rsidR="00A0003A" w:rsidRPr="00196369">
        <w:rPr>
          <w:rFonts w:cstheme="minorHAnsi"/>
          <w:noProof/>
          <w:lang w:val="es-ES"/>
        </w:rPr>
        <w:t>insertado comentarios</w:t>
      </w:r>
      <w:r w:rsidR="00C20016" w:rsidRPr="00196369">
        <w:rPr>
          <w:rFonts w:cstheme="minorHAnsi"/>
          <w:noProof/>
          <w:lang w:val="es-ES"/>
        </w:rPr>
        <w:t xml:space="preserve"> </w:t>
      </w:r>
      <w:r w:rsidR="00A0003A" w:rsidRPr="00196369">
        <w:rPr>
          <w:rFonts w:cstheme="minorHAnsi"/>
          <w:noProof/>
          <w:lang w:val="es-ES"/>
        </w:rPr>
        <w:t>señalando</w:t>
      </w:r>
      <w:r w:rsidR="00C20016" w:rsidRPr="00196369">
        <w:rPr>
          <w:rFonts w:cstheme="minorHAnsi"/>
          <w:noProof/>
          <w:lang w:val="es-ES"/>
        </w:rPr>
        <w:t xml:space="preserve"> las decisiones pendientes que podrían marcarse como aplicadas y, por lo tanto, eliminarse de la lista. La Secretaría proporcionará una lista actualizada de las decisiones pendientes en cada reunión del Comité Permanente.</w:t>
      </w:r>
    </w:p>
    <w:p w14:paraId="114248DE" w14:textId="36F22E96" w:rsidR="002C5633" w:rsidRPr="00196369" w:rsidRDefault="002C5633" w:rsidP="00C20016">
      <w:pPr>
        <w:ind w:left="0" w:firstLine="0"/>
        <w:rPr>
          <w:rFonts w:cstheme="minorHAnsi"/>
          <w:noProof/>
          <w:lang w:val="es-ES"/>
        </w:rPr>
      </w:pPr>
    </w:p>
    <w:p w14:paraId="78E09630" w14:textId="51EF4907" w:rsidR="00717539" w:rsidRPr="00196369" w:rsidRDefault="00DF6B79" w:rsidP="000E373A">
      <w:pPr>
        <w:rPr>
          <w:rFonts w:cstheme="minorHAnsi"/>
          <w:noProof/>
          <w:lang w:val="es-ES"/>
        </w:rPr>
      </w:pPr>
      <w:r w:rsidRPr="00196369">
        <w:rPr>
          <w:rFonts w:cstheme="minorHAnsi"/>
          <w:noProof/>
          <w:lang w:val="es-ES"/>
        </w:rPr>
        <w:t>5</w:t>
      </w:r>
      <w:r w:rsidR="00C32383" w:rsidRPr="00196369">
        <w:rPr>
          <w:rFonts w:cstheme="minorHAnsi"/>
          <w:noProof/>
          <w:lang w:val="es-ES"/>
        </w:rPr>
        <w:t xml:space="preserve">. </w:t>
      </w:r>
      <w:r w:rsidR="00C32383" w:rsidRPr="00196369">
        <w:rPr>
          <w:rFonts w:cstheme="minorHAnsi"/>
          <w:noProof/>
          <w:lang w:val="es-ES"/>
        </w:rPr>
        <w:tab/>
      </w:r>
      <w:r w:rsidR="00717539" w:rsidRPr="00196369">
        <w:rPr>
          <w:rFonts w:cstheme="minorHAnsi"/>
          <w:noProof/>
          <w:lang w:val="es-ES"/>
        </w:rPr>
        <w:t xml:space="preserve">La lista de decisiones pendientes consta de 12 decisiones de la reunión SC62 y 13 decisiones de reuniones anteriores. La Secretaría ha </w:t>
      </w:r>
      <w:r w:rsidR="003925B7" w:rsidRPr="00196369">
        <w:rPr>
          <w:rFonts w:cstheme="minorHAnsi"/>
          <w:noProof/>
          <w:lang w:val="es-ES"/>
        </w:rPr>
        <w:t>estipulado</w:t>
      </w:r>
      <w:r w:rsidR="00717539" w:rsidRPr="00196369">
        <w:rPr>
          <w:rFonts w:cstheme="minorHAnsi"/>
          <w:noProof/>
          <w:lang w:val="es-ES"/>
        </w:rPr>
        <w:t xml:space="preserve"> </w:t>
      </w:r>
      <w:r w:rsidR="003925B7" w:rsidRPr="00196369">
        <w:rPr>
          <w:rFonts w:cstheme="minorHAnsi"/>
          <w:noProof/>
          <w:lang w:val="es-ES"/>
        </w:rPr>
        <w:t>una acción</w:t>
      </w:r>
      <w:r w:rsidR="00717539" w:rsidRPr="00196369">
        <w:rPr>
          <w:rFonts w:cstheme="minorHAnsi"/>
          <w:noProof/>
          <w:lang w:val="es-ES"/>
        </w:rPr>
        <w:t xml:space="preserve"> </w:t>
      </w:r>
      <w:r w:rsidR="003925B7" w:rsidRPr="00196369">
        <w:rPr>
          <w:rFonts w:cstheme="minorHAnsi"/>
          <w:noProof/>
          <w:lang w:val="es-ES"/>
        </w:rPr>
        <w:t xml:space="preserve">propuesta </w:t>
      </w:r>
      <w:r w:rsidR="00717539" w:rsidRPr="00196369">
        <w:rPr>
          <w:rFonts w:cstheme="minorHAnsi"/>
          <w:noProof/>
          <w:lang w:val="es-ES"/>
        </w:rPr>
        <w:t xml:space="preserve">para </w:t>
      </w:r>
      <w:r w:rsidR="00A0003A" w:rsidRPr="00196369">
        <w:rPr>
          <w:rFonts w:cstheme="minorHAnsi"/>
          <w:noProof/>
          <w:lang w:val="es-ES"/>
        </w:rPr>
        <w:t>eliminar</w:t>
      </w:r>
      <w:r w:rsidR="00717539" w:rsidRPr="00196369">
        <w:rPr>
          <w:rFonts w:cstheme="minorHAnsi"/>
          <w:noProof/>
          <w:lang w:val="es-ES"/>
        </w:rPr>
        <w:t xml:space="preserve"> o aplicar cada </w:t>
      </w:r>
      <w:r w:rsidR="00A0003A" w:rsidRPr="00196369">
        <w:rPr>
          <w:rFonts w:cstheme="minorHAnsi"/>
          <w:noProof/>
          <w:lang w:val="es-ES"/>
        </w:rPr>
        <w:t>una de las decisiones</w:t>
      </w:r>
      <w:r w:rsidR="00717539" w:rsidRPr="00196369">
        <w:rPr>
          <w:rFonts w:cstheme="minorHAnsi"/>
          <w:noProof/>
          <w:lang w:val="es-ES"/>
        </w:rPr>
        <w:t xml:space="preserve">. En algunos casos, las decisiones tienen un efecto </w:t>
      </w:r>
      <w:r w:rsidR="00FB703E" w:rsidRPr="00196369">
        <w:rPr>
          <w:rFonts w:cstheme="minorHAnsi"/>
          <w:noProof/>
          <w:lang w:val="es-ES"/>
        </w:rPr>
        <w:t>permanente</w:t>
      </w:r>
      <w:r w:rsidR="00717539" w:rsidRPr="00196369">
        <w:rPr>
          <w:rFonts w:cstheme="minorHAnsi"/>
          <w:noProof/>
          <w:lang w:val="es-ES"/>
        </w:rPr>
        <w:t xml:space="preserve"> y debe</w:t>
      </w:r>
      <w:r w:rsidR="00FB703E" w:rsidRPr="00196369">
        <w:rPr>
          <w:rFonts w:cstheme="minorHAnsi"/>
          <w:noProof/>
          <w:lang w:val="es-ES"/>
        </w:rPr>
        <w:t>rá</w:t>
      </w:r>
      <w:r w:rsidR="00717539" w:rsidRPr="00196369">
        <w:rPr>
          <w:rFonts w:cstheme="minorHAnsi"/>
          <w:noProof/>
          <w:lang w:val="es-ES"/>
        </w:rPr>
        <w:t xml:space="preserve">n </w:t>
      </w:r>
      <w:r w:rsidR="0053645B" w:rsidRPr="00196369">
        <w:rPr>
          <w:rFonts w:cstheme="minorHAnsi"/>
          <w:noProof/>
          <w:lang w:val="es-ES"/>
        </w:rPr>
        <w:t>añadirse a</w:t>
      </w:r>
      <w:r w:rsidR="00717539" w:rsidRPr="00196369">
        <w:rPr>
          <w:rFonts w:cstheme="minorHAnsi"/>
          <w:noProof/>
          <w:lang w:val="es-ES"/>
        </w:rPr>
        <w:t xml:space="preserve"> resoluciones futuras.</w:t>
      </w:r>
    </w:p>
    <w:p w14:paraId="0045C0EC" w14:textId="77777777" w:rsidR="0007175F" w:rsidRPr="00196369" w:rsidRDefault="0007175F" w:rsidP="00FB703E">
      <w:pPr>
        <w:pStyle w:val="NoSpacing"/>
        <w:ind w:left="0" w:firstLine="0"/>
        <w:rPr>
          <w:noProof/>
          <w:lang w:val="es-ES"/>
        </w:rPr>
      </w:pPr>
      <w:bookmarkStart w:id="2" w:name="_Hlk63613538"/>
    </w:p>
    <w:p w14:paraId="0F06C680" w14:textId="4DA42020" w:rsidR="0007175F" w:rsidRPr="00196369" w:rsidRDefault="00BC053B" w:rsidP="0007175F">
      <w:pPr>
        <w:rPr>
          <w:rFonts w:cs="Arial"/>
          <w:b/>
          <w:noProof/>
          <w:lang w:val="es-ES"/>
        </w:rPr>
      </w:pPr>
      <w:r w:rsidRPr="00196369">
        <w:rPr>
          <w:rFonts w:cs="Arial"/>
          <w:b/>
          <w:noProof/>
          <w:lang w:val="es-ES"/>
        </w:rPr>
        <w:t>Medidas para su examen</w:t>
      </w:r>
    </w:p>
    <w:p w14:paraId="11F9C8CA" w14:textId="77777777" w:rsidR="00307E02" w:rsidRPr="00196369" w:rsidRDefault="00307E02" w:rsidP="0007175F">
      <w:pPr>
        <w:rPr>
          <w:noProof/>
          <w:lang w:val="es-ES"/>
        </w:rPr>
      </w:pPr>
    </w:p>
    <w:p w14:paraId="1099B6DF" w14:textId="3D1B5F88" w:rsidR="00BC053B" w:rsidRPr="00196369" w:rsidRDefault="00DF6B79" w:rsidP="0007175F">
      <w:pPr>
        <w:rPr>
          <w:noProof/>
          <w:lang w:val="es-ES"/>
        </w:rPr>
      </w:pPr>
      <w:r w:rsidRPr="00196369">
        <w:rPr>
          <w:noProof/>
          <w:lang w:val="es-ES"/>
        </w:rPr>
        <w:t>6</w:t>
      </w:r>
      <w:r w:rsidR="00307E02" w:rsidRPr="00196369">
        <w:rPr>
          <w:noProof/>
          <w:lang w:val="es-ES"/>
        </w:rPr>
        <w:t xml:space="preserve">. </w:t>
      </w:r>
      <w:r w:rsidR="00307E02" w:rsidRPr="00196369">
        <w:rPr>
          <w:noProof/>
          <w:lang w:val="es-ES"/>
        </w:rPr>
        <w:tab/>
      </w:r>
      <w:r w:rsidR="00B5783D" w:rsidRPr="00196369">
        <w:rPr>
          <w:noProof/>
          <w:lang w:val="es-ES"/>
        </w:rPr>
        <w:t xml:space="preserve">La Secretaría recomienda que el Comité Permanente acuerde que las listas de decisiones relacionadas con este documento </w:t>
      </w:r>
      <w:r w:rsidR="00CF107B" w:rsidRPr="00196369">
        <w:rPr>
          <w:noProof/>
          <w:lang w:val="es-ES"/>
        </w:rPr>
        <w:t>y enumeradas</w:t>
      </w:r>
      <w:r w:rsidR="00B5783D" w:rsidRPr="00196369">
        <w:rPr>
          <w:noProof/>
          <w:lang w:val="es-ES"/>
        </w:rPr>
        <w:t xml:space="preserve"> en el Anexo </w:t>
      </w:r>
      <w:r w:rsidR="00A0003A" w:rsidRPr="00196369">
        <w:rPr>
          <w:noProof/>
          <w:lang w:val="es-ES"/>
        </w:rPr>
        <w:t>1</w:t>
      </w:r>
      <w:r w:rsidR="00B5783D" w:rsidRPr="00196369">
        <w:rPr>
          <w:noProof/>
          <w:lang w:val="es-ES"/>
        </w:rPr>
        <w:t xml:space="preserve"> </w:t>
      </w:r>
      <w:r w:rsidR="00CF107B" w:rsidRPr="00196369">
        <w:rPr>
          <w:noProof/>
          <w:lang w:val="es-ES"/>
        </w:rPr>
        <w:t>cumplan el</w:t>
      </w:r>
      <w:r w:rsidR="00A0003A" w:rsidRPr="00196369">
        <w:rPr>
          <w:noProof/>
          <w:lang w:val="es-ES"/>
        </w:rPr>
        <w:t xml:space="preserve"> primer y segundo paso</w:t>
      </w:r>
      <w:r w:rsidR="00B5783D" w:rsidRPr="00196369">
        <w:rPr>
          <w:noProof/>
          <w:lang w:val="es-ES"/>
        </w:rPr>
        <w:t xml:space="preserve"> de las instrucciones proporcionadas en la Decisión SC62-21.</w:t>
      </w:r>
    </w:p>
    <w:p w14:paraId="16C9E3DD" w14:textId="77777777" w:rsidR="00216875" w:rsidRPr="00196369" w:rsidRDefault="00216875" w:rsidP="00216875">
      <w:pPr>
        <w:ind w:left="0" w:firstLine="0"/>
        <w:rPr>
          <w:noProof/>
          <w:lang w:val="es-ES"/>
        </w:rPr>
      </w:pPr>
    </w:p>
    <w:bookmarkEnd w:id="2"/>
    <w:p w14:paraId="316FA0A5" w14:textId="066AB920" w:rsidR="00B5783D" w:rsidRPr="00196369" w:rsidRDefault="00DF6B79" w:rsidP="00E65069">
      <w:pPr>
        <w:pStyle w:val="NoSpacing"/>
        <w:rPr>
          <w:noProof/>
          <w:lang w:val="es-ES"/>
        </w:rPr>
      </w:pPr>
      <w:r w:rsidRPr="00196369">
        <w:rPr>
          <w:noProof/>
          <w:lang w:val="es-ES"/>
        </w:rPr>
        <w:lastRenderedPageBreak/>
        <w:t>7</w:t>
      </w:r>
      <w:r w:rsidR="00216875" w:rsidRPr="00196369">
        <w:rPr>
          <w:noProof/>
          <w:lang w:val="es-ES"/>
        </w:rPr>
        <w:t>.</w:t>
      </w:r>
      <w:r w:rsidR="00216875" w:rsidRPr="00196369">
        <w:rPr>
          <w:noProof/>
          <w:lang w:val="es-ES"/>
        </w:rPr>
        <w:tab/>
      </w:r>
      <w:r w:rsidR="004C7607" w:rsidRPr="00196369">
        <w:rPr>
          <w:noProof/>
          <w:lang w:val="es-ES"/>
        </w:rPr>
        <w:t xml:space="preserve">La Secretaría recomienda que, cuando proceda, las decisiones “pendientes” del Comité Permanente se </w:t>
      </w:r>
      <w:r w:rsidR="003925B7" w:rsidRPr="00196369">
        <w:rPr>
          <w:noProof/>
          <w:lang w:val="es-ES"/>
        </w:rPr>
        <w:t>añadan a</w:t>
      </w:r>
      <w:r w:rsidR="004C7607" w:rsidRPr="00196369">
        <w:rPr>
          <w:noProof/>
          <w:lang w:val="es-ES"/>
        </w:rPr>
        <w:t xml:space="preserve"> resoluciones futuras, de modo que dichas decisiones puedan considerarse “aplicadas” y eliminarse de la lista de decisiones “pendientes”.</w:t>
      </w:r>
    </w:p>
    <w:p w14:paraId="0451A24F" w14:textId="77777777" w:rsidR="004C7607" w:rsidRPr="00196369" w:rsidRDefault="004C7607" w:rsidP="00E65069">
      <w:pPr>
        <w:pStyle w:val="NoSpacing"/>
        <w:rPr>
          <w:noProof/>
          <w:lang w:val="es-ES"/>
        </w:rPr>
      </w:pPr>
    </w:p>
    <w:p w14:paraId="174F804E" w14:textId="77777777" w:rsidR="00D46621" w:rsidRPr="00196369" w:rsidRDefault="00D46621">
      <w:pPr>
        <w:rPr>
          <w:rFonts w:cs="Arial"/>
          <w:b/>
          <w:noProof/>
          <w:sz w:val="24"/>
          <w:szCs w:val="24"/>
          <w:lang w:val="es-ES"/>
        </w:rPr>
      </w:pPr>
      <w:r w:rsidRPr="00196369">
        <w:rPr>
          <w:rFonts w:cs="Arial"/>
          <w:b/>
          <w:noProof/>
          <w:sz w:val="24"/>
          <w:szCs w:val="24"/>
          <w:lang w:val="es-ES"/>
        </w:rPr>
        <w:br w:type="page"/>
      </w:r>
    </w:p>
    <w:p w14:paraId="1FCF8AAA" w14:textId="6BB4EF5C" w:rsidR="00EC673C" w:rsidRPr="00196369" w:rsidRDefault="004C7607" w:rsidP="00EC673C">
      <w:pPr>
        <w:ind w:left="0" w:firstLine="0"/>
        <w:rPr>
          <w:rFonts w:cs="Arial"/>
          <w:b/>
          <w:noProof/>
          <w:sz w:val="24"/>
          <w:szCs w:val="24"/>
          <w:lang w:val="es-ES"/>
        </w:rPr>
      </w:pPr>
      <w:r w:rsidRPr="00196369">
        <w:rPr>
          <w:rFonts w:cs="Arial"/>
          <w:b/>
          <w:noProof/>
          <w:sz w:val="24"/>
          <w:szCs w:val="24"/>
          <w:lang w:val="es-ES"/>
        </w:rPr>
        <w:lastRenderedPageBreak/>
        <w:t>Anexo</w:t>
      </w:r>
      <w:r w:rsidR="00EC673C" w:rsidRPr="00196369">
        <w:rPr>
          <w:rFonts w:cs="Arial"/>
          <w:b/>
          <w:noProof/>
          <w:sz w:val="24"/>
          <w:szCs w:val="24"/>
          <w:lang w:val="es-ES"/>
        </w:rPr>
        <w:t xml:space="preserve"> </w:t>
      </w:r>
      <w:r w:rsidR="00A47F9E" w:rsidRPr="00196369">
        <w:rPr>
          <w:rFonts w:cs="Arial"/>
          <w:b/>
          <w:noProof/>
          <w:sz w:val="24"/>
          <w:szCs w:val="24"/>
          <w:lang w:val="es-ES"/>
        </w:rPr>
        <w:t>1</w:t>
      </w:r>
    </w:p>
    <w:p w14:paraId="04622011" w14:textId="13A314B3" w:rsidR="00A47F9E" w:rsidRPr="00196369" w:rsidRDefault="00A47F9E" w:rsidP="00EC673C">
      <w:pPr>
        <w:ind w:left="0" w:firstLine="0"/>
        <w:rPr>
          <w:rFonts w:cs="Arial"/>
          <w:b/>
          <w:noProof/>
          <w:sz w:val="24"/>
          <w:szCs w:val="24"/>
          <w:lang w:val="es-ES"/>
        </w:rPr>
      </w:pPr>
      <w:r w:rsidRPr="00196369">
        <w:rPr>
          <w:rFonts w:cs="Arial"/>
          <w:b/>
          <w:noProof/>
          <w:sz w:val="24"/>
          <w:szCs w:val="24"/>
          <w:lang w:val="es-ES"/>
        </w:rPr>
        <w:t>List</w:t>
      </w:r>
      <w:r w:rsidR="004C7607" w:rsidRPr="00196369">
        <w:rPr>
          <w:rFonts w:cs="Arial"/>
          <w:b/>
          <w:noProof/>
          <w:sz w:val="24"/>
          <w:szCs w:val="24"/>
          <w:lang w:val="es-ES"/>
        </w:rPr>
        <w:t>a de decisiones pendientes del Comité Permanente</w:t>
      </w:r>
    </w:p>
    <w:p w14:paraId="47083E9A" w14:textId="22567450" w:rsidR="00A47F9E" w:rsidRPr="00196369" w:rsidRDefault="00A47F9E" w:rsidP="00EC673C">
      <w:pPr>
        <w:ind w:left="0" w:firstLine="0"/>
        <w:rPr>
          <w:rFonts w:cs="Arial"/>
          <w:b/>
          <w:noProof/>
          <w:sz w:val="24"/>
          <w:szCs w:val="24"/>
          <w:lang w:val="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6"/>
        <w:gridCol w:w="567"/>
        <w:gridCol w:w="4819"/>
        <w:gridCol w:w="2977"/>
      </w:tblGrid>
      <w:tr w:rsidR="00196369" w:rsidRPr="00196369" w14:paraId="639F31B7" w14:textId="77777777" w:rsidTr="00D46621">
        <w:trPr>
          <w:cantSplit/>
          <w:tblHeader/>
        </w:trPr>
        <w:tc>
          <w:tcPr>
            <w:tcW w:w="846" w:type="dxa"/>
            <w:shd w:val="clear" w:color="auto" w:fill="auto"/>
            <w:hideMark/>
          </w:tcPr>
          <w:p w14:paraId="7314BFEC" w14:textId="5EC5697B" w:rsidR="00A47F9E" w:rsidRPr="00196369" w:rsidRDefault="004C7607" w:rsidP="00A47F9E">
            <w:pPr>
              <w:ind w:left="0" w:firstLine="0"/>
              <w:rPr>
                <w:rFonts w:eastAsia="Times New Roman" w:cs="Calibri"/>
                <w:b/>
                <w:bCs/>
                <w:noProof/>
                <w:sz w:val="20"/>
                <w:szCs w:val="20"/>
                <w:lang w:val="es-ES" w:eastAsia="en-GB"/>
              </w:rPr>
            </w:pPr>
            <w:r w:rsidRPr="00196369">
              <w:rPr>
                <w:rFonts w:eastAsia="Times New Roman" w:cs="Calibri"/>
                <w:b/>
                <w:bCs/>
                <w:noProof/>
                <w:sz w:val="20"/>
                <w:szCs w:val="20"/>
                <w:lang w:val="es-ES" w:eastAsia="en-GB"/>
              </w:rPr>
              <w:t>Reunión</w:t>
            </w:r>
          </w:p>
        </w:tc>
        <w:tc>
          <w:tcPr>
            <w:tcW w:w="567" w:type="dxa"/>
            <w:shd w:val="clear" w:color="auto" w:fill="auto"/>
            <w:hideMark/>
          </w:tcPr>
          <w:p w14:paraId="7E13B7F1" w14:textId="0BE48B2F" w:rsidR="00A47F9E" w:rsidRPr="00196369" w:rsidRDefault="004C7607" w:rsidP="00A47F9E">
            <w:pPr>
              <w:ind w:left="0" w:firstLine="0"/>
              <w:rPr>
                <w:rFonts w:eastAsia="Times New Roman" w:cs="Calibri"/>
                <w:b/>
                <w:bCs/>
                <w:noProof/>
                <w:sz w:val="20"/>
                <w:szCs w:val="20"/>
                <w:lang w:val="es-ES" w:eastAsia="en-GB"/>
              </w:rPr>
            </w:pPr>
            <w:r w:rsidRPr="00196369">
              <w:rPr>
                <w:rFonts w:eastAsia="Times New Roman" w:cs="Calibri"/>
                <w:b/>
                <w:bCs/>
                <w:noProof/>
                <w:sz w:val="20"/>
                <w:szCs w:val="20"/>
                <w:lang w:val="es-ES" w:eastAsia="en-GB"/>
              </w:rPr>
              <w:t>Año</w:t>
            </w:r>
          </w:p>
        </w:tc>
        <w:tc>
          <w:tcPr>
            <w:tcW w:w="4819" w:type="dxa"/>
          </w:tcPr>
          <w:p w14:paraId="55849874" w14:textId="56524BA9" w:rsidR="00A47F9E" w:rsidRPr="00196369" w:rsidRDefault="004C7607" w:rsidP="00A47F9E">
            <w:pPr>
              <w:ind w:left="0" w:firstLine="0"/>
              <w:rPr>
                <w:rFonts w:eastAsia="Times New Roman" w:cs="Calibri"/>
                <w:b/>
                <w:bCs/>
                <w:noProof/>
                <w:sz w:val="20"/>
                <w:szCs w:val="20"/>
                <w:lang w:val="es-ES" w:eastAsia="en-GB"/>
              </w:rPr>
            </w:pPr>
            <w:r w:rsidRPr="00196369">
              <w:rPr>
                <w:rFonts w:eastAsia="Times New Roman" w:cs="Calibri"/>
                <w:b/>
                <w:bCs/>
                <w:noProof/>
                <w:sz w:val="20"/>
                <w:szCs w:val="20"/>
                <w:lang w:val="es-ES" w:eastAsia="en-GB"/>
              </w:rPr>
              <w:t>Título</w:t>
            </w:r>
          </w:p>
        </w:tc>
        <w:tc>
          <w:tcPr>
            <w:tcW w:w="2977" w:type="dxa"/>
          </w:tcPr>
          <w:p w14:paraId="5AD97660" w14:textId="64AE5614" w:rsidR="00A47F9E" w:rsidRPr="00196369" w:rsidRDefault="004C7607" w:rsidP="00A47F9E">
            <w:pPr>
              <w:ind w:left="0" w:firstLine="0"/>
              <w:rPr>
                <w:rFonts w:eastAsia="Times New Roman" w:cs="Calibri"/>
                <w:b/>
                <w:bCs/>
                <w:noProof/>
                <w:sz w:val="20"/>
                <w:szCs w:val="20"/>
                <w:lang w:val="es-ES" w:eastAsia="en-GB"/>
              </w:rPr>
            </w:pPr>
            <w:r w:rsidRPr="00196369">
              <w:rPr>
                <w:rFonts w:eastAsia="Times New Roman" w:cs="Calibri"/>
                <w:b/>
                <w:bCs/>
                <w:noProof/>
                <w:sz w:val="20"/>
                <w:szCs w:val="20"/>
                <w:lang w:val="es-ES" w:eastAsia="en-GB"/>
              </w:rPr>
              <w:t xml:space="preserve">Comentario </w:t>
            </w:r>
            <w:r w:rsidR="00A47F9E" w:rsidRPr="00196369">
              <w:rPr>
                <w:rFonts w:eastAsia="Times New Roman" w:cs="Calibri"/>
                <w:b/>
                <w:bCs/>
                <w:noProof/>
                <w:sz w:val="20"/>
                <w:szCs w:val="20"/>
                <w:lang w:val="es-ES" w:eastAsia="en-GB"/>
              </w:rPr>
              <w:t xml:space="preserve">/ </w:t>
            </w:r>
            <w:r w:rsidRPr="00196369">
              <w:rPr>
                <w:rFonts w:eastAsia="Times New Roman" w:cs="Calibri"/>
                <w:b/>
                <w:bCs/>
                <w:noProof/>
                <w:sz w:val="20"/>
                <w:szCs w:val="20"/>
                <w:lang w:val="es-ES" w:eastAsia="en-GB"/>
              </w:rPr>
              <w:t>Acción propuesta</w:t>
            </w:r>
          </w:p>
        </w:tc>
      </w:tr>
      <w:tr w:rsidR="00196369" w:rsidRPr="003862E6" w14:paraId="614A50B3" w14:textId="77777777" w:rsidTr="00D46621">
        <w:trPr>
          <w:cantSplit/>
        </w:trPr>
        <w:tc>
          <w:tcPr>
            <w:tcW w:w="846" w:type="dxa"/>
            <w:shd w:val="clear" w:color="auto" w:fill="auto"/>
            <w:hideMark/>
          </w:tcPr>
          <w:p w14:paraId="6D432872"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44739DFE"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2280E76D" w14:textId="37A9BCD2" w:rsidR="00A47F9E" w:rsidRPr="00196369" w:rsidRDefault="00C30238"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SC62-17: El Comité Permanente estableció un grupo de trabajo para dirigir el proceso encaminado a lograr una solidez organizativa que apoye la aplicación de la Convención, entre otras cosas mediante la preparación de un proyecto de resolución que será examinado por el Comité Permanente en su 63ª reunión.</w:t>
            </w:r>
          </w:p>
        </w:tc>
        <w:tc>
          <w:tcPr>
            <w:tcW w:w="2977" w:type="dxa"/>
          </w:tcPr>
          <w:p w14:paraId="463B0562" w14:textId="4B53889A" w:rsidR="00A47F9E" w:rsidRPr="00196369" w:rsidRDefault="004C7607"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Los elementos de la decisión se mantienen </w:t>
            </w:r>
            <w:r w:rsidR="00D426B3" w:rsidRPr="00196369">
              <w:rPr>
                <w:rFonts w:eastAsia="Times New Roman" w:cs="Calibri"/>
                <w:noProof/>
                <w:sz w:val="20"/>
                <w:szCs w:val="20"/>
                <w:lang w:val="es-ES" w:eastAsia="en-GB"/>
              </w:rPr>
              <w:t>vigentes</w:t>
            </w:r>
            <w:r w:rsidRPr="00196369">
              <w:rPr>
                <w:rFonts w:eastAsia="Times New Roman" w:cs="Calibri"/>
                <w:noProof/>
                <w:sz w:val="20"/>
                <w:szCs w:val="20"/>
                <w:lang w:val="es-ES" w:eastAsia="en-GB"/>
              </w:rPr>
              <w:t xml:space="preserve"> durante el trienio.</w:t>
            </w:r>
          </w:p>
        </w:tc>
      </w:tr>
      <w:tr w:rsidR="00196369" w:rsidRPr="003862E6" w14:paraId="5DC31BD2" w14:textId="77777777" w:rsidTr="00D46621">
        <w:trPr>
          <w:cantSplit/>
        </w:trPr>
        <w:tc>
          <w:tcPr>
            <w:tcW w:w="846" w:type="dxa"/>
            <w:shd w:val="clear" w:color="auto" w:fill="auto"/>
            <w:hideMark/>
          </w:tcPr>
          <w:p w14:paraId="7B06C388"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4D8836CF"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7DAB8D85" w14:textId="664F3E1E" w:rsidR="00A47F9E" w:rsidRPr="00196369" w:rsidRDefault="00C30238"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SC62-18: El Comité Permanente encargó a la Secretaría que siguiera la opción 1, definida en el documento SC62 Doc.12, utilizando las herramientas existentes para preparar un plan con el fin de presentarlo a la 63ª reunión del Comité Permanente, reconociendo que la aplicación de este tipo de herramientas no sustituiría las negociaciones en persona y observando que el proceso se perfeccionaría en deliberaciones adicionales.</w:t>
            </w:r>
          </w:p>
        </w:tc>
        <w:tc>
          <w:tcPr>
            <w:tcW w:w="2977" w:type="dxa"/>
          </w:tcPr>
          <w:p w14:paraId="39611DDB" w14:textId="64807CBC" w:rsidR="00A47F9E" w:rsidRPr="00196369" w:rsidRDefault="003E23D3"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w:t>
            </w:r>
          </w:p>
        </w:tc>
      </w:tr>
      <w:tr w:rsidR="00196369" w:rsidRPr="003862E6" w14:paraId="45DCA61F" w14:textId="77777777" w:rsidTr="00D46621">
        <w:trPr>
          <w:cantSplit/>
        </w:trPr>
        <w:tc>
          <w:tcPr>
            <w:tcW w:w="846" w:type="dxa"/>
            <w:shd w:val="clear" w:color="auto" w:fill="auto"/>
            <w:hideMark/>
          </w:tcPr>
          <w:p w14:paraId="210F2926"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5DAA52D2"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6A382F15" w14:textId="30216971" w:rsidR="00A47F9E" w:rsidRPr="00196369" w:rsidRDefault="00C30238"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SC62-21: El Comité Permanente aprobó el proceso de tres pasos indicado en el párrafo 23 del documento SC62 Doc.15 para el mantenimiento de la lista de decisiones en vigor del Comité Permanente, con la salvedad de que no se considere que las decisiones más antiguas que estén excluidas de la lista no son aplicables sino que estén accesibles en el sitio web de la Convención y puedan ser incluidas en la lista si se observa que aún están en vigor.</w:t>
            </w:r>
          </w:p>
        </w:tc>
        <w:tc>
          <w:tcPr>
            <w:tcW w:w="2977" w:type="dxa"/>
          </w:tcPr>
          <w:p w14:paraId="08732EF2" w14:textId="5A306488" w:rsidR="00A47F9E" w:rsidRPr="00196369" w:rsidRDefault="003E23D3"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w:t>
            </w:r>
          </w:p>
        </w:tc>
      </w:tr>
      <w:tr w:rsidR="00196369" w:rsidRPr="003862E6" w14:paraId="693690CE" w14:textId="77777777" w:rsidTr="00D46621">
        <w:trPr>
          <w:cantSplit/>
        </w:trPr>
        <w:tc>
          <w:tcPr>
            <w:tcW w:w="846" w:type="dxa"/>
            <w:shd w:val="clear" w:color="auto" w:fill="auto"/>
            <w:hideMark/>
          </w:tcPr>
          <w:p w14:paraId="3CDDD38C"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250964FF"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74745AE2" w14:textId="19D37E68" w:rsidR="00A47F9E" w:rsidRPr="00196369" w:rsidRDefault="00C30238"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SC62-23: El Comité Permanente tomó nota de que se había hecho una convocatoria de propuestas para nuevas iniciativas regionales de Ramsar con arreglo a la Resolución XIV.7, que la fecha límite para remitir respuestas era el 30 de septiembre de 2023, y que en la reunión SC63 la Secretaría informaría al Comité Permanente sobre el resultado de la convocatoria.</w:t>
            </w:r>
          </w:p>
        </w:tc>
        <w:tc>
          <w:tcPr>
            <w:tcW w:w="2977" w:type="dxa"/>
          </w:tcPr>
          <w:p w14:paraId="2ECF7E8C" w14:textId="09C8E08E" w:rsidR="00A47F9E" w:rsidRPr="00196369" w:rsidRDefault="003E23D3"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w:t>
            </w:r>
          </w:p>
        </w:tc>
      </w:tr>
      <w:tr w:rsidR="00196369" w:rsidRPr="003862E6" w14:paraId="10BA8AF7" w14:textId="77777777" w:rsidTr="00D46621">
        <w:trPr>
          <w:cantSplit/>
        </w:trPr>
        <w:tc>
          <w:tcPr>
            <w:tcW w:w="846" w:type="dxa"/>
            <w:shd w:val="clear" w:color="auto" w:fill="auto"/>
            <w:hideMark/>
          </w:tcPr>
          <w:p w14:paraId="6D5E27C5"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502890D9"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3F49BE68" w14:textId="440EF5C6" w:rsidR="00A47F9E" w:rsidRPr="00196369" w:rsidRDefault="00C30238"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SC62-25: El Comité Permanente seleccionó las categorías “Inventarios”, “CECoP”, “Agua, recursos hídricos y gestión de recursos hídricos” y “Evaluación de los valores y servicios de los humedales”, para las que se elaborarían proyectos de consolidación que se examinarían en la reunión SC63.</w:t>
            </w:r>
          </w:p>
        </w:tc>
        <w:tc>
          <w:tcPr>
            <w:tcW w:w="2977" w:type="dxa"/>
          </w:tcPr>
          <w:p w14:paraId="0B1A7300" w14:textId="1E709E99" w:rsidR="00A47F9E" w:rsidRPr="00196369" w:rsidRDefault="003E23D3"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w:t>
            </w:r>
          </w:p>
        </w:tc>
      </w:tr>
      <w:tr w:rsidR="00196369" w:rsidRPr="003862E6" w14:paraId="3CBE6F5E" w14:textId="77777777" w:rsidTr="00D46621">
        <w:trPr>
          <w:cantSplit/>
        </w:trPr>
        <w:tc>
          <w:tcPr>
            <w:tcW w:w="846" w:type="dxa"/>
            <w:shd w:val="clear" w:color="auto" w:fill="auto"/>
            <w:hideMark/>
          </w:tcPr>
          <w:p w14:paraId="5F71CF8A"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2C33C89C"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59A3DC97" w14:textId="6756AE78" w:rsidR="00A47F9E" w:rsidRPr="00196369" w:rsidRDefault="00C30238"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SC62-34: El Comité Permanente tomó nota de los próximos pasos en el apoyo de la Secretaría a las Partes Contratantes acerca de la realización de los inventarios nacionales de humedales, teniendo en cuenta las enmiendas propuestas.</w:t>
            </w:r>
          </w:p>
        </w:tc>
        <w:tc>
          <w:tcPr>
            <w:tcW w:w="2977" w:type="dxa"/>
          </w:tcPr>
          <w:p w14:paraId="7E52777A" w14:textId="307C7F27" w:rsidR="00A47F9E" w:rsidRPr="00196369" w:rsidRDefault="003E23D3"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w:t>
            </w:r>
          </w:p>
        </w:tc>
      </w:tr>
      <w:tr w:rsidR="00196369" w:rsidRPr="00196369" w14:paraId="43C054E5" w14:textId="77777777" w:rsidTr="00D46621">
        <w:trPr>
          <w:cantSplit/>
        </w:trPr>
        <w:tc>
          <w:tcPr>
            <w:tcW w:w="846" w:type="dxa"/>
            <w:shd w:val="clear" w:color="auto" w:fill="auto"/>
            <w:hideMark/>
          </w:tcPr>
          <w:p w14:paraId="70C3404A"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0D863A3E"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71750A9A" w14:textId="6C6B8ED0" w:rsidR="00A47F9E" w:rsidRPr="00196369" w:rsidRDefault="00C30238"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SC62-37: El Comité Permanente tomó nota de las medidas enumeradas en los párrafos 15, 17, 18 y 19 del documento SC62 Doc.8.2 para seguir fomentando el pago de las contribuciones anuales por la Partes Contratantes.</w:t>
            </w:r>
          </w:p>
        </w:tc>
        <w:tc>
          <w:tcPr>
            <w:tcW w:w="2977" w:type="dxa"/>
          </w:tcPr>
          <w:p w14:paraId="3224AAFC" w14:textId="3CB7D803" w:rsidR="00A47F9E" w:rsidRPr="00196369" w:rsidRDefault="009F576C"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Los elementos de la decisión se mantienen vigentes durante el trienio. </w:t>
            </w:r>
            <w:r w:rsidR="0053645B" w:rsidRPr="00196369">
              <w:rPr>
                <w:rFonts w:eastAsia="Times New Roman" w:cs="Calibri"/>
                <w:noProof/>
                <w:sz w:val="20"/>
                <w:szCs w:val="20"/>
                <w:lang w:val="es-ES" w:eastAsia="en-GB"/>
              </w:rPr>
              <w:t>Podrían añadirse</w:t>
            </w:r>
            <w:r w:rsidR="004C7607" w:rsidRPr="00196369">
              <w:rPr>
                <w:rFonts w:eastAsia="Times New Roman" w:cs="Calibri"/>
                <w:noProof/>
                <w:sz w:val="20"/>
                <w:szCs w:val="20"/>
                <w:lang w:val="es-ES" w:eastAsia="en-GB"/>
              </w:rPr>
              <w:t xml:space="preserve"> </w:t>
            </w:r>
            <w:r w:rsidR="0053645B" w:rsidRPr="00196369">
              <w:rPr>
                <w:rFonts w:eastAsia="Times New Roman" w:cs="Calibri"/>
                <w:noProof/>
                <w:sz w:val="20"/>
                <w:szCs w:val="20"/>
                <w:lang w:val="es-ES" w:eastAsia="en-GB"/>
              </w:rPr>
              <w:t>a</w:t>
            </w:r>
            <w:r w:rsidR="004C7607" w:rsidRPr="00196369">
              <w:rPr>
                <w:rFonts w:eastAsia="Times New Roman" w:cs="Calibri"/>
                <w:noProof/>
                <w:sz w:val="20"/>
                <w:szCs w:val="20"/>
                <w:lang w:val="es-ES" w:eastAsia="en-GB"/>
              </w:rPr>
              <w:t xml:space="preserve"> </w:t>
            </w:r>
            <w:r w:rsidR="0053645B" w:rsidRPr="00196369">
              <w:rPr>
                <w:rFonts w:eastAsia="Times New Roman" w:cs="Calibri"/>
                <w:noProof/>
                <w:sz w:val="20"/>
                <w:szCs w:val="20"/>
                <w:lang w:val="es-ES" w:eastAsia="en-GB"/>
              </w:rPr>
              <w:t xml:space="preserve">un </w:t>
            </w:r>
            <w:r w:rsidR="004C7607" w:rsidRPr="00196369">
              <w:rPr>
                <w:rFonts w:eastAsia="Times New Roman" w:cs="Calibri"/>
                <w:noProof/>
                <w:sz w:val="20"/>
                <w:szCs w:val="20"/>
                <w:lang w:val="es-ES" w:eastAsia="en-GB"/>
              </w:rPr>
              <w:t>proyecto de resolución futuro.</w:t>
            </w:r>
          </w:p>
        </w:tc>
      </w:tr>
      <w:tr w:rsidR="00196369" w:rsidRPr="003862E6" w14:paraId="3CDE60C1" w14:textId="77777777" w:rsidTr="00D46621">
        <w:trPr>
          <w:cantSplit/>
        </w:trPr>
        <w:tc>
          <w:tcPr>
            <w:tcW w:w="846" w:type="dxa"/>
            <w:shd w:val="clear" w:color="auto" w:fill="auto"/>
            <w:hideMark/>
          </w:tcPr>
          <w:p w14:paraId="4485BCBE"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lastRenderedPageBreak/>
              <w:t xml:space="preserve"> SC62</w:t>
            </w:r>
          </w:p>
        </w:tc>
        <w:tc>
          <w:tcPr>
            <w:tcW w:w="567" w:type="dxa"/>
            <w:shd w:val="clear" w:color="auto" w:fill="auto"/>
            <w:hideMark/>
          </w:tcPr>
          <w:p w14:paraId="59A69FE9"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68519425" w14:textId="3B26CF50"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SC62-49: El Comité Permanente solicitó al Grupo de Trabajo Administrativo que elaborara un documento en el que se identificara el proceso de contratación de un nuevo Secretario General, para someterlo a la consideración del Comité Permanente en su 63ª reunión, advirtiendo que esta Decisión sustituye la Decisión SC59-40.</w:t>
            </w:r>
          </w:p>
        </w:tc>
        <w:tc>
          <w:tcPr>
            <w:tcW w:w="2977" w:type="dxa"/>
          </w:tcPr>
          <w:p w14:paraId="1CAD3BDD" w14:textId="60DA0F84"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w:t>
            </w:r>
          </w:p>
        </w:tc>
      </w:tr>
      <w:tr w:rsidR="00196369" w:rsidRPr="003862E6" w14:paraId="38C8B695" w14:textId="77777777" w:rsidTr="00D46621">
        <w:trPr>
          <w:cantSplit/>
        </w:trPr>
        <w:tc>
          <w:tcPr>
            <w:tcW w:w="846" w:type="dxa"/>
            <w:shd w:val="clear" w:color="auto" w:fill="auto"/>
            <w:hideMark/>
          </w:tcPr>
          <w:p w14:paraId="3A32B34A"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4614FC4B"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2E1F9DFE" w14:textId="3AEAA49F"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SC62-50: El Comité Permanente solicitó al Grupo de Examen Científico y Técnico que en su 26ª reunión analizara la aplicación del actual sistema de clasificación de humedales de Ramsar, y que luego informara a la 63ª reunión del Comité Permanente, y que incluyera, si fuera necesario, una descripción de un enfoque propuesto para realizar un examen técnico en consulta con las Partes Contratantes, las Organizaciones Internacionales Asociadas y otros acuerdos multilaterales sobre el medio ambiente. Asimismo, solicitó al GECT que considerara el uso de una encuesta de los coordinadores nacionales del GECT y que de esa manera recopilara información técnica sobre el sistema de clasificación de las diferentes regiones.</w:t>
            </w:r>
          </w:p>
        </w:tc>
        <w:tc>
          <w:tcPr>
            <w:tcW w:w="2977" w:type="dxa"/>
          </w:tcPr>
          <w:p w14:paraId="0DFCDD76" w14:textId="2B72339B"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w:t>
            </w:r>
          </w:p>
        </w:tc>
      </w:tr>
      <w:tr w:rsidR="00196369" w:rsidRPr="003862E6" w14:paraId="06B26972" w14:textId="77777777" w:rsidTr="00D46621">
        <w:trPr>
          <w:cantSplit/>
        </w:trPr>
        <w:tc>
          <w:tcPr>
            <w:tcW w:w="846" w:type="dxa"/>
            <w:shd w:val="clear" w:color="auto" w:fill="auto"/>
            <w:hideMark/>
          </w:tcPr>
          <w:p w14:paraId="07114D3F"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3DCD1891"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003452BD" w14:textId="074D7BC8"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SC62-53: El Comité Permanente encargó a la Secretaría que presentara un informe a la reunión SC63 sobre las oportunidades y los retos relacionados con la presentación y actualización de las Fichas Informativas de Ramsar, incluido lo siguiente:</w:t>
            </w:r>
            <w:r w:rsidRPr="00196369">
              <w:rPr>
                <w:rFonts w:eastAsia="Times New Roman" w:cs="Calibri"/>
                <w:noProof/>
                <w:sz w:val="20"/>
                <w:szCs w:val="20"/>
                <w:lang w:val="es-ES" w:eastAsia="en-GB"/>
              </w:rPr>
              <w:br/>
              <w:t>• retos y opciones sistémicos, de procedimiento y otros aspectos técnicos; y</w:t>
            </w:r>
            <w:r w:rsidRPr="00196369">
              <w:rPr>
                <w:rFonts w:eastAsia="Times New Roman" w:cs="Calibri"/>
                <w:noProof/>
                <w:sz w:val="20"/>
                <w:szCs w:val="20"/>
                <w:lang w:val="es-ES" w:eastAsia="en-GB"/>
              </w:rPr>
              <w:br/>
              <w:t>• retos, necesidades y oportunidades en materia financiera.</w:t>
            </w:r>
            <w:r w:rsidRPr="00196369">
              <w:rPr>
                <w:rFonts w:eastAsia="Times New Roman" w:cs="Calibri"/>
                <w:noProof/>
                <w:sz w:val="20"/>
                <w:szCs w:val="20"/>
                <w:lang w:val="es-ES" w:eastAsia="en-GB"/>
              </w:rPr>
              <w:br/>
              <w:t>Para ello, la Secretaría recibirá y cotejará las aportaciones, en consulta con las Partes Contratantes, el GECT y otras partes interesadas. La Secretaría establecerá el método para llevar a cabo la tarea, en consulta con las Partes Contratantes, mediante procedimientos escritos y una o varias sesiones en línea.</w:t>
            </w:r>
          </w:p>
        </w:tc>
        <w:tc>
          <w:tcPr>
            <w:tcW w:w="2977" w:type="dxa"/>
          </w:tcPr>
          <w:p w14:paraId="7256CAE3" w14:textId="0BA26901"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w:t>
            </w:r>
          </w:p>
        </w:tc>
      </w:tr>
      <w:tr w:rsidR="00196369" w:rsidRPr="00196369" w14:paraId="368DC7B3" w14:textId="77777777" w:rsidTr="00D46621">
        <w:trPr>
          <w:cantSplit/>
        </w:trPr>
        <w:tc>
          <w:tcPr>
            <w:tcW w:w="846" w:type="dxa"/>
            <w:shd w:val="clear" w:color="auto" w:fill="auto"/>
            <w:hideMark/>
          </w:tcPr>
          <w:p w14:paraId="0583E966"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309D9D43"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29A6D774" w14:textId="21D4AD7F"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SC62-54: El Comité Permanente decidió que el informe mundial sobre el estado de la Lista de Humedales de Importancia Internacional lo elaboraría la Secretaría tan solo una vez cada trienio, para su presentación a la COP, y derogó la Decisión SC35-28 sobre el mismo tema.</w:t>
            </w:r>
          </w:p>
        </w:tc>
        <w:tc>
          <w:tcPr>
            <w:tcW w:w="2977" w:type="dxa"/>
          </w:tcPr>
          <w:p w14:paraId="00A434E4" w14:textId="06C99ADE"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 Podrían añadirse a un proyecto de resolución futuro.</w:t>
            </w:r>
          </w:p>
        </w:tc>
      </w:tr>
      <w:tr w:rsidR="00196369" w:rsidRPr="003862E6" w14:paraId="0A39B34A" w14:textId="77777777" w:rsidTr="00D46621">
        <w:trPr>
          <w:cantSplit/>
        </w:trPr>
        <w:tc>
          <w:tcPr>
            <w:tcW w:w="846" w:type="dxa"/>
            <w:shd w:val="clear" w:color="auto" w:fill="auto"/>
            <w:hideMark/>
          </w:tcPr>
          <w:p w14:paraId="7832F2B2"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SC62</w:t>
            </w:r>
          </w:p>
        </w:tc>
        <w:tc>
          <w:tcPr>
            <w:tcW w:w="567" w:type="dxa"/>
            <w:shd w:val="clear" w:color="auto" w:fill="auto"/>
            <w:hideMark/>
          </w:tcPr>
          <w:p w14:paraId="559585B5"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2023</w:t>
            </w:r>
          </w:p>
        </w:tc>
        <w:tc>
          <w:tcPr>
            <w:tcW w:w="4819" w:type="dxa"/>
          </w:tcPr>
          <w:p w14:paraId="64375215" w14:textId="382CAD4A"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SC62-55: El Comité Permanente encargó a la Secretaría que enviara una notificación a los coordinadores nacionales, solicitando la presentación de propuestas sobre el fortalecimiento del proceso para inscribir sitios en la Lista de Humedales de Importancia Internacional. Asimismo, le encargó que elaborara un informe de compilación de las propuestas y lo sometiera a la consideración de la reunión SC63 junto con la opinión del Asesor Jurídico.</w:t>
            </w:r>
          </w:p>
        </w:tc>
        <w:tc>
          <w:tcPr>
            <w:tcW w:w="2977" w:type="dxa"/>
          </w:tcPr>
          <w:p w14:paraId="3954EDF5" w14:textId="4DE3254C"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Los elementos de la decisión se mantienen vigentes durante el trienio.</w:t>
            </w:r>
          </w:p>
        </w:tc>
      </w:tr>
      <w:tr w:rsidR="00196369" w:rsidRPr="003862E6" w14:paraId="189DC030" w14:textId="77777777" w:rsidTr="00D46621">
        <w:trPr>
          <w:cantSplit/>
        </w:trPr>
        <w:tc>
          <w:tcPr>
            <w:tcW w:w="846" w:type="dxa"/>
            <w:shd w:val="clear" w:color="auto" w:fill="auto"/>
            <w:hideMark/>
          </w:tcPr>
          <w:p w14:paraId="629FC4D8"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lastRenderedPageBreak/>
              <w:t xml:space="preserve"> SC59</w:t>
            </w:r>
          </w:p>
        </w:tc>
        <w:tc>
          <w:tcPr>
            <w:tcW w:w="567" w:type="dxa"/>
            <w:shd w:val="clear" w:color="auto" w:fill="auto"/>
            <w:hideMark/>
          </w:tcPr>
          <w:p w14:paraId="264F7DB1"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2021</w:t>
            </w:r>
          </w:p>
        </w:tc>
        <w:tc>
          <w:tcPr>
            <w:tcW w:w="4819" w:type="dxa"/>
          </w:tcPr>
          <w:p w14:paraId="5295C65E" w14:textId="5F94ACEC" w:rsidR="00A47F9E" w:rsidRPr="00196369" w:rsidRDefault="002E26F9" w:rsidP="002E26F9">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SC59-25: El Comité Permanente tomó nota con preocupación de las dificultades causadas por la fecha de presentación de los estados financieros auditados, que ha dado lugar a la publicación tardía de los documentos relacionados con cuestiones financieras y ha impedido el cumplimiento del artículo 10 del reglamento, y pidió a la Secretaria General que adoptara las medidas necesarias para garantizar que todos los documentos financieros no relacionados con la auditoría, particularmente aquellos relacionados con solicitudes de fondos adicionales, se distribuyeran con arreglo al artículo 10 con antelación a las reuniones del Subgrupo de Finanzas para facilitar el examen adecuado y apropiado de todas las cuestiones presupuestarias.</w:t>
            </w:r>
          </w:p>
        </w:tc>
        <w:tc>
          <w:tcPr>
            <w:tcW w:w="2977" w:type="dxa"/>
          </w:tcPr>
          <w:p w14:paraId="56E7E089" w14:textId="12AD3D9A" w:rsidR="00A47F9E" w:rsidRPr="00196369" w:rsidRDefault="009F576C"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w:t>
            </w:r>
            <w:r w:rsidR="00064DAD" w:rsidRPr="00196369">
              <w:rPr>
                <w:rFonts w:eastAsia="Times New Roman" w:cs="Calibri"/>
                <w:noProof/>
                <w:sz w:val="20"/>
                <w:szCs w:val="20"/>
                <w:lang w:val="es-ES" w:eastAsia="en-GB"/>
              </w:rPr>
              <w:t xml:space="preserve"> </w:t>
            </w:r>
            <w:r w:rsidRPr="00196369">
              <w:rPr>
                <w:rFonts w:eastAsia="Times New Roman" w:cs="Calibri"/>
                <w:noProof/>
                <w:sz w:val="20"/>
                <w:szCs w:val="20"/>
                <w:lang w:val="es-ES" w:eastAsia="en-GB"/>
              </w:rPr>
              <w:t>Podrían añadirse a un proyecto de resolución futuro.</w:t>
            </w:r>
          </w:p>
        </w:tc>
      </w:tr>
      <w:tr w:rsidR="00196369" w:rsidRPr="003862E6" w14:paraId="32977EDB" w14:textId="77777777" w:rsidTr="00D46621">
        <w:trPr>
          <w:cantSplit/>
        </w:trPr>
        <w:tc>
          <w:tcPr>
            <w:tcW w:w="846" w:type="dxa"/>
            <w:shd w:val="clear" w:color="auto" w:fill="auto"/>
            <w:hideMark/>
          </w:tcPr>
          <w:p w14:paraId="76E2B1CC"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SC57</w:t>
            </w:r>
          </w:p>
        </w:tc>
        <w:tc>
          <w:tcPr>
            <w:tcW w:w="567" w:type="dxa"/>
            <w:shd w:val="clear" w:color="auto" w:fill="auto"/>
            <w:hideMark/>
          </w:tcPr>
          <w:p w14:paraId="71CBE06F"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2019</w:t>
            </w:r>
          </w:p>
        </w:tc>
        <w:tc>
          <w:tcPr>
            <w:tcW w:w="4819" w:type="dxa"/>
          </w:tcPr>
          <w:p w14:paraId="356DEFF2" w14:textId="2D149186" w:rsidR="00A47F9E" w:rsidRPr="00196369" w:rsidRDefault="00647835" w:rsidP="00647835">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SC57-38: El Comité Permanente tomó nota de los progresos realizados en la aplicación de la recomendaciones formuladas en el documento Examen de la Gestión Financiera de los Fondos Complementarios (de uso restringido) de la UICN y aprobó las acciones siguientes:</w:t>
            </w:r>
            <w:r w:rsidR="00A47F9E" w:rsidRPr="00196369">
              <w:rPr>
                <w:rFonts w:eastAsia="Times New Roman" w:cs="Calibri"/>
                <w:noProof/>
                <w:sz w:val="20"/>
                <w:szCs w:val="20"/>
                <w:lang w:val="es-ES" w:eastAsia="en-GB"/>
              </w:rPr>
              <w:br/>
              <w:t xml:space="preserve">a. </w:t>
            </w:r>
            <w:r w:rsidRPr="00196369">
              <w:rPr>
                <w:rFonts w:eastAsia="Times New Roman" w:cs="Calibri"/>
                <w:noProof/>
                <w:sz w:val="20"/>
                <w:szCs w:val="20"/>
                <w:lang w:val="es-ES" w:eastAsia="en-GB"/>
              </w:rPr>
              <w:t>adoptar la utilización de los términos estándar “fondos básicos” y “fondos complementarios” para describir los fondos de Ramsar;</w:t>
            </w:r>
            <w:r w:rsidR="00A47F9E" w:rsidRPr="00196369">
              <w:rPr>
                <w:rFonts w:eastAsia="Times New Roman" w:cs="Calibri"/>
                <w:noProof/>
                <w:sz w:val="20"/>
                <w:szCs w:val="20"/>
                <w:lang w:val="es-ES" w:eastAsia="en-GB"/>
              </w:rPr>
              <w:br/>
              <w:t xml:space="preserve">b. </w:t>
            </w:r>
            <w:r w:rsidRPr="00196369">
              <w:rPr>
                <w:rFonts w:eastAsia="Times New Roman" w:cs="Calibri"/>
                <w:noProof/>
                <w:sz w:val="20"/>
                <w:szCs w:val="20"/>
                <w:lang w:val="es-ES" w:eastAsia="en-GB"/>
              </w:rPr>
              <w:t>trabajar con el auditor en sus reuniones anuales, estudiando la manera más eficaz de hacerlo en función de los costos, entre otras cosas mediante la participación virtual o difundiendo el informe de auditoría al menos tres meses antes de la reunión (o antes), de conformidad con los artículos del reglamento relativos a los documentos para las reuniones; y</w:t>
            </w:r>
            <w:r w:rsidR="00A47F9E" w:rsidRPr="00196369">
              <w:rPr>
                <w:rFonts w:eastAsia="Times New Roman" w:cs="Calibri"/>
                <w:noProof/>
                <w:sz w:val="20"/>
                <w:szCs w:val="20"/>
                <w:lang w:val="es-ES" w:eastAsia="en-GB"/>
              </w:rPr>
              <w:br/>
              <w:t xml:space="preserve">c. </w:t>
            </w:r>
            <w:r w:rsidRPr="00196369">
              <w:rPr>
                <w:rFonts w:eastAsia="Times New Roman" w:cs="Calibri"/>
                <w:noProof/>
                <w:sz w:val="20"/>
                <w:szCs w:val="20"/>
                <w:lang w:val="es-ES" w:eastAsia="en-GB"/>
              </w:rPr>
              <w:t>pedir a la Secretaría que recopile y comparta las preguntas de los miembros del Subgrupo por correo electrónico con antelación y recopile las respuestas del auditor a tiempo para la reunión.</w:t>
            </w:r>
          </w:p>
        </w:tc>
        <w:tc>
          <w:tcPr>
            <w:tcW w:w="2977" w:type="dxa"/>
          </w:tcPr>
          <w:p w14:paraId="559AE6DD" w14:textId="58CF131C" w:rsidR="00A47F9E" w:rsidRPr="00196369" w:rsidRDefault="004C7607" w:rsidP="004C7607">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El Subgrupo de Finanzas podría recomendar al Comité Permanente </w:t>
            </w:r>
            <w:r w:rsidR="00D426B3" w:rsidRPr="00196369">
              <w:rPr>
                <w:rFonts w:eastAsia="Times New Roman" w:cs="Calibri"/>
                <w:noProof/>
                <w:sz w:val="20"/>
                <w:szCs w:val="20"/>
                <w:lang w:val="es-ES" w:eastAsia="en-GB"/>
              </w:rPr>
              <w:t>que esta</w:t>
            </w:r>
            <w:r w:rsidRPr="00196369">
              <w:rPr>
                <w:rFonts w:eastAsia="Times New Roman" w:cs="Calibri"/>
                <w:noProof/>
                <w:sz w:val="20"/>
                <w:szCs w:val="20"/>
                <w:lang w:val="es-ES" w:eastAsia="en-GB"/>
              </w:rPr>
              <w:t xml:space="preserve"> decisión</w:t>
            </w:r>
            <w:r w:rsidR="00D426B3" w:rsidRPr="00196369">
              <w:rPr>
                <w:rFonts w:eastAsia="Times New Roman" w:cs="Calibri"/>
                <w:noProof/>
                <w:sz w:val="20"/>
                <w:szCs w:val="20"/>
                <w:lang w:val="es-ES" w:eastAsia="en-GB"/>
              </w:rPr>
              <w:t xml:space="preserve"> se </w:t>
            </w:r>
            <w:r w:rsidR="0053645B" w:rsidRPr="00196369">
              <w:rPr>
                <w:rFonts w:eastAsia="Times New Roman" w:cs="Calibri"/>
                <w:noProof/>
                <w:sz w:val="20"/>
                <w:szCs w:val="20"/>
                <w:lang w:val="es-ES" w:eastAsia="en-GB"/>
              </w:rPr>
              <w:t>suprima</w:t>
            </w:r>
            <w:r w:rsidRPr="00196369">
              <w:rPr>
                <w:rFonts w:eastAsia="Times New Roman" w:cs="Calibri"/>
                <w:noProof/>
                <w:sz w:val="20"/>
                <w:szCs w:val="20"/>
                <w:lang w:val="es-ES" w:eastAsia="en-GB"/>
              </w:rPr>
              <w:t xml:space="preserve">, dado que </w:t>
            </w:r>
            <w:r w:rsidR="00D426B3" w:rsidRPr="00196369">
              <w:rPr>
                <w:rFonts w:eastAsia="Times New Roman" w:cs="Calibri"/>
                <w:noProof/>
                <w:sz w:val="20"/>
                <w:szCs w:val="20"/>
                <w:lang w:val="es-ES" w:eastAsia="en-GB"/>
              </w:rPr>
              <w:t xml:space="preserve">se refiere específicamente a </w:t>
            </w:r>
            <w:r w:rsidR="00F46BC7" w:rsidRPr="00196369">
              <w:rPr>
                <w:rFonts w:eastAsia="Times New Roman" w:cs="Calibri"/>
                <w:noProof/>
                <w:sz w:val="20"/>
                <w:szCs w:val="20"/>
                <w:lang w:val="es-ES" w:eastAsia="en-GB"/>
              </w:rPr>
              <w:t>que los grupos confirmen</w:t>
            </w:r>
            <w:r w:rsidR="00D426B3" w:rsidRPr="00196369">
              <w:rPr>
                <w:rFonts w:eastAsia="Times New Roman" w:cs="Calibri"/>
                <w:noProof/>
                <w:sz w:val="20"/>
                <w:szCs w:val="20"/>
                <w:lang w:val="es-ES" w:eastAsia="en-GB"/>
              </w:rPr>
              <w:t xml:space="preserve"> las contribuciones pendientes. </w:t>
            </w:r>
          </w:p>
        </w:tc>
      </w:tr>
      <w:tr w:rsidR="00196369" w:rsidRPr="003862E6" w14:paraId="552346B5" w14:textId="77777777" w:rsidTr="00D46621">
        <w:trPr>
          <w:cantSplit/>
        </w:trPr>
        <w:tc>
          <w:tcPr>
            <w:tcW w:w="846" w:type="dxa"/>
            <w:shd w:val="clear" w:color="auto" w:fill="auto"/>
            <w:hideMark/>
          </w:tcPr>
          <w:p w14:paraId="78EA77D7"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SC57</w:t>
            </w:r>
          </w:p>
        </w:tc>
        <w:tc>
          <w:tcPr>
            <w:tcW w:w="567" w:type="dxa"/>
            <w:shd w:val="clear" w:color="auto" w:fill="auto"/>
            <w:hideMark/>
          </w:tcPr>
          <w:p w14:paraId="56045C9A"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2019</w:t>
            </w:r>
          </w:p>
        </w:tc>
        <w:tc>
          <w:tcPr>
            <w:tcW w:w="4819" w:type="dxa"/>
          </w:tcPr>
          <w:p w14:paraId="00617690" w14:textId="0B2D05C0"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Decisión SC57-50: De acuerdo con las responsabilidades definidas en la Resolución 5.2, Asuntos financieros y presupuestarios, Anexo 3, párrafo 8, el Comité Permanente acordó que los saldos no comprometidos o no gastados de las partidas presupuestarias se podrían transferir al año siguiente dentro del trienio y presentar a la siguiente reunión del Subgrupo de Finanzas. </w:t>
            </w:r>
          </w:p>
        </w:tc>
        <w:tc>
          <w:tcPr>
            <w:tcW w:w="2977" w:type="dxa"/>
          </w:tcPr>
          <w:p w14:paraId="360E1408" w14:textId="0DEAC3FB"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 Podrían añadirse a un proyecto de resolución futuro.</w:t>
            </w:r>
          </w:p>
        </w:tc>
      </w:tr>
      <w:tr w:rsidR="00196369" w:rsidRPr="00196369" w14:paraId="28257AA2" w14:textId="77777777" w:rsidTr="00D46621">
        <w:trPr>
          <w:cantSplit/>
        </w:trPr>
        <w:tc>
          <w:tcPr>
            <w:tcW w:w="846" w:type="dxa"/>
            <w:shd w:val="clear" w:color="auto" w:fill="auto"/>
            <w:hideMark/>
          </w:tcPr>
          <w:p w14:paraId="34F1B43D"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SC53</w:t>
            </w:r>
          </w:p>
        </w:tc>
        <w:tc>
          <w:tcPr>
            <w:tcW w:w="567" w:type="dxa"/>
            <w:shd w:val="clear" w:color="auto" w:fill="auto"/>
            <w:hideMark/>
          </w:tcPr>
          <w:p w14:paraId="379C5809"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2017</w:t>
            </w:r>
          </w:p>
        </w:tc>
        <w:tc>
          <w:tcPr>
            <w:tcW w:w="4819" w:type="dxa"/>
          </w:tcPr>
          <w:p w14:paraId="03EA1CE0" w14:textId="7227C328" w:rsidR="00A47F9E" w:rsidRPr="00196369" w:rsidRDefault="00647835" w:rsidP="00647835">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SC53-22: El Comité Permanente decidió continuar celebrando sus reuniones futuras en Gland y acogió con satisfacción el ofrecimiento de Suiza de trabajar con la Secretaría para estudiar la viabilidad de una visita a un sitio Ramsar en Suiza en el marco de una reunión futura sin que esta se sufrague con cargo al presupuesto básico.</w:t>
            </w:r>
          </w:p>
        </w:tc>
        <w:tc>
          <w:tcPr>
            <w:tcW w:w="2977" w:type="dxa"/>
          </w:tcPr>
          <w:p w14:paraId="47627B6A" w14:textId="779ED166" w:rsidR="00A47F9E" w:rsidRPr="00196369" w:rsidRDefault="009F576C"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w:t>
            </w:r>
            <w:r w:rsidR="00302586" w:rsidRPr="00196369">
              <w:rPr>
                <w:rFonts w:eastAsia="Times New Roman" w:cs="Calibri"/>
                <w:noProof/>
                <w:sz w:val="20"/>
                <w:szCs w:val="20"/>
                <w:lang w:val="es-ES" w:eastAsia="en-GB"/>
              </w:rPr>
              <w:t>.</w:t>
            </w:r>
          </w:p>
        </w:tc>
      </w:tr>
      <w:tr w:rsidR="00196369" w:rsidRPr="003862E6" w14:paraId="43D10350" w14:textId="77777777" w:rsidTr="00D46621">
        <w:trPr>
          <w:cantSplit/>
        </w:trPr>
        <w:tc>
          <w:tcPr>
            <w:tcW w:w="846" w:type="dxa"/>
            <w:shd w:val="clear" w:color="auto" w:fill="auto"/>
            <w:hideMark/>
          </w:tcPr>
          <w:p w14:paraId="40DE6C9F"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lastRenderedPageBreak/>
              <w:t xml:space="preserve"> SC52</w:t>
            </w:r>
          </w:p>
        </w:tc>
        <w:tc>
          <w:tcPr>
            <w:tcW w:w="567" w:type="dxa"/>
            <w:shd w:val="clear" w:color="auto" w:fill="auto"/>
            <w:hideMark/>
          </w:tcPr>
          <w:p w14:paraId="2FF9EC73"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2016</w:t>
            </w:r>
          </w:p>
        </w:tc>
        <w:tc>
          <w:tcPr>
            <w:tcW w:w="4819" w:type="dxa"/>
          </w:tcPr>
          <w:p w14:paraId="21F0C5B4" w14:textId="3A8BDCE7" w:rsidR="00A47F9E" w:rsidRPr="00196369" w:rsidRDefault="001F5A08" w:rsidP="001F5A08">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SC52-11: El Comité Permanente decidió que se pidiera al Grupo de Trabajo Administrativo que examinara todos los nuevos memorandos de entendimiento y otros acuerdos de ese tipo entre la Secretaría de Ramsar y otros órganos en su reunión inmediatamente anterior a la reunión del Comité Permanente en la cual se fueran a presentar los acuerdos para su aprobación.</w:t>
            </w:r>
          </w:p>
        </w:tc>
        <w:tc>
          <w:tcPr>
            <w:tcW w:w="2977" w:type="dxa"/>
          </w:tcPr>
          <w:p w14:paraId="725514B3" w14:textId="73965530" w:rsidR="00D426B3" w:rsidRPr="00196369" w:rsidRDefault="00D426B3"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 El Grupo de Trabajo Administrativo analizar</w:t>
            </w:r>
            <w:r w:rsidR="0053645B" w:rsidRPr="00196369">
              <w:rPr>
                <w:rFonts w:eastAsia="Times New Roman" w:cs="Calibri"/>
                <w:noProof/>
                <w:sz w:val="20"/>
                <w:szCs w:val="20"/>
                <w:lang w:val="es-ES" w:eastAsia="en-GB"/>
              </w:rPr>
              <w:t>á</w:t>
            </w:r>
            <w:r w:rsidRPr="00196369">
              <w:rPr>
                <w:rFonts w:eastAsia="Times New Roman" w:cs="Calibri"/>
                <w:noProof/>
                <w:sz w:val="20"/>
                <w:szCs w:val="20"/>
                <w:lang w:val="es-ES" w:eastAsia="en-GB"/>
              </w:rPr>
              <w:t xml:space="preserve"> si recomienda que el Comité Permanente suprima esta decisión.</w:t>
            </w:r>
          </w:p>
          <w:p w14:paraId="6316BCAD" w14:textId="77777777" w:rsidR="00D426B3" w:rsidRPr="00196369" w:rsidRDefault="00D426B3" w:rsidP="00A47F9E">
            <w:pPr>
              <w:ind w:left="0" w:firstLine="0"/>
              <w:rPr>
                <w:rFonts w:eastAsia="Times New Roman" w:cs="Calibri"/>
                <w:noProof/>
                <w:sz w:val="20"/>
                <w:szCs w:val="20"/>
                <w:lang w:val="es-ES" w:eastAsia="en-GB"/>
              </w:rPr>
            </w:pPr>
          </w:p>
          <w:p w14:paraId="2CDD60A2" w14:textId="50585E89" w:rsidR="00A47F9E" w:rsidRPr="00196369" w:rsidRDefault="00A47F9E" w:rsidP="00A47F9E">
            <w:pPr>
              <w:ind w:left="0" w:firstLine="0"/>
              <w:rPr>
                <w:rFonts w:eastAsia="Times New Roman" w:cs="Calibri"/>
                <w:noProof/>
                <w:sz w:val="20"/>
                <w:szCs w:val="20"/>
                <w:lang w:val="es-ES" w:eastAsia="en-GB"/>
              </w:rPr>
            </w:pPr>
          </w:p>
        </w:tc>
      </w:tr>
      <w:tr w:rsidR="00196369" w:rsidRPr="003862E6" w14:paraId="71A79A76" w14:textId="77777777" w:rsidTr="00D46621">
        <w:trPr>
          <w:cantSplit/>
        </w:trPr>
        <w:tc>
          <w:tcPr>
            <w:tcW w:w="846" w:type="dxa"/>
            <w:shd w:val="clear" w:color="auto" w:fill="auto"/>
            <w:hideMark/>
          </w:tcPr>
          <w:p w14:paraId="4478F372"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SC43</w:t>
            </w:r>
          </w:p>
        </w:tc>
        <w:tc>
          <w:tcPr>
            <w:tcW w:w="567" w:type="dxa"/>
            <w:shd w:val="clear" w:color="auto" w:fill="auto"/>
            <w:hideMark/>
          </w:tcPr>
          <w:p w14:paraId="6F203F04"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2011</w:t>
            </w:r>
          </w:p>
        </w:tc>
        <w:tc>
          <w:tcPr>
            <w:tcW w:w="4819" w:type="dxa"/>
          </w:tcPr>
          <w:p w14:paraId="431E7E27" w14:textId="4AC8FD25"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SC43-8: El Comité Permanente decidió que, a fin de racionalizar el proceso de reemplazo de los miembros del Grupo de supervisión de las actividades de CECoP cuando resulte necesario, en caso de que alguno de los Coordinadores Nacionales de CECoP dimitiera durante la primera mitad del trienio en el que hubiera sido elegido, la Secretaría seleccionaría a su sustituto de entre las candidaturas que hubiera recibido durante el trienio sin necesidad de observar el mantenimiento del equilibrio regional.</w:t>
            </w:r>
          </w:p>
        </w:tc>
        <w:tc>
          <w:tcPr>
            <w:tcW w:w="2977" w:type="dxa"/>
          </w:tcPr>
          <w:p w14:paraId="03DA8832" w14:textId="33033C01"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 Podrían añadirse a un proyecto de resolución futuro.</w:t>
            </w:r>
          </w:p>
        </w:tc>
      </w:tr>
      <w:tr w:rsidR="00196369" w:rsidRPr="003862E6" w14:paraId="5B82D214" w14:textId="77777777" w:rsidTr="00D46621">
        <w:trPr>
          <w:cantSplit/>
        </w:trPr>
        <w:tc>
          <w:tcPr>
            <w:tcW w:w="846" w:type="dxa"/>
            <w:shd w:val="clear" w:color="auto" w:fill="auto"/>
            <w:hideMark/>
          </w:tcPr>
          <w:p w14:paraId="45DD98D4"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SC42</w:t>
            </w:r>
          </w:p>
        </w:tc>
        <w:tc>
          <w:tcPr>
            <w:tcW w:w="567" w:type="dxa"/>
            <w:shd w:val="clear" w:color="auto" w:fill="auto"/>
            <w:hideMark/>
          </w:tcPr>
          <w:p w14:paraId="613CCF83"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2011</w:t>
            </w:r>
          </w:p>
        </w:tc>
        <w:tc>
          <w:tcPr>
            <w:tcW w:w="4819" w:type="dxa"/>
          </w:tcPr>
          <w:p w14:paraId="74F1ADE7" w14:textId="02240E0F"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SC42-8: El Comité Permanente decide que la elección del nuevo Comité Permanente se lleve a cabo en una fase temprana de los trabajos de la COP a fin de que haya tiempo suficiente para que los nuevos miembros comprendan mejor sus funciones y responsabilidades. Asimismo decide que comiencen las reuniones regionales preparatorias de la COP a fin de que las distintas regiones señalen a sus nuevos representantes y sean designados por la COP para el Comité Permanente y que se hayan completado sus candidaturas durante las reuniones regionales antes de que dé comienzo la COP; tras la elección de los nuevos miembros del Comité Permanente, estos se encargarán de participar en calidad de observadores en las reuniones del Comité de la Conferencia durante toda la COP y asumirán el control del Comité Permanente al concluir esta.</w:t>
            </w:r>
          </w:p>
        </w:tc>
        <w:tc>
          <w:tcPr>
            <w:tcW w:w="2977" w:type="dxa"/>
          </w:tcPr>
          <w:p w14:paraId="76A96489" w14:textId="1C28E0B3"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 Podrían añadirse a un proyecto de resolución futuro.</w:t>
            </w:r>
          </w:p>
        </w:tc>
      </w:tr>
      <w:tr w:rsidR="00196369" w:rsidRPr="00196369" w14:paraId="1D33AE1E" w14:textId="77777777" w:rsidTr="00D46621">
        <w:trPr>
          <w:cantSplit/>
        </w:trPr>
        <w:tc>
          <w:tcPr>
            <w:tcW w:w="846" w:type="dxa"/>
            <w:shd w:val="clear" w:color="auto" w:fill="auto"/>
            <w:hideMark/>
          </w:tcPr>
          <w:p w14:paraId="44C24246"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SC42</w:t>
            </w:r>
          </w:p>
        </w:tc>
        <w:tc>
          <w:tcPr>
            <w:tcW w:w="567" w:type="dxa"/>
            <w:shd w:val="clear" w:color="auto" w:fill="auto"/>
            <w:hideMark/>
          </w:tcPr>
          <w:p w14:paraId="6B755EAE"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2011</w:t>
            </w:r>
          </w:p>
        </w:tc>
        <w:tc>
          <w:tcPr>
            <w:tcW w:w="4819" w:type="dxa"/>
          </w:tcPr>
          <w:p w14:paraId="10BE1E98" w14:textId="4CF733C5" w:rsidR="00A47F9E" w:rsidRPr="00196369" w:rsidRDefault="001F5A08" w:rsidP="001F5A08">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SC42-32: El Comité Permanente pide a la Secretaría que continúe las conversaciones con Suiza acerca de las opciones para el futuro respecto de su condición de observador permanente y continúe obteniendo asesoramiento jurídico para la interpretación del Reglamento en lo tocante a las prácticas del Comité Permanente.</w:t>
            </w:r>
          </w:p>
        </w:tc>
        <w:tc>
          <w:tcPr>
            <w:tcW w:w="2977" w:type="dxa"/>
          </w:tcPr>
          <w:p w14:paraId="68A8578D" w14:textId="40946659" w:rsidR="00A47F9E" w:rsidRPr="00196369" w:rsidRDefault="009F576C"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w:t>
            </w:r>
          </w:p>
        </w:tc>
      </w:tr>
      <w:tr w:rsidR="00196369" w:rsidRPr="003862E6" w14:paraId="6D660C42" w14:textId="77777777" w:rsidTr="00D46621">
        <w:trPr>
          <w:cantSplit/>
        </w:trPr>
        <w:tc>
          <w:tcPr>
            <w:tcW w:w="846" w:type="dxa"/>
            <w:shd w:val="clear" w:color="auto" w:fill="auto"/>
            <w:hideMark/>
          </w:tcPr>
          <w:p w14:paraId="7B1EA163"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lastRenderedPageBreak/>
              <w:t xml:space="preserve"> SC40</w:t>
            </w:r>
          </w:p>
        </w:tc>
        <w:tc>
          <w:tcPr>
            <w:tcW w:w="567" w:type="dxa"/>
            <w:shd w:val="clear" w:color="auto" w:fill="auto"/>
            <w:hideMark/>
          </w:tcPr>
          <w:p w14:paraId="61224108" w14:textId="77777777" w:rsidR="00A47F9E" w:rsidRPr="00196369" w:rsidRDefault="00A47F9E"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2009</w:t>
            </w:r>
          </w:p>
        </w:tc>
        <w:tc>
          <w:tcPr>
            <w:tcW w:w="4819" w:type="dxa"/>
          </w:tcPr>
          <w:p w14:paraId="7A25C9A9" w14:textId="63CEDFD6" w:rsidR="00A47F9E" w:rsidRPr="00196369" w:rsidRDefault="001F5A08" w:rsidP="00340B42">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SC40-4: El Comité Permanente convino en que, como principio general, se debía establecer una continuidad (anteriores Presidentes, etc.) en todos los subgrupos del Comité Permanente, en particular el Subgrupo de Finanzas y el Subgrupo sobre la COP. En lo que respecta al Comité de Supervisión del GECT, éste debía incluir al anterior Presidente del Comité Permanente, y en lo que respecta al Grupo de Supervisión de las actividades de CECoP, éste debía incluir al anterior Vicepresidente del Comité Permanente para lograr la continuidad –pero dado que, en el caso de estos dos grupos, se necesitaría una decisión de la COP para introducir de forma oficial las adiciones mencionadas, sería útil que durante el ciclo actual se iniciara esa práctica concediéndoles a aquéllos funciones “ex officio”, siempre que ello no supusiera un costo adicional.</w:t>
            </w:r>
          </w:p>
        </w:tc>
        <w:tc>
          <w:tcPr>
            <w:tcW w:w="2977" w:type="dxa"/>
          </w:tcPr>
          <w:p w14:paraId="16B65EF8" w14:textId="42A93F32" w:rsidR="00A47F9E" w:rsidRPr="00196369" w:rsidRDefault="00D426B3" w:rsidP="00A47F9E">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Podría </w:t>
            </w:r>
            <w:r w:rsidR="0053645B" w:rsidRPr="00196369">
              <w:rPr>
                <w:rFonts w:eastAsia="Times New Roman" w:cs="Calibri"/>
                <w:noProof/>
                <w:sz w:val="20"/>
                <w:szCs w:val="20"/>
                <w:lang w:val="es-ES" w:eastAsia="en-GB"/>
              </w:rPr>
              <w:t>añadirse a</w:t>
            </w:r>
            <w:r w:rsidRPr="00196369">
              <w:rPr>
                <w:rFonts w:eastAsia="Times New Roman" w:cs="Calibri"/>
                <w:noProof/>
                <w:sz w:val="20"/>
                <w:szCs w:val="20"/>
                <w:lang w:val="es-ES" w:eastAsia="en-GB"/>
              </w:rPr>
              <w:t xml:space="preserve"> un proyecto de resolución futuro si así lo solicitara el Comité Permanente.</w:t>
            </w:r>
          </w:p>
        </w:tc>
      </w:tr>
      <w:tr w:rsidR="00196369" w:rsidRPr="003862E6" w14:paraId="5D68AAC3" w14:textId="77777777" w:rsidTr="00D46621">
        <w:trPr>
          <w:cantSplit/>
        </w:trPr>
        <w:tc>
          <w:tcPr>
            <w:tcW w:w="846" w:type="dxa"/>
            <w:shd w:val="clear" w:color="auto" w:fill="auto"/>
            <w:hideMark/>
          </w:tcPr>
          <w:p w14:paraId="4684D21A"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SC34</w:t>
            </w:r>
          </w:p>
        </w:tc>
        <w:tc>
          <w:tcPr>
            <w:tcW w:w="567" w:type="dxa"/>
            <w:shd w:val="clear" w:color="auto" w:fill="auto"/>
            <w:hideMark/>
          </w:tcPr>
          <w:p w14:paraId="707D126C"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2006</w:t>
            </w:r>
          </w:p>
        </w:tc>
        <w:tc>
          <w:tcPr>
            <w:tcW w:w="4819" w:type="dxa"/>
          </w:tcPr>
          <w:p w14:paraId="0938B76B" w14:textId="35B9CA6D"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SC34-2: El Comité Permanente tomó nota del informe de la reunión celebrada entre la Secretaría y las OIA en febrero de 2006 y alentó a la Secretaría y a las OIA a que institucionalizaran la celebración anual de reuniones similares. El CP instó a las OIA a que establecieran contactos directos con los coordinadores nacionales de las Partes y a que colaborasen entre ellas cuando en el territorio de una Parte existiera más de una de esas organizaciones, y alentó a las Partes a que incluyeran funcionarios locales de las OIA en sus Comités Nacionales de Ramsar o de los humedales. El CP también instó a los miembros del CP a que explicaran el papel que las OIA desempeñan en Ramsar a otros funcionarios de sus gobiernos. El CP exhortó a las OIA a que asistieran a las Partes, cuando procediese, a aplicar el Plan de Trabajo Conjunto de Ramsar y el CDB, e invitó a las OIA a que informaran periódicamente al CP sobre las actividades pertinentes.</w:t>
            </w:r>
          </w:p>
        </w:tc>
        <w:tc>
          <w:tcPr>
            <w:tcW w:w="2977" w:type="dxa"/>
          </w:tcPr>
          <w:p w14:paraId="5FE132D9" w14:textId="2BD2C41E"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 Podrían añadirse a un proyecto de resolución futuro.</w:t>
            </w:r>
          </w:p>
        </w:tc>
      </w:tr>
      <w:tr w:rsidR="00196369" w:rsidRPr="003862E6" w14:paraId="5A29B6AB" w14:textId="77777777" w:rsidTr="00D46621">
        <w:trPr>
          <w:cantSplit/>
        </w:trPr>
        <w:tc>
          <w:tcPr>
            <w:tcW w:w="846" w:type="dxa"/>
            <w:shd w:val="clear" w:color="auto" w:fill="auto"/>
            <w:hideMark/>
          </w:tcPr>
          <w:p w14:paraId="136BE551"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SC30</w:t>
            </w:r>
          </w:p>
        </w:tc>
        <w:tc>
          <w:tcPr>
            <w:tcW w:w="567" w:type="dxa"/>
            <w:shd w:val="clear" w:color="auto" w:fill="auto"/>
            <w:hideMark/>
          </w:tcPr>
          <w:p w14:paraId="2D490C2D"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2004</w:t>
            </w:r>
          </w:p>
        </w:tc>
        <w:tc>
          <w:tcPr>
            <w:tcW w:w="4819" w:type="dxa"/>
          </w:tcPr>
          <w:p w14:paraId="6664D337" w14:textId="61A1A2B4"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SC30-9: El Comité Permanente reconoció el valor de las reuniones de grupos regionales de Partes Contratantes y países interesados en acceder a la Convención que tienen lugar entre dos reuniones de la COP, y adoptó como meta la realización de por lo menos una reunión inter-sesiones para cada grupo regional en cada trienio. El Comité recomendó que la organización de las reuniones propuestas sean la responsabilidad de uno o varios países en el grupo regional de que se trate con el apoyo de la Oficina, y que el propósito de la reunión y los asuntos a discutir sean flexibles, de manera tal que se satisfagan las prioridades y necesidades de los países concernidos. Se deberán aprovechar las oportunidades que brinda la realización de otras reuniones pertinentes en la región. La Oficina proveerá asesoramiento a los países responsables de organizar las reuniones y participará en ellas como sea apropiado.</w:t>
            </w:r>
          </w:p>
        </w:tc>
        <w:tc>
          <w:tcPr>
            <w:tcW w:w="2977" w:type="dxa"/>
          </w:tcPr>
          <w:p w14:paraId="4507E003" w14:textId="62AD91CA"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 Podrían añadirse a un proyecto de resolución futuro.</w:t>
            </w:r>
          </w:p>
        </w:tc>
      </w:tr>
      <w:tr w:rsidR="00196369" w:rsidRPr="003862E6" w14:paraId="2CA1CF2E" w14:textId="77777777" w:rsidTr="00D46621">
        <w:trPr>
          <w:cantSplit/>
        </w:trPr>
        <w:tc>
          <w:tcPr>
            <w:tcW w:w="846" w:type="dxa"/>
            <w:shd w:val="clear" w:color="auto" w:fill="auto"/>
            <w:hideMark/>
          </w:tcPr>
          <w:p w14:paraId="0D51A753"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lastRenderedPageBreak/>
              <w:t xml:space="preserve"> SC26</w:t>
            </w:r>
          </w:p>
        </w:tc>
        <w:tc>
          <w:tcPr>
            <w:tcW w:w="567" w:type="dxa"/>
            <w:shd w:val="clear" w:color="auto" w:fill="auto"/>
            <w:hideMark/>
          </w:tcPr>
          <w:p w14:paraId="108CCF88"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2001</w:t>
            </w:r>
          </w:p>
        </w:tc>
        <w:tc>
          <w:tcPr>
            <w:tcW w:w="4819" w:type="dxa"/>
          </w:tcPr>
          <w:p w14:paraId="0502469D" w14:textId="6CB4EBC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SC26-40: El Comité Permanente decidió que, salvo que las Resoluciones de la Conferencia de las Partes Contratantes determinen otra cosa, la Oficina asignará del modo siguiente fondos a las delegaciones cuya asistencia a las reuniones de Ramsar se patrocine:</w:t>
            </w:r>
            <w:r w:rsidRPr="00196369">
              <w:rPr>
                <w:rFonts w:eastAsia="Times New Roman" w:cs="Calibri"/>
                <w:noProof/>
                <w:sz w:val="20"/>
                <w:szCs w:val="20"/>
                <w:lang w:val="es-ES" w:eastAsia="en-GB"/>
              </w:rPr>
              <w:br/>
              <w:t>a) los fondos se destinarán en primer lugar a un delegado de cada Parte Contratante en Ramsar que figure en la lista de Países Menos Adelantados (PMA)elaborada por las Naciones Unidas;</w:t>
            </w:r>
            <w:r w:rsidRPr="00196369">
              <w:rPr>
                <w:rFonts w:eastAsia="Times New Roman" w:cs="Calibri"/>
                <w:noProof/>
                <w:sz w:val="20"/>
                <w:szCs w:val="20"/>
                <w:lang w:val="es-ES" w:eastAsia="en-GB"/>
              </w:rPr>
              <w:br/>
              <w:t>b) se asignará fondos adicionales a un delegado de Partes Contratantes que son países en desarrollo y países con economías en transición;</w:t>
            </w:r>
            <w:r w:rsidRPr="00196369">
              <w:rPr>
                <w:rFonts w:eastAsia="Times New Roman" w:cs="Calibri"/>
                <w:noProof/>
                <w:sz w:val="20"/>
                <w:szCs w:val="20"/>
                <w:lang w:val="es-ES" w:eastAsia="en-GB"/>
              </w:rPr>
              <w:br/>
              <w:t>c) de haber más fondos disponibles, serán asignados a un segundo delegado de PMA; y</w:t>
            </w:r>
            <w:r w:rsidRPr="00196369">
              <w:rPr>
                <w:rFonts w:eastAsia="Times New Roman" w:cs="Calibri"/>
                <w:noProof/>
                <w:sz w:val="20"/>
                <w:szCs w:val="20"/>
                <w:lang w:val="es-ES" w:eastAsia="en-GB"/>
              </w:rPr>
              <w:br/>
              <w:t>d) de haber todavía fondos disponibles, se asignarán a un segundo delegado de países en desarrollo y países con economías en transición.</w:t>
            </w:r>
          </w:p>
        </w:tc>
        <w:tc>
          <w:tcPr>
            <w:tcW w:w="2977" w:type="dxa"/>
          </w:tcPr>
          <w:p w14:paraId="435B9CF9" w14:textId="0E601BA2"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 Podrían añadirse a un proyecto de resolución futuro.</w:t>
            </w:r>
          </w:p>
        </w:tc>
      </w:tr>
      <w:tr w:rsidR="00196369" w:rsidRPr="003862E6" w14:paraId="1E445541" w14:textId="77777777" w:rsidTr="00D46621">
        <w:trPr>
          <w:cantSplit/>
        </w:trPr>
        <w:tc>
          <w:tcPr>
            <w:tcW w:w="846" w:type="dxa"/>
            <w:shd w:val="clear" w:color="auto" w:fill="auto"/>
            <w:hideMark/>
          </w:tcPr>
          <w:p w14:paraId="5695DF91"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 xml:space="preserve"> SC25</w:t>
            </w:r>
          </w:p>
        </w:tc>
        <w:tc>
          <w:tcPr>
            <w:tcW w:w="567" w:type="dxa"/>
            <w:shd w:val="clear" w:color="auto" w:fill="auto"/>
            <w:hideMark/>
          </w:tcPr>
          <w:p w14:paraId="4EAE9EEF" w14:textId="77777777"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2000</w:t>
            </w:r>
          </w:p>
        </w:tc>
        <w:tc>
          <w:tcPr>
            <w:tcW w:w="4819" w:type="dxa"/>
          </w:tcPr>
          <w:p w14:paraId="1C1407D3" w14:textId="45095A9F"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Decisión SC25-28: El Comité Permanente decidió que:</w:t>
            </w:r>
            <w:r w:rsidRPr="00196369">
              <w:rPr>
                <w:rFonts w:eastAsia="Times New Roman" w:cs="Calibri"/>
                <w:noProof/>
                <w:sz w:val="20"/>
                <w:szCs w:val="20"/>
                <w:lang w:val="es-ES" w:eastAsia="en-GB"/>
              </w:rPr>
              <w:br/>
              <w:t>a) la Lista de Beneficiarios de Asistencia del CAD de la OCDE deberá continuar empleándose, mutatis mutandis, como aplicable a las Partes Contrantes de Ramsar y otros países que cumplen los requisitos para adherirse a la Convención, a efectos de su elegibilidad para acogerse al FPS en los términos previstos en la Resolución VI.6;</w:t>
            </w:r>
            <w:r w:rsidRPr="00196369">
              <w:rPr>
                <w:rFonts w:eastAsia="Times New Roman" w:cs="Calibri"/>
                <w:noProof/>
                <w:sz w:val="20"/>
                <w:szCs w:val="20"/>
                <w:lang w:val="es-ES" w:eastAsia="en-GB"/>
              </w:rPr>
              <w:br/>
              <w:t>b) la Oficina, a la hora de asignar asistencia para la participación en reuniones de Ramsar, deberá emplear la lista del CAD de la OCDE siguiendo el orden de prioridades siguiente:</w:t>
            </w:r>
            <w:r w:rsidRPr="00196369">
              <w:rPr>
                <w:rFonts w:eastAsia="Times New Roman" w:cs="Calibri"/>
                <w:noProof/>
                <w:sz w:val="20"/>
                <w:szCs w:val="20"/>
                <w:lang w:val="es-ES" w:eastAsia="en-GB"/>
              </w:rPr>
              <w:br/>
              <w:t>i) Partes Contratantes incluidas en la Parte I de la Lista;</w:t>
            </w:r>
            <w:r w:rsidRPr="00196369">
              <w:rPr>
                <w:rFonts w:eastAsia="Times New Roman" w:cs="Calibri"/>
                <w:noProof/>
                <w:sz w:val="20"/>
                <w:szCs w:val="20"/>
                <w:lang w:val="es-ES" w:eastAsia="en-GB"/>
              </w:rPr>
              <w:br/>
              <w:t>ii) Partes Contratantes incluidas en la Parte II de la Lista: países de Europa Central y Oriental y nuevos Estados independientes de la antigua Unión Soviética; y</w:t>
            </w:r>
            <w:r w:rsidRPr="00196369">
              <w:rPr>
                <w:rFonts w:eastAsia="Times New Roman" w:cs="Calibri"/>
                <w:noProof/>
                <w:sz w:val="20"/>
                <w:szCs w:val="20"/>
                <w:lang w:val="es-ES" w:eastAsia="en-GB"/>
              </w:rPr>
              <w:br/>
              <w:t>iii) Partes Contratantes incluidas en la Parte II de la Lista: países y territorios en desarrollo relativamente adelantados;</w:t>
            </w:r>
            <w:r w:rsidRPr="00196369">
              <w:rPr>
                <w:rFonts w:eastAsia="Times New Roman" w:cs="Calibri"/>
                <w:noProof/>
                <w:sz w:val="20"/>
                <w:szCs w:val="20"/>
                <w:lang w:val="es-ES" w:eastAsia="en-GB"/>
              </w:rPr>
              <w:br/>
              <w:t>c) la Oficina deberá preparar un informe sobre las reglamentaciones y prácticas en este sentido de otras convenciones relacionadas con el medio ambiente para que sea examinado por el Comité Permanente en su próxima reunión y para su posible transmisión con recomendaciones a la COP8.</w:t>
            </w:r>
          </w:p>
        </w:tc>
        <w:tc>
          <w:tcPr>
            <w:tcW w:w="2977" w:type="dxa"/>
          </w:tcPr>
          <w:p w14:paraId="477CEAB1" w14:textId="75769F23" w:rsidR="009F576C" w:rsidRPr="00196369" w:rsidRDefault="009F576C" w:rsidP="009F576C">
            <w:pPr>
              <w:ind w:left="0" w:firstLine="0"/>
              <w:rPr>
                <w:rFonts w:eastAsia="Times New Roman" w:cs="Calibri"/>
                <w:noProof/>
                <w:sz w:val="20"/>
                <w:szCs w:val="20"/>
                <w:lang w:val="es-ES" w:eastAsia="en-GB"/>
              </w:rPr>
            </w:pPr>
            <w:r w:rsidRPr="00196369">
              <w:rPr>
                <w:rFonts w:eastAsia="Times New Roman" w:cs="Calibri"/>
                <w:noProof/>
                <w:sz w:val="20"/>
                <w:szCs w:val="20"/>
                <w:lang w:val="es-ES" w:eastAsia="en-GB"/>
              </w:rPr>
              <w:t>Vigente. Podrían añadirse a un proyecto de resolución futuro.</w:t>
            </w:r>
          </w:p>
        </w:tc>
      </w:tr>
    </w:tbl>
    <w:p w14:paraId="69B8D6C9" w14:textId="77777777" w:rsidR="00A47F9E" w:rsidRPr="00196369" w:rsidRDefault="00A47F9E" w:rsidP="00EC673C">
      <w:pPr>
        <w:ind w:left="0" w:firstLine="0"/>
        <w:rPr>
          <w:rFonts w:cs="Arial"/>
          <w:b/>
          <w:noProof/>
          <w:sz w:val="24"/>
          <w:szCs w:val="24"/>
          <w:lang w:val="es-ES"/>
        </w:rPr>
      </w:pPr>
    </w:p>
    <w:p w14:paraId="42DEA47E" w14:textId="72594665" w:rsidR="00A47F9E" w:rsidRPr="00196369" w:rsidRDefault="00A47F9E" w:rsidP="00EC673C">
      <w:pPr>
        <w:ind w:left="0" w:firstLine="0"/>
        <w:rPr>
          <w:rFonts w:cs="Arial"/>
          <w:b/>
          <w:noProof/>
          <w:sz w:val="24"/>
          <w:szCs w:val="24"/>
          <w:lang w:val="es-ES"/>
        </w:rPr>
      </w:pPr>
    </w:p>
    <w:p w14:paraId="65EE7B9D" w14:textId="77777777" w:rsidR="00A47F9E" w:rsidRPr="00196369" w:rsidRDefault="00A47F9E" w:rsidP="00EC673C">
      <w:pPr>
        <w:ind w:left="0" w:firstLine="0"/>
        <w:rPr>
          <w:rFonts w:cs="Arial"/>
          <w:b/>
          <w:noProof/>
          <w:sz w:val="24"/>
          <w:szCs w:val="24"/>
          <w:lang w:val="es-ES"/>
        </w:rPr>
      </w:pPr>
    </w:p>
    <w:sectPr w:rsidR="00A47F9E" w:rsidRPr="00196369" w:rsidSect="002137E0">
      <w:headerReference w:type="even" r:id="rId1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19463" w14:textId="77777777" w:rsidR="0013396B" w:rsidRDefault="0013396B" w:rsidP="00DF2386">
      <w:r>
        <w:separator/>
      </w:r>
    </w:p>
  </w:endnote>
  <w:endnote w:type="continuationSeparator" w:id="0">
    <w:p w14:paraId="2F6E1D46" w14:textId="77777777" w:rsidR="0013396B" w:rsidRDefault="0013396B" w:rsidP="00DF2386">
      <w:r>
        <w:continuationSeparator/>
      </w:r>
    </w:p>
  </w:endnote>
  <w:endnote w:type="continuationNotice" w:id="1">
    <w:p w14:paraId="11A4F36B" w14:textId="77777777" w:rsidR="0013396B" w:rsidRDefault="00133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4DC5" w14:textId="77777777" w:rsidR="00F73E71" w:rsidRDefault="001A05BE" w:rsidP="002137E0">
    <w:pPr>
      <w:pStyle w:val="Header"/>
      <w:rPr>
        <w:noProof/>
      </w:rPr>
    </w:pPr>
    <w:r w:rsidRPr="00533848">
      <w:rPr>
        <w:sz w:val="20"/>
        <w:szCs w:val="20"/>
      </w:rPr>
      <w:t>SC</w:t>
    </w:r>
    <w:r w:rsidR="00164682">
      <w:rPr>
        <w:sz w:val="20"/>
        <w:szCs w:val="20"/>
      </w:rPr>
      <w:t>63</w:t>
    </w:r>
    <w:r>
      <w:rPr>
        <w:sz w:val="20"/>
        <w:szCs w:val="20"/>
      </w:rPr>
      <w:t xml:space="preserve"> </w:t>
    </w:r>
    <w:r w:rsidR="00737C66">
      <w:rPr>
        <w:sz w:val="20"/>
        <w:szCs w:val="20"/>
      </w:rPr>
      <w:t>Doc.</w:t>
    </w:r>
    <w:r w:rsidR="00164682">
      <w:rPr>
        <w:sz w:val="20"/>
        <w:szCs w:val="20"/>
      </w:rPr>
      <w:t>8</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FC17BF">
          <w:rPr>
            <w:noProof/>
            <w:sz w:val="20"/>
            <w:szCs w:val="20"/>
          </w:rPr>
          <w:t>9</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21D00" w14:textId="77777777" w:rsidR="0013396B" w:rsidRDefault="0013396B" w:rsidP="00DF2386">
      <w:r>
        <w:separator/>
      </w:r>
    </w:p>
  </w:footnote>
  <w:footnote w:type="continuationSeparator" w:id="0">
    <w:p w14:paraId="6428B264" w14:textId="77777777" w:rsidR="0013396B" w:rsidRDefault="0013396B" w:rsidP="00DF2386">
      <w:r>
        <w:continuationSeparator/>
      </w:r>
    </w:p>
  </w:footnote>
  <w:footnote w:type="continuationNotice" w:id="1">
    <w:p w14:paraId="183C9CA5" w14:textId="77777777" w:rsidR="0013396B" w:rsidRDefault="00133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5DC4" w14:textId="77777777" w:rsidR="0023536F" w:rsidRDefault="003862E6">
    <w:pPr>
      <w:pStyle w:val="Header"/>
    </w:pPr>
    <w:r>
      <w:rPr>
        <w:noProof/>
      </w:rP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1025" type="#_x0000_t136" alt="" style="position:absolute;left:0;text-align:left;margin-left:0;margin-top:0;width:397.65pt;height:238.6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61B5940"/>
    <w:multiLevelType w:val="hybridMultilevel"/>
    <w:tmpl w:val="5CD0F0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24"/>
  </w:num>
  <w:num w:numId="14">
    <w:abstractNumId w:val="19"/>
  </w:num>
  <w:num w:numId="15">
    <w:abstractNumId w:val="5"/>
  </w:num>
  <w:num w:numId="16">
    <w:abstractNumId w:val="21"/>
  </w:num>
  <w:num w:numId="17">
    <w:abstractNumId w:val="28"/>
  </w:num>
  <w:num w:numId="18">
    <w:abstractNumId w:val="39"/>
  </w:num>
  <w:num w:numId="19">
    <w:abstractNumId w:val="36"/>
  </w:num>
  <w:num w:numId="20">
    <w:abstractNumId w:val="30"/>
  </w:num>
  <w:num w:numId="21">
    <w:abstractNumId w:val="32"/>
  </w:num>
  <w:num w:numId="22">
    <w:abstractNumId w:val="22"/>
  </w:num>
  <w:num w:numId="23">
    <w:abstractNumId w:val="29"/>
  </w:num>
  <w:num w:numId="24">
    <w:abstractNumId w:val="26"/>
  </w:num>
  <w:num w:numId="25">
    <w:abstractNumId w:val="35"/>
  </w:num>
  <w:num w:numId="26">
    <w:abstractNumId w:val="15"/>
  </w:num>
  <w:num w:numId="27">
    <w:abstractNumId w:val="2"/>
  </w:num>
  <w:num w:numId="28">
    <w:abstractNumId w:val="18"/>
  </w:num>
  <w:num w:numId="29">
    <w:abstractNumId w:val="6"/>
  </w:num>
  <w:num w:numId="30">
    <w:abstractNumId w:val="16"/>
  </w:num>
  <w:num w:numId="31">
    <w:abstractNumId w:val="1"/>
  </w:num>
  <w:num w:numId="32">
    <w:abstractNumId w:val="12"/>
  </w:num>
  <w:num w:numId="33">
    <w:abstractNumId w:val="25"/>
  </w:num>
  <w:num w:numId="34">
    <w:abstractNumId w:val="38"/>
  </w:num>
  <w:num w:numId="35">
    <w:abstractNumId w:val="37"/>
  </w:num>
  <w:num w:numId="36">
    <w:abstractNumId w:val="27"/>
  </w:num>
  <w:num w:numId="37">
    <w:abstractNumId w:val="9"/>
  </w:num>
  <w:num w:numId="38">
    <w:abstractNumId w:val="8"/>
  </w:num>
  <w:num w:numId="39">
    <w:abstractNumId w:val="0"/>
  </w:num>
  <w:num w:numId="40">
    <w:abstractNumId w:val="7"/>
  </w:num>
  <w:num w:numId="41">
    <w:abstractNumId w:val="33"/>
  </w:num>
  <w:num w:numId="42">
    <w:abstractNumId w:val="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603F"/>
    <w:rsid w:val="00014168"/>
    <w:rsid w:val="000142B6"/>
    <w:rsid w:val="00017A16"/>
    <w:rsid w:val="00020F65"/>
    <w:rsid w:val="000217EF"/>
    <w:rsid w:val="00023125"/>
    <w:rsid w:val="00026E09"/>
    <w:rsid w:val="0003169F"/>
    <w:rsid w:val="00037CE0"/>
    <w:rsid w:val="00042981"/>
    <w:rsid w:val="0004527D"/>
    <w:rsid w:val="00050158"/>
    <w:rsid w:val="00053929"/>
    <w:rsid w:val="00060005"/>
    <w:rsid w:val="000631A7"/>
    <w:rsid w:val="00064DAD"/>
    <w:rsid w:val="000710E1"/>
    <w:rsid w:val="0007175F"/>
    <w:rsid w:val="000729B1"/>
    <w:rsid w:val="00074DE8"/>
    <w:rsid w:val="00093844"/>
    <w:rsid w:val="00096787"/>
    <w:rsid w:val="000A3E3E"/>
    <w:rsid w:val="000B3946"/>
    <w:rsid w:val="000B5B72"/>
    <w:rsid w:val="000C2489"/>
    <w:rsid w:val="000C2BE5"/>
    <w:rsid w:val="000D5C76"/>
    <w:rsid w:val="000E2FA0"/>
    <w:rsid w:val="000E373A"/>
    <w:rsid w:val="000E47E9"/>
    <w:rsid w:val="0010271F"/>
    <w:rsid w:val="00103213"/>
    <w:rsid w:val="00107C49"/>
    <w:rsid w:val="00116E09"/>
    <w:rsid w:val="0012096C"/>
    <w:rsid w:val="001251CA"/>
    <w:rsid w:val="00127828"/>
    <w:rsid w:val="0013396B"/>
    <w:rsid w:val="00146012"/>
    <w:rsid w:val="0014749C"/>
    <w:rsid w:val="00161BDA"/>
    <w:rsid w:val="00162642"/>
    <w:rsid w:val="00164682"/>
    <w:rsid w:val="00171618"/>
    <w:rsid w:val="001819B1"/>
    <w:rsid w:val="0019225B"/>
    <w:rsid w:val="00196369"/>
    <w:rsid w:val="001A05BE"/>
    <w:rsid w:val="001A2D10"/>
    <w:rsid w:val="001A44B6"/>
    <w:rsid w:val="001B64DE"/>
    <w:rsid w:val="001C5E41"/>
    <w:rsid w:val="001C77BC"/>
    <w:rsid w:val="001C7BC9"/>
    <w:rsid w:val="001D0052"/>
    <w:rsid w:val="001D48BB"/>
    <w:rsid w:val="001D4BF8"/>
    <w:rsid w:val="001D5ACC"/>
    <w:rsid w:val="001D6486"/>
    <w:rsid w:val="001E00E3"/>
    <w:rsid w:val="001E2E28"/>
    <w:rsid w:val="001F2349"/>
    <w:rsid w:val="001F5A08"/>
    <w:rsid w:val="002005D2"/>
    <w:rsid w:val="0020298B"/>
    <w:rsid w:val="002050C8"/>
    <w:rsid w:val="00205D7F"/>
    <w:rsid w:val="00205EE3"/>
    <w:rsid w:val="00206111"/>
    <w:rsid w:val="002137E0"/>
    <w:rsid w:val="00216875"/>
    <w:rsid w:val="00225738"/>
    <w:rsid w:val="002279E3"/>
    <w:rsid w:val="0023536F"/>
    <w:rsid w:val="00255EB3"/>
    <w:rsid w:val="0025780B"/>
    <w:rsid w:val="00261F3E"/>
    <w:rsid w:val="00270483"/>
    <w:rsid w:val="002741AC"/>
    <w:rsid w:val="00275F13"/>
    <w:rsid w:val="00276205"/>
    <w:rsid w:val="00277716"/>
    <w:rsid w:val="00277FE2"/>
    <w:rsid w:val="002819C0"/>
    <w:rsid w:val="0028594D"/>
    <w:rsid w:val="00295556"/>
    <w:rsid w:val="00295BB5"/>
    <w:rsid w:val="002A5A4D"/>
    <w:rsid w:val="002B4262"/>
    <w:rsid w:val="002B63A2"/>
    <w:rsid w:val="002B64DD"/>
    <w:rsid w:val="002B6B21"/>
    <w:rsid w:val="002C274B"/>
    <w:rsid w:val="002C31C7"/>
    <w:rsid w:val="002C4DA1"/>
    <w:rsid w:val="002C5633"/>
    <w:rsid w:val="002D0F94"/>
    <w:rsid w:val="002D5A4D"/>
    <w:rsid w:val="002E0026"/>
    <w:rsid w:val="002E22AF"/>
    <w:rsid w:val="002E26F9"/>
    <w:rsid w:val="002F4E3F"/>
    <w:rsid w:val="002F6155"/>
    <w:rsid w:val="002F739F"/>
    <w:rsid w:val="00302586"/>
    <w:rsid w:val="00303113"/>
    <w:rsid w:val="00304865"/>
    <w:rsid w:val="00307E02"/>
    <w:rsid w:val="00313561"/>
    <w:rsid w:val="00317263"/>
    <w:rsid w:val="003209B0"/>
    <w:rsid w:val="00324398"/>
    <w:rsid w:val="00340B42"/>
    <w:rsid w:val="00343AF3"/>
    <w:rsid w:val="00345BA2"/>
    <w:rsid w:val="0036257A"/>
    <w:rsid w:val="0036636E"/>
    <w:rsid w:val="003678B2"/>
    <w:rsid w:val="00370C3C"/>
    <w:rsid w:val="00372E1B"/>
    <w:rsid w:val="003737D2"/>
    <w:rsid w:val="003742F2"/>
    <w:rsid w:val="00376C19"/>
    <w:rsid w:val="003813B9"/>
    <w:rsid w:val="00384FC3"/>
    <w:rsid w:val="00385CE9"/>
    <w:rsid w:val="003862E6"/>
    <w:rsid w:val="003925B7"/>
    <w:rsid w:val="003A3804"/>
    <w:rsid w:val="003A525D"/>
    <w:rsid w:val="003A52BE"/>
    <w:rsid w:val="003A5866"/>
    <w:rsid w:val="003A6E9F"/>
    <w:rsid w:val="003B4355"/>
    <w:rsid w:val="003C2D9F"/>
    <w:rsid w:val="003D3ECE"/>
    <w:rsid w:val="003D4CD6"/>
    <w:rsid w:val="003E23D3"/>
    <w:rsid w:val="003E2E04"/>
    <w:rsid w:val="003E656F"/>
    <w:rsid w:val="00415131"/>
    <w:rsid w:val="00420882"/>
    <w:rsid w:val="004228C7"/>
    <w:rsid w:val="004269AE"/>
    <w:rsid w:val="0042798B"/>
    <w:rsid w:val="0043294E"/>
    <w:rsid w:val="00434913"/>
    <w:rsid w:val="0044217A"/>
    <w:rsid w:val="004433B6"/>
    <w:rsid w:val="00446734"/>
    <w:rsid w:val="004474F8"/>
    <w:rsid w:val="004522DF"/>
    <w:rsid w:val="004541BC"/>
    <w:rsid w:val="00472990"/>
    <w:rsid w:val="00477550"/>
    <w:rsid w:val="0047785E"/>
    <w:rsid w:val="00483903"/>
    <w:rsid w:val="004844A8"/>
    <w:rsid w:val="00491089"/>
    <w:rsid w:val="00492FBC"/>
    <w:rsid w:val="00493991"/>
    <w:rsid w:val="00496803"/>
    <w:rsid w:val="004B6688"/>
    <w:rsid w:val="004B6BA5"/>
    <w:rsid w:val="004B6C84"/>
    <w:rsid w:val="004B71D7"/>
    <w:rsid w:val="004C3718"/>
    <w:rsid w:val="004C7607"/>
    <w:rsid w:val="004D1CCA"/>
    <w:rsid w:val="004D3113"/>
    <w:rsid w:val="004D633A"/>
    <w:rsid w:val="004E172A"/>
    <w:rsid w:val="004F376E"/>
    <w:rsid w:val="00506DC3"/>
    <w:rsid w:val="005209BF"/>
    <w:rsid w:val="005244A4"/>
    <w:rsid w:val="00527783"/>
    <w:rsid w:val="0053230D"/>
    <w:rsid w:val="00533848"/>
    <w:rsid w:val="0053645B"/>
    <w:rsid w:val="005369A8"/>
    <w:rsid w:val="00547C3A"/>
    <w:rsid w:val="00551ABC"/>
    <w:rsid w:val="005814B5"/>
    <w:rsid w:val="005824BD"/>
    <w:rsid w:val="005852FD"/>
    <w:rsid w:val="00592F6E"/>
    <w:rsid w:val="0059787B"/>
    <w:rsid w:val="005A1F35"/>
    <w:rsid w:val="005A746A"/>
    <w:rsid w:val="005A7C2F"/>
    <w:rsid w:val="005C67DF"/>
    <w:rsid w:val="005D18C3"/>
    <w:rsid w:val="005D3E9D"/>
    <w:rsid w:val="005D559B"/>
    <w:rsid w:val="005D6030"/>
    <w:rsid w:val="005D725E"/>
    <w:rsid w:val="005D7A68"/>
    <w:rsid w:val="005D7AD1"/>
    <w:rsid w:val="005E7C7A"/>
    <w:rsid w:val="005F0C60"/>
    <w:rsid w:val="005F4543"/>
    <w:rsid w:val="005F6D14"/>
    <w:rsid w:val="006020B8"/>
    <w:rsid w:val="00610B09"/>
    <w:rsid w:val="00615F8C"/>
    <w:rsid w:val="006164EF"/>
    <w:rsid w:val="00617F53"/>
    <w:rsid w:val="00621F90"/>
    <w:rsid w:val="00624A4C"/>
    <w:rsid w:val="006256D3"/>
    <w:rsid w:val="00627BB7"/>
    <w:rsid w:val="00635B36"/>
    <w:rsid w:val="00640E50"/>
    <w:rsid w:val="00644A13"/>
    <w:rsid w:val="00646299"/>
    <w:rsid w:val="00647835"/>
    <w:rsid w:val="0065136E"/>
    <w:rsid w:val="006562C1"/>
    <w:rsid w:val="006624BF"/>
    <w:rsid w:val="00667549"/>
    <w:rsid w:val="00670C49"/>
    <w:rsid w:val="00670D71"/>
    <w:rsid w:val="006A1B0C"/>
    <w:rsid w:val="006A2401"/>
    <w:rsid w:val="006C2212"/>
    <w:rsid w:val="006D1093"/>
    <w:rsid w:val="006D7318"/>
    <w:rsid w:val="006E48A4"/>
    <w:rsid w:val="006E610A"/>
    <w:rsid w:val="006E7528"/>
    <w:rsid w:val="006E7DCE"/>
    <w:rsid w:val="006F0FD6"/>
    <w:rsid w:val="006F44D4"/>
    <w:rsid w:val="007050B9"/>
    <w:rsid w:val="007050FF"/>
    <w:rsid w:val="00717539"/>
    <w:rsid w:val="00725BE7"/>
    <w:rsid w:val="00737C66"/>
    <w:rsid w:val="00752764"/>
    <w:rsid w:val="00754DB3"/>
    <w:rsid w:val="00764452"/>
    <w:rsid w:val="00765652"/>
    <w:rsid w:val="00766962"/>
    <w:rsid w:val="00766BA8"/>
    <w:rsid w:val="00767BA9"/>
    <w:rsid w:val="00770FFD"/>
    <w:rsid w:val="00771677"/>
    <w:rsid w:val="00772753"/>
    <w:rsid w:val="00772DFC"/>
    <w:rsid w:val="00775287"/>
    <w:rsid w:val="00776FFB"/>
    <w:rsid w:val="007774F2"/>
    <w:rsid w:val="007810BB"/>
    <w:rsid w:val="007844C4"/>
    <w:rsid w:val="00794652"/>
    <w:rsid w:val="00794E45"/>
    <w:rsid w:val="0079693F"/>
    <w:rsid w:val="007A1C92"/>
    <w:rsid w:val="007A5107"/>
    <w:rsid w:val="007C3908"/>
    <w:rsid w:val="007C4093"/>
    <w:rsid w:val="007D2BB6"/>
    <w:rsid w:val="007D33F4"/>
    <w:rsid w:val="007E136A"/>
    <w:rsid w:val="007E5E8A"/>
    <w:rsid w:val="007F3ABE"/>
    <w:rsid w:val="007F5813"/>
    <w:rsid w:val="00807057"/>
    <w:rsid w:val="00821433"/>
    <w:rsid w:val="00821A70"/>
    <w:rsid w:val="00822D08"/>
    <w:rsid w:val="00824332"/>
    <w:rsid w:val="00830792"/>
    <w:rsid w:val="008312CB"/>
    <w:rsid w:val="008328E9"/>
    <w:rsid w:val="00835BCB"/>
    <w:rsid w:val="00835CDC"/>
    <w:rsid w:val="0083768D"/>
    <w:rsid w:val="00837974"/>
    <w:rsid w:val="00841CE8"/>
    <w:rsid w:val="00850B09"/>
    <w:rsid w:val="008577C0"/>
    <w:rsid w:val="00863B9D"/>
    <w:rsid w:val="00863BE6"/>
    <w:rsid w:val="00873205"/>
    <w:rsid w:val="008733A1"/>
    <w:rsid w:val="008752D1"/>
    <w:rsid w:val="008775BB"/>
    <w:rsid w:val="008775BC"/>
    <w:rsid w:val="00882F1B"/>
    <w:rsid w:val="008A6505"/>
    <w:rsid w:val="008A70CE"/>
    <w:rsid w:val="008B1EFC"/>
    <w:rsid w:val="008C0651"/>
    <w:rsid w:val="008C25E4"/>
    <w:rsid w:val="008C2DAE"/>
    <w:rsid w:val="008D0A75"/>
    <w:rsid w:val="008D12FA"/>
    <w:rsid w:val="008E1456"/>
    <w:rsid w:val="008E2347"/>
    <w:rsid w:val="008E28FF"/>
    <w:rsid w:val="008E4F79"/>
    <w:rsid w:val="008F377A"/>
    <w:rsid w:val="009059A9"/>
    <w:rsid w:val="00910FBD"/>
    <w:rsid w:val="009155E4"/>
    <w:rsid w:val="0092149A"/>
    <w:rsid w:val="009215F7"/>
    <w:rsid w:val="0092193E"/>
    <w:rsid w:val="0092515E"/>
    <w:rsid w:val="009305DB"/>
    <w:rsid w:val="00941AA9"/>
    <w:rsid w:val="00942FBD"/>
    <w:rsid w:val="00944B04"/>
    <w:rsid w:val="0094770B"/>
    <w:rsid w:val="009501B1"/>
    <w:rsid w:val="00960D15"/>
    <w:rsid w:val="00964154"/>
    <w:rsid w:val="00967BF0"/>
    <w:rsid w:val="009744DA"/>
    <w:rsid w:val="00976BFC"/>
    <w:rsid w:val="00977079"/>
    <w:rsid w:val="00990126"/>
    <w:rsid w:val="00993D54"/>
    <w:rsid w:val="009B2267"/>
    <w:rsid w:val="009B2288"/>
    <w:rsid w:val="009B7B70"/>
    <w:rsid w:val="009C0ABF"/>
    <w:rsid w:val="009C19BE"/>
    <w:rsid w:val="009C5199"/>
    <w:rsid w:val="009C56A3"/>
    <w:rsid w:val="009D1A03"/>
    <w:rsid w:val="009D3DAF"/>
    <w:rsid w:val="009E0AE8"/>
    <w:rsid w:val="009E5374"/>
    <w:rsid w:val="009E7368"/>
    <w:rsid w:val="009F345D"/>
    <w:rsid w:val="009F576C"/>
    <w:rsid w:val="009F6A76"/>
    <w:rsid w:val="00A0003A"/>
    <w:rsid w:val="00A00C84"/>
    <w:rsid w:val="00A01EA6"/>
    <w:rsid w:val="00A02529"/>
    <w:rsid w:val="00A13218"/>
    <w:rsid w:val="00A176E3"/>
    <w:rsid w:val="00A20D3D"/>
    <w:rsid w:val="00A227A3"/>
    <w:rsid w:val="00A240F0"/>
    <w:rsid w:val="00A25E54"/>
    <w:rsid w:val="00A36200"/>
    <w:rsid w:val="00A47F9E"/>
    <w:rsid w:val="00A5033C"/>
    <w:rsid w:val="00A534EB"/>
    <w:rsid w:val="00A53A55"/>
    <w:rsid w:val="00A54D5B"/>
    <w:rsid w:val="00A60B73"/>
    <w:rsid w:val="00A62CCF"/>
    <w:rsid w:val="00A706F0"/>
    <w:rsid w:val="00A80080"/>
    <w:rsid w:val="00A8661E"/>
    <w:rsid w:val="00A9552A"/>
    <w:rsid w:val="00AB4951"/>
    <w:rsid w:val="00AB6E08"/>
    <w:rsid w:val="00AC61DA"/>
    <w:rsid w:val="00AC720D"/>
    <w:rsid w:val="00AE63F1"/>
    <w:rsid w:val="00AF4241"/>
    <w:rsid w:val="00AF424E"/>
    <w:rsid w:val="00AF4E5A"/>
    <w:rsid w:val="00B16009"/>
    <w:rsid w:val="00B23512"/>
    <w:rsid w:val="00B27FFC"/>
    <w:rsid w:val="00B315A0"/>
    <w:rsid w:val="00B34A18"/>
    <w:rsid w:val="00B42194"/>
    <w:rsid w:val="00B468CE"/>
    <w:rsid w:val="00B52B7F"/>
    <w:rsid w:val="00B5599F"/>
    <w:rsid w:val="00B5783D"/>
    <w:rsid w:val="00B579CB"/>
    <w:rsid w:val="00B626CD"/>
    <w:rsid w:val="00B70083"/>
    <w:rsid w:val="00B76C9A"/>
    <w:rsid w:val="00B827B6"/>
    <w:rsid w:val="00B83C2C"/>
    <w:rsid w:val="00B83EF9"/>
    <w:rsid w:val="00B928A3"/>
    <w:rsid w:val="00B94B55"/>
    <w:rsid w:val="00B95C2F"/>
    <w:rsid w:val="00B96479"/>
    <w:rsid w:val="00BA4DDD"/>
    <w:rsid w:val="00BA58DF"/>
    <w:rsid w:val="00BB23DD"/>
    <w:rsid w:val="00BB28F6"/>
    <w:rsid w:val="00BC053B"/>
    <w:rsid w:val="00BC0C3C"/>
    <w:rsid w:val="00BC2609"/>
    <w:rsid w:val="00BC7C4F"/>
    <w:rsid w:val="00BF4697"/>
    <w:rsid w:val="00BF5DA6"/>
    <w:rsid w:val="00C042C0"/>
    <w:rsid w:val="00C0528F"/>
    <w:rsid w:val="00C0708D"/>
    <w:rsid w:val="00C13145"/>
    <w:rsid w:val="00C20016"/>
    <w:rsid w:val="00C24992"/>
    <w:rsid w:val="00C30238"/>
    <w:rsid w:val="00C31E16"/>
    <w:rsid w:val="00C32383"/>
    <w:rsid w:val="00C52F14"/>
    <w:rsid w:val="00C63612"/>
    <w:rsid w:val="00C80C32"/>
    <w:rsid w:val="00C86882"/>
    <w:rsid w:val="00C90BC1"/>
    <w:rsid w:val="00C965CD"/>
    <w:rsid w:val="00CA6757"/>
    <w:rsid w:val="00CB4490"/>
    <w:rsid w:val="00CB74C2"/>
    <w:rsid w:val="00CC3DB8"/>
    <w:rsid w:val="00CC6417"/>
    <w:rsid w:val="00CC64BC"/>
    <w:rsid w:val="00CD05B5"/>
    <w:rsid w:val="00CE750F"/>
    <w:rsid w:val="00CF107B"/>
    <w:rsid w:val="00CF23EE"/>
    <w:rsid w:val="00CF3413"/>
    <w:rsid w:val="00D0209C"/>
    <w:rsid w:val="00D10FF1"/>
    <w:rsid w:val="00D15243"/>
    <w:rsid w:val="00D160CB"/>
    <w:rsid w:val="00D245A1"/>
    <w:rsid w:val="00D27A9F"/>
    <w:rsid w:val="00D35847"/>
    <w:rsid w:val="00D375D7"/>
    <w:rsid w:val="00D40D72"/>
    <w:rsid w:val="00D415E2"/>
    <w:rsid w:val="00D42055"/>
    <w:rsid w:val="00D424FA"/>
    <w:rsid w:val="00D426B3"/>
    <w:rsid w:val="00D43113"/>
    <w:rsid w:val="00D446B9"/>
    <w:rsid w:val="00D46621"/>
    <w:rsid w:val="00D4692D"/>
    <w:rsid w:val="00D470CF"/>
    <w:rsid w:val="00D647C3"/>
    <w:rsid w:val="00D64F7B"/>
    <w:rsid w:val="00D851EF"/>
    <w:rsid w:val="00D96075"/>
    <w:rsid w:val="00D9633A"/>
    <w:rsid w:val="00DA0EA2"/>
    <w:rsid w:val="00DA3C64"/>
    <w:rsid w:val="00DA565B"/>
    <w:rsid w:val="00DB296E"/>
    <w:rsid w:val="00DB54AC"/>
    <w:rsid w:val="00DC7DC6"/>
    <w:rsid w:val="00DE4EC9"/>
    <w:rsid w:val="00DE5579"/>
    <w:rsid w:val="00DF2386"/>
    <w:rsid w:val="00DF39C3"/>
    <w:rsid w:val="00DF5550"/>
    <w:rsid w:val="00DF6B79"/>
    <w:rsid w:val="00DF7FE7"/>
    <w:rsid w:val="00E117C4"/>
    <w:rsid w:val="00E21E46"/>
    <w:rsid w:val="00E437CB"/>
    <w:rsid w:val="00E46367"/>
    <w:rsid w:val="00E5205F"/>
    <w:rsid w:val="00E558AF"/>
    <w:rsid w:val="00E63F0B"/>
    <w:rsid w:val="00E65069"/>
    <w:rsid w:val="00E87BFD"/>
    <w:rsid w:val="00E93AD1"/>
    <w:rsid w:val="00EA02DA"/>
    <w:rsid w:val="00EA2797"/>
    <w:rsid w:val="00EA3A7F"/>
    <w:rsid w:val="00EA3DBC"/>
    <w:rsid w:val="00EC673C"/>
    <w:rsid w:val="00ED2263"/>
    <w:rsid w:val="00EE0E86"/>
    <w:rsid w:val="00EF3827"/>
    <w:rsid w:val="00F078F1"/>
    <w:rsid w:val="00F27962"/>
    <w:rsid w:val="00F32D03"/>
    <w:rsid w:val="00F344DE"/>
    <w:rsid w:val="00F37A4C"/>
    <w:rsid w:val="00F42C01"/>
    <w:rsid w:val="00F44ADA"/>
    <w:rsid w:val="00F46BC7"/>
    <w:rsid w:val="00F6004D"/>
    <w:rsid w:val="00F711D3"/>
    <w:rsid w:val="00F73E71"/>
    <w:rsid w:val="00F75393"/>
    <w:rsid w:val="00F82FB9"/>
    <w:rsid w:val="00FA0C1F"/>
    <w:rsid w:val="00FA50B5"/>
    <w:rsid w:val="00FA7A28"/>
    <w:rsid w:val="00FB14FC"/>
    <w:rsid w:val="00FB703E"/>
    <w:rsid w:val="00FC17BF"/>
    <w:rsid w:val="00FD76BF"/>
    <w:rsid w:val="00FD7EC9"/>
    <w:rsid w:val="00FF159E"/>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E887E"/>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styleId="UnresolvedMention">
    <w:name w:val="Unresolved Mention"/>
    <w:basedOn w:val="DefaultParagraphFont"/>
    <w:uiPriority w:val="99"/>
    <w:semiHidden/>
    <w:unhideWhenUsed/>
    <w:rsid w:val="00D46621"/>
    <w:rPr>
      <w:color w:val="605E5C"/>
      <w:shd w:val="clear" w:color="auto" w:fill="E1DFDD"/>
    </w:rPr>
  </w:style>
  <w:style w:type="character" w:styleId="FollowedHyperlink">
    <w:name w:val="FollowedHyperlink"/>
    <w:basedOn w:val="DefaultParagraphFont"/>
    <w:uiPriority w:val="99"/>
    <w:semiHidden/>
    <w:unhideWhenUsed/>
    <w:rsid w:val="005A1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73627086">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list-standing-committee-decisions-which-have-been-implemented-are-no-longer-effe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2.xml><?xml version="1.0" encoding="utf-8"?>
<ds:datastoreItem xmlns:ds="http://schemas.openxmlformats.org/officeDocument/2006/customXml" ds:itemID="{76B1A60E-8636-4846-A9A0-037055D1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2043B-DECA-4653-B311-04E5D5B770BF}">
  <ds:schemaRefs>
    <ds:schemaRef ds:uri="http://schemas.microsoft.com/office/2006/documentManagement/types"/>
    <ds:schemaRef ds:uri="8c0b6b05-eb82-4bda-97e8-cd82d0d6b453"/>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dd258d-19a7-41ba-8260-b0918f25313d"/>
    <ds:schemaRef ds:uri="http://www.w3.org/XML/1998/namespace"/>
  </ds:schemaRefs>
</ds:datastoreItem>
</file>

<file path=customXml/itemProps4.xml><?xml version="1.0" encoding="utf-8"?>
<ds:datastoreItem xmlns:ds="http://schemas.openxmlformats.org/officeDocument/2006/customXml" ds:itemID="{D1EA9B01-37E5-4A77-89DA-A7165156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3143</Words>
  <Characters>17919</Characters>
  <Application>Microsoft Office Word</Application>
  <DocSecurity>0</DocSecurity>
  <Lines>149</Lines>
  <Paragraphs>42</Paragraphs>
  <ScaleCrop>false</ScaleCrop>
  <HeadingPairs>
    <vt:vector size="6" baseType="variant">
      <vt:variant>
        <vt:lpstr>Title</vt:lpstr>
      </vt:variant>
      <vt:variant>
        <vt:i4>1</vt:i4>
      </vt:variant>
      <vt:variant>
        <vt:lpstr>Título</vt:lpstr>
      </vt:variant>
      <vt:variant>
        <vt:i4>1</vt:i4>
      </vt:variant>
      <vt:variant>
        <vt:lpstr>Rubrik</vt:lpstr>
      </vt:variant>
      <vt:variant>
        <vt:i4>1</vt:i4>
      </vt:variant>
    </vt:vector>
  </HeadingPairs>
  <TitlesOfParts>
    <vt:vector size="3" baseType="lpstr">
      <vt:lpstr>Ramsar CEPA OP-SC58-draft paper-comments</vt:lpstr>
      <vt:lpstr>Ramsar CEPA OP-SC58-draft paper-comments</vt:lpstr>
      <vt:lpstr>Ramsar CEPA OP-SC58-draft paper-comments</vt:lpstr>
    </vt:vector>
  </TitlesOfParts>
  <Manager/>
  <Company>IUCN</Company>
  <LinksUpToDate>false</LinksUpToDate>
  <CharactersWithSpaces>21020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4</cp:revision>
  <cp:lastPrinted>2023-11-30T09:22:00Z</cp:lastPrinted>
  <dcterms:created xsi:type="dcterms:W3CDTF">2024-02-27T13:36:00Z</dcterms:created>
  <dcterms:modified xsi:type="dcterms:W3CDTF">2024-02-29T16:19:00Z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