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68CD" w14:textId="025084C5" w:rsidR="00275F13" w:rsidRPr="002F18BD"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sidRPr="002F18BD">
        <w:rPr>
          <w:bCs/>
          <w:sz w:val="24"/>
          <w:szCs w:val="24"/>
          <w:lang w:val="fr-FR"/>
        </w:rPr>
        <w:t xml:space="preserve">CONVENTION </w:t>
      </w:r>
      <w:r w:rsidR="00750B08" w:rsidRPr="002F18BD">
        <w:rPr>
          <w:bCs/>
          <w:sz w:val="24"/>
          <w:szCs w:val="24"/>
          <w:lang w:val="fr-FR"/>
        </w:rPr>
        <w:t>SUR LES ZONES HUMIDES</w:t>
      </w:r>
      <w:r w:rsidRPr="002F18BD">
        <w:rPr>
          <w:bCs/>
          <w:sz w:val="24"/>
          <w:szCs w:val="24"/>
          <w:lang w:val="fr-FR"/>
        </w:rPr>
        <w:t xml:space="preserve"> </w:t>
      </w:r>
    </w:p>
    <w:p w14:paraId="5E17725D" w14:textId="62DE9374" w:rsidR="00DF2386" w:rsidRPr="002F18BD" w:rsidRDefault="00A9552A"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sidRPr="002F18BD">
        <w:rPr>
          <w:bCs/>
          <w:sz w:val="24"/>
          <w:szCs w:val="24"/>
          <w:lang w:val="fr-FR"/>
        </w:rPr>
        <w:t>63</w:t>
      </w:r>
      <w:r w:rsidR="00750B08" w:rsidRPr="002F18BD">
        <w:rPr>
          <w:bCs/>
          <w:sz w:val="24"/>
          <w:szCs w:val="24"/>
          <w:vertAlign w:val="superscript"/>
          <w:lang w:val="fr-FR"/>
        </w:rPr>
        <w:t>e</w:t>
      </w:r>
      <w:r w:rsidR="00750B08" w:rsidRPr="002F18BD">
        <w:rPr>
          <w:bCs/>
          <w:sz w:val="24"/>
          <w:szCs w:val="24"/>
          <w:lang w:val="fr-FR"/>
        </w:rPr>
        <w:t xml:space="preserve"> Réunion du Comité</w:t>
      </w:r>
      <w:r w:rsidR="00B83EF9" w:rsidRPr="002F18BD">
        <w:rPr>
          <w:bCs/>
          <w:sz w:val="24"/>
          <w:szCs w:val="24"/>
          <w:lang w:val="fr-FR"/>
        </w:rPr>
        <w:t xml:space="preserve"> </w:t>
      </w:r>
      <w:r w:rsidR="00750B08" w:rsidRPr="002F18BD">
        <w:rPr>
          <w:bCs/>
          <w:sz w:val="24"/>
          <w:szCs w:val="24"/>
          <w:lang w:val="fr-FR"/>
        </w:rPr>
        <w:t>permanent</w:t>
      </w:r>
    </w:p>
    <w:p w14:paraId="448B3739" w14:textId="6FBA34A0" w:rsidR="00DF2386" w:rsidRPr="002F18BD"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de-CH"/>
        </w:rPr>
      </w:pPr>
      <w:r w:rsidRPr="002F18BD">
        <w:rPr>
          <w:bCs/>
          <w:sz w:val="24"/>
          <w:szCs w:val="24"/>
          <w:lang w:val="de-CH"/>
        </w:rPr>
        <w:t>Gland, S</w:t>
      </w:r>
      <w:r w:rsidR="00750B08" w:rsidRPr="002F18BD">
        <w:rPr>
          <w:bCs/>
          <w:sz w:val="24"/>
          <w:szCs w:val="24"/>
          <w:lang w:val="de-CH"/>
        </w:rPr>
        <w:t>uisse</w:t>
      </w:r>
      <w:r w:rsidRPr="002F18BD">
        <w:rPr>
          <w:bCs/>
          <w:sz w:val="24"/>
          <w:szCs w:val="24"/>
          <w:lang w:val="de-CH"/>
        </w:rPr>
        <w:t xml:space="preserve">, </w:t>
      </w:r>
      <w:r w:rsidR="00A9552A" w:rsidRPr="002F18BD">
        <w:rPr>
          <w:bCs/>
          <w:sz w:val="24"/>
          <w:szCs w:val="24"/>
          <w:lang w:val="de-CH"/>
        </w:rPr>
        <w:t>4</w:t>
      </w:r>
      <w:r w:rsidR="00750B08" w:rsidRPr="002F18BD">
        <w:rPr>
          <w:bCs/>
          <w:sz w:val="24"/>
          <w:szCs w:val="24"/>
          <w:lang w:val="de-CH"/>
        </w:rPr>
        <w:t xml:space="preserve"> </w:t>
      </w:r>
      <w:proofErr w:type="spellStart"/>
      <w:r w:rsidR="00750B08" w:rsidRPr="002F18BD">
        <w:rPr>
          <w:bCs/>
          <w:sz w:val="24"/>
          <w:szCs w:val="24"/>
          <w:lang w:val="de-CH"/>
        </w:rPr>
        <w:t>au</w:t>
      </w:r>
      <w:proofErr w:type="spellEnd"/>
      <w:r w:rsidR="00750B08" w:rsidRPr="002F18BD">
        <w:rPr>
          <w:bCs/>
          <w:sz w:val="24"/>
          <w:szCs w:val="24"/>
          <w:lang w:val="de-CH"/>
        </w:rPr>
        <w:t xml:space="preserve"> </w:t>
      </w:r>
      <w:r w:rsidR="00A9552A" w:rsidRPr="002F18BD">
        <w:rPr>
          <w:bCs/>
          <w:sz w:val="24"/>
          <w:szCs w:val="24"/>
          <w:lang w:val="de-CH"/>
        </w:rPr>
        <w:t>7</w:t>
      </w:r>
      <w:r w:rsidR="0007175F" w:rsidRPr="002F18BD">
        <w:rPr>
          <w:bCs/>
          <w:sz w:val="24"/>
          <w:szCs w:val="24"/>
          <w:lang w:val="de-CH"/>
        </w:rPr>
        <w:t xml:space="preserve"> </w:t>
      </w:r>
      <w:proofErr w:type="spellStart"/>
      <w:r w:rsidR="00750B08" w:rsidRPr="002F18BD">
        <w:rPr>
          <w:bCs/>
          <w:sz w:val="24"/>
          <w:szCs w:val="24"/>
          <w:lang w:val="de-CH"/>
        </w:rPr>
        <w:t>juin</w:t>
      </w:r>
      <w:proofErr w:type="spellEnd"/>
      <w:r w:rsidR="0007175F" w:rsidRPr="002F18BD">
        <w:rPr>
          <w:bCs/>
          <w:sz w:val="24"/>
          <w:szCs w:val="24"/>
          <w:lang w:val="de-CH"/>
        </w:rPr>
        <w:t xml:space="preserve"> 202</w:t>
      </w:r>
      <w:r w:rsidR="00A9552A" w:rsidRPr="002F18BD">
        <w:rPr>
          <w:bCs/>
          <w:sz w:val="24"/>
          <w:szCs w:val="24"/>
          <w:lang w:val="de-CH"/>
        </w:rPr>
        <w:t>4</w:t>
      </w:r>
    </w:p>
    <w:p w14:paraId="2BD24C97" w14:textId="77777777" w:rsidR="00DF2386" w:rsidRPr="002F18BD" w:rsidRDefault="00DF2386" w:rsidP="00014168">
      <w:pPr>
        <w:outlineLvl w:val="0"/>
        <w:rPr>
          <w:b/>
          <w:sz w:val="24"/>
          <w:szCs w:val="24"/>
          <w:lang w:val="de-CH"/>
        </w:rPr>
      </w:pPr>
    </w:p>
    <w:p w14:paraId="3DD11040" w14:textId="77777777" w:rsidR="00DF2386" w:rsidRPr="002F18BD" w:rsidRDefault="0014749C" w:rsidP="0014749C">
      <w:pPr>
        <w:jc w:val="right"/>
        <w:rPr>
          <w:b/>
          <w:sz w:val="28"/>
          <w:szCs w:val="28"/>
          <w:lang w:val="de-CH"/>
        </w:rPr>
      </w:pPr>
      <w:r w:rsidRPr="002F18BD">
        <w:rPr>
          <w:rFonts w:cs="Arial"/>
          <w:b/>
          <w:sz w:val="28"/>
          <w:szCs w:val="28"/>
          <w:lang w:val="de-CH"/>
        </w:rPr>
        <w:t>SC</w:t>
      </w:r>
      <w:r w:rsidR="00A9552A" w:rsidRPr="002F18BD">
        <w:rPr>
          <w:rFonts w:cs="Arial"/>
          <w:b/>
          <w:sz w:val="28"/>
          <w:szCs w:val="28"/>
          <w:lang w:val="de-CH"/>
        </w:rPr>
        <w:t>63</w:t>
      </w:r>
      <w:r w:rsidRPr="002F18BD">
        <w:rPr>
          <w:rFonts w:cs="Arial"/>
          <w:b/>
          <w:sz w:val="28"/>
          <w:szCs w:val="28"/>
          <w:lang w:val="de-CH"/>
        </w:rPr>
        <w:t xml:space="preserve"> </w:t>
      </w:r>
      <w:r w:rsidR="00FD76BF" w:rsidRPr="002F18BD">
        <w:rPr>
          <w:rFonts w:cs="Arial"/>
          <w:b/>
          <w:sz w:val="28"/>
          <w:szCs w:val="28"/>
          <w:lang w:val="de-CH"/>
        </w:rPr>
        <w:t>Doc</w:t>
      </w:r>
      <w:r w:rsidRPr="002F18BD">
        <w:rPr>
          <w:rFonts w:cs="Arial"/>
          <w:b/>
          <w:sz w:val="28"/>
          <w:szCs w:val="28"/>
          <w:lang w:val="de-CH"/>
        </w:rPr>
        <w:t>.</w:t>
      </w:r>
      <w:r w:rsidR="006E610A" w:rsidRPr="002F18BD">
        <w:rPr>
          <w:rFonts w:cs="Arial"/>
          <w:b/>
          <w:sz w:val="28"/>
          <w:szCs w:val="28"/>
          <w:lang w:val="de-CH"/>
        </w:rPr>
        <w:t>8</w:t>
      </w:r>
    </w:p>
    <w:p w14:paraId="18694776" w14:textId="77777777" w:rsidR="0014749C" w:rsidRPr="002F18BD" w:rsidRDefault="0014749C" w:rsidP="00014168">
      <w:pPr>
        <w:jc w:val="center"/>
        <w:rPr>
          <w:rFonts w:cs="Arial"/>
          <w:b/>
          <w:sz w:val="28"/>
          <w:szCs w:val="28"/>
          <w:lang w:val="fr-FR"/>
        </w:rPr>
      </w:pPr>
    </w:p>
    <w:p w14:paraId="5610CBA3" w14:textId="377BF17D" w:rsidR="00DF2386" w:rsidRPr="002F18BD" w:rsidRDefault="00737C66" w:rsidP="00A9552A">
      <w:pPr>
        <w:jc w:val="center"/>
        <w:rPr>
          <w:rFonts w:cs="Arial"/>
          <w:b/>
          <w:sz w:val="28"/>
          <w:szCs w:val="28"/>
          <w:lang w:val="fr-FR"/>
        </w:rPr>
      </w:pPr>
      <w:r w:rsidRPr="002F18BD">
        <w:rPr>
          <w:rFonts w:cs="Arial"/>
          <w:b/>
          <w:sz w:val="28"/>
          <w:szCs w:val="28"/>
          <w:lang w:val="fr-FR"/>
        </w:rPr>
        <w:t>R</w:t>
      </w:r>
      <w:r w:rsidR="00750B08" w:rsidRPr="002F18BD">
        <w:rPr>
          <w:rFonts w:cs="Arial"/>
          <w:b/>
          <w:sz w:val="28"/>
          <w:szCs w:val="28"/>
          <w:lang w:val="fr-FR"/>
        </w:rPr>
        <w:t>ap</w:t>
      </w:r>
      <w:r w:rsidRPr="002F18BD">
        <w:rPr>
          <w:rFonts w:cs="Arial"/>
          <w:b/>
          <w:sz w:val="28"/>
          <w:szCs w:val="28"/>
          <w:lang w:val="fr-FR"/>
        </w:rPr>
        <w:t xml:space="preserve">port </w:t>
      </w:r>
      <w:r w:rsidR="00750B08" w:rsidRPr="002F18BD">
        <w:rPr>
          <w:rFonts w:cs="Arial"/>
          <w:b/>
          <w:sz w:val="28"/>
          <w:szCs w:val="28"/>
          <w:lang w:val="fr-FR"/>
        </w:rPr>
        <w:t>du</w:t>
      </w:r>
      <w:r w:rsidRPr="002F18BD">
        <w:rPr>
          <w:rFonts w:cs="Arial"/>
          <w:b/>
          <w:sz w:val="28"/>
          <w:szCs w:val="28"/>
          <w:lang w:val="fr-FR"/>
        </w:rPr>
        <w:t xml:space="preserve"> </w:t>
      </w:r>
      <w:r w:rsidR="00A9552A" w:rsidRPr="002F18BD">
        <w:rPr>
          <w:rFonts w:cs="Arial"/>
          <w:b/>
          <w:sz w:val="28"/>
          <w:szCs w:val="28"/>
          <w:lang w:val="fr-FR"/>
        </w:rPr>
        <w:t>Secr</w:t>
      </w:r>
      <w:r w:rsidR="00750B08" w:rsidRPr="002F18BD">
        <w:rPr>
          <w:rFonts w:cs="Arial"/>
          <w:b/>
          <w:sz w:val="28"/>
          <w:szCs w:val="28"/>
          <w:lang w:val="fr-FR"/>
        </w:rPr>
        <w:t>é</w:t>
      </w:r>
      <w:r w:rsidR="00A9552A" w:rsidRPr="002F18BD">
        <w:rPr>
          <w:rFonts w:cs="Arial"/>
          <w:b/>
          <w:sz w:val="28"/>
          <w:szCs w:val="28"/>
          <w:lang w:val="fr-FR"/>
        </w:rPr>
        <w:t xml:space="preserve">tariat </w:t>
      </w:r>
      <w:r w:rsidR="00750B08" w:rsidRPr="002F18BD">
        <w:rPr>
          <w:rFonts w:cs="Arial"/>
          <w:b/>
          <w:sz w:val="28"/>
          <w:szCs w:val="28"/>
          <w:lang w:val="fr-FR"/>
        </w:rPr>
        <w:t xml:space="preserve">sur la mise en </w:t>
      </w:r>
      <w:r w:rsidR="008E4B43" w:rsidRPr="002F18BD">
        <w:rPr>
          <w:rFonts w:cs="Arial"/>
          <w:b/>
          <w:sz w:val="28"/>
          <w:szCs w:val="28"/>
          <w:lang w:val="fr-FR"/>
        </w:rPr>
        <w:t>œuvre des</w:t>
      </w:r>
      <w:r w:rsidR="00164682" w:rsidRPr="002F18BD">
        <w:rPr>
          <w:rFonts w:cs="Arial"/>
          <w:b/>
          <w:sz w:val="28"/>
          <w:szCs w:val="28"/>
          <w:lang w:val="fr-FR"/>
        </w:rPr>
        <w:t xml:space="preserve"> D</w:t>
      </w:r>
      <w:r w:rsidR="008E4B43" w:rsidRPr="002F18BD">
        <w:rPr>
          <w:rFonts w:cs="Arial"/>
          <w:b/>
          <w:sz w:val="28"/>
          <w:szCs w:val="28"/>
          <w:lang w:val="fr-FR"/>
        </w:rPr>
        <w:t>é</w:t>
      </w:r>
      <w:r w:rsidR="00164682" w:rsidRPr="002F18BD">
        <w:rPr>
          <w:rFonts w:cs="Arial"/>
          <w:b/>
          <w:sz w:val="28"/>
          <w:szCs w:val="28"/>
          <w:lang w:val="fr-FR"/>
        </w:rPr>
        <w:t xml:space="preserve">cisions </w:t>
      </w:r>
      <w:r w:rsidR="00E65069" w:rsidRPr="002F18BD">
        <w:rPr>
          <w:rFonts w:cs="Arial"/>
          <w:b/>
          <w:sz w:val="28"/>
          <w:szCs w:val="28"/>
          <w:lang w:val="fr-FR"/>
        </w:rPr>
        <w:br/>
      </w:r>
      <w:r w:rsidR="008E4B43" w:rsidRPr="002F18BD">
        <w:rPr>
          <w:rFonts w:cs="Arial"/>
          <w:b/>
          <w:sz w:val="28"/>
          <w:szCs w:val="28"/>
          <w:lang w:val="fr-FR"/>
        </w:rPr>
        <w:t>du</w:t>
      </w:r>
      <w:r w:rsidR="00164682" w:rsidRPr="002F18BD">
        <w:rPr>
          <w:rFonts w:cs="Arial"/>
          <w:b/>
          <w:sz w:val="28"/>
          <w:szCs w:val="28"/>
          <w:lang w:val="fr-FR"/>
        </w:rPr>
        <w:t xml:space="preserve"> Comit</w:t>
      </w:r>
      <w:r w:rsidR="008E4B43" w:rsidRPr="002F18BD">
        <w:rPr>
          <w:rFonts w:cs="Arial"/>
          <w:b/>
          <w:sz w:val="28"/>
          <w:szCs w:val="28"/>
          <w:lang w:val="fr-FR"/>
        </w:rPr>
        <w:t>é permanent</w:t>
      </w:r>
      <w:r w:rsidR="00164682" w:rsidRPr="002F18BD">
        <w:rPr>
          <w:rFonts w:cs="Arial"/>
          <w:b/>
          <w:sz w:val="28"/>
          <w:szCs w:val="28"/>
          <w:lang w:val="fr-FR"/>
        </w:rPr>
        <w:t xml:space="preserve"> </w:t>
      </w:r>
    </w:p>
    <w:p w14:paraId="5D611A48" w14:textId="77777777" w:rsidR="00A9552A" w:rsidRPr="002F18BD" w:rsidRDefault="00A9552A" w:rsidP="00A9552A">
      <w:pPr>
        <w:jc w:val="center"/>
        <w:rPr>
          <w:rFonts w:cs="Arial"/>
          <w:b/>
          <w:sz w:val="24"/>
          <w:szCs w:val="24"/>
          <w:lang w:val="fr-FR"/>
        </w:rPr>
      </w:pPr>
    </w:p>
    <w:p w14:paraId="713A35D6" w14:textId="77777777" w:rsidR="00DF2386" w:rsidRPr="002F18BD" w:rsidRDefault="00DF2386" w:rsidP="00014168">
      <w:pPr>
        <w:rPr>
          <w:rFonts w:ascii="Garamond" w:hAnsi="Garamond" w:cs="Arial"/>
          <w:sz w:val="24"/>
          <w:szCs w:val="24"/>
          <w:lang w:val="fr-FR"/>
        </w:rPr>
      </w:pPr>
    </w:p>
    <w:p w14:paraId="61305258" w14:textId="77777777" w:rsidR="000C2489" w:rsidRPr="002F18BD" w:rsidRDefault="000C2489" w:rsidP="00014168">
      <w:pPr>
        <w:autoSpaceDE w:val="0"/>
        <w:autoSpaceDN w:val="0"/>
        <w:adjustRightInd w:val="0"/>
        <w:rPr>
          <w:rFonts w:asciiTheme="minorHAnsi" w:eastAsiaTheme="minorHAnsi" w:hAnsiTheme="minorHAnsi" w:cs="Calibri-Bold"/>
          <w:b/>
          <w:bCs/>
          <w:sz w:val="24"/>
          <w:szCs w:val="24"/>
        </w:rPr>
      </w:pPr>
      <w:r w:rsidRPr="002F18BD">
        <w:rPr>
          <w:noProof/>
          <w:sz w:val="24"/>
          <w:szCs w:val="24"/>
          <w:lang w:eastAsia="en-GB"/>
        </w:rPr>
        <mc:AlternateContent>
          <mc:Choice Requires="wps">
            <w:drawing>
              <wp:inline distT="0" distB="0" distL="0" distR="0" wp14:anchorId="62013487" wp14:editId="38A983E9">
                <wp:extent cx="5917721" cy="3197525"/>
                <wp:effectExtent l="0" t="0" r="2603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721" cy="3197525"/>
                        </a:xfrm>
                        <a:prstGeom prst="rect">
                          <a:avLst/>
                        </a:prstGeom>
                        <a:solidFill>
                          <a:srgbClr val="FFFFFF"/>
                        </a:solidFill>
                        <a:ln w="9525">
                          <a:solidFill>
                            <a:srgbClr val="000000"/>
                          </a:solidFill>
                          <a:miter lim="800000"/>
                          <a:headEnd/>
                          <a:tailEnd/>
                        </a:ln>
                      </wps:spPr>
                      <wps:txbx>
                        <w:txbxContent>
                          <w:p w14:paraId="155D4708" w14:textId="4D7602B8" w:rsidR="000C2489" w:rsidRPr="008E4B43" w:rsidRDefault="008E4B43" w:rsidP="000C2489">
                            <w:pPr>
                              <w:rPr>
                                <w:b/>
                                <w:bCs/>
                                <w:lang w:val="fr-FR"/>
                              </w:rPr>
                            </w:pPr>
                            <w:r w:rsidRPr="008E4B43">
                              <w:rPr>
                                <w:b/>
                                <w:bCs/>
                                <w:lang w:val="fr-FR"/>
                              </w:rPr>
                              <w:t>Mesure</w:t>
                            </w:r>
                            <w:r w:rsidR="000C2489" w:rsidRPr="008E4B43">
                              <w:rPr>
                                <w:b/>
                                <w:bCs/>
                                <w:lang w:val="fr-FR"/>
                              </w:rPr>
                              <w:t xml:space="preserve"> requ</w:t>
                            </w:r>
                            <w:r w:rsidRPr="008E4B43">
                              <w:rPr>
                                <w:b/>
                                <w:bCs/>
                                <w:lang w:val="fr-FR"/>
                              </w:rPr>
                              <w:t>ise </w:t>
                            </w:r>
                            <w:r w:rsidR="000C2489" w:rsidRPr="008E4B43">
                              <w:rPr>
                                <w:b/>
                                <w:bCs/>
                                <w:lang w:val="fr-FR"/>
                              </w:rPr>
                              <w:t xml:space="preserve">: </w:t>
                            </w:r>
                          </w:p>
                          <w:p w14:paraId="367AB0B5" w14:textId="77777777" w:rsidR="000C2489" w:rsidRPr="008E4B43" w:rsidRDefault="000C2489" w:rsidP="000C2489">
                            <w:pPr>
                              <w:pStyle w:val="ColorfulList-Accent11"/>
                              <w:ind w:left="0"/>
                              <w:rPr>
                                <w:lang w:val="fr-FR"/>
                              </w:rPr>
                            </w:pPr>
                          </w:p>
                          <w:p w14:paraId="1BD9EF71" w14:textId="1850B9F7" w:rsidR="000C2489" w:rsidRPr="008E4B43" w:rsidRDefault="008E4B43" w:rsidP="00275F13">
                            <w:pPr>
                              <w:pStyle w:val="ColorfulList-Accent11"/>
                              <w:ind w:left="0" w:firstLine="0"/>
                              <w:rPr>
                                <w:rFonts w:cs="Calibri"/>
                                <w:lang w:val="fr-FR"/>
                              </w:rPr>
                            </w:pPr>
                            <w:r w:rsidRPr="008E4B43">
                              <w:rPr>
                                <w:lang w:val="fr-FR"/>
                              </w:rPr>
                              <w:t>Le</w:t>
                            </w:r>
                            <w:r w:rsidR="008A6505" w:rsidRPr="008E4B43">
                              <w:rPr>
                                <w:lang w:val="fr-FR"/>
                              </w:rPr>
                              <w:t xml:space="preserve"> </w:t>
                            </w:r>
                            <w:r w:rsidRPr="008E4B43">
                              <w:rPr>
                                <w:bCs/>
                                <w:lang w:val="fr-FR"/>
                              </w:rPr>
                              <w:t>Comité permanent</w:t>
                            </w:r>
                            <w:r w:rsidRPr="008E4B43">
                              <w:rPr>
                                <w:lang w:val="fr-FR"/>
                              </w:rPr>
                              <w:t xml:space="preserve"> </w:t>
                            </w:r>
                            <w:r>
                              <w:rPr>
                                <w:lang w:val="fr-FR"/>
                              </w:rPr>
                              <w:t>est invité à </w:t>
                            </w:r>
                            <w:r w:rsidR="000C2489" w:rsidRPr="008E4B43">
                              <w:rPr>
                                <w:rFonts w:cs="Calibri"/>
                                <w:lang w:val="fr-FR"/>
                              </w:rPr>
                              <w:t>:</w:t>
                            </w:r>
                          </w:p>
                          <w:p w14:paraId="12C373CE" w14:textId="77777777" w:rsidR="000C2489" w:rsidRPr="008E4B43" w:rsidRDefault="000C2489" w:rsidP="000C2489">
                            <w:pPr>
                              <w:pStyle w:val="ColorfulList-Accent11"/>
                              <w:ind w:left="0"/>
                              <w:rPr>
                                <w:rFonts w:cs="Calibri"/>
                                <w:lang w:val="fr-FR"/>
                              </w:rPr>
                            </w:pPr>
                          </w:p>
                          <w:p w14:paraId="6F3E70B0" w14:textId="0691DBC1" w:rsidR="00370C3C" w:rsidRPr="008E4B43" w:rsidRDefault="008E4B43" w:rsidP="00370C3C">
                            <w:pPr>
                              <w:pStyle w:val="ColorfulList-Accent11"/>
                              <w:ind w:left="425"/>
                              <w:rPr>
                                <w:rFonts w:cs="Calibri"/>
                                <w:lang w:val="fr-FR"/>
                              </w:rPr>
                            </w:pPr>
                            <w:r w:rsidRPr="008E4B43">
                              <w:rPr>
                                <w:rFonts w:cs="Calibri"/>
                                <w:lang w:val="fr-FR"/>
                              </w:rPr>
                              <w:t>i)</w:t>
                            </w:r>
                            <w:r w:rsidR="00275F13" w:rsidRPr="008E4B43">
                              <w:rPr>
                                <w:rFonts w:cs="Calibri"/>
                                <w:lang w:val="fr-FR"/>
                              </w:rPr>
                              <w:tab/>
                            </w:r>
                            <w:r w:rsidR="00F756EF">
                              <w:rPr>
                                <w:rFonts w:cs="Calibri"/>
                                <w:lang w:val="fr-FR"/>
                              </w:rPr>
                              <w:t>p</w:t>
                            </w:r>
                            <w:r w:rsidRPr="008E4B43">
                              <w:rPr>
                                <w:rFonts w:cs="Calibri"/>
                                <w:lang w:val="fr-FR"/>
                              </w:rPr>
                              <w:t>rendre n</w:t>
                            </w:r>
                            <w:r w:rsidR="000C2489" w:rsidRPr="008E4B43">
                              <w:rPr>
                                <w:rFonts w:cs="Calibri"/>
                                <w:lang w:val="fr-FR"/>
                              </w:rPr>
                              <w:t xml:space="preserve">ote </w:t>
                            </w:r>
                            <w:r w:rsidRPr="008E4B43">
                              <w:rPr>
                                <w:rFonts w:cs="Calibri"/>
                                <w:lang w:val="fr-FR"/>
                              </w:rPr>
                              <w:t>du</w:t>
                            </w:r>
                            <w:r w:rsidR="00164682" w:rsidRPr="008E4B43">
                              <w:rPr>
                                <w:rFonts w:cs="Calibri"/>
                                <w:lang w:val="fr-FR"/>
                              </w:rPr>
                              <w:t xml:space="preserve"> r</w:t>
                            </w:r>
                            <w:r w:rsidRPr="008E4B43">
                              <w:rPr>
                                <w:rFonts w:cs="Calibri"/>
                                <w:lang w:val="fr-FR"/>
                              </w:rPr>
                              <w:t>ap</w:t>
                            </w:r>
                            <w:r w:rsidR="00164682" w:rsidRPr="008E4B43">
                              <w:rPr>
                                <w:rFonts w:cs="Calibri"/>
                                <w:lang w:val="fr-FR"/>
                              </w:rPr>
                              <w:t>port pr</w:t>
                            </w:r>
                            <w:r w:rsidRPr="008E4B43">
                              <w:rPr>
                                <w:rFonts w:cs="Calibri"/>
                                <w:lang w:val="fr-FR"/>
                              </w:rPr>
                              <w:t>é</w:t>
                            </w:r>
                            <w:r w:rsidR="00164682" w:rsidRPr="008E4B43">
                              <w:rPr>
                                <w:rFonts w:cs="Calibri"/>
                                <w:lang w:val="fr-FR"/>
                              </w:rPr>
                              <w:t>par</w:t>
                            </w:r>
                            <w:r w:rsidRPr="008E4B43">
                              <w:rPr>
                                <w:rFonts w:cs="Calibri"/>
                                <w:lang w:val="fr-FR"/>
                              </w:rPr>
                              <w:t>é</w:t>
                            </w:r>
                            <w:r w:rsidR="00164682" w:rsidRPr="008E4B43">
                              <w:rPr>
                                <w:rFonts w:cs="Calibri"/>
                                <w:lang w:val="fr-FR"/>
                              </w:rPr>
                              <w:t xml:space="preserve"> </w:t>
                            </w:r>
                            <w:r>
                              <w:rPr>
                                <w:rFonts w:cs="Calibri"/>
                                <w:lang w:val="fr-FR"/>
                              </w:rPr>
                              <w:t>par le</w:t>
                            </w:r>
                            <w:r w:rsidR="00164682" w:rsidRPr="008E4B43">
                              <w:rPr>
                                <w:rFonts w:cs="Calibri"/>
                                <w:lang w:val="fr-FR"/>
                              </w:rPr>
                              <w:t xml:space="preserve"> </w:t>
                            </w:r>
                            <w:r w:rsidRPr="008E4B43">
                              <w:rPr>
                                <w:rFonts w:cs="Calibri"/>
                                <w:lang w:val="fr-FR"/>
                              </w:rPr>
                              <w:t>Secrétariat</w:t>
                            </w:r>
                            <w:r>
                              <w:rPr>
                                <w:rFonts w:cs="Calibri"/>
                                <w:lang w:val="fr-FR"/>
                              </w:rPr>
                              <w:t> </w:t>
                            </w:r>
                            <w:r w:rsidR="00D375D7" w:rsidRPr="008E4B43">
                              <w:rPr>
                                <w:rFonts w:cs="Calibri"/>
                                <w:lang w:val="fr-FR"/>
                              </w:rPr>
                              <w:t>;</w:t>
                            </w:r>
                            <w:r w:rsidR="004D1CCA" w:rsidRPr="008E4B43">
                              <w:rPr>
                                <w:rFonts w:cs="Calibri"/>
                                <w:lang w:val="fr-FR"/>
                              </w:rPr>
                              <w:t xml:space="preserve"> </w:t>
                            </w:r>
                          </w:p>
                          <w:p w14:paraId="4975FB62" w14:textId="77777777" w:rsidR="000C2489" w:rsidRPr="008E4B43" w:rsidRDefault="000C2489" w:rsidP="00FD76BF">
                            <w:pPr>
                              <w:pStyle w:val="ColorfulList-Accent11"/>
                              <w:ind w:left="425"/>
                              <w:rPr>
                                <w:lang w:val="fr-FR"/>
                              </w:rPr>
                            </w:pPr>
                          </w:p>
                          <w:p w14:paraId="4E39CAB9" w14:textId="5D372A35" w:rsidR="00873205" w:rsidRPr="008F7C7B" w:rsidRDefault="00275F13" w:rsidP="00DE5579">
                            <w:pPr>
                              <w:pStyle w:val="ColorfulList-Accent11"/>
                              <w:ind w:left="425"/>
                              <w:rPr>
                                <w:rFonts w:cs="Calibri"/>
                                <w:lang w:val="fr-FR"/>
                              </w:rPr>
                            </w:pPr>
                            <w:r w:rsidRPr="008F7C7B">
                              <w:rPr>
                                <w:rFonts w:cs="Calibri"/>
                                <w:lang w:val="fr-FR"/>
                              </w:rPr>
                              <w:t>ii</w:t>
                            </w:r>
                            <w:r w:rsidR="008E4B43" w:rsidRPr="008F7C7B">
                              <w:rPr>
                                <w:rFonts w:cs="Calibri"/>
                                <w:lang w:val="fr-FR"/>
                              </w:rPr>
                              <w:t>)</w:t>
                            </w:r>
                            <w:r w:rsidRPr="008F7C7B">
                              <w:rPr>
                                <w:rFonts w:cs="Calibri"/>
                                <w:lang w:val="fr-FR"/>
                              </w:rPr>
                              <w:tab/>
                            </w:r>
                            <w:r w:rsidR="00F756EF">
                              <w:rPr>
                                <w:rFonts w:cs="Calibri"/>
                                <w:lang w:val="fr-FR"/>
                              </w:rPr>
                              <w:t>n</w:t>
                            </w:r>
                            <w:r w:rsidR="00345BA2" w:rsidRPr="008F7C7B">
                              <w:rPr>
                                <w:rFonts w:cs="Calibri"/>
                                <w:lang w:val="fr-FR"/>
                              </w:rPr>
                              <w:t>ote</w:t>
                            </w:r>
                            <w:r w:rsidR="008E4B43" w:rsidRPr="008F7C7B">
                              <w:rPr>
                                <w:rFonts w:cs="Calibri"/>
                                <w:lang w:val="fr-FR"/>
                              </w:rPr>
                              <w:t xml:space="preserve">r que les deux listes de </w:t>
                            </w:r>
                            <w:r w:rsidR="007C4093" w:rsidRPr="008F7C7B">
                              <w:rPr>
                                <w:rFonts w:cs="Calibri"/>
                                <w:lang w:val="fr-FR"/>
                              </w:rPr>
                              <w:t>D</w:t>
                            </w:r>
                            <w:r w:rsidR="008E4B43" w:rsidRPr="008F7C7B">
                              <w:rPr>
                                <w:rFonts w:cs="Calibri"/>
                                <w:lang w:val="fr-FR"/>
                              </w:rPr>
                              <w:t>é</w:t>
                            </w:r>
                            <w:r w:rsidR="007C4093" w:rsidRPr="008F7C7B">
                              <w:rPr>
                                <w:rFonts w:cs="Calibri"/>
                                <w:lang w:val="fr-FR"/>
                              </w:rPr>
                              <w:t>cisions</w:t>
                            </w:r>
                            <w:r w:rsidR="008F7C7B" w:rsidRPr="008F7C7B">
                              <w:rPr>
                                <w:rFonts w:cs="Calibri"/>
                                <w:lang w:val="fr-FR"/>
                              </w:rPr>
                              <w:t>, de la 24</w:t>
                            </w:r>
                            <w:r w:rsidR="008F7C7B" w:rsidRPr="008F7C7B">
                              <w:rPr>
                                <w:rFonts w:cs="Calibri"/>
                                <w:vertAlign w:val="superscript"/>
                                <w:lang w:val="fr-FR"/>
                              </w:rPr>
                              <w:t>e</w:t>
                            </w:r>
                            <w:r w:rsidR="008F7C7B" w:rsidRPr="008F7C7B">
                              <w:rPr>
                                <w:rFonts w:cs="Calibri"/>
                                <w:lang w:val="fr-FR"/>
                              </w:rPr>
                              <w:t xml:space="preserve"> </w:t>
                            </w:r>
                            <w:r w:rsidR="008F7C7B">
                              <w:rPr>
                                <w:rFonts w:cs="Calibri"/>
                                <w:lang w:val="fr-FR"/>
                              </w:rPr>
                              <w:t>à</w:t>
                            </w:r>
                            <w:r w:rsidR="008F7C7B" w:rsidRPr="008F7C7B">
                              <w:rPr>
                                <w:rFonts w:cs="Calibri"/>
                                <w:lang w:val="fr-FR"/>
                              </w:rPr>
                              <w:t xml:space="preserve"> la 62</w:t>
                            </w:r>
                            <w:r w:rsidR="008F7C7B" w:rsidRPr="008F7C7B">
                              <w:rPr>
                                <w:rFonts w:cs="Calibri"/>
                                <w:vertAlign w:val="superscript"/>
                                <w:lang w:val="fr-FR"/>
                              </w:rPr>
                              <w:t>e</w:t>
                            </w:r>
                            <w:r w:rsidR="008F7C7B" w:rsidRPr="008F7C7B">
                              <w:rPr>
                                <w:rFonts w:cs="Calibri"/>
                                <w:lang w:val="fr-FR"/>
                              </w:rPr>
                              <w:t xml:space="preserve"> Réunions</w:t>
                            </w:r>
                            <w:r w:rsidR="007C4093" w:rsidRPr="008F7C7B">
                              <w:rPr>
                                <w:rFonts w:cs="Calibri"/>
                                <w:lang w:val="fr-FR"/>
                              </w:rPr>
                              <w:t xml:space="preserve"> </w:t>
                            </w:r>
                            <w:r w:rsidR="008F7C7B" w:rsidRPr="008F7C7B">
                              <w:rPr>
                                <w:rFonts w:cs="Calibri"/>
                                <w:lang w:val="fr-FR"/>
                              </w:rPr>
                              <w:t xml:space="preserve">du Comité </w:t>
                            </w:r>
                            <w:r w:rsidR="008F7C7B">
                              <w:rPr>
                                <w:rFonts w:cs="Calibri"/>
                                <w:lang w:val="fr-FR"/>
                              </w:rPr>
                              <w:t xml:space="preserve">permanent </w:t>
                            </w:r>
                            <w:r w:rsidR="00F248C0">
                              <w:rPr>
                                <w:rFonts w:cs="Calibri"/>
                                <w:lang w:val="fr-FR"/>
                              </w:rPr>
                              <w:t xml:space="preserve">qui </w:t>
                            </w:r>
                            <w:r w:rsidR="008F7C7B">
                              <w:rPr>
                                <w:rFonts w:cs="Calibri"/>
                                <w:lang w:val="fr-FR"/>
                              </w:rPr>
                              <w:t xml:space="preserve">se trouvent à l’adresse jointe et à l’annexe 1 remplissent </w:t>
                            </w:r>
                            <w:r w:rsidR="00F248C0">
                              <w:rPr>
                                <w:rFonts w:cs="Calibri"/>
                                <w:lang w:val="fr-FR"/>
                              </w:rPr>
                              <w:t>les deux</w:t>
                            </w:r>
                            <w:r w:rsidR="008F7C7B">
                              <w:rPr>
                                <w:rFonts w:cs="Calibri"/>
                                <w:lang w:val="fr-FR"/>
                              </w:rPr>
                              <w:t xml:space="preserve"> première</w:t>
                            </w:r>
                            <w:r w:rsidR="00F248C0">
                              <w:rPr>
                                <w:rFonts w:cs="Calibri"/>
                                <w:lang w:val="fr-FR"/>
                              </w:rPr>
                              <w:t>s</w:t>
                            </w:r>
                            <w:r w:rsidR="008F7C7B">
                              <w:rPr>
                                <w:rFonts w:cs="Calibri"/>
                                <w:lang w:val="fr-FR"/>
                              </w:rPr>
                              <w:t xml:space="preserve"> étapes du processus approuvé dans la Dé</w:t>
                            </w:r>
                            <w:r w:rsidR="009501B1" w:rsidRPr="008F7C7B">
                              <w:rPr>
                                <w:lang w:val="fr-FR"/>
                              </w:rPr>
                              <w:t xml:space="preserve">cision </w:t>
                            </w:r>
                            <w:r w:rsidR="007C4093" w:rsidRPr="008F7C7B">
                              <w:rPr>
                                <w:lang w:val="fr-FR"/>
                              </w:rPr>
                              <w:t>SC62-21</w:t>
                            </w:r>
                            <w:r w:rsidR="00E2439E">
                              <w:rPr>
                                <w:lang w:val="fr-FR"/>
                              </w:rPr>
                              <w:t> </w:t>
                            </w:r>
                            <w:r w:rsidR="00103213" w:rsidRPr="008F7C7B">
                              <w:rPr>
                                <w:rFonts w:cs="Calibri"/>
                                <w:lang w:val="fr-FR"/>
                              </w:rPr>
                              <w:t>;</w:t>
                            </w:r>
                          </w:p>
                          <w:p w14:paraId="1A22F92B" w14:textId="77777777" w:rsidR="00873205" w:rsidRPr="008F7C7B" w:rsidRDefault="00873205" w:rsidP="00DE5579">
                            <w:pPr>
                              <w:pStyle w:val="ColorfulList-Accent11"/>
                              <w:ind w:left="425"/>
                              <w:rPr>
                                <w:rFonts w:cs="Calibri"/>
                                <w:lang w:val="fr-FR"/>
                              </w:rPr>
                            </w:pPr>
                          </w:p>
                          <w:p w14:paraId="4ABDB7EB" w14:textId="4B5D91C5" w:rsidR="0083768D" w:rsidRPr="00F756EF" w:rsidRDefault="00BA58DF" w:rsidP="00DE5579">
                            <w:pPr>
                              <w:pStyle w:val="ColorfulList-Accent11"/>
                              <w:ind w:left="425"/>
                              <w:rPr>
                                <w:rFonts w:cs="Calibri"/>
                                <w:lang w:val="fr-FR"/>
                              </w:rPr>
                            </w:pPr>
                            <w:r w:rsidRPr="00F756EF">
                              <w:rPr>
                                <w:rFonts w:cs="Calibri"/>
                                <w:lang w:val="fr-FR"/>
                              </w:rPr>
                              <w:t>i</w:t>
                            </w:r>
                            <w:r w:rsidR="00D375D7" w:rsidRPr="00F756EF">
                              <w:rPr>
                                <w:rFonts w:cs="Calibri"/>
                                <w:lang w:val="fr-FR"/>
                              </w:rPr>
                              <w:t>ii</w:t>
                            </w:r>
                            <w:r w:rsidR="008E4B43" w:rsidRPr="00F756EF">
                              <w:rPr>
                                <w:rFonts w:cs="Calibri"/>
                                <w:lang w:val="fr-FR"/>
                              </w:rPr>
                              <w:t>)</w:t>
                            </w:r>
                            <w:r w:rsidRPr="00F756EF">
                              <w:rPr>
                                <w:rFonts w:cs="Calibri"/>
                                <w:lang w:val="fr-FR"/>
                              </w:rPr>
                              <w:t xml:space="preserve"> </w:t>
                            </w:r>
                            <w:r w:rsidR="008E4F79" w:rsidRPr="00F756EF">
                              <w:rPr>
                                <w:rFonts w:cs="Calibri"/>
                                <w:lang w:val="fr-FR"/>
                              </w:rPr>
                              <w:tab/>
                            </w:r>
                            <w:r w:rsidR="00F756EF" w:rsidRPr="00F756EF">
                              <w:rPr>
                                <w:rFonts w:cs="Calibri"/>
                                <w:lang w:val="fr-FR"/>
                              </w:rPr>
                              <w:t>d</w:t>
                            </w:r>
                            <w:r w:rsidR="008F7C7B" w:rsidRPr="00F756EF">
                              <w:rPr>
                                <w:rFonts w:cs="Calibri"/>
                                <w:lang w:val="fr-FR"/>
                              </w:rPr>
                              <w:t>é</w:t>
                            </w:r>
                            <w:r w:rsidR="00990126" w:rsidRPr="00F756EF">
                              <w:rPr>
                                <w:rFonts w:cs="Calibri"/>
                                <w:lang w:val="fr-FR"/>
                              </w:rPr>
                              <w:t>cide</w:t>
                            </w:r>
                            <w:r w:rsidR="008F7C7B" w:rsidRPr="00F756EF">
                              <w:rPr>
                                <w:rFonts w:cs="Calibri"/>
                                <w:lang w:val="fr-FR"/>
                              </w:rPr>
                              <w:t>r</w:t>
                            </w:r>
                            <w:r w:rsidR="00990126" w:rsidRPr="00F756EF">
                              <w:rPr>
                                <w:rFonts w:cs="Calibri"/>
                                <w:lang w:val="fr-FR"/>
                              </w:rPr>
                              <w:t xml:space="preserve"> </w:t>
                            </w:r>
                            <w:r w:rsidR="008F7C7B" w:rsidRPr="00F756EF">
                              <w:rPr>
                                <w:rFonts w:cs="Calibri"/>
                                <w:lang w:val="fr-FR"/>
                              </w:rPr>
                              <w:t>que les</w:t>
                            </w:r>
                            <w:r w:rsidR="00990126" w:rsidRPr="00F756EF">
                              <w:rPr>
                                <w:rFonts w:cs="Calibri"/>
                                <w:lang w:val="fr-FR"/>
                              </w:rPr>
                              <w:t xml:space="preserve"> D</w:t>
                            </w:r>
                            <w:r w:rsidR="008F7C7B" w:rsidRPr="00F756EF">
                              <w:rPr>
                                <w:rFonts w:cs="Calibri"/>
                                <w:lang w:val="fr-FR"/>
                              </w:rPr>
                              <w:t>é</w:t>
                            </w:r>
                            <w:r w:rsidR="00990126" w:rsidRPr="00F756EF">
                              <w:rPr>
                                <w:rFonts w:cs="Calibri"/>
                                <w:lang w:val="fr-FR"/>
                              </w:rPr>
                              <w:t xml:space="preserve">cisions </w:t>
                            </w:r>
                            <w:r w:rsidR="00F248C0">
                              <w:rPr>
                                <w:rFonts w:cs="Calibri"/>
                                <w:lang w:val="fr-FR"/>
                              </w:rPr>
                              <w:t>considérées comme</w:t>
                            </w:r>
                            <w:r w:rsidR="00990126" w:rsidRPr="00F756EF">
                              <w:rPr>
                                <w:rFonts w:cs="Calibri"/>
                                <w:lang w:val="fr-FR"/>
                              </w:rPr>
                              <w:t xml:space="preserve"> </w:t>
                            </w:r>
                            <w:r w:rsidR="00E2439E">
                              <w:rPr>
                                <w:rFonts w:cs="Calibri"/>
                                <w:lang w:val="fr-FR"/>
                              </w:rPr>
                              <w:t>« </w:t>
                            </w:r>
                            <w:r w:rsidR="00F756EF" w:rsidRPr="00F756EF">
                              <w:rPr>
                                <w:rFonts w:cs="Calibri"/>
                                <w:lang w:val="fr-FR"/>
                              </w:rPr>
                              <w:t>en attente</w:t>
                            </w:r>
                            <w:r w:rsidR="00E2439E">
                              <w:rPr>
                                <w:rFonts w:cs="Calibri"/>
                                <w:lang w:val="fr-FR"/>
                              </w:rPr>
                              <w:t> »</w:t>
                            </w:r>
                            <w:r w:rsidR="00C86882" w:rsidRPr="00F756EF">
                              <w:rPr>
                                <w:rFonts w:cs="Calibri"/>
                                <w:lang w:val="fr-FR"/>
                              </w:rPr>
                              <w:t xml:space="preserve"> </w:t>
                            </w:r>
                            <w:r w:rsidR="00F756EF" w:rsidRPr="00F756EF">
                              <w:rPr>
                                <w:rFonts w:cs="Calibri"/>
                                <w:lang w:val="fr-FR"/>
                              </w:rPr>
                              <w:t>seront présentées lors de futures réunions du</w:t>
                            </w:r>
                            <w:r w:rsidR="00F756EF">
                              <w:rPr>
                                <w:rFonts w:cs="Calibri"/>
                                <w:lang w:val="fr-FR"/>
                              </w:rPr>
                              <w:t xml:space="preserve"> Comité permanent</w:t>
                            </w:r>
                            <w:r w:rsidR="00990126" w:rsidRPr="00F756EF">
                              <w:rPr>
                                <w:rFonts w:cs="Calibri"/>
                                <w:lang w:val="fr-FR"/>
                              </w:rPr>
                              <w:t xml:space="preserve"> </w:t>
                            </w:r>
                            <w:r w:rsidR="00F756EF">
                              <w:rPr>
                                <w:rFonts w:cs="Calibri"/>
                                <w:lang w:val="fr-FR"/>
                              </w:rPr>
                              <w:t>comme</w:t>
                            </w:r>
                            <w:r w:rsidR="00990126" w:rsidRPr="00F756EF">
                              <w:rPr>
                                <w:rFonts w:cs="Calibri"/>
                                <w:lang w:val="fr-FR"/>
                              </w:rPr>
                              <w:t xml:space="preserve"> </w:t>
                            </w:r>
                            <w:r w:rsidR="00E2439E">
                              <w:rPr>
                                <w:rFonts w:cs="Calibri"/>
                                <w:lang w:val="fr-FR"/>
                              </w:rPr>
                              <w:t>indiqué au</w:t>
                            </w:r>
                            <w:r w:rsidR="00990126" w:rsidRPr="00F756EF">
                              <w:rPr>
                                <w:rFonts w:cs="Calibri"/>
                                <w:lang w:val="fr-FR"/>
                              </w:rPr>
                              <w:t xml:space="preserve"> paragraph</w:t>
                            </w:r>
                            <w:r w:rsidR="00E2439E">
                              <w:rPr>
                                <w:rFonts w:cs="Calibri"/>
                                <w:lang w:val="fr-FR"/>
                              </w:rPr>
                              <w:t>e</w:t>
                            </w:r>
                            <w:r w:rsidR="00990126" w:rsidRPr="00F756EF">
                              <w:rPr>
                                <w:rFonts w:cs="Calibri"/>
                                <w:lang w:val="fr-FR"/>
                              </w:rPr>
                              <w:t xml:space="preserve"> </w:t>
                            </w:r>
                            <w:r w:rsidR="00302586" w:rsidRPr="00F756EF">
                              <w:rPr>
                                <w:rFonts w:cs="Calibri"/>
                                <w:lang w:val="fr-FR"/>
                              </w:rPr>
                              <w:t>4</w:t>
                            </w:r>
                            <w:r w:rsidR="00E2439E">
                              <w:rPr>
                                <w:rFonts w:cs="Calibri"/>
                                <w:lang w:val="fr-FR"/>
                              </w:rPr>
                              <w:t xml:space="preserve"> </w:t>
                            </w:r>
                            <w:r w:rsidR="00640E50" w:rsidRPr="00F756EF">
                              <w:rPr>
                                <w:rFonts w:cs="Calibri"/>
                                <w:lang w:val="fr-FR"/>
                              </w:rPr>
                              <w:t xml:space="preserve">; </w:t>
                            </w:r>
                            <w:r w:rsidR="00E2439E">
                              <w:rPr>
                                <w:rFonts w:cs="Calibri"/>
                                <w:lang w:val="fr-FR"/>
                              </w:rPr>
                              <w:t>et que</w:t>
                            </w:r>
                            <w:r w:rsidR="00640E50" w:rsidRPr="00F756EF">
                              <w:rPr>
                                <w:rFonts w:cs="Calibri"/>
                                <w:lang w:val="fr-FR"/>
                              </w:rPr>
                              <w:t xml:space="preserve"> </w:t>
                            </w:r>
                            <w:r w:rsidR="00E2439E" w:rsidRPr="00F756EF">
                              <w:rPr>
                                <w:rFonts w:cs="Calibri"/>
                                <w:lang w:val="fr-FR"/>
                              </w:rPr>
                              <w:t xml:space="preserve">les Décisions </w:t>
                            </w:r>
                            <w:r w:rsidR="00F248C0">
                              <w:rPr>
                                <w:rFonts w:cs="Calibri"/>
                                <w:lang w:val="fr-FR"/>
                              </w:rPr>
                              <w:t>considérées comme</w:t>
                            </w:r>
                            <w:r w:rsidR="00E2439E" w:rsidRPr="00F756EF">
                              <w:rPr>
                                <w:rFonts w:cs="Calibri"/>
                                <w:lang w:val="fr-FR"/>
                              </w:rPr>
                              <w:t xml:space="preserve"> </w:t>
                            </w:r>
                            <w:r w:rsidR="00E2439E">
                              <w:rPr>
                                <w:rFonts w:cs="Calibri"/>
                                <w:lang w:val="fr-FR"/>
                              </w:rPr>
                              <w:t xml:space="preserve">« appliquées » ne seront pas présentées </w:t>
                            </w:r>
                            <w:r w:rsidR="00E2439E" w:rsidRPr="00F756EF">
                              <w:rPr>
                                <w:rFonts w:cs="Calibri"/>
                                <w:lang w:val="fr-FR"/>
                              </w:rPr>
                              <w:t>lors de futures réunions du</w:t>
                            </w:r>
                            <w:r w:rsidR="00E2439E">
                              <w:rPr>
                                <w:rFonts w:cs="Calibri"/>
                                <w:lang w:val="fr-FR"/>
                              </w:rPr>
                              <w:t xml:space="preserve"> Comité permanent</w:t>
                            </w:r>
                            <w:r w:rsidR="007C4093" w:rsidRPr="00F756EF">
                              <w:rPr>
                                <w:rFonts w:cs="Calibri"/>
                                <w:lang w:val="fr-FR"/>
                              </w:rPr>
                              <w:t>.</w:t>
                            </w:r>
                          </w:p>
                          <w:p w14:paraId="6B458F48" w14:textId="77777777" w:rsidR="007C4093" w:rsidRPr="00F756EF" w:rsidRDefault="007C4093" w:rsidP="00DE5579">
                            <w:pPr>
                              <w:pStyle w:val="ColorfulList-Accent11"/>
                              <w:ind w:left="425"/>
                              <w:rPr>
                                <w:rFonts w:cs="Calibri"/>
                                <w:lang w:val="fr-FR"/>
                              </w:rPr>
                            </w:pPr>
                          </w:p>
                          <w:p w14:paraId="66969FFC" w14:textId="4FA864E8" w:rsidR="007C4093" w:rsidRPr="00E2439E" w:rsidRDefault="007C4093" w:rsidP="00DE5579">
                            <w:pPr>
                              <w:pStyle w:val="ColorfulList-Accent11"/>
                              <w:ind w:left="425"/>
                              <w:rPr>
                                <w:rFonts w:cs="Calibri"/>
                                <w:lang w:val="fr-FR"/>
                              </w:rPr>
                            </w:pPr>
                            <w:r w:rsidRPr="00E2439E">
                              <w:rPr>
                                <w:rFonts w:cs="Calibri"/>
                                <w:lang w:val="fr-FR"/>
                              </w:rPr>
                              <w:t>i</w:t>
                            </w:r>
                            <w:r w:rsidR="008E4B43" w:rsidRPr="00E2439E">
                              <w:rPr>
                                <w:rFonts w:cs="Calibri"/>
                                <w:lang w:val="fr-FR"/>
                              </w:rPr>
                              <w:t>v)</w:t>
                            </w:r>
                            <w:r w:rsidRPr="00E2439E">
                              <w:rPr>
                                <w:rFonts w:cs="Calibri"/>
                                <w:lang w:val="fr-FR"/>
                              </w:rPr>
                              <w:tab/>
                            </w:r>
                            <w:r w:rsidR="00E2439E" w:rsidRPr="00E2439E">
                              <w:rPr>
                                <w:lang w:val="fr-FR"/>
                              </w:rPr>
                              <w:t>recommander</w:t>
                            </w:r>
                            <w:r w:rsidR="00581ABF">
                              <w:rPr>
                                <w:lang w:val="fr-FR"/>
                              </w:rPr>
                              <w:t xml:space="preserve"> que</w:t>
                            </w:r>
                            <w:r w:rsidR="00E2439E" w:rsidRPr="00E2439E">
                              <w:rPr>
                                <w:lang w:val="fr-FR"/>
                              </w:rPr>
                              <w:t xml:space="preserve">, </w:t>
                            </w:r>
                            <w:r w:rsidR="00E2439E" w:rsidRPr="00581ABF">
                              <w:rPr>
                                <w:lang w:val="fr-FR"/>
                              </w:rPr>
                              <w:t>le cas échéant</w:t>
                            </w:r>
                            <w:r w:rsidR="00E2439E" w:rsidRPr="00E2439E">
                              <w:rPr>
                                <w:lang w:val="fr-FR"/>
                              </w:rPr>
                              <w:t xml:space="preserve">, les Décisions </w:t>
                            </w:r>
                            <w:r w:rsidR="00B13EE7">
                              <w:rPr>
                                <w:lang w:val="fr-FR"/>
                              </w:rPr>
                              <w:t>« </w:t>
                            </w:r>
                            <w:r w:rsidR="00E2439E" w:rsidRPr="00E2439E">
                              <w:rPr>
                                <w:lang w:val="fr-FR"/>
                              </w:rPr>
                              <w:t>en attente</w:t>
                            </w:r>
                            <w:r w:rsidR="00B13EE7">
                              <w:rPr>
                                <w:lang w:val="fr-FR"/>
                              </w:rPr>
                              <w:t> »</w:t>
                            </w:r>
                            <w:r w:rsidRPr="00E2439E">
                              <w:rPr>
                                <w:lang w:val="fr-FR"/>
                              </w:rPr>
                              <w:t xml:space="preserve"> </w:t>
                            </w:r>
                            <w:r w:rsidR="00E2439E" w:rsidRPr="00E2439E">
                              <w:rPr>
                                <w:lang w:val="fr-FR"/>
                              </w:rPr>
                              <w:t xml:space="preserve">soient intégrées dans de futures Résolutions </w:t>
                            </w:r>
                            <w:r w:rsidR="00E2439E">
                              <w:rPr>
                                <w:lang w:val="fr-FR"/>
                              </w:rPr>
                              <w:t>afin de pouvoir être considérées comme « appliquées » et retirées de la liste des</w:t>
                            </w:r>
                            <w:r w:rsidRPr="00E2439E">
                              <w:rPr>
                                <w:lang w:val="fr-FR"/>
                              </w:rPr>
                              <w:t xml:space="preserve"> D</w:t>
                            </w:r>
                            <w:r w:rsidR="00E2439E">
                              <w:rPr>
                                <w:lang w:val="fr-FR"/>
                              </w:rPr>
                              <w:t>é</w:t>
                            </w:r>
                            <w:r w:rsidRPr="00E2439E">
                              <w:rPr>
                                <w:lang w:val="fr-FR"/>
                              </w:rPr>
                              <w:t>cisions</w:t>
                            </w:r>
                            <w:r w:rsidR="00E2439E">
                              <w:rPr>
                                <w:lang w:val="fr-FR"/>
                              </w:rPr>
                              <w:t xml:space="preserve"> « en attente »</w:t>
                            </w:r>
                            <w:r w:rsidRPr="00E2439E">
                              <w:rPr>
                                <w:lang w:val="fr-FR"/>
                              </w:rPr>
                              <w:t xml:space="preserve">.  </w:t>
                            </w:r>
                          </w:p>
                          <w:p w14:paraId="3B8476DD" w14:textId="77777777" w:rsidR="0083768D" w:rsidRPr="00E2439E" w:rsidRDefault="00A20D3D" w:rsidP="00DE5579">
                            <w:pPr>
                              <w:pStyle w:val="ColorfulList-Accent11"/>
                              <w:ind w:left="425"/>
                              <w:rPr>
                                <w:rFonts w:cs="Calibri"/>
                                <w:lang w:val="fr-FR"/>
                              </w:rPr>
                            </w:pPr>
                            <w:r w:rsidRPr="00E2439E">
                              <w:rPr>
                                <w:rFonts w:cs="Calibri"/>
                                <w:lang w:val="fr-FR"/>
                              </w:rPr>
                              <w:t xml:space="preserve"> </w:t>
                            </w: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5.95pt;height:2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">
                <v:textbox>
                  <w:txbxContent>
                    <w:p w14:paraId="155D4708" w14:textId="4D7602B8" w:rsidR="000C2489" w:rsidRPr="008E4B43" w:rsidRDefault="008E4B43" w:rsidP="000C2489">
                      <w:pPr>
                        <w:rPr>
                          <w:b/>
                          <w:bCs/>
                          <w:lang w:val="fr-FR"/>
                        </w:rPr>
                      </w:pPr>
                      <w:r w:rsidRPr="008E4B43">
                        <w:rPr>
                          <w:b/>
                          <w:bCs/>
                          <w:lang w:val="fr-FR"/>
                        </w:rPr>
                        <w:t>Mesure</w:t>
                      </w:r>
                      <w:r w:rsidR="000C2489" w:rsidRPr="008E4B43">
                        <w:rPr>
                          <w:b/>
                          <w:bCs/>
                          <w:lang w:val="fr-FR"/>
                        </w:rPr>
                        <w:t xml:space="preserve"> requ</w:t>
                      </w:r>
                      <w:r w:rsidRPr="008E4B43">
                        <w:rPr>
                          <w:b/>
                          <w:bCs/>
                          <w:lang w:val="fr-FR"/>
                        </w:rPr>
                        <w:t>ise </w:t>
                      </w:r>
                      <w:r w:rsidR="000C2489" w:rsidRPr="008E4B43">
                        <w:rPr>
                          <w:b/>
                          <w:bCs/>
                          <w:lang w:val="fr-FR"/>
                        </w:rPr>
                        <w:t xml:space="preserve">: </w:t>
                      </w:r>
                    </w:p>
                    <w:p w14:paraId="367AB0B5" w14:textId="77777777" w:rsidR="000C2489" w:rsidRPr="008E4B43" w:rsidRDefault="000C2489" w:rsidP="000C2489">
                      <w:pPr>
                        <w:pStyle w:val="ColorfulList-Accent11"/>
                        <w:ind w:left="0"/>
                        <w:rPr>
                          <w:lang w:val="fr-FR"/>
                        </w:rPr>
                      </w:pPr>
                    </w:p>
                    <w:p w14:paraId="1BD9EF71" w14:textId="1850B9F7" w:rsidR="000C2489" w:rsidRPr="008E4B43" w:rsidRDefault="008E4B43" w:rsidP="00275F13">
                      <w:pPr>
                        <w:pStyle w:val="ColorfulList-Accent11"/>
                        <w:ind w:left="0" w:firstLine="0"/>
                        <w:rPr>
                          <w:rFonts w:cs="Calibri"/>
                          <w:lang w:val="fr-FR"/>
                        </w:rPr>
                      </w:pPr>
                      <w:r w:rsidRPr="008E4B43">
                        <w:rPr>
                          <w:lang w:val="fr-FR"/>
                        </w:rPr>
                        <w:t>Le</w:t>
                      </w:r>
                      <w:r w:rsidR="008A6505" w:rsidRPr="008E4B43">
                        <w:rPr>
                          <w:lang w:val="fr-FR"/>
                        </w:rPr>
                        <w:t xml:space="preserve"> </w:t>
                      </w:r>
                      <w:r w:rsidRPr="008E4B43">
                        <w:rPr>
                          <w:bCs/>
                          <w:lang w:val="fr-FR"/>
                        </w:rPr>
                        <w:t>Comité permanent</w:t>
                      </w:r>
                      <w:r w:rsidRPr="008E4B43">
                        <w:rPr>
                          <w:lang w:val="fr-FR"/>
                        </w:rPr>
                        <w:t xml:space="preserve"> </w:t>
                      </w:r>
                      <w:r>
                        <w:rPr>
                          <w:lang w:val="fr-FR"/>
                        </w:rPr>
                        <w:t>est invité à </w:t>
                      </w:r>
                      <w:r w:rsidR="000C2489" w:rsidRPr="008E4B43">
                        <w:rPr>
                          <w:rFonts w:cs="Calibri"/>
                          <w:lang w:val="fr-FR"/>
                        </w:rPr>
                        <w:t>:</w:t>
                      </w:r>
                    </w:p>
                    <w:p w14:paraId="12C373CE" w14:textId="77777777" w:rsidR="000C2489" w:rsidRPr="008E4B43" w:rsidRDefault="000C2489" w:rsidP="000C2489">
                      <w:pPr>
                        <w:pStyle w:val="ColorfulList-Accent11"/>
                        <w:ind w:left="0"/>
                        <w:rPr>
                          <w:rFonts w:cs="Calibri"/>
                          <w:lang w:val="fr-FR"/>
                        </w:rPr>
                      </w:pPr>
                    </w:p>
                    <w:p w14:paraId="6F3E70B0" w14:textId="0691DBC1" w:rsidR="00370C3C" w:rsidRPr="008E4B43" w:rsidRDefault="008E4B43" w:rsidP="00370C3C">
                      <w:pPr>
                        <w:pStyle w:val="ColorfulList-Accent11"/>
                        <w:ind w:left="425"/>
                        <w:rPr>
                          <w:rFonts w:cs="Calibri"/>
                          <w:lang w:val="fr-FR"/>
                        </w:rPr>
                      </w:pPr>
                      <w:r w:rsidRPr="008E4B43">
                        <w:rPr>
                          <w:rFonts w:cs="Calibri"/>
                          <w:lang w:val="fr-FR"/>
                        </w:rPr>
                        <w:t>i)</w:t>
                      </w:r>
                      <w:r w:rsidR="00275F13" w:rsidRPr="008E4B43">
                        <w:rPr>
                          <w:rFonts w:cs="Calibri"/>
                          <w:lang w:val="fr-FR"/>
                        </w:rPr>
                        <w:tab/>
                      </w:r>
                      <w:r w:rsidR="00F756EF">
                        <w:rPr>
                          <w:rFonts w:cs="Calibri"/>
                          <w:lang w:val="fr-FR"/>
                        </w:rPr>
                        <w:t>p</w:t>
                      </w:r>
                      <w:r w:rsidRPr="008E4B43">
                        <w:rPr>
                          <w:rFonts w:cs="Calibri"/>
                          <w:lang w:val="fr-FR"/>
                        </w:rPr>
                        <w:t>rendre n</w:t>
                      </w:r>
                      <w:r w:rsidR="000C2489" w:rsidRPr="008E4B43">
                        <w:rPr>
                          <w:rFonts w:cs="Calibri"/>
                          <w:lang w:val="fr-FR"/>
                        </w:rPr>
                        <w:t xml:space="preserve">ote </w:t>
                      </w:r>
                      <w:r w:rsidRPr="008E4B43">
                        <w:rPr>
                          <w:rFonts w:cs="Calibri"/>
                          <w:lang w:val="fr-FR"/>
                        </w:rPr>
                        <w:t>du</w:t>
                      </w:r>
                      <w:r w:rsidR="00164682" w:rsidRPr="008E4B43">
                        <w:rPr>
                          <w:rFonts w:cs="Calibri"/>
                          <w:lang w:val="fr-FR"/>
                        </w:rPr>
                        <w:t xml:space="preserve"> r</w:t>
                      </w:r>
                      <w:r w:rsidRPr="008E4B43">
                        <w:rPr>
                          <w:rFonts w:cs="Calibri"/>
                          <w:lang w:val="fr-FR"/>
                        </w:rPr>
                        <w:t>ap</w:t>
                      </w:r>
                      <w:r w:rsidR="00164682" w:rsidRPr="008E4B43">
                        <w:rPr>
                          <w:rFonts w:cs="Calibri"/>
                          <w:lang w:val="fr-FR"/>
                        </w:rPr>
                        <w:t>port pr</w:t>
                      </w:r>
                      <w:r w:rsidRPr="008E4B43">
                        <w:rPr>
                          <w:rFonts w:cs="Calibri"/>
                          <w:lang w:val="fr-FR"/>
                        </w:rPr>
                        <w:t>é</w:t>
                      </w:r>
                      <w:r w:rsidR="00164682" w:rsidRPr="008E4B43">
                        <w:rPr>
                          <w:rFonts w:cs="Calibri"/>
                          <w:lang w:val="fr-FR"/>
                        </w:rPr>
                        <w:t>par</w:t>
                      </w:r>
                      <w:r w:rsidRPr="008E4B43">
                        <w:rPr>
                          <w:rFonts w:cs="Calibri"/>
                          <w:lang w:val="fr-FR"/>
                        </w:rPr>
                        <w:t>é</w:t>
                      </w:r>
                      <w:r w:rsidR="00164682" w:rsidRPr="008E4B43">
                        <w:rPr>
                          <w:rFonts w:cs="Calibri"/>
                          <w:lang w:val="fr-FR"/>
                        </w:rPr>
                        <w:t xml:space="preserve"> </w:t>
                      </w:r>
                      <w:r>
                        <w:rPr>
                          <w:rFonts w:cs="Calibri"/>
                          <w:lang w:val="fr-FR"/>
                        </w:rPr>
                        <w:t>par le</w:t>
                      </w:r>
                      <w:r w:rsidR="00164682" w:rsidRPr="008E4B43">
                        <w:rPr>
                          <w:rFonts w:cs="Calibri"/>
                          <w:lang w:val="fr-FR"/>
                        </w:rPr>
                        <w:t xml:space="preserve"> </w:t>
                      </w:r>
                      <w:r w:rsidRPr="008E4B43">
                        <w:rPr>
                          <w:rFonts w:cs="Calibri"/>
                          <w:lang w:val="fr-FR"/>
                        </w:rPr>
                        <w:t>Secrétariat</w:t>
                      </w:r>
                      <w:r>
                        <w:rPr>
                          <w:rFonts w:cs="Calibri"/>
                          <w:lang w:val="fr-FR"/>
                        </w:rPr>
                        <w:t> </w:t>
                      </w:r>
                      <w:r w:rsidR="00D375D7" w:rsidRPr="008E4B43">
                        <w:rPr>
                          <w:rFonts w:cs="Calibri"/>
                          <w:lang w:val="fr-FR"/>
                        </w:rPr>
                        <w:t>;</w:t>
                      </w:r>
                      <w:r w:rsidR="004D1CCA" w:rsidRPr="008E4B43">
                        <w:rPr>
                          <w:rFonts w:cs="Calibri"/>
                          <w:lang w:val="fr-FR"/>
                        </w:rPr>
                        <w:t xml:space="preserve"> </w:t>
                      </w:r>
                    </w:p>
                    <w:p w14:paraId="4975FB62" w14:textId="77777777" w:rsidR="000C2489" w:rsidRPr="008E4B43" w:rsidRDefault="000C2489" w:rsidP="00FD76BF">
                      <w:pPr>
                        <w:pStyle w:val="ColorfulList-Accent11"/>
                        <w:ind w:left="425"/>
                        <w:rPr>
                          <w:lang w:val="fr-FR"/>
                        </w:rPr>
                      </w:pPr>
                    </w:p>
                    <w:p w14:paraId="4E39CAB9" w14:textId="5D372A35" w:rsidR="00873205" w:rsidRPr="008F7C7B" w:rsidRDefault="00275F13" w:rsidP="00DE5579">
                      <w:pPr>
                        <w:pStyle w:val="ColorfulList-Accent11"/>
                        <w:ind w:left="425"/>
                        <w:rPr>
                          <w:rFonts w:cs="Calibri"/>
                          <w:lang w:val="fr-FR"/>
                        </w:rPr>
                      </w:pPr>
                      <w:r w:rsidRPr="008F7C7B">
                        <w:rPr>
                          <w:rFonts w:cs="Calibri"/>
                          <w:lang w:val="fr-FR"/>
                        </w:rPr>
                        <w:t>ii</w:t>
                      </w:r>
                      <w:r w:rsidR="008E4B43" w:rsidRPr="008F7C7B">
                        <w:rPr>
                          <w:rFonts w:cs="Calibri"/>
                          <w:lang w:val="fr-FR"/>
                        </w:rPr>
                        <w:t>)</w:t>
                      </w:r>
                      <w:r w:rsidRPr="008F7C7B">
                        <w:rPr>
                          <w:rFonts w:cs="Calibri"/>
                          <w:lang w:val="fr-FR"/>
                        </w:rPr>
                        <w:tab/>
                      </w:r>
                      <w:r w:rsidR="00F756EF">
                        <w:rPr>
                          <w:rFonts w:cs="Calibri"/>
                          <w:lang w:val="fr-FR"/>
                        </w:rPr>
                        <w:t>n</w:t>
                      </w:r>
                      <w:r w:rsidR="00345BA2" w:rsidRPr="008F7C7B">
                        <w:rPr>
                          <w:rFonts w:cs="Calibri"/>
                          <w:lang w:val="fr-FR"/>
                        </w:rPr>
                        <w:t>ote</w:t>
                      </w:r>
                      <w:r w:rsidR="008E4B43" w:rsidRPr="008F7C7B">
                        <w:rPr>
                          <w:rFonts w:cs="Calibri"/>
                          <w:lang w:val="fr-FR"/>
                        </w:rPr>
                        <w:t xml:space="preserve">r que les deux listes de </w:t>
                      </w:r>
                      <w:r w:rsidR="007C4093" w:rsidRPr="008F7C7B">
                        <w:rPr>
                          <w:rFonts w:cs="Calibri"/>
                          <w:lang w:val="fr-FR"/>
                        </w:rPr>
                        <w:t>D</w:t>
                      </w:r>
                      <w:r w:rsidR="008E4B43" w:rsidRPr="008F7C7B">
                        <w:rPr>
                          <w:rFonts w:cs="Calibri"/>
                          <w:lang w:val="fr-FR"/>
                        </w:rPr>
                        <w:t>é</w:t>
                      </w:r>
                      <w:r w:rsidR="007C4093" w:rsidRPr="008F7C7B">
                        <w:rPr>
                          <w:rFonts w:cs="Calibri"/>
                          <w:lang w:val="fr-FR"/>
                        </w:rPr>
                        <w:t>cisions</w:t>
                      </w:r>
                      <w:r w:rsidR="008F7C7B" w:rsidRPr="008F7C7B">
                        <w:rPr>
                          <w:rFonts w:cs="Calibri"/>
                          <w:lang w:val="fr-FR"/>
                        </w:rPr>
                        <w:t>, de la 24</w:t>
                      </w:r>
                      <w:r w:rsidR="008F7C7B" w:rsidRPr="008F7C7B">
                        <w:rPr>
                          <w:rFonts w:cs="Calibri"/>
                          <w:vertAlign w:val="superscript"/>
                          <w:lang w:val="fr-FR"/>
                        </w:rPr>
                        <w:t>e</w:t>
                      </w:r>
                      <w:r w:rsidR="008F7C7B" w:rsidRPr="008F7C7B">
                        <w:rPr>
                          <w:rFonts w:cs="Calibri"/>
                          <w:lang w:val="fr-FR"/>
                        </w:rPr>
                        <w:t xml:space="preserve"> </w:t>
                      </w:r>
                      <w:r w:rsidR="008F7C7B">
                        <w:rPr>
                          <w:rFonts w:cs="Calibri"/>
                          <w:lang w:val="fr-FR"/>
                        </w:rPr>
                        <w:t>à</w:t>
                      </w:r>
                      <w:r w:rsidR="008F7C7B" w:rsidRPr="008F7C7B">
                        <w:rPr>
                          <w:rFonts w:cs="Calibri"/>
                          <w:lang w:val="fr-FR"/>
                        </w:rPr>
                        <w:t xml:space="preserve"> la 62</w:t>
                      </w:r>
                      <w:r w:rsidR="008F7C7B" w:rsidRPr="008F7C7B">
                        <w:rPr>
                          <w:rFonts w:cs="Calibri"/>
                          <w:vertAlign w:val="superscript"/>
                          <w:lang w:val="fr-FR"/>
                        </w:rPr>
                        <w:t>e</w:t>
                      </w:r>
                      <w:r w:rsidR="008F7C7B" w:rsidRPr="008F7C7B">
                        <w:rPr>
                          <w:rFonts w:cs="Calibri"/>
                          <w:lang w:val="fr-FR"/>
                        </w:rPr>
                        <w:t xml:space="preserve"> Réunions</w:t>
                      </w:r>
                      <w:r w:rsidR="007C4093" w:rsidRPr="008F7C7B">
                        <w:rPr>
                          <w:rFonts w:cs="Calibri"/>
                          <w:lang w:val="fr-FR"/>
                        </w:rPr>
                        <w:t xml:space="preserve"> </w:t>
                      </w:r>
                      <w:r w:rsidR="008F7C7B" w:rsidRPr="008F7C7B">
                        <w:rPr>
                          <w:rFonts w:cs="Calibri"/>
                          <w:lang w:val="fr-FR"/>
                        </w:rPr>
                        <w:t xml:space="preserve">du Comité </w:t>
                      </w:r>
                      <w:r w:rsidR="008F7C7B">
                        <w:rPr>
                          <w:rFonts w:cs="Calibri"/>
                          <w:lang w:val="fr-FR"/>
                        </w:rPr>
                        <w:t xml:space="preserve">permanent </w:t>
                      </w:r>
                      <w:r w:rsidR="00F248C0">
                        <w:rPr>
                          <w:rFonts w:cs="Calibri"/>
                          <w:lang w:val="fr-FR"/>
                        </w:rPr>
                        <w:t xml:space="preserve">qui </w:t>
                      </w:r>
                      <w:r w:rsidR="008F7C7B">
                        <w:rPr>
                          <w:rFonts w:cs="Calibri"/>
                          <w:lang w:val="fr-FR"/>
                        </w:rPr>
                        <w:t xml:space="preserve">se trouvent à l’adresse jointe et à l’annexe 1 remplissent </w:t>
                      </w:r>
                      <w:r w:rsidR="00F248C0">
                        <w:rPr>
                          <w:rFonts w:cs="Calibri"/>
                          <w:lang w:val="fr-FR"/>
                        </w:rPr>
                        <w:t>les deux</w:t>
                      </w:r>
                      <w:r w:rsidR="008F7C7B">
                        <w:rPr>
                          <w:rFonts w:cs="Calibri"/>
                          <w:lang w:val="fr-FR"/>
                        </w:rPr>
                        <w:t xml:space="preserve"> première</w:t>
                      </w:r>
                      <w:r w:rsidR="00F248C0">
                        <w:rPr>
                          <w:rFonts w:cs="Calibri"/>
                          <w:lang w:val="fr-FR"/>
                        </w:rPr>
                        <w:t>s</w:t>
                      </w:r>
                      <w:r w:rsidR="008F7C7B">
                        <w:rPr>
                          <w:rFonts w:cs="Calibri"/>
                          <w:lang w:val="fr-FR"/>
                        </w:rPr>
                        <w:t xml:space="preserve"> étapes du processus approuvé dans la Dé</w:t>
                      </w:r>
                      <w:r w:rsidR="009501B1" w:rsidRPr="008F7C7B">
                        <w:rPr>
                          <w:lang w:val="fr-FR"/>
                        </w:rPr>
                        <w:t xml:space="preserve">cision </w:t>
                      </w:r>
                      <w:r w:rsidR="007C4093" w:rsidRPr="008F7C7B">
                        <w:rPr>
                          <w:lang w:val="fr-FR"/>
                        </w:rPr>
                        <w:t>SC62-21</w:t>
                      </w:r>
                      <w:r w:rsidR="00E2439E">
                        <w:rPr>
                          <w:lang w:val="fr-FR"/>
                        </w:rPr>
                        <w:t> </w:t>
                      </w:r>
                      <w:r w:rsidR="00103213" w:rsidRPr="008F7C7B">
                        <w:rPr>
                          <w:rFonts w:cs="Calibri"/>
                          <w:lang w:val="fr-FR"/>
                        </w:rPr>
                        <w:t>;</w:t>
                      </w:r>
                    </w:p>
                    <w:p w14:paraId="1A22F92B" w14:textId="77777777" w:rsidR="00873205" w:rsidRPr="008F7C7B" w:rsidRDefault="00873205" w:rsidP="00DE5579">
                      <w:pPr>
                        <w:pStyle w:val="ColorfulList-Accent11"/>
                        <w:ind w:left="425"/>
                        <w:rPr>
                          <w:rFonts w:cs="Calibri"/>
                          <w:lang w:val="fr-FR"/>
                        </w:rPr>
                      </w:pPr>
                    </w:p>
                    <w:p w14:paraId="4ABDB7EB" w14:textId="4B5D91C5" w:rsidR="0083768D" w:rsidRPr="00F756EF" w:rsidRDefault="00BA58DF" w:rsidP="00DE5579">
                      <w:pPr>
                        <w:pStyle w:val="ColorfulList-Accent11"/>
                        <w:ind w:left="425"/>
                        <w:rPr>
                          <w:rFonts w:cs="Calibri"/>
                          <w:lang w:val="fr-FR"/>
                        </w:rPr>
                      </w:pPr>
                      <w:r w:rsidRPr="00F756EF">
                        <w:rPr>
                          <w:rFonts w:cs="Calibri"/>
                          <w:lang w:val="fr-FR"/>
                        </w:rPr>
                        <w:t>i</w:t>
                      </w:r>
                      <w:r w:rsidR="00D375D7" w:rsidRPr="00F756EF">
                        <w:rPr>
                          <w:rFonts w:cs="Calibri"/>
                          <w:lang w:val="fr-FR"/>
                        </w:rPr>
                        <w:t>ii</w:t>
                      </w:r>
                      <w:r w:rsidR="008E4B43" w:rsidRPr="00F756EF">
                        <w:rPr>
                          <w:rFonts w:cs="Calibri"/>
                          <w:lang w:val="fr-FR"/>
                        </w:rPr>
                        <w:t>)</w:t>
                      </w:r>
                      <w:r w:rsidRPr="00F756EF">
                        <w:rPr>
                          <w:rFonts w:cs="Calibri"/>
                          <w:lang w:val="fr-FR"/>
                        </w:rPr>
                        <w:t xml:space="preserve"> </w:t>
                      </w:r>
                      <w:r w:rsidR="008E4F79" w:rsidRPr="00F756EF">
                        <w:rPr>
                          <w:rFonts w:cs="Calibri"/>
                          <w:lang w:val="fr-FR"/>
                        </w:rPr>
                        <w:tab/>
                      </w:r>
                      <w:r w:rsidR="00F756EF" w:rsidRPr="00F756EF">
                        <w:rPr>
                          <w:rFonts w:cs="Calibri"/>
                          <w:lang w:val="fr-FR"/>
                        </w:rPr>
                        <w:t>d</w:t>
                      </w:r>
                      <w:r w:rsidR="008F7C7B" w:rsidRPr="00F756EF">
                        <w:rPr>
                          <w:rFonts w:cs="Calibri"/>
                          <w:lang w:val="fr-FR"/>
                        </w:rPr>
                        <w:t>é</w:t>
                      </w:r>
                      <w:r w:rsidR="00990126" w:rsidRPr="00F756EF">
                        <w:rPr>
                          <w:rFonts w:cs="Calibri"/>
                          <w:lang w:val="fr-FR"/>
                        </w:rPr>
                        <w:t>cide</w:t>
                      </w:r>
                      <w:r w:rsidR="008F7C7B" w:rsidRPr="00F756EF">
                        <w:rPr>
                          <w:rFonts w:cs="Calibri"/>
                          <w:lang w:val="fr-FR"/>
                        </w:rPr>
                        <w:t>r</w:t>
                      </w:r>
                      <w:r w:rsidR="00990126" w:rsidRPr="00F756EF">
                        <w:rPr>
                          <w:rFonts w:cs="Calibri"/>
                          <w:lang w:val="fr-FR"/>
                        </w:rPr>
                        <w:t xml:space="preserve"> </w:t>
                      </w:r>
                      <w:r w:rsidR="008F7C7B" w:rsidRPr="00F756EF">
                        <w:rPr>
                          <w:rFonts w:cs="Calibri"/>
                          <w:lang w:val="fr-FR"/>
                        </w:rPr>
                        <w:t>que les</w:t>
                      </w:r>
                      <w:r w:rsidR="00990126" w:rsidRPr="00F756EF">
                        <w:rPr>
                          <w:rFonts w:cs="Calibri"/>
                          <w:lang w:val="fr-FR"/>
                        </w:rPr>
                        <w:t xml:space="preserve"> D</w:t>
                      </w:r>
                      <w:r w:rsidR="008F7C7B" w:rsidRPr="00F756EF">
                        <w:rPr>
                          <w:rFonts w:cs="Calibri"/>
                          <w:lang w:val="fr-FR"/>
                        </w:rPr>
                        <w:t>é</w:t>
                      </w:r>
                      <w:r w:rsidR="00990126" w:rsidRPr="00F756EF">
                        <w:rPr>
                          <w:rFonts w:cs="Calibri"/>
                          <w:lang w:val="fr-FR"/>
                        </w:rPr>
                        <w:t xml:space="preserve">cisions </w:t>
                      </w:r>
                      <w:r w:rsidR="00F248C0">
                        <w:rPr>
                          <w:rFonts w:cs="Calibri"/>
                          <w:lang w:val="fr-FR"/>
                        </w:rPr>
                        <w:t>considérées comme</w:t>
                      </w:r>
                      <w:r w:rsidR="00990126" w:rsidRPr="00F756EF">
                        <w:rPr>
                          <w:rFonts w:cs="Calibri"/>
                          <w:lang w:val="fr-FR"/>
                        </w:rPr>
                        <w:t xml:space="preserve"> </w:t>
                      </w:r>
                      <w:r w:rsidR="00E2439E">
                        <w:rPr>
                          <w:rFonts w:cs="Calibri"/>
                          <w:lang w:val="fr-FR"/>
                        </w:rPr>
                        <w:t>« </w:t>
                      </w:r>
                      <w:r w:rsidR="00F756EF" w:rsidRPr="00F756EF">
                        <w:rPr>
                          <w:rFonts w:cs="Calibri"/>
                          <w:lang w:val="fr-FR"/>
                        </w:rPr>
                        <w:t>en attente</w:t>
                      </w:r>
                      <w:r w:rsidR="00E2439E">
                        <w:rPr>
                          <w:rFonts w:cs="Calibri"/>
                          <w:lang w:val="fr-FR"/>
                        </w:rPr>
                        <w:t> »</w:t>
                      </w:r>
                      <w:r w:rsidR="00C86882" w:rsidRPr="00F756EF">
                        <w:rPr>
                          <w:rFonts w:cs="Calibri"/>
                          <w:lang w:val="fr-FR"/>
                        </w:rPr>
                        <w:t xml:space="preserve"> </w:t>
                      </w:r>
                      <w:r w:rsidR="00F756EF" w:rsidRPr="00F756EF">
                        <w:rPr>
                          <w:rFonts w:cs="Calibri"/>
                          <w:lang w:val="fr-FR"/>
                        </w:rPr>
                        <w:t>seront présentées lors de futures réunions du</w:t>
                      </w:r>
                      <w:r w:rsidR="00F756EF">
                        <w:rPr>
                          <w:rFonts w:cs="Calibri"/>
                          <w:lang w:val="fr-FR"/>
                        </w:rPr>
                        <w:t xml:space="preserve"> Comité permanent</w:t>
                      </w:r>
                      <w:r w:rsidR="00990126" w:rsidRPr="00F756EF">
                        <w:rPr>
                          <w:rFonts w:cs="Calibri"/>
                          <w:lang w:val="fr-FR"/>
                        </w:rPr>
                        <w:t xml:space="preserve"> </w:t>
                      </w:r>
                      <w:r w:rsidR="00F756EF">
                        <w:rPr>
                          <w:rFonts w:cs="Calibri"/>
                          <w:lang w:val="fr-FR"/>
                        </w:rPr>
                        <w:t>comme</w:t>
                      </w:r>
                      <w:r w:rsidR="00990126" w:rsidRPr="00F756EF">
                        <w:rPr>
                          <w:rFonts w:cs="Calibri"/>
                          <w:lang w:val="fr-FR"/>
                        </w:rPr>
                        <w:t xml:space="preserve"> </w:t>
                      </w:r>
                      <w:r w:rsidR="00E2439E">
                        <w:rPr>
                          <w:rFonts w:cs="Calibri"/>
                          <w:lang w:val="fr-FR"/>
                        </w:rPr>
                        <w:t>indiqué au</w:t>
                      </w:r>
                      <w:r w:rsidR="00990126" w:rsidRPr="00F756EF">
                        <w:rPr>
                          <w:rFonts w:cs="Calibri"/>
                          <w:lang w:val="fr-FR"/>
                        </w:rPr>
                        <w:t xml:space="preserve"> paragraph</w:t>
                      </w:r>
                      <w:r w:rsidR="00E2439E">
                        <w:rPr>
                          <w:rFonts w:cs="Calibri"/>
                          <w:lang w:val="fr-FR"/>
                        </w:rPr>
                        <w:t>e</w:t>
                      </w:r>
                      <w:r w:rsidR="00990126" w:rsidRPr="00F756EF">
                        <w:rPr>
                          <w:rFonts w:cs="Calibri"/>
                          <w:lang w:val="fr-FR"/>
                        </w:rPr>
                        <w:t xml:space="preserve"> </w:t>
                      </w:r>
                      <w:r w:rsidR="00302586" w:rsidRPr="00F756EF">
                        <w:rPr>
                          <w:rFonts w:cs="Calibri"/>
                          <w:lang w:val="fr-FR"/>
                        </w:rPr>
                        <w:t>4</w:t>
                      </w:r>
                      <w:r w:rsidR="00E2439E">
                        <w:rPr>
                          <w:rFonts w:cs="Calibri"/>
                          <w:lang w:val="fr-FR"/>
                        </w:rPr>
                        <w:t xml:space="preserve"> </w:t>
                      </w:r>
                      <w:r w:rsidR="00640E50" w:rsidRPr="00F756EF">
                        <w:rPr>
                          <w:rFonts w:cs="Calibri"/>
                          <w:lang w:val="fr-FR"/>
                        </w:rPr>
                        <w:t xml:space="preserve">; </w:t>
                      </w:r>
                      <w:r w:rsidR="00E2439E">
                        <w:rPr>
                          <w:rFonts w:cs="Calibri"/>
                          <w:lang w:val="fr-FR"/>
                        </w:rPr>
                        <w:t>et que</w:t>
                      </w:r>
                      <w:r w:rsidR="00640E50" w:rsidRPr="00F756EF">
                        <w:rPr>
                          <w:rFonts w:cs="Calibri"/>
                          <w:lang w:val="fr-FR"/>
                        </w:rPr>
                        <w:t xml:space="preserve"> </w:t>
                      </w:r>
                      <w:r w:rsidR="00E2439E" w:rsidRPr="00F756EF">
                        <w:rPr>
                          <w:rFonts w:cs="Calibri"/>
                          <w:lang w:val="fr-FR"/>
                        </w:rPr>
                        <w:t xml:space="preserve">les Décisions </w:t>
                      </w:r>
                      <w:r w:rsidR="00F248C0">
                        <w:rPr>
                          <w:rFonts w:cs="Calibri"/>
                          <w:lang w:val="fr-FR"/>
                        </w:rPr>
                        <w:t>considérées comme</w:t>
                      </w:r>
                      <w:r w:rsidR="00E2439E" w:rsidRPr="00F756EF">
                        <w:rPr>
                          <w:rFonts w:cs="Calibri"/>
                          <w:lang w:val="fr-FR"/>
                        </w:rPr>
                        <w:t xml:space="preserve"> </w:t>
                      </w:r>
                      <w:r w:rsidR="00E2439E">
                        <w:rPr>
                          <w:rFonts w:cs="Calibri"/>
                          <w:lang w:val="fr-FR"/>
                        </w:rPr>
                        <w:t xml:space="preserve">« appliquées » ne seront pas présentées </w:t>
                      </w:r>
                      <w:r w:rsidR="00E2439E" w:rsidRPr="00F756EF">
                        <w:rPr>
                          <w:rFonts w:cs="Calibri"/>
                          <w:lang w:val="fr-FR"/>
                        </w:rPr>
                        <w:t>lors de futures réunions du</w:t>
                      </w:r>
                      <w:r w:rsidR="00E2439E">
                        <w:rPr>
                          <w:rFonts w:cs="Calibri"/>
                          <w:lang w:val="fr-FR"/>
                        </w:rPr>
                        <w:t xml:space="preserve"> Comité permanent</w:t>
                      </w:r>
                      <w:r w:rsidR="007C4093" w:rsidRPr="00F756EF">
                        <w:rPr>
                          <w:rFonts w:cs="Calibri"/>
                          <w:lang w:val="fr-FR"/>
                        </w:rPr>
                        <w:t>.</w:t>
                      </w:r>
                    </w:p>
                    <w:p w14:paraId="6B458F48" w14:textId="77777777" w:rsidR="007C4093" w:rsidRPr="00F756EF" w:rsidRDefault="007C4093" w:rsidP="00DE5579">
                      <w:pPr>
                        <w:pStyle w:val="ColorfulList-Accent11"/>
                        <w:ind w:left="425"/>
                        <w:rPr>
                          <w:rFonts w:cs="Calibri"/>
                          <w:lang w:val="fr-FR"/>
                        </w:rPr>
                      </w:pPr>
                    </w:p>
                    <w:p w14:paraId="66969FFC" w14:textId="4FA864E8" w:rsidR="007C4093" w:rsidRPr="00E2439E" w:rsidRDefault="007C4093" w:rsidP="00DE5579">
                      <w:pPr>
                        <w:pStyle w:val="ColorfulList-Accent11"/>
                        <w:ind w:left="425"/>
                        <w:rPr>
                          <w:rFonts w:cs="Calibri"/>
                          <w:lang w:val="fr-FR"/>
                        </w:rPr>
                      </w:pPr>
                      <w:r w:rsidRPr="00E2439E">
                        <w:rPr>
                          <w:rFonts w:cs="Calibri"/>
                          <w:lang w:val="fr-FR"/>
                        </w:rPr>
                        <w:t>i</w:t>
                      </w:r>
                      <w:r w:rsidR="008E4B43" w:rsidRPr="00E2439E">
                        <w:rPr>
                          <w:rFonts w:cs="Calibri"/>
                          <w:lang w:val="fr-FR"/>
                        </w:rPr>
                        <w:t>v)</w:t>
                      </w:r>
                      <w:r w:rsidRPr="00E2439E">
                        <w:rPr>
                          <w:rFonts w:cs="Calibri"/>
                          <w:lang w:val="fr-FR"/>
                        </w:rPr>
                        <w:tab/>
                      </w:r>
                      <w:r w:rsidR="00E2439E" w:rsidRPr="00E2439E">
                        <w:rPr>
                          <w:lang w:val="fr-FR"/>
                        </w:rPr>
                        <w:t>recommander</w:t>
                      </w:r>
                      <w:r w:rsidR="00581ABF">
                        <w:rPr>
                          <w:lang w:val="fr-FR"/>
                        </w:rPr>
                        <w:t xml:space="preserve"> que</w:t>
                      </w:r>
                      <w:r w:rsidR="00E2439E" w:rsidRPr="00E2439E">
                        <w:rPr>
                          <w:lang w:val="fr-FR"/>
                        </w:rPr>
                        <w:t xml:space="preserve">, </w:t>
                      </w:r>
                      <w:r w:rsidR="00E2439E" w:rsidRPr="00581ABF">
                        <w:rPr>
                          <w:lang w:val="fr-FR"/>
                        </w:rPr>
                        <w:t>le cas échéant</w:t>
                      </w:r>
                      <w:r w:rsidR="00E2439E" w:rsidRPr="00E2439E">
                        <w:rPr>
                          <w:lang w:val="fr-FR"/>
                        </w:rPr>
                        <w:t xml:space="preserve">, les Décisions </w:t>
                      </w:r>
                      <w:r w:rsidR="00B13EE7">
                        <w:rPr>
                          <w:lang w:val="fr-FR"/>
                        </w:rPr>
                        <w:t>« </w:t>
                      </w:r>
                      <w:r w:rsidR="00E2439E" w:rsidRPr="00E2439E">
                        <w:rPr>
                          <w:lang w:val="fr-FR"/>
                        </w:rPr>
                        <w:t>en attente</w:t>
                      </w:r>
                      <w:r w:rsidR="00B13EE7">
                        <w:rPr>
                          <w:lang w:val="fr-FR"/>
                        </w:rPr>
                        <w:t> »</w:t>
                      </w:r>
                      <w:r w:rsidRPr="00E2439E">
                        <w:rPr>
                          <w:lang w:val="fr-FR"/>
                        </w:rPr>
                        <w:t xml:space="preserve"> </w:t>
                      </w:r>
                      <w:r w:rsidR="00E2439E" w:rsidRPr="00E2439E">
                        <w:rPr>
                          <w:lang w:val="fr-FR"/>
                        </w:rPr>
                        <w:t xml:space="preserve">soient intégrées dans de futures Résolutions </w:t>
                      </w:r>
                      <w:r w:rsidR="00E2439E">
                        <w:rPr>
                          <w:lang w:val="fr-FR"/>
                        </w:rPr>
                        <w:t>afin de pouvoir être considérées comme « appliquées » et retirées de la liste des</w:t>
                      </w:r>
                      <w:r w:rsidRPr="00E2439E">
                        <w:rPr>
                          <w:lang w:val="fr-FR"/>
                        </w:rPr>
                        <w:t xml:space="preserve"> D</w:t>
                      </w:r>
                      <w:r w:rsidR="00E2439E">
                        <w:rPr>
                          <w:lang w:val="fr-FR"/>
                        </w:rPr>
                        <w:t>é</w:t>
                      </w:r>
                      <w:r w:rsidRPr="00E2439E">
                        <w:rPr>
                          <w:lang w:val="fr-FR"/>
                        </w:rPr>
                        <w:t>cisions</w:t>
                      </w:r>
                      <w:r w:rsidR="00E2439E">
                        <w:rPr>
                          <w:lang w:val="fr-FR"/>
                        </w:rPr>
                        <w:t xml:space="preserve"> « en attente »</w:t>
                      </w:r>
                      <w:r w:rsidRPr="00E2439E">
                        <w:rPr>
                          <w:lang w:val="fr-FR"/>
                        </w:rPr>
                        <w:t xml:space="preserve">.  </w:t>
                      </w:r>
                    </w:p>
                    <w:p w14:paraId="3B8476DD" w14:textId="77777777" w:rsidR="0083768D" w:rsidRPr="00E2439E" w:rsidRDefault="00A20D3D" w:rsidP="00DE5579">
                      <w:pPr>
                        <w:pStyle w:val="ColorfulList-Accent11"/>
                        <w:ind w:left="425"/>
                        <w:rPr>
                          <w:rFonts w:cs="Calibri"/>
                          <w:lang w:val="fr-FR"/>
                        </w:rPr>
                      </w:pPr>
                      <w:r w:rsidRPr="00E2439E">
                        <w:rPr>
                          <w:rFonts w:cs="Calibri"/>
                          <w:lang w:val="fr-FR"/>
                        </w:rPr>
                        <w:t xml:space="preserve"> </w:t>
                      </w:r>
                    </w:p>
                  </w:txbxContent>
                </v:textbox>
                <w10:anchorlock/>
              </v:shape>
            </w:pict>
          </mc:Fallback>
        </mc:AlternateContent>
      </w:r>
    </w:p>
    <w:p w14:paraId="15D3E0B3" w14:textId="77777777" w:rsidR="009E0AE8" w:rsidRPr="002F18BD" w:rsidRDefault="009E0AE8" w:rsidP="006A2401">
      <w:pPr>
        <w:rPr>
          <w:rFonts w:cs="Arial"/>
          <w:b/>
        </w:rPr>
      </w:pPr>
    </w:p>
    <w:p w14:paraId="7C5FE7A0" w14:textId="77777777" w:rsidR="00370C3C" w:rsidRPr="002F18BD" w:rsidRDefault="00370C3C" w:rsidP="009C5199">
      <w:pPr>
        <w:rPr>
          <w:rFonts w:cs="Arial"/>
          <w:b/>
        </w:rPr>
      </w:pPr>
    </w:p>
    <w:p w14:paraId="0645D299" w14:textId="67A286D7" w:rsidR="000C2489" w:rsidRPr="002F18BD" w:rsidRDefault="000904F6" w:rsidP="0007175F">
      <w:pPr>
        <w:rPr>
          <w:rFonts w:cs="Arial"/>
          <w:b/>
          <w:lang w:val="fr-FR"/>
        </w:rPr>
      </w:pPr>
      <w:r w:rsidRPr="002F18BD">
        <w:rPr>
          <w:rFonts w:cs="Arial"/>
          <w:b/>
          <w:lang w:val="fr-FR"/>
        </w:rPr>
        <w:t>Contexte et</w:t>
      </w:r>
      <w:r w:rsidR="004D1CCA" w:rsidRPr="002F18BD">
        <w:rPr>
          <w:rFonts w:cs="Arial"/>
          <w:b/>
          <w:lang w:val="fr-FR"/>
        </w:rPr>
        <w:t xml:space="preserve"> introduction</w:t>
      </w:r>
    </w:p>
    <w:p w14:paraId="3FACF998" w14:textId="77777777" w:rsidR="004B6C84" w:rsidRPr="002F18BD" w:rsidRDefault="004B6C84" w:rsidP="009C5199">
      <w:pPr>
        <w:rPr>
          <w:rFonts w:ascii="Garamond" w:hAnsi="Garamond" w:cs="Arial"/>
          <w:lang w:val="fr-FR"/>
        </w:rPr>
      </w:pPr>
    </w:p>
    <w:p w14:paraId="69F01708" w14:textId="61C8AF29" w:rsidR="00A240F0" w:rsidRPr="002F18BD" w:rsidRDefault="00275F13" w:rsidP="00A240F0">
      <w:pPr>
        <w:rPr>
          <w:rFonts w:cs="Arial"/>
          <w:lang w:val="fr-FR"/>
        </w:rPr>
      </w:pPr>
      <w:r w:rsidRPr="002F18BD">
        <w:rPr>
          <w:rFonts w:cs="Arial"/>
          <w:lang w:val="fr-FR"/>
        </w:rPr>
        <w:t>1.</w:t>
      </w:r>
      <w:r w:rsidRPr="002F18BD">
        <w:rPr>
          <w:rFonts w:cs="Arial"/>
          <w:lang w:val="fr-FR"/>
        </w:rPr>
        <w:tab/>
      </w:r>
      <w:r w:rsidR="000904F6" w:rsidRPr="002F18BD">
        <w:rPr>
          <w:rFonts w:cs="Arial"/>
          <w:lang w:val="fr-FR"/>
        </w:rPr>
        <w:t>À la</w:t>
      </w:r>
      <w:r w:rsidR="004B6C84" w:rsidRPr="002F18BD">
        <w:rPr>
          <w:rFonts w:cs="Arial"/>
          <w:lang w:val="fr-FR"/>
        </w:rPr>
        <w:t xml:space="preserve"> 1</w:t>
      </w:r>
      <w:r w:rsidR="00A240F0" w:rsidRPr="002F18BD">
        <w:rPr>
          <w:rFonts w:cs="Arial"/>
          <w:lang w:val="fr-FR"/>
        </w:rPr>
        <w:t>4</w:t>
      </w:r>
      <w:r w:rsidR="000904F6" w:rsidRPr="002F18BD">
        <w:rPr>
          <w:rFonts w:cs="Arial"/>
          <w:vertAlign w:val="superscript"/>
          <w:lang w:val="fr-FR"/>
        </w:rPr>
        <w:t>e</w:t>
      </w:r>
      <w:r w:rsidR="004B6C84" w:rsidRPr="002F18BD">
        <w:rPr>
          <w:rFonts w:cs="Arial"/>
          <w:vertAlign w:val="superscript"/>
          <w:lang w:val="fr-FR"/>
        </w:rPr>
        <w:t xml:space="preserve"> </w:t>
      </w:r>
      <w:r w:rsidR="000904F6" w:rsidRPr="002F18BD">
        <w:rPr>
          <w:rFonts w:cs="Arial"/>
          <w:lang w:val="fr-FR"/>
        </w:rPr>
        <w:t>Session de la</w:t>
      </w:r>
      <w:r w:rsidR="008775BB" w:rsidRPr="002F18BD">
        <w:rPr>
          <w:rFonts w:cs="Arial"/>
          <w:lang w:val="fr-FR"/>
        </w:rPr>
        <w:t xml:space="preserve"> </w:t>
      </w:r>
      <w:r w:rsidR="004B6C84" w:rsidRPr="002F18BD">
        <w:rPr>
          <w:rFonts w:cs="Arial"/>
          <w:lang w:val="fr-FR"/>
        </w:rPr>
        <w:t>Conf</w:t>
      </w:r>
      <w:r w:rsidR="000904F6" w:rsidRPr="002F18BD">
        <w:rPr>
          <w:rFonts w:cs="Arial"/>
          <w:lang w:val="fr-FR"/>
        </w:rPr>
        <w:t>é</w:t>
      </w:r>
      <w:r w:rsidR="004B6C84" w:rsidRPr="002F18BD">
        <w:rPr>
          <w:rFonts w:cs="Arial"/>
          <w:lang w:val="fr-FR"/>
        </w:rPr>
        <w:t xml:space="preserve">rence </w:t>
      </w:r>
      <w:r w:rsidR="000904F6" w:rsidRPr="002F18BD">
        <w:rPr>
          <w:rFonts w:cs="Arial"/>
          <w:lang w:val="fr-FR"/>
        </w:rPr>
        <w:t>des</w:t>
      </w:r>
      <w:r w:rsidR="008775BB" w:rsidRPr="002F18BD">
        <w:rPr>
          <w:rFonts w:cs="Arial"/>
          <w:lang w:val="fr-FR"/>
        </w:rPr>
        <w:t xml:space="preserve"> </w:t>
      </w:r>
      <w:r w:rsidR="004B6C84" w:rsidRPr="002F18BD">
        <w:rPr>
          <w:rFonts w:cs="Arial"/>
          <w:lang w:val="fr-FR"/>
        </w:rPr>
        <w:t>Parties</w:t>
      </w:r>
      <w:r w:rsidR="000904F6" w:rsidRPr="002F18BD">
        <w:rPr>
          <w:rFonts w:cs="Arial"/>
          <w:lang w:val="fr-FR"/>
        </w:rPr>
        <w:t xml:space="preserve"> contractantes</w:t>
      </w:r>
      <w:r w:rsidR="004B6C84" w:rsidRPr="002F18BD">
        <w:rPr>
          <w:rFonts w:cs="Arial"/>
          <w:lang w:val="fr-FR"/>
        </w:rPr>
        <w:t xml:space="preserve"> </w:t>
      </w:r>
      <w:r w:rsidR="008775BB" w:rsidRPr="002F18BD">
        <w:rPr>
          <w:rFonts w:cs="Arial"/>
          <w:lang w:val="fr-FR"/>
        </w:rPr>
        <w:t>(COP1</w:t>
      </w:r>
      <w:r w:rsidR="00A240F0" w:rsidRPr="002F18BD">
        <w:rPr>
          <w:rFonts w:cs="Arial"/>
          <w:lang w:val="fr-FR"/>
        </w:rPr>
        <w:t>4</w:t>
      </w:r>
      <w:r w:rsidR="008775BB" w:rsidRPr="002F18BD">
        <w:rPr>
          <w:rFonts w:cs="Arial"/>
          <w:lang w:val="fr-FR"/>
        </w:rPr>
        <w:t xml:space="preserve">) </w:t>
      </w:r>
      <w:r w:rsidR="000904F6" w:rsidRPr="002F18BD">
        <w:rPr>
          <w:rFonts w:cs="Arial"/>
          <w:lang w:val="fr-FR"/>
        </w:rPr>
        <w:t>e</w:t>
      </w:r>
      <w:r w:rsidR="004B6C84" w:rsidRPr="002F18BD">
        <w:rPr>
          <w:rFonts w:cs="Arial"/>
          <w:lang w:val="fr-FR"/>
        </w:rPr>
        <w:t>n 20</w:t>
      </w:r>
      <w:r w:rsidR="00A240F0" w:rsidRPr="002F18BD">
        <w:rPr>
          <w:rFonts w:cs="Arial"/>
          <w:lang w:val="fr-FR"/>
        </w:rPr>
        <w:t>22</w:t>
      </w:r>
      <w:r w:rsidR="004B6C84" w:rsidRPr="002F18BD">
        <w:rPr>
          <w:rFonts w:cs="Arial"/>
          <w:lang w:val="fr-FR"/>
        </w:rPr>
        <w:t xml:space="preserve">, </w:t>
      </w:r>
      <w:r w:rsidR="000904F6" w:rsidRPr="002F18BD">
        <w:rPr>
          <w:rFonts w:cs="Arial"/>
          <w:lang w:val="fr-FR"/>
        </w:rPr>
        <w:t>les</w:t>
      </w:r>
      <w:r w:rsidR="004B6C84" w:rsidRPr="002F18BD">
        <w:rPr>
          <w:rFonts w:cs="Arial"/>
          <w:lang w:val="fr-FR"/>
        </w:rPr>
        <w:t xml:space="preserve"> Parties </w:t>
      </w:r>
      <w:r w:rsidR="000904F6" w:rsidRPr="002F18BD">
        <w:rPr>
          <w:rFonts w:cs="Arial"/>
          <w:lang w:val="fr-FR"/>
        </w:rPr>
        <w:t xml:space="preserve">ont </w:t>
      </w:r>
      <w:r w:rsidR="004B6C84" w:rsidRPr="002F18BD">
        <w:rPr>
          <w:rFonts w:cs="Arial"/>
          <w:lang w:val="fr-FR"/>
        </w:rPr>
        <w:t>a</w:t>
      </w:r>
      <w:r w:rsidR="00A240F0" w:rsidRPr="002F18BD">
        <w:rPr>
          <w:rFonts w:cs="Arial"/>
          <w:lang w:val="fr-FR"/>
        </w:rPr>
        <w:t>dopt</w:t>
      </w:r>
      <w:r w:rsidR="000904F6" w:rsidRPr="002F18BD">
        <w:rPr>
          <w:rFonts w:cs="Arial"/>
          <w:lang w:val="fr-FR"/>
        </w:rPr>
        <w:t>é la</w:t>
      </w:r>
      <w:r w:rsidR="00A240F0" w:rsidRPr="002F18BD">
        <w:rPr>
          <w:rFonts w:cs="Arial"/>
          <w:lang w:val="fr-FR"/>
        </w:rPr>
        <w:t xml:space="preserve"> R</w:t>
      </w:r>
      <w:r w:rsidR="000904F6" w:rsidRPr="002F18BD">
        <w:rPr>
          <w:rFonts w:cs="Arial"/>
          <w:lang w:val="fr-FR"/>
        </w:rPr>
        <w:t>é</w:t>
      </w:r>
      <w:r w:rsidR="00A240F0" w:rsidRPr="002F18BD">
        <w:rPr>
          <w:rFonts w:cs="Arial"/>
          <w:lang w:val="fr-FR"/>
        </w:rPr>
        <w:t xml:space="preserve">solution XIV.5 </w:t>
      </w:r>
      <w:r w:rsidR="000904F6" w:rsidRPr="002F18BD">
        <w:rPr>
          <w:rFonts w:cs="Arial"/>
          <w:lang w:val="fr-FR"/>
        </w:rPr>
        <w:t>dont le paragraphe 13 stipule</w:t>
      </w:r>
      <w:r w:rsidR="00A240F0" w:rsidRPr="002F18BD">
        <w:rPr>
          <w:rFonts w:cs="Calibri"/>
          <w:lang w:val="fr-FR"/>
        </w:rPr>
        <w:t xml:space="preserve"> </w:t>
      </w:r>
      <w:r w:rsidR="000904F6" w:rsidRPr="002F18BD">
        <w:rPr>
          <w:rFonts w:cs="Calibri"/>
          <w:i/>
          <w:iCs/>
          <w:lang w:val="fr-FR"/>
        </w:rPr>
        <w:t>« </w:t>
      </w:r>
      <w:r w:rsidR="000904F6" w:rsidRPr="002F18BD">
        <w:rPr>
          <w:rFonts w:cs="Calibri"/>
          <w:i/>
          <w:lang w:val="fr-FR"/>
        </w:rPr>
        <w:t xml:space="preserve">que la procédure d’enregistrement et de maintien des Décisions du Comité permanent est décidée par le Comité permanent lui-même, à condition que toutes les Décisions actuelles et antérieures soient facilement accessibles sur le site </w:t>
      </w:r>
      <w:r w:rsidR="001E3B50" w:rsidRPr="002F18BD">
        <w:rPr>
          <w:rFonts w:cs="Calibri"/>
          <w:i/>
          <w:lang w:val="fr-FR"/>
        </w:rPr>
        <w:t>W</w:t>
      </w:r>
      <w:r w:rsidR="000904F6" w:rsidRPr="002F18BD">
        <w:rPr>
          <w:rFonts w:cs="Calibri"/>
          <w:i/>
          <w:lang w:val="fr-FR"/>
        </w:rPr>
        <w:t>eb de la Convention » </w:t>
      </w:r>
      <w:r w:rsidR="00A240F0" w:rsidRPr="002F18BD">
        <w:rPr>
          <w:rFonts w:cs="Calibri"/>
          <w:lang w:val="fr-FR"/>
        </w:rPr>
        <w:t>;</w:t>
      </w:r>
    </w:p>
    <w:p w14:paraId="3AB06D71" w14:textId="77777777" w:rsidR="001A2D10" w:rsidRPr="002F18BD" w:rsidRDefault="001A2D10" w:rsidP="009C5199">
      <w:pPr>
        <w:pStyle w:val="ListParagraph"/>
        <w:ind w:left="426"/>
        <w:rPr>
          <w:rFonts w:cs="Arial"/>
          <w:lang w:val="fr-FR"/>
        </w:rPr>
      </w:pPr>
    </w:p>
    <w:p w14:paraId="1D63523B" w14:textId="7F2D24E8" w:rsidR="000E373A" w:rsidRPr="002F18BD" w:rsidRDefault="00275F13" w:rsidP="000E373A">
      <w:pPr>
        <w:contextualSpacing/>
        <w:rPr>
          <w:rFonts w:cstheme="minorHAnsi"/>
          <w:b/>
          <w:lang w:val="fr-FR"/>
        </w:rPr>
      </w:pPr>
      <w:r w:rsidRPr="002F18BD">
        <w:rPr>
          <w:lang w:val="fr-FR"/>
        </w:rPr>
        <w:t>2.</w:t>
      </w:r>
      <w:r w:rsidRPr="002F18BD">
        <w:rPr>
          <w:lang w:val="fr-FR"/>
        </w:rPr>
        <w:tab/>
      </w:r>
      <w:r w:rsidR="000904F6" w:rsidRPr="002F18BD">
        <w:rPr>
          <w:lang w:val="fr-FR"/>
        </w:rPr>
        <w:t>En application de cette</w:t>
      </w:r>
      <w:r w:rsidR="000E373A" w:rsidRPr="002F18BD">
        <w:rPr>
          <w:lang w:val="fr-FR"/>
        </w:rPr>
        <w:t xml:space="preserve"> instruction,</w:t>
      </w:r>
      <w:r w:rsidR="000E373A" w:rsidRPr="002F18BD">
        <w:rPr>
          <w:i/>
          <w:lang w:val="fr-FR"/>
        </w:rPr>
        <w:t xml:space="preserve"> </w:t>
      </w:r>
      <w:r w:rsidR="000904F6" w:rsidRPr="002F18BD">
        <w:rPr>
          <w:lang w:val="fr-FR"/>
        </w:rPr>
        <w:t>le</w:t>
      </w:r>
      <w:r w:rsidR="005369A8" w:rsidRPr="002F18BD">
        <w:rPr>
          <w:lang w:val="fr-FR"/>
        </w:rPr>
        <w:t xml:space="preserve"> </w:t>
      </w:r>
      <w:r w:rsidR="000904F6" w:rsidRPr="002F18BD">
        <w:rPr>
          <w:lang w:val="fr-FR"/>
        </w:rPr>
        <w:t>Comité permanent à sa 62</w:t>
      </w:r>
      <w:r w:rsidR="000904F6" w:rsidRPr="002F18BD">
        <w:rPr>
          <w:vertAlign w:val="superscript"/>
          <w:lang w:val="fr-FR"/>
        </w:rPr>
        <w:t>e</w:t>
      </w:r>
      <w:r w:rsidR="000904F6" w:rsidRPr="002F18BD">
        <w:rPr>
          <w:lang w:val="fr-FR"/>
        </w:rPr>
        <w:t xml:space="preserve"> Réunion</w:t>
      </w:r>
      <w:r w:rsidR="005369A8" w:rsidRPr="002F18BD">
        <w:rPr>
          <w:lang w:val="fr-FR"/>
        </w:rPr>
        <w:t xml:space="preserve"> (SC62), </w:t>
      </w:r>
      <w:r w:rsidR="000904F6" w:rsidRPr="002F18BD">
        <w:rPr>
          <w:lang w:val="fr-FR"/>
        </w:rPr>
        <w:t>dans la</w:t>
      </w:r>
      <w:r w:rsidR="00CC6417" w:rsidRPr="002F18BD">
        <w:rPr>
          <w:lang w:val="fr-FR"/>
        </w:rPr>
        <w:t xml:space="preserve"> </w:t>
      </w:r>
      <w:r w:rsidR="000E373A" w:rsidRPr="002F18BD">
        <w:rPr>
          <w:rFonts w:cstheme="minorHAnsi"/>
          <w:lang w:val="fr-FR"/>
        </w:rPr>
        <w:t>D</w:t>
      </w:r>
      <w:r w:rsidR="000904F6" w:rsidRPr="002F18BD">
        <w:rPr>
          <w:rFonts w:cstheme="minorHAnsi"/>
          <w:lang w:val="fr-FR"/>
        </w:rPr>
        <w:t>é</w:t>
      </w:r>
      <w:r w:rsidR="000E373A" w:rsidRPr="002F18BD">
        <w:rPr>
          <w:rFonts w:cstheme="minorHAnsi"/>
          <w:lang w:val="fr-FR"/>
        </w:rPr>
        <w:t>cision SC62-21</w:t>
      </w:r>
      <w:r w:rsidR="005369A8" w:rsidRPr="002F18BD">
        <w:rPr>
          <w:rFonts w:cstheme="minorHAnsi"/>
          <w:lang w:val="fr-FR"/>
        </w:rPr>
        <w:t>,</w:t>
      </w:r>
      <w:r w:rsidR="001E3B50" w:rsidRPr="002F18BD">
        <w:rPr>
          <w:rFonts w:cstheme="minorHAnsi"/>
          <w:lang w:val="fr-FR"/>
        </w:rPr>
        <w:t xml:space="preserve"> a approuvé</w:t>
      </w:r>
      <w:r w:rsidR="005369A8" w:rsidRPr="002F18BD">
        <w:rPr>
          <w:rFonts w:cstheme="minorHAnsi"/>
          <w:lang w:val="fr-FR"/>
        </w:rPr>
        <w:t xml:space="preserve"> </w:t>
      </w:r>
      <w:r w:rsidR="00FB31F4" w:rsidRPr="002F18BD">
        <w:rPr>
          <w:rFonts w:cstheme="minorHAnsi"/>
          <w:lang w:val="fr-FR"/>
        </w:rPr>
        <w:t>« </w:t>
      </w:r>
      <w:r w:rsidR="001E3B50" w:rsidRPr="002F18BD">
        <w:rPr>
          <w:rFonts w:cstheme="minorHAnsi"/>
          <w:i/>
          <w:lang w:val="fr-FR"/>
        </w:rPr>
        <w:t>le processus en trois étapes décrit au paragraphe 23 du document SC62 Doc.15, pour le maintien de la liste des Décisions en vigueur du Comité permanent, à condition que les Décisions anciennes exclues de la liste ne deviennent pas caduques mais restent accessibles sur le site Web de la Convention et puissent être intégrées dans la liste si l’on décide qu’elles sont encore valables</w:t>
      </w:r>
      <w:r w:rsidR="000E373A" w:rsidRPr="002F18BD">
        <w:rPr>
          <w:rFonts w:cstheme="minorHAnsi"/>
          <w:i/>
          <w:lang w:val="fr-FR"/>
        </w:rPr>
        <w:t>.</w:t>
      </w:r>
      <w:r w:rsidR="00FB31F4" w:rsidRPr="002F18BD">
        <w:rPr>
          <w:rFonts w:cstheme="minorHAnsi"/>
          <w:b/>
          <w:lang w:val="fr-FR"/>
        </w:rPr>
        <w:t> »</w:t>
      </w:r>
    </w:p>
    <w:p w14:paraId="46F7933C" w14:textId="5B63B658" w:rsidR="000B5B72" w:rsidRPr="002F18BD" w:rsidRDefault="000B5B72" w:rsidP="000E373A">
      <w:pPr>
        <w:contextualSpacing/>
        <w:rPr>
          <w:rFonts w:cstheme="minorHAnsi"/>
          <w:b/>
          <w:i/>
          <w:lang w:val="fr-FR"/>
        </w:rPr>
      </w:pPr>
    </w:p>
    <w:p w14:paraId="7C708168" w14:textId="73686115" w:rsidR="000B5B72" w:rsidRPr="002F18BD" w:rsidRDefault="000B5B72" w:rsidP="000B5B72">
      <w:pPr>
        <w:pStyle w:val="CommentText"/>
        <w:rPr>
          <w:sz w:val="22"/>
          <w:szCs w:val="22"/>
          <w:lang w:val="fr-FR"/>
        </w:rPr>
      </w:pPr>
      <w:r w:rsidRPr="002F18BD">
        <w:rPr>
          <w:sz w:val="22"/>
          <w:szCs w:val="22"/>
          <w:lang w:val="fr-FR"/>
        </w:rPr>
        <w:t>3.</w:t>
      </w:r>
      <w:r w:rsidRPr="002F18BD">
        <w:rPr>
          <w:sz w:val="22"/>
          <w:szCs w:val="22"/>
          <w:lang w:val="fr-FR"/>
        </w:rPr>
        <w:tab/>
      </w:r>
      <w:r w:rsidR="001E3B50" w:rsidRPr="002F18BD">
        <w:rPr>
          <w:sz w:val="22"/>
          <w:szCs w:val="22"/>
          <w:lang w:val="fr-FR"/>
        </w:rPr>
        <w:t>Les trois étapes décrites dans le</w:t>
      </w:r>
      <w:r w:rsidRPr="002F18BD">
        <w:rPr>
          <w:sz w:val="22"/>
          <w:szCs w:val="22"/>
          <w:lang w:val="fr-FR"/>
        </w:rPr>
        <w:t xml:space="preserve"> document SC62 Doc.15 </w:t>
      </w:r>
      <w:r w:rsidR="001E3B50" w:rsidRPr="002F18BD">
        <w:rPr>
          <w:sz w:val="22"/>
          <w:szCs w:val="22"/>
          <w:lang w:val="fr-FR"/>
        </w:rPr>
        <w:t>sont les suivantes </w:t>
      </w:r>
      <w:r w:rsidRPr="002F18BD">
        <w:rPr>
          <w:sz w:val="22"/>
          <w:szCs w:val="22"/>
          <w:lang w:val="fr-FR"/>
        </w:rPr>
        <w:t xml:space="preserve">: </w:t>
      </w:r>
    </w:p>
    <w:p w14:paraId="032173F6" w14:textId="77777777" w:rsidR="000B5B72" w:rsidRPr="002F18BD" w:rsidRDefault="000B5B72" w:rsidP="000B5B72">
      <w:pPr>
        <w:pStyle w:val="CommentText"/>
        <w:rPr>
          <w:sz w:val="22"/>
          <w:szCs w:val="22"/>
          <w:lang w:val="fr-FR"/>
        </w:rPr>
      </w:pPr>
    </w:p>
    <w:p w14:paraId="53BA57C0" w14:textId="12A0A8CA" w:rsidR="009C2662" w:rsidRPr="002F18BD" w:rsidRDefault="000B5B72" w:rsidP="009C2662">
      <w:pPr>
        <w:pStyle w:val="CommentText"/>
        <w:ind w:left="851"/>
        <w:rPr>
          <w:sz w:val="22"/>
          <w:szCs w:val="22"/>
          <w:lang w:val="fr-FR"/>
        </w:rPr>
      </w:pPr>
      <w:r w:rsidRPr="002F18BD">
        <w:rPr>
          <w:sz w:val="22"/>
          <w:szCs w:val="22"/>
          <w:lang w:val="fr-FR"/>
        </w:rPr>
        <w:t xml:space="preserve">a) </w:t>
      </w:r>
      <w:r w:rsidRPr="002F18BD">
        <w:rPr>
          <w:sz w:val="22"/>
          <w:szCs w:val="22"/>
          <w:lang w:val="fr-FR"/>
        </w:rPr>
        <w:tab/>
      </w:r>
      <w:r w:rsidR="009C2662" w:rsidRPr="002F18BD">
        <w:rPr>
          <w:sz w:val="22"/>
          <w:szCs w:val="22"/>
          <w:lang w:val="fr-FR"/>
        </w:rPr>
        <w:t xml:space="preserve">Premièrement, le Comité permanent pourrait décider de considérer comme caduques toutes les Décisions adoptées avant la date d’une réunion donnée du Comité, afin de ne </w:t>
      </w:r>
      <w:r w:rsidR="009C2662" w:rsidRPr="002F18BD">
        <w:rPr>
          <w:sz w:val="22"/>
          <w:szCs w:val="22"/>
          <w:lang w:val="fr-FR"/>
        </w:rPr>
        <w:lastRenderedPageBreak/>
        <w:t>pas avoir à réexaminer inutilement plusieurs centaines d’anciennes Décisions. Le Secrétariat suggère par exemple que la 50</w:t>
      </w:r>
      <w:r w:rsidR="009C2662" w:rsidRPr="002F18BD">
        <w:rPr>
          <w:sz w:val="22"/>
          <w:szCs w:val="22"/>
          <w:vertAlign w:val="superscript"/>
          <w:lang w:val="fr-FR"/>
        </w:rPr>
        <w:t>e</w:t>
      </w:r>
      <w:r w:rsidR="009C2662" w:rsidRPr="002F18BD">
        <w:rPr>
          <w:sz w:val="22"/>
          <w:szCs w:val="22"/>
          <w:lang w:val="fr-FR"/>
        </w:rPr>
        <w:t xml:space="preserve"> Réunion du Comité permanent (2015) représente la date limite.</w:t>
      </w:r>
    </w:p>
    <w:p w14:paraId="62370411" w14:textId="77777777" w:rsidR="009C2662" w:rsidRPr="002F18BD" w:rsidRDefault="009C2662" w:rsidP="009C2662">
      <w:pPr>
        <w:pStyle w:val="CommentText"/>
        <w:ind w:left="851"/>
        <w:rPr>
          <w:sz w:val="22"/>
          <w:szCs w:val="22"/>
          <w:lang w:val="fr-FR"/>
        </w:rPr>
      </w:pPr>
    </w:p>
    <w:p w14:paraId="5CC52198" w14:textId="71A87DFE" w:rsidR="009C2662" w:rsidRPr="002F18BD" w:rsidRDefault="009C2662" w:rsidP="009C2662">
      <w:pPr>
        <w:pStyle w:val="CommentText"/>
        <w:ind w:left="851"/>
        <w:rPr>
          <w:sz w:val="22"/>
          <w:szCs w:val="22"/>
          <w:lang w:val="fr-FR"/>
        </w:rPr>
      </w:pPr>
      <w:r w:rsidRPr="002F18BD">
        <w:rPr>
          <w:sz w:val="22"/>
          <w:szCs w:val="22"/>
          <w:lang w:val="fr-FR"/>
        </w:rPr>
        <w:t>b)</w:t>
      </w:r>
      <w:r w:rsidRPr="002F18BD">
        <w:rPr>
          <w:sz w:val="22"/>
          <w:szCs w:val="22"/>
          <w:lang w:val="fr-FR"/>
        </w:rPr>
        <w:tab/>
        <w:t>Deuxièmement, le Secrétariat pourrait préparer un document répertoriant l’ensemble des Décisions du Comité permanent depuis la 50</w:t>
      </w:r>
      <w:r w:rsidRPr="002F18BD">
        <w:rPr>
          <w:sz w:val="22"/>
          <w:szCs w:val="22"/>
          <w:vertAlign w:val="superscript"/>
          <w:lang w:val="fr-FR"/>
        </w:rPr>
        <w:t>e</w:t>
      </w:r>
      <w:r w:rsidRPr="002F18BD">
        <w:rPr>
          <w:sz w:val="22"/>
          <w:szCs w:val="22"/>
          <w:lang w:val="fr-FR"/>
        </w:rPr>
        <w:t xml:space="preserve"> Réunion du Comité permanent jusqu’à aujourd’hui, en précisant le statut de chacune des </w:t>
      </w:r>
      <w:r w:rsidR="00581ABF" w:rsidRPr="002F18BD">
        <w:rPr>
          <w:sz w:val="22"/>
          <w:szCs w:val="22"/>
          <w:lang w:val="fr-FR"/>
        </w:rPr>
        <w:t>D</w:t>
      </w:r>
      <w:r w:rsidRPr="002F18BD">
        <w:rPr>
          <w:sz w:val="22"/>
          <w:szCs w:val="22"/>
          <w:lang w:val="fr-FR"/>
        </w:rPr>
        <w:t>écisions.</w:t>
      </w:r>
    </w:p>
    <w:p w14:paraId="444BE61B" w14:textId="77777777" w:rsidR="009C2662" w:rsidRPr="002F18BD" w:rsidRDefault="009C2662" w:rsidP="009C2662">
      <w:pPr>
        <w:pStyle w:val="CommentText"/>
        <w:ind w:left="851"/>
        <w:rPr>
          <w:sz w:val="22"/>
          <w:szCs w:val="22"/>
          <w:lang w:val="fr-FR"/>
        </w:rPr>
      </w:pPr>
    </w:p>
    <w:p w14:paraId="1B573A9E" w14:textId="3EF86CC8" w:rsidR="000B5B72" w:rsidRPr="002F18BD" w:rsidRDefault="009C2662" w:rsidP="009C2662">
      <w:pPr>
        <w:pStyle w:val="CommentText"/>
        <w:ind w:left="851"/>
        <w:rPr>
          <w:rFonts w:cstheme="minorHAnsi"/>
          <w:b/>
          <w:i/>
          <w:sz w:val="22"/>
          <w:szCs w:val="22"/>
          <w:lang w:val="fr-FR"/>
        </w:rPr>
      </w:pPr>
      <w:r w:rsidRPr="002F18BD">
        <w:rPr>
          <w:sz w:val="22"/>
          <w:szCs w:val="22"/>
          <w:lang w:val="fr-FR"/>
        </w:rPr>
        <w:t>c)</w:t>
      </w:r>
      <w:r w:rsidRPr="002F18BD">
        <w:rPr>
          <w:sz w:val="22"/>
          <w:szCs w:val="22"/>
          <w:lang w:val="fr-FR"/>
        </w:rPr>
        <w:tab/>
        <w:t xml:space="preserve">Troisièmement, le Secrétariat pourrait fournir une version mise à jour de la liste des Décisions actuelles lors de chaque réunion du Comité permanent, en précisant ce qui a été fait entre temps et quelles Décisions pourraient par conséquent être </w:t>
      </w:r>
      <w:r w:rsidR="00581ABF" w:rsidRPr="002F18BD">
        <w:rPr>
          <w:sz w:val="22"/>
          <w:szCs w:val="22"/>
          <w:lang w:val="fr-FR"/>
        </w:rPr>
        <w:t>considérées</w:t>
      </w:r>
      <w:r w:rsidRPr="002F18BD">
        <w:rPr>
          <w:sz w:val="22"/>
          <w:szCs w:val="22"/>
          <w:lang w:val="fr-FR"/>
        </w:rPr>
        <w:t xml:space="preserve"> comme « appliquées » ou « caduques ». La liste pour chaque réunion exclurait les Décisions dont il a été convenu qu’elles ne sont plus en vigueur.</w:t>
      </w:r>
    </w:p>
    <w:p w14:paraId="06567488" w14:textId="77777777" w:rsidR="009E0AE8" w:rsidRPr="002F18BD" w:rsidRDefault="009E0AE8" w:rsidP="000E373A">
      <w:pPr>
        <w:pStyle w:val="NoSpacing"/>
        <w:ind w:left="0" w:firstLine="0"/>
        <w:rPr>
          <w:lang w:val="fr-FR"/>
        </w:rPr>
      </w:pPr>
    </w:p>
    <w:p w14:paraId="3DC149BE" w14:textId="0C7DB6DE" w:rsidR="000E373A" w:rsidRPr="002F18BD" w:rsidRDefault="00DF6B79" w:rsidP="000E373A">
      <w:pPr>
        <w:ind w:left="426" w:hanging="426"/>
        <w:rPr>
          <w:rFonts w:cstheme="minorHAnsi"/>
          <w:lang w:val="fr-FR"/>
        </w:rPr>
      </w:pPr>
      <w:r w:rsidRPr="002F18BD">
        <w:rPr>
          <w:lang w:val="fr-FR"/>
        </w:rPr>
        <w:t>4</w:t>
      </w:r>
      <w:r w:rsidR="00275F13" w:rsidRPr="002F18BD">
        <w:rPr>
          <w:lang w:val="fr-FR"/>
        </w:rPr>
        <w:t>.</w:t>
      </w:r>
      <w:r w:rsidR="00275F13" w:rsidRPr="002F18BD">
        <w:rPr>
          <w:lang w:val="fr-FR"/>
        </w:rPr>
        <w:tab/>
      </w:r>
      <w:r w:rsidR="00884E1E" w:rsidRPr="002F18BD">
        <w:rPr>
          <w:lang w:val="fr-FR"/>
        </w:rPr>
        <w:t>L</w:t>
      </w:r>
      <w:r w:rsidR="000E373A" w:rsidRPr="002F18BD">
        <w:rPr>
          <w:lang w:val="fr-FR"/>
        </w:rPr>
        <w:t xml:space="preserve">e </w:t>
      </w:r>
      <w:r w:rsidR="003813B9" w:rsidRPr="002F18BD">
        <w:rPr>
          <w:lang w:val="fr-FR"/>
        </w:rPr>
        <w:t>Secr</w:t>
      </w:r>
      <w:r w:rsidR="00884E1E" w:rsidRPr="002F18BD">
        <w:rPr>
          <w:lang w:val="fr-FR"/>
        </w:rPr>
        <w:t>é</w:t>
      </w:r>
      <w:r w:rsidR="003813B9" w:rsidRPr="002F18BD">
        <w:rPr>
          <w:lang w:val="fr-FR"/>
        </w:rPr>
        <w:t xml:space="preserve">tariat </w:t>
      </w:r>
      <w:r w:rsidR="00C26EA0" w:rsidRPr="002F18BD">
        <w:rPr>
          <w:lang w:val="fr-FR"/>
        </w:rPr>
        <w:t>a</w:t>
      </w:r>
      <w:r w:rsidR="003813B9" w:rsidRPr="002F18BD">
        <w:rPr>
          <w:lang w:val="fr-FR"/>
        </w:rPr>
        <w:t xml:space="preserve"> </w:t>
      </w:r>
      <w:r w:rsidR="00C26EA0" w:rsidRPr="002F18BD">
        <w:rPr>
          <w:lang w:val="fr-FR"/>
        </w:rPr>
        <w:t xml:space="preserve">appliqué le </w:t>
      </w:r>
      <w:r w:rsidR="000E373A" w:rsidRPr="002F18BD">
        <w:rPr>
          <w:lang w:val="fr-FR"/>
        </w:rPr>
        <w:t>process</w:t>
      </w:r>
      <w:r w:rsidR="00C26EA0" w:rsidRPr="002F18BD">
        <w:rPr>
          <w:lang w:val="fr-FR"/>
        </w:rPr>
        <w:t>us adopté à la 62</w:t>
      </w:r>
      <w:r w:rsidR="00C26EA0" w:rsidRPr="002F18BD">
        <w:rPr>
          <w:vertAlign w:val="superscript"/>
          <w:lang w:val="fr-FR"/>
        </w:rPr>
        <w:t>e</w:t>
      </w:r>
      <w:r w:rsidR="00C26EA0" w:rsidRPr="002F18BD">
        <w:rPr>
          <w:lang w:val="fr-FR"/>
        </w:rPr>
        <w:t xml:space="preserve"> Réunion du Comité permanent</w:t>
      </w:r>
      <w:r w:rsidR="000E373A" w:rsidRPr="002F18BD">
        <w:rPr>
          <w:lang w:val="fr-FR"/>
        </w:rPr>
        <w:t xml:space="preserve"> </w:t>
      </w:r>
      <w:r w:rsidR="00C26EA0" w:rsidRPr="002F18BD">
        <w:rPr>
          <w:lang w:val="fr-FR"/>
        </w:rPr>
        <w:t>comme suit </w:t>
      </w:r>
      <w:r w:rsidR="000E373A" w:rsidRPr="002F18BD">
        <w:rPr>
          <w:lang w:val="fr-FR"/>
        </w:rPr>
        <w:t xml:space="preserve">: </w:t>
      </w:r>
    </w:p>
    <w:p w14:paraId="3B36CAAD" w14:textId="77777777" w:rsidR="000E373A" w:rsidRPr="002F18BD" w:rsidRDefault="000E373A" w:rsidP="000E373A">
      <w:pPr>
        <w:rPr>
          <w:rFonts w:cstheme="minorHAnsi"/>
          <w:lang w:val="fr-FR"/>
        </w:rPr>
      </w:pPr>
    </w:p>
    <w:p w14:paraId="15707B70" w14:textId="659EA603" w:rsidR="00CF3413" w:rsidRPr="002F18BD" w:rsidRDefault="000E373A" w:rsidP="0025780B">
      <w:pPr>
        <w:ind w:left="851"/>
        <w:rPr>
          <w:rFonts w:cstheme="minorHAnsi"/>
          <w:lang w:val="fr-FR"/>
        </w:rPr>
      </w:pPr>
      <w:r w:rsidRPr="002F18BD">
        <w:rPr>
          <w:rFonts w:cstheme="minorHAnsi"/>
          <w:lang w:val="fr-FR"/>
        </w:rPr>
        <w:t>a)</w:t>
      </w:r>
      <w:r w:rsidRPr="002F18BD">
        <w:rPr>
          <w:rFonts w:cstheme="minorHAnsi"/>
          <w:lang w:val="fr-FR"/>
        </w:rPr>
        <w:tab/>
      </w:r>
      <w:r w:rsidR="00C26EA0" w:rsidRPr="002F18BD">
        <w:rPr>
          <w:rFonts w:cstheme="minorHAnsi"/>
          <w:lang w:val="fr-FR"/>
        </w:rPr>
        <w:t>Conformément à la</w:t>
      </w:r>
      <w:r w:rsidR="00E65069" w:rsidRPr="002F18BD">
        <w:rPr>
          <w:rFonts w:cstheme="minorHAnsi"/>
          <w:lang w:val="fr-FR"/>
        </w:rPr>
        <w:t xml:space="preserve"> D</w:t>
      </w:r>
      <w:r w:rsidR="00C26EA0" w:rsidRPr="002F18BD">
        <w:rPr>
          <w:rFonts w:cstheme="minorHAnsi"/>
          <w:lang w:val="fr-FR"/>
        </w:rPr>
        <w:t>é</w:t>
      </w:r>
      <w:r w:rsidR="00E65069" w:rsidRPr="002F18BD">
        <w:rPr>
          <w:rFonts w:cstheme="minorHAnsi"/>
          <w:lang w:val="fr-FR"/>
        </w:rPr>
        <w:t>cision SC62-21</w:t>
      </w:r>
      <w:r w:rsidR="00C26EA0" w:rsidRPr="002F18BD">
        <w:rPr>
          <w:rFonts w:cstheme="minorHAnsi"/>
          <w:lang w:val="fr-FR"/>
        </w:rPr>
        <w:t xml:space="preserve">, concernant la première étape proposée, toutes les Décisions du </w:t>
      </w:r>
      <w:r w:rsidR="00C26EA0" w:rsidRPr="002F18BD">
        <w:rPr>
          <w:lang w:val="fr-FR"/>
        </w:rPr>
        <w:t xml:space="preserve">Comité permanent restent accessibles sur le site Web de </w:t>
      </w:r>
      <w:r w:rsidR="00EC5572" w:rsidRPr="002F18BD">
        <w:rPr>
          <w:lang w:val="fr-FR"/>
        </w:rPr>
        <w:t xml:space="preserve">la </w:t>
      </w:r>
      <w:r w:rsidR="00EC5572" w:rsidRPr="002F18BD">
        <w:rPr>
          <w:rFonts w:cstheme="minorHAnsi"/>
          <w:lang w:val="fr-FR"/>
        </w:rPr>
        <w:t>Convention</w:t>
      </w:r>
      <w:r w:rsidR="00E65069" w:rsidRPr="002F18BD">
        <w:rPr>
          <w:rFonts w:cstheme="minorHAnsi"/>
          <w:lang w:val="fr-FR"/>
        </w:rPr>
        <w:t xml:space="preserve">. </w:t>
      </w:r>
    </w:p>
    <w:p w14:paraId="79A415B3" w14:textId="77777777" w:rsidR="00CF3413" w:rsidRPr="002F18BD" w:rsidRDefault="00CF3413" w:rsidP="0025780B">
      <w:pPr>
        <w:ind w:left="851"/>
        <w:rPr>
          <w:rFonts w:cstheme="minorHAnsi"/>
          <w:lang w:val="fr-FR"/>
        </w:rPr>
      </w:pPr>
    </w:p>
    <w:p w14:paraId="69A67090" w14:textId="317A4BCE" w:rsidR="00CF3413" w:rsidRPr="002F18BD" w:rsidRDefault="00CF3413" w:rsidP="00CF3413">
      <w:pPr>
        <w:ind w:left="851"/>
        <w:rPr>
          <w:rFonts w:cstheme="minorHAnsi"/>
          <w:lang w:val="fr-FR"/>
        </w:rPr>
      </w:pPr>
      <w:r w:rsidRPr="002F18BD">
        <w:rPr>
          <w:rFonts w:cstheme="minorHAnsi"/>
          <w:lang w:val="fr-FR"/>
        </w:rPr>
        <w:t>b)</w:t>
      </w:r>
      <w:r w:rsidRPr="002F18BD">
        <w:rPr>
          <w:rFonts w:cstheme="minorHAnsi"/>
          <w:lang w:val="fr-FR"/>
        </w:rPr>
        <w:tab/>
      </w:r>
      <w:r w:rsidR="00C26EA0" w:rsidRPr="002F18BD">
        <w:rPr>
          <w:rFonts w:cstheme="minorHAnsi"/>
          <w:lang w:val="fr-FR"/>
        </w:rPr>
        <w:t xml:space="preserve">Concernant la première étape, à savoir la date limite à utiliser pour la révision des Décisions du </w:t>
      </w:r>
      <w:r w:rsidR="00C26EA0" w:rsidRPr="002F18BD">
        <w:rPr>
          <w:lang w:val="fr-FR"/>
        </w:rPr>
        <w:t>Comité permanent</w:t>
      </w:r>
      <w:r w:rsidR="00E65069" w:rsidRPr="002F18BD">
        <w:rPr>
          <w:lang w:val="fr-FR"/>
        </w:rPr>
        <w:t xml:space="preserve">, </w:t>
      </w:r>
      <w:r w:rsidR="00C26EA0" w:rsidRPr="002F18BD">
        <w:rPr>
          <w:lang w:val="fr-FR"/>
        </w:rPr>
        <w:t>les membres du Comité ont indiqué leur préférence pour la 24</w:t>
      </w:r>
      <w:r w:rsidR="00C26EA0" w:rsidRPr="002F18BD">
        <w:rPr>
          <w:vertAlign w:val="superscript"/>
          <w:lang w:val="fr-FR"/>
        </w:rPr>
        <w:t>e</w:t>
      </w:r>
      <w:r w:rsidR="00C26EA0" w:rsidRPr="002F18BD">
        <w:rPr>
          <w:lang w:val="fr-FR"/>
        </w:rPr>
        <w:t xml:space="preserve"> Réunion comme point de départ</w:t>
      </w:r>
      <w:r w:rsidR="00E65069" w:rsidRPr="002F18BD">
        <w:rPr>
          <w:lang w:val="fr-FR"/>
        </w:rPr>
        <w:t xml:space="preserve">. </w:t>
      </w:r>
      <w:r w:rsidR="00C26EA0" w:rsidRPr="002F18BD">
        <w:rPr>
          <w:lang w:val="fr-FR"/>
        </w:rPr>
        <w:t>En conséquence, le</w:t>
      </w:r>
      <w:r w:rsidR="00E65069" w:rsidRPr="002F18BD">
        <w:rPr>
          <w:lang w:val="fr-FR"/>
        </w:rPr>
        <w:t xml:space="preserve"> Secr</w:t>
      </w:r>
      <w:r w:rsidR="00C26EA0" w:rsidRPr="002F18BD">
        <w:rPr>
          <w:lang w:val="fr-FR"/>
        </w:rPr>
        <w:t>é</w:t>
      </w:r>
      <w:r w:rsidR="00E65069" w:rsidRPr="002F18BD">
        <w:rPr>
          <w:lang w:val="fr-FR"/>
        </w:rPr>
        <w:t xml:space="preserve">tariat </w:t>
      </w:r>
      <w:r w:rsidR="00C26EA0" w:rsidRPr="002F18BD">
        <w:rPr>
          <w:lang w:val="fr-FR"/>
        </w:rPr>
        <w:t>a</w:t>
      </w:r>
      <w:r w:rsidR="00E65069" w:rsidRPr="002F18BD">
        <w:rPr>
          <w:lang w:val="fr-FR"/>
        </w:rPr>
        <w:t xml:space="preserve"> </w:t>
      </w:r>
      <w:r w:rsidR="00C26EA0" w:rsidRPr="002F18BD">
        <w:rPr>
          <w:lang w:val="fr-FR"/>
        </w:rPr>
        <w:t>examiné toutes les Décisions du Comité permanent, de la 24</w:t>
      </w:r>
      <w:r w:rsidR="00C26EA0" w:rsidRPr="002F18BD">
        <w:rPr>
          <w:vertAlign w:val="superscript"/>
          <w:lang w:val="fr-FR"/>
        </w:rPr>
        <w:t>e</w:t>
      </w:r>
      <w:r w:rsidR="00C26EA0" w:rsidRPr="002F18BD">
        <w:rPr>
          <w:lang w:val="fr-FR"/>
        </w:rPr>
        <w:t xml:space="preserve"> Réunion à la 62</w:t>
      </w:r>
      <w:r w:rsidR="00C26EA0" w:rsidRPr="002F18BD">
        <w:rPr>
          <w:vertAlign w:val="superscript"/>
          <w:lang w:val="fr-FR"/>
        </w:rPr>
        <w:t>e</w:t>
      </w:r>
      <w:r w:rsidR="00E65069" w:rsidRPr="002F18BD">
        <w:rPr>
          <w:lang w:val="fr-FR"/>
        </w:rPr>
        <w:t>.</w:t>
      </w:r>
    </w:p>
    <w:p w14:paraId="4338DBAC" w14:textId="77777777" w:rsidR="00CF3413" w:rsidRPr="002F18BD" w:rsidRDefault="00CF3413" w:rsidP="0025780B">
      <w:pPr>
        <w:ind w:left="851"/>
        <w:rPr>
          <w:rFonts w:cstheme="minorHAnsi"/>
          <w:lang w:val="fr-FR"/>
        </w:rPr>
      </w:pPr>
    </w:p>
    <w:p w14:paraId="47BA4F84" w14:textId="42AA9416" w:rsidR="0025780B" w:rsidRPr="002F18BD" w:rsidRDefault="00CF3413" w:rsidP="0025780B">
      <w:pPr>
        <w:ind w:left="851"/>
        <w:rPr>
          <w:rFonts w:cstheme="minorHAnsi"/>
          <w:lang w:val="fr-FR"/>
        </w:rPr>
      </w:pPr>
      <w:r w:rsidRPr="002F18BD">
        <w:rPr>
          <w:rFonts w:cstheme="minorHAnsi"/>
          <w:lang w:val="fr-FR"/>
        </w:rPr>
        <w:t>c)</w:t>
      </w:r>
      <w:r w:rsidRPr="002F18BD">
        <w:rPr>
          <w:rFonts w:cstheme="minorHAnsi"/>
          <w:lang w:val="fr-FR"/>
        </w:rPr>
        <w:tab/>
      </w:r>
      <w:r w:rsidR="00110A5F" w:rsidRPr="002F18BD">
        <w:rPr>
          <w:rFonts w:cstheme="minorHAnsi"/>
          <w:lang w:val="fr-FR"/>
        </w:rPr>
        <w:t>Conformément à la deuxième étape convenue</w:t>
      </w:r>
      <w:r w:rsidR="004659EB" w:rsidRPr="002F18BD">
        <w:rPr>
          <w:rFonts w:cstheme="minorHAnsi"/>
          <w:lang w:val="fr-FR"/>
        </w:rPr>
        <w:t>,</w:t>
      </w:r>
      <w:r w:rsidR="00110A5F" w:rsidRPr="002F18BD">
        <w:rPr>
          <w:rFonts w:cstheme="minorHAnsi"/>
          <w:lang w:val="fr-FR"/>
        </w:rPr>
        <w:t xml:space="preserve"> décrite dans le</w:t>
      </w:r>
      <w:r w:rsidR="002C5633" w:rsidRPr="002F18BD">
        <w:rPr>
          <w:lang w:val="fr-FR"/>
        </w:rPr>
        <w:t xml:space="preserve"> document SC62 Doc.15</w:t>
      </w:r>
      <w:r w:rsidR="003813B9" w:rsidRPr="002F18BD">
        <w:rPr>
          <w:rFonts w:cstheme="minorHAnsi"/>
          <w:lang w:val="fr-FR"/>
        </w:rPr>
        <w:t>,</w:t>
      </w:r>
      <w:r w:rsidR="000E373A" w:rsidRPr="002F18BD">
        <w:rPr>
          <w:rFonts w:cstheme="minorHAnsi"/>
          <w:lang w:val="fr-FR"/>
        </w:rPr>
        <w:t xml:space="preserve"> </w:t>
      </w:r>
      <w:r w:rsidR="00110A5F" w:rsidRPr="002F18BD">
        <w:rPr>
          <w:lang w:val="fr-FR"/>
        </w:rPr>
        <w:t xml:space="preserve">le Secrétariat a examiné les </w:t>
      </w:r>
      <w:r w:rsidR="00385CE9" w:rsidRPr="002F18BD">
        <w:rPr>
          <w:lang w:val="fr-FR"/>
        </w:rPr>
        <w:t>1</w:t>
      </w:r>
      <w:r w:rsidR="00110A5F" w:rsidRPr="002F18BD">
        <w:rPr>
          <w:lang w:val="fr-FR"/>
        </w:rPr>
        <w:t> </w:t>
      </w:r>
      <w:r w:rsidR="00385CE9" w:rsidRPr="002F18BD">
        <w:rPr>
          <w:lang w:val="fr-FR"/>
        </w:rPr>
        <w:t>07</w:t>
      </w:r>
      <w:r w:rsidR="001821C6" w:rsidRPr="002F18BD">
        <w:rPr>
          <w:lang w:val="fr-FR"/>
        </w:rPr>
        <w:t>2</w:t>
      </w:r>
      <w:r w:rsidR="00385CE9" w:rsidRPr="002F18BD">
        <w:rPr>
          <w:rFonts w:cstheme="minorHAnsi"/>
          <w:lang w:val="fr-FR"/>
        </w:rPr>
        <w:t xml:space="preserve"> </w:t>
      </w:r>
      <w:r w:rsidR="00110A5F" w:rsidRPr="002F18BD">
        <w:rPr>
          <w:lang w:val="fr-FR"/>
        </w:rPr>
        <w:t>Décisions du Comité permanent</w:t>
      </w:r>
      <w:r w:rsidR="000E373A" w:rsidRPr="002F18BD">
        <w:rPr>
          <w:rFonts w:cstheme="minorHAnsi"/>
          <w:lang w:val="fr-FR"/>
        </w:rPr>
        <w:t xml:space="preserve"> </w:t>
      </w:r>
      <w:r w:rsidR="00110A5F" w:rsidRPr="002F18BD">
        <w:rPr>
          <w:rFonts w:cstheme="minorHAnsi"/>
          <w:lang w:val="fr-FR"/>
        </w:rPr>
        <w:t>depuis la 24</w:t>
      </w:r>
      <w:r w:rsidR="00110A5F" w:rsidRPr="002F18BD">
        <w:rPr>
          <w:rFonts w:cstheme="minorHAnsi"/>
          <w:vertAlign w:val="superscript"/>
          <w:lang w:val="fr-FR"/>
        </w:rPr>
        <w:t>e</w:t>
      </w:r>
      <w:r w:rsidR="00110A5F" w:rsidRPr="002F18BD">
        <w:rPr>
          <w:rFonts w:cstheme="minorHAnsi"/>
          <w:lang w:val="fr-FR"/>
        </w:rPr>
        <w:t xml:space="preserve"> Réunion et a préparé deux listes </w:t>
      </w:r>
      <w:r w:rsidR="0025780B" w:rsidRPr="002F18BD">
        <w:rPr>
          <w:rFonts w:cstheme="minorHAnsi"/>
          <w:lang w:val="fr-FR"/>
        </w:rPr>
        <w:t>:</w:t>
      </w:r>
    </w:p>
    <w:p w14:paraId="5993F73A" w14:textId="7C1A8914" w:rsidR="00446734" w:rsidRPr="002F18BD" w:rsidRDefault="009418A1" w:rsidP="0025780B">
      <w:pPr>
        <w:pStyle w:val="ListParagraph"/>
        <w:numPr>
          <w:ilvl w:val="0"/>
          <w:numId w:val="43"/>
        </w:numPr>
        <w:ind w:left="1276" w:hanging="425"/>
        <w:rPr>
          <w:rFonts w:cstheme="minorHAnsi"/>
          <w:lang w:val="fr-FR"/>
        </w:rPr>
      </w:pPr>
      <w:r w:rsidRPr="002F18BD">
        <w:rPr>
          <w:rFonts w:cstheme="minorHAnsi"/>
          <w:lang w:val="fr-FR"/>
        </w:rPr>
        <w:t>une liste de</w:t>
      </w:r>
      <w:r w:rsidR="004659EB" w:rsidRPr="002F18BD">
        <w:rPr>
          <w:rFonts w:cstheme="minorHAnsi"/>
          <w:lang w:val="fr-FR"/>
        </w:rPr>
        <w:t>s</w:t>
      </w:r>
      <w:r w:rsidR="005369A8" w:rsidRPr="002F18BD">
        <w:rPr>
          <w:rFonts w:cstheme="minorHAnsi"/>
          <w:lang w:val="fr-FR"/>
        </w:rPr>
        <w:t xml:space="preserve"> D</w:t>
      </w:r>
      <w:r w:rsidRPr="002F18BD">
        <w:rPr>
          <w:rFonts w:cstheme="minorHAnsi"/>
          <w:lang w:val="fr-FR"/>
        </w:rPr>
        <w:t>é</w:t>
      </w:r>
      <w:r w:rsidR="005369A8" w:rsidRPr="002F18BD">
        <w:rPr>
          <w:rFonts w:cstheme="minorHAnsi"/>
          <w:lang w:val="fr-FR"/>
        </w:rPr>
        <w:t xml:space="preserve">cisions </w:t>
      </w:r>
      <w:r w:rsidRPr="002F18BD">
        <w:rPr>
          <w:rFonts w:cstheme="minorHAnsi"/>
          <w:lang w:val="fr-FR"/>
        </w:rPr>
        <w:t xml:space="preserve">qui ont été « appliquées » et ne sont plus en vigueur que l’on peut trouver </w:t>
      </w:r>
      <w:r w:rsidR="00630676" w:rsidRPr="002F18BD">
        <w:rPr>
          <w:rFonts w:cstheme="minorHAnsi"/>
          <w:lang w:val="fr-FR"/>
        </w:rPr>
        <w:t>à ce lien</w:t>
      </w:r>
      <w:r w:rsidR="001821C6" w:rsidRPr="002F18BD">
        <w:rPr>
          <w:rFonts w:cstheme="minorHAnsi"/>
          <w:lang w:val="fr-FR"/>
        </w:rPr>
        <w:t xml:space="preserve"> : </w:t>
      </w:r>
      <w:hyperlink r:id="rId11" w:history="1">
        <w:r w:rsidR="001821C6" w:rsidRPr="00C46CCB">
          <w:rPr>
            <w:rStyle w:val="Hyperlink"/>
            <w:rFonts w:cstheme="minorHAnsi"/>
            <w:lang w:val="fr-FR"/>
          </w:rPr>
          <w:t>https://www.ramsar.org/document/list-standing-committee-decisions-which-have-been-implemented-are-no-longer-effect</w:t>
        </w:r>
      </w:hyperlink>
      <w:r w:rsidRPr="002F18BD">
        <w:rPr>
          <w:rFonts w:cstheme="minorHAnsi"/>
          <w:lang w:val="fr-FR"/>
        </w:rPr>
        <w:t xml:space="preserve"> </w:t>
      </w:r>
      <w:r w:rsidR="005369A8" w:rsidRPr="002F18BD">
        <w:rPr>
          <w:rFonts w:cstheme="minorHAnsi"/>
          <w:lang w:val="fr-FR"/>
        </w:rPr>
        <w:t>;</w:t>
      </w:r>
    </w:p>
    <w:p w14:paraId="1C80642F" w14:textId="695CF9D1" w:rsidR="005369A8" w:rsidRPr="002F18BD" w:rsidRDefault="009418A1" w:rsidP="00830792">
      <w:pPr>
        <w:pStyle w:val="ListParagraph"/>
        <w:numPr>
          <w:ilvl w:val="0"/>
          <w:numId w:val="43"/>
        </w:numPr>
        <w:ind w:left="1276" w:hanging="425"/>
        <w:rPr>
          <w:rFonts w:cstheme="minorHAnsi"/>
          <w:lang w:val="fr-FR"/>
        </w:rPr>
      </w:pPr>
      <w:proofErr w:type="gramStart"/>
      <w:r w:rsidRPr="002F18BD">
        <w:rPr>
          <w:rFonts w:cstheme="minorHAnsi"/>
          <w:lang w:val="fr-FR"/>
        </w:rPr>
        <w:t>une</w:t>
      </w:r>
      <w:proofErr w:type="gramEnd"/>
      <w:r w:rsidRPr="002F18BD">
        <w:rPr>
          <w:rFonts w:cstheme="minorHAnsi"/>
          <w:lang w:val="fr-FR"/>
        </w:rPr>
        <w:t xml:space="preserve"> liste des Décisions « en attente »</w:t>
      </w:r>
      <w:r w:rsidR="00DB296E" w:rsidRPr="002F18BD">
        <w:rPr>
          <w:rFonts w:cstheme="minorHAnsi"/>
          <w:lang w:val="fr-FR"/>
        </w:rPr>
        <w:t>,</w:t>
      </w:r>
      <w:r w:rsidR="005369A8" w:rsidRPr="002F18BD">
        <w:rPr>
          <w:rFonts w:cstheme="minorHAnsi"/>
          <w:lang w:val="fr-FR"/>
        </w:rPr>
        <w:t xml:space="preserve"> </w:t>
      </w:r>
      <w:r w:rsidRPr="002F18BD">
        <w:rPr>
          <w:rFonts w:cstheme="minorHAnsi"/>
          <w:lang w:val="fr-FR"/>
        </w:rPr>
        <w:t>qui figure à l’annexe 1 du</w:t>
      </w:r>
      <w:r w:rsidR="005369A8" w:rsidRPr="002F18BD">
        <w:rPr>
          <w:rFonts w:cstheme="minorHAnsi"/>
          <w:lang w:val="fr-FR"/>
        </w:rPr>
        <w:t xml:space="preserve"> </w:t>
      </w:r>
      <w:r w:rsidRPr="002F18BD">
        <w:rPr>
          <w:rFonts w:cstheme="minorHAnsi"/>
          <w:lang w:val="fr-FR"/>
        </w:rPr>
        <w:t>présent</w:t>
      </w:r>
      <w:r w:rsidR="005369A8" w:rsidRPr="002F18BD">
        <w:rPr>
          <w:rFonts w:cstheme="minorHAnsi"/>
          <w:lang w:val="fr-FR"/>
        </w:rPr>
        <w:t xml:space="preserve"> document</w:t>
      </w:r>
      <w:r w:rsidRPr="002F18BD">
        <w:rPr>
          <w:rFonts w:cstheme="minorHAnsi"/>
          <w:lang w:val="fr-FR"/>
        </w:rPr>
        <w:t>.</w:t>
      </w:r>
    </w:p>
    <w:p w14:paraId="271E91A5" w14:textId="40278B85" w:rsidR="000E373A" w:rsidRPr="002F18BD" w:rsidRDefault="000E373A" w:rsidP="000E373A">
      <w:pPr>
        <w:ind w:left="851"/>
        <w:rPr>
          <w:rFonts w:cstheme="minorHAnsi"/>
          <w:lang w:val="fr-FR"/>
        </w:rPr>
      </w:pPr>
    </w:p>
    <w:p w14:paraId="00A20200" w14:textId="5B720A86" w:rsidR="000E373A" w:rsidRPr="002F18BD" w:rsidRDefault="00CF3413" w:rsidP="0036257A">
      <w:pPr>
        <w:ind w:left="851"/>
        <w:rPr>
          <w:rFonts w:cstheme="minorHAnsi"/>
          <w:lang w:val="fr-FR"/>
        </w:rPr>
      </w:pPr>
      <w:r w:rsidRPr="002F18BD">
        <w:rPr>
          <w:rFonts w:cstheme="minorHAnsi"/>
          <w:lang w:val="fr-FR"/>
        </w:rPr>
        <w:t xml:space="preserve">d) </w:t>
      </w:r>
      <w:r w:rsidRPr="002F18BD">
        <w:rPr>
          <w:rFonts w:cstheme="minorHAnsi"/>
          <w:lang w:val="fr-FR"/>
        </w:rPr>
        <w:tab/>
      </w:r>
      <w:r w:rsidR="004659EB" w:rsidRPr="002F18BD">
        <w:rPr>
          <w:rFonts w:cstheme="minorHAnsi"/>
          <w:lang w:val="fr-FR"/>
        </w:rPr>
        <w:t xml:space="preserve">Concernant la troisième étape, </w:t>
      </w:r>
      <w:r w:rsidR="004659EB" w:rsidRPr="002F18BD">
        <w:rPr>
          <w:lang w:val="fr-FR"/>
        </w:rPr>
        <w:t xml:space="preserve">le Secrétariat a </w:t>
      </w:r>
      <w:r w:rsidR="004659EB" w:rsidRPr="002F18BD">
        <w:rPr>
          <w:rFonts w:cstheme="minorHAnsi"/>
          <w:lang w:val="fr-FR"/>
        </w:rPr>
        <w:t>ajouté des</w:t>
      </w:r>
      <w:r w:rsidR="0036257A" w:rsidRPr="002F18BD">
        <w:rPr>
          <w:rFonts w:cstheme="minorHAnsi"/>
          <w:lang w:val="fr-FR"/>
        </w:rPr>
        <w:t xml:space="preserve"> comment</w:t>
      </w:r>
      <w:r w:rsidR="004659EB" w:rsidRPr="002F18BD">
        <w:rPr>
          <w:rFonts w:cstheme="minorHAnsi"/>
          <w:lang w:val="fr-FR"/>
        </w:rPr>
        <w:t>aire</w:t>
      </w:r>
      <w:r w:rsidR="0036257A" w:rsidRPr="002F18BD">
        <w:rPr>
          <w:rFonts w:cstheme="minorHAnsi"/>
          <w:lang w:val="fr-FR"/>
        </w:rPr>
        <w:t xml:space="preserve">s </w:t>
      </w:r>
      <w:r w:rsidR="004659EB" w:rsidRPr="002F18BD">
        <w:rPr>
          <w:rFonts w:cstheme="minorHAnsi"/>
          <w:lang w:val="fr-FR"/>
        </w:rPr>
        <w:t>indiquant quelles décisions « en attente » pourraient être considérées comme « appliquées » et, de ce fait, retirées de la liste</w:t>
      </w:r>
      <w:r w:rsidR="0036257A" w:rsidRPr="002F18BD">
        <w:rPr>
          <w:lang w:val="fr-FR"/>
        </w:rPr>
        <w:t xml:space="preserve">. </w:t>
      </w:r>
      <w:r w:rsidR="00630676" w:rsidRPr="002F18BD">
        <w:rPr>
          <w:lang w:val="fr-FR"/>
        </w:rPr>
        <w:t>Le</w:t>
      </w:r>
      <w:r w:rsidR="0036257A" w:rsidRPr="002F18BD">
        <w:rPr>
          <w:lang w:val="fr-FR"/>
        </w:rPr>
        <w:t xml:space="preserve"> </w:t>
      </w:r>
      <w:r w:rsidR="0036257A" w:rsidRPr="002F18BD">
        <w:rPr>
          <w:rFonts w:cstheme="minorHAnsi"/>
          <w:lang w:val="fr-FR"/>
        </w:rPr>
        <w:t>S</w:t>
      </w:r>
      <w:bookmarkStart w:id="0" w:name="_GoBack"/>
      <w:bookmarkEnd w:id="0"/>
      <w:r w:rsidR="0036257A" w:rsidRPr="002F18BD">
        <w:rPr>
          <w:rFonts w:cstheme="minorHAnsi"/>
          <w:lang w:val="fr-FR"/>
        </w:rPr>
        <w:t>ecr</w:t>
      </w:r>
      <w:r w:rsidR="00630676" w:rsidRPr="002F18BD">
        <w:rPr>
          <w:rFonts w:cstheme="minorHAnsi"/>
          <w:lang w:val="fr-FR"/>
        </w:rPr>
        <w:t>é</w:t>
      </w:r>
      <w:r w:rsidR="0036257A" w:rsidRPr="002F18BD">
        <w:rPr>
          <w:rFonts w:cstheme="minorHAnsi"/>
          <w:lang w:val="fr-FR"/>
        </w:rPr>
        <w:t xml:space="preserve">tariat </w:t>
      </w:r>
      <w:r w:rsidR="00630676" w:rsidRPr="002F18BD">
        <w:rPr>
          <w:rFonts w:cstheme="minorHAnsi"/>
          <w:lang w:val="fr-FR"/>
        </w:rPr>
        <w:t>fournira une liste actualisée des</w:t>
      </w:r>
      <w:r w:rsidR="000E373A" w:rsidRPr="002F18BD">
        <w:rPr>
          <w:rFonts w:cstheme="minorHAnsi"/>
          <w:lang w:val="fr-FR"/>
        </w:rPr>
        <w:t xml:space="preserve"> D</w:t>
      </w:r>
      <w:r w:rsidR="00630676" w:rsidRPr="002F18BD">
        <w:rPr>
          <w:rFonts w:cstheme="minorHAnsi"/>
          <w:lang w:val="fr-FR"/>
        </w:rPr>
        <w:t>é</w:t>
      </w:r>
      <w:r w:rsidR="000E373A" w:rsidRPr="002F18BD">
        <w:rPr>
          <w:rFonts w:cstheme="minorHAnsi"/>
          <w:lang w:val="fr-FR"/>
        </w:rPr>
        <w:t xml:space="preserve">cisions </w:t>
      </w:r>
      <w:r w:rsidR="00630676" w:rsidRPr="002F18BD">
        <w:rPr>
          <w:rFonts w:cstheme="minorHAnsi"/>
          <w:lang w:val="fr-FR"/>
        </w:rPr>
        <w:t>« en attente » à chaque réunion du Comité permanent</w:t>
      </w:r>
      <w:r w:rsidR="000E373A" w:rsidRPr="002F18BD">
        <w:rPr>
          <w:rFonts w:cstheme="minorHAnsi"/>
          <w:lang w:val="fr-FR"/>
        </w:rPr>
        <w:t>.</w:t>
      </w:r>
    </w:p>
    <w:p w14:paraId="114248DE" w14:textId="36F22E96" w:rsidR="002C5633" w:rsidRPr="002F18BD" w:rsidRDefault="002C5633" w:rsidP="0036257A">
      <w:pPr>
        <w:ind w:left="851"/>
        <w:rPr>
          <w:rFonts w:cstheme="minorHAnsi"/>
          <w:lang w:val="fr-FR"/>
        </w:rPr>
      </w:pPr>
    </w:p>
    <w:p w14:paraId="67F36A66" w14:textId="37A3BDF6" w:rsidR="000E373A" w:rsidRPr="002F18BD" w:rsidRDefault="00DF6B79" w:rsidP="000E373A">
      <w:pPr>
        <w:rPr>
          <w:rFonts w:cstheme="minorHAnsi"/>
          <w:lang w:val="fr-FR"/>
        </w:rPr>
      </w:pPr>
      <w:r w:rsidRPr="002F18BD">
        <w:rPr>
          <w:rFonts w:cstheme="minorHAnsi"/>
          <w:lang w:val="fr-FR"/>
        </w:rPr>
        <w:t>5</w:t>
      </w:r>
      <w:r w:rsidR="00C32383" w:rsidRPr="002F18BD">
        <w:rPr>
          <w:rFonts w:cstheme="minorHAnsi"/>
          <w:lang w:val="fr-FR"/>
        </w:rPr>
        <w:t xml:space="preserve">. </w:t>
      </w:r>
      <w:r w:rsidR="00C32383" w:rsidRPr="002F18BD">
        <w:rPr>
          <w:rFonts w:cstheme="minorHAnsi"/>
          <w:lang w:val="fr-FR"/>
        </w:rPr>
        <w:tab/>
      </w:r>
      <w:r w:rsidR="00FF7324" w:rsidRPr="002F18BD">
        <w:rPr>
          <w:lang w:val="fr-FR"/>
        </w:rPr>
        <w:t>La</w:t>
      </w:r>
      <w:r w:rsidR="00C32383" w:rsidRPr="002F18BD">
        <w:rPr>
          <w:lang w:val="fr-FR"/>
        </w:rPr>
        <w:t xml:space="preserve"> list</w:t>
      </w:r>
      <w:r w:rsidR="00FF7324" w:rsidRPr="002F18BD">
        <w:rPr>
          <w:lang w:val="fr-FR"/>
        </w:rPr>
        <w:t>e</w:t>
      </w:r>
      <w:r w:rsidR="00C32383" w:rsidRPr="002F18BD">
        <w:rPr>
          <w:lang w:val="fr-FR"/>
        </w:rPr>
        <w:t xml:space="preserve"> </w:t>
      </w:r>
      <w:r w:rsidR="00FF7324" w:rsidRPr="002F18BD">
        <w:rPr>
          <w:lang w:val="fr-FR"/>
        </w:rPr>
        <w:t xml:space="preserve">de </w:t>
      </w:r>
      <w:r w:rsidR="00C32383" w:rsidRPr="002F18BD">
        <w:rPr>
          <w:lang w:val="fr-FR"/>
        </w:rPr>
        <w:t>D</w:t>
      </w:r>
      <w:r w:rsidR="00FF7324" w:rsidRPr="002F18BD">
        <w:rPr>
          <w:lang w:val="fr-FR"/>
        </w:rPr>
        <w:t>é</w:t>
      </w:r>
      <w:r w:rsidR="00C32383" w:rsidRPr="002F18BD">
        <w:rPr>
          <w:lang w:val="fr-FR"/>
        </w:rPr>
        <w:t>cisions</w:t>
      </w:r>
      <w:r w:rsidR="00FF7324" w:rsidRPr="002F18BD">
        <w:rPr>
          <w:lang w:val="fr-FR"/>
        </w:rPr>
        <w:t xml:space="preserve"> « en attente »</w:t>
      </w:r>
      <w:r w:rsidR="00C32383" w:rsidRPr="002F18BD">
        <w:rPr>
          <w:lang w:val="fr-FR"/>
        </w:rPr>
        <w:t xml:space="preserve"> </w:t>
      </w:r>
      <w:r w:rsidR="00FF7324" w:rsidRPr="002F18BD">
        <w:rPr>
          <w:lang w:val="fr-FR"/>
        </w:rPr>
        <w:t>comprend</w:t>
      </w:r>
      <w:r w:rsidR="00C32383" w:rsidRPr="002F18BD">
        <w:rPr>
          <w:lang w:val="fr-FR"/>
        </w:rPr>
        <w:t xml:space="preserve"> </w:t>
      </w:r>
      <w:r w:rsidR="00302586" w:rsidRPr="002F18BD">
        <w:rPr>
          <w:lang w:val="fr-FR"/>
        </w:rPr>
        <w:t>12</w:t>
      </w:r>
      <w:r w:rsidR="00385CE9" w:rsidRPr="002F18BD">
        <w:rPr>
          <w:lang w:val="fr-FR"/>
        </w:rPr>
        <w:t xml:space="preserve"> </w:t>
      </w:r>
      <w:r w:rsidR="00FF7324" w:rsidRPr="002F18BD">
        <w:rPr>
          <w:lang w:val="fr-FR"/>
        </w:rPr>
        <w:t>Décisions de la 62</w:t>
      </w:r>
      <w:r w:rsidR="00FF7324" w:rsidRPr="002F18BD">
        <w:rPr>
          <w:vertAlign w:val="superscript"/>
          <w:lang w:val="fr-FR"/>
        </w:rPr>
        <w:t>e</w:t>
      </w:r>
      <w:r w:rsidR="00FF7324" w:rsidRPr="002F18BD">
        <w:rPr>
          <w:lang w:val="fr-FR"/>
        </w:rPr>
        <w:t xml:space="preserve"> Réunion du Comité permanent et</w:t>
      </w:r>
      <w:r w:rsidR="00C32383" w:rsidRPr="002F18BD">
        <w:rPr>
          <w:lang w:val="fr-FR"/>
        </w:rPr>
        <w:t xml:space="preserve"> </w:t>
      </w:r>
      <w:r w:rsidR="00302586" w:rsidRPr="002F18BD">
        <w:rPr>
          <w:lang w:val="fr-FR"/>
        </w:rPr>
        <w:t>13</w:t>
      </w:r>
      <w:r w:rsidR="00385CE9" w:rsidRPr="002F18BD">
        <w:rPr>
          <w:lang w:val="fr-FR"/>
        </w:rPr>
        <w:t xml:space="preserve"> </w:t>
      </w:r>
      <w:r w:rsidR="00FF7324" w:rsidRPr="002F18BD">
        <w:rPr>
          <w:lang w:val="fr-FR"/>
        </w:rPr>
        <w:t>Décisions de réunions précédentes</w:t>
      </w:r>
      <w:r w:rsidR="00C32383" w:rsidRPr="002F18BD">
        <w:rPr>
          <w:lang w:val="fr-FR"/>
        </w:rPr>
        <w:t xml:space="preserve">. </w:t>
      </w:r>
      <w:r w:rsidR="00FF7324" w:rsidRPr="002F18BD">
        <w:rPr>
          <w:lang w:val="fr-FR"/>
        </w:rPr>
        <w:t>Le</w:t>
      </w:r>
      <w:r w:rsidR="00C32383" w:rsidRPr="002F18BD">
        <w:rPr>
          <w:lang w:val="fr-FR"/>
        </w:rPr>
        <w:t xml:space="preserve"> Secr</w:t>
      </w:r>
      <w:r w:rsidR="00FF7324" w:rsidRPr="002F18BD">
        <w:rPr>
          <w:lang w:val="fr-FR"/>
        </w:rPr>
        <w:t>é</w:t>
      </w:r>
      <w:r w:rsidR="00C32383" w:rsidRPr="002F18BD">
        <w:rPr>
          <w:lang w:val="fr-FR"/>
        </w:rPr>
        <w:t xml:space="preserve">tariat </w:t>
      </w:r>
      <w:r w:rsidR="00FF7324" w:rsidRPr="002F18BD">
        <w:rPr>
          <w:lang w:val="fr-FR"/>
        </w:rPr>
        <w:t>a</w:t>
      </w:r>
      <w:r w:rsidR="00C32383" w:rsidRPr="002F18BD">
        <w:rPr>
          <w:lang w:val="fr-FR"/>
        </w:rPr>
        <w:t xml:space="preserve"> </w:t>
      </w:r>
      <w:r w:rsidR="002B63A2" w:rsidRPr="002F18BD">
        <w:rPr>
          <w:lang w:val="fr-FR"/>
        </w:rPr>
        <w:t>not</w:t>
      </w:r>
      <w:r w:rsidR="00FF7324" w:rsidRPr="002F18BD">
        <w:rPr>
          <w:lang w:val="fr-FR"/>
        </w:rPr>
        <w:t>é</w:t>
      </w:r>
      <w:r w:rsidR="002B63A2" w:rsidRPr="002F18BD">
        <w:rPr>
          <w:lang w:val="fr-FR"/>
        </w:rPr>
        <w:t xml:space="preserve"> </w:t>
      </w:r>
      <w:r w:rsidR="00FF7324" w:rsidRPr="002F18BD">
        <w:rPr>
          <w:lang w:val="fr-FR"/>
        </w:rPr>
        <w:t>une proposition de clore ou appliquer chaque Décision</w:t>
      </w:r>
      <w:r w:rsidR="002B63A2" w:rsidRPr="002F18BD">
        <w:rPr>
          <w:lang w:val="fr-FR"/>
        </w:rPr>
        <w:t xml:space="preserve">. </w:t>
      </w:r>
      <w:r w:rsidR="00FF7324" w:rsidRPr="002F18BD">
        <w:rPr>
          <w:lang w:val="fr-FR"/>
        </w:rPr>
        <w:t xml:space="preserve">Dans certains cas les </w:t>
      </w:r>
      <w:r w:rsidR="002B63A2" w:rsidRPr="002F18BD">
        <w:rPr>
          <w:lang w:val="fr-FR"/>
        </w:rPr>
        <w:t>D</w:t>
      </w:r>
      <w:r w:rsidR="00FF7324" w:rsidRPr="002F18BD">
        <w:rPr>
          <w:lang w:val="fr-FR"/>
        </w:rPr>
        <w:t>é</w:t>
      </w:r>
      <w:r w:rsidR="002B63A2" w:rsidRPr="002F18BD">
        <w:rPr>
          <w:lang w:val="fr-FR"/>
        </w:rPr>
        <w:t xml:space="preserve">cisions </w:t>
      </w:r>
      <w:r w:rsidR="00FF7324" w:rsidRPr="002F18BD">
        <w:rPr>
          <w:lang w:val="fr-FR"/>
        </w:rPr>
        <w:t xml:space="preserve">ont </w:t>
      </w:r>
      <w:r w:rsidR="00630676" w:rsidRPr="002F18BD">
        <w:rPr>
          <w:lang w:val="fr-FR"/>
        </w:rPr>
        <w:t>un</w:t>
      </w:r>
      <w:r w:rsidR="00FF7324" w:rsidRPr="002F18BD">
        <w:rPr>
          <w:lang w:val="fr-FR"/>
        </w:rPr>
        <w:t xml:space="preserve"> effet permanent et devraient être intégrées à de futures Ré</w:t>
      </w:r>
      <w:r w:rsidR="002B63A2" w:rsidRPr="002F18BD">
        <w:rPr>
          <w:lang w:val="fr-FR"/>
        </w:rPr>
        <w:t xml:space="preserve">solutions. </w:t>
      </w:r>
    </w:p>
    <w:p w14:paraId="0045C0EC" w14:textId="77777777" w:rsidR="0007175F" w:rsidRPr="002F18BD" w:rsidRDefault="0007175F" w:rsidP="009C5199">
      <w:pPr>
        <w:pStyle w:val="NoSpacing"/>
        <w:rPr>
          <w:lang w:val="fr-FR"/>
        </w:rPr>
      </w:pPr>
      <w:bookmarkStart w:id="1" w:name="_Hlk63613538"/>
    </w:p>
    <w:p w14:paraId="0F06C680" w14:textId="350CC474" w:rsidR="0007175F" w:rsidRPr="002F18BD" w:rsidRDefault="00C6033A" w:rsidP="0007175F">
      <w:pPr>
        <w:rPr>
          <w:rFonts w:cs="Arial"/>
          <w:b/>
          <w:lang w:val="fr-FR"/>
        </w:rPr>
      </w:pPr>
      <w:r w:rsidRPr="002F18BD">
        <w:rPr>
          <w:rFonts w:cs="Arial"/>
          <w:b/>
          <w:lang w:val="fr-FR"/>
        </w:rPr>
        <w:t>Mesures à examiner</w:t>
      </w:r>
      <w:r w:rsidR="00307E02" w:rsidRPr="002F18BD">
        <w:rPr>
          <w:rFonts w:cs="Arial"/>
          <w:b/>
          <w:lang w:val="fr-FR"/>
        </w:rPr>
        <w:t xml:space="preserve"> </w:t>
      </w:r>
    </w:p>
    <w:p w14:paraId="11F9C8CA" w14:textId="77777777" w:rsidR="00307E02" w:rsidRPr="002F18BD" w:rsidRDefault="00307E02" w:rsidP="0007175F">
      <w:pPr>
        <w:rPr>
          <w:lang w:val="fr-FR"/>
        </w:rPr>
      </w:pPr>
    </w:p>
    <w:p w14:paraId="36989647" w14:textId="2A672F4B" w:rsidR="00307E02" w:rsidRPr="002F18BD" w:rsidRDefault="00DF6B79" w:rsidP="0007175F">
      <w:pPr>
        <w:rPr>
          <w:lang w:val="fr-FR"/>
        </w:rPr>
      </w:pPr>
      <w:r w:rsidRPr="002F18BD">
        <w:rPr>
          <w:lang w:val="fr-FR"/>
        </w:rPr>
        <w:t>6</w:t>
      </w:r>
      <w:r w:rsidR="00307E02" w:rsidRPr="002F18BD">
        <w:rPr>
          <w:lang w:val="fr-FR"/>
        </w:rPr>
        <w:t xml:space="preserve">. </w:t>
      </w:r>
      <w:r w:rsidR="00307E02" w:rsidRPr="002F18BD">
        <w:rPr>
          <w:lang w:val="fr-FR"/>
        </w:rPr>
        <w:tab/>
      </w:r>
      <w:r w:rsidR="00FF7324" w:rsidRPr="002F18BD">
        <w:rPr>
          <w:lang w:val="fr-FR"/>
        </w:rPr>
        <w:t>Le</w:t>
      </w:r>
      <w:r w:rsidR="00307E02" w:rsidRPr="002F18BD">
        <w:rPr>
          <w:lang w:val="fr-FR"/>
        </w:rPr>
        <w:t xml:space="preserve"> Secr</w:t>
      </w:r>
      <w:r w:rsidR="00FF7324" w:rsidRPr="002F18BD">
        <w:rPr>
          <w:lang w:val="fr-FR"/>
        </w:rPr>
        <w:t>é</w:t>
      </w:r>
      <w:r w:rsidR="00307E02" w:rsidRPr="002F18BD">
        <w:rPr>
          <w:lang w:val="fr-FR"/>
        </w:rPr>
        <w:t>tariat recomm</w:t>
      </w:r>
      <w:r w:rsidR="00FF7324" w:rsidRPr="002F18BD">
        <w:rPr>
          <w:lang w:val="fr-FR"/>
        </w:rPr>
        <w:t xml:space="preserve">ande que le Comité permanent </w:t>
      </w:r>
      <w:r w:rsidR="00630676" w:rsidRPr="002F18BD">
        <w:rPr>
          <w:lang w:val="fr-FR"/>
        </w:rPr>
        <w:t>décide</w:t>
      </w:r>
      <w:r w:rsidR="00FF7324" w:rsidRPr="002F18BD">
        <w:rPr>
          <w:lang w:val="fr-FR"/>
        </w:rPr>
        <w:t xml:space="preserve"> que les listes de Décisions jointes au présent document et figurant en annexe </w:t>
      </w:r>
      <w:r w:rsidR="001821C6" w:rsidRPr="002F18BD">
        <w:rPr>
          <w:lang w:val="fr-FR"/>
        </w:rPr>
        <w:t>1</w:t>
      </w:r>
      <w:r w:rsidR="00307E02" w:rsidRPr="002F18BD">
        <w:rPr>
          <w:lang w:val="fr-FR"/>
        </w:rPr>
        <w:t xml:space="preserve"> </w:t>
      </w:r>
      <w:r w:rsidR="00FF7324" w:rsidRPr="002F18BD">
        <w:rPr>
          <w:lang w:val="fr-FR"/>
        </w:rPr>
        <w:t xml:space="preserve">remplissent les étapes un et deux des </w:t>
      </w:r>
      <w:r w:rsidR="00216875" w:rsidRPr="002F18BD">
        <w:rPr>
          <w:lang w:val="fr-FR"/>
        </w:rPr>
        <w:t xml:space="preserve">instructions </w:t>
      </w:r>
      <w:r w:rsidR="00FF7324" w:rsidRPr="002F18BD">
        <w:rPr>
          <w:lang w:val="fr-FR"/>
        </w:rPr>
        <w:t>contenues dans la</w:t>
      </w:r>
      <w:r w:rsidR="00216875" w:rsidRPr="002F18BD">
        <w:rPr>
          <w:lang w:val="fr-FR"/>
        </w:rPr>
        <w:t xml:space="preserve"> </w:t>
      </w:r>
      <w:r w:rsidR="00FF7324" w:rsidRPr="002F18BD">
        <w:rPr>
          <w:lang w:val="fr-FR"/>
        </w:rPr>
        <w:t>Décision</w:t>
      </w:r>
      <w:r w:rsidR="009501B1" w:rsidRPr="002F18BD">
        <w:rPr>
          <w:lang w:val="fr-FR"/>
        </w:rPr>
        <w:t xml:space="preserve"> </w:t>
      </w:r>
      <w:r w:rsidR="00216875" w:rsidRPr="002F18BD">
        <w:rPr>
          <w:lang w:val="fr-FR"/>
        </w:rPr>
        <w:t>SC62-21</w:t>
      </w:r>
      <w:r w:rsidR="007C3908" w:rsidRPr="002F18BD">
        <w:rPr>
          <w:lang w:val="fr-FR"/>
        </w:rPr>
        <w:t>.</w:t>
      </w:r>
    </w:p>
    <w:p w14:paraId="16C9E3DD" w14:textId="77777777" w:rsidR="00216875" w:rsidRPr="002F18BD" w:rsidRDefault="00216875" w:rsidP="00216875">
      <w:pPr>
        <w:ind w:left="0" w:firstLine="0"/>
        <w:rPr>
          <w:lang w:val="fr-FR"/>
        </w:rPr>
      </w:pPr>
    </w:p>
    <w:bookmarkEnd w:id="1"/>
    <w:p w14:paraId="3CDDC899" w14:textId="0D5ADBBB" w:rsidR="00A47F9E" w:rsidRPr="002F18BD" w:rsidRDefault="00DF6B79" w:rsidP="00E65069">
      <w:pPr>
        <w:pStyle w:val="NoSpacing"/>
        <w:rPr>
          <w:rFonts w:cs="Arial"/>
          <w:b/>
          <w:sz w:val="24"/>
          <w:szCs w:val="24"/>
          <w:lang w:val="fr-FR"/>
        </w:rPr>
      </w:pPr>
      <w:r w:rsidRPr="002F18BD">
        <w:rPr>
          <w:lang w:val="fr-FR"/>
        </w:rPr>
        <w:lastRenderedPageBreak/>
        <w:t>7</w:t>
      </w:r>
      <w:r w:rsidR="00216875" w:rsidRPr="002F18BD">
        <w:rPr>
          <w:lang w:val="fr-FR"/>
        </w:rPr>
        <w:t>.</w:t>
      </w:r>
      <w:r w:rsidR="00216875" w:rsidRPr="002F18BD">
        <w:rPr>
          <w:lang w:val="fr-FR"/>
        </w:rPr>
        <w:tab/>
      </w:r>
      <w:r w:rsidR="00FF7324" w:rsidRPr="002F18BD">
        <w:rPr>
          <w:lang w:val="fr-FR"/>
        </w:rPr>
        <w:t xml:space="preserve">Le Secrétariat recommande que, le cas échéant, les Décisions </w:t>
      </w:r>
      <w:r w:rsidR="00630676" w:rsidRPr="002F18BD">
        <w:rPr>
          <w:lang w:val="fr-FR"/>
        </w:rPr>
        <w:t>« </w:t>
      </w:r>
      <w:r w:rsidR="00FF7324" w:rsidRPr="002F18BD">
        <w:rPr>
          <w:lang w:val="fr-FR"/>
        </w:rPr>
        <w:t>en attente</w:t>
      </w:r>
      <w:r w:rsidR="00630676" w:rsidRPr="002F18BD">
        <w:rPr>
          <w:lang w:val="fr-FR"/>
        </w:rPr>
        <w:t> »</w:t>
      </w:r>
      <w:r w:rsidR="00FF7324" w:rsidRPr="002F18BD">
        <w:rPr>
          <w:lang w:val="fr-FR"/>
        </w:rPr>
        <w:t xml:space="preserve"> du Comité permanent soient intégrées à de futures </w:t>
      </w:r>
      <w:r w:rsidR="00216875" w:rsidRPr="002F18BD">
        <w:rPr>
          <w:lang w:val="fr-FR"/>
        </w:rPr>
        <w:t>R</w:t>
      </w:r>
      <w:r w:rsidR="00FF7324" w:rsidRPr="002F18BD">
        <w:rPr>
          <w:lang w:val="fr-FR"/>
        </w:rPr>
        <w:t>é</w:t>
      </w:r>
      <w:r w:rsidR="00216875" w:rsidRPr="002F18BD">
        <w:rPr>
          <w:lang w:val="fr-FR"/>
        </w:rPr>
        <w:t xml:space="preserve">solutions </w:t>
      </w:r>
      <w:r w:rsidR="00C6033A" w:rsidRPr="002F18BD">
        <w:rPr>
          <w:lang w:val="fr-FR"/>
        </w:rPr>
        <w:t>de telle sorte que ces</w:t>
      </w:r>
      <w:r w:rsidR="00216875" w:rsidRPr="002F18BD">
        <w:rPr>
          <w:lang w:val="fr-FR"/>
        </w:rPr>
        <w:t xml:space="preserve"> </w:t>
      </w:r>
      <w:r w:rsidR="00C6033A" w:rsidRPr="002F18BD">
        <w:rPr>
          <w:lang w:val="fr-FR"/>
        </w:rPr>
        <w:t>Décisions</w:t>
      </w:r>
      <w:r w:rsidR="00216875" w:rsidRPr="002F18BD">
        <w:rPr>
          <w:lang w:val="fr-FR"/>
        </w:rPr>
        <w:t xml:space="preserve"> </w:t>
      </w:r>
      <w:r w:rsidR="00C6033A" w:rsidRPr="002F18BD">
        <w:rPr>
          <w:lang w:val="fr-FR"/>
        </w:rPr>
        <w:t>puissent être considérées comme « appliquées » et retirées de la liste de Décisions « en attente »</w:t>
      </w:r>
      <w:r w:rsidR="00216875" w:rsidRPr="002F18BD">
        <w:rPr>
          <w:lang w:val="fr-FR"/>
        </w:rPr>
        <w:t xml:space="preserve">.  </w:t>
      </w:r>
      <w:r w:rsidR="00A47F9E" w:rsidRPr="002F18BD">
        <w:rPr>
          <w:rFonts w:cs="Arial"/>
          <w:b/>
          <w:sz w:val="24"/>
          <w:szCs w:val="24"/>
          <w:lang w:val="fr-FR"/>
        </w:rPr>
        <w:br w:type="page"/>
      </w:r>
    </w:p>
    <w:p w14:paraId="1FCF8AAA" w14:textId="3719814A" w:rsidR="00EC673C" w:rsidRPr="002F18BD" w:rsidRDefault="00EC673C" w:rsidP="00EC673C">
      <w:pPr>
        <w:ind w:left="0" w:firstLine="0"/>
        <w:rPr>
          <w:rFonts w:cs="Arial"/>
          <w:b/>
          <w:sz w:val="24"/>
          <w:szCs w:val="24"/>
          <w:lang w:val="fr-FR"/>
        </w:rPr>
      </w:pPr>
      <w:r w:rsidRPr="002F18BD">
        <w:rPr>
          <w:rFonts w:cs="Arial"/>
          <w:b/>
          <w:sz w:val="24"/>
          <w:szCs w:val="24"/>
          <w:lang w:val="fr-FR"/>
        </w:rPr>
        <w:lastRenderedPageBreak/>
        <w:t>Annex</w:t>
      </w:r>
      <w:r w:rsidR="00C6033A" w:rsidRPr="002F18BD">
        <w:rPr>
          <w:rFonts w:cs="Arial"/>
          <w:b/>
          <w:sz w:val="24"/>
          <w:szCs w:val="24"/>
          <w:lang w:val="fr-FR"/>
        </w:rPr>
        <w:t>e</w:t>
      </w:r>
      <w:r w:rsidRPr="002F18BD">
        <w:rPr>
          <w:rFonts w:cs="Arial"/>
          <w:b/>
          <w:sz w:val="24"/>
          <w:szCs w:val="24"/>
          <w:lang w:val="fr-FR"/>
        </w:rPr>
        <w:t xml:space="preserve"> </w:t>
      </w:r>
      <w:r w:rsidR="00A47F9E" w:rsidRPr="002F18BD">
        <w:rPr>
          <w:rFonts w:cs="Arial"/>
          <w:b/>
          <w:sz w:val="24"/>
          <w:szCs w:val="24"/>
          <w:lang w:val="fr-FR"/>
        </w:rPr>
        <w:t>1</w:t>
      </w:r>
    </w:p>
    <w:p w14:paraId="04622011" w14:textId="1385176B" w:rsidR="00A47F9E" w:rsidRPr="002F18BD" w:rsidRDefault="00A47F9E" w:rsidP="00EC673C">
      <w:pPr>
        <w:ind w:left="0" w:firstLine="0"/>
        <w:rPr>
          <w:rFonts w:cs="Arial"/>
          <w:b/>
          <w:sz w:val="24"/>
          <w:szCs w:val="24"/>
          <w:lang w:val="fr-FR"/>
        </w:rPr>
      </w:pPr>
      <w:r w:rsidRPr="002F18BD">
        <w:rPr>
          <w:rFonts w:cs="Arial"/>
          <w:b/>
          <w:sz w:val="24"/>
          <w:szCs w:val="24"/>
          <w:lang w:val="fr-FR"/>
        </w:rPr>
        <w:t>List</w:t>
      </w:r>
      <w:r w:rsidR="00C6033A" w:rsidRPr="002F18BD">
        <w:rPr>
          <w:rFonts w:cs="Arial"/>
          <w:b/>
          <w:sz w:val="24"/>
          <w:szCs w:val="24"/>
          <w:lang w:val="fr-FR"/>
        </w:rPr>
        <w:t>e</w:t>
      </w:r>
      <w:r w:rsidRPr="002F18BD">
        <w:rPr>
          <w:rFonts w:cs="Arial"/>
          <w:b/>
          <w:sz w:val="24"/>
          <w:szCs w:val="24"/>
          <w:lang w:val="fr-FR"/>
        </w:rPr>
        <w:t xml:space="preserve"> </w:t>
      </w:r>
      <w:r w:rsidR="00C6033A" w:rsidRPr="002F18BD">
        <w:rPr>
          <w:rFonts w:cs="Arial"/>
          <w:b/>
          <w:sz w:val="24"/>
          <w:szCs w:val="24"/>
          <w:lang w:val="fr-FR"/>
        </w:rPr>
        <w:t>de</w:t>
      </w:r>
      <w:r w:rsidRPr="002F18BD">
        <w:rPr>
          <w:rFonts w:cs="Arial"/>
          <w:b/>
          <w:sz w:val="24"/>
          <w:szCs w:val="24"/>
          <w:lang w:val="fr-FR"/>
        </w:rPr>
        <w:t xml:space="preserve"> D</w:t>
      </w:r>
      <w:r w:rsidR="00C6033A" w:rsidRPr="002F18BD">
        <w:rPr>
          <w:rFonts w:cs="Arial"/>
          <w:b/>
          <w:sz w:val="24"/>
          <w:szCs w:val="24"/>
          <w:lang w:val="fr-FR"/>
        </w:rPr>
        <w:t>é</w:t>
      </w:r>
      <w:r w:rsidRPr="002F18BD">
        <w:rPr>
          <w:rFonts w:cs="Arial"/>
          <w:b/>
          <w:sz w:val="24"/>
          <w:szCs w:val="24"/>
          <w:lang w:val="fr-FR"/>
        </w:rPr>
        <w:t xml:space="preserve">cisions </w:t>
      </w:r>
      <w:r w:rsidR="00581ABF" w:rsidRPr="002F18BD">
        <w:rPr>
          <w:rFonts w:cs="Arial"/>
          <w:b/>
          <w:sz w:val="24"/>
          <w:szCs w:val="24"/>
          <w:lang w:val="fr-FR"/>
        </w:rPr>
        <w:t>« </w:t>
      </w:r>
      <w:r w:rsidR="00C6033A" w:rsidRPr="002F18BD">
        <w:rPr>
          <w:rFonts w:cs="Arial"/>
          <w:b/>
          <w:sz w:val="24"/>
          <w:szCs w:val="24"/>
          <w:lang w:val="fr-FR"/>
        </w:rPr>
        <w:t>en attente</w:t>
      </w:r>
      <w:r w:rsidR="00581ABF" w:rsidRPr="002F18BD">
        <w:rPr>
          <w:rFonts w:cs="Arial"/>
          <w:b/>
          <w:sz w:val="24"/>
          <w:szCs w:val="24"/>
          <w:lang w:val="fr-FR"/>
        </w:rPr>
        <w:t> »</w:t>
      </w:r>
      <w:r w:rsidR="00C6033A" w:rsidRPr="002F18BD">
        <w:rPr>
          <w:rFonts w:cs="Arial"/>
          <w:b/>
          <w:sz w:val="24"/>
          <w:szCs w:val="24"/>
          <w:lang w:val="fr-FR"/>
        </w:rPr>
        <w:t xml:space="preserve"> du Comité permanent</w:t>
      </w:r>
    </w:p>
    <w:p w14:paraId="47083E9A" w14:textId="22567450" w:rsidR="00A47F9E" w:rsidRPr="002F18BD" w:rsidRDefault="00A47F9E" w:rsidP="00EC673C">
      <w:pPr>
        <w:ind w:left="0" w:firstLine="0"/>
        <w:rPr>
          <w:rFonts w:cs="Arial"/>
          <w:b/>
          <w:sz w:val="24"/>
          <w:szCs w:val="24"/>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88"/>
        <w:gridCol w:w="850"/>
        <w:gridCol w:w="4394"/>
        <w:gridCol w:w="2977"/>
      </w:tblGrid>
      <w:tr w:rsidR="002F18BD" w:rsidRPr="002F18BD" w14:paraId="639F31B7" w14:textId="77777777" w:rsidTr="00F84CD0">
        <w:trPr>
          <w:cantSplit/>
          <w:tblHeader/>
        </w:trPr>
        <w:tc>
          <w:tcPr>
            <w:tcW w:w="988" w:type="dxa"/>
            <w:shd w:val="clear" w:color="auto" w:fill="auto"/>
            <w:hideMark/>
          </w:tcPr>
          <w:p w14:paraId="7314BFEC" w14:textId="3F10F162" w:rsidR="00A47F9E" w:rsidRPr="002F18BD" w:rsidRDefault="00C6033A" w:rsidP="00A47F9E">
            <w:pPr>
              <w:ind w:left="0" w:firstLine="0"/>
              <w:rPr>
                <w:rFonts w:asciiTheme="minorHAnsi" w:eastAsia="Times New Roman" w:hAnsiTheme="minorHAnsi" w:cstheme="minorHAnsi"/>
                <w:b/>
                <w:bCs/>
                <w:sz w:val="20"/>
                <w:szCs w:val="20"/>
                <w:lang w:eastAsia="en-GB"/>
              </w:rPr>
            </w:pPr>
            <w:r w:rsidRPr="002F18BD">
              <w:rPr>
                <w:rFonts w:asciiTheme="minorHAnsi" w:eastAsia="Times New Roman" w:hAnsiTheme="minorHAnsi" w:cstheme="minorHAnsi"/>
                <w:b/>
                <w:bCs/>
                <w:sz w:val="20"/>
                <w:szCs w:val="20"/>
                <w:lang w:eastAsia="en-GB"/>
              </w:rPr>
              <w:t>Réunion</w:t>
            </w:r>
          </w:p>
        </w:tc>
        <w:tc>
          <w:tcPr>
            <w:tcW w:w="850" w:type="dxa"/>
            <w:shd w:val="clear" w:color="auto" w:fill="auto"/>
            <w:hideMark/>
          </w:tcPr>
          <w:p w14:paraId="7E13B7F1" w14:textId="426D5A61" w:rsidR="00A47F9E" w:rsidRPr="002F18BD" w:rsidRDefault="00C6033A" w:rsidP="00A47F9E">
            <w:pPr>
              <w:ind w:left="0" w:firstLine="0"/>
              <w:rPr>
                <w:rFonts w:asciiTheme="minorHAnsi" w:eastAsia="Times New Roman" w:hAnsiTheme="minorHAnsi" w:cstheme="minorHAnsi"/>
                <w:b/>
                <w:bCs/>
                <w:sz w:val="20"/>
                <w:szCs w:val="20"/>
                <w:lang w:eastAsia="en-GB"/>
              </w:rPr>
            </w:pPr>
            <w:proofErr w:type="spellStart"/>
            <w:r w:rsidRPr="002F18BD">
              <w:rPr>
                <w:rFonts w:asciiTheme="minorHAnsi" w:eastAsia="Times New Roman" w:hAnsiTheme="minorHAnsi" w:cstheme="minorHAnsi"/>
                <w:b/>
                <w:bCs/>
                <w:sz w:val="20"/>
                <w:szCs w:val="20"/>
                <w:lang w:eastAsia="en-GB"/>
              </w:rPr>
              <w:t>Année</w:t>
            </w:r>
            <w:proofErr w:type="spellEnd"/>
          </w:p>
        </w:tc>
        <w:tc>
          <w:tcPr>
            <w:tcW w:w="4394" w:type="dxa"/>
          </w:tcPr>
          <w:p w14:paraId="55849874" w14:textId="4C911C79" w:rsidR="00A47F9E" w:rsidRPr="002F18BD" w:rsidRDefault="00A47F9E" w:rsidP="00A47F9E">
            <w:pPr>
              <w:ind w:left="0" w:firstLine="0"/>
              <w:rPr>
                <w:rFonts w:asciiTheme="minorHAnsi" w:eastAsia="Times New Roman" w:hAnsiTheme="minorHAnsi" w:cstheme="minorHAnsi"/>
                <w:b/>
                <w:bCs/>
                <w:sz w:val="20"/>
                <w:szCs w:val="20"/>
                <w:lang w:eastAsia="en-GB"/>
              </w:rPr>
            </w:pPr>
            <w:r w:rsidRPr="002F18BD">
              <w:rPr>
                <w:rFonts w:asciiTheme="minorHAnsi" w:eastAsia="Times New Roman" w:hAnsiTheme="minorHAnsi" w:cstheme="minorHAnsi"/>
                <w:b/>
                <w:bCs/>
                <w:sz w:val="20"/>
                <w:szCs w:val="20"/>
                <w:lang w:eastAsia="en-GB"/>
              </w:rPr>
              <w:t>Tit</w:t>
            </w:r>
            <w:r w:rsidR="00C6033A" w:rsidRPr="002F18BD">
              <w:rPr>
                <w:rFonts w:asciiTheme="minorHAnsi" w:eastAsia="Times New Roman" w:hAnsiTheme="minorHAnsi" w:cstheme="minorHAnsi"/>
                <w:b/>
                <w:bCs/>
                <w:sz w:val="20"/>
                <w:szCs w:val="20"/>
                <w:lang w:eastAsia="en-GB"/>
              </w:rPr>
              <w:t>re</w:t>
            </w:r>
          </w:p>
        </w:tc>
        <w:tc>
          <w:tcPr>
            <w:tcW w:w="2977" w:type="dxa"/>
          </w:tcPr>
          <w:p w14:paraId="5AD97660" w14:textId="44F038FC" w:rsidR="00A47F9E" w:rsidRPr="002F18BD" w:rsidRDefault="00A47F9E" w:rsidP="00A47F9E">
            <w:pPr>
              <w:ind w:left="0" w:firstLine="0"/>
              <w:rPr>
                <w:rFonts w:asciiTheme="minorHAnsi" w:eastAsia="Times New Roman" w:hAnsiTheme="minorHAnsi" w:cstheme="minorHAnsi"/>
                <w:b/>
                <w:bCs/>
                <w:sz w:val="20"/>
                <w:szCs w:val="20"/>
                <w:lang w:eastAsia="en-GB"/>
              </w:rPr>
            </w:pPr>
            <w:proofErr w:type="spellStart"/>
            <w:r w:rsidRPr="002F18BD">
              <w:rPr>
                <w:rFonts w:asciiTheme="minorHAnsi" w:eastAsia="Times New Roman" w:hAnsiTheme="minorHAnsi" w:cstheme="minorHAnsi"/>
                <w:b/>
                <w:bCs/>
                <w:sz w:val="20"/>
                <w:szCs w:val="20"/>
                <w:lang w:eastAsia="en-GB"/>
              </w:rPr>
              <w:t>Comment</w:t>
            </w:r>
            <w:r w:rsidR="00C6033A" w:rsidRPr="002F18BD">
              <w:rPr>
                <w:rFonts w:asciiTheme="minorHAnsi" w:eastAsia="Times New Roman" w:hAnsiTheme="minorHAnsi" w:cstheme="minorHAnsi"/>
                <w:b/>
                <w:bCs/>
                <w:sz w:val="20"/>
                <w:szCs w:val="20"/>
                <w:lang w:eastAsia="en-GB"/>
              </w:rPr>
              <w:t>aire</w:t>
            </w:r>
            <w:proofErr w:type="spellEnd"/>
            <w:r w:rsidRPr="002F18BD">
              <w:rPr>
                <w:rFonts w:asciiTheme="minorHAnsi" w:eastAsia="Times New Roman" w:hAnsiTheme="minorHAnsi" w:cstheme="minorHAnsi"/>
                <w:b/>
                <w:bCs/>
                <w:sz w:val="20"/>
                <w:szCs w:val="20"/>
                <w:lang w:eastAsia="en-GB"/>
              </w:rPr>
              <w:t xml:space="preserve"> / </w:t>
            </w:r>
            <w:proofErr w:type="spellStart"/>
            <w:r w:rsidR="00C6033A" w:rsidRPr="002F18BD">
              <w:rPr>
                <w:rFonts w:asciiTheme="minorHAnsi" w:eastAsia="Times New Roman" w:hAnsiTheme="minorHAnsi" w:cstheme="minorHAnsi"/>
                <w:b/>
                <w:bCs/>
                <w:sz w:val="20"/>
                <w:szCs w:val="20"/>
                <w:lang w:eastAsia="en-GB"/>
              </w:rPr>
              <w:t>Mesure</w:t>
            </w:r>
            <w:proofErr w:type="spellEnd"/>
            <w:r w:rsidR="00C6033A" w:rsidRPr="002F18BD">
              <w:rPr>
                <w:rFonts w:asciiTheme="minorHAnsi" w:eastAsia="Times New Roman" w:hAnsiTheme="minorHAnsi" w:cstheme="minorHAnsi"/>
                <w:b/>
                <w:bCs/>
                <w:sz w:val="20"/>
                <w:szCs w:val="20"/>
                <w:lang w:eastAsia="en-GB"/>
              </w:rPr>
              <w:t xml:space="preserve"> </w:t>
            </w:r>
            <w:proofErr w:type="spellStart"/>
            <w:r w:rsidR="00C6033A" w:rsidRPr="002F18BD">
              <w:rPr>
                <w:rFonts w:asciiTheme="minorHAnsi" w:eastAsia="Times New Roman" w:hAnsiTheme="minorHAnsi" w:cstheme="minorHAnsi"/>
                <w:b/>
                <w:bCs/>
                <w:sz w:val="20"/>
                <w:szCs w:val="20"/>
                <w:lang w:eastAsia="en-GB"/>
              </w:rPr>
              <w:t>proposée</w:t>
            </w:r>
            <w:proofErr w:type="spellEnd"/>
          </w:p>
        </w:tc>
      </w:tr>
      <w:tr w:rsidR="002F18BD" w:rsidRPr="00FF640E" w14:paraId="614A50B3" w14:textId="77777777" w:rsidTr="00F84CD0">
        <w:trPr>
          <w:cantSplit/>
        </w:trPr>
        <w:tc>
          <w:tcPr>
            <w:tcW w:w="988" w:type="dxa"/>
            <w:shd w:val="clear" w:color="auto" w:fill="auto"/>
            <w:hideMark/>
          </w:tcPr>
          <w:p w14:paraId="6D432872"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 xml:space="preserve"> SC62</w:t>
            </w:r>
          </w:p>
        </w:tc>
        <w:tc>
          <w:tcPr>
            <w:tcW w:w="850" w:type="dxa"/>
            <w:shd w:val="clear" w:color="auto" w:fill="auto"/>
            <w:hideMark/>
          </w:tcPr>
          <w:p w14:paraId="44739DFE"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2280E76D" w14:textId="5F1E2E4A" w:rsidR="00A47F9E" w:rsidRPr="002F18BD" w:rsidRDefault="009311A1" w:rsidP="009311A1">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SC62-17 : Le Comité permanent établit un groupe de travail chargé de piloter le processus visant à assurer le renforcement institutionnel pour soutenir l’application de la Convention, y compris par la préparation d’un projet de résolution pour examen par le Comité permanent à sa 63e Réunion.</w:t>
            </w:r>
          </w:p>
        </w:tc>
        <w:tc>
          <w:tcPr>
            <w:tcW w:w="2977" w:type="dxa"/>
          </w:tcPr>
          <w:p w14:paraId="463B0562" w14:textId="3BDCCEAB" w:rsidR="00A47F9E" w:rsidRPr="002F18BD" w:rsidRDefault="00C6033A" w:rsidP="00A47F9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w:t>
            </w:r>
            <w:r w:rsidR="00A47F9E" w:rsidRPr="002F18BD">
              <w:rPr>
                <w:rFonts w:asciiTheme="minorHAnsi" w:eastAsia="Times New Roman" w:hAnsiTheme="minorHAnsi" w:cstheme="minorHAnsi"/>
                <w:sz w:val="20"/>
                <w:szCs w:val="20"/>
                <w:lang w:val="fr-FR" w:eastAsia="en-GB"/>
              </w:rPr>
              <w:t xml:space="preserve">ments </w:t>
            </w:r>
            <w:r w:rsidRPr="002F18BD">
              <w:rPr>
                <w:rFonts w:asciiTheme="minorHAnsi" w:eastAsia="Times New Roman" w:hAnsiTheme="minorHAnsi" w:cstheme="minorHAnsi"/>
                <w:sz w:val="20"/>
                <w:szCs w:val="20"/>
                <w:lang w:val="fr-FR" w:eastAsia="en-GB"/>
              </w:rPr>
              <w:t>de la</w:t>
            </w:r>
            <w:r w:rsidR="00A47F9E" w:rsidRPr="002F18BD">
              <w:rPr>
                <w:rFonts w:asciiTheme="minorHAnsi" w:eastAsia="Times New Roman" w:hAnsiTheme="minorHAnsi" w:cstheme="minorHAnsi"/>
                <w:sz w:val="20"/>
                <w:szCs w:val="20"/>
                <w:lang w:val="fr-FR" w:eastAsia="en-GB"/>
              </w:rPr>
              <w:t xml:space="preserve"> D</w:t>
            </w:r>
            <w:r w:rsidRPr="002F18BD">
              <w:rPr>
                <w:rFonts w:asciiTheme="minorHAnsi" w:eastAsia="Times New Roman" w:hAnsiTheme="minorHAnsi" w:cstheme="minorHAnsi"/>
                <w:sz w:val="20"/>
                <w:szCs w:val="20"/>
                <w:lang w:val="fr-FR" w:eastAsia="en-GB"/>
              </w:rPr>
              <w:t>é</w:t>
            </w:r>
            <w:r w:rsidR="00A47F9E" w:rsidRPr="002F18BD">
              <w:rPr>
                <w:rFonts w:asciiTheme="minorHAnsi" w:eastAsia="Times New Roman" w:hAnsiTheme="minorHAnsi" w:cstheme="minorHAnsi"/>
                <w:sz w:val="20"/>
                <w:szCs w:val="20"/>
                <w:lang w:val="fr-FR" w:eastAsia="en-GB"/>
              </w:rPr>
              <w:t xml:space="preserve">cision </w:t>
            </w:r>
            <w:r w:rsidRPr="002F18BD">
              <w:rPr>
                <w:rFonts w:asciiTheme="minorHAnsi" w:eastAsia="Times New Roman" w:hAnsiTheme="minorHAnsi" w:cstheme="minorHAnsi"/>
                <w:sz w:val="20"/>
                <w:szCs w:val="20"/>
                <w:lang w:val="fr-FR" w:eastAsia="en-GB"/>
              </w:rPr>
              <w:t>sont applicables à toute la durée de la période triennale.</w:t>
            </w:r>
          </w:p>
        </w:tc>
      </w:tr>
      <w:tr w:rsidR="002F18BD" w:rsidRPr="00FF640E" w14:paraId="5DC31BD2" w14:textId="77777777" w:rsidTr="00F84CD0">
        <w:trPr>
          <w:cantSplit/>
        </w:trPr>
        <w:tc>
          <w:tcPr>
            <w:tcW w:w="988" w:type="dxa"/>
            <w:shd w:val="clear" w:color="auto" w:fill="auto"/>
            <w:hideMark/>
          </w:tcPr>
          <w:p w14:paraId="7B06C388"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4D8836CF"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7DAB8D85" w14:textId="51C0CD6D"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SC62-18 : Le Comité permanent donne instruction au Secrétariat de suivre l’approche 1 telle qu’elle est définie dans le document SC62 Doc.12, en utilisant les outils existants pour préparer un plan qui sera présenté à la 63e Réunion du Comité permanent, reconnaissant que la mise en œuvre de ces outils ne devrait pas remplacer les négociations en personne et notant qu’après une phase pilote, d’autres discussions auront lieu afin d’affiner le processus</w:t>
            </w:r>
          </w:p>
        </w:tc>
        <w:tc>
          <w:tcPr>
            <w:tcW w:w="2977" w:type="dxa"/>
          </w:tcPr>
          <w:p w14:paraId="39611DDB" w14:textId="02D78D9E"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F18BD" w:rsidRPr="00FF640E" w14:paraId="45DCA61F" w14:textId="77777777" w:rsidTr="00F84CD0">
        <w:trPr>
          <w:cantSplit/>
        </w:trPr>
        <w:tc>
          <w:tcPr>
            <w:tcW w:w="988" w:type="dxa"/>
            <w:shd w:val="clear" w:color="auto" w:fill="auto"/>
            <w:hideMark/>
          </w:tcPr>
          <w:p w14:paraId="210F2926"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5DAA52D2"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6A382F15" w14:textId="444C5039"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SC62-21 : Le Comité permanent approuve le processus en trois étapes décrit au paragraphe 23 du document SC62 Doc.15, pour le maintien de la liste des Décisions en vigueur du Comité permanent, à condition que les Décisions anciennes exclues de la liste ne deviennent pas caduques mais restent accessibles sur le site Web de la Convention et puissent être intégrées dans la liste si l’on décide qu’elles sont encore valables.</w:t>
            </w:r>
          </w:p>
        </w:tc>
        <w:tc>
          <w:tcPr>
            <w:tcW w:w="2977" w:type="dxa"/>
          </w:tcPr>
          <w:p w14:paraId="08732EF2" w14:textId="0486C605"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F18BD" w:rsidRPr="00FF640E" w14:paraId="693690CE" w14:textId="77777777" w:rsidTr="00F84CD0">
        <w:trPr>
          <w:cantSplit/>
        </w:trPr>
        <w:tc>
          <w:tcPr>
            <w:tcW w:w="988" w:type="dxa"/>
            <w:shd w:val="clear" w:color="auto" w:fill="auto"/>
            <w:hideMark/>
          </w:tcPr>
          <w:p w14:paraId="3CDDD38C"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250964FF"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74745AE2" w14:textId="794AEB60"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SC62-23 : Le Comité permanent prend note du fait qu’un appel à propositions pour de nouvelles Initiatives régionales Ramsar a été lancé, conformément à la Résolution XIV.7, que le délai a été fixé, pour les réponses, au 30 septembre 2023 ; et que le Secrétariat rendra compte des résultats au Comité permanent, à sa 63e Réunion</w:t>
            </w:r>
          </w:p>
        </w:tc>
        <w:tc>
          <w:tcPr>
            <w:tcW w:w="2977" w:type="dxa"/>
          </w:tcPr>
          <w:p w14:paraId="2ECF7E8C" w14:textId="1B85D596"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F18BD" w:rsidRPr="00FF640E" w14:paraId="10BA8AF7" w14:textId="77777777" w:rsidTr="00F84CD0">
        <w:trPr>
          <w:cantSplit/>
        </w:trPr>
        <w:tc>
          <w:tcPr>
            <w:tcW w:w="988" w:type="dxa"/>
            <w:shd w:val="clear" w:color="auto" w:fill="auto"/>
            <w:hideMark/>
          </w:tcPr>
          <w:p w14:paraId="6D5E27C5"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502890D9"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3F49BE68" w14:textId="64C38FDF"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SC62-25 : Le Comité permanent sélectionne « Inventaires », « CESP », « Eau, orientations relatives à l’eau, gestion de l’eau » ainsi que « Évaluation des valeurs et services des zones humides » comme catégories pour lesquelles des projets de regroupement seront préparés pour examen par le Comité permanent à sa 63e Réunion.</w:t>
            </w:r>
          </w:p>
        </w:tc>
        <w:tc>
          <w:tcPr>
            <w:tcW w:w="2977" w:type="dxa"/>
          </w:tcPr>
          <w:p w14:paraId="0B1A7300" w14:textId="5113336A"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F18BD" w:rsidRPr="00FF640E" w14:paraId="3CBE6F5E" w14:textId="77777777" w:rsidTr="00F84CD0">
        <w:trPr>
          <w:cantSplit/>
        </w:trPr>
        <w:tc>
          <w:tcPr>
            <w:tcW w:w="988" w:type="dxa"/>
            <w:shd w:val="clear" w:color="auto" w:fill="auto"/>
            <w:hideMark/>
          </w:tcPr>
          <w:p w14:paraId="5F71CF8A"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2C33C89C"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59A3DC97" w14:textId="1D84C872"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SC62-34 : Le Comité permanent prend note des prochaines étapes de l’aide apportée par le Secrétariat aux Parties contractantes pour achever les inventaires nationaux des zones humides et prend en considération les amendements proposés.</w:t>
            </w:r>
          </w:p>
        </w:tc>
        <w:tc>
          <w:tcPr>
            <w:tcW w:w="2977" w:type="dxa"/>
          </w:tcPr>
          <w:p w14:paraId="7E52777A" w14:textId="36D5B5CB"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F18BD" w:rsidRPr="002F18BD" w14:paraId="43C054E5" w14:textId="77777777" w:rsidTr="00F84CD0">
        <w:trPr>
          <w:cantSplit/>
        </w:trPr>
        <w:tc>
          <w:tcPr>
            <w:tcW w:w="988" w:type="dxa"/>
            <w:shd w:val="clear" w:color="auto" w:fill="auto"/>
            <w:hideMark/>
          </w:tcPr>
          <w:p w14:paraId="70C3404A"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0D863A3E"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71750A9A" w14:textId="6AD8373B" w:rsidR="00A47F9E" w:rsidRPr="002F18BD" w:rsidRDefault="009311A1" w:rsidP="00A47F9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SC62-37 : Le Comité permanent prend note des mesures énumérées aux paragraphes 15, 17, 18 et 19 du document SC62 Doc.8.2 en vue de continuer d’encourager le versement des contributions annuelles par les Parties contractantes</w:t>
            </w:r>
          </w:p>
        </w:tc>
        <w:tc>
          <w:tcPr>
            <w:tcW w:w="2977" w:type="dxa"/>
          </w:tcPr>
          <w:p w14:paraId="3224AAFC" w14:textId="15D9833C" w:rsidR="00A47F9E" w:rsidRPr="002F18BD" w:rsidRDefault="008E09FA" w:rsidP="00A47F9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 xml:space="preserve">Certains éléments de la Décision sont applicables à toute la durée de la période triennale. </w:t>
            </w:r>
            <w:r w:rsidR="00C6033A" w:rsidRPr="002F18BD">
              <w:rPr>
                <w:rFonts w:asciiTheme="minorHAnsi" w:eastAsia="Times New Roman" w:hAnsiTheme="minorHAnsi" w:cstheme="minorHAnsi"/>
                <w:sz w:val="20"/>
                <w:szCs w:val="20"/>
                <w:lang w:val="fr-FR" w:eastAsia="en-GB"/>
              </w:rPr>
              <w:t>Pourrait être intégré</w:t>
            </w:r>
            <w:r w:rsidR="003C7106" w:rsidRPr="002F18BD">
              <w:rPr>
                <w:rFonts w:asciiTheme="minorHAnsi" w:eastAsia="Times New Roman" w:hAnsiTheme="minorHAnsi" w:cstheme="minorHAnsi"/>
                <w:sz w:val="20"/>
                <w:szCs w:val="20"/>
                <w:lang w:val="fr-FR" w:eastAsia="en-GB"/>
              </w:rPr>
              <w:t>e</w:t>
            </w:r>
            <w:r w:rsidR="00C6033A" w:rsidRPr="002F18BD">
              <w:rPr>
                <w:rFonts w:asciiTheme="minorHAnsi" w:eastAsia="Times New Roman" w:hAnsiTheme="minorHAnsi" w:cstheme="minorHAnsi"/>
                <w:sz w:val="20"/>
                <w:szCs w:val="20"/>
                <w:lang w:val="fr-FR" w:eastAsia="en-GB"/>
              </w:rPr>
              <w:t xml:space="preserve"> à un projet de résolution futur</w:t>
            </w:r>
            <w:r w:rsidR="00064DAD" w:rsidRPr="002F18BD">
              <w:rPr>
                <w:rFonts w:asciiTheme="minorHAnsi" w:eastAsia="Times New Roman" w:hAnsiTheme="minorHAnsi" w:cstheme="minorHAnsi"/>
                <w:sz w:val="20"/>
                <w:szCs w:val="20"/>
                <w:lang w:val="fr-FR" w:eastAsia="en-GB"/>
              </w:rPr>
              <w:t xml:space="preserve">. </w:t>
            </w:r>
          </w:p>
        </w:tc>
      </w:tr>
      <w:tr w:rsidR="002F18BD" w:rsidRPr="00FF640E" w14:paraId="3CDE60C1" w14:textId="77777777" w:rsidTr="00F84CD0">
        <w:trPr>
          <w:cantSplit/>
        </w:trPr>
        <w:tc>
          <w:tcPr>
            <w:tcW w:w="988" w:type="dxa"/>
            <w:shd w:val="clear" w:color="auto" w:fill="auto"/>
            <w:hideMark/>
          </w:tcPr>
          <w:p w14:paraId="4485BCBE"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lastRenderedPageBreak/>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59A69FE9"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68519425" w14:textId="219760D9"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SC62-49 : Le Comité permanent demande au Groupe de travail sur la gestion de préparer un document décrivant le processus de recrutement d’un nouveau Secrétaire général, pour examen par le Comité permanent à sa 63e Réunion, notant que la présente Décision remplace la Décision SC59 40.</w:t>
            </w:r>
          </w:p>
        </w:tc>
        <w:tc>
          <w:tcPr>
            <w:tcW w:w="2977" w:type="dxa"/>
          </w:tcPr>
          <w:p w14:paraId="1CAD3BDD" w14:textId="204790F7"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F18BD" w:rsidRPr="00FF640E" w14:paraId="38C8B695" w14:textId="77777777" w:rsidTr="00F84CD0">
        <w:trPr>
          <w:cantSplit/>
        </w:trPr>
        <w:tc>
          <w:tcPr>
            <w:tcW w:w="988" w:type="dxa"/>
            <w:shd w:val="clear" w:color="auto" w:fill="auto"/>
            <w:hideMark/>
          </w:tcPr>
          <w:p w14:paraId="3A32B34A"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4614FC4B"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2E1F9DFE" w14:textId="7FB5C9DC"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SC62-50 : Le Comité permanent demande au Groupe d’évaluation scientifique et technique de débattre de l’application du système actuel de classification des zones humides Ramsar à sa 26e réunion et de faire rapport à la 63e Réunion du Comité permanent avec, si nécessaire, une esquisse d’approche proposée pour un examen technique, en consultation avec les Parties contractantes, les Organisations internationales partenaires et d’autres accords multilatéraux sur l’environnement, et demande au GEST d’examiner le recours à une enquête auprès des Correspondants nationaux du GEST pour rassembler des données d’expérience techniques de différentes régions sur le système de classification.</w:t>
            </w:r>
          </w:p>
        </w:tc>
        <w:tc>
          <w:tcPr>
            <w:tcW w:w="2977" w:type="dxa"/>
          </w:tcPr>
          <w:p w14:paraId="0DFCDD76" w14:textId="2C56F86F"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F18BD" w:rsidRPr="00FF640E" w14:paraId="06B26972" w14:textId="77777777" w:rsidTr="00F84CD0">
        <w:trPr>
          <w:cantSplit/>
        </w:trPr>
        <w:tc>
          <w:tcPr>
            <w:tcW w:w="988" w:type="dxa"/>
            <w:shd w:val="clear" w:color="auto" w:fill="auto"/>
            <w:hideMark/>
          </w:tcPr>
          <w:p w14:paraId="07114D3F"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3DCD1891"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003452BD" w14:textId="72B33364"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SC62-53 : Le Comité permanent donne instruction au Secrétariat de soumettre à la 63e Réunion du Comité permanent un rapport sur les difficultés et possibilités relatives à la soumission et à la mise à jour des Fiches descriptives Ramsar, notamment :</w:t>
            </w:r>
            <w:r w:rsidRPr="002F18BD">
              <w:rPr>
                <w:rFonts w:asciiTheme="minorHAnsi" w:eastAsia="Times New Roman" w:hAnsiTheme="minorHAnsi" w:cstheme="minorHAnsi"/>
                <w:sz w:val="20"/>
                <w:szCs w:val="20"/>
                <w:lang w:val="fr-FR" w:eastAsia="en-GB"/>
              </w:rPr>
              <w:br/>
              <w:t>•Difficultés et options systémiques, liées à la procédure et d’ordre technique ; et</w:t>
            </w:r>
            <w:r w:rsidRPr="002F18BD">
              <w:rPr>
                <w:rFonts w:asciiTheme="minorHAnsi" w:eastAsia="Times New Roman" w:hAnsiTheme="minorHAnsi" w:cstheme="minorHAnsi"/>
                <w:sz w:val="20"/>
                <w:szCs w:val="20"/>
                <w:lang w:val="fr-FR" w:eastAsia="en-GB"/>
              </w:rPr>
              <w:br/>
              <w:t>•Difficultés financières, besoins et possibilités.</w:t>
            </w:r>
            <w:r w:rsidRPr="002F18BD">
              <w:rPr>
                <w:rFonts w:asciiTheme="minorHAnsi" w:eastAsia="Times New Roman" w:hAnsiTheme="minorHAnsi" w:cstheme="minorHAnsi"/>
                <w:sz w:val="20"/>
                <w:szCs w:val="20"/>
                <w:lang w:val="fr-FR" w:eastAsia="en-GB"/>
              </w:rPr>
              <w:br/>
              <w:t>Ce faisant, le Secrétariat obtiendra et rassemblera les données, en consultation avec les Parties contractantes, le GEST et d’autres parties prenantes. Le Secrétariat développera l’approche à adopter pour entreprendre cette tâche, en consultation avec les Parties contractantes, dans le cadre de procédures écrites et d’une ou de plusieurs séance(s) en ligne.</w:t>
            </w:r>
          </w:p>
        </w:tc>
        <w:tc>
          <w:tcPr>
            <w:tcW w:w="2977" w:type="dxa"/>
          </w:tcPr>
          <w:p w14:paraId="7256CAE3" w14:textId="12447824"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F18BD" w:rsidRPr="002F18BD" w14:paraId="368DC7B3" w14:textId="77777777" w:rsidTr="00F84CD0">
        <w:trPr>
          <w:cantSplit/>
        </w:trPr>
        <w:tc>
          <w:tcPr>
            <w:tcW w:w="988" w:type="dxa"/>
            <w:shd w:val="clear" w:color="auto" w:fill="auto"/>
            <w:hideMark/>
          </w:tcPr>
          <w:p w14:paraId="0583E966"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309D9D43"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29A6D774" w14:textId="6690610F"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SC62-54 : Le Comité permanent décide que le Secrétariat ne préparera qu’une seule fois par période triennale le rapport mondial sur l’état des sites inscrits sur la Liste des zones humides d’importance internationale, pour présentation à la COP, et abroge la Décision SC38 28 sur cette question.</w:t>
            </w:r>
          </w:p>
        </w:tc>
        <w:tc>
          <w:tcPr>
            <w:tcW w:w="2977" w:type="dxa"/>
          </w:tcPr>
          <w:p w14:paraId="00A434E4" w14:textId="43E8043A"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Certains éléments de la Décision sont applicables à toute la durée de la période triennale. Pourrait être intégrée à un projet de résolution futur. </w:t>
            </w:r>
          </w:p>
        </w:tc>
      </w:tr>
      <w:tr w:rsidR="002F18BD" w:rsidRPr="00FF640E" w14:paraId="0A39B34A" w14:textId="77777777" w:rsidTr="00F84CD0">
        <w:trPr>
          <w:cantSplit/>
        </w:trPr>
        <w:tc>
          <w:tcPr>
            <w:tcW w:w="988" w:type="dxa"/>
            <w:shd w:val="clear" w:color="auto" w:fill="auto"/>
            <w:hideMark/>
          </w:tcPr>
          <w:p w14:paraId="7832F2B2"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lastRenderedPageBreak/>
              <w:t xml:space="preserve"> SC62</w:t>
            </w:r>
          </w:p>
        </w:tc>
        <w:tc>
          <w:tcPr>
            <w:tcW w:w="850" w:type="dxa"/>
            <w:shd w:val="clear" w:color="auto" w:fill="auto"/>
            <w:hideMark/>
          </w:tcPr>
          <w:p w14:paraId="559585B5" w14:textId="77777777" w:rsidR="008E09FA" w:rsidRPr="002F18BD" w:rsidRDefault="008E09FA" w:rsidP="008E09FA">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64375215" w14:textId="39E10142"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SC62-55 : Le Comité permanent donne instruction au Secrétariat d’envoyer une notification aux Correspondants nationaux pour les inviter à soumettre des propositions de renforcement du processus d’inclusion d’un site sur la Liste des zones humides d’importance internationale, et de préparer un rapport compilant les contributions, accompagné de l’opinion du Conseiller juridique, pour examen à la 63e Réunion du Comité permanent.</w:t>
            </w:r>
          </w:p>
        </w:tc>
        <w:tc>
          <w:tcPr>
            <w:tcW w:w="2977" w:type="dxa"/>
          </w:tcPr>
          <w:p w14:paraId="3954EDF5" w14:textId="0CC24C2C" w:rsidR="008E09FA" w:rsidRPr="002F18BD" w:rsidRDefault="008E09FA" w:rsidP="008E09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F18BD" w:rsidRPr="00FF640E" w14:paraId="189DC030" w14:textId="77777777" w:rsidTr="00F84CD0">
        <w:trPr>
          <w:cantSplit/>
        </w:trPr>
        <w:tc>
          <w:tcPr>
            <w:tcW w:w="988" w:type="dxa"/>
            <w:shd w:val="clear" w:color="auto" w:fill="auto"/>
            <w:hideMark/>
          </w:tcPr>
          <w:p w14:paraId="629FC4D8"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SC59</w:t>
            </w:r>
          </w:p>
        </w:tc>
        <w:tc>
          <w:tcPr>
            <w:tcW w:w="850" w:type="dxa"/>
            <w:shd w:val="clear" w:color="auto" w:fill="auto"/>
            <w:hideMark/>
          </w:tcPr>
          <w:p w14:paraId="264F7DB1"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2021</w:t>
            </w:r>
          </w:p>
        </w:tc>
        <w:tc>
          <w:tcPr>
            <w:tcW w:w="4394" w:type="dxa"/>
          </w:tcPr>
          <w:p w14:paraId="5295C65E" w14:textId="1D8125B0" w:rsidR="00A47F9E" w:rsidRPr="002F18BD" w:rsidRDefault="002A3C25" w:rsidP="002A3C25">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SC59-25 : Le Comité permanent prend note avec inquiétude des difficultés causées par la date de remise des états financiers vérifiés, laquelle a entraîné une communication tardive des documents financiers et empêché le respect de l’article 10 du Règlement intérieur, et de demander à la Secrétaire générale de prendre les mesures nécessaires pour que tous les documents financiers non liés à la vérification des comptes, en particulier ceux qui concernent des demandes de fonds supplémentaires, soient distribués conformément à l’article 10 avant les réunions du Sous-groupe sur les finances, afin de permettre un examen adéquat et approprié de toutes les questions budgétaires.</w:t>
            </w:r>
          </w:p>
        </w:tc>
        <w:tc>
          <w:tcPr>
            <w:tcW w:w="2977" w:type="dxa"/>
          </w:tcPr>
          <w:p w14:paraId="56E7E089" w14:textId="41B16182" w:rsidR="00A47F9E" w:rsidRPr="002F18BD" w:rsidRDefault="005E69D3" w:rsidP="00A47F9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 xml:space="preserve">Application permanente. </w:t>
            </w:r>
            <w:r w:rsidR="00810A6E" w:rsidRPr="002F18BD">
              <w:rPr>
                <w:rFonts w:asciiTheme="minorHAnsi" w:eastAsia="Times New Roman" w:hAnsiTheme="minorHAnsi" w:cstheme="minorHAnsi"/>
                <w:sz w:val="20"/>
                <w:szCs w:val="20"/>
                <w:lang w:val="fr-FR" w:eastAsia="en-GB"/>
              </w:rPr>
              <w:t>Pourrait être intégrée à un projet de résolution futur.</w:t>
            </w:r>
          </w:p>
        </w:tc>
      </w:tr>
      <w:tr w:rsidR="002F18BD" w:rsidRPr="00FF640E" w14:paraId="32977EDB" w14:textId="77777777" w:rsidTr="00F84CD0">
        <w:trPr>
          <w:cantSplit/>
        </w:trPr>
        <w:tc>
          <w:tcPr>
            <w:tcW w:w="988" w:type="dxa"/>
            <w:shd w:val="clear" w:color="auto" w:fill="auto"/>
            <w:hideMark/>
          </w:tcPr>
          <w:p w14:paraId="76E2B1CC"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SC57</w:t>
            </w:r>
          </w:p>
        </w:tc>
        <w:tc>
          <w:tcPr>
            <w:tcW w:w="850" w:type="dxa"/>
            <w:shd w:val="clear" w:color="auto" w:fill="auto"/>
            <w:hideMark/>
          </w:tcPr>
          <w:p w14:paraId="71CBE06F"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2019</w:t>
            </w:r>
          </w:p>
        </w:tc>
        <w:tc>
          <w:tcPr>
            <w:tcW w:w="4394" w:type="dxa"/>
          </w:tcPr>
          <w:p w14:paraId="356DEFF2" w14:textId="31F46FEC" w:rsidR="00A47F9E" w:rsidRPr="002F18BD" w:rsidRDefault="00BA3BD3" w:rsidP="00B020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SC57-38 : Le Comité permanent prend note des progrès réalisés dans la mise en œuvre des recommandations issues de l’Examen de la gestion financière des comptes des fonds non administratifs réalisé par l’UICN, et recommande que le Comité permanent approuve les mesures suivantes :</w:t>
            </w:r>
            <w:r w:rsidR="00A47F9E" w:rsidRPr="002F18BD">
              <w:rPr>
                <w:rFonts w:asciiTheme="minorHAnsi" w:eastAsia="Times New Roman" w:hAnsiTheme="minorHAnsi" w:cstheme="minorHAnsi"/>
                <w:sz w:val="20"/>
                <w:szCs w:val="20"/>
                <w:lang w:val="fr-FR" w:eastAsia="en-GB"/>
              </w:rPr>
              <w:br/>
              <w:t xml:space="preserve">a. </w:t>
            </w:r>
            <w:r w:rsidR="00B020FA" w:rsidRPr="002F18BD">
              <w:rPr>
                <w:rFonts w:asciiTheme="minorHAnsi" w:eastAsia="Times New Roman" w:hAnsiTheme="minorHAnsi" w:cstheme="minorHAnsi"/>
                <w:sz w:val="20"/>
                <w:szCs w:val="20"/>
                <w:lang w:val="fr-FR" w:eastAsia="en-GB"/>
              </w:rPr>
              <w:t>adopter l'utilisation des expressions standard « fonds administratifs » et « non administratifs » pour décrire les fonds Ramsar</w:t>
            </w:r>
            <w:r w:rsidR="00A47F9E" w:rsidRPr="002F18BD">
              <w:rPr>
                <w:rFonts w:asciiTheme="minorHAnsi" w:eastAsia="Times New Roman" w:hAnsiTheme="minorHAnsi" w:cstheme="minorHAnsi"/>
                <w:sz w:val="20"/>
                <w:szCs w:val="20"/>
                <w:lang w:val="fr-FR" w:eastAsia="en-GB"/>
              </w:rPr>
              <w:br/>
              <w:t>b</w:t>
            </w:r>
            <w:r w:rsidR="00B020FA" w:rsidRPr="002F18BD">
              <w:rPr>
                <w:rFonts w:asciiTheme="minorHAnsi" w:eastAsia="Times New Roman" w:hAnsiTheme="minorHAnsi" w:cstheme="minorHAnsi"/>
                <w:sz w:val="20"/>
                <w:szCs w:val="20"/>
                <w:lang w:val="fr-FR" w:eastAsia="en-GB"/>
              </w:rPr>
              <w:t>. accepter de collaborer avec l’auditeur lors de ses réunions annuelles, en examinant la façon la plus rentable de travailler, notamment la participation virtuelle, ou en partageant le rapport de l’auditeur au moins trois mois avant l’ouverture de la session (voire plus tôt), conformément au Règlement intérieur applicable aux documents de conférence ; et</w:t>
            </w:r>
            <w:r w:rsidR="00A47F9E" w:rsidRPr="002F18BD">
              <w:rPr>
                <w:rFonts w:asciiTheme="minorHAnsi" w:eastAsia="Times New Roman" w:hAnsiTheme="minorHAnsi" w:cstheme="minorHAnsi"/>
                <w:sz w:val="20"/>
                <w:szCs w:val="20"/>
                <w:lang w:val="fr-FR" w:eastAsia="en-GB"/>
              </w:rPr>
              <w:br/>
              <w:t>c</w:t>
            </w:r>
            <w:r w:rsidR="00B020FA" w:rsidRPr="002F18BD">
              <w:rPr>
                <w:rFonts w:asciiTheme="minorHAnsi" w:eastAsia="Times New Roman" w:hAnsiTheme="minorHAnsi" w:cstheme="minorHAnsi"/>
                <w:sz w:val="20"/>
                <w:szCs w:val="20"/>
                <w:lang w:val="fr-FR" w:eastAsia="en-GB"/>
              </w:rPr>
              <w:t xml:space="preserve">. demander que le Secrétariat reçoive et communique à l’avance par courriel les questions des membres du Sous-groupe et récupère les réponses données par l’auditeur à temps pour la réunion. </w:t>
            </w:r>
            <w:r w:rsidR="00A47F9E" w:rsidRPr="002F18BD">
              <w:rPr>
                <w:rFonts w:asciiTheme="minorHAnsi" w:eastAsia="Times New Roman" w:hAnsiTheme="minorHAnsi" w:cstheme="minorHAnsi"/>
                <w:sz w:val="20"/>
                <w:szCs w:val="20"/>
                <w:lang w:val="fr-FR" w:eastAsia="en-GB"/>
              </w:rPr>
              <w:t xml:space="preserve"> </w:t>
            </w:r>
          </w:p>
        </w:tc>
        <w:tc>
          <w:tcPr>
            <w:tcW w:w="2977" w:type="dxa"/>
          </w:tcPr>
          <w:p w14:paraId="559AE6DD" w14:textId="299AE372" w:rsidR="00A47F9E" w:rsidRPr="002F18BD" w:rsidRDefault="00C6033A" w:rsidP="00A47F9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Le Sous-</w:t>
            </w:r>
            <w:r w:rsidR="00064DAD" w:rsidRPr="002F18BD">
              <w:rPr>
                <w:rFonts w:asciiTheme="minorHAnsi" w:eastAsia="Times New Roman" w:hAnsiTheme="minorHAnsi" w:cstheme="minorHAnsi"/>
                <w:sz w:val="20"/>
                <w:szCs w:val="20"/>
                <w:lang w:val="fr-FR" w:eastAsia="en-GB"/>
              </w:rPr>
              <w:t>group</w:t>
            </w:r>
            <w:r w:rsidRPr="002F18BD">
              <w:rPr>
                <w:rFonts w:asciiTheme="minorHAnsi" w:eastAsia="Times New Roman" w:hAnsiTheme="minorHAnsi" w:cstheme="minorHAnsi"/>
                <w:sz w:val="20"/>
                <w:szCs w:val="20"/>
                <w:lang w:val="fr-FR" w:eastAsia="en-GB"/>
              </w:rPr>
              <w:t>e sur les finances</w:t>
            </w:r>
            <w:r w:rsidR="00064DAD"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val="fr-FR" w:eastAsia="en-GB"/>
              </w:rPr>
              <w:t>pourrait recomm</w:t>
            </w:r>
            <w:r w:rsidR="003C7106" w:rsidRPr="002F18BD">
              <w:rPr>
                <w:rFonts w:asciiTheme="minorHAnsi" w:eastAsia="Times New Roman" w:hAnsiTheme="minorHAnsi" w:cstheme="minorHAnsi"/>
                <w:sz w:val="20"/>
                <w:szCs w:val="20"/>
                <w:lang w:val="fr-FR" w:eastAsia="en-GB"/>
              </w:rPr>
              <w:t>a</w:t>
            </w:r>
            <w:r w:rsidRPr="002F18BD">
              <w:rPr>
                <w:rFonts w:asciiTheme="minorHAnsi" w:eastAsia="Times New Roman" w:hAnsiTheme="minorHAnsi" w:cstheme="minorHAnsi"/>
                <w:sz w:val="20"/>
                <w:szCs w:val="20"/>
                <w:lang w:val="fr-FR" w:eastAsia="en-GB"/>
              </w:rPr>
              <w:t xml:space="preserve">nder au Comité permanent </w:t>
            </w:r>
            <w:r w:rsidR="003C7106" w:rsidRPr="002F18BD">
              <w:rPr>
                <w:rFonts w:asciiTheme="minorHAnsi" w:eastAsia="Times New Roman" w:hAnsiTheme="minorHAnsi" w:cstheme="minorHAnsi"/>
                <w:sz w:val="20"/>
                <w:szCs w:val="20"/>
                <w:lang w:val="fr-FR" w:eastAsia="en-GB"/>
              </w:rPr>
              <w:t>l’abrogation de cette</w:t>
            </w:r>
            <w:r w:rsidR="00064DAD" w:rsidRPr="002F18BD">
              <w:rPr>
                <w:rFonts w:asciiTheme="minorHAnsi" w:eastAsia="Times New Roman" w:hAnsiTheme="minorHAnsi" w:cstheme="minorHAnsi"/>
                <w:sz w:val="20"/>
                <w:szCs w:val="20"/>
                <w:lang w:val="fr-FR" w:eastAsia="en-GB"/>
              </w:rPr>
              <w:t xml:space="preserve"> </w:t>
            </w:r>
            <w:r w:rsidR="003C7106" w:rsidRPr="002F18BD">
              <w:rPr>
                <w:rFonts w:asciiTheme="minorHAnsi" w:eastAsia="Times New Roman" w:hAnsiTheme="minorHAnsi" w:cstheme="minorHAnsi"/>
                <w:sz w:val="20"/>
                <w:szCs w:val="20"/>
                <w:lang w:val="fr-FR" w:eastAsia="en-GB"/>
              </w:rPr>
              <w:t>Décision</w:t>
            </w:r>
            <w:r w:rsidR="00064DAD" w:rsidRPr="002F18BD">
              <w:rPr>
                <w:rFonts w:asciiTheme="minorHAnsi" w:eastAsia="Times New Roman" w:hAnsiTheme="minorHAnsi" w:cstheme="minorHAnsi"/>
                <w:sz w:val="20"/>
                <w:szCs w:val="20"/>
                <w:lang w:val="fr-FR" w:eastAsia="en-GB"/>
              </w:rPr>
              <w:t xml:space="preserve"> </w:t>
            </w:r>
            <w:r w:rsidR="003C7106" w:rsidRPr="002F18BD">
              <w:rPr>
                <w:rFonts w:asciiTheme="minorHAnsi" w:eastAsia="Times New Roman" w:hAnsiTheme="minorHAnsi" w:cstheme="minorHAnsi"/>
                <w:sz w:val="20"/>
                <w:szCs w:val="20"/>
                <w:lang w:val="fr-FR" w:eastAsia="en-GB"/>
              </w:rPr>
              <w:t>car elle s’applique spécifiquement à la confirmation</w:t>
            </w:r>
            <w:r w:rsidR="00064DAD" w:rsidRPr="002F18BD">
              <w:rPr>
                <w:rFonts w:asciiTheme="minorHAnsi" w:eastAsia="Times New Roman" w:hAnsiTheme="minorHAnsi" w:cstheme="minorHAnsi"/>
                <w:sz w:val="20"/>
                <w:szCs w:val="20"/>
                <w:lang w:val="fr-FR" w:eastAsia="en-GB"/>
              </w:rPr>
              <w:t xml:space="preserve"> </w:t>
            </w:r>
            <w:r w:rsidR="003C7106" w:rsidRPr="002F18BD">
              <w:rPr>
                <w:rFonts w:asciiTheme="minorHAnsi" w:eastAsia="Times New Roman" w:hAnsiTheme="minorHAnsi" w:cstheme="minorHAnsi"/>
                <w:sz w:val="20"/>
                <w:szCs w:val="20"/>
                <w:lang w:val="fr-FR" w:eastAsia="en-GB"/>
              </w:rPr>
              <w:t>par le groupe de contributions dues</w:t>
            </w:r>
            <w:r w:rsidR="00064DAD" w:rsidRPr="002F18BD">
              <w:rPr>
                <w:rFonts w:asciiTheme="minorHAnsi" w:eastAsia="Times New Roman" w:hAnsiTheme="minorHAnsi" w:cstheme="minorHAnsi"/>
                <w:sz w:val="20"/>
                <w:szCs w:val="20"/>
                <w:lang w:val="fr-FR" w:eastAsia="en-GB"/>
              </w:rPr>
              <w:t xml:space="preserve">. </w:t>
            </w:r>
          </w:p>
        </w:tc>
      </w:tr>
      <w:tr w:rsidR="002F18BD" w:rsidRPr="00FF640E" w14:paraId="552346B5" w14:textId="77777777" w:rsidTr="00F84CD0">
        <w:trPr>
          <w:cantSplit/>
        </w:trPr>
        <w:tc>
          <w:tcPr>
            <w:tcW w:w="988" w:type="dxa"/>
            <w:shd w:val="clear" w:color="auto" w:fill="auto"/>
            <w:hideMark/>
          </w:tcPr>
          <w:p w14:paraId="78EA77D7"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SC57</w:t>
            </w:r>
          </w:p>
        </w:tc>
        <w:tc>
          <w:tcPr>
            <w:tcW w:w="850" w:type="dxa"/>
            <w:shd w:val="clear" w:color="auto" w:fill="auto"/>
            <w:hideMark/>
          </w:tcPr>
          <w:p w14:paraId="56045C9A"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2019</w:t>
            </w:r>
          </w:p>
        </w:tc>
        <w:tc>
          <w:tcPr>
            <w:tcW w:w="4394" w:type="dxa"/>
          </w:tcPr>
          <w:p w14:paraId="00617690" w14:textId="4018ECA1" w:rsidR="00810A6E" w:rsidRPr="002F18BD" w:rsidRDefault="00810A6E"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SC57-50 : Conformément aux responsabilités définies dans la Résolution 5.2, Questions financières et budgétaires, annexe 3, paragraphe 8, le Comité permanent décide que les soldes non engagés/non dépensés des lignes budgétaires peuvent être reportés à l'année suivante pendant la période triennale et présentés à la réunion suivante du Sous-groupe sur les finances.</w:t>
            </w:r>
            <w:r w:rsidRPr="002F18BD">
              <w:rPr>
                <w:rFonts w:asciiTheme="minorHAnsi" w:eastAsia="Times New Roman" w:hAnsiTheme="minorHAnsi" w:cstheme="minorHAnsi"/>
                <w:strike/>
                <w:sz w:val="20"/>
                <w:szCs w:val="20"/>
                <w:lang w:val="fr-FR" w:eastAsia="en-GB"/>
              </w:rPr>
              <w:t xml:space="preserve"> </w:t>
            </w:r>
          </w:p>
        </w:tc>
        <w:tc>
          <w:tcPr>
            <w:tcW w:w="2977" w:type="dxa"/>
          </w:tcPr>
          <w:p w14:paraId="360E1408" w14:textId="2A87E543" w:rsidR="00810A6E" w:rsidRPr="002F18BD" w:rsidRDefault="005E69D3"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 xml:space="preserve">Application permanente. </w:t>
            </w:r>
            <w:r w:rsidR="00810A6E" w:rsidRPr="002F18BD">
              <w:rPr>
                <w:rFonts w:asciiTheme="minorHAnsi" w:eastAsia="Times New Roman" w:hAnsiTheme="minorHAnsi" w:cstheme="minorHAnsi"/>
                <w:sz w:val="20"/>
                <w:szCs w:val="20"/>
                <w:lang w:val="fr-FR" w:eastAsia="en-GB"/>
              </w:rPr>
              <w:t>Pourrait être intégrée à un projet de résolution futur.</w:t>
            </w:r>
          </w:p>
        </w:tc>
      </w:tr>
      <w:tr w:rsidR="002F18BD" w:rsidRPr="002F18BD" w14:paraId="28257AA2" w14:textId="77777777" w:rsidTr="00F84CD0">
        <w:trPr>
          <w:cantSplit/>
        </w:trPr>
        <w:tc>
          <w:tcPr>
            <w:tcW w:w="988" w:type="dxa"/>
            <w:shd w:val="clear" w:color="auto" w:fill="auto"/>
            <w:hideMark/>
          </w:tcPr>
          <w:p w14:paraId="34F1B43D"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lastRenderedPageBreak/>
              <w:t xml:space="preserve"> </w:t>
            </w:r>
            <w:r w:rsidRPr="002F18BD">
              <w:rPr>
                <w:rFonts w:asciiTheme="minorHAnsi" w:eastAsia="Times New Roman" w:hAnsiTheme="minorHAnsi" w:cstheme="minorHAnsi"/>
                <w:sz w:val="20"/>
                <w:szCs w:val="20"/>
                <w:lang w:eastAsia="en-GB"/>
              </w:rPr>
              <w:t>SC53</w:t>
            </w:r>
          </w:p>
        </w:tc>
        <w:tc>
          <w:tcPr>
            <w:tcW w:w="850" w:type="dxa"/>
            <w:shd w:val="clear" w:color="auto" w:fill="auto"/>
            <w:hideMark/>
          </w:tcPr>
          <w:p w14:paraId="379C5809"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2017</w:t>
            </w:r>
          </w:p>
        </w:tc>
        <w:tc>
          <w:tcPr>
            <w:tcW w:w="4394" w:type="dxa"/>
          </w:tcPr>
          <w:p w14:paraId="03EA1CE0" w14:textId="13236CF4" w:rsidR="00A47F9E" w:rsidRPr="002F18BD" w:rsidRDefault="00B020FA" w:rsidP="00B020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SC53-22 : Le Comité permanent décide que ses futures réunions continueront d’être tenues à Gland et accueille favorablement l’offre de la Suisse de collaborer avec le Secrétariat pour envisager la possibilité d’une visite dans un Site Ramsar de Suisse lors d’une future réunion, sans faire appel au budget administratif.</w:t>
            </w:r>
          </w:p>
        </w:tc>
        <w:tc>
          <w:tcPr>
            <w:tcW w:w="2977" w:type="dxa"/>
          </w:tcPr>
          <w:p w14:paraId="47627B6A" w14:textId="6B14A1FC" w:rsidR="00A47F9E" w:rsidRPr="002F18BD" w:rsidRDefault="005E69D3"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Application permanente.</w:t>
            </w:r>
          </w:p>
        </w:tc>
      </w:tr>
      <w:tr w:rsidR="002F18BD" w:rsidRPr="00FF640E" w14:paraId="43D10350" w14:textId="77777777" w:rsidTr="00F84CD0">
        <w:trPr>
          <w:cantSplit/>
        </w:trPr>
        <w:tc>
          <w:tcPr>
            <w:tcW w:w="988" w:type="dxa"/>
            <w:shd w:val="clear" w:color="auto" w:fill="auto"/>
            <w:hideMark/>
          </w:tcPr>
          <w:p w14:paraId="40DE6C9F"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 xml:space="preserve"> SC52</w:t>
            </w:r>
          </w:p>
        </w:tc>
        <w:tc>
          <w:tcPr>
            <w:tcW w:w="850" w:type="dxa"/>
            <w:shd w:val="clear" w:color="auto" w:fill="auto"/>
            <w:hideMark/>
          </w:tcPr>
          <w:p w14:paraId="2FF9EC73"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2016</w:t>
            </w:r>
          </w:p>
        </w:tc>
        <w:tc>
          <w:tcPr>
            <w:tcW w:w="4394" w:type="dxa"/>
          </w:tcPr>
          <w:p w14:paraId="21F0C5B4" w14:textId="1134968B" w:rsidR="00A47F9E" w:rsidRPr="002F18BD" w:rsidRDefault="00B020FA" w:rsidP="00B020F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SC52-11 : Le Comité permanent décide que le Groupe de travail sur la gestion doit être prié d’examiner tous les nouveaux mémorandums d’accord ainsi que d’autres accords éventuels entre le Secrétariat Ramsar et d’autres organismes, à la réunion du Groupe qui précède immédiatement la réunion du Comité permanent à laquelle les accords devaient être soumis pour approbation.</w:t>
            </w:r>
          </w:p>
        </w:tc>
        <w:tc>
          <w:tcPr>
            <w:tcW w:w="2977" w:type="dxa"/>
          </w:tcPr>
          <w:p w14:paraId="2CDD60A2" w14:textId="01AC7DCB" w:rsidR="00A47F9E" w:rsidRPr="002F18BD" w:rsidRDefault="003C7106" w:rsidP="00A47F9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w:t>
            </w:r>
            <w:r w:rsidR="00064DAD"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val="fr-FR" w:eastAsia="en-GB"/>
              </w:rPr>
              <w:t>Le Groupe de travail sur la gestion devrait examiner s’il recommande que le Comité permanent abroge cette Décision</w:t>
            </w:r>
            <w:r w:rsidR="00F75393" w:rsidRPr="002F18BD">
              <w:rPr>
                <w:rFonts w:asciiTheme="minorHAnsi" w:eastAsia="Times New Roman" w:hAnsiTheme="minorHAnsi" w:cstheme="minorHAnsi"/>
                <w:sz w:val="20"/>
                <w:szCs w:val="20"/>
                <w:lang w:val="fr-FR" w:eastAsia="en-GB"/>
              </w:rPr>
              <w:t xml:space="preserve">. </w:t>
            </w:r>
          </w:p>
        </w:tc>
      </w:tr>
      <w:tr w:rsidR="002F18BD" w:rsidRPr="00FF640E" w14:paraId="71A79A76" w14:textId="77777777" w:rsidTr="00F84CD0">
        <w:trPr>
          <w:cantSplit/>
        </w:trPr>
        <w:tc>
          <w:tcPr>
            <w:tcW w:w="988" w:type="dxa"/>
            <w:shd w:val="clear" w:color="auto" w:fill="auto"/>
            <w:hideMark/>
          </w:tcPr>
          <w:p w14:paraId="4478F372"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SC43</w:t>
            </w:r>
          </w:p>
        </w:tc>
        <w:tc>
          <w:tcPr>
            <w:tcW w:w="850" w:type="dxa"/>
            <w:shd w:val="clear" w:color="auto" w:fill="auto"/>
            <w:hideMark/>
          </w:tcPr>
          <w:p w14:paraId="6F203F04"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2011</w:t>
            </w:r>
          </w:p>
        </w:tc>
        <w:tc>
          <w:tcPr>
            <w:tcW w:w="4394" w:type="dxa"/>
          </w:tcPr>
          <w:p w14:paraId="431E7E27" w14:textId="296B4BF2" w:rsidR="00810A6E" w:rsidRPr="002F18BD" w:rsidRDefault="00810A6E"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SC43-8 : Afin de simplifier le processus de remplacement, le cas échéant, de membres du Groupe de surveillance des activités de CESP, le Comité permanent décide que si l’un des Correspondants nationaux de la CESP démissionne durant la première moitié de la période triennale pour laquelle ce correspondant a été élu, le Secrétariat doit choisir un remplaçant dans la liste des nominations reçues pour la période triennale sans se soucier du maintien de l’équilibre régional.</w:t>
            </w:r>
          </w:p>
        </w:tc>
        <w:tc>
          <w:tcPr>
            <w:tcW w:w="2977" w:type="dxa"/>
          </w:tcPr>
          <w:p w14:paraId="03DA8832" w14:textId="7170E4F2" w:rsidR="00810A6E" w:rsidRPr="002F18BD" w:rsidRDefault="005E69D3"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 xml:space="preserve">Application permanente. </w:t>
            </w:r>
            <w:r w:rsidR="00810A6E" w:rsidRPr="002F18BD">
              <w:rPr>
                <w:rFonts w:asciiTheme="minorHAnsi" w:eastAsia="Times New Roman" w:hAnsiTheme="minorHAnsi" w:cstheme="minorHAnsi"/>
                <w:sz w:val="20"/>
                <w:szCs w:val="20"/>
                <w:lang w:val="fr-FR" w:eastAsia="en-GB"/>
              </w:rPr>
              <w:t>Pourrait être intégrée à un projet de résolution futur.</w:t>
            </w:r>
          </w:p>
        </w:tc>
      </w:tr>
      <w:tr w:rsidR="002F18BD" w:rsidRPr="00FF640E" w14:paraId="5B82D214" w14:textId="77777777" w:rsidTr="00F84CD0">
        <w:trPr>
          <w:cantSplit/>
        </w:trPr>
        <w:tc>
          <w:tcPr>
            <w:tcW w:w="988" w:type="dxa"/>
            <w:shd w:val="clear" w:color="auto" w:fill="auto"/>
            <w:hideMark/>
          </w:tcPr>
          <w:p w14:paraId="45DD98D4"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SC42</w:t>
            </w:r>
          </w:p>
        </w:tc>
        <w:tc>
          <w:tcPr>
            <w:tcW w:w="850" w:type="dxa"/>
            <w:shd w:val="clear" w:color="auto" w:fill="auto"/>
            <w:hideMark/>
          </w:tcPr>
          <w:p w14:paraId="613CCF83"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2011</w:t>
            </w:r>
          </w:p>
        </w:tc>
        <w:tc>
          <w:tcPr>
            <w:tcW w:w="4394" w:type="dxa"/>
          </w:tcPr>
          <w:p w14:paraId="74F1ADE7" w14:textId="1B8B7BD2" w:rsidR="00810A6E" w:rsidRPr="002F18BD" w:rsidRDefault="00810A6E"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SC42-8 : Le Comité permanent décide que l’élection du nouveau Comité permanent doit avoir lieu assez tôt dans le déroulement de la COP pour donner du temps aux nouveaux membres de mieux comprendre leurs rôles et responsabilités. Le Comité permanent décide que les réunions régionales pré-COP doivent commencer à identifier leurs nouveaux représentants qui seront nommés au Comité permanent par la COP et terminer leur sélection durant les réunions régionales qui précéderont l’inauguration de la COP; lorsque les nouveaux membres du Comité permanent seront élus, ils seront chargés de participer, en qualité d’observateurs, aux réunions du Comité de la Conférence tout au long de la COP, et assumeront leurs fonctions de nouveaux membres du Comité permanent à la clôture de la COP.</w:t>
            </w:r>
          </w:p>
        </w:tc>
        <w:tc>
          <w:tcPr>
            <w:tcW w:w="2977" w:type="dxa"/>
          </w:tcPr>
          <w:p w14:paraId="76A96489" w14:textId="21D7FD05" w:rsidR="00810A6E" w:rsidRPr="002F18BD" w:rsidRDefault="005E69D3"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w:t>
            </w:r>
            <w:r w:rsidR="00810A6E" w:rsidRPr="002F18BD">
              <w:rPr>
                <w:rFonts w:asciiTheme="minorHAnsi" w:eastAsia="Times New Roman" w:hAnsiTheme="minorHAnsi" w:cstheme="minorHAnsi"/>
                <w:sz w:val="20"/>
                <w:szCs w:val="20"/>
                <w:lang w:val="fr-FR" w:eastAsia="en-GB"/>
              </w:rPr>
              <w:t xml:space="preserve"> Pourrait être intégrée à un projet de résolution futur.</w:t>
            </w:r>
          </w:p>
        </w:tc>
      </w:tr>
      <w:tr w:rsidR="002F18BD" w:rsidRPr="002F18BD" w14:paraId="1D33AE1E" w14:textId="77777777" w:rsidTr="00F84CD0">
        <w:trPr>
          <w:cantSplit/>
        </w:trPr>
        <w:tc>
          <w:tcPr>
            <w:tcW w:w="988" w:type="dxa"/>
            <w:shd w:val="clear" w:color="auto" w:fill="auto"/>
            <w:hideMark/>
          </w:tcPr>
          <w:p w14:paraId="44C24246"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SC42</w:t>
            </w:r>
          </w:p>
        </w:tc>
        <w:tc>
          <w:tcPr>
            <w:tcW w:w="850" w:type="dxa"/>
            <w:shd w:val="clear" w:color="auto" w:fill="auto"/>
            <w:hideMark/>
          </w:tcPr>
          <w:p w14:paraId="6B755EAE"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2011</w:t>
            </w:r>
          </w:p>
        </w:tc>
        <w:tc>
          <w:tcPr>
            <w:tcW w:w="4394" w:type="dxa"/>
          </w:tcPr>
          <w:p w14:paraId="10BE1E98" w14:textId="6A8A635E" w:rsidR="00A47F9E" w:rsidRPr="002F18BD" w:rsidRDefault="00742C91" w:rsidP="00742C91">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SC42-32 : Le Comité permanent demande au Secrétariat de poursuivre les discussions avec la Suisse sur les possibilités futures concernant son statut d’observateur permanent et de continuer de rechercher un avis juridique pour l’interprétation du Règlement intérieur concernant les pratiques du Comité permanent</w:t>
            </w:r>
          </w:p>
        </w:tc>
        <w:tc>
          <w:tcPr>
            <w:tcW w:w="2977" w:type="dxa"/>
          </w:tcPr>
          <w:p w14:paraId="68A8578D" w14:textId="224BEC0C" w:rsidR="00A47F9E" w:rsidRPr="002F18BD" w:rsidRDefault="005E69D3"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Application permanente</w:t>
            </w:r>
            <w:r w:rsidR="00F75393" w:rsidRPr="002F18BD">
              <w:rPr>
                <w:rFonts w:asciiTheme="minorHAnsi" w:eastAsia="Times New Roman" w:hAnsiTheme="minorHAnsi" w:cstheme="minorHAnsi"/>
                <w:sz w:val="20"/>
                <w:szCs w:val="20"/>
                <w:lang w:eastAsia="en-GB"/>
              </w:rPr>
              <w:t xml:space="preserve">. </w:t>
            </w:r>
          </w:p>
        </w:tc>
      </w:tr>
      <w:tr w:rsidR="002F18BD" w:rsidRPr="00FF640E" w14:paraId="6D660C42" w14:textId="77777777" w:rsidTr="00F84CD0">
        <w:trPr>
          <w:cantSplit/>
        </w:trPr>
        <w:tc>
          <w:tcPr>
            <w:tcW w:w="988" w:type="dxa"/>
            <w:shd w:val="clear" w:color="auto" w:fill="auto"/>
            <w:hideMark/>
          </w:tcPr>
          <w:p w14:paraId="7B1EA163"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lastRenderedPageBreak/>
              <w:t xml:space="preserve"> SC40</w:t>
            </w:r>
          </w:p>
        </w:tc>
        <w:tc>
          <w:tcPr>
            <w:tcW w:w="850" w:type="dxa"/>
            <w:shd w:val="clear" w:color="auto" w:fill="auto"/>
            <w:hideMark/>
          </w:tcPr>
          <w:p w14:paraId="61224108" w14:textId="77777777" w:rsidR="00A47F9E" w:rsidRPr="002F18BD" w:rsidRDefault="00A47F9E" w:rsidP="00A47F9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2009</w:t>
            </w:r>
          </w:p>
        </w:tc>
        <w:tc>
          <w:tcPr>
            <w:tcW w:w="4394" w:type="dxa"/>
          </w:tcPr>
          <w:p w14:paraId="7A25C9A9" w14:textId="73246A66" w:rsidR="00A47F9E" w:rsidRPr="002F18BD" w:rsidRDefault="00742C91" w:rsidP="00742C91">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SC40-4 : le Comité permanent décide qu’en principe, il convient de maintenir la continuité (anciens présidents, etc.) dans tous les sous-groupes du Comité permanent et, en particulier, dans les sous-groupes sur les finances et sur la COP. Il convient d’associer au Comité de surveillance du GEST, l’ancien Président du Comité permanent et au Groupe de surveillance des activités de CESP, l’ancien Vice-président du Comité permanent, de manière à maintenir cette continuité. Cependant, comme une décision de la COP sera nécessaire pour introduire officiellement ces modifications dans les deux groupes, il serait utile d’introduire ce changement dans le cycle actuel sous forme de rôles « de droit », à condition qu’il n’y ait pas de conséquences financières supplémentaires.</w:t>
            </w:r>
          </w:p>
        </w:tc>
        <w:tc>
          <w:tcPr>
            <w:tcW w:w="2977" w:type="dxa"/>
          </w:tcPr>
          <w:p w14:paraId="16B65EF8" w14:textId="2B712CF3" w:rsidR="00A47F9E" w:rsidRPr="002F18BD" w:rsidRDefault="003C7106" w:rsidP="00A47F9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Pourrait être intégrée à un projet de résolution futur si le Comité permanent le demande</w:t>
            </w:r>
            <w:r w:rsidR="00F75393" w:rsidRPr="002F18BD">
              <w:rPr>
                <w:rFonts w:asciiTheme="minorHAnsi" w:eastAsia="Times New Roman" w:hAnsiTheme="minorHAnsi" w:cstheme="minorHAnsi"/>
                <w:sz w:val="20"/>
                <w:szCs w:val="20"/>
                <w:lang w:val="fr-FR" w:eastAsia="en-GB"/>
              </w:rPr>
              <w:t xml:space="preserve">. </w:t>
            </w:r>
          </w:p>
        </w:tc>
      </w:tr>
      <w:tr w:rsidR="002F18BD" w:rsidRPr="00FF640E" w14:paraId="5D68AAC3" w14:textId="77777777" w:rsidTr="00F84CD0">
        <w:trPr>
          <w:cantSplit/>
        </w:trPr>
        <w:tc>
          <w:tcPr>
            <w:tcW w:w="988" w:type="dxa"/>
            <w:shd w:val="clear" w:color="auto" w:fill="auto"/>
            <w:hideMark/>
          </w:tcPr>
          <w:p w14:paraId="4684D21A"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SC34</w:t>
            </w:r>
          </w:p>
        </w:tc>
        <w:tc>
          <w:tcPr>
            <w:tcW w:w="850" w:type="dxa"/>
            <w:shd w:val="clear" w:color="auto" w:fill="auto"/>
            <w:hideMark/>
          </w:tcPr>
          <w:p w14:paraId="707D126C"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2006</w:t>
            </w:r>
          </w:p>
        </w:tc>
        <w:tc>
          <w:tcPr>
            <w:tcW w:w="4394" w:type="dxa"/>
          </w:tcPr>
          <w:p w14:paraId="0938B76B" w14:textId="4A8886FA" w:rsidR="00810A6E" w:rsidRPr="002F18BD" w:rsidRDefault="00810A6E"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SC34-2 : Le Comité permanent prend note du Rapport de la réunion des OIP et du Secrétariat, organisée en février 2006, et prie le Secrétariat et les OIP de donner un caractère régulier à ces réunions qui devraient avoir lieu sur une base annuelle. Le Comité permanent prie les OIP d'établir des contacts directs avec les Correspondants nationaux des Parties et de collaborer lorsqu'il y a plus d'une OIP établie dans une Partie donnée ; il encourage en outre les Parties à accueillir des responsables locaux des OIP dans leurs Comités nationaux Ramsar/pour les zones humides. Le Comité permanent prie aussi instamment les membres du Comité permanent d'expliquer le rôle des OIP auprès de</w:t>
            </w:r>
            <w:r w:rsidR="00A81A51">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val="fr-FR" w:eastAsia="en-GB"/>
              </w:rPr>
              <w:t>Ramsar à d'autres fonctionnaires de leurs gouvernements respectifs. Le Comité permanent prie les OIP d'aider les Parties, le cas échéant, à appliquer le Plan de travail conjoint Ramsar/CDB, et invite les OIP à faire régulièrement rapport au Comité permanent sur leurs activités à ce propos.</w:t>
            </w:r>
          </w:p>
        </w:tc>
        <w:tc>
          <w:tcPr>
            <w:tcW w:w="2977" w:type="dxa"/>
          </w:tcPr>
          <w:p w14:paraId="5FE132D9" w14:textId="25421745" w:rsidR="00810A6E" w:rsidRPr="002F18BD" w:rsidRDefault="005E69D3"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w:t>
            </w:r>
            <w:r w:rsidR="00810A6E" w:rsidRPr="002F18BD">
              <w:rPr>
                <w:rFonts w:asciiTheme="minorHAnsi" w:eastAsia="Times New Roman" w:hAnsiTheme="minorHAnsi" w:cstheme="minorHAnsi"/>
                <w:sz w:val="20"/>
                <w:szCs w:val="20"/>
                <w:lang w:val="fr-FR" w:eastAsia="en-GB"/>
              </w:rPr>
              <w:t xml:space="preserve"> Pourrait être intégrée à un projet de résolution futur.</w:t>
            </w:r>
          </w:p>
        </w:tc>
      </w:tr>
      <w:tr w:rsidR="002F18BD" w:rsidRPr="00FF640E" w14:paraId="5A29B6AB" w14:textId="77777777" w:rsidTr="00F84CD0">
        <w:trPr>
          <w:cantSplit/>
        </w:trPr>
        <w:tc>
          <w:tcPr>
            <w:tcW w:w="988" w:type="dxa"/>
            <w:shd w:val="clear" w:color="auto" w:fill="auto"/>
            <w:hideMark/>
          </w:tcPr>
          <w:p w14:paraId="136BE551"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SC30</w:t>
            </w:r>
          </w:p>
        </w:tc>
        <w:tc>
          <w:tcPr>
            <w:tcW w:w="850" w:type="dxa"/>
            <w:shd w:val="clear" w:color="auto" w:fill="auto"/>
            <w:hideMark/>
          </w:tcPr>
          <w:p w14:paraId="2D490C2D"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2004</w:t>
            </w:r>
          </w:p>
        </w:tc>
        <w:tc>
          <w:tcPr>
            <w:tcW w:w="4394" w:type="dxa"/>
          </w:tcPr>
          <w:p w14:paraId="6664D337" w14:textId="144D5111" w:rsidR="00810A6E" w:rsidRPr="002F18BD" w:rsidRDefault="00810A6E"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SC30-9</w:t>
            </w:r>
            <w:r w:rsidR="00A81A51">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val="fr-FR" w:eastAsia="en-GB"/>
              </w:rPr>
              <w:t>: le Comité permanent reconnaît l’importance des réunions à moyen terme de groupes régionaux de Parties et de pays qui préparent leur adhésion et adopte, comme objectif, l’organisation d’au moins une réunion intersessions de chaque groupe régional durant chaque période triennale. Le Comité permanent recommande de placer les réunions proposées sous la responsabilité d’un pays ou de plusieurs pays du groupe régional concerné, en collaboration avec le Bureau et de veiller à maintenir une certaine souplesse dans les buts et les questions à discuter durant la réunion afin de pouvoir traiter les questions et besoins prioritaires des pays concernés. Il serait bon de prendre appui sur d’autres réunions pertinentes qui ont lieu dans la région concernée. Le Bureau fournira des avis aux pays organisateurs et participera aux réunions, le cas échéant.</w:t>
            </w:r>
          </w:p>
        </w:tc>
        <w:tc>
          <w:tcPr>
            <w:tcW w:w="2977" w:type="dxa"/>
          </w:tcPr>
          <w:p w14:paraId="4507E003" w14:textId="2C190FEE" w:rsidR="00810A6E" w:rsidRPr="002F18BD" w:rsidRDefault="005E69D3"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w:t>
            </w:r>
            <w:r w:rsidR="00810A6E" w:rsidRPr="002F18BD">
              <w:rPr>
                <w:rFonts w:asciiTheme="minorHAnsi" w:eastAsia="Times New Roman" w:hAnsiTheme="minorHAnsi" w:cstheme="minorHAnsi"/>
                <w:sz w:val="20"/>
                <w:szCs w:val="20"/>
                <w:lang w:val="fr-FR" w:eastAsia="en-GB"/>
              </w:rPr>
              <w:t xml:space="preserve"> Pourrait être intégrée à un projet de résolution futur.</w:t>
            </w:r>
          </w:p>
        </w:tc>
      </w:tr>
      <w:tr w:rsidR="002F18BD" w:rsidRPr="00FF640E" w14:paraId="2CA1CF2E" w14:textId="77777777" w:rsidTr="00F84CD0">
        <w:trPr>
          <w:cantSplit/>
        </w:trPr>
        <w:tc>
          <w:tcPr>
            <w:tcW w:w="988" w:type="dxa"/>
            <w:shd w:val="clear" w:color="auto" w:fill="auto"/>
            <w:hideMark/>
          </w:tcPr>
          <w:p w14:paraId="0D51A753"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lastRenderedPageBreak/>
              <w:t xml:space="preserve"> </w:t>
            </w:r>
            <w:r w:rsidRPr="002F18BD">
              <w:rPr>
                <w:rFonts w:asciiTheme="minorHAnsi" w:eastAsia="Times New Roman" w:hAnsiTheme="minorHAnsi" w:cstheme="minorHAnsi"/>
                <w:sz w:val="20"/>
                <w:szCs w:val="20"/>
                <w:lang w:eastAsia="en-GB"/>
              </w:rPr>
              <w:t>SC26</w:t>
            </w:r>
          </w:p>
        </w:tc>
        <w:tc>
          <w:tcPr>
            <w:tcW w:w="850" w:type="dxa"/>
            <w:shd w:val="clear" w:color="auto" w:fill="auto"/>
            <w:hideMark/>
          </w:tcPr>
          <w:p w14:paraId="108CCF88"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2001</w:t>
            </w:r>
          </w:p>
        </w:tc>
        <w:tc>
          <w:tcPr>
            <w:tcW w:w="4394" w:type="dxa"/>
          </w:tcPr>
          <w:p w14:paraId="0502469D" w14:textId="6AF3DD16" w:rsidR="00810A6E" w:rsidRPr="002F18BD" w:rsidRDefault="00810A6E"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SC26-40: le Comité permanent décide que, sauf décision contraire prise dans des résolutions de la Conférence des Parties contractantes, l’attribution de fonds par le Bureau pour permettre à des délégués d’assister aux réunions de Ramsar se fera comme suit :</w:t>
            </w:r>
            <w:r w:rsidRPr="002F18BD">
              <w:rPr>
                <w:rFonts w:asciiTheme="minorHAnsi" w:eastAsia="Times New Roman" w:hAnsiTheme="minorHAnsi" w:cstheme="minorHAnsi"/>
                <w:sz w:val="20"/>
                <w:szCs w:val="20"/>
                <w:lang w:val="fr-FR" w:eastAsia="en-GB"/>
              </w:rPr>
              <w:br/>
              <w:t>a) les fonds doivent aller en priorité à un délégué de chaque Partie contractante Ramsar figurant sur la liste des Nations Unies des pays les moins développés (PMD) ;</w:t>
            </w:r>
            <w:r w:rsidRPr="002F18BD">
              <w:rPr>
                <w:rFonts w:asciiTheme="minorHAnsi" w:eastAsia="Times New Roman" w:hAnsiTheme="minorHAnsi" w:cstheme="minorHAnsi"/>
                <w:sz w:val="20"/>
                <w:szCs w:val="20"/>
                <w:lang w:val="fr-FR" w:eastAsia="en-GB"/>
              </w:rPr>
              <w:br/>
              <w:t xml:space="preserve">b) les fonds supplémentaires seront attribués à un délégué de Parties contractantes qui sont des pays en développement et des pays en transition économique ; </w:t>
            </w:r>
            <w:r w:rsidRPr="002F18BD">
              <w:rPr>
                <w:rFonts w:asciiTheme="minorHAnsi" w:eastAsia="Times New Roman" w:hAnsiTheme="minorHAnsi" w:cstheme="minorHAnsi"/>
                <w:sz w:val="20"/>
                <w:szCs w:val="20"/>
                <w:lang w:val="fr-FR" w:eastAsia="en-GB"/>
              </w:rPr>
              <w:br/>
              <w:t>c) si des fonds sont encore disponibles, ils seront attribués à deuxième délégué des PMD</w:t>
            </w:r>
            <w:r w:rsidRPr="002F18BD">
              <w:rPr>
                <w:rFonts w:asciiTheme="minorHAnsi" w:eastAsia="Times New Roman" w:hAnsiTheme="minorHAnsi" w:cstheme="minorHAnsi"/>
                <w:sz w:val="20"/>
                <w:szCs w:val="20"/>
                <w:lang w:val="fr-FR" w:eastAsia="en-GB"/>
              </w:rPr>
              <w:br/>
              <w:t>d) si des fonds sont encore disponibles, ils seront attribués à un deuxième délégué de pays en développement et de pays en transition économique.</w:t>
            </w:r>
          </w:p>
        </w:tc>
        <w:tc>
          <w:tcPr>
            <w:tcW w:w="2977" w:type="dxa"/>
          </w:tcPr>
          <w:p w14:paraId="435B9CF9" w14:textId="68C74CB0" w:rsidR="00810A6E" w:rsidRPr="002F18BD" w:rsidRDefault="005E69D3"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w:t>
            </w:r>
            <w:r w:rsidR="00810A6E" w:rsidRPr="002F18BD">
              <w:rPr>
                <w:rFonts w:asciiTheme="minorHAnsi" w:eastAsia="Times New Roman" w:hAnsiTheme="minorHAnsi" w:cstheme="minorHAnsi"/>
                <w:sz w:val="20"/>
                <w:szCs w:val="20"/>
                <w:lang w:val="fr-FR" w:eastAsia="en-GB"/>
              </w:rPr>
              <w:t xml:space="preserve"> Pourrait être intégrée à un projet de résolution futur.</w:t>
            </w:r>
          </w:p>
        </w:tc>
      </w:tr>
      <w:tr w:rsidR="002F18BD" w:rsidRPr="00FF640E" w14:paraId="1E445541" w14:textId="77777777" w:rsidTr="00F84CD0">
        <w:trPr>
          <w:cantSplit/>
        </w:trPr>
        <w:tc>
          <w:tcPr>
            <w:tcW w:w="988" w:type="dxa"/>
            <w:shd w:val="clear" w:color="auto" w:fill="auto"/>
            <w:hideMark/>
          </w:tcPr>
          <w:p w14:paraId="5695DF91"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SC25</w:t>
            </w:r>
          </w:p>
        </w:tc>
        <w:tc>
          <w:tcPr>
            <w:tcW w:w="850" w:type="dxa"/>
            <w:shd w:val="clear" w:color="auto" w:fill="auto"/>
            <w:hideMark/>
          </w:tcPr>
          <w:p w14:paraId="4EAE9EEF" w14:textId="77777777" w:rsidR="00810A6E" w:rsidRPr="002F18BD" w:rsidRDefault="00810A6E" w:rsidP="00810A6E">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2000</w:t>
            </w:r>
          </w:p>
        </w:tc>
        <w:tc>
          <w:tcPr>
            <w:tcW w:w="4394" w:type="dxa"/>
          </w:tcPr>
          <w:p w14:paraId="1C1407D3" w14:textId="3B1F1BDC" w:rsidR="00810A6E" w:rsidRPr="002F18BD" w:rsidRDefault="00810A6E"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SC25-28: Le Comité permanent décide que :</w:t>
            </w:r>
            <w:r w:rsidRPr="002F18BD">
              <w:rPr>
                <w:rFonts w:asciiTheme="minorHAnsi" w:eastAsia="Times New Roman" w:hAnsiTheme="minorHAnsi" w:cstheme="minorHAnsi"/>
                <w:sz w:val="20"/>
                <w:szCs w:val="20"/>
                <w:lang w:val="fr-FR" w:eastAsia="en-GB"/>
              </w:rPr>
              <w:br/>
              <w:t>a) la Liste des bénéficiaires de l’aide établie par le CAD/OCDE continuera d’être utilisée, mutatis mutandis, pour les Parties contractantes à la Convention de Ramsar et d’autres pays pouvant prétendre à l’adhésion, pour déterminer l’admissibilité au FPS établie dans la Résolution VI.6 ;</w:t>
            </w:r>
            <w:r w:rsidRPr="002F18BD">
              <w:rPr>
                <w:rFonts w:asciiTheme="minorHAnsi" w:eastAsia="Times New Roman" w:hAnsiTheme="minorHAnsi" w:cstheme="minorHAnsi"/>
                <w:sz w:val="20"/>
                <w:szCs w:val="20"/>
                <w:lang w:val="fr-FR" w:eastAsia="en-GB"/>
              </w:rPr>
              <w:br/>
              <w:t>b) le Bureau, lorsqu’il attribuera une aide pour participer à des réunions de Ramsar utilisera la Liste CAD/OCDE dans l’ordre de priorité suivant :</w:t>
            </w:r>
            <w:r w:rsidRPr="002F18BD">
              <w:rPr>
                <w:rFonts w:asciiTheme="minorHAnsi" w:eastAsia="Times New Roman" w:hAnsiTheme="minorHAnsi" w:cstheme="minorHAnsi"/>
                <w:sz w:val="20"/>
                <w:szCs w:val="20"/>
                <w:lang w:val="fr-FR" w:eastAsia="en-GB"/>
              </w:rPr>
              <w:br/>
              <w:t>i) Parties contractantes de la partie I de la Liste ;</w:t>
            </w:r>
            <w:r w:rsidRPr="002F18BD">
              <w:rPr>
                <w:rFonts w:asciiTheme="minorHAnsi" w:eastAsia="Times New Roman" w:hAnsiTheme="minorHAnsi" w:cstheme="minorHAnsi"/>
                <w:sz w:val="20"/>
                <w:szCs w:val="20"/>
                <w:lang w:val="fr-FR" w:eastAsia="en-GB"/>
              </w:rPr>
              <w:br/>
              <w:t>ii) Parties contractantes de la partie II de la Liste: pays d’Europe centrale et orientale et nouveaux États indépendants de l’ex-Union soviétique ;</w:t>
            </w:r>
            <w:r w:rsidRPr="002F18BD">
              <w:rPr>
                <w:rFonts w:asciiTheme="minorHAnsi" w:eastAsia="Times New Roman" w:hAnsiTheme="minorHAnsi" w:cstheme="minorHAnsi"/>
                <w:sz w:val="20"/>
                <w:szCs w:val="20"/>
                <w:lang w:val="fr-FR" w:eastAsia="en-GB"/>
              </w:rPr>
              <w:br/>
              <w:t>iii) Parties contractantes de la partie II de la Liste: pays et territoires en développement les plus avancés ;</w:t>
            </w:r>
            <w:r w:rsidRPr="002F18BD">
              <w:rPr>
                <w:rFonts w:asciiTheme="minorHAnsi" w:eastAsia="Times New Roman" w:hAnsiTheme="minorHAnsi" w:cstheme="minorHAnsi"/>
                <w:sz w:val="20"/>
                <w:szCs w:val="20"/>
                <w:lang w:val="fr-FR" w:eastAsia="en-GB"/>
              </w:rPr>
              <w:br/>
              <w:t xml:space="preserve">c) le Bureau préparera un rapport sur les règlements et la pratique en la matière appliqués par d’autres conventions relatives à l’environnement pour examen à la prochaine réunion du Comité permanent et communication possible, avec recommandation, à la COP8. </w:t>
            </w:r>
          </w:p>
        </w:tc>
        <w:tc>
          <w:tcPr>
            <w:tcW w:w="2977" w:type="dxa"/>
          </w:tcPr>
          <w:p w14:paraId="477CEAB1" w14:textId="67B8F67A" w:rsidR="00810A6E" w:rsidRPr="002F18BD" w:rsidRDefault="005E69D3" w:rsidP="00810A6E">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 xml:space="preserve">Application permanente. </w:t>
            </w:r>
            <w:r w:rsidR="00810A6E" w:rsidRPr="002F18BD">
              <w:rPr>
                <w:rFonts w:asciiTheme="minorHAnsi" w:eastAsia="Times New Roman" w:hAnsiTheme="minorHAnsi" w:cstheme="minorHAnsi"/>
                <w:sz w:val="20"/>
                <w:szCs w:val="20"/>
                <w:lang w:val="fr-FR" w:eastAsia="en-GB"/>
              </w:rPr>
              <w:t>Pourrait être intégrée à un projet de résolution futur.</w:t>
            </w:r>
          </w:p>
        </w:tc>
      </w:tr>
    </w:tbl>
    <w:p w14:paraId="69B8D6C9" w14:textId="77777777" w:rsidR="00A47F9E" w:rsidRPr="002F18BD" w:rsidRDefault="00A47F9E" w:rsidP="00EC673C">
      <w:pPr>
        <w:ind w:left="0" w:firstLine="0"/>
        <w:rPr>
          <w:rFonts w:cs="Arial"/>
          <w:b/>
          <w:sz w:val="24"/>
          <w:szCs w:val="24"/>
          <w:lang w:val="fr-FR"/>
        </w:rPr>
      </w:pPr>
    </w:p>
    <w:p w14:paraId="42DEA47E" w14:textId="72594665" w:rsidR="00A47F9E" w:rsidRPr="002F18BD" w:rsidRDefault="00A47F9E" w:rsidP="00EC673C">
      <w:pPr>
        <w:ind w:left="0" w:firstLine="0"/>
        <w:rPr>
          <w:rFonts w:cs="Arial"/>
          <w:b/>
          <w:sz w:val="24"/>
          <w:szCs w:val="24"/>
          <w:lang w:val="fr-FR"/>
        </w:rPr>
      </w:pPr>
    </w:p>
    <w:p w14:paraId="65EE7B9D" w14:textId="77777777" w:rsidR="00A47F9E" w:rsidRPr="002F18BD" w:rsidRDefault="00A47F9E" w:rsidP="00EC673C">
      <w:pPr>
        <w:ind w:left="0" w:firstLine="0"/>
        <w:rPr>
          <w:rFonts w:cs="Arial"/>
          <w:b/>
          <w:sz w:val="24"/>
          <w:szCs w:val="24"/>
          <w:lang w:val="fr-FR"/>
        </w:rPr>
      </w:pPr>
    </w:p>
    <w:sectPr w:rsidR="00A47F9E" w:rsidRPr="002F18BD" w:rsidSect="002137E0">
      <w:headerReference w:type="even" r:id="rId12"/>
      <w:headerReference w:type="default" r:id="rId13"/>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3CB11" w14:textId="77777777" w:rsidR="0046072E" w:rsidRDefault="0046072E" w:rsidP="00DF2386">
      <w:r>
        <w:separator/>
      </w:r>
    </w:p>
  </w:endnote>
  <w:endnote w:type="continuationSeparator" w:id="0">
    <w:p w14:paraId="71A02DEA" w14:textId="77777777" w:rsidR="0046072E" w:rsidRDefault="0046072E" w:rsidP="00DF2386">
      <w:r>
        <w:continuationSeparator/>
      </w:r>
    </w:p>
  </w:endnote>
  <w:endnote w:type="continuationNotice" w:id="1">
    <w:p w14:paraId="254A769D" w14:textId="77777777" w:rsidR="0046072E" w:rsidRDefault="00460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4DC5" w14:textId="77777777" w:rsidR="00F73E71" w:rsidRDefault="001A05BE" w:rsidP="002137E0">
    <w:pPr>
      <w:pStyle w:val="Header"/>
      <w:rPr>
        <w:noProof/>
      </w:rPr>
    </w:pPr>
    <w:r w:rsidRPr="00533848">
      <w:rPr>
        <w:sz w:val="20"/>
        <w:szCs w:val="20"/>
      </w:rPr>
      <w:t>SC</w:t>
    </w:r>
    <w:r w:rsidR="00164682">
      <w:rPr>
        <w:sz w:val="20"/>
        <w:szCs w:val="20"/>
      </w:rPr>
      <w:t>63</w:t>
    </w:r>
    <w:r>
      <w:rPr>
        <w:sz w:val="20"/>
        <w:szCs w:val="20"/>
      </w:rPr>
      <w:t xml:space="preserve"> </w:t>
    </w:r>
    <w:r w:rsidR="00737C66">
      <w:rPr>
        <w:sz w:val="20"/>
        <w:szCs w:val="20"/>
      </w:rPr>
      <w:t>Doc.</w:t>
    </w:r>
    <w:r w:rsidR="00164682">
      <w:rPr>
        <w:sz w:val="20"/>
        <w:szCs w:val="20"/>
      </w:rPr>
      <w:t>8</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FC17BF">
          <w:rPr>
            <w:noProof/>
            <w:sz w:val="20"/>
            <w:szCs w:val="20"/>
          </w:rPr>
          <w:t>9</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EEC3" w14:textId="77777777" w:rsidR="0046072E" w:rsidRDefault="0046072E" w:rsidP="00DF2386">
      <w:r>
        <w:separator/>
      </w:r>
    </w:p>
  </w:footnote>
  <w:footnote w:type="continuationSeparator" w:id="0">
    <w:p w14:paraId="01042EB7" w14:textId="77777777" w:rsidR="0046072E" w:rsidRDefault="0046072E" w:rsidP="00DF2386">
      <w:r>
        <w:continuationSeparator/>
      </w:r>
    </w:p>
  </w:footnote>
  <w:footnote w:type="continuationNotice" w:id="1">
    <w:p w14:paraId="1FB43FAA" w14:textId="77777777" w:rsidR="0046072E" w:rsidRDefault="00460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5DC4" w14:textId="77777777" w:rsidR="0023536F" w:rsidRDefault="00FF640E">
    <w:pPr>
      <w:pStyle w:val="Header"/>
    </w:pPr>
    <w:r>
      <w:rPr>
        <w:noProof/>
      </w:rP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1026"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5364" w14:textId="77777777" w:rsidR="0025780B" w:rsidRDefault="0025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61B5940"/>
    <w:multiLevelType w:val="hybridMultilevel"/>
    <w:tmpl w:val="5CD0F0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24"/>
  </w:num>
  <w:num w:numId="14">
    <w:abstractNumId w:val="19"/>
  </w:num>
  <w:num w:numId="15">
    <w:abstractNumId w:val="5"/>
  </w:num>
  <w:num w:numId="16">
    <w:abstractNumId w:val="21"/>
  </w:num>
  <w:num w:numId="17">
    <w:abstractNumId w:val="28"/>
  </w:num>
  <w:num w:numId="18">
    <w:abstractNumId w:val="39"/>
  </w:num>
  <w:num w:numId="19">
    <w:abstractNumId w:val="36"/>
  </w:num>
  <w:num w:numId="20">
    <w:abstractNumId w:val="30"/>
  </w:num>
  <w:num w:numId="21">
    <w:abstractNumId w:val="32"/>
  </w:num>
  <w:num w:numId="22">
    <w:abstractNumId w:val="22"/>
  </w:num>
  <w:num w:numId="23">
    <w:abstractNumId w:val="29"/>
  </w:num>
  <w:num w:numId="24">
    <w:abstractNumId w:val="26"/>
  </w:num>
  <w:num w:numId="25">
    <w:abstractNumId w:val="35"/>
  </w:num>
  <w:num w:numId="26">
    <w:abstractNumId w:val="15"/>
  </w:num>
  <w:num w:numId="27">
    <w:abstractNumId w:val="2"/>
  </w:num>
  <w:num w:numId="28">
    <w:abstractNumId w:val="18"/>
  </w:num>
  <w:num w:numId="29">
    <w:abstractNumId w:val="6"/>
  </w:num>
  <w:num w:numId="30">
    <w:abstractNumId w:val="16"/>
  </w:num>
  <w:num w:numId="31">
    <w:abstractNumId w:val="1"/>
  </w:num>
  <w:num w:numId="32">
    <w:abstractNumId w:val="12"/>
  </w:num>
  <w:num w:numId="33">
    <w:abstractNumId w:val="25"/>
  </w:num>
  <w:num w:numId="34">
    <w:abstractNumId w:val="38"/>
  </w:num>
  <w:num w:numId="35">
    <w:abstractNumId w:val="37"/>
  </w:num>
  <w:num w:numId="36">
    <w:abstractNumId w:val="27"/>
  </w:num>
  <w:num w:numId="37">
    <w:abstractNumId w:val="9"/>
  </w:num>
  <w:num w:numId="38">
    <w:abstractNumId w:val="8"/>
  </w:num>
  <w:num w:numId="39">
    <w:abstractNumId w:val="0"/>
  </w:num>
  <w:num w:numId="40">
    <w:abstractNumId w:val="7"/>
  </w:num>
  <w:num w:numId="41">
    <w:abstractNumId w:val="33"/>
  </w:num>
  <w:num w:numId="42">
    <w:abstractNumId w:val="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603F"/>
    <w:rsid w:val="00014168"/>
    <w:rsid w:val="000142B6"/>
    <w:rsid w:val="00017A16"/>
    <w:rsid w:val="00020F65"/>
    <w:rsid w:val="000217EF"/>
    <w:rsid w:val="00023125"/>
    <w:rsid w:val="00026E09"/>
    <w:rsid w:val="0003169F"/>
    <w:rsid w:val="00037CE0"/>
    <w:rsid w:val="00042981"/>
    <w:rsid w:val="0004527D"/>
    <w:rsid w:val="00050158"/>
    <w:rsid w:val="00053929"/>
    <w:rsid w:val="00064DAD"/>
    <w:rsid w:val="000710E1"/>
    <w:rsid w:val="0007175F"/>
    <w:rsid w:val="00074DE8"/>
    <w:rsid w:val="000904F6"/>
    <w:rsid w:val="00093844"/>
    <w:rsid w:val="00096787"/>
    <w:rsid w:val="000A3E3E"/>
    <w:rsid w:val="000B5B72"/>
    <w:rsid w:val="000C2489"/>
    <w:rsid w:val="000C2BE5"/>
    <w:rsid w:val="000D5C76"/>
    <w:rsid w:val="000E2FA0"/>
    <w:rsid w:val="000E373A"/>
    <w:rsid w:val="000E47E9"/>
    <w:rsid w:val="0010271F"/>
    <w:rsid w:val="00103213"/>
    <w:rsid w:val="00107C49"/>
    <w:rsid w:val="00110A5F"/>
    <w:rsid w:val="00116E09"/>
    <w:rsid w:val="0012096C"/>
    <w:rsid w:val="001251CA"/>
    <w:rsid w:val="00127828"/>
    <w:rsid w:val="00133A51"/>
    <w:rsid w:val="00146012"/>
    <w:rsid w:val="0014749C"/>
    <w:rsid w:val="00161BDA"/>
    <w:rsid w:val="00162642"/>
    <w:rsid w:val="00164682"/>
    <w:rsid w:val="00171618"/>
    <w:rsid w:val="001819B1"/>
    <w:rsid w:val="001821C6"/>
    <w:rsid w:val="0019225B"/>
    <w:rsid w:val="001A05BE"/>
    <w:rsid w:val="001A2D10"/>
    <w:rsid w:val="001A44B6"/>
    <w:rsid w:val="001B64DE"/>
    <w:rsid w:val="001C5E41"/>
    <w:rsid w:val="001C77BC"/>
    <w:rsid w:val="001C7BC9"/>
    <w:rsid w:val="001D0052"/>
    <w:rsid w:val="001D48BB"/>
    <w:rsid w:val="001D4BF8"/>
    <w:rsid w:val="001D5ACC"/>
    <w:rsid w:val="001D6486"/>
    <w:rsid w:val="001E00E3"/>
    <w:rsid w:val="001E2E28"/>
    <w:rsid w:val="001E3B50"/>
    <w:rsid w:val="001F2349"/>
    <w:rsid w:val="002005D2"/>
    <w:rsid w:val="0020298B"/>
    <w:rsid w:val="002050C8"/>
    <w:rsid w:val="00205D7F"/>
    <w:rsid w:val="00206111"/>
    <w:rsid w:val="002137E0"/>
    <w:rsid w:val="00216875"/>
    <w:rsid w:val="00225738"/>
    <w:rsid w:val="002279E3"/>
    <w:rsid w:val="0023536F"/>
    <w:rsid w:val="00255EB3"/>
    <w:rsid w:val="0025780B"/>
    <w:rsid w:val="00270483"/>
    <w:rsid w:val="002741AC"/>
    <w:rsid w:val="00275F13"/>
    <w:rsid w:val="00276205"/>
    <w:rsid w:val="00277716"/>
    <w:rsid w:val="00277FE2"/>
    <w:rsid w:val="002819C0"/>
    <w:rsid w:val="0028594D"/>
    <w:rsid w:val="00295556"/>
    <w:rsid w:val="00295BB5"/>
    <w:rsid w:val="002A3C25"/>
    <w:rsid w:val="002A5A4D"/>
    <w:rsid w:val="002B4262"/>
    <w:rsid w:val="002B63A2"/>
    <w:rsid w:val="002B64DD"/>
    <w:rsid w:val="002B6B21"/>
    <w:rsid w:val="002C274B"/>
    <w:rsid w:val="002C31C7"/>
    <w:rsid w:val="002C5633"/>
    <w:rsid w:val="002D5A4D"/>
    <w:rsid w:val="002E0026"/>
    <w:rsid w:val="002E22AF"/>
    <w:rsid w:val="002F18BD"/>
    <w:rsid w:val="002F4E3F"/>
    <w:rsid w:val="002F6155"/>
    <w:rsid w:val="002F739F"/>
    <w:rsid w:val="00302586"/>
    <w:rsid w:val="00303113"/>
    <w:rsid w:val="00304865"/>
    <w:rsid w:val="00307E02"/>
    <w:rsid w:val="00313561"/>
    <w:rsid w:val="00317263"/>
    <w:rsid w:val="003209B0"/>
    <w:rsid w:val="00324398"/>
    <w:rsid w:val="00343AF3"/>
    <w:rsid w:val="00345BA2"/>
    <w:rsid w:val="0036257A"/>
    <w:rsid w:val="0036636E"/>
    <w:rsid w:val="003678B2"/>
    <w:rsid w:val="00370C3C"/>
    <w:rsid w:val="00372E1B"/>
    <w:rsid w:val="003737D2"/>
    <w:rsid w:val="003742F2"/>
    <w:rsid w:val="00376C19"/>
    <w:rsid w:val="003813B9"/>
    <w:rsid w:val="00384FC3"/>
    <w:rsid w:val="00385CE9"/>
    <w:rsid w:val="003A3804"/>
    <w:rsid w:val="003A525D"/>
    <w:rsid w:val="003A52BE"/>
    <w:rsid w:val="003A5866"/>
    <w:rsid w:val="003A6E9F"/>
    <w:rsid w:val="003B4355"/>
    <w:rsid w:val="003C2D9F"/>
    <w:rsid w:val="003C7106"/>
    <w:rsid w:val="003D3ECE"/>
    <w:rsid w:val="003D4CD6"/>
    <w:rsid w:val="003E2E04"/>
    <w:rsid w:val="003E656F"/>
    <w:rsid w:val="00415131"/>
    <w:rsid w:val="00420882"/>
    <w:rsid w:val="004228C7"/>
    <w:rsid w:val="004269AE"/>
    <w:rsid w:val="0042798B"/>
    <w:rsid w:val="0043294E"/>
    <w:rsid w:val="00434475"/>
    <w:rsid w:val="00434913"/>
    <w:rsid w:val="0044217A"/>
    <w:rsid w:val="004433B6"/>
    <w:rsid w:val="00446734"/>
    <w:rsid w:val="004474F8"/>
    <w:rsid w:val="004541BC"/>
    <w:rsid w:val="0046072E"/>
    <w:rsid w:val="004659EB"/>
    <w:rsid w:val="00472990"/>
    <w:rsid w:val="00477550"/>
    <w:rsid w:val="0047785E"/>
    <w:rsid w:val="00483903"/>
    <w:rsid w:val="004844A8"/>
    <w:rsid w:val="00491089"/>
    <w:rsid w:val="00492FBC"/>
    <w:rsid w:val="00493991"/>
    <w:rsid w:val="00496803"/>
    <w:rsid w:val="004B6688"/>
    <w:rsid w:val="004B6C84"/>
    <w:rsid w:val="004B71D7"/>
    <w:rsid w:val="004C3718"/>
    <w:rsid w:val="004D1CCA"/>
    <w:rsid w:val="004D3113"/>
    <w:rsid w:val="004D5E80"/>
    <w:rsid w:val="004D633A"/>
    <w:rsid w:val="004E172A"/>
    <w:rsid w:val="004F376E"/>
    <w:rsid w:val="00506DC3"/>
    <w:rsid w:val="005209BF"/>
    <w:rsid w:val="005244A4"/>
    <w:rsid w:val="00527783"/>
    <w:rsid w:val="0053230D"/>
    <w:rsid w:val="00533848"/>
    <w:rsid w:val="005369A8"/>
    <w:rsid w:val="00551ABC"/>
    <w:rsid w:val="005814B5"/>
    <w:rsid w:val="00581ABF"/>
    <w:rsid w:val="005824BD"/>
    <w:rsid w:val="00592F6E"/>
    <w:rsid w:val="0059787B"/>
    <w:rsid w:val="005A746A"/>
    <w:rsid w:val="005A7C2F"/>
    <w:rsid w:val="005C67DF"/>
    <w:rsid w:val="005D18C3"/>
    <w:rsid w:val="005D3E9D"/>
    <w:rsid w:val="005D559B"/>
    <w:rsid w:val="005D6030"/>
    <w:rsid w:val="005D725E"/>
    <w:rsid w:val="005D7A68"/>
    <w:rsid w:val="005D7AD1"/>
    <w:rsid w:val="005E69D3"/>
    <w:rsid w:val="005E7C7A"/>
    <w:rsid w:val="005F0C60"/>
    <w:rsid w:val="005F4543"/>
    <w:rsid w:val="006020B8"/>
    <w:rsid w:val="00610B09"/>
    <w:rsid w:val="00615F8C"/>
    <w:rsid w:val="006164EF"/>
    <w:rsid w:val="00617F53"/>
    <w:rsid w:val="00621F90"/>
    <w:rsid w:val="00624A4C"/>
    <w:rsid w:val="006256D3"/>
    <w:rsid w:val="00627BB7"/>
    <w:rsid w:val="00630676"/>
    <w:rsid w:val="00635B36"/>
    <w:rsid w:val="00640E50"/>
    <w:rsid w:val="00644A13"/>
    <w:rsid w:val="00646299"/>
    <w:rsid w:val="0065136E"/>
    <w:rsid w:val="006562C1"/>
    <w:rsid w:val="006624BF"/>
    <w:rsid w:val="00667549"/>
    <w:rsid w:val="00670C49"/>
    <w:rsid w:val="00670D71"/>
    <w:rsid w:val="006A1B0C"/>
    <w:rsid w:val="006A2401"/>
    <w:rsid w:val="006C2212"/>
    <w:rsid w:val="006D1093"/>
    <w:rsid w:val="006D7318"/>
    <w:rsid w:val="006E48A4"/>
    <w:rsid w:val="006E5D74"/>
    <w:rsid w:val="006E610A"/>
    <w:rsid w:val="006E7528"/>
    <w:rsid w:val="006E7DCE"/>
    <w:rsid w:val="006F0FD6"/>
    <w:rsid w:val="006F44D4"/>
    <w:rsid w:val="007050B9"/>
    <w:rsid w:val="007050FF"/>
    <w:rsid w:val="00725BE7"/>
    <w:rsid w:val="00737C66"/>
    <w:rsid w:val="00742C91"/>
    <w:rsid w:val="00750B08"/>
    <w:rsid w:val="00752764"/>
    <w:rsid w:val="00754DB3"/>
    <w:rsid w:val="00764452"/>
    <w:rsid w:val="00765652"/>
    <w:rsid w:val="00766962"/>
    <w:rsid w:val="00766BA8"/>
    <w:rsid w:val="00767BA9"/>
    <w:rsid w:val="00770FFD"/>
    <w:rsid w:val="00771677"/>
    <w:rsid w:val="00772753"/>
    <w:rsid w:val="00772DFC"/>
    <w:rsid w:val="00775287"/>
    <w:rsid w:val="00776FFB"/>
    <w:rsid w:val="007774F2"/>
    <w:rsid w:val="007810BB"/>
    <w:rsid w:val="007844C4"/>
    <w:rsid w:val="00794652"/>
    <w:rsid w:val="00794E45"/>
    <w:rsid w:val="0079693F"/>
    <w:rsid w:val="007A1C92"/>
    <w:rsid w:val="007A5107"/>
    <w:rsid w:val="007C3908"/>
    <w:rsid w:val="007C4093"/>
    <w:rsid w:val="007D2BB6"/>
    <w:rsid w:val="007D33F4"/>
    <w:rsid w:val="007E136A"/>
    <w:rsid w:val="007E5E8A"/>
    <w:rsid w:val="007F3ABE"/>
    <w:rsid w:val="007F5813"/>
    <w:rsid w:val="00807057"/>
    <w:rsid w:val="00810A6E"/>
    <w:rsid w:val="00821433"/>
    <w:rsid w:val="00821A70"/>
    <w:rsid w:val="00822D08"/>
    <w:rsid w:val="00830792"/>
    <w:rsid w:val="008312CB"/>
    <w:rsid w:val="00831E7F"/>
    <w:rsid w:val="008328E9"/>
    <w:rsid w:val="00835BCB"/>
    <w:rsid w:val="00835CDC"/>
    <w:rsid w:val="0083768D"/>
    <w:rsid w:val="00850B09"/>
    <w:rsid w:val="008577C0"/>
    <w:rsid w:val="00863B9D"/>
    <w:rsid w:val="00863BE6"/>
    <w:rsid w:val="00873205"/>
    <w:rsid w:val="008733A1"/>
    <w:rsid w:val="008752D1"/>
    <w:rsid w:val="008775BB"/>
    <w:rsid w:val="008775BC"/>
    <w:rsid w:val="00877EA0"/>
    <w:rsid w:val="00882F1B"/>
    <w:rsid w:val="00884E1E"/>
    <w:rsid w:val="008A6505"/>
    <w:rsid w:val="008A70CE"/>
    <w:rsid w:val="008C0651"/>
    <w:rsid w:val="008C25E4"/>
    <w:rsid w:val="008C2DAE"/>
    <w:rsid w:val="008D0A75"/>
    <w:rsid w:val="008D12FA"/>
    <w:rsid w:val="008E09FA"/>
    <w:rsid w:val="008E1456"/>
    <w:rsid w:val="008E2347"/>
    <w:rsid w:val="008E28FF"/>
    <w:rsid w:val="008E4B43"/>
    <w:rsid w:val="008E4F79"/>
    <w:rsid w:val="008F377A"/>
    <w:rsid w:val="008F7C7B"/>
    <w:rsid w:val="009013CA"/>
    <w:rsid w:val="009059A9"/>
    <w:rsid w:val="00910FBD"/>
    <w:rsid w:val="009155E4"/>
    <w:rsid w:val="0092149A"/>
    <w:rsid w:val="009215F7"/>
    <w:rsid w:val="0092193E"/>
    <w:rsid w:val="0092515E"/>
    <w:rsid w:val="009305DB"/>
    <w:rsid w:val="009311A1"/>
    <w:rsid w:val="009418A1"/>
    <w:rsid w:val="00941AA9"/>
    <w:rsid w:val="00942FBD"/>
    <w:rsid w:val="00944B04"/>
    <w:rsid w:val="0094770B"/>
    <w:rsid w:val="009501B1"/>
    <w:rsid w:val="00960D15"/>
    <w:rsid w:val="00964154"/>
    <w:rsid w:val="00967BF0"/>
    <w:rsid w:val="009744DA"/>
    <w:rsid w:val="00976BFC"/>
    <w:rsid w:val="00977079"/>
    <w:rsid w:val="00990126"/>
    <w:rsid w:val="00993D54"/>
    <w:rsid w:val="009B2267"/>
    <w:rsid w:val="009B2288"/>
    <w:rsid w:val="009B7B70"/>
    <w:rsid w:val="009C0ABF"/>
    <w:rsid w:val="009C19BE"/>
    <w:rsid w:val="009C2662"/>
    <w:rsid w:val="009C5199"/>
    <w:rsid w:val="009C56A3"/>
    <w:rsid w:val="009D3DAF"/>
    <w:rsid w:val="009E0AE8"/>
    <w:rsid w:val="009E5374"/>
    <w:rsid w:val="009E7368"/>
    <w:rsid w:val="009F345D"/>
    <w:rsid w:val="009F6A76"/>
    <w:rsid w:val="00A00C84"/>
    <w:rsid w:val="00A01EA6"/>
    <w:rsid w:val="00A02529"/>
    <w:rsid w:val="00A13218"/>
    <w:rsid w:val="00A20D3D"/>
    <w:rsid w:val="00A227A3"/>
    <w:rsid w:val="00A240F0"/>
    <w:rsid w:val="00A25E54"/>
    <w:rsid w:val="00A36200"/>
    <w:rsid w:val="00A47F9E"/>
    <w:rsid w:val="00A5033C"/>
    <w:rsid w:val="00A534EB"/>
    <w:rsid w:val="00A53A55"/>
    <w:rsid w:val="00A54D5B"/>
    <w:rsid w:val="00A60B73"/>
    <w:rsid w:val="00A62CCF"/>
    <w:rsid w:val="00A706F0"/>
    <w:rsid w:val="00A80080"/>
    <w:rsid w:val="00A81A51"/>
    <w:rsid w:val="00A9552A"/>
    <w:rsid w:val="00AB4951"/>
    <w:rsid w:val="00AB6E08"/>
    <w:rsid w:val="00AC61DA"/>
    <w:rsid w:val="00AC720D"/>
    <w:rsid w:val="00AE52B4"/>
    <w:rsid w:val="00AE63F1"/>
    <w:rsid w:val="00AF4241"/>
    <w:rsid w:val="00AF424E"/>
    <w:rsid w:val="00AF4E5A"/>
    <w:rsid w:val="00B020FA"/>
    <w:rsid w:val="00B13EE7"/>
    <w:rsid w:val="00B23512"/>
    <w:rsid w:val="00B27FFC"/>
    <w:rsid w:val="00B315A0"/>
    <w:rsid w:val="00B34A18"/>
    <w:rsid w:val="00B42194"/>
    <w:rsid w:val="00B468CE"/>
    <w:rsid w:val="00B52B7F"/>
    <w:rsid w:val="00B5599F"/>
    <w:rsid w:val="00B579CB"/>
    <w:rsid w:val="00B626CD"/>
    <w:rsid w:val="00B70083"/>
    <w:rsid w:val="00B76C9A"/>
    <w:rsid w:val="00B827B6"/>
    <w:rsid w:val="00B83C2C"/>
    <w:rsid w:val="00B83EF9"/>
    <w:rsid w:val="00B928A3"/>
    <w:rsid w:val="00B94B55"/>
    <w:rsid w:val="00B95C2F"/>
    <w:rsid w:val="00B96479"/>
    <w:rsid w:val="00BA3BD3"/>
    <w:rsid w:val="00BA58DF"/>
    <w:rsid w:val="00BB23DD"/>
    <w:rsid w:val="00BB28F6"/>
    <w:rsid w:val="00BC0C3C"/>
    <w:rsid w:val="00BC2609"/>
    <w:rsid w:val="00BC7C4F"/>
    <w:rsid w:val="00BF4697"/>
    <w:rsid w:val="00BF5DA6"/>
    <w:rsid w:val="00C042C0"/>
    <w:rsid w:val="00C0528F"/>
    <w:rsid w:val="00C0708D"/>
    <w:rsid w:val="00C13145"/>
    <w:rsid w:val="00C24992"/>
    <w:rsid w:val="00C26EA0"/>
    <w:rsid w:val="00C31E16"/>
    <w:rsid w:val="00C32383"/>
    <w:rsid w:val="00C46CCB"/>
    <w:rsid w:val="00C52F14"/>
    <w:rsid w:val="00C6033A"/>
    <w:rsid w:val="00C63612"/>
    <w:rsid w:val="00C6482D"/>
    <w:rsid w:val="00C80C32"/>
    <w:rsid w:val="00C86882"/>
    <w:rsid w:val="00C90BC1"/>
    <w:rsid w:val="00C965CD"/>
    <w:rsid w:val="00CA6757"/>
    <w:rsid w:val="00CB4490"/>
    <w:rsid w:val="00CB74C2"/>
    <w:rsid w:val="00CC6417"/>
    <w:rsid w:val="00CC64BC"/>
    <w:rsid w:val="00CD05B5"/>
    <w:rsid w:val="00CE750F"/>
    <w:rsid w:val="00CF23EE"/>
    <w:rsid w:val="00CF3413"/>
    <w:rsid w:val="00D0209C"/>
    <w:rsid w:val="00D10FF1"/>
    <w:rsid w:val="00D15243"/>
    <w:rsid w:val="00D160CB"/>
    <w:rsid w:val="00D245A1"/>
    <w:rsid w:val="00D27A9F"/>
    <w:rsid w:val="00D35847"/>
    <w:rsid w:val="00D375D7"/>
    <w:rsid w:val="00D415E2"/>
    <w:rsid w:val="00D42055"/>
    <w:rsid w:val="00D424FA"/>
    <w:rsid w:val="00D43113"/>
    <w:rsid w:val="00D446B9"/>
    <w:rsid w:val="00D4692D"/>
    <w:rsid w:val="00D470CF"/>
    <w:rsid w:val="00D47110"/>
    <w:rsid w:val="00D647C3"/>
    <w:rsid w:val="00D64F7B"/>
    <w:rsid w:val="00D71B60"/>
    <w:rsid w:val="00D75A48"/>
    <w:rsid w:val="00D851EF"/>
    <w:rsid w:val="00D9633A"/>
    <w:rsid w:val="00DA0EA2"/>
    <w:rsid w:val="00DA2DD6"/>
    <w:rsid w:val="00DA3C64"/>
    <w:rsid w:val="00DA565B"/>
    <w:rsid w:val="00DB296E"/>
    <w:rsid w:val="00DB54AC"/>
    <w:rsid w:val="00DC7DC6"/>
    <w:rsid w:val="00DE4EC9"/>
    <w:rsid w:val="00DE5579"/>
    <w:rsid w:val="00DF2386"/>
    <w:rsid w:val="00DF5550"/>
    <w:rsid w:val="00DF6B79"/>
    <w:rsid w:val="00DF7FE7"/>
    <w:rsid w:val="00E117C4"/>
    <w:rsid w:val="00E21E46"/>
    <w:rsid w:val="00E2439E"/>
    <w:rsid w:val="00E437CB"/>
    <w:rsid w:val="00E46367"/>
    <w:rsid w:val="00E5205F"/>
    <w:rsid w:val="00E558AF"/>
    <w:rsid w:val="00E63F0B"/>
    <w:rsid w:val="00E65069"/>
    <w:rsid w:val="00E87BFD"/>
    <w:rsid w:val="00E93AD1"/>
    <w:rsid w:val="00EA02DA"/>
    <w:rsid w:val="00EA2797"/>
    <w:rsid w:val="00EA3A7F"/>
    <w:rsid w:val="00EA3DBC"/>
    <w:rsid w:val="00EB0535"/>
    <w:rsid w:val="00EC5572"/>
    <w:rsid w:val="00EC673C"/>
    <w:rsid w:val="00ED2263"/>
    <w:rsid w:val="00EE0E86"/>
    <w:rsid w:val="00EF3827"/>
    <w:rsid w:val="00F078F1"/>
    <w:rsid w:val="00F248C0"/>
    <w:rsid w:val="00F27962"/>
    <w:rsid w:val="00F32D03"/>
    <w:rsid w:val="00F344DE"/>
    <w:rsid w:val="00F37A4C"/>
    <w:rsid w:val="00F42C01"/>
    <w:rsid w:val="00F44ADA"/>
    <w:rsid w:val="00F6004D"/>
    <w:rsid w:val="00F711D3"/>
    <w:rsid w:val="00F73E71"/>
    <w:rsid w:val="00F75393"/>
    <w:rsid w:val="00F756EF"/>
    <w:rsid w:val="00F82FB9"/>
    <w:rsid w:val="00F84CD0"/>
    <w:rsid w:val="00FA0C1F"/>
    <w:rsid w:val="00FA50B5"/>
    <w:rsid w:val="00FA7A28"/>
    <w:rsid w:val="00FB14FC"/>
    <w:rsid w:val="00FB31F4"/>
    <w:rsid w:val="00FB3314"/>
    <w:rsid w:val="00FC17BF"/>
    <w:rsid w:val="00FD76BF"/>
    <w:rsid w:val="00FD7EC9"/>
    <w:rsid w:val="00FF159E"/>
    <w:rsid w:val="00FF526B"/>
    <w:rsid w:val="00FF640E"/>
    <w:rsid w:val="00FF73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E887E"/>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styleId="UnresolvedMention">
    <w:name w:val="Unresolved Mention"/>
    <w:basedOn w:val="DefaultParagraphFont"/>
    <w:uiPriority w:val="99"/>
    <w:semiHidden/>
    <w:unhideWhenUsed/>
    <w:rsid w:val="00C4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003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4220007">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003434523">
      <w:bodyDiv w:val="1"/>
      <w:marLeft w:val="0"/>
      <w:marRight w:val="0"/>
      <w:marTop w:val="0"/>
      <w:marBottom w:val="0"/>
      <w:divBdr>
        <w:top w:val="none" w:sz="0" w:space="0" w:color="auto"/>
        <w:left w:val="none" w:sz="0" w:space="0" w:color="auto"/>
        <w:bottom w:val="none" w:sz="0" w:space="0" w:color="auto"/>
        <w:right w:val="none" w:sz="0" w:space="0" w:color="auto"/>
      </w:divBdr>
    </w:div>
    <w:div w:id="1513841755">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 w:id="20440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list-standing-committee-decisions-which-have-been-implemented-are-no-longer-effe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2.xml><?xml version="1.0" encoding="utf-8"?>
<ds:datastoreItem xmlns:ds="http://schemas.openxmlformats.org/officeDocument/2006/customXml" ds:itemID="{76B1A60E-8636-4846-A9A0-037055D1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2043B-DECA-4653-B311-04E5D5B770BF}">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8c0b6b05-eb82-4bda-97e8-cd82d0d6b453"/>
    <ds:schemaRef ds:uri="http://schemas.microsoft.com/office/2006/metadata/properties"/>
    <ds:schemaRef ds:uri="http://schemas.microsoft.com/office/2006/documentManagement/types"/>
    <ds:schemaRef ds:uri="aedd258d-19a7-41ba-8260-b0918f25313d"/>
    <ds:schemaRef ds:uri="http://purl.org/dc/terms/"/>
  </ds:schemaRefs>
</ds:datastoreItem>
</file>

<file path=customXml/itemProps4.xml><?xml version="1.0" encoding="utf-8"?>
<ds:datastoreItem xmlns:ds="http://schemas.openxmlformats.org/officeDocument/2006/customXml" ds:itemID="{FBB841AF-0B52-4D92-993B-9C88C3BD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3151</Words>
  <Characters>17962</Characters>
  <Application>Microsoft Office Word</Application>
  <DocSecurity>0</DocSecurity>
  <Lines>149</Lines>
  <Paragraphs>42</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Ramsar CEPA OP-SC58-draft paper-comments</vt:lpstr>
      <vt:lpstr>Ramsar CEPA OP-SC58-draft paper-comments</vt:lpstr>
      <vt:lpstr>Ramsar CEPA OP-SC58-draft paper-comments</vt:lpstr>
    </vt:vector>
  </TitlesOfParts>
  <Company>IUCN</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4</cp:revision>
  <cp:lastPrinted>2023-12-01T15:19:00Z</cp:lastPrinted>
  <dcterms:created xsi:type="dcterms:W3CDTF">2024-02-27T13:36:00Z</dcterms:created>
  <dcterms:modified xsi:type="dcterms:W3CDTF">2024-02-29T16:19:00Z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