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2C567" w14:textId="77777777" w:rsidR="005F680E" w:rsidRPr="00EF4F00" w:rsidRDefault="005F680E" w:rsidP="00EF4F0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left="425" w:right="4490" w:hanging="425"/>
        <w:jc w:val="left"/>
        <w:rPr>
          <w:rFonts w:ascii="Calibri" w:eastAsia="Calibri" w:hAnsi="Calibri"/>
          <w:bCs/>
          <w:sz w:val="22"/>
          <w:szCs w:val="22"/>
        </w:rPr>
      </w:pPr>
      <w:r>
        <w:rPr>
          <w:rFonts w:ascii="Calibri" w:hAnsi="Calibri"/>
          <w:sz w:val="22"/>
        </w:rPr>
        <w:t>CONVENTION SUR LES ZONES HUMIDES</w:t>
      </w:r>
    </w:p>
    <w:p w14:paraId="471BBC10" w14:textId="4089FF14" w:rsidR="005F680E" w:rsidRPr="00EF4F00" w:rsidRDefault="005F680E" w:rsidP="00EF4F0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left="425" w:right="4490" w:hanging="425"/>
        <w:jc w:val="left"/>
        <w:rPr>
          <w:rFonts w:ascii="Calibri" w:eastAsia="Calibri" w:hAnsi="Calibri"/>
          <w:bCs/>
          <w:sz w:val="22"/>
          <w:szCs w:val="22"/>
        </w:rPr>
      </w:pPr>
      <w:r>
        <w:rPr>
          <w:rFonts w:ascii="Calibri" w:hAnsi="Calibri"/>
          <w:sz w:val="22"/>
        </w:rPr>
        <w:t>63</w:t>
      </w:r>
      <w:r>
        <w:rPr>
          <w:rFonts w:ascii="Calibri" w:hAnsi="Calibri"/>
          <w:sz w:val="22"/>
          <w:vertAlign w:val="superscript"/>
        </w:rPr>
        <w:t>e</w:t>
      </w:r>
      <w:r>
        <w:rPr>
          <w:rFonts w:ascii="Calibri" w:hAnsi="Calibri"/>
          <w:sz w:val="22"/>
        </w:rPr>
        <w:t> réunion du Comité permanent</w:t>
      </w:r>
    </w:p>
    <w:p w14:paraId="0E0A7BC5" w14:textId="2D303666" w:rsidR="005F680E" w:rsidRPr="00EF4F00" w:rsidRDefault="005F680E" w:rsidP="00EF4F00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7" w:color="auto" w:shadow="1"/>
        </w:pBdr>
        <w:suppressAutoHyphens/>
        <w:ind w:left="425" w:right="4490" w:hanging="425"/>
        <w:jc w:val="left"/>
        <w:rPr>
          <w:rFonts w:ascii="Calibri" w:eastAsia="Calibri" w:hAnsi="Calibri"/>
          <w:bCs/>
          <w:sz w:val="22"/>
          <w:szCs w:val="22"/>
        </w:rPr>
      </w:pPr>
      <w:r>
        <w:rPr>
          <w:rFonts w:ascii="Calibri" w:hAnsi="Calibri"/>
          <w:sz w:val="22"/>
        </w:rPr>
        <w:t>Gland, Suisse, 3 au 7 juin 2024</w:t>
      </w:r>
    </w:p>
    <w:p w14:paraId="06FA6479" w14:textId="77777777" w:rsidR="00065B8F" w:rsidRPr="00B86AE4" w:rsidRDefault="00065B8F" w:rsidP="00065B8F"/>
    <w:p w14:paraId="118BA92F" w14:textId="77777777" w:rsidR="00EF4F00" w:rsidRPr="00B86AE4" w:rsidRDefault="00EF4F00" w:rsidP="00065B8F">
      <w:pPr>
        <w:jc w:val="right"/>
        <w:rPr>
          <w:rFonts w:asciiTheme="minorHAnsi" w:hAnsiTheme="minorHAnsi" w:cstheme="minorHAnsi"/>
          <w:b/>
          <w:sz w:val="28"/>
          <w:szCs w:val="28"/>
        </w:rPr>
      </w:pPr>
    </w:p>
    <w:p w14:paraId="4EED1CB2" w14:textId="57812C41" w:rsidR="00065B8F" w:rsidRPr="002F22EE" w:rsidRDefault="006A7C44" w:rsidP="00065B8F">
      <w:pPr>
        <w:jc w:val="righ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SC63 Doc.7.1</w:t>
      </w:r>
    </w:p>
    <w:p w14:paraId="7972AEFA" w14:textId="77777777" w:rsidR="00065B8F" w:rsidRPr="00B86AE4" w:rsidRDefault="00065B8F" w:rsidP="00065B8F">
      <w:pPr>
        <w:jc w:val="center"/>
        <w:rPr>
          <w:rFonts w:asciiTheme="minorHAnsi" w:hAnsiTheme="minorHAnsi" w:cstheme="minorHAnsi"/>
          <w:bCs/>
        </w:rPr>
      </w:pPr>
    </w:p>
    <w:p w14:paraId="596A4079" w14:textId="6D0A8A18" w:rsidR="00142986" w:rsidRDefault="00142986" w:rsidP="00EF4F00">
      <w:pPr>
        <w:jc w:val="center"/>
        <w:rPr>
          <w:rStyle w:val="normaltextrun"/>
          <w:rFonts w:ascii="Calibri" w:hAnsi="Calibri"/>
          <w:b/>
          <w:color w:val="000000"/>
          <w:sz w:val="28"/>
          <w:shd w:val="clear" w:color="auto" w:fill="FFFFFF"/>
        </w:rPr>
      </w:pPr>
      <w:r w:rsidRPr="00142986">
        <w:rPr>
          <w:rStyle w:val="normaltextrun"/>
          <w:rFonts w:ascii="Calibri" w:hAnsi="Calibri"/>
          <w:b/>
          <w:color w:val="000000"/>
          <w:sz w:val="28"/>
          <w:shd w:val="clear" w:color="auto" w:fill="FFFFFF"/>
        </w:rPr>
        <w:t>Rappor</w:t>
      </w:r>
      <w:bookmarkStart w:id="0" w:name="_GoBack"/>
      <w:bookmarkEnd w:id="0"/>
      <w:r w:rsidRPr="00142986">
        <w:rPr>
          <w:rStyle w:val="normaltextrun"/>
          <w:rFonts w:ascii="Calibri" w:hAnsi="Calibri"/>
          <w:b/>
          <w:color w:val="000000"/>
          <w:sz w:val="28"/>
          <w:shd w:val="clear" w:color="auto" w:fill="FFFFFF"/>
        </w:rPr>
        <w:t>t du Groupe de travail sur la gestion</w:t>
      </w:r>
      <w:r>
        <w:rPr>
          <w:rStyle w:val="normaltextrun"/>
          <w:rFonts w:ascii="Calibri" w:hAnsi="Calibri"/>
          <w:b/>
          <w:color w:val="000000"/>
          <w:sz w:val="28"/>
          <w:shd w:val="clear" w:color="auto" w:fill="FFFFFF"/>
        </w:rPr>
        <w:t> :</w:t>
      </w:r>
    </w:p>
    <w:p w14:paraId="3FAFB69D" w14:textId="1DA18B50" w:rsidR="00065B8F" w:rsidRPr="0045145A" w:rsidRDefault="0045145A" w:rsidP="00EF4F0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="Calibri" w:hAnsi="Calibri"/>
          <w:b/>
          <w:color w:val="000000"/>
          <w:sz w:val="28"/>
          <w:shd w:val="clear" w:color="auto" w:fill="FFFFFF"/>
        </w:rPr>
        <w:t>Rapport sur les activités du Groupe de travail sur la gestion</w:t>
      </w:r>
    </w:p>
    <w:p w14:paraId="52FD805F" w14:textId="77777777" w:rsidR="006058B3" w:rsidRDefault="006058B3" w:rsidP="00065B8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232A675" w14:textId="77777777" w:rsidR="00E95E62" w:rsidRDefault="006058B3" w:rsidP="006058B3">
      <w:pPr>
        <w:jc w:val="center"/>
        <w:rPr>
          <w:rFonts w:asciiTheme="minorHAnsi" w:hAnsiTheme="minorHAnsi" w:cstheme="minorHAnsi"/>
          <w:b/>
          <w:bCs/>
          <w:sz w:val="28"/>
          <w:szCs w:val="28"/>
          <w:highlight w:val="yellow"/>
        </w:rPr>
      </w:pPr>
      <w:r>
        <w:rPr>
          <w:rFonts w:asciiTheme="minorHAnsi" w:hAnsiTheme="minorHAnsi"/>
          <w:b/>
          <w:noProof/>
          <w:sz w:val="28"/>
        </w:rPr>
        <mc:AlternateContent>
          <mc:Choice Requires="wps">
            <w:drawing>
              <wp:inline distT="0" distB="0" distL="0" distR="0" wp14:anchorId="4864891A" wp14:editId="50D9687B">
                <wp:extent cx="5768340" cy="1796995"/>
                <wp:effectExtent l="0" t="0" r="22860" b="1333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79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C70D" w14:textId="221208D6" w:rsidR="00AA2EDD" w:rsidRDefault="000E637A" w:rsidP="007F7F6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Mesure requise :</w:t>
                            </w:r>
                          </w:p>
                          <w:p w14:paraId="07EC423F" w14:textId="0DB61A18" w:rsidR="00EF4F00" w:rsidRPr="00EF4F00" w:rsidRDefault="00EF4F00" w:rsidP="007F7F60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E13CED5" w14:textId="73027EEC" w:rsidR="00EF4F00" w:rsidRDefault="00EF4F00" w:rsidP="007F7F60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Le Comité permanent est invité à :</w:t>
                            </w:r>
                          </w:p>
                          <w:p w14:paraId="1E881213" w14:textId="77777777" w:rsidR="000853CD" w:rsidRDefault="000853CD" w:rsidP="007F7F60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14:paraId="5E925EE3" w14:textId="4FB00C2D" w:rsidR="0077717D" w:rsidRDefault="0077717D" w:rsidP="0077717D">
                            <w:pPr>
                              <w:pStyle w:val="ColorfulList-Accent11"/>
                              <w:ind w:left="426" w:hanging="426"/>
                            </w:pPr>
                            <w:r w:rsidRPr="0077717D">
                              <w:t>i.</w:t>
                            </w:r>
                            <w:r>
                              <w:tab/>
                            </w:r>
                            <w:r w:rsidR="00EF4F00">
                              <w:t>prendre note du présent rapport du Groupe de travail sur la gestion ; et</w:t>
                            </w:r>
                          </w:p>
                          <w:p w14:paraId="5856216B" w14:textId="77777777" w:rsidR="0077717D" w:rsidRDefault="0077717D" w:rsidP="0077717D">
                            <w:pPr>
                              <w:pStyle w:val="ColorfulList-Accent11"/>
                              <w:ind w:left="426" w:hanging="426"/>
                            </w:pPr>
                          </w:p>
                          <w:p w14:paraId="7A4669C6" w14:textId="624CD20F" w:rsidR="00074A52" w:rsidRPr="000853CD" w:rsidRDefault="00CD0384" w:rsidP="00CD0384">
                            <w:pPr>
                              <w:pStyle w:val="ColorfulList-Accent11"/>
                              <w:ind w:left="426" w:hanging="426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D0384">
                              <w:rPr>
                                <w:rFonts w:asciiTheme="minorHAnsi" w:hAnsiTheme="minorHAnsi" w:cstheme="minorHAnsi"/>
                              </w:rPr>
                              <w:t>ii.</w:t>
                            </w:r>
                            <w:r w:rsidRPr="00CD0384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0853CD">
                              <w:rPr>
                                <w:rFonts w:asciiTheme="minorHAnsi" w:hAnsiTheme="minorHAnsi"/>
                              </w:rPr>
                              <w:t>examine</w:t>
                            </w:r>
                            <w:r w:rsidR="009216EF">
                              <w:rPr>
                                <w:rFonts w:asciiTheme="minorHAnsi" w:hAnsiTheme="minorHAnsi"/>
                              </w:rPr>
                              <w:t>r</w:t>
                            </w:r>
                            <w:r w:rsidRPr="000853CD">
                              <w:rPr>
                                <w:rFonts w:asciiTheme="minorHAnsi" w:hAnsiTheme="minorHAnsi"/>
                              </w:rPr>
                              <w:t xml:space="preserve"> la recommandation du Groupe de travail sur la gestion, telle que décrite aux paragraphes 6 à 8, d’autoriser le ou la Secrétaire général</w:t>
                            </w:r>
                            <w:r w:rsidR="000B5BF2">
                              <w:rPr>
                                <w:rFonts w:asciiTheme="minorHAnsi" w:hAnsiTheme="minorHAnsi"/>
                              </w:rPr>
                              <w:t>/</w:t>
                            </w:r>
                            <w:r w:rsidRPr="000853CD">
                              <w:rPr>
                                <w:rFonts w:asciiTheme="minorHAnsi" w:hAnsiTheme="minorHAnsi"/>
                              </w:rPr>
                              <w:t>e à conclure de nouveaux accords de coopération en suivant les orientations du document SC54 Doc.</w:t>
                            </w:r>
                            <w:proofErr w:type="gramStart"/>
                            <w:r w:rsidRPr="000853CD">
                              <w:rPr>
                                <w:rFonts w:asciiTheme="minorHAnsi" w:hAnsiTheme="minorHAnsi"/>
                              </w:rPr>
                              <w:t>16.Rev</w:t>
                            </w:r>
                            <w:proofErr w:type="gramEnd"/>
                            <w:r w:rsidR="00C52553">
                              <w:rPr>
                                <w:rFonts w:asciiTheme="minorHAnsi" w:hAnsiTheme="minorHAnsi" w:cstheme="minorHAnsi"/>
                              </w:rPr>
                              <w:t>1.</w:t>
                            </w:r>
                          </w:p>
                          <w:p w14:paraId="3220B1EB" w14:textId="77777777" w:rsidR="007F7F60" w:rsidRPr="007F7F60" w:rsidRDefault="007F7F6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6489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4.2pt;height:1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">
                <v:textbox>
                  <w:txbxContent>
                    <w:p w14:paraId="50E2C70D" w14:textId="221208D6" w:rsidR="00AA2EDD" w:rsidRDefault="000E637A" w:rsidP="007F7F60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Mesure requise :</w:t>
                      </w:r>
                    </w:p>
                    <w:p w14:paraId="07EC423F" w14:textId="0DB61A18" w:rsidR="00EF4F00" w:rsidRPr="00EF4F00" w:rsidRDefault="00EF4F00" w:rsidP="007F7F60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E13CED5" w14:textId="73027EEC" w:rsidR="00EF4F00" w:rsidRDefault="00EF4F00" w:rsidP="007F7F60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Le Comité permanent est invité à :</w:t>
                      </w:r>
                    </w:p>
                    <w:p w14:paraId="1E881213" w14:textId="77777777" w:rsidR="000853CD" w:rsidRDefault="000853CD" w:rsidP="007F7F60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14:paraId="5E925EE3" w14:textId="4FB00C2D" w:rsidR="0077717D" w:rsidRDefault="0077717D" w:rsidP="0077717D">
                      <w:pPr>
                        <w:pStyle w:val="ColorfulList-Accent11"/>
                        <w:ind w:left="426" w:hanging="426"/>
                      </w:pPr>
                      <w:r w:rsidRPr="0077717D">
                        <w:t>i.</w:t>
                      </w:r>
                      <w:r>
                        <w:tab/>
                      </w:r>
                      <w:r w:rsidR="00EF4F00">
                        <w:t>prendre note du présent rapport du Groupe de travail sur la gestion ; et</w:t>
                      </w:r>
                    </w:p>
                    <w:p w14:paraId="5856216B" w14:textId="77777777" w:rsidR="0077717D" w:rsidRDefault="0077717D" w:rsidP="0077717D">
                      <w:pPr>
                        <w:pStyle w:val="ColorfulList-Accent11"/>
                        <w:ind w:left="426" w:hanging="426"/>
                      </w:pPr>
                    </w:p>
                    <w:p w14:paraId="7A4669C6" w14:textId="624CD20F" w:rsidR="00074A52" w:rsidRPr="000853CD" w:rsidRDefault="00CD0384" w:rsidP="00CD0384">
                      <w:pPr>
                        <w:pStyle w:val="ColorfulList-Accent11"/>
                        <w:ind w:left="426" w:hanging="426"/>
                        <w:rPr>
                          <w:rFonts w:asciiTheme="minorHAnsi" w:hAnsiTheme="minorHAnsi" w:cstheme="minorHAnsi"/>
                        </w:rPr>
                      </w:pPr>
                      <w:r w:rsidRPr="00CD0384">
                        <w:rPr>
                          <w:rFonts w:asciiTheme="minorHAnsi" w:hAnsiTheme="minorHAnsi" w:cstheme="minorHAnsi"/>
                        </w:rPr>
                        <w:t>ii.</w:t>
                      </w:r>
                      <w:r w:rsidRPr="00CD0384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0853CD">
                        <w:rPr>
                          <w:rFonts w:asciiTheme="minorHAnsi" w:hAnsiTheme="minorHAnsi"/>
                        </w:rPr>
                        <w:t>examine</w:t>
                      </w:r>
                      <w:r w:rsidR="009216EF">
                        <w:rPr>
                          <w:rFonts w:asciiTheme="minorHAnsi" w:hAnsiTheme="minorHAnsi"/>
                        </w:rPr>
                        <w:t>r</w:t>
                      </w:r>
                      <w:r w:rsidRPr="000853CD">
                        <w:rPr>
                          <w:rFonts w:asciiTheme="minorHAnsi" w:hAnsiTheme="minorHAnsi"/>
                        </w:rPr>
                        <w:t xml:space="preserve"> la recommandation du Groupe de travail sur la gestion, telle que décrite aux paragraphes 6 à 8, d’autoriser le ou la Secrétaire général</w:t>
                      </w:r>
                      <w:r w:rsidR="000B5BF2">
                        <w:rPr>
                          <w:rFonts w:asciiTheme="minorHAnsi" w:hAnsiTheme="minorHAnsi"/>
                        </w:rPr>
                        <w:t>/</w:t>
                      </w:r>
                      <w:r w:rsidRPr="000853CD">
                        <w:rPr>
                          <w:rFonts w:asciiTheme="minorHAnsi" w:hAnsiTheme="minorHAnsi"/>
                        </w:rPr>
                        <w:t>e à conclure de nouveaux accords de coopération en suivant les orientations du document SC54 Doc.</w:t>
                      </w:r>
                      <w:proofErr w:type="gramStart"/>
                      <w:r w:rsidRPr="000853CD">
                        <w:rPr>
                          <w:rFonts w:asciiTheme="minorHAnsi" w:hAnsiTheme="minorHAnsi"/>
                        </w:rPr>
                        <w:t>16.Rev</w:t>
                      </w:r>
                      <w:proofErr w:type="gramEnd"/>
                      <w:r w:rsidR="00C52553">
                        <w:rPr>
                          <w:rFonts w:asciiTheme="minorHAnsi" w:hAnsiTheme="minorHAnsi" w:cstheme="minorHAnsi"/>
                        </w:rPr>
                        <w:t>1.</w:t>
                      </w:r>
                    </w:p>
                    <w:p w14:paraId="3220B1EB" w14:textId="77777777" w:rsidR="007F7F60" w:rsidRPr="007F7F60" w:rsidRDefault="007F7F6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28D090" w14:textId="77777777" w:rsidR="006058B3" w:rsidRDefault="006058B3" w:rsidP="006058B3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4D5FA08" w14:textId="77777777" w:rsidR="006058B3" w:rsidRDefault="006058B3" w:rsidP="005F680E">
      <w:pPr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5D6F4" w14:textId="77777777" w:rsidR="00773024" w:rsidRPr="006058B3" w:rsidRDefault="00773024" w:rsidP="005F680E">
      <w:pPr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t>Contexte</w:t>
      </w:r>
    </w:p>
    <w:p w14:paraId="1F742483" w14:textId="77777777" w:rsidR="00C32315" w:rsidRPr="006058B3" w:rsidRDefault="00C32315" w:rsidP="005F680E">
      <w:pPr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5A96F36" w14:textId="7811E277" w:rsidR="00CA5CD6" w:rsidRPr="005F680E" w:rsidRDefault="005F680E" w:rsidP="005F680E">
      <w:pPr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1.</w:t>
      </w:r>
      <w:r>
        <w:rPr>
          <w:rFonts w:asciiTheme="minorHAnsi" w:hAnsiTheme="minorHAnsi"/>
          <w:sz w:val="22"/>
        </w:rPr>
        <w:tab/>
        <w:t>Le présent rapport donne une vue d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 xml:space="preserve">ensemble des travaux réalisés par le Groupe de travail sur </w:t>
      </w:r>
      <w:proofErr w:type="gramStart"/>
      <w:r>
        <w:rPr>
          <w:rFonts w:asciiTheme="minorHAnsi" w:hAnsiTheme="minorHAnsi"/>
          <w:sz w:val="22"/>
        </w:rPr>
        <w:t>la</w:t>
      </w:r>
      <w:proofErr w:type="gramEnd"/>
      <w:r>
        <w:rPr>
          <w:rFonts w:asciiTheme="minorHAnsi" w:hAnsiTheme="minorHAnsi"/>
          <w:sz w:val="22"/>
        </w:rPr>
        <w:t xml:space="preserve"> gestion durant la période suivant la 62</w:t>
      </w:r>
      <w:r>
        <w:rPr>
          <w:rFonts w:asciiTheme="minorHAnsi" w:hAnsiTheme="minorHAnsi"/>
          <w:sz w:val="22"/>
          <w:vertAlign w:val="superscript"/>
        </w:rPr>
        <w:t>e</w:t>
      </w:r>
      <w:r>
        <w:rPr>
          <w:rFonts w:asciiTheme="minorHAnsi" w:hAnsiTheme="minorHAnsi"/>
          <w:sz w:val="22"/>
        </w:rPr>
        <w:t> réunion du Comité permanent, tenue du 4 au 8 septembre 2023, jusqu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au 4 mars 2024, date de publication des documents de la 63</w:t>
      </w:r>
      <w:r w:rsidRPr="009014CB">
        <w:rPr>
          <w:rFonts w:asciiTheme="minorHAnsi" w:hAnsiTheme="minorHAnsi"/>
          <w:sz w:val="22"/>
          <w:vertAlign w:val="superscript"/>
        </w:rPr>
        <w:t>e</w:t>
      </w:r>
      <w:r>
        <w:rPr>
          <w:rFonts w:asciiTheme="minorHAnsi" w:hAnsiTheme="minorHAnsi"/>
          <w:sz w:val="22"/>
        </w:rPr>
        <w:t> réunion du Comité permanent.</w:t>
      </w:r>
    </w:p>
    <w:p w14:paraId="04B0C865" w14:textId="77777777" w:rsidR="00D631CE" w:rsidRPr="005F680E" w:rsidRDefault="00D631CE" w:rsidP="005F680E">
      <w:pPr>
        <w:pStyle w:val="ListParagraph"/>
        <w:spacing w:after="0" w:line="240" w:lineRule="auto"/>
        <w:ind w:left="425" w:hanging="425"/>
        <w:rPr>
          <w:rFonts w:cstheme="minorHAnsi"/>
          <w:bCs/>
        </w:rPr>
      </w:pPr>
    </w:p>
    <w:p w14:paraId="2AB2532B" w14:textId="35575EA9" w:rsidR="00F1025C" w:rsidRPr="000C70C6" w:rsidRDefault="005F680E" w:rsidP="00017290">
      <w:pPr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2.</w:t>
      </w:r>
      <w:r>
        <w:rPr>
          <w:rFonts w:asciiTheme="minorHAnsi" w:hAnsiTheme="minorHAnsi"/>
          <w:sz w:val="22"/>
        </w:rPr>
        <w:tab/>
        <w:t>Le rôle et la composition du Groupe de travail sur la gestion sont définis dans les Résolutions IX.24 et X.4. Le Groupe comprend le ou la Président</w:t>
      </w:r>
      <w:r w:rsidR="00862522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>e et le ou la Vice-président</w:t>
      </w:r>
      <w:r w:rsidR="00862522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>e du Comité permanent de la période triennale précédente ; le ou la Président</w:t>
      </w:r>
      <w:r w:rsidR="00862522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 xml:space="preserve">e et </w:t>
      </w:r>
      <w:r w:rsidR="0019037F">
        <w:rPr>
          <w:rFonts w:asciiTheme="minorHAnsi" w:hAnsiTheme="minorHAnsi"/>
          <w:sz w:val="22"/>
        </w:rPr>
        <w:t>le</w:t>
      </w:r>
      <w:r>
        <w:rPr>
          <w:rFonts w:asciiTheme="minorHAnsi" w:hAnsiTheme="minorHAnsi"/>
          <w:sz w:val="22"/>
        </w:rPr>
        <w:t xml:space="preserve"> ou la Vice-président</w:t>
      </w:r>
      <w:r w:rsidR="00862522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>e du Comité permanent établi pour la période triennale suivante ; les Président</w:t>
      </w:r>
      <w:r w:rsidR="00862522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>e</w:t>
      </w:r>
      <w:r w:rsidR="00862522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>s du Sous-groupe sur les finances du Comité permanent précédent et du Comité permanent élu ; les Président</w:t>
      </w:r>
      <w:r w:rsidR="004774E9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>e</w:t>
      </w:r>
      <w:r w:rsidR="004774E9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>s du Groupe d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évaluation scientifique et technique de la période triennale précédente et de la période triennale nouvelle ; toutes les Parties contractantes intéressées, en gardant à l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esprit qu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il est souhaitable de veiller à une participation régionale équitable ; un</w:t>
      </w:r>
      <w:r w:rsidR="009A385E">
        <w:rPr>
          <w:rFonts w:asciiTheme="minorHAnsi" w:hAnsiTheme="minorHAnsi"/>
          <w:sz w:val="22"/>
        </w:rPr>
        <w:t>/e</w:t>
      </w:r>
      <w:r>
        <w:rPr>
          <w:rFonts w:asciiTheme="minorHAnsi" w:hAnsiTheme="minorHAnsi"/>
          <w:sz w:val="22"/>
        </w:rPr>
        <w:t xml:space="preserve"> représentant</w:t>
      </w:r>
      <w:r w:rsidR="009A385E">
        <w:rPr>
          <w:rFonts w:asciiTheme="minorHAnsi" w:hAnsiTheme="minorHAnsi"/>
          <w:sz w:val="22"/>
        </w:rPr>
        <w:t>/e</w:t>
      </w:r>
      <w:r>
        <w:rPr>
          <w:rFonts w:asciiTheme="minorHAnsi" w:hAnsiTheme="minorHAnsi"/>
          <w:sz w:val="22"/>
        </w:rPr>
        <w:t xml:space="preserve"> des Organisations internationales partenaires (OIP) ; et le ou la Secrétaire général</w:t>
      </w:r>
      <w:r w:rsidR="009A385E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 xml:space="preserve">e de droit. </w:t>
      </w:r>
    </w:p>
    <w:p w14:paraId="3724BC98" w14:textId="1763E199" w:rsidR="00017290" w:rsidRDefault="00017290" w:rsidP="00017290">
      <w:pPr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3A697761" w14:textId="6E70897C" w:rsidR="00017290" w:rsidRDefault="00017290" w:rsidP="006E61BB">
      <w:pPr>
        <w:ind w:left="426" w:hanging="426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3.</w:t>
      </w:r>
      <w:r>
        <w:rPr>
          <w:rFonts w:asciiTheme="minorHAnsi" w:hAnsiTheme="minorHAnsi"/>
          <w:sz w:val="22"/>
        </w:rPr>
        <w:tab/>
        <w:t>Les membres actuels du Groupe de travail sur la gestion sont les suivants : la Chine,</w:t>
      </w:r>
      <w:r>
        <w:rPr>
          <w:rFonts w:asciiTheme="minorHAnsi" w:hAnsiTheme="minorHAnsi"/>
          <w:color w:val="333333"/>
          <w:sz w:val="22"/>
        </w:rPr>
        <w:t xml:space="preserve"> les Émirats arabes unis, les États-Unis d</w:t>
      </w:r>
      <w:r w:rsidR="00B86AE4">
        <w:rPr>
          <w:rFonts w:asciiTheme="minorHAnsi" w:hAnsiTheme="minorHAnsi"/>
          <w:color w:val="333333"/>
          <w:sz w:val="22"/>
        </w:rPr>
        <w:t>’</w:t>
      </w:r>
      <w:r>
        <w:rPr>
          <w:rFonts w:asciiTheme="minorHAnsi" w:hAnsiTheme="minorHAnsi"/>
          <w:color w:val="333333"/>
          <w:sz w:val="22"/>
        </w:rPr>
        <w:t>Amérique, le Gabon, le Mexique, la Suède, les ancien</w:t>
      </w:r>
      <w:r w:rsidR="00473B3C">
        <w:rPr>
          <w:rFonts w:asciiTheme="minorHAnsi" w:hAnsiTheme="minorHAnsi"/>
          <w:color w:val="333333"/>
          <w:sz w:val="22"/>
        </w:rPr>
        <w:t>/</w:t>
      </w:r>
      <w:r>
        <w:rPr>
          <w:rFonts w:asciiTheme="minorHAnsi" w:hAnsiTheme="minorHAnsi"/>
          <w:color w:val="333333"/>
          <w:sz w:val="22"/>
        </w:rPr>
        <w:t>ne</w:t>
      </w:r>
      <w:r w:rsidR="00473B3C">
        <w:rPr>
          <w:rFonts w:asciiTheme="minorHAnsi" w:hAnsiTheme="minorHAnsi"/>
          <w:color w:val="333333"/>
          <w:sz w:val="22"/>
        </w:rPr>
        <w:t>/</w:t>
      </w:r>
      <w:r>
        <w:rPr>
          <w:rFonts w:asciiTheme="minorHAnsi" w:hAnsiTheme="minorHAnsi"/>
          <w:color w:val="333333"/>
          <w:sz w:val="22"/>
        </w:rPr>
        <w:t>s et actuel</w:t>
      </w:r>
      <w:r w:rsidR="00473B3C">
        <w:rPr>
          <w:rFonts w:asciiTheme="minorHAnsi" w:hAnsiTheme="minorHAnsi"/>
          <w:color w:val="333333"/>
          <w:sz w:val="22"/>
        </w:rPr>
        <w:t>/</w:t>
      </w:r>
      <w:r>
        <w:rPr>
          <w:rFonts w:asciiTheme="minorHAnsi" w:hAnsiTheme="minorHAnsi"/>
          <w:color w:val="333333"/>
          <w:sz w:val="22"/>
        </w:rPr>
        <w:t>le</w:t>
      </w:r>
      <w:r w:rsidR="00473B3C">
        <w:rPr>
          <w:rFonts w:asciiTheme="minorHAnsi" w:hAnsiTheme="minorHAnsi"/>
          <w:color w:val="333333"/>
          <w:sz w:val="22"/>
        </w:rPr>
        <w:t>/</w:t>
      </w:r>
      <w:r>
        <w:rPr>
          <w:rFonts w:asciiTheme="minorHAnsi" w:hAnsiTheme="minorHAnsi"/>
          <w:color w:val="333333"/>
          <w:sz w:val="22"/>
        </w:rPr>
        <w:t>s Président</w:t>
      </w:r>
      <w:r w:rsidR="00473B3C">
        <w:rPr>
          <w:rFonts w:asciiTheme="minorHAnsi" w:hAnsiTheme="minorHAnsi"/>
          <w:color w:val="333333"/>
          <w:sz w:val="22"/>
        </w:rPr>
        <w:t>/</w:t>
      </w:r>
      <w:r>
        <w:rPr>
          <w:rFonts w:asciiTheme="minorHAnsi" w:hAnsiTheme="minorHAnsi"/>
          <w:color w:val="333333"/>
          <w:sz w:val="22"/>
        </w:rPr>
        <w:t>e</w:t>
      </w:r>
      <w:r w:rsidR="00473B3C">
        <w:rPr>
          <w:rFonts w:asciiTheme="minorHAnsi" w:hAnsiTheme="minorHAnsi"/>
          <w:color w:val="333333"/>
          <w:sz w:val="22"/>
        </w:rPr>
        <w:t>/</w:t>
      </w:r>
      <w:r>
        <w:rPr>
          <w:rFonts w:asciiTheme="minorHAnsi" w:hAnsiTheme="minorHAnsi"/>
          <w:color w:val="333333"/>
          <w:sz w:val="22"/>
        </w:rPr>
        <w:t>s du GEST, le WWF représentant les OIP, et le Canada, la Côte d</w:t>
      </w:r>
      <w:r w:rsidR="00B86AE4">
        <w:rPr>
          <w:rFonts w:asciiTheme="minorHAnsi" w:hAnsiTheme="minorHAnsi"/>
          <w:color w:val="333333"/>
          <w:sz w:val="22"/>
        </w:rPr>
        <w:t>’</w:t>
      </w:r>
      <w:r>
        <w:rPr>
          <w:rFonts w:asciiTheme="minorHAnsi" w:hAnsiTheme="minorHAnsi"/>
          <w:color w:val="333333"/>
          <w:sz w:val="22"/>
        </w:rPr>
        <w:t>Ivoire, les Samoa et la Suisse en tant que Parties intéressées</w:t>
      </w:r>
      <w:r>
        <w:rPr>
          <w:rFonts w:asciiTheme="minorHAnsi" w:hAnsiTheme="minorHAnsi"/>
          <w:sz w:val="22"/>
        </w:rPr>
        <w:t xml:space="preserve">. La Chine, en tant que Présidente du Comité permanent, assure la présidence du Groupe de travail sur la gestion. </w:t>
      </w:r>
    </w:p>
    <w:p w14:paraId="101C383F" w14:textId="77777777" w:rsidR="00027DBC" w:rsidRDefault="00027DBC" w:rsidP="00017290">
      <w:pPr>
        <w:ind w:left="0" w:firstLine="0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6B815F2D" w14:textId="5DBF6BD1" w:rsidR="00F12376" w:rsidRPr="006058B3" w:rsidRDefault="00F12376" w:rsidP="00142986">
      <w:pPr>
        <w:keepNext/>
        <w:ind w:left="426" w:hanging="425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</w:rPr>
        <w:lastRenderedPageBreak/>
        <w:t xml:space="preserve">Travaux conduits par le Groupe de travail sur la gestion </w:t>
      </w:r>
    </w:p>
    <w:p w14:paraId="0270647C" w14:textId="77777777" w:rsidR="005053BC" w:rsidRDefault="005053BC" w:rsidP="00142986">
      <w:pPr>
        <w:pStyle w:val="ColorfulList-Accent11"/>
        <w:keepNext/>
        <w:ind w:left="0" w:firstLine="0"/>
        <w:rPr>
          <w:rFonts w:asciiTheme="minorHAnsi" w:eastAsia="Times New Roman" w:hAnsiTheme="minorHAnsi" w:cstheme="minorHAnsi"/>
          <w:bCs/>
          <w:lang w:eastAsia="en-GB"/>
        </w:rPr>
      </w:pPr>
    </w:p>
    <w:p w14:paraId="2C2C825A" w14:textId="4A60A300" w:rsidR="006E61BB" w:rsidRPr="00EF4F00" w:rsidRDefault="00EF4F00" w:rsidP="00EF4F00">
      <w:pPr>
        <w:pStyle w:val="ColorfulList-Accent11"/>
        <w:ind w:left="425"/>
        <w:rPr>
          <w:rFonts w:asciiTheme="minorHAnsi" w:hAnsiTheme="minorHAnsi" w:cstheme="minorHAnsi"/>
          <w:bCs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  <w:t>Dans sa décision SC62-49, le Comité permanent « </w:t>
      </w:r>
      <w:r>
        <w:rPr>
          <w:rFonts w:asciiTheme="minorHAnsi" w:hAnsiTheme="minorHAnsi"/>
          <w:i/>
        </w:rPr>
        <w:t>demande au Groupe de travail sur la gestion de préparer un document décrivant le processus de recrutement d</w:t>
      </w:r>
      <w:r w:rsidR="00B86AE4">
        <w:rPr>
          <w:rFonts w:asciiTheme="minorHAnsi" w:hAnsiTheme="minorHAnsi"/>
          <w:i/>
        </w:rPr>
        <w:t>’</w:t>
      </w:r>
      <w:r>
        <w:rPr>
          <w:rFonts w:asciiTheme="minorHAnsi" w:hAnsiTheme="minorHAnsi"/>
          <w:i/>
        </w:rPr>
        <w:t>un nouveau Secrétaire général, pour examen par le Comité permanent à sa 63</w:t>
      </w:r>
      <w:r>
        <w:rPr>
          <w:rFonts w:asciiTheme="minorHAnsi" w:hAnsiTheme="minorHAnsi"/>
          <w:i/>
          <w:vertAlign w:val="superscript"/>
        </w:rPr>
        <w:t>e</w:t>
      </w:r>
      <w:r>
        <w:rPr>
          <w:rFonts w:asciiTheme="minorHAnsi" w:hAnsiTheme="minorHAnsi"/>
          <w:i/>
        </w:rPr>
        <w:t> réunion, notant que la présente Décision remplace la Décision SC59-40</w:t>
      </w:r>
      <w:r>
        <w:rPr>
          <w:rFonts w:asciiTheme="minorHAnsi" w:hAnsiTheme="minorHAnsi"/>
        </w:rPr>
        <w:t> ». Un groupe de rédaction composé de la Chine, du Gabon, de la Suède, et dirigé par la Suisse a été constitué pour rédiger le document demandé. Ce projet de document est présenté sous la cote SC63 Doc.7.2 pour examen par le Comité permanent.</w:t>
      </w:r>
    </w:p>
    <w:p w14:paraId="6BC0A27A" w14:textId="59CA966B" w:rsidR="006E61BB" w:rsidRPr="00EF4F00" w:rsidRDefault="006E61BB" w:rsidP="00EF4F00">
      <w:pPr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</w:p>
    <w:p w14:paraId="411F790B" w14:textId="54229C6E" w:rsidR="00874DDC" w:rsidRPr="00EF4F00" w:rsidRDefault="00EF4F00" w:rsidP="00EF4F00">
      <w:pPr>
        <w:ind w:left="425" w:hanging="425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/>
          <w:sz w:val="22"/>
        </w:rPr>
        <w:t>5.</w:t>
      </w:r>
      <w:r>
        <w:rPr>
          <w:rFonts w:asciiTheme="minorHAnsi" w:hAnsiTheme="minorHAnsi"/>
          <w:sz w:val="22"/>
        </w:rPr>
        <w:tab/>
        <w:t>Le 18 janvier 2024, le Groupe de travail sur la gestion s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 xml:space="preserve">est réuni virtuellement pour achever la préparation du document SC63 Doc.7.2 </w:t>
      </w:r>
      <w:r>
        <w:rPr>
          <w:rFonts w:asciiTheme="minorHAnsi" w:hAnsiTheme="minorHAnsi"/>
          <w:i/>
          <w:sz w:val="22"/>
        </w:rPr>
        <w:t>Rapport sur la procédure de recrutement d</w:t>
      </w:r>
      <w:r w:rsidR="00D832F3">
        <w:rPr>
          <w:rFonts w:asciiTheme="minorHAnsi" w:hAnsiTheme="minorHAnsi"/>
          <w:i/>
          <w:sz w:val="22"/>
        </w:rPr>
        <w:t>’</w:t>
      </w:r>
      <w:r>
        <w:rPr>
          <w:rFonts w:asciiTheme="minorHAnsi" w:hAnsiTheme="minorHAnsi"/>
          <w:i/>
          <w:sz w:val="22"/>
        </w:rPr>
        <w:t>un</w:t>
      </w:r>
      <w:r w:rsidR="00FE0E47">
        <w:rPr>
          <w:rFonts w:asciiTheme="minorHAnsi" w:hAnsiTheme="minorHAnsi"/>
          <w:i/>
          <w:sz w:val="22"/>
        </w:rPr>
        <w:t>/</w:t>
      </w:r>
      <w:r>
        <w:rPr>
          <w:rFonts w:asciiTheme="minorHAnsi" w:hAnsiTheme="minorHAnsi"/>
          <w:i/>
          <w:sz w:val="22"/>
        </w:rPr>
        <w:t>e Secrétaire général</w:t>
      </w:r>
      <w:r w:rsidR="0074564D">
        <w:rPr>
          <w:rFonts w:asciiTheme="minorHAnsi" w:hAnsiTheme="minorHAnsi"/>
          <w:i/>
          <w:sz w:val="22"/>
        </w:rPr>
        <w:t>/</w:t>
      </w:r>
      <w:r>
        <w:rPr>
          <w:rFonts w:asciiTheme="minorHAnsi" w:hAnsiTheme="minorHAnsi"/>
          <w:i/>
          <w:sz w:val="22"/>
        </w:rPr>
        <w:t>e</w:t>
      </w:r>
      <w:r>
        <w:rPr>
          <w:rFonts w:asciiTheme="minorHAnsi" w:hAnsiTheme="minorHAnsi"/>
          <w:sz w:val="22"/>
        </w:rPr>
        <w:t xml:space="preserve">, évaluer les progrès </w:t>
      </w:r>
      <w:r w:rsidR="00C543BF">
        <w:rPr>
          <w:rFonts w:asciiTheme="minorHAnsi" w:hAnsiTheme="minorHAnsi"/>
          <w:sz w:val="22"/>
        </w:rPr>
        <w:t>de</w:t>
      </w:r>
      <w:r>
        <w:rPr>
          <w:rFonts w:asciiTheme="minorHAnsi" w:hAnsiTheme="minorHAnsi"/>
          <w:sz w:val="22"/>
        </w:rPr>
        <w:t xml:space="preserve"> la mise en œuvre des plans de travail de la CESP et du GEST, faire le suivi des préparatifs de la COP15 et examiner une proposition visant à recommander que le Comité permanent abroge la Décision 52-11.</w:t>
      </w:r>
    </w:p>
    <w:p w14:paraId="1C4129F4" w14:textId="77777777" w:rsidR="0072271B" w:rsidRPr="00EF4F00" w:rsidRDefault="0072271B" w:rsidP="00EF4F00">
      <w:pPr>
        <w:pStyle w:val="ListParagraph"/>
        <w:spacing w:after="0" w:line="240" w:lineRule="auto"/>
        <w:ind w:left="425" w:hanging="425"/>
        <w:rPr>
          <w:rFonts w:cstheme="minorHAnsi"/>
          <w:bCs/>
        </w:rPr>
      </w:pPr>
    </w:p>
    <w:p w14:paraId="1F22A060" w14:textId="6D94013F" w:rsidR="000D4C13" w:rsidRPr="00EF4F00" w:rsidRDefault="00EF4F00" w:rsidP="00EF4F00">
      <w:pPr>
        <w:suppressAutoHyphens/>
        <w:ind w:left="425" w:hanging="425"/>
        <w:jc w:val="left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sz w:val="22"/>
        </w:rPr>
        <w:t>6.</w:t>
      </w:r>
      <w:r>
        <w:rPr>
          <w:rFonts w:asciiTheme="minorHAnsi" w:hAnsiTheme="minorHAnsi"/>
          <w:sz w:val="22"/>
        </w:rPr>
        <w:tab/>
        <w:t>Lors de cette réunion, le Secrétariat a présenté une proposition d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abrogation de la Décision SC52-11 dans laquelle</w:t>
      </w:r>
      <w:r>
        <w:rPr>
          <w:rStyle w:val="Strong"/>
          <w:rFonts w:asciiTheme="minorHAnsi" w:hAnsiTheme="minorHAnsi"/>
          <w:b w:val="0"/>
          <w:i/>
          <w:sz w:val="22"/>
        </w:rPr>
        <w:t xml:space="preserve"> </w:t>
      </w:r>
      <w:r>
        <w:rPr>
          <w:rStyle w:val="Strong"/>
          <w:rFonts w:asciiTheme="minorHAnsi" w:hAnsiTheme="minorHAnsi"/>
          <w:b w:val="0"/>
          <w:i/>
          <w:iCs/>
          <w:sz w:val="22"/>
        </w:rPr>
        <w:t>« Le Comité permanent décide que le Groupe de travail sur la gestion doit être prié d</w:t>
      </w:r>
      <w:r w:rsidR="00B86AE4">
        <w:rPr>
          <w:rStyle w:val="Strong"/>
          <w:rFonts w:asciiTheme="minorHAnsi" w:hAnsiTheme="minorHAnsi"/>
          <w:b w:val="0"/>
          <w:i/>
          <w:iCs/>
          <w:sz w:val="22"/>
        </w:rPr>
        <w:t>’</w:t>
      </w:r>
      <w:r>
        <w:rPr>
          <w:rStyle w:val="Strong"/>
          <w:rFonts w:asciiTheme="minorHAnsi" w:hAnsiTheme="minorHAnsi"/>
          <w:b w:val="0"/>
          <w:i/>
          <w:iCs/>
          <w:sz w:val="22"/>
        </w:rPr>
        <w:t>examiner tous les nouveaux mémorandums d</w:t>
      </w:r>
      <w:r w:rsidR="00B86AE4">
        <w:rPr>
          <w:rStyle w:val="Strong"/>
          <w:rFonts w:asciiTheme="minorHAnsi" w:hAnsiTheme="minorHAnsi"/>
          <w:b w:val="0"/>
          <w:i/>
          <w:iCs/>
          <w:sz w:val="22"/>
        </w:rPr>
        <w:t>’</w:t>
      </w:r>
      <w:r>
        <w:rPr>
          <w:rStyle w:val="Strong"/>
          <w:rFonts w:asciiTheme="minorHAnsi" w:hAnsiTheme="minorHAnsi"/>
          <w:b w:val="0"/>
          <w:i/>
          <w:iCs/>
          <w:sz w:val="22"/>
        </w:rPr>
        <w:t>accord ainsi que d</w:t>
      </w:r>
      <w:r w:rsidR="00B86AE4">
        <w:rPr>
          <w:rStyle w:val="Strong"/>
          <w:rFonts w:asciiTheme="minorHAnsi" w:hAnsiTheme="minorHAnsi"/>
          <w:b w:val="0"/>
          <w:i/>
          <w:iCs/>
          <w:sz w:val="22"/>
        </w:rPr>
        <w:t>’</w:t>
      </w:r>
      <w:r>
        <w:rPr>
          <w:rStyle w:val="Strong"/>
          <w:rFonts w:asciiTheme="minorHAnsi" w:hAnsiTheme="minorHAnsi"/>
          <w:b w:val="0"/>
          <w:i/>
          <w:iCs/>
          <w:sz w:val="22"/>
        </w:rPr>
        <w:t>autres accords éventuels entre le Secrétariat Ramsar et d</w:t>
      </w:r>
      <w:r w:rsidR="00B86AE4">
        <w:rPr>
          <w:rStyle w:val="Strong"/>
          <w:rFonts w:asciiTheme="minorHAnsi" w:hAnsiTheme="minorHAnsi"/>
          <w:b w:val="0"/>
          <w:i/>
          <w:iCs/>
          <w:sz w:val="22"/>
        </w:rPr>
        <w:t>’</w:t>
      </w:r>
      <w:r>
        <w:rPr>
          <w:rStyle w:val="Strong"/>
          <w:rFonts w:asciiTheme="minorHAnsi" w:hAnsiTheme="minorHAnsi"/>
          <w:b w:val="0"/>
          <w:i/>
          <w:iCs/>
          <w:sz w:val="22"/>
        </w:rPr>
        <w:t>autres organismes, à la réunion du Groupe qui précède immédiatement la réunion du Comité permanent à laquelle les accords devaient être soumis pour approbation</w:t>
      </w:r>
      <w:r w:rsidRPr="00FE1708">
        <w:rPr>
          <w:rStyle w:val="Strong"/>
          <w:rFonts w:asciiTheme="minorHAnsi" w:hAnsiTheme="minorHAnsi"/>
          <w:b w:val="0"/>
          <w:i/>
          <w:iCs/>
          <w:sz w:val="22"/>
        </w:rPr>
        <w:t>. »</w:t>
      </w:r>
      <w:r>
        <w:rPr>
          <w:rStyle w:val="Strong"/>
          <w:rFonts w:asciiTheme="minorHAnsi" w:hAnsiTheme="minorHAnsi"/>
          <w:b w:val="0"/>
          <w:i/>
          <w:sz w:val="22"/>
        </w:rPr>
        <w:t xml:space="preserve"> </w:t>
      </w:r>
      <w:r>
        <w:rPr>
          <w:rStyle w:val="Strong"/>
          <w:rFonts w:asciiTheme="minorHAnsi" w:hAnsiTheme="minorHAnsi"/>
          <w:b w:val="0"/>
          <w:sz w:val="22"/>
        </w:rPr>
        <w:t>Le Secrétariat a informé le Groupe de travail sur la gestion qu</w:t>
      </w:r>
      <w:r w:rsidR="00B86AE4">
        <w:rPr>
          <w:rStyle w:val="Strong"/>
          <w:rFonts w:asciiTheme="minorHAnsi" w:hAnsiTheme="minorHAnsi"/>
          <w:b w:val="0"/>
          <w:sz w:val="22"/>
        </w:rPr>
        <w:t>’</w:t>
      </w:r>
      <w:r>
        <w:rPr>
          <w:rStyle w:val="Strong"/>
          <w:rFonts w:asciiTheme="minorHAnsi" w:hAnsiTheme="minorHAnsi"/>
          <w:b w:val="0"/>
          <w:sz w:val="22"/>
        </w:rPr>
        <w:t>il avait suivi les orientations relatives au renouvellement des mémorandums d</w:t>
      </w:r>
      <w:r w:rsidR="00B86AE4">
        <w:rPr>
          <w:rStyle w:val="Strong"/>
          <w:rFonts w:asciiTheme="minorHAnsi" w:hAnsiTheme="minorHAnsi"/>
          <w:b w:val="0"/>
          <w:sz w:val="22"/>
        </w:rPr>
        <w:t>’</w:t>
      </w:r>
      <w:r>
        <w:rPr>
          <w:rStyle w:val="Strong"/>
          <w:rFonts w:asciiTheme="minorHAnsi" w:hAnsiTheme="minorHAnsi"/>
          <w:b w:val="0"/>
          <w:sz w:val="22"/>
        </w:rPr>
        <w:t>accord fournies dans le document SC54 Doc.16 Rev.1 qui fournit également un arbre décisionnel et des orientations approuvés par le Comité permanent sur l</w:t>
      </w:r>
      <w:r w:rsidR="00B86AE4">
        <w:rPr>
          <w:rStyle w:val="Strong"/>
          <w:rFonts w:asciiTheme="minorHAnsi" w:hAnsiTheme="minorHAnsi"/>
          <w:b w:val="0"/>
          <w:sz w:val="22"/>
        </w:rPr>
        <w:t>’</w:t>
      </w:r>
      <w:r>
        <w:rPr>
          <w:rStyle w:val="Strong"/>
          <w:rFonts w:asciiTheme="minorHAnsi" w:hAnsiTheme="minorHAnsi"/>
          <w:b w:val="0"/>
          <w:sz w:val="22"/>
        </w:rPr>
        <w:t>utilisation d</w:t>
      </w:r>
      <w:r w:rsidR="00B86AE4">
        <w:rPr>
          <w:rStyle w:val="Strong"/>
          <w:rFonts w:asciiTheme="minorHAnsi" w:hAnsiTheme="minorHAnsi"/>
          <w:b w:val="0"/>
          <w:sz w:val="22"/>
        </w:rPr>
        <w:t>’</w:t>
      </w:r>
      <w:r>
        <w:rPr>
          <w:rStyle w:val="Strong"/>
          <w:rFonts w:asciiTheme="minorHAnsi" w:hAnsiTheme="minorHAnsi"/>
          <w:b w:val="0"/>
          <w:sz w:val="22"/>
        </w:rPr>
        <w:t>accords de coopération, notant que les accords passés avec les donateurs n</w:t>
      </w:r>
      <w:r w:rsidR="00B86AE4">
        <w:rPr>
          <w:rStyle w:val="Strong"/>
          <w:rFonts w:asciiTheme="minorHAnsi" w:hAnsiTheme="minorHAnsi"/>
          <w:b w:val="0"/>
          <w:sz w:val="22"/>
        </w:rPr>
        <w:t>’</w:t>
      </w:r>
      <w:r>
        <w:rPr>
          <w:rStyle w:val="Strong"/>
          <w:rFonts w:asciiTheme="minorHAnsi" w:hAnsiTheme="minorHAnsi"/>
          <w:b w:val="0"/>
          <w:sz w:val="22"/>
        </w:rPr>
        <w:t xml:space="preserve">entrent pas dans ce processus. </w:t>
      </w:r>
    </w:p>
    <w:p w14:paraId="0E6F536D" w14:textId="77777777" w:rsidR="000D4C13" w:rsidRPr="00EF4F00" w:rsidRDefault="000D4C13" w:rsidP="00EF4F00">
      <w:pPr>
        <w:pStyle w:val="ListParagraph"/>
        <w:spacing w:after="0" w:line="240" w:lineRule="auto"/>
        <w:ind w:left="425" w:hanging="425"/>
        <w:rPr>
          <w:rStyle w:val="Strong"/>
          <w:rFonts w:cstheme="minorHAnsi"/>
          <w:b w:val="0"/>
        </w:rPr>
      </w:pPr>
    </w:p>
    <w:p w14:paraId="37C3C60B" w14:textId="5F8F83B6" w:rsidR="0072271B" w:rsidRPr="00EF4F00" w:rsidRDefault="00EF4F00" w:rsidP="00EF4F00">
      <w:pPr>
        <w:suppressAutoHyphens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Style w:val="Strong"/>
          <w:rFonts w:asciiTheme="minorHAnsi" w:hAnsiTheme="minorHAnsi"/>
          <w:b w:val="0"/>
          <w:sz w:val="22"/>
        </w:rPr>
        <w:t>7.</w:t>
      </w:r>
      <w:r>
        <w:rPr>
          <w:rStyle w:val="Strong"/>
          <w:rFonts w:asciiTheme="minorHAnsi" w:hAnsiTheme="minorHAnsi"/>
          <w:b w:val="0"/>
          <w:sz w:val="22"/>
        </w:rPr>
        <w:tab/>
        <w:t xml:space="preserve">Le Secrétariat a invité le Groupe de travail sur la gestion à envisager de donner au ou à la </w:t>
      </w:r>
      <w:r>
        <w:rPr>
          <w:rFonts w:asciiTheme="minorHAnsi" w:hAnsiTheme="minorHAnsi"/>
          <w:sz w:val="22"/>
        </w:rPr>
        <w:t>Secrétaire général</w:t>
      </w:r>
      <w:r w:rsidR="006A79FA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>e l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autorité de déterminer quand un mémorandum d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accord avec un nouvel organisme est approprié, en suivant les orientations du document SC54 Doc.</w:t>
      </w:r>
      <w:proofErr w:type="gramStart"/>
      <w:r>
        <w:rPr>
          <w:rFonts w:asciiTheme="minorHAnsi" w:hAnsiTheme="minorHAnsi"/>
          <w:sz w:val="22"/>
        </w:rPr>
        <w:t>16.Rev</w:t>
      </w:r>
      <w:proofErr w:type="gramEnd"/>
      <w:r>
        <w:rPr>
          <w:rFonts w:asciiTheme="minorHAnsi" w:hAnsiTheme="minorHAnsi"/>
          <w:sz w:val="22"/>
        </w:rPr>
        <w:t>.1 et le modèle juridique de l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 xml:space="preserve">UICN pour les accords de coopération. </w:t>
      </w:r>
      <w:r w:rsidR="00021747">
        <w:rPr>
          <w:rFonts w:asciiTheme="minorHAnsi" w:hAnsiTheme="minorHAnsi"/>
          <w:sz w:val="22"/>
        </w:rPr>
        <w:t>Il</w:t>
      </w:r>
      <w:r>
        <w:rPr>
          <w:rFonts w:asciiTheme="minorHAnsi" w:hAnsiTheme="minorHAnsi"/>
          <w:sz w:val="22"/>
        </w:rPr>
        <w:t xml:space="preserve"> a </w:t>
      </w:r>
      <w:r w:rsidR="00021747">
        <w:rPr>
          <w:rFonts w:asciiTheme="minorHAnsi" w:hAnsiTheme="minorHAnsi"/>
          <w:sz w:val="22"/>
        </w:rPr>
        <w:t xml:space="preserve">également </w:t>
      </w:r>
      <w:r>
        <w:rPr>
          <w:rFonts w:asciiTheme="minorHAnsi" w:hAnsiTheme="minorHAnsi"/>
          <w:sz w:val="22"/>
        </w:rPr>
        <w:t>indiqué que cette approche est conforme à celle d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autres AME, ainsi qu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aux fonctions et responsabilités du ou de la Secrétaire général</w:t>
      </w:r>
      <w:r w:rsidR="00D8097A">
        <w:rPr>
          <w:rFonts w:asciiTheme="minorHAnsi" w:hAnsiTheme="minorHAnsi"/>
          <w:sz w:val="22"/>
        </w:rPr>
        <w:t>/</w:t>
      </w:r>
      <w:r>
        <w:rPr>
          <w:rFonts w:asciiTheme="minorHAnsi" w:hAnsiTheme="minorHAnsi"/>
          <w:sz w:val="22"/>
        </w:rPr>
        <w:t>e dans le cadre de son mandat, et qu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elle permet un processus « souple et lég</w:t>
      </w:r>
      <w:r w:rsidR="00C0664D">
        <w:rPr>
          <w:rFonts w:asciiTheme="minorHAnsi" w:hAnsiTheme="minorHAnsi"/>
          <w:sz w:val="22"/>
        </w:rPr>
        <w:t>er</w:t>
      </w:r>
      <w:r>
        <w:rPr>
          <w:rFonts w:asciiTheme="minorHAnsi" w:hAnsiTheme="minorHAnsi"/>
          <w:sz w:val="22"/>
        </w:rPr>
        <w:t> » pour conclure des accords de coopération, comme l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a indiqué le Groupe de travail sur la gestion dans les délibérations visant à éclairer l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 xml:space="preserve">élaboration du document SC54 Doc.16 Rev.1. Le Secrétariat a </w:t>
      </w:r>
      <w:r w:rsidR="001160DE">
        <w:rPr>
          <w:rFonts w:asciiTheme="minorHAnsi" w:hAnsiTheme="minorHAnsi"/>
          <w:sz w:val="22"/>
        </w:rPr>
        <w:t>aussi</w:t>
      </w:r>
      <w:r>
        <w:rPr>
          <w:rFonts w:asciiTheme="minorHAnsi" w:hAnsiTheme="minorHAnsi"/>
          <w:sz w:val="22"/>
        </w:rPr>
        <w:t xml:space="preserve"> noté que les décisions du Comité permanent devraient, de manière générale, porter sur des mesures relevant d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une période triennale et ne pas fournir d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instructions et d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>orientations de long terme, et que des instructions sur l</w:t>
      </w:r>
      <w:r w:rsidR="00B86AE4">
        <w:rPr>
          <w:rFonts w:asciiTheme="minorHAnsi" w:hAnsiTheme="minorHAnsi"/>
          <w:sz w:val="22"/>
        </w:rPr>
        <w:t>’</w:t>
      </w:r>
      <w:r>
        <w:rPr>
          <w:rFonts w:asciiTheme="minorHAnsi" w:hAnsiTheme="minorHAnsi"/>
          <w:sz w:val="22"/>
        </w:rPr>
        <w:t xml:space="preserve">autorité de conclure de nouveaux accords de coopération devraient être incluses dans le projet de résolution sur les synergies qui sera examiné par la COP15. </w:t>
      </w:r>
    </w:p>
    <w:p w14:paraId="2035932D" w14:textId="77777777" w:rsidR="0072271B" w:rsidRPr="00EF4F00" w:rsidRDefault="0072271B" w:rsidP="00EF4F00">
      <w:pPr>
        <w:pStyle w:val="ListParagraph"/>
        <w:suppressAutoHyphens/>
        <w:spacing w:after="0" w:line="240" w:lineRule="auto"/>
        <w:ind w:left="425" w:hanging="425"/>
        <w:contextualSpacing w:val="0"/>
        <w:rPr>
          <w:rStyle w:val="Strong"/>
          <w:rFonts w:cstheme="minorHAnsi"/>
          <w:b w:val="0"/>
          <w:bCs w:val="0"/>
        </w:rPr>
      </w:pPr>
    </w:p>
    <w:p w14:paraId="4F56808A" w14:textId="18771562" w:rsidR="00736116" w:rsidRPr="00EF4F00" w:rsidRDefault="00EF4F00" w:rsidP="00EF4F00">
      <w:pPr>
        <w:suppressAutoHyphens/>
        <w:ind w:left="425" w:hanging="425"/>
        <w:jc w:val="left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Strong"/>
          <w:rFonts w:asciiTheme="minorHAnsi" w:hAnsiTheme="minorHAnsi"/>
          <w:b w:val="0"/>
          <w:sz w:val="22"/>
        </w:rPr>
        <w:t>8.</w:t>
      </w:r>
      <w:r>
        <w:rPr>
          <w:rStyle w:val="Strong"/>
          <w:rFonts w:asciiTheme="minorHAnsi" w:hAnsiTheme="minorHAnsi"/>
          <w:b w:val="0"/>
          <w:sz w:val="22"/>
        </w:rPr>
        <w:tab/>
        <w:t xml:space="preserve">Le Groupe de travail sur la gestion </w:t>
      </w:r>
      <w:r w:rsidR="00A93FB8">
        <w:rPr>
          <w:rStyle w:val="Strong"/>
          <w:rFonts w:asciiTheme="minorHAnsi" w:hAnsiTheme="minorHAnsi"/>
          <w:b w:val="0"/>
          <w:sz w:val="22"/>
        </w:rPr>
        <w:t xml:space="preserve">s’est montré </w:t>
      </w:r>
      <w:r>
        <w:rPr>
          <w:rStyle w:val="Strong"/>
          <w:rFonts w:asciiTheme="minorHAnsi" w:hAnsiTheme="minorHAnsi"/>
          <w:b w:val="0"/>
          <w:sz w:val="22"/>
        </w:rPr>
        <w:t>favorable à cette proposition et recommande que le Comité permanent prenne la décision suivante : « Le Comité permanent autorise le ou la Secrétaire général</w:t>
      </w:r>
      <w:r w:rsidR="00895497">
        <w:rPr>
          <w:rStyle w:val="Strong"/>
          <w:rFonts w:asciiTheme="minorHAnsi" w:hAnsiTheme="minorHAnsi"/>
          <w:b w:val="0"/>
          <w:sz w:val="22"/>
        </w:rPr>
        <w:t>/</w:t>
      </w:r>
      <w:r>
        <w:rPr>
          <w:rStyle w:val="Strong"/>
          <w:rFonts w:asciiTheme="minorHAnsi" w:hAnsiTheme="minorHAnsi"/>
          <w:b w:val="0"/>
          <w:sz w:val="22"/>
        </w:rPr>
        <w:t>e de la Convention sur les zones humides à conclure de nouveaux accords de coopération avec des organisations répondant aux critères énoncés dans le document SC54 Doc.</w:t>
      </w:r>
      <w:proofErr w:type="gramStart"/>
      <w:r>
        <w:rPr>
          <w:rStyle w:val="Strong"/>
          <w:rFonts w:asciiTheme="minorHAnsi" w:hAnsiTheme="minorHAnsi"/>
          <w:b w:val="0"/>
          <w:sz w:val="22"/>
        </w:rPr>
        <w:t>16.Rev</w:t>
      </w:r>
      <w:proofErr w:type="gramEnd"/>
      <w:r>
        <w:rPr>
          <w:rStyle w:val="Strong"/>
          <w:rFonts w:asciiTheme="minorHAnsi" w:hAnsiTheme="minorHAnsi"/>
          <w:b w:val="0"/>
          <w:sz w:val="22"/>
        </w:rPr>
        <w:t>.1. En outre, le Comité permanent charge le Secrétariat d</w:t>
      </w:r>
      <w:r w:rsidR="00B86AE4">
        <w:rPr>
          <w:rStyle w:val="Strong"/>
          <w:rFonts w:asciiTheme="minorHAnsi" w:hAnsiTheme="minorHAnsi"/>
          <w:b w:val="0"/>
          <w:sz w:val="22"/>
        </w:rPr>
        <w:t>’</w:t>
      </w:r>
      <w:r>
        <w:rPr>
          <w:rStyle w:val="Strong"/>
          <w:rFonts w:asciiTheme="minorHAnsi" w:hAnsiTheme="minorHAnsi"/>
          <w:b w:val="0"/>
          <w:sz w:val="22"/>
        </w:rPr>
        <w:t>inclure cette instruction dans le projet de résolution sur les synergies qui sera examiné par la COP15. Cette décision abroge la Décision SC52-11 ».</w:t>
      </w:r>
    </w:p>
    <w:p w14:paraId="63D65D53" w14:textId="31C71E62" w:rsidR="00736116" w:rsidRDefault="00736116" w:rsidP="00A3109C">
      <w:pPr>
        <w:pStyle w:val="ListParagraph"/>
        <w:suppressAutoHyphens/>
        <w:spacing w:after="0" w:line="240" w:lineRule="auto"/>
        <w:ind w:left="0"/>
        <w:contextualSpacing w:val="0"/>
        <w:rPr>
          <w:rStyle w:val="Strong"/>
          <w:b w:val="0"/>
        </w:rPr>
      </w:pPr>
    </w:p>
    <w:p w14:paraId="3EE5584A" w14:textId="7F78DBAE" w:rsidR="00736116" w:rsidRDefault="00736116" w:rsidP="00A3109C">
      <w:pPr>
        <w:pStyle w:val="ListParagraph"/>
        <w:suppressAutoHyphens/>
        <w:spacing w:after="0" w:line="240" w:lineRule="auto"/>
        <w:ind w:left="0"/>
        <w:contextualSpacing w:val="0"/>
        <w:rPr>
          <w:rStyle w:val="Strong"/>
          <w:b w:val="0"/>
        </w:rPr>
      </w:pPr>
    </w:p>
    <w:p w14:paraId="5A4AB0A3" w14:textId="77777777" w:rsidR="00874DDC" w:rsidRDefault="00874DDC" w:rsidP="000D4C13">
      <w:pPr>
        <w:pStyle w:val="ListParagraph"/>
        <w:rPr>
          <w:rFonts w:cstheme="minorHAnsi"/>
          <w:bCs/>
        </w:rPr>
      </w:pPr>
    </w:p>
    <w:sectPr w:rsidR="00874DDC" w:rsidSect="00D00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9085" w14:textId="77777777" w:rsidR="00D00A6D" w:rsidRDefault="00D00A6D" w:rsidP="006058B3">
      <w:r>
        <w:separator/>
      </w:r>
    </w:p>
  </w:endnote>
  <w:endnote w:type="continuationSeparator" w:id="0">
    <w:p w14:paraId="490C5768" w14:textId="77777777" w:rsidR="00D00A6D" w:rsidRDefault="00D00A6D" w:rsidP="0060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9198" w14:textId="77777777" w:rsidR="00700A02" w:rsidRDefault="00700A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3870" w14:textId="6EF66609" w:rsidR="006058B3" w:rsidRPr="006058B3" w:rsidRDefault="00AE6055">
    <w:pPr>
      <w:pStyle w:val="Foo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/>
        <w:sz w:val="20"/>
      </w:rPr>
      <w:t>SC63 Doc.7.1</w:t>
    </w:r>
    <w:r>
      <w:rPr>
        <w:rFonts w:asciiTheme="minorHAnsi" w:hAnsiTheme="minorHAnsi"/>
        <w:sz w:val="20"/>
      </w:rPr>
      <w:tab/>
    </w:r>
    <w:r>
      <w:rPr>
        <w:rFonts w:asciiTheme="minorHAnsi" w:hAnsiTheme="minorHAnsi"/>
        <w:sz w:val="20"/>
      </w:rPr>
      <w:tab/>
    </w:r>
    <w:r w:rsidR="006058B3" w:rsidRPr="00967BF4">
      <w:rPr>
        <w:rFonts w:asciiTheme="minorHAnsi" w:hAnsiTheme="minorHAnsi" w:cstheme="minorHAnsi"/>
        <w:sz w:val="20"/>
      </w:rPr>
      <w:fldChar w:fldCharType="begin"/>
    </w:r>
    <w:r w:rsidR="006058B3" w:rsidRPr="00967BF4">
      <w:rPr>
        <w:rFonts w:asciiTheme="minorHAnsi" w:hAnsiTheme="minorHAnsi" w:cstheme="minorHAnsi"/>
        <w:sz w:val="20"/>
      </w:rPr>
      <w:instrText xml:space="preserve"> PAGE   \* MERGEFORMAT </w:instrText>
    </w:r>
    <w:r w:rsidR="006058B3" w:rsidRPr="00967BF4">
      <w:rPr>
        <w:rFonts w:asciiTheme="minorHAnsi" w:hAnsiTheme="minorHAnsi" w:cstheme="minorHAnsi"/>
        <w:sz w:val="20"/>
      </w:rPr>
      <w:fldChar w:fldCharType="separate"/>
    </w:r>
    <w:r w:rsidR="00790DB1">
      <w:rPr>
        <w:rFonts w:asciiTheme="minorHAnsi" w:hAnsiTheme="minorHAnsi" w:cstheme="minorHAnsi"/>
        <w:sz w:val="20"/>
      </w:rPr>
      <w:t>2</w:t>
    </w:r>
    <w:r w:rsidR="006058B3" w:rsidRPr="00967BF4">
      <w:rPr>
        <w:rFonts w:asciiTheme="minorHAnsi" w:hAnsiTheme="minorHAnsi" w:cstheme="minorHAns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506E" w14:textId="77777777" w:rsidR="00700A02" w:rsidRDefault="00700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7E0A7" w14:textId="77777777" w:rsidR="00D00A6D" w:rsidRDefault="00D00A6D" w:rsidP="006058B3">
      <w:r>
        <w:separator/>
      </w:r>
    </w:p>
  </w:footnote>
  <w:footnote w:type="continuationSeparator" w:id="0">
    <w:p w14:paraId="0CAACA00" w14:textId="77777777" w:rsidR="00D00A6D" w:rsidRDefault="00D00A6D" w:rsidP="00605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B689C" w14:textId="77777777" w:rsidR="00700A02" w:rsidRDefault="00700A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96224" w14:textId="77777777" w:rsidR="00700A02" w:rsidRDefault="00700A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FF650" w14:textId="77777777" w:rsidR="00700A02" w:rsidRDefault="00700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84C"/>
    <w:multiLevelType w:val="hybridMultilevel"/>
    <w:tmpl w:val="84A2A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13DB9"/>
    <w:multiLevelType w:val="hybridMultilevel"/>
    <w:tmpl w:val="3AE276F0"/>
    <w:lvl w:ilvl="0" w:tplc="D286E2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7CF"/>
    <w:multiLevelType w:val="hybridMultilevel"/>
    <w:tmpl w:val="8D7E98CA"/>
    <w:lvl w:ilvl="0" w:tplc="C24A018A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107B6C"/>
    <w:multiLevelType w:val="hybridMultilevel"/>
    <w:tmpl w:val="E39A07C4"/>
    <w:lvl w:ilvl="0" w:tplc="580AD4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3BAC"/>
    <w:multiLevelType w:val="hybridMultilevel"/>
    <w:tmpl w:val="E1168806"/>
    <w:lvl w:ilvl="0" w:tplc="2BD4E446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DB96C34"/>
    <w:multiLevelType w:val="hybridMultilevel"/>
    <w:tmpl w:val="9EDA8EAE"/>
    <w:lvl w:ilvl="0" w:tplc="1DA0E34C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448"/>
    <w:multiLevelType w:val="hybridMultilevel"/>
    <w:tmpl w:val="CBC00D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355FB3"/>
    <w:multiLevelType w:val="multilevel"/>
    <w:tmpl w:val="1DFA58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8" w15:restartNumberingAfterBreak="0">
    <w:nsid w:val="4FD15C30"/>
    <w:multiLevelType w:val="hybridMultilevel"/>
    <w:tmpl w:val="68D41ED6"/>
    <w:lvl w:ilvl="0" w:tplc="051EC3D6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86ADB"/>
    <w:multiLevelType w:val="hybridMultilevel"/>
    <w:tmpl w:val="2E9EE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2561D"/>
    <w:multiLevelType w:val="hybridMultilevel"/>
    <w:tmpl w:val="846E0B10"/>
    <w:lvl w:ilvl="0" w:tplc="8C28602A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C7D11"/>
    <w:multiLevelType w:val="hybridMultilevel"/>
    <w:tmpl w:val="81702E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51639"/>
    <w:multiLevelType w:val="hybridMultilevel"/>
    <w:tmpl w:val="78FE1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75B16"/>
    <w:multiLevelType w:val="hybridMultilevel"/>
    <w:tmpl w:val="D93C8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0"/>
  </w:num>
  <w:num w:numId="5">
    <w:abstractNumId w:val="12"/>
  </w:num>
  <w:num w:numId="6">
    <w:abstractNumId w:val="13"/>
  </w:num>
  <w:num w:numId="7">
    <w:abstractNumId w:val="3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FD"/>
    <w:rsid w:val="000054C2"/>
    <w:rsid w:val="00017290"/>
    <w:rsid w:val="000206E7"/>
    <w:rsid w:val="00021747"/>
    <w:rsid w:val="00022A0A"/>
    <w:rsid w:val="000250FF"/>
    <w:rsid w:val="000267EF"/>
    <w:rsid w:val="00027DBC"/>
    <w:rsid w:val="00046743"/>
    <w:rsid w:val="00046B52"/>
    <w:rsid w:val="00065171"/>
    <w:rsid w:val="00065B8F"/>
    <w:rsid w:val="00074A52"/>
    <w:rsid w:val="00076CE7"/>
    <w:rsid w:val="000853CD"/>
    <w:rsid w:val="00085EE7"/>
    <w:rsid w:val="00090B48"/>
    <w:rsid w:val="00091474"/>
    <w:rsid w:val="000B5BF2"/>
    <w:rsid w:val="000C70C6"/>
    <w:rsid w:val="000C7A56"/>
    <w:rsid w:val="000D4C13"/>
    <w:rsid w:val="000E637A"/>
    <w:rsid w:val="001160DE"/>
    <w:rsid w:val="00131FA2"/>
    <w:rsid w:val="00142986"/>
    <w:rsid w:val="00144492"/>
    <w:rsid w:val="001529FF"/>
    <w:rsid w:val="0015336C"/>
    <w:rsid w:val="00155904"/>
    <w:rsid w:val="0017220E"/>
    <w:rsid w:val="0019037F"/>
    <w:rsid w:val="00194746"/>
    <w:rsid w:val="001B6F33"/>
    <w:rsid w:val="001C341F"/>
    <w:rsid w:val="001C4D6A"/>
    <w:rsid w:val="001D2AF2"/>
    <w:rsid w:val="0022547B"/>
    <w:rsid w:val="0022737C"/>
    <w:rsid w:val="002314AC"/>
    <w:rsid w:val="0025233F"/>
    <w:rsid w:val="00295E57"/>
    <w:rsid w:val="002A28D6"/>
    <w:rsid w:val="002A7D66"/>
    <w:rsid w:val="002F0097"/>
    <w:rsid w:val="002F22EE"/>
    <w:rsid w:val="002F4875"/>
    <w:rsid w:val="00303D77"/>
    <w:rsid w:val="00305218"/>
    <w:rsid w:val="00307B7E"/>
    <w:rsid w:val="003149A3"/>
    <w:rsid w:val="00317FDC"/>
    <w:rsid w:val="0032596C"/>
    <w:rsid w:val="00330DF8"/>
    <w:rsid w:val="00344123"/>
    <w:rsid w:val="003501A9"/>
    <w:rsid w:val="00354D36"/>
    <w:rsid w:val="003D7BF6"/>
    <w:rsid w:val="003F53DD"/>
    <w:rsid w:val="00437C58"/>
    <w:rsid w:val="00443985"/>
    <w:rsid w:val="0045145A"/>
    <w:rsid w:val="00470DB8"/>
    <w:rsid w:val="00473B3C"/>
    <w:rsid w:val="004774E9"/>
    <w:rsid w:val="00491BEE"/>
    <w:rsid w:val="004A15AF"/>
    <w:rsid w:val="004C6C04"/>
    <w:rsid w:val="004E0DB3"/>
    <w:rsid w:val="004F7BE5"/>
    <w:rsid w:val="005053BC"/>
    <w:rsid w:val="005078BB"/>
    <w:rsid w:val="0051038A"/>
    <w:rsid w:val="00535F9D"/>
    <w:rsid w:val="0054647B"/>
    <w:rsid w:val="005535F2"/>
    <w:rsid w:val="005653D8"/>
    <w:rsid w:val="005855E2"/>
    <w:rsid w:val="00594ED0"/>
    <w:rsid w:val="005A4019"/>
    <w:rsid w:val="005C7B28"/>
    <w:rsid w:val="005D106B"/>
    <w:rsid w:val="005D7783"/>
    <w:rsid w:val="005F0C8D"/>
    <w:rsid w:val="005F680E"/>
    <w:rsid w:val="006058B3"/>
    <w:rsid w:val="00610E89"/>
    <w:rsid w:val="006320E6"/>
    <w:rsid w:val="00634417"/>
    <w:rsid w:val="00644C1D"/>
    <w:rsid w:val="00686267"/>
    <w:rsid w:val="006905CC"/>
    <w:rsid w:val="006978F0"/>
    <w:rsid w:val="006A79FA"/>
    <w:rsid w:val="006A7C44"/>
    <w:rsid w:val="006B72AF"/>
    <w:rsid w:val="006D3C88"/>
    <w:rsid w:val="006D5444"/>
    <w:rsid w:val="006E03EA"/>
    <w:rsid w:val="006E3B93"/>
    <w:rsid w:val="006E61BB"/>
    <w:rsid w:val="006F0B29"/>
    <w:rsid w:val="006F30DC"/>
    <w:rsid w:val="006F3186"/>
    <w:rsid w:val="006F48CA"/>
    <w:rsid w:val="00700A02"/>
    <w:rsid w:val="00707224"/>
    <w:rsid w:val="0072271B"/>
    <w:rsid w:val="00736116"/>
    <w:rsid w:val="0074564D"/>
    <w:rsid w:val="00750225"/>
    <w:rsid w:val="007557D5"/>
    <w:rsid w:val="0075712F"/>
    <w:rsid w:val="00773024"/>
    <w:rsid w:val="00774FD3"/>
    <w:rsid w:val="0077717D"/>
    <w:rsid w:val="00780AFD"/>
    <w:rsid w:val="00790DB1"/>
    <w:rsid w:val="007956EA"/>
    <w:rsid w:val="00795C6E"/>
    <w:rsid w:val="007A2416"/>
    <w:rsid w:val="007F7F60"/>
    <w:rsid w:val="00801042"/>
    <w:rsid w:val="008222C9"/>
    <w:rsid w:val="00853A4C"/>
    <w:rsid w:val="00857CD6"/>
    <w:rsid w:val="00862522"/>
    <w:rsid w:val="008627FE"/>
    <w:rsid w:val="00873BE1"/>
    <w:rsid w:val="00874DDC"/>
    <w:rsid w:val="008838D1"/>
    <w:rsid w:val="0089103F"/>
    <w:rsid w:val="008952D7"/>
    <w:rsid w:val="00895497"/>
    <w:rsid w:val="008A1B89"/>
    <w:rsid w:val="008B3068"/>
    <w:rsid w:val="008C1D57"/>
    <w:rsid w:val="008C2764"/>
    <w:rsid w:val="008D0D24"/>
    <w:rsid w:val="008D1611"/>
    <w:rsid w:val="008F2E14"/>
    <w:rsid w:val="008F72BF"/>
    <w:rsid w:val="009014CB"/>
    <w:rsid w:val="0090644D"/>
    <w:rsid w:val="00910559"/>
    <w:rsid w:val="009216EF"/>
    <w:rsid w:val="00921C07"/>
    <w:rsid w:val="00956B48"/>
    <w:rsid w:val="009603AF"/>
    <w:rsid w:val="00960912"/>
    <w:rsid w:val="00967BF4"/>
    <w:rsid w:val="00973990"/>
    <w:rsid w:val="0097657A"/>
    <w:rsid w:val="00992FA7"/>
    <w:rsid w:val="009978A7"/>
    <w:rsid w:val="009A385E"/>
    <w:rsid w:val="009A4362"/>
    <w:rsid w:val="009B769F"/>
    <w:rsid w:val="009C24AD"/>
    <w:rsid w:val="009C4474"/>
    <w:rsid w:val="009C6711"/>
    <w:rsid w:val="009D3818"/>
    <w:rsid w:val="009D3A3C"/>
    <w:rsid w:val="009E5358"/>
    <w:rsid w:val="00A3109C"/>
    <w:rsid w:val="00A32562"/>
    <w:rsid w:val="00A52A09"/>
    <w:rsid w:val="00A61167"/>
    <w:rsid w:val="00A93FB8"/>
    <w:rsid w:val="00A95654"/>
    <w:rsid w:val="00AA2EDD"/>
    <w:rsid w:val="00AC138B"/>
    <w:rsid w:val="00AC56C4"/>
    <w:rsid w:val="00AE6055"/>
    <w:rsid w:val="00AE7B3F"/>
    <w:rsid w:val="00AF25A0"/>
    <w:rsid w:val="00B02590"/>
    <w:rsid w:val="00B0440F"/>
    <w:rsid w:val="00B73411"/>
    <w:rsid w:val="00B86AE4"/>
    <w:rsid w:val="00B9629C"/>
    <w:rsid w:val="00BB2E67"/>
    <w:rsid w:val="00BC5325"/>
    <w:rsid w:val="00BE67B3"/>
    <w:rsid w:val="00C0664D"/>
    <w:rsid w:val="00C17EF6"/>
    <w:rsid w:val="00C32315"/>
    <w:rsid w:val="00C36260"/>
    <w:rsid w:val="00C42E53"/>
    <w:rsid w:val="00C52553"/>
    <w:rsid w:val="00C543BF"/>
    <w:rsid w:val="00C549D6"/>
    <w:rsid w:val="00C63E7B"/>
    <w:rsid w:val="00C648EB"/>
    <w:rsid w:val="00C87C2D"/>
    <w:rsid w:val="00CA5CD6"/>
    <w:rsid w:val="00CB2EBD"/>
    <w:rsid w:val="00CB40BA"/>
    <w:rsid w:val="00CD0384"/>
    <w:rsid w:val="00CE11A9"/>
    <w:rsid w:val="00D00A6D"/>
    <w:rsid w:val="00D04785"/>
    <w:rsid w:val="00D37C9C"/>
    <w:rsid w:val="00D47D43"/>
    <w:rsid w:val="00D50230"/>
    <w:rsid w:val="00D631CE"/>
    <w:rsid w:val="00D8097A"/>
    <w:rsid w:val="00D832F3"/>
    <w:rsid w:val="00D96CBB"/>
    <w:rsid w:val="00DD473F"/>
    <w:rsid w:val="00DF3152"/>
    <w:rsid w:val="00E06E63"/>
    <w:rsid w:val="00E414F9"/>
    <w:rsid w:val="00E662CA"/>
    <w:rsid w:val="00E70C14"/>
    <w:rsid w:val="00E74FFF"/>
    <w:rsid w:val="00E9062A"/>
    <w:rsid w:val="00E93EF9"/>
    <w:rsid w:val="00E93FDC"/>
    <w:rsid w:val="00E95E62"/>
    <w:rsid w:val="00EB6CF2"/>
    <w:rsid w:val="00EF4CF6"/>
    <w:rsid w:val="00EF4F00"/>
    <w:rsid w:val="00F00776"/>
    <w:rsid w:val="00F1025C"/>
    <w:rsid w:val="00F12376"/>
    <w:rsid w:val="00F16DB7"/>
    <w:rsid w:val="00F1700C"/>
    <w:rsid w:val="00F64DF0"/>
    <w:rsid w:val="00F72490"/>
    <w:rsid w:val="00FD721C"/>
    <w:rsid w:val="00FE0E47"/>
    <w:rsid w:val="00FE1708"/>
    <w:rsid w:val="00FF527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4B646"/>
  <w15:chartTrackingRefBased/>
  <w15:docId w15:val="{465E57F8-2E7A-4441-A14F-7C36034E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B8F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B8F"/>
    <w:pPr>
      <w:autoSpaceDE w:val="0"/>
      <w:autoSpaceDN w:val="0"/>
      <w:adjustRightInd w:val="0"/>
      <w:spacing w:after="0" w:line="240" w:lineRule="auto"/>
      <w:ind w:left="357" w:hanging="357"/>
      <w:jc w:val="both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EnlacedeInternet">
    <w:name w:val="Enlace de Internet"/>
    <w:basedOn w:val="DefaultParagraphFont"/>
    <w:rsid w:val="001C4D6A"/>
    <w:rPr>
      <w:color w:val="0000FF"/>
      <w:u w:val="single"/>
    </w:rPr>
  </w:style>
  <w:style w:type="paragraph" w:styleId="ListParagraph">
    <w:name w:val="List Paragraph"/>
    <w:aliases w:val="Rec para"/>
    <w:basedOn w:val="Normal"/>
    <w:link w:val="ListParagraphChar"/>
    <w:uiPriority w:val="34"/>
    <w:qFormat/>
    <w:rsid w:val="0063441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Rec para Char"/>
    <w:link w:val="ListParagraph"/>
    <w:uiPriority w:val="34"/>
    <w:locked/>
    <w:rsid w:val="00634417"/>
  </w:style>
  <w:style w:type="character" w:styleId="CommentReference">
    <w:name w:val="annotation reference"/>
    <w:basedOn w:val="DefaultParagraphFont"/>
    <w:semiHidden/>
    <w:unhideWhenUsed/>
    <w:rsid w:val="00AE7B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7B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7B3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B3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B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B3F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960912"/>
    <w:pPr>
      <w:widowControl w:val="0"/>
      <w:autoSpaceDE w:val="0"/>
      <w:autoSpaceDN w:val="0"/>
      <w:ind w:left="0" w:firstLine="0"/>
      <w:jc w:val="left"/>
    </w:pPr>
    <w:rPr>
      <w:rFonts w:ascii="Calibri" w:eastAsia="Calibri" w:hAnsi="Calibri" w:cs="Calibri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912"/>
    <w:rPr>
      <w:rFonts w:ascii="Calibri" w:eastAsia="Calibri" w:hAnsi="Calibri" w:cs="Calibri"/>
      <w:sz w:val="24"/>
      <w:szCs w:val="24"/>
      <w:lang w:val="fr-FR"/>
    </w:rPr>
  </w:style>
  <w:style w:type="paragraph" w:customStyle="1" w:styleId="ColorfulList-Accent11">
    <w:name w:val="Colorful List - Accent 11"/>
    <w:basedOn w:val="Normal"/>
    <w:uiPriority w:val="34"/>
    <w:qFormat/>
    <w:rsid w:val="007F7F60"/>
    <w:pPr>
      <w:ind w:left="720" w:hanging="425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basedOn w:val="Normal"/>
    <w:link w:val="FootnoteTextChar"/>
    <w:semiHidden/>
    <w:unhideWhenUsed/>
    <w:rsid w:val="006058B3"/>
    <w:rPr>
      <w:sz w:val="20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semiHidden/>
    <w:rsid w:val="006058B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"/>
    <w:basedOn w:val="DefaultParagraphFont"/>
    <w:uiPriority w:val="99"/>
    <w:semiHidden/>
    <w:unhideWhenUsed/>
    <w:rsid w:val="006058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05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58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B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7BF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E53"/>
    <w:rPr>
      <w:color w:val="605E5C"/>
      <w:shd w:val="clear" w:color="auto" w:fill="E1DFDD"/>
    </w:rPr>
  </w:style>
  <w:style w:type="paragraph" w:customStyle="1" w:styleId="Standard">
    <w:name w:val="Standard"/>
    <w:rsid w:val="00F102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A9565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5145A"/>
  </w:style>
  <w:style w:type="character" w:styleId="Strong">
    <w:name w:val="Strong"/>
    <w:uiPriority w:val="22"/>
    <w:qFormat/>
    <w:rsid w:val="00A3109C"/>
    <w:rPr>
      <w:b/>
      <w:bCs/>
    </w:rPr>
  </w:style>
  <w:style w:type="paragraph" w:styleId="Revision">
    <w:name w:val="Revision"/>
    <w:hidden/>
    <w:uiPriority w:val="99"/>
    <w:semiHidden/>
    <w:rsid w:val="00B8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7" ma:contentTypeDescription="Create a new document." ma:contentTypeScope="" ma:versionID="3f65ae92b7e3b848dc6f2345e788c425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82e223424e79a703944e5cd941972b21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5342-28C9-452A-BB35-C486CFE68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F4904-B7CF-401E-BE23-00A1E7FFE92B}">
  <ds:schemaRefs>
    <ds:schemaRef ds:uri="http://schemas.microsoft.com/office/2006/metadata/properties"/>
    <ds:schemaRef ds:uri="http://www.w3.org/XML/1998/namespace"/>
    <ds:schemaRef ds:uri="http://purl.org/dc/dcmitype/"/>
    <ds:schemaRef ds:uri="aedd258d-19a7-41ba-8260-b0918f25313d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c0b6b05-eb82-4bda-97e8-cd82d0d6b453"/>
  </ds:schemaRefs>
</ds:datastoreItem>
</file>

<file path=customXml/itemProps3.xml><?xml version="1.0" encoding="utf-8"?>
<ds:datastoreItem xmlns:ds="http://schemas.openxmlformats.org/officeDocument/2006/customXml" ds:itemID="{D94BFFCF-B403-45FB-AB1F-3D13FF3A6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FDEB2-5B07-4614-8A76-6B37EAB1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dc:description/>
  <cp:lastModifiedBy>BRACE Poppy</cp:lastModifiedBy>
  <cp:revision>4</cp:revision>
  <cp:lastPrinted>2024-02-29T15:32:00Z</cp:lastPrinted>
  <dcterms:created xsi:type="dcterms:W3CDTF">2024-02-23T13:49:00Z</dcterms:created>
  <dcterms:modified xsi:type="dcterms:W3CDTF">2024-02-29T15:33:00Z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