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2C567" w14:textId="77777777" w:rsidR="005F680E" w:rsidRPr="00EF4F00" w:rsidRDefault="005F680E" w:rsidP="00EF4F00">
      <w:pPr>
        <w:pBdr>
          <w:top w:val="single" w:sz="12" w:space="0" w:color="auto" w:shadow="1"/>
          <w:left w:val="single" w:sz="12" w:space="4" w:color="auto" w:shadow="1"/>
          <w:bottom w:val="single" w:sz="12" w:space="1" w:color="auto" w:shadow="1"/>
          <w:right w:val="single" w:sz="12" w:space="7" w:color="auto" w:shadow="1"/>
        </w:pBdr>
        <w:suppressAutoHyphens/>
        <w:ind w:left="425" w:right="4490" w:hanging="425"/>
        <w:jc w:val="left"/>
        <w:rPr>
          <w:rFonts w:ascii="Calibri" w:eastAsia="Calibri" w:hAnsi="Calibri"/>
          <w:bCs/>
          <w:sz w:val="22"/>
          <w:szCs w:val="22"/>
          <w:lang w:eastAsia="en-US"/>
        </w:rPr>
      </w:pPr>
      <w:r w:rsidRPr="00EF4F00">
        <w:rPr>
          <w:rFonts w:ascii="Calibri" w:eastAsia="Calibri" w:hAnsi="Calibri"/>
          <w:bCs/>
          <w:sz w:val="22"/>
          <w:szCs w:val="22"/>
          <w:lang w:eastAsia="en-US"/>
        </w:rPr>
        <w:t>THE CONVENTION ON WETLANDS</w:t>
      </w:r>
    </w:p>
    <w:p w14:paraId="471BBC10" w14:textId="4089FF14" w:rsidR="005F680E" w:rsidRPr="00EF4F00" w:rsidRDefault="005F680E" w:rsidP="00EF4F00">
      <w:pPr>
        <w:pBdr>
          <w:top w:val="single" w:sz="12" w:space="0" w:color="auto" w:shadow="1"/>
          <w:left w:val="single" w:sz="12" w:space="4" w:color="auto" w:shadow="1"/>
          <w:bottom w:val="single" w:sz="12" w:space="1" w:color="auto" w:shadow="1"/>
          <w:right w:val="single" w:sz="12" w:space="7" w:color="auto" w:shadow="1"/>
        </w:pBdr>
        <w:suppressAutoHyphens/>
        <w:ind w:left="425" w:right="4490" w:hanging="425"/>
        <w:jc w:val="left"/>
        <w:rPr>
          <w:rFonts w:ascii="Calibri" w:eastAsia="Calibri" w:hAnsi="Calibri"/>
          <w:bCs/>
          <w:sz w:val="22"/>
          <w:szCs w:val="22"/>
          <w:lang w:eastAsia="en-US"/>
        </w:rPr>
      </w:pPr>
      <w:r w:rsidRPr="00EF4F00">
        <w:rPr>
          <w:rFonts w:ascii="Calibri" w:eastAsia="Calibri" w:hAnsi="Calibri"/>
          <w:bCs/>
          <w:sz w:val="22"/>
          <w:szCs w:val="22"/>
          <w:lang w:eastAsia="en-US"/>
        </w:rPr>
        <w:t>6</w:t>
      </w:r>
      <w:r w:rsidR="00A95654" w:rsidRPr="00EF4F00">
        <w:rPr>
          <w:rFonts w:ascii="Calibri" w:eastAsia="Calibri" w:hAnsi="Calibri"/>
          <w:bCs/>
          <w:sz w:val="22"/>
          <w:szCs w:val="22"/>
          <w:lang w:eastAsia="en-US"/>
        </w:rPr>
        <w:t>3r</w:t>
      </w:r>
      <w:r w:rsidRPr="00EF4F00">
        <w:rPr>
          <w:rFonts w:ascii="Calibri" w:eastAsia="Calibri" w:hAnsi="Calibri"/>
          <w:bCs/>
          <w:sz w:val="22"/>
          <w:szCs w:val="22"/>
          <w:lang w:eastAsia="en-US"/>
        </w:rPr>
        <w:t xml:space="preserve">d </w:t>
      </w:r>
      <w:r w:rsidR="00E662CA" w:rsidRPr="00EF4F00">
        <w:rPr>
          <w:rFonts w:ascii="Calibri" w:eastAsia="Calibri" w:hAnsi="Calibri"/>
          <w:bCs/>
          <w:sz w:val="22"/>
          <w:szCs w:val="22"/>
          <w:lang w:eastAsia="en-US"/>
        </w:rPr>
        <w:t xml:space="preserve">meeting </w:t>
      </w:r>
      <w:r w:rsidRPr="00EF4F00">
        <w:rPr>
          <w:rFonts w:ascii="Calibri" w:eastAsia="Calibri" w:hAnsi="Calibri"/>
          <w:bCs/>
          <w:sz w:val="22"/>
          <w:szCs w:val="22"/>
          <w:lang w:eastAsia="en-US"/>
        </w:rPr>
        <w:t>of the Standing Committee</w:t>
      </w:r>
    </w:p>
    <w:p w14:paraId="0E0A7BC5" w14:textId="2D303666" w:rsidR="005F680E" w:rsidRPr="00EF4F00" w:rsidRDefault="005F680E" w:rsidP="00EF4F00">
      <w:pPr>
        <w:pBdr>
          <w:top w:val="single" w:sz="12" w:space="0" w:color="auto" w:shadow="1"/>
          <w:left w:val="single" w:sz="12" w:space="4" w:color="auto" w:shadow="1"/>
          <w:bottom w:val="single" w:sz="12" w:space="1" w:color="auto" w:shadow="1"/>
          <w:right w:val="single" w:sz="12" w:space="7" w:color="auto" w:shadow="1"/>
        </w:pBdr>
        <w:suppressAutoHyphens/>
        <w:ind w:left="425" w:right="4490" w:hanging="425"/>
        <w:jc w:val="left"/>
        <w:rPr>
          <w:rFonts w:ascii="Calibri" w:eastAsia="Calibri" w:hAnsi="Calibri"/>
          <w:bCs/>
          <w:sz w:val="22"/>
          <w:szCs w:val="22"/>
          <w:lang w:eastAsia="en-US"/>
        </w:rPr>
      </w:pPr>
      <w:r w:rsidRPr="00EF4F00">
        <w:rPr>
          <w:rFonts w:ascii="Calibri" w:eastAsia="Calibri" w:hAnsi="Calibri"/>
          <w:bCs/>
          <w:sz w:val="22"/>
          <w:szCs w:val="22"/>
          <w:lang w:eastAsia="en-US"/>
        </w:rPr>
        <w:t xml:space="preserve">Gland, Switzerland, </w:t>
      </w:r>
      <w:r w:rsidR="00A95654" w:rsidRPr="00EF4F00">
        <w:rPr>
          <w:rFonts w:ascii="Calibri" w:eastAsia="Calibri" w:hAnsi="Calibri"/>
          <w:bCs/>
          <w:sz w:val="22"/>
          <w:szCs w:val="22"/>
          <w:lang w:eastAsia="en-US"/>
        </w:rPr>
        <w:t>3-7 June</w:t>
      </w:r>
      <w:r w:rsidRPr="00EF4F00">
        <w:rPr>
          <w:rFonts w:ascii="Calibri" w:eastAsia="Calibri" w:hAnsi="Calibri"/>
          <w:bCs/>
          <w:sz w:val="22"/>
          <w:szCs w:val="22"/>
          <w:lang w:eastAsia="en-US"/>
        </w:rPr>
        <w:t xml:space="preserve"> 202</w:t>
      </w:r>
      <w:r w:rsidR="00A95654" w:rsidRPr="00EF4F00">
        <w:rPr>
          <w:rFonts w:ascii="Calibri" w:eastAsia="Calibri" w:hAnsi="Calibri"/>
          <w:bCs/>
          <w:sz w:val="22"/>
          <w:szCs w:val="22"/>
          <w:lang w:eastAsia="en-US"/>
        </w:rPr>
        <w:t>4</w:t>
      </w:r>
    </w:p>
    <w:p w14:paraId="06FA6479" w14:textId="77777777" w:rsidR="00065B8F" w:rsidRPr="002F22EE" w:rsidRDefault="00065B8F" w:rsidP="00065B8F">
      <w:pPr>
        <w:rPr>
          <w:lang w:val="en-US"/>
        </w:rPr>
      </w:pPr>
    </w:p>
    <w:p w14:paraId="118BA92F" w14:textId="77777777" w:rsidR="00EF4F00" w:rsidRDefault="00EF4F00" w:rsidP="00065B8F">
      <w:pPr>
        <w:jc w:val="right"/>
        <w:rPr>
          <w:rFonts w:asciiTheme="minorHAnsi" w:hAnsiTheme="minorHAnsi" w:cstheme="minorHAnsi"/>
          <w:b/>
          <w:sz w:val="28"/>
          <w:szCs w:val="28"/>
          <w:lang w:val="en-US"/>
        </w:rPr>
      </w:pPr>
    </w:p>
    <w:p w14:paraId="4EED1CB2" w14:textId="57812C41" w:rsidR="00065B8F" w:rsidRPr="002F22EE" w:rsidRDefault="006A7C44" w:rsidP="00065B8F">
      <w:pPr>
        <w:jc w:val="right"/>
        <w:rPr>
          <w:rFonts w:asciiTheme="minorHAnsi" w:hAnsiTheme="minorHAnsi" w:cstheme="minorHAnsi"/>
          <w:b/>
          <w:sz w:val="28"/>
          <w:szCs w:val="28"/>
          <w:lang w:val="en-US"/>
        </w:rPr>
      </w:pPr>
      <w:r w:rsidRPr="002F22EE">
        <w:rPr>
          <w:rFonts w:asciiTheme="minorHAnsi" w:hAnsiTheme="minorHAnsi" w:cstheme="minorHAnsi"/>
          <w:b/>
          <w:sz w:val="28"/>
          <w:szCs w:val="28"/>
          <w:lang w:val="en-US"/>
        </w:rPr>
        <w:t>SC</w:t>
      </w:r>
      <w:r w:rsidR="00F12376">
        <w:rPr>
          <w:rFonts w:asciiTheme="minorHAnsi" w:hAnsiTheme="minorHAnsi" w:cstheme="minorHAnsi"/>
          <w:b/>
          <w:sz w:val="28"/>
          <w:szCs w:val="28"/>
          <w:lang w:val="en-US"/>
        </w:rPr>
        <w:t>6</w:t>
      </w:r>
      <w:r w:rsidR="00A95654">
        <w:rPr>
          <w:rFonts w:asciiTheme="minorHAnsi" w:hAnsiTheme="minorHAnsi" w:cstheme="minorHAnsi"/>
          <w:b/>
          <w:sz w:val="28"/>
          <w:szCs w:val="28"/>
          <w:lang w:val="en-US"/>
        </w:rPr>
        <w:t>3</w:t>
      </w:r>
      <w:r w:rsidR="00F12376">
        <w:rPr>
          <w:rFonts w:asciiTheme="minorHAnsi" w:hAnsiTheme="minorHAnsi" w:cstheme="minorHAnsi"/>
          <w:b/>
          <w:sz w:val="28"/>
          <w:szCs w:val="28"/>
          <w:lang w:val="en-US"/>
        </w:rPr>
        <w:t xml:space="preserve"> </w:t>
      </w:r>
      <w:r w:rsidR="00065B8F" w:rsidRPr="002F22EE">
        <w:rPr>
          <w:rFonts w:asciiTheme="minorHAnsi" w:hAnsiTheme="minorHAnsi" w:cstheme="minorHAnsi"/>
          <w:b/>
          <w:sz w:val="28"/>
          <w:szCs w:val="28"/>
          <w:lang w:val="en-US"/>
        </w:rPr>
        <w:t>Doc.</w:t>
      </w:r>
      <w:r w:rsidR="0045145A">
        <w:rPr>
          <w:rFonts w:asciiTheme="minorHAnsi" w:hAnsiTheme="minorHAnsi" w:cstheme="minorHAnsi"/>
          <w:b/>
          <w:sz w:val="28"/>
          <w:szCs w:val="28"/>
          <w:lang w:val="en-US"/>
        </w:rPr>
        <w:t>7.1</w:t>
      </w:r>
    </w:p>
    <w:p w14:paraId="7972AEFA" w14:textId="77777777" w:rsidR="00065B8F" w:rsidRPr="002F22EE" w:rsidRDefault="00065B8F" w:rsidP="00065B8F">
      <w:pPr>
        <w:jc w:val="center"/>
        <w:rPr>
          <w:rFonts w:asciiTheme="minorHAnsi" w:hAnsiTheme="minorHAnsi" w:cstheme="minorHAnsi"/>
          <w:bCs/>
          <w:lang w:val="en-US"/>
        </w:rPr>
      </w:pPr>
    </w:p>
    <w:p w14:paraId="22394587" w14:textId="459D5333" w:rsidR="00283C05" w:rsidRDefault="00283C05" w:rsidP="00EF4F00">
      <w:pPr>
        <w:jc w:val="center"/>
        <w:rPr>
          <w:rStyle w:val="normaltextrun"/>
          <w:rFonts w:ascii="Calibri" w:hAnsi="Calibri" w:cs="Calibri"/>
          <w:b/>
          <w:color w:val="000000"/>
          <w:sz w:val="28"/>
          <w:szCs w:val="28"/>
          <w:shd w:val="clear" w:color="auto" w:fill="FFFFFF"/>
        </w:rPr>
      </w:pPr>
      <w:r w:rsidRPr="00283C05">
        <w:rPr>
          <w:rStyle w:val="normaltextrun"/>
          <w:rFonts w:ascii="Calibri" w:hAnsi="Calibri" w:cs="Calibri"/>
          <w:b/>
          <w:color w:val="000000"/>
          <w:sz w:val="28"/>
          <w:szCs w:val="28"/>
          <w:shd w:val="clear" w:color="auto" w:fill="FFFFFF"/>
        </w:rPr>
        <w:t>Report of the Management Working Group</w:t>
      </w:r>
      <w:r>
        <w:rPr>
          <w:rStyle w:val="normaltextrun"/>
          <w:rFonts w:ascii="Calibri" w:hAnsi="Calibri" w:cs="Calibri"/>
          <w:b/>
          <w:color w:val="000000"/>
          <w:sz w:val="28"/>
          <w:szCs w:val="28"/>
          <w:shd w:val="clear" w:color="auto" w:fill="FFFFFF"/>
        </w:rPr>
        <w:t>:</w:t>
      </w:r>
    </w:p>
    <w:p w14:paraId="3FAFB69D" w14:textId="29FE7773" w:rsidR="00065B8F" w:rsidRPr="0045145A" w:rsidRDefault="0045145A" w:rsidP="00EF4F00">
      <w:pPr>
        <w:jc w:val="center"/>
        <w:rPr>
          <w:rFonts w:asciiTheme="minorHAnsi" w:hAnsiTheme="minorHAnsi" w:cstheme="minorHAnsi"/>
          <w:b/>
          <w:bCs/>
          <w:sz w:val="28"/>
          <w:szCs w:val="28"/>
        </w:rPr>
      </w:pPr>
      <w:r w:rsidRPr="0045145A">
        <w:rPr>
          <w:rStyle w:val="normaltextrun"/>
          <w:rFonts w:ascii="Calibri" w:hAnsi="Calibri" w:cs="Calibri"/>
          <w:b/>
          <w:color w:val="000000"/>
          <w:sz w:val="28"/>
          <w:szCs w:val="28"/>
          <w:shd w:val="clear" w:color="auto" w:fill="FFFFFF"/>
        </w:rPr>
        <w:t>Report on the activities of the Management Working Group</w:t>
      </w:r>
    </w:p>
    <w:p w14:paraId="52FD805F" w14:textId="77777777" w:rsidR="006058B3" w:rsidRDefault="006058B3" w:rsidP="00065B8F">
      <w:pPr>
        <w:jc w:val="center"/>
        <w:rPr>
          <w:rFonts w:asciiTheme="minorHAnsi" w:hAnsiTheme="minorHAnsi" w:cstheme="minorHAnsi"/>
          <w:b/>
          <w:bCs/>
          <w:sz w:val="28"/>
          <w:szCs w:val="28"/>
        </w:rPr>
      </w:pPr>
    </w:p>
    <w:p w14:paraId="6232A675" w14:textId="77777777" w:rsidR="00E95E62" w:rsidRDefault="006058B3" w:rsidP="006058B3">
      <w:pPr>
        <w:jc w:val="center"/>
        <w:rPr>
          <w:rFonts w:asciiTheme="minorHAnsi" w:hAnsiTheme="minorHAnsi" w:cstheme="minorHAnsi"/>
          <w:b/>
          <w:bCs/>
          <w:sz w:val="28"/>
          <w:szCs w:val="28"/>
          <w:highlight w:val="yellow"/>
        </w:rPr>
      </w:pPr>
      <w:r w:rsidRPr="007F7F60">
        <w:rPr>
          <w:rFonts w:asciiTheme="minorHAnsi" w:hAnsiTheme="minorHAnsi" w:cstheme="minorHAnsi"/>
          <w:b/>
          <w:bCs/>
          <w:noProof/>
          <w:sz w:val="28"/>
          <w:szCs w:val="28"/>
        </w:rPr>
        <mc:AlternateContent>
          <mc:Choice Requires="wps">
            <w:drawing>
              <wp:inline distT="0" distB="0" distL="0" distR="0" wp14:anchorId="4864891A" wp14:editId="7939AD48">
                <wp:extent cx="5768340" cy="1762125"/>
                <wp:effectExtent l="0" t="0" r="2286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1762125"/>
                        </a:xfrm>
                        <a:prstGeom prst="rect">
                          <a:avLst/>
                        </a:prstGeom>
                        <a:solidFill>
                          <a:srgbClr val="FFFFFF"/>
                        </a:solidFill>
                        <a:ln w="9525">
                          <a:solidFill>
                            <a:srgbClr val="000000"/>
                          </a:solidFill>
                          <a:miter lim="800000"/>
                          <a:headEnd/>
                          <a:tailEnd/>
                        </a:ln>
                      </wps:spPr>
                      <wps:txbx>
                        <w:txbxContent>
                          <w:p w14:paraId="50E2C70D" w14:textId="5AFBC61E" w:rsidR="00AA2EDD" w:rsidRDefault="000E637A" w:rsidP="007F7F60">
                            <w:pPr>
                              <w:rPr>
                                <w:rFonts w:asciiTheme="minorHAnsi" w:hAnsiTheme="minorHAnsi" w:cstheme="minorHAnsi"/>
                                <w:b/>
                                <w:sz w:val="22"/>
                                <w:szCs w:val="22"/>
                              </w:rPr>
                            </w:pPr>
                            <w:r w:rsidRPr="000E637A">
                              <w:rPr>
                                <w:rFonts w:asciiTheme="minorHAnsi" w:hAnsiTheme="minorHAnsi" w:cstheme="minorHAnsi"/>
                                <w:b/>
                                <w:sz w:val="22"/>
                                <w:szCs w:val="22"/>
                              </w:rPr>
                              <w:t>Action requested</w:t>
                            </w:r>
                            <w:r w:rsidR="00AA2EDD" w:rsidRPr="000E637A">
                              <w:rPr>
                                <w:rFonts w:asciiTheme="minorHAnsi" w:hAnsiTheme="minorHAnsi" w:cstheme="minorHAnsi"/>
                                <w:b/>
                                <w:sz w:val="22"/>
                                <w:szCs w:val="22"/>
                              </w:rPr>
                              <w:t>:</w:t>
                            </w:r>
                          </w:p>
                          <w:p w14:paraId="07EC423F" w14:textId="0DB61A18" w:rsidR="00EF4F00" w:rsidRPr="00EF4F00" w:rsidRDefault="00EF4F00" w:rsidP="007F7F60">
                            <w:pPr>
                              <w:rPr>
                                <w:rFonts w:asciiTheme="minorHAnsi" w:hAnsiTheme="minorHAnsi" w:cstheme="minorHAnsi"/>
                                <w:sz w:val="22"/>
                                <w:szCs w:val="22"/>
                              </w:rPr>
                            </w:pPr>
                          </w:p>
                          <w:p w14:paraId="1E13CED5" w14:textId="73027EEC" w:rsidR="00EF4F00" w:rsidRPr="00EF4F00" w:rsidRDefault="00EF4F00" w:rsidP="007F7F60">
                            <w:pPr>
                              <w:rPr>
                                <w:rFonts w:asciiTheme="minorHAnsi" w:hAnsiTheme="minorHAnsi" w:cstheme="minorHAnsi"/>
                                <w:sz w:val="22"/>
                                <w:szCs w:val="22"/>
                              </w:rPr>
                            </w:pPr>
                            <w:r w:rsidRPr="00EF4F00">
                              <w:rPr>
                                <w:rFonts w:asciiTheme="minorHAnsi" w:hAnsiTheme="minorHAnsi" w:cstheme="minorHAnsi"/>
                                <w:sz w:val="22"/>
                                <w:szCs w:val="22"/>
                              </w:rPr>
                              <w:t>The Standing Committee is invited to:</w:t>
                            </w:r>
                          </w:p>
                          <w:p w14:paraId="26FB0D4C" w14:textId="77777777" w:rsidR="000E637A" w:rsidRDefault="000E637A" w:rsidP="000E637A">
                            <w:pPr>
                              <w:pStyle w:val="ColorfulList-Accent11"/>
                              <w:ind w:left="0"/>
                            </w:pPr>
                          </w:p>
                          <w:p w14:paraId="0A961F0E" w14:textId="52BEB6BD" w:rsidR="00EF4F00" w:rsidRPr="00EF4F00" w:rsidRDefault="00EF4F00" w:rsidP="00EF4F00">
                            <w:pPr>
                              <w:pStyle w:val="ColorfulList-Accent11"/>
                              <w:ind w:left="426" w:hanging="426"/>
                              <w:rPr>
                                <w:rFonts w:asciiTheme="minorHAnsi" w:hAnsiTheme="minorHAnsi" w:cstheme="minorHAnsi"/>
                              </w:rPr>
                            </w:pPr>
                            <w:proofErr w:type="spellStart"/>
                            <w:r>
                              <w:t>i</w:t>
                            </w:r>
                            <w:proofErr w:type="spellEnd"/>
                            <w:r>
                              <w:t>.</w:t>
                            </w:r>
                            <w:r>
                              <w:tab/>
                            </w:r>
                            <w:proofErr w:type="gramStart"/>
                            <w:r w:rsidR="00857CD6">
                              <w:rPr>
                                <w:rFonts w:cs="Calibri"/>
                              </w:rPr>
                              <w:t>note</w:t>
                            </w:r>
                            <w:proofErr w:type="gramEnd"/>
                            <w:r w:rsidR="00857CD6">
                              <w:rPr>
                                <w:rFonts w:cs="Calibri"/>
                              </w:rPr>
                              <w:t xml:space="preserve"> </w:t>
                            </w:r>
                            <w:r w:rsidR="00967BF4">
                              <w:rPr>
                                <w:rFonts w:cs="Calibri"/>
                              </w:rPr>
                              <w:t xml:space="preserve">the present </w:t>
                            </w:r>
                            <w:r w:rsidR="000E637A">
                              <w:rPr>
                                <w:rFonts w:cs="Calibri"/>
                              </w:rPr>
                              <w:t xml:space="preserve">report of the </w:t>
                            </w:r>
                            <w:r w:rsidR="0045145A">
                              <w:rPr>
                                <w:rFonts w:cs="Calibri"/>
                              </w:rPr>
                              <w:t>Management Working Group</w:t>
                            </w:r>
                            <w:r>
                              <w:t>; and</w:t>
                            </w:r>
                          </w:p>
                          <w:p w14:paraId="0839F2B5" w14:textId="7975646C" w:rsidR="00AA2EDD" w:rsidRPr="00074A52" w:rsidRDefault="00AA2EDD" w:rsidP="00EF4F00">
                            <w:pPr>
                              <w:pStyle w:val="ColorfulList-Accent11"/>
                              <w:ind w:left="426" w:hanging="426"/>
                              <w:rPr>
                                <w:rFonts w:asciiTheme="minorHAnsi" w:hAnsiTheme="minorHAnsi" w:cstheme="minorHAnsi"/>
                              </w:rPr>
                            </w:pPr>
                          </w:p>
                          <w:p w14:paraId="7A4669C6" w14:textId="279A756D" w:rsidR="00074A52" w:rsidRDefault="00EF4F00" w:rsidP="00EF4F00">
                            <w:pPr>
                              <w:pStyle w:val="ColorfulList-Accent11"/>
                              <w:ind w:left="426" w:hanging="426"/>
                              <w:rPr>
                                <w:rFonts w:asciiTheme="minorHAnsi" w:hAnsiTheme="minorHAnsi" w:cstheme="minorHAnsi"/>
                              </w:rPr>
                            </w:pPr>
                            <w:r>
                              <w:rPr>
                                <w:rFonts w:asciiTheme="minorHAnsi" w:hAnsiTheme="minorHAnsi" w:cstheme="minorHAnsi"/>
                              </w:rPr>
                              <w:t>ii.</w:t>
                            </w:r>
                            <w:r>
                              <w:rPr>
                                <w:rFonts w:asciiTheme="minorHAnsi" w:hAnsiTheme="minorHAnsi" w:cstheme="minorHAnsi"/>
                              </w:rPr>
                              <w:tab/>
                            </w:r>
                            <w:r w:rsidR="00074A52">
                              <w:rPr>
                                <w:rFonts w:asciiTheme="minorHAnsi" w:hAnsiTheme="minorHAnsi" w:cstheme="minorHAnsi"/>
                              </w:rPr>
                              <w:t xml:space="preserve">consider the recommendation of the Management Working Group as described in paragraphs </w:t>
                            </w:r>
                            <w:r w:rsidR="00E93EF9">
                              <w:rPr>
                                <w:rFonts w:asciiTheme="minorHAnsi" w:hAnsiTheme="minorHAnsi" w:cstheme="minorHAnsi"/>
                              </w:rPr>
                              <w:t>six through eight</w:t>
                            </w:r>
                            <w:r w:rsidR="00074A52">
                              <w:rPr>
                                <w:rFonts w:asciiTheme="minorHAnsi" w:hAnsiTheme="minorHAnsi" w:cstheme="minorHAnsi"/>
                              </w:rPr>
                              <w:t xml:space="preserve"> to authorize the Secretary General to enter into new cooperation agreements following the guidance in SC54 Doc.</w:t>
                            </w:r>
                            <w:proofErr w:type="gramStart"/>
                            <w:r w:rsidR="00074A52">
                              <w:rPr>
                                <w:rFonts w:asciiTheme="minorHAnsi" w:hAnsiTheme="minorHAnsi" w:cstheme="minorHAnsi"/>
                              </w:rPr>
                              <w:t>16.Rev.</w:t>
                            </w:r>
                            <w:proofErr w:type="gramEnd"/>
                            <w:r w:rsidR="00074A52">
                              <w:rPr>
                                <w:rFonts w:asciiTheme="minorHAnsi" w:hAnsiTheme="minorHAnsi" w:cstheme="minorHAnsi"/>
                              </w:rPr>
                              <w:t>1</w:t>
                            </w:r>
                            <w:r>
                              <w:rPr>
                                <w:rFonts w:asciiTheme="minorHAnsi" w:hAnsiTheme="minorHAnsi" w:cstheme="minorHAnsi"/>
                              </w:rPr>
                              <w:t>.</w:t>
                            </w:r>
                          </w:p>
                          <w:p w14:paraId="3220B1EB" w14:textId="77777777" w:rsidR="007F7F60" w:rsidRPr="007F7F60" w:rsidRDefault="007F7F60">
                            <w:pPr>
                              <w:rPr>
                                <w:rFonts w:asciiTheme="minorHAnsi" w:hAnsiTheme="minorHAnsi" w:cstheme="minorHAnsi"/>
                              </w:rPr>
                            </w:pPr>
                          </w:p>
                        </w:txbxContent>
                      </wps:txbx>
                      <wps:bodyPr rot="0" vert="horz" wrap="square" lIns="91440" tIns="45720" rIns="91440" bIns="45720" anchor="t" anchorCtr="0">
                        <a:noAutofit/>
                      </wps:bodyPr>
                    </wps:wsp>
                  </a:graphicData>
                </a:graphic>
              </wp:inline>
            </w:drawing>
          </mc:Choice>
          <mc:Fallback>
            <w:pict>
              <v:shapetype w14:anchorId="4864891A" id="_x0000_t202" coordsize="21600,21600" o:spt="202" path="m,l,21600r21600,l21600,xe">
                <v:stroke joinstyle="miter"/>
                <v:path gradientshapeok="t" o:connecttype="rect"/>
              </v:shapetype>
              <v:shape id="Text Box 2" o:spid="_x0000_s1026" type="#_x0000_t202" style="width:454.2pt;height:13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">
                <v:textbox>
                  <w:txbxContent>
                    <w:p w14:paraId="50E2C70D" w14:textId="5AFBC61E" w:rsidR="00AA2EDD" w:rsidRDefault="000E637A" w:rsidP="007F7F60">
                      <w:pPr>
                        <w:rPr>
                          <w:rFonts w:asciiTheme="minorHAnsi" w:hAnsiTheme="minorHAnsi" w:cstheme="minorHAnsi"/>
                          <w:b/>
                          <w:sz w:val="22"/>
                          <w:szCs w:val="22"/>
                        </w:rPr>
                      </w:pPr>
                      <w:r w:rsidRPr="000E637A">
                        <w:rPr>
                          <w:rFonts w:asciiTheme="minorHAnsi" w:hAnsiTheme="minorHAnsi" w:cstheme="minorHAnsi"/>
                          <w:b/>
                          <w:sz w:val="22"/>
                          <w:szCs w:val="22"/>
                        </w:rPr>
                        <w:t>Action requested</w:t>
                      </w:r>
                      <w:r w:rsidR="00AA2EDD" w:rsidRPr="000E637A">
                        <w:rPr>
                          <w:rFonts w:asciiTheme="minorHAnsi" w:hAnsiTheme="minorHAnsi" w:cstheme="minorHAnsi"/>
                          <w:b/>
                          <w:sz w:val="22"/>
                          <w:szCs w:val="22"/>
                        </w:rPr>
                        <w:t>:</w:t>
                      </w:r>
                    </w:p>
                    <w:p w14:paraId="07EC423F" w14:textId="0DB61A18" w:rsidR="00EF4F00" w:rsidRPr="00EF4F00" w:rsidRDefault="00EF4F00" w:rsidP="007F7F60">
                      <w:pPr>
                        <w:rPr>
                          <w:rFonts w:asciiTheme="minorHAnsi" w:hAnsiTheme="minorHAnsi" w:cstheme="minorHAnsi"/>
                          <w:sz w:val="22"/>
                          <w:szCs w:val="22"/>
                        </w:rPr>
                      </w:pPr>
                    </w:p>
                    <w:p w14:paraId="1E13CED5" w14:textId="73027EEC" w:rsidR="00EF4F00" w:rsidRPr="00EF4F00" w:rsidRDefault="00EF4F00" w:rsidP="007F7F60">
                      <w:pPr>
                        <w:rPr>
                          <w:rFonts w:asciiTheme="minorHAnsi" w:hAnsiTheme="minorHAnsi" w:cstheme="minorHAnsi"/>
                          <w:sz w:val="22"/>
                          <w:szCs w:val="22"/>
                        </w:rPr>
                      </w:pPr>
                      <w:r w:rsidRPr="00EF4F00">
                        <w:rPr>
                          <w:rFonts w:asciiTheme="minorHAnsi" w:hAnsiTheme="minorHAnsi" w:cstheme="minorHAnsi"/>
                          <w:sz w:val="22"/>
                          <w:szCs w:val="22"/>
                        </w:rPr>
                        <w:t>The Standing Committee is invited to:</w:t>
                      </w:r>
                    </w:p>
                    <w:p w14:paraId="26FB0D4C" w14:textId="77777777" w:rsidR="000E637A" w:rsidRDefault="000E637A" w:rsidP="000E637A">
                      <w:pPr>
                        <w:pStyle w:val="ColorfulList-Accent11"/>
                        <w:ind w:left="0"/>
                      </w:pPr>
                    </w:p>
                    <w:p w14:paraId="0A961F0E" w14:textId="52BEB6BD" w:rsidR="00EF4F00" w:rsidRPr="00EF4F00" w:rsidRDefault="00EF4F00" w:rsidP="00EF4F00">
                      <w:pPr>
                        <w:pStyle w:val="ColorfulList-Accent11"/>
                        <w:ind w:left="426" w:hanging="426"/>
                        <w:rPr>
                          <w:rFonts w:asciiTheme="minorHAnsi" w:hAnsiTheme="minorHAnsi" w:cstheme="minorHAnsi"/>
                        </w:rPr>
                      </w:pPr>
                      <w:proofErr w:type="spellStart"/>
                      <w:r>
                        <w:t>i</w:t>
                      </w:r>
                      <w:proofErr w:type="spellEnd"/>
                      <w:r>
                        <w:t>.</w:t>
                      </w:r>
                      <w:r>
                        <w:tab/>
                      </w:r>
                      <w:proofErr w:type="gramStart"/>
                      <w:r w:rsidR="00857CD6">
                        <w:rPr>
                          <w:rFonts w:cs="Calibri"/>
                        </w:rPr>
                        <w:t>note</w:t>
                      </w:r>
                      <w:proofErr w:type="gramEnd"/>
                      <w:r w:rsidR="00857CD6">
                        <w:rPr>
                          <w:rFonts w:cs="Calibri"/>
                        </w:rPr>
                        <w:t xml:space="preserve"> </w:t>
                      </w:r>
                      <w:r w:rsidR="00967BF4">
                        <w:rPr>
                          <w:rFonts w:cs="Calibri"/>
                        </w:rPr>
                        <w:t xml:space="preserve">the present </w:t>
                      </w:r>
                      <w:r w:rsidR="000E637A">
                        <w:rPr>
                          <w:rFonts w:cs="Calibri"/>
                        </w:rPr>
                        <w:t xml:space="preserve">report of the </w:t>
                      </w:r>
                      <w:r w:rsidR="0045145A">
                        <w:rPr>
                          <w:rFonts w:cs="Calibri"/>
                        </w:rPr>
                        <w:t>Management Working Group</w:t>
                      </w:r>
                      <w:r>
                        <w:t>; and</w:t>
                      </w:r>
                    </w:p>
                    <w:p w14:paraId="0839F2B5" w14:textId="7975646C" w:rsidR="00AA2EDD" w:rsidRPr="00074A52" w:rsidRDefault="00AA2EDD" w:rsidP="00EF4F00">
                      <w:pPr>
                        <w:pStyle w:val="ColorfulList-Accent11"/>
                        <w:ind w:left="426" w:hanging="426"/>
                        <w:rPr>
                          <w:rFonts w:asciiTheme="minorHAnsi" w:hAnsiTheme="minorHAnsi" w:cstheme="minorHAnsi"/>
                        </w:rPr>
                      </w:pPr>
                    </w:p>
                    <w:p w14:paraId="7A4669C6" w14:textId="279A756D" w:rsidR="00074A52" w:rsidRDefault="00EF4F00" w:rsidP="00EF4F00">
                      <w:pPr>
                        <w:pStyle w:val="ColorfulList-Accent11"/>
                        <w:ind w:left="426" w:hanging="426"/>
                        <w:rPr>
                          <w:rFonts w:asciiTheme="minorHAnsi" w:hAnsiTheme="minorHAnsi" w:cstheme="minorHAnsi"/>
                        </w:rPr>
                      </w:pPr>
                      <w:r>
                        <w:rPr>
                          <w:rFonts w:asciiTheme="minorHAnsi" w:hAnsiTheme="minorHAnsi" w:cstheme="minorHAnsi"/>
                        </w:rPr>
                        <w:t>ii.</w:t>
                      </w:r>
                      <w:r>
                        <w:rPr>
                          <w:rFonts w:asciiTheme="minorHAnsi" w:hAnsiTheme="minorHAnsi" w:cstheme="minorHAnsi"/>
                        </w:rPr>
                        <w:tab/>
                      </w:r>
                      <w:r w:rsidR="00074A52">
                        <w:rPr>
                          <w:rFonts w:asciiTheme="minorHAnsi" w:hAnsiTheme="minorHAnsi" w:cstheme="minorHAnsi"/>
                        </w:rPr>
                        <w:t xml:space="preserve">consider the recommendation of the Management Working Group as described in paragraphs </w:t>
                      </w:r>
                      <w:r w:rsidR="00E93EF9">
                        <w:rPr>
                          <w:rFonts w:asciiTheme="minorHAnsi" w:hAnsiTheme="minorHAnsi" w:cstheme="minorHAnsi"/>
                        </w:rPr>
                        <w:t>six through eight</w:t>
                      </w:r>
                      <w:r w:rsidR="00074A52">
                        <w:rPr>
                          <w:rFonts w:asciiTheme="minorHAnsi" w:hAnsiTheme="minorHAnsi" w:cstheme="minorHAnsi"/>
                        </w:rPr>
                        <w:t xml:space="preserve"> to authorize the Secretary General to enter into new cooperation agreements following the guidance in SC54 Doc.</w:t>
                      </w:r>
                      <w:proofErr w:type="gramStart"/>
                      <w:r w:rsidR="00074A52">
                        <w:rPr>
                          <w:rFonts w:asciiTheme="minorHAnsi" w:hAnsiTheme="minorHAnsi" w:cstheme="minorHAnsi"/>
                        </w:rPr>
                        <w:t>16.Rev.</w:t>
                      </w:r>
                      <w:proofErr w:type="gramEnd"/>
                      <w:r w:rsidR="00074A52">
                        <w:rPr>
                          <w:rFonts w:asciiTheme="minorHAnsi" w:hAnsiTheme="minorHAnsi" w:cstheme="minorHAnsi"/>
                        </w:rPr>
                        <w:t>1</w:t>
                      </w:r>
                      <w:r>
                        <w:rPr>
                          <w:rFonts w:asciiTheme="minorHAnsi" w:hAnsiTheme="minorHAnsi" w:cstheme="minorHAnsi"/>
                        </w:rPr>
                        <w:t>.</w:t>
                      </w:r>
                    </w:p>
                    <w:p w14:paraId="3220B1EB" w14:textId="77777777" w:rsidR="007F7F60" w:rsidRPr="007F7F60" w:rsidRDefault="007F7F60">
                      <w:pPr>
                        <w:rPr>
                          <w:rFonts w:asciiTheme="minorHAnsi" w:hAnsiTheme="minorHAnsi" w:cstheme="minorHAnsi"/>
                        </w:rPr>
                      </w:pPr>
                    </w:p>
                  </w:txbxContent>
                </v:textbox>
                <w10:anchorlock/>
              </v:shape>
            </w:pict>
          </mc:Fallback>
        </mc:AlternateContent>
      </w:r>
    </w:p>
    <w:p w14:paraId="4C28D090" w14:textId="77777777" w:rsidR="006058B3" w:rsidRDefault="006058B3" w:rsidP="006058B3">
      <w:pPr>
        <w:jc w:val="left"/>
        <w:rPr>
          <w:rFonts w:asciiTheme="minorHAnsi" w:hAnsiTheme="minorHAnsi" w:cstheme="minorHAnsi"/>
          <w:b/>
          <w:bCs/>
          <w:sz w:val="22"/>
          <w:szCs w:val="22"/>
        </w:rPr>
      </w:pPr>
    </w:p>
    <w:p w14:paraId="54D5FA08" w14:textId="77777777" w:rsidR="006058B3" w:rsidRDefault="006058B3" w:rsidP="005F680E">
      <w:pPr>
        <w:jc w:val="left"/>
        <w:rPr>
          <w:rFonts w:asciiTheme="minorHAnsi" w:hAnsiTheme="minorHAnsi" w:cstheme="minorHAnsi"/>
          <w:b/>
          <w:bCs/>
          <w:sz w:val="22"/>
          <w:szCs w:val="22"/>
        </w:rPr>
      </w:pPr>
    </w:p>
    <w:p w14:paraId="2FE5D6F4" w14:textId="77777777" w:rsidR="00773024" w:rsidRPr="006058B3" w:rsidRDefault="00773024" w:rsidP="005F680E">
      <w:pPr>
        <w:ind w:left="426" w:hanging="425"/>
        <w:jc w:val="left"/>
        <w:rPr>
          <w:rFonts w:asciiTheme="minorHAnsi" w:hAnsiTheme="minorHAnsi" w:cstheme="minorHAnsi"/>
          <w:b/>
          <w:bCs/>
          <w:sz w:val="22"/>
          <w:szCs w:val="22"/>
        </w:rPr>
      </w:pPr>
      <w:r w:rsidRPr="006058B3">
        <w:rPr>
          <w:rFonts w:asciiTheme="minorHAnsi" w:hAnsiTheme="minorHAnsi" w:cstheme="minorHAnsi"/>
          <w:b/>
          <w:bCs/>
          <w:sz w:val="22"/>
          <w:szCs w:val="22"/>
        </w:rPr>
        <w:t>Background</w:t>
      </w:r>
    </w:p>
    <w:p w14:paraId="1F742483" w14:textId="77777777" w:rsidR="00C32315" w:rsidRPr="006058B3" w:rsidRDefault="00C32315" w:rsidP="005F680E">
      <w:pPr>
        <w:ind w:left="426" w:firstLine="0"/>
        <w:jc w:val="left"/>
        <w:rPr>
          <w:rFonts w:asciiTheme="minorHAnsi" w:hAnsiTheme="minorHAnsi" w:cstheme="minorHAnsi"/>
          <w:sz w:val="22"/>
          <w:szCs w:val="22"/>
        </w:rPr>
      </w:pPr>
    </w:p>
    <w:p w14:paraId="45A96F36" w14:textId="6B97A98A" w:rsidR="00CA5CD6" w:rsidRPr="005F680E" w:rsidRDefault="005F680E" w:rsidP="005F680E">
      <w:pPr>
        <w:ind w:left="425" w:hanging="425"/>
        <w:jc w:val="left"/>
        <w:rPr>
          <w:rFonts w:asciiTheme="minorHAnsi" w:hAnsiTheme="minorHAnsi" w:cstheme="minorHAnsi"/>
          <w:bCs/>
          <w:sz w:val="22"/>
          <w:szCs w:val="22"/>
        </w:rPr>
      </w:pPr>
      <w:r>
        <w:rPr>
          <w:rFonts w:asciiTheme="minorHAnsi" w:hAnsiTheme="minorHAnsi" w:cstheme="minorHAnsi"/>
          <w:bCs/>
          <w:sz w:val="22"/>
          <w:szCs w:val="22"/>
        </w:rPr>
        <w:t>1.</w:t>
      </w:r>
      <w:r>
        <w:rPr>
          <w:rFonts w:asciiTheme="minorHAnsi" w:hAnsiTheme="minorHAnsi" w:cstheme="minorHAnsi"/>
          <w:bCs/>
          <w:sz w:val="22"/>
          <w:szCs w:val="22"/>
        </w:rPr>
        <w:tab/>
      </w:r>
      <w:r w:rsidR="00CA5CD6" w:rsidRPr="005F680E">
        <w:rPr>
          <w:rFonts w:asciiTheme="minorHAnsi" w:hAnsiTheme="minorHAnsi" w:cstheme="minorHAnsi"/>
          <w:bCs/>
          <w:sz w:val="22"/>
          <w:szCs w:val="22"/>
        </w:rPr>
        <w:t xml:space="preserve">This report provides an overview of the work carried out </w:t>
      </w:r>
      <w:r w:rsidR="00F12376" w:rsidRPr="005F680E">
        <w:rPr>
          <w:rFonts w:asciiTheme="minorHAnsi" w:hAnsiTheme="minorHAnsi" w:cstheme="minorHAnsi"/>
          <w:bCs/>
          <w:sz w:val="22"/>
          <w:szCs w:val="22"/>
        </w:rPr>
        <w:t xml:space="preserve">by the </w:t>
      </w:r>
      <w:r w:rsidR="0045145A">
        <w:rPr>
          <w:rFonts w:asciiTheme="minorHAnsi" w:hAnsiTheme="minorHAnsi" w:cstheme="minorHAnsi"/>
          <w:bCs/>
          <w:sz w:val="22"/>
          <w:szCs w:val="22"/>
        </w:rPr>
        <w:t xml:space="preserve">Management Working Group </w:t>
      </w:r>
      <w:r w:rsidR="00017290">
        <w:rPr>
          <w:rFonts w:asciiTheme="minorHAnsi" w:hAnsiTheme="minorHAnsi" w:cstheme="minorHAnsi"/>
          <w:bCs/>
          <w:sz w:val="22"/>
          <w:szCs w:val="22"/>
        </w:rPr>
        <w:t xml:space="preserve">for the period </w:t>
      </w:r>
      <w:r w:rsidR="00F12376" w:rsidRPr="005F680E">
        <w:rPr>
          <w:rFonts w:asciiTheme="minorHAnsi" w:hAnsiTheme="minorHAnsi" w:cstheme="minorHAnsi"/>
          <w:bCs/>
          <w:sz w:val="22"/>
          <w:szCs w:val="22"/>
        </w:rPr>
        <w:t>following the 6</w:t>
      </w:r>
      <w:r w:rsidR="008B3068">
        <w:rPr>
          <w:rFonts w:asciiTheme="minorHAnsi" w:hAnsiTheme="minorHAnsi" w:cstheme="minorHAnsi"/>
          <w:bCs/>
          <w:sz w:val="22"/>
          <w:szCs w:val="22"/>
        </w:rPr>
        <w:t>2nd</w:t>
      </w:r>
      <w:r w:rsidR="00F12376" w:rsidRPr="005F680E">
        <w:rPr>
          <w:rFonts w:asciiTheme="minorHAnsi" w:hAnsiTheme="minorHAnsi" w:cstheme="minorHAnsi"/>
          <w:bCs/>
          <w:sz w:val="22"/>
          <w:szCs w:val="22"/>
        </w:rPr>
        <w:t xml:space="preserve"> meeting of the Standing Committee </w:t>
      </w:r>
      <w:r w:rsidR="00E662CA">
        <w:rPr>
          <w:rFonts w:asciiTheme="minorHAnsi" w:hAnsiTheme="minorHAnsi" w:cstheme="minorHAnsi"/>
          <w:bCs/>
          <w:sz w:val="22"/>
          <w:szCs w:val="22"/>
        </w:rPr>
        <w:t>(SC6</w:t>
      </w:r>
      <w:r w:rsidR="008B3068">
        <w:rPr>
          <w:rFonts w:asciiTheme="minorHAnsi" w:hAnsiTheme="minorHAnsi" w:cstheme="minorHAnsi"/>
          <w:bCs/>
          <w:sz w:val="22"/>
          <w:szCs w:val="22"/>
        </w:rPr>
        <w:t>2</w:t>
      </w:r>
      <w:r w:rsidR="00E662CA">
        <w:rPr>
          <w:rFonts w:asciiTheme="minorHAnsi" w:hAnsiTheme="minorHAnsi" w:cstheme="minorHAnsi"/>
          <w:bCs/>
          <w:sz w:val="22"/>
          <w:szCs w:val="22"/>
        </w:rPr>
        <w:t xml:space="preserve">) </w:t>
      </w:r>
      <w:r w:rsidR="00F12376" w:rsidRPr="005F680E">
        <w:rPr>
          <w:rFonts w:asciiTheme="minorHAnsi" w:hAnsiTheme="minorHAnsi" w:cstheme="minorHAnsi"/>
          <w:bCs/>
          <w:sz w:val="22"/>
          <w:szCs w:val="22"/>
        </w:rPr>
        <w:t xml:space="preserve">which was held </w:t>
      </w:r>
      <w:r w:rsidR="008B3068">
        <w:rPr>
          <w:rFonts w:asciiTheme="minorHAnsi" w:hAnsiTheme="minorHAnsi" w:cstheme="minorHAnsi"/>
          <w:bCs/>
          <w:sz w:val="22"/>
          <w:szCs w:val="22"/>
        </w:rPr>
        <w:t>from</w:t>
      </w:r>
      <w:r w:rsidR="00F12376" w:rsidRPr="005F680E">
        <w:rPr>
          <w:rFonts w:asciiTheme="minorHAnsi" w:hAnsiTheme="minorHAnsi" w:cstheme="minorHAnsi"/>
          <w:bCs/>
          <w:sz w:val="22"/>
          <w:szCs w:val="22"/>
        </w:rPr>
        <w:t xml:space="preserve"> </w:t>
      </w:r>
      <w:r w:rsidR="008B3068">
        <w:rPr>
          <w:rFonts w:asciiTheme="minorHAnsi" w:hAnsiTheme="minorHAnsi" w:cstheme="minorHAnsi"/>
          <w:bCs/>
          <w:sz w:val="22"/>
          <w:szCs w:val="22"/>
        </w:rPr>
        <w:t>4-8 September</w:t>
      </w:r>
      <w:r w:rsidR="00F12376" w:rsidRPr="005F680E">
        <w:rPr>
          <w:rFonts w:asciiTheme="minorHAnsi" w:hAnsiTheme="minorHAnsi" w:cstheme="minorHAnsi"/>
          <w:bCs/>
          <w:sz w:val="22"/>
          <w:szCs w:val="22"/>
        </w:rPr>
        <w:t xml:space="preserve"> 202</w:t>
      </w:r>
      <w:r w:rsidR="008B3068">
        <w:rPr>
          <w:rFonts w:asciiTheme="minorHAnsi" w:hAnsiTheme="minorHAnsi" w:cstheme="minorHAnsi"/>
          <w:bCs/>
          <w:sz w:val="22"/>
          <w:szCs w:val="22"/>
        </w:rPr>
        <w:t xml:space="preserve">3 through 4 March 2024, the date of publication for </w:t>
      </w:r>
      <w:r w:rsidR="00194746">
        <w:rPr>
          <w:rFonts w:asciiTheme="minorHAnsi" w:hAnsiTheme="minorHAnsi" w:cstheme="minorHAnsi"/>
          <w:bCs/>
          <w:sz w:val="22"/>
          <w:szCs w:val="22"/>
        </w:rPr>
        <w:t xml:space="preserve">SC63 </w:t>
      </w:r>
      <w:r w:rsidR="008B3068">
        <w:rPr>
          <w:rFonts w:asciiTheme="minorHAnsi" w:hAnsiTheme="minorHAnsi" w:cstheme="minorHAnsi"/>
          <w:bCs/>
          <w:sz w:val="22"/>
          <w:szCs w:val="22"/>
        </w:rPr>
        <w:t>documents.</w:t>
      </w:r>
    </w:p>
    <w:p w14:paraId="04B0C865" w14:textId="77777777" w:rsidR="00D631CE" w:rsidRPr="005F680E" w:rsidRDefault="00D631CE" w:rsidP="005F680E">
      <w:pPr>
        <w:pStyle w:val="ListParagraph"/>
        <w:spacing w:after="0" w:line="240" w:lineRule="auto"/>
        <w:ind w:left="425" w:hanging="425"/>
        <w:rPr>
          <w:rFonts w:cstheme="minorHAnsi"/>
          <w:bCs/>
        </w:rPr>
      </w:pPr>
    </w:p>
    <w:p w14:paraId="2AB2532B" w14:textId="6EE41ADF" w:rsidR="00F1025C" w:rsidRPr="000C70C6" w:rsidRDefault="005F680E" w:rsidP="00017290">
      <w:pPr>
        <w:ind w:left="425" w:hanging="425"/>
        <w:jc w:val="left"/>
        <w:rPr>
          <w:rFonts w:asciiTheme="minorHAnsi" w:hAnsiTheme="minorHAnsi" w:cstheme="minorHAnsi"/>
          <w:sz w:val="22"/>
          <w:szCs w:val="22"/>
        </w:rPr>
      </w:pPr>
      <w:r>
        <w:rPr>
          <w:rFonts w:asciiTheme="minorHAnsi" w:hAnsiTheme="minorHAnsi" w:cstheme="minorHAnsi"/>
          <w:bCs/>
          <w:sz w:val="22"/>
          <w:szCs w:val="22"/>
        </w:rPr>
        <w:t>2.</w:t>
      </w:r>
      <w:r>
        <w:rPr>
          <w:rFonts w:asciiTheme="minorHAnsi" w:hAnsiTheme="minorHAnsi" w:cstheme="minorHAnsi"/>
          <w:bCs/>
          <w:sz w:val="22"/>
          <w:szCs w:val="22"/>
        </w:rPr>
        <w:tab/>
      </w:r>
      <w:r w:rsidR="00D631CE" w:rsidRPr="005F680E">
        <w:rPr>
          <w:rFonts w:asciiTheme="minorHAnsi" w:hAnsiTheme="minorHAnsi" w:cstheme="minorHAnsi"/>
          <w:bCs/>
          <w:sz w:val="22"/>
          <w:szCs w:val="22"/>
        </w:rPr>
        <w:t xml:space="preserve">The </w:t>
      </w:r>
      <w:r w:rsidR="00D631CE" w:rsidRPr="000C70C6">
        <w:rPr>
          <w:rFonts w:asciiTheme="minorHAnsi" w:hAnsiTheme="minorHAnsi" w:cstheme="minorHAnsi"/>
          <w:sz w:val="22"/>
          <w:szCs w:val="22"/>
        </w:rPr>
        <w:t xml:space="preserve">role and composition of the </w:t>
      </w:r>
      <w:r w:rsidR="0045145A" w:rsidRPr="000C70C6">
        <w:rPr>
          <w:rFonts w:asciiTheme="minorHAnsi" w:hAnsiTheme="minorHAnsi" w:cstheme="minorHAnsi"/>
          <w:sz w:val="22"/>
          <w:szCs w:val="22"/>
        </w:rPr>
        <w:t>Management Working Group</w:t>
      </w:r>
      <w:r w:rsidR="00D631CE" w:rsidRPr="000C70C6">
        <w:rPr>
          <w:rFonts w:asciiTheme="minorHAnsi" w:hAnsiTheme="minorHAnsi" w:cstheme="minorHAnsi"/>
          <w:sz w:val="22"/>
          <w:szCs w:val="22"/>
        </w:rPr>
        <w:t xml:space="preserve"> is set out in Resolution</w:t>
      </w:r>
      <w:r w:rsidR="0045145A" w:rsidRPr="000C70C6">
        <w:rPr>
          <w:rFonts w:asciiTheme="minorHAnsi" w:hAnsiTheme="minorHAnsi" w:cstheme="minorHAnsi"/>
          <w:sz w:val="22"/>
          <w:szCs w:val="22"/>
        </w:rPr>
        <w:t>s</w:t>
      </w:r>
      <w:r w:rsidR="00D631CE" w:rsidRPr="000C70C6">
        <w:rPr>
          <w:rFonts w:asciiTheme="minorHAnsi" w:hAnsiTheme="minorHAnsi" w:cstheme="minorHAnsi"/>
          <w:sz w:val="22"/>
          <w:szCs w:val="22"/>
        </w:rPr>
        <w:t xml:space="preserve"> </w:t>
      </w:r>
      <w:r w:rsidR="0045145A" w:rsidRPr="000C70C6">
        <w:rPr>
          <w:rFonts w:asciiTheme="minorHAnsi" w:hAnsiTheme="minorHAnsi" w:cstheme="minorHAnsi"/>
          <w:sz w:val="22"/>
          <w:szCs w:val="22"/>
        </w:rPr>
        <w:t>IX.24 and X.4.</w:t>
      </w:r>
      <w:r w:rsidR="000C70C6" w:rsidRPr="000C70C6">
        <w:rPr>
          <w:rFonts w:asciiTheme="minorHAnsi" w:hAnsiTheme="minorHAnsi" w:cstheme="minorHAnsi"/>
          <w:sz w:val="22"/>
          <w:szCs w:val="22"/>
        </w:rPr>
        <w:t xml:space="preserve"> Membership of the Management Working Group is comprised of the Chair and </w:t>
      </w:r>
      <w:r w:rsidR="00344123" w:rsidRPr="000C70C6">
        <w:rPr>
          <w:rFonts w:asciiTheme="minorHAnsi" w:hAnsiTheme="minorHAnsi" w:cstheme="minorHAnsi"/>
          <w:sz w:val="22"/>
          <w:szCs w:val="22"/>
        </w:rPr>
        <w:t>Vice</w:t>
      </w:r>
      <w:r w:rsidR="00344123">
        <w:rPr>
          <w:rFonts w:asciiTheme="minorHAnsi" w:hAnsiTheme="minorHAnsi" w:cstheme="minorHAnsi"/>
          <w:sz w:val="22"/>
          <w:szCs w:val="22"/>
        </w:rPr>
        <w:t>-</w:t>
      </w:r>
      <w:r w:rsidR="000C70C6" w:rsidRPr="000C70C6">
        <w:rPr>
          <w:rFonts w:asciiTheme="minorHAnsi" w:hAnsiTheme="minorHAnsi" w:cstheme="minorHAnsi"/>
          <w:sz w:val="22"/>
          <w:szCs w:val="22"/>
        </w:rPr>
        <w:t xml:space="preserve">Chair of the Standing Committee of the previous triennium, the Chair and </w:t>
      </w:r>
      <w:r w:rsidR="00344123" w:rsidRPr="000C70C6">
        <w:rPr>
          <w:rFonts w:asciiTheme="minorHAnsi" w:hAnsiTheme="minorHAnsi" w:cstheme="minorHAnsi"/>
          <w:sz w:val="22"/>
          <w:szCs w:val="22"/>
        </w:rPr>
        <w:t>Vice</w:t>
      </w:r>
      <w:r w:rsidR="00344123">
        <w:rPr>
          <w:rFonts w:asciiTheme="minorHAnsi" w:hAnsiTheme="minorHAnsi" w:cstheme="minorHAnsi"/>
          <w:sz w:val="22"/>
          <w:szCs w:val="22"/>
        </w:rPr>
        <w:t>-</w:t>
      </w:r>
      <w:r w:rsidR="000C70C6" w:rsidRPr="000C70C6">
        <w:rPr>
          <w:rFonts w:asciiTheme="minorHAnsi" w:hAnsiTheme="minorHAnsi" w:cstheme="minorHAnsi"/>
          <w:sz w:val="22"/>
          <w:szCs w:val="22"/>
        </w:rPr>
        <w:t xml:space="preserve">Chair of the Standing Committee established for the forthcoming triennium, the Chairs of the Subgroup on Finance of the previous and forthcoming Standing Committees, the Chairs of the Scientific and Technical Review Panel in the previous and forthcoming triennia, any other interested Contracting Parties, keeping in mind the desirability of equitable regional participation, a representative of the International Organization Partners (IOPs), and the Secretary General </w:t>
      </w:r>
      <w:r w:rsidR="000C70C6" w:rsidRPr="00344123">
        <w:rPr>
          <w:rFonts w:asciiTheme="minorHAnsi" w:hAnsiTheme="minorHAnsi" w:cstheme="minorHAnsi"/>
          <w:i/>
          <w:sz w:val="22"/>
          <w:szCs w:val="22"/>
        </w:rPr>
        <w:t>ex officio</w:t>
      </w:r>
      <w:r w:rsidR="000C70C6" w:rsidRPr="000C70C6">
        <w:rPr>
          <w:rFonts w:asciiTheme="minorHAnsi" w:hAnsiTheme="minorHAnsi" w:cstheme="minorHAnsi"/>
          <w:sz w:val="22"/>
          <w:szCs w:val="22"/>
        </w:rPr>
        <w:t xml:space="preserve">. </w:t>
      </w:r>
    </w:p>
    <w:p w14:paraId="3724BC98" w14:textId="1763E199" w:rsidR="00017290" w:rsidRDefault="00017290" w:rsidP="00017290">
      <w:pPr>
        <w:ind w:left="425" w:hanging="425"/>
        <w:jc w:val="left"/>
        <w:rPr>
          <w:rFonts w:asciiTheme="minorHAnsi" w:hAnsiTheme="minorHAnsi" w:cstheme="minorHAnsi"/>
          <w:bCs/>
          <w:sz w:val="22"/>
          <w:szCs w:val="22"/>
        </w:rPr>
      </w:pPr>
    </w:p>
    <w:p w14:paraId="3A697761" w14:textId="058A975E" w:rsidR="00017290" w:rsidRDefault="00017290" w:rsidP="006E61BB">
      <w:pPr>
        <w:ind w:left="426" w:hanging="426"/>
        <w:jc w:val="left"/>
        <w:rPr>
          <w:rFonts w:asciiTheme="minorHAnsi" w:hAnsiTheme="minorHAnsi" w:cstheme="minorHAnsi"/>
          <w:bCs/>
          <w:sz w:val="22"/>
          <w:szCs w:val="22"/>
        </w:rPr>
      </w:pPr>
      <w:r>
        <w:rPr>
          <w:rFonts w:asciiTheme="minorHAnsi" w:hAnsiTheme="minorHAnsi" w:cstheme="minorHAnsi"/>
          <w:bCs/>
          <w:sz w:val="22"/>
          <w:szCs w:val="22"/>
        </w:rPr>
        <w:t>3.</w:t>
      </w:r>
      <w:r>
        <w:rPr>
          <w:rFonts w:asciiTheme="minorHAnsi" w:hAnsiTheme="minorHAnsi" w:cstheme="minorHAnsi"/>
          <w:bCs/>
          <w:sz w:val="22"/>
          <w:szCs w:val="22"/>
        </w:rPr>
        <w:tab/>
      </w:r>
      <w:r w:rsidRPr="006E61BB">
        <w:rPr>
          <w:rFonts w:asciiTheme="minorHAnsi" w:hAnsiTheme="minorHAnsi" w:cstheme="minorHAnsi"/>
          <w:bCs/>
          <w:sz w:val="22"/>
          <w:szCs w:val="22"/>
        </w:rPr>
        <w:t>The</w:t>
      </w:r>
      <w:r w:rsidR="000C70C6" w:rsidRPr="006E61BB">
        <w:rPr>
          <w:rFonts w:asciiTheme="minorHAnsi" w:hAnsiTheme="minorHAnsi" w:cstheme="minorHAnsi"/>
          <w:bCs/>
          <w:sz w:val="22"/>
          <w:szCs w:val="22"/>
        </w:rPr>
        <w:t xml:space="preserve"> current</w:t>
      </w:r>
      <w:r w:rsidRPr="006E61BB">
        <w:rPr>
          <w:rFonts w:asciiTheme="minorHAnsi" w:hAnsiTheme="minorHAnsi" w:cstheme="minorHAnsi"/>
          <w:bCs/>
          <w:sz w:val="22"/>
          <w:szCs w:val="22"/>
        </w:rPr>
        <w:t xml:space="preserve"> membership of the </w:t>
      </w:r>
      <w:r w:rsidR="0045145A" w:rsidRPr="006E61BB">
        <w:rPr>
          <w:rFonts w:asciiTheme="minorHAnsi" w:hAnsiTheme="minorHAnsi" w:cstheme="minorHAnsi"/>
          <w:bCs/>
          <w:sz w:val="22"/>
          <w:szCs w:val="22"/>
        </w:rPr>
        <w:t>Management Working Group</w:t>
      </w:r>
      <w:r w:rsidRPr="006E61BB">
        <w:rPr>
          <w:rFonts w:asciiTheme="minorHAnsi" w:hAnsiTheme="minorHAnsi" w:cstheme="minorHAnsi"/>
          <w:bCs/>
          <w:sz w:val="22"/>
          <w:szCs w:val="22"/>
        </w:rPr>
        <w:t xml:space="preserve"> is </w:t>
      </w:r>
      <w:r w:rsidR="000C70C6" w:rsidRPr="006E61BB">
        <w:rPr>
          <w:rFonts w:asciiTheme="minorHAnsi" w:hAnsiTheme="minorHAnsi" w:cstheme="minorHAnsi"/>
          <w:bCs/>
          <w:sz w:val="22"/>
          <w:szCs w:val="22"/>
        </w:rPr>
        <w:t>as follows</w:t>
      </w:r>
      <w:r w:rsidR="00344123">
        <w:rPr>
          <w:rFonts w:asciiTheme="minorHAnsi" w:hAnsiTheme="minorHAnsi" w:cstheme="minorHAnsi"/>
          <w:bCs/>
          <w:sz w:val="22"/>
          <w:szCs w:val="22"/>
        </w:rPr>
        <w:t>:</w:t>
      </w:r>
      <w:r w:rsidR="00344123" w:rsidRPr="006E61BB">
        <w:rPr>
          <w:rFonts w:asciiTheme="minorHAnsi" w:hAnsiTheme="minorHAnsi" w:cstheme="minorHAnsi"/>
          <w:bCs/>
          <w:sz w:val="22"/>
          <w:szCs w:val="22"/>
        </w:rPr>
        <w:t xml:space="preserve"> </w:t>
      </w:r>
      <w:r w:rsidR="006E61BB" w:rsidRPr="006E61BB">
        <w:rPr>
          <w:rFonts w:asciiTheme="minorHAnsi" w:hAnsiTheme="minorHAnsi" w:cstheme="minorHAnsi"/>
          <w:bCs/>
          <w:sz w:val="22"/>
          <w:szCs w:val="22"/>
        </w:rPr>
        <w:t>China,</w:t>
      </w:r>
      <w:r w:rsidR="006E61BB" w:rsidRPr="006E61BB">
        <w:rPr>
          <w:rFonts w:asciiTheme="minorHAnsi" w:hAnsiTheme="minorHAnsi" w:cstheme="minorHAnsi"/>
          <w:color w:val="333333"/>
          <w:sz w:val="22"/>
          <w:szCs w:val="22"/>
        </w:rPr>
        <w:t xml:space="preserve"> Gabon, Mexico, Sweden, United Arab Emirates, United States of America, current and past Chairs of the STRP, WWF representing </w:t>
      </w:r>
      <w:r w:rsidR="006E61BB">
        <w:rPr>
          <w:rFonts w:asciiTheme="minorHAnsi" w:hAnsiTheme="minorHAnsi" w:cstheme="minorHAnsi"/>
          <w:color w:val="333333"/>
          <w:sz w:val="22"/>
          <w:szCs w:val="22"/>
        </w:rPr>
        <w:t>the IOPs</w:t>
      </w:r>
      <w:r w:rsidR="00046743">
        <w:rPr>
          <w:rFonts w:asciiTheme="minorHAnsi" w:hAnsiTheme="minorHAnsi" w:cstheme="minorHAnsi"/>
          <w:color w:val="333333"/>
          <w:sz w:val="22"/>
          <w:szCs w:val="22"/>
        </w:rPr>
        <w:t>,</w:t>
      </w:r>
      <w:r w:rsidR="006E61BB" w:rsidRPr="006E61BB">
        <w:rPr>
          <w:rFonts w:asciiTheme="minorHAnsi" w:hAnsiTheme="minorHAnsi" w:cstheme="minorHAnsi"/>
          <w:color w:val="333333"/>
          <w:sz w:val="22"/>
          <w:szCs w:val="22"/>
        </w:rPr>
        <w:t xml:space="preserve"> and Canada, Côte d’Ivoire, Samoa and Switzerland as interested Parties.</w:t>
      </w:r>
      <w:r w:rsidR="000C70C6" w:rsidRPr="006E61BB">
        <w:rPr>
          <w:rFonts w:asciiTheme="minorHAnsi" w:hAnsiTheme="minorHAnsi" w:cstheme="minorHAnsi"/>
          <w:bCs/>
          <w:sz w:val="22"/>
          <w:szCs w:val="22"/>
        </w:rPr>
        <w:t xml:space="preserve"> China as the Chair of the Standing Committee serves as the Chair of the Management Working Group. </w:t>
      </w:r>
    </w:p>
    <w:p w14:paraId="101C383F" w14:textId="77777777" w:rsidR="00027DBC" w:rsidRDefault="00027DBC" w:rsidP="00017290">
      <w:pPr>
        <w:ind w:left="0" w:firstLine="0"/>
        <w:jc w:val="left"/>
        <w:rPr>
          <w:rFonts w:asciiTheme="minorHAnsi" w:hAnsiTheme="minorHAnsi" w:cstheme="minorHAnsi"/>
          <w:bCs/>
          <w:sz w:val="22"/>
          <w:szCs w:val="22"/>
        </w:rPr>
      </w:pPr>
    </w:p>
    <w:p w14:paraId="6B815F2D" w14:textId="5DBF6BD1" w:rsidR="00F12376" w:rsidRPr="006058B3" w:rsidRDefault="00F12376" w:rsidP="005F680E">
      <w:pPr>
        <w:ind w:left="426" w:hanging="425"/>
        <w:jc w:val="left"/>
        <w:rPr>
          <w:rFonts w:asciiTheme="minorHAnsi" w:hAnsiTheme="minorHAnsi" w:cstheme="minorHAnsi"/>
          <w:b/>
          <w:bCs/>
          <w:sz w:val="22"/>
          <w:szCs w:val="22"/>
        </w:rPr>
      </w:pPr>
      <w:r w:rsidRPr="006058B3">
        <w:rPr>
          <w:rFonts w:asciiTheme="minorHAnsi" w:hAnsiTheme="minorHAnsi" w:cstheme="minorHAnsi"/>
          <w:b/>
          <w:bCs/>
          <w:sz w:val="22"/>
          <w:szCs w:val="22"/>
        </w:rPr>
        <w:t xml:space="preserve">Work undertaken by the </w:t>
      </w:r>
      <w:r w:rsidR="000C70C6">
        <w:rPr>
          <w:rFonts w:asciiTheme="minorHAnsi" w:hAnsiTheme="minorHAnsi" w:cstheme="minorHAnsi"/>
          <w:b/>
          <w:bCs/>
          <w:sz w:val="22"/>
          <w:szCs w:val="22"/>
        </w:rPr>
        <w:t>Management Working Group</w:t>
      </w:r>
      <w:r w:rsidRPr="006058B3">
        <w:rPr>
          <w:rFonts w:asciiTheme="minorHAnsi" w:hAnsiTheme="minorHAnsi" w:cstheme="minorHAnsi"/>
          <w:b/>
          <w:bCs/>
          <w:sz w:val="22"/>
          <w:szCs w:val="22"/>
        </w:rPr>
        <w:t xml:space="preserve"> </w:t>
      </w:r>
    </w:p>
    <w:p w14:paraId="0270647C" w14:textId="77777777" w:rsidR="005053BC" w:rsidRDefault="005053BC" w:rsidP="006E61BB">
      <w:pPr>
        <w:pStyle w:val="ColorfulList-Accent11"/>
        <w:ind w:left="0" w:firstLine="0"/>
        <w:rPr>
          <w:rFonts w:asciiTheme="minorHAnsi" w:eastAsia="Times New Roman" w:hAnsiTheme="minorHAnsi" w:cstheme="minorHAnsi"/>
          <w:bCs/>
          <w:lang w:eastAsia="en-GB"/>
        </w:rPr>
      </w:pPr>
    </w:p>
    <w:p w14:paraId="2C2C825A" w14:textId="30DDA1C7" w:rsidR="006E61BB" w:rsidRPr="00EF4F00" w:rsidRDefault="00EF4F00" w:rsidP="00EF4F00">
      <w:pPr>
        <w:pStyle w:val="ColorfulList-Accent11"/>
        <w:ind w:left="425"/>
        <w:rPr>
          <w:rFonts w:asciiTheme="minorHAnsi" w:hAnsiTheme="minorHAnsi" w:cstheme="minorHAnsi"/>
          <w:bCs/>
        </w:rPr>
      </w:pPr>
      <w:r w:rsidRPr="00EF4F00">
        <w:rPr>
          <w:rFonts w:asciiTheme="minorHAnsi" w:hAnsiTheme="minorHAnsi" w:cstheme="minorHAnsi"/>
          <w:bCs/>
        </w:rPr>
        <w:t>4.</w:t>
      </w:r>
      <w:r w:rsidRPr="00EF4F00">
        <w:rPr>
          <w:rFonts w:asciiTheme="minorHAnsi" w:hAnsiTheme="minorHAnsi" w:cstheme="minorHAnsi"/>
          <w:bCs/>
        </w:rPr>
        <w:tab/>
      </w:r>
      <w:r w:rsidR="006E61BB" w:rsidRPr="00EF4F00">
        <w:rPr>
          <w:rFonts w:asciiTheme="minorHAnsi" w:hAnsiTheme="minorHAnsi" w:cstheme="minorHAnsi"/>
          <w:bCs/>
        </w:rPr>
        <w:t xml:space="preserve">Standing Committee </w:t>
      </w:r>
      <w:r w:rsidR="004C6C04">
        <w:rPr>
          <w:rFonts w:asciiTheme="minorHAnsi" w:hAnsiTheme="minorHAnsi" w:cstheme="minorHAnsi"/>
          <w:bCs/>
        </w:rPr>
        <w:t xml:space="preserve">in </w:t>
      </w:r>
      <w:r w:rsidR="006E61BB" w:rsidRPr="0032596C">
        <w:rPr>
          <w:rFonts w:asciiTheme="minorHAnsi" w:hAnsiTheme="minorHAnsi" w:cstheme="minorHAnsi"/>
          <w:bCs/>
        </w:rPr>
        <w:t>Decision SC62-49</w:t>
      </w:r>
      <w:r w:rsidR="006E61BB" w:rsidRPr="00EF4F00">
        <w:rPr>
          <w:rFonts w:asciiTheme="minorHAnsi" w:hAnsiTheme="minorHAnsi" w:cstheme="minorHAnsi"/>
          <w:bCs/>
          <w:i/>
        </w:rPr>
        <w:t xml:space="preserve"> </w:t>
      </w:r>
      <w:r w:rsidR="0032596C">
        <w:rPr>
          <w:rFonts w:asciiTheme="minorHAnsi" w:hAnsiTheme="minorHAnsi" w:cstheme="minorHAnsi"/>
          <w:bCs/>
        </w:rPr>
        <w:t>“</w:t>
      </w:r>
      <w:r w:rsidR="006E61BB" w:rsidRPr="00EF4F00">
        <w:rPr>
          <w:rFonts w:asciiTheme="minorHAnsi" w:hAnsiTheme="minorHAnsi" w:cstheme="minorHAnsi"/>
          <w:bCs/>
          <w:i/>
        </w:rPr>
        <w:t>requested the Management Working Group to prepare a document that identifies the process for recruiting a new Secretary General, for consideration by the Standing Committee at its 63rd meeting, noting that this Decision supersedes Decision SC59-40</w:t>
      </w:r>
      <w:r w:rsidR="004C6C04">
        <w:rPr>
          <w:rFonts w:asciiTheme="minorHAnsi" w:hAnsiTheme="minorHAnsi" w:cstheme="minorHAnsi"/>
          <w:bCs/>
        </w:rPr>
        <w:t>”.</w:t>
      </w:r>
      <w:r w:rsidR="006E61BB" w:rsidRPr="00EF4F00">
        <w:rPr>
          <w:rFonts w:asciiTheme="minorHAnsi" w:hAnsiTheme="minorHAnsi" w:cstheme="minorHAnsi"/>
          <w:bCs/>
        </w:rPr>
        <w:t xml:space="preserve"> A drafting group comprised of China, Gabon, Sweden</w:t>
      </w:r>
      <w:r w:rsidR="00046743" w:rsidRPr="00EF4F00">
        <w:rPr>
          <w:rFonts w:asciiTheme="minorHAnsi" w:hAnsiTheme="minorHAnsi" w:cstheme="minorHAnsi"/>
          <w:bCs/>
        </w:rPr>
        <w:t xml:space="preserve">, </w:t>
      </w:r>
      <w:r w:rsidR="000D4C13" w:rsidRPr="00EF4F00">
        <w:rPr>
          <w:rFonts w:asciiTheme="minorHAnsi" w:hAnsiTheme="minorHAnsi" w:cstheme="minorHAnsi"/>
          <w:bCs/>
        </w:rPr>
        <w:t xml:space="preserve">and </w:t>
      </w:r>
      <w:r w:rsidR="006E61BB" w:rsidRPr="00EF4F00">
        <w:rPr>
          <w:rFonts w:asciiTheme="minorHAnsi" w:hAnsiTheme="minorHAnsi" w:cstheme="minorHAnsi"/>
          <w:bCs/>
        </w:rPr>
        <w:t xml:space="preserve">led by </w:t>
      </w:r>
      <w:r w:rsidR="006E61BB" w:rsidRPr="00EF4F00">
        <w:rPr>
          <w:rFonts w:asciiTheme="minorHAnsi" w:hAnsiTheme="minorHAnsi" w:cstheme="minorHAnsi"/>
          <w:bCs/>
        </w:rPr>
        <w:lastRenderedPageBreak/>
        <w:t>Switzerland was formed to draft the requested document. This draft document is presented as SC63 Doc.7.2 for consideration by the Standing Committee.</w:t>
      </w:r>
    </w:p>
    <w:p w14:paraId="6BC0A27A" w14:textId="59CA966B" w:rsidR="006E61BB" w:rsidRPr="00EF4F00" w:rsidRDefault="006E61BB" w:rsidP="00EF4F00">
      <w:pPr>
        <w:ind w:left="425" w:hanging="425"/>
        <w:jc w:val="left"/>
        <w:rPr>
          <w:rFonts w:asciiTheme="minorHAnsi" w:hAnsiTheme="minorHAnsi" w:cstheme="minorHAnsi"/>
          <w:bCs/>
          <w:sz w:val="22"/>
          <w:szCs w:val="22"/>
        </w:rPr>
      </w:pPr>
    </w:p>
    <w:p w14:paraId="411F790B" w14:textId="419424B6" w:rsidR="00874DDC" w:rsidRPr="00EF4F00" w:rsidRDefault="00EF4F00" w:rsidP="00EF4F00">
      <w:pPr>
        <w:ind w:left="425" w:hanging="425"/>
        <w:jc w:val="left"/>
        <w:rPr>
          <w:rFonts w:asciiTheme="minorHAnsi" w:hAnsiTheme="minorHAnsi" w:cstheme="minorHAnsi"/>
          <w:bCs/>
          <w:sz w:val="22"/>
          <w:szCs w:val="22"/>
        </w:rPr>
      </w:pPr>
      <w:r w:rsidRPr="00EF4F00">
        <w:rPr>
          <w:rFonts w:asciiTheme="minorHAnsi" w:hAnsiTheme="minorHAnsi" w:cstheme="minorHAnsi"/>
          <w:bCs/>
          <w:sz w:val="22"/>
          <w:szCs w:val="22"/>
        </w:rPr>
        <w:t>5.</w:t>
      </w:r>
      <w:r w:rsidRPr="00EF4F00">
        <w:rPr>
          <w:rFonts w:asciiTheme="minorHAnsi" w:hAnsiTheme="minorHAnsi" w:cstheme="minorHAnsi"/>
          <w:bCs/>
          <w:sz w:val="22"/>
          <w:szCs w:val="22"/>
        </w:rPr>
        <w:tab/>
      </w:r>
      <w:r w:rsidR="006E61BB" w:rsidRPr="00EF4F00">
        <w:rPr>
          <w:rFonts w:asciiTheme="minorHAnsi" w:hAnsiTheme="minorHAnsi" w:cstheme="minorHAnsi"/>
          <w:bCs/>
          <w:sz w:val="22"/>
          <w:szCs w:val="22"/>
        </w:rPr>
        <w:t xml:space="preserve">The Management Working Group met virtually on 18 </w:t>
      </w:r>
      <w:r w:rsidR="00874DDC" w:rsidRPr="00EF4F00">
        <w:rPr>
          <w:rFonts w:asciiTheme="minorHAnsi" w:hAnsiTheme="minorHAnsi" w:cstheme="minorHAnsi"/>
          <w:bCs/>
          <w:sz w:val="22"/>
          <w:szCs w:val="22"/>
        </w:rPr>
        <w:t xml:space="preserve">January 2024 to </w:t>
      </w:r>
      <w:r w:rsidR="00BE67B3" w:rsidRPr="00EF4F00">
        <w:rPr>
          <w:rFonts w:asciiTheme="minorHAnsi" w:hAnsiTheme="minorHAnsi" w:cstheme="minorHAnsi"/>
          <w:bCs/>
          <w:sz w:val="22"/>
          <w:szCs w:val="22"/>
        </w:rPr>
        <w:t xml:space="preserve">finalize preparation of SC63 Doc.7.2 </w:t>
      </w:r>
      <w:r w:rsidR="00BE67B3" w:rsidRPr="00EF4F00">
        <w:rPr>
          <w:rFonts w:asciiTheme="minorHAnsi" w:hAnsiTheme="minorHAnsi" w:cstheme="minorHAnsi"/>
          <w:i/>
          <w:sz w:val="22"/>
          <w:szCs w:val="22"/>
        </w:rPr>
        <w:t>Report on the process for recruiting a new Secretary General</w:t>
      </w:r>
      <w:r w:rsidR="00BE67B3" w:rsidRPr="00EF4F00">
        <w:rPr>
          <w:rFonts w:asciiTheme="minorHAnsi" w:hAnsiTheme="minorHAnsi" w:cstheme="minorHAnsi"/>
          <w:sz w:val="22"/>
          <w:szCs w:val="22"/>
        </w:rPr>
        <w:t xml:space="preserve">, </w:t>
      </w:r>
      <w:r w:rsidR="00874DDC" w:rsidRPr="00EF4F00">
        <w:rPr>
          <w:rFonts w:asciiTheme="minorHAnsi" w:hAnsiTheme="minorHAnsi" w:cstheme="minorHAnsi"/>
          <w:bCs/>
          <w:sz w:val="22"/>
          <w:szCs w:val="22"/>
        </w:rPr>
        <w:t xml:space="preserve">review progress in the implementation of the CEPA and STRP work plans, </w:t>
      </w:r>
      <w:r w:rsidR="00BE67B3" w:rsidRPr="00EF4F00">
        <w:rPr>
          <w:rFonts w:asciiTheme="minorHAnsi" w:hAnsiTheme="minorHAnsi" w:cstheme="minorHAnsi"/>
          <w:bCs/>
          <w:sz w:val="22"/>
          <w:szCs w:val="22"/>
        </w:rPr>
        <w:t xml:space="preserve">review </w:t>
      </w:r>
      <w:r w:rsidR="00874DDC" w:rsidRPr="00EF4F00">
        <w:rPr>
          <w:rFonts w:asciiTheme="minorHAnsi" w:hAnsiTheme="minorHAnsi" w:cstheme="minorHAnsi"/>
          <w:bCs/>
          <w:sz w:val="22"/>
          <w:szCs w:val="22"/>
        </w:rPr>
        <w:t>preparations for COP15 and cons</w:t>
      </w:r>
      <w:r w:rsidR="00BE67B3" w:rsidRPr="00EF4F00">
        <w:rPr>
          <w:rFonts w:asciiTheme="minorHAnsi" w:hAnsiTheme="minorHAnsi" w:cstheme="minorHAnsi"/>
          <w:bCs/>
          <w:sz w:val="22"/>
          <w:szCs w:val="22"/>
        </w:rPr>
        <w:t>ider</w:t>
      </w:r>
      <w:r w:rsidR="00874DDC" w:rsidRPr="00EF4F00">
        <w:rPr>
          <w:rFonts w:asciiTheme="minorHAnsi" w:hAnsiTheme="minorHAnsi" w:cstheme="minorHAnsi"/>
          <w:bCs/>
          <w:sz w:val="22"/>
          <w:szCs w:val="22"/>
        </w:rPr>
        <w:t xml:space="preserve"> </w:t>
      </w:r>
      <w:r w:rsidR="00BE67B3" w:rsidRPr="00EF4F00">
        <w:rPr>
          <w:rFonts w:asciiTheme="minorHAnsi" w:hAnsiTheme="minorHAnsi" w:cstheme="minorHAnsi"/>
          <w:bCs/>
          <w:sz w:val="22"/>
          <w:szCs w:val="22"/>
        </w:rPr>
        <w:t>a proposal to recommend that the Standing Committee repeal</w:t>
      </w:r>
      <w:r w:rsidR="00874DDC" w:rsidRPr="00EF4F00">
        <w:rPr>
          <w:rFonts w:asciiTheme="minorHAnsi" w:hAnsiTheme="minorHAnsi" w:cstheme="minorHAnsi"/>
          <w:bCs/>
          <w:sz w:val="22"/>
          <w:szCs w:val="22"/>
        </w:rPr>
        <w:t xml:space="preserve"> Decision</w:t>
      </w:r>
      <w:r w:rsidR="00BE67B3" w:rsidRPr="00EF4F00">
        <w:rPr>
          <w:rFonts w:asciiTheme="minorHAnsi" w:hAnsiTheme="minorHAnsi" w:cstheme="minorHAnsi"/>
          <w:bCs/>
          <w:sz w:val="22"/>
          <w:szCs w:val="22"/>
        </w:rPr>
        <w:t xml:space="preserve"> 52</w:t>
      </w:r>
      <w:r w:rsidR="004C6C04">
        <w:rPr>
          <w:rFonts w:asciiTheme="minorHAnsi" w:hAnsiTheme="minorHAnsi" w:cstheme="minorHAnsi"/>
          <w:bCs/>
          <w:sz w:val="22"/>
          <w:szCs w:val="22"/>
        </w:rPr>
        <w:t>-</w:t>
      </w:r>
      <w:r w:rsidR="00BE67B3" w:rsidRPr="00EF4F00">
        <w:rPr>
          <w:rFonts w:asciiTheme="minorHAnsi" w:hAnsiTheme="minorHAnsi" w:cstheme="minorHAnsi"/>
          <w:bCs/>
          <w:sz w:val="22"/>
          <w:szCs w:val="22"/>
        </w:rPr>
        <w:t>11</w:t>
      </w:r>
    </w:p>
    <w:p w14:paraId="1C4129F4" w14:textId="77777777" w:rsidR="0072271B" w:rsidRPr="00EF4F00" w:rsidRDefault="0072271B" w:rsidP="00EF4F00">
      <w:pPr>
        <w:pStyle w:val="ListParagraph"/>
        <w:spacing w:after="0" w:line="240" w:lineRule="auto"/>
        <w:ind w:left="425" w:hanging="425"/>
        <w:rPr>
          <w:rFonts w:cstheme="minorHAnsi"/>
          <w:bCs/>
        </w:rPr>
      </w:pPr>
    </w:p>
    <w:p w14:paraId="1F22A060" w14:textId="6B5136A7" w:rsidR="000D4C13" w:rsidRPr="00EF4F00" w:rsidRDefault="00EF4F00" w:rsidP="00EF4F00">
      <w:pPr>
        <w:suppressAutoHyphens/>
        <w:ind w:left="425" w:hanging="425"/>
        <w:jc w:val="left"/>
        <w:rPr>
          <w:rStyle w:val="Strong"/>
          <w:rFonts w:asciiTheme="minorHAnsi" w:hAnsiTheme="minorHAnsi" w:cstheme="minorHAnsi"/>
          <w:b w:val="0"/>
          <w:bCs w:val="0"/>
          <w:sz w:val="22"/>
          <w:szCs w:val="22"/>
        </w:rPr>
      </w:pPr>
      <w:r w:rsidRPr="00EF4F00">
        <w:rPr>
          <w:rFonts w:asciiTheme="minorHAnsi" w:hAnsiTheme="minorHAnsi" w:cstheme="minorHAnsi"/>
          <w:sz w:val="22"/>
          <w:szCs w:val="22"/>
        </w:rPr>
        <w:t>6.</w:t>
      </w:r>
      <w:r w:rsidRPr="00EF4F00">
        <w:rPr>
          <w:rFonts w:asciiTheme="minorHAnsi" w:hAnsiTheme="minorHAnsi" w:cstheme="minorHAnsi"/>
          <w:sz w:val="22"/>
          <w:szCs w:val="22"/>
        </w:rPr>
        <w:tab/>
      </w:r>
      <w:r w:rsidR="00A3109C" w:rsidRPr="00EF4F00">
        <w:rPr>
          <w:rFonts w:asciiTheme="minorHAnsi" w:hAnsiTheme="minorHAnsi" w:cstheme="minorHAnsi"/>
          <w:sz w:val="22"/>
          <w:szCs w:val="22"/>
        </w:rPr>
        <w:t>At this meeting the</w:t>
      </w:r>
      <w:r w:rsidR="00874DDC" w:rsidRPr="00EF4F00">
        <w:rPr>
          <w:rFonts w:asciiTheme="minorHAnsi" w:hAnsiTheme="minorHAnsi" w:cstheme="minorHAnsi"/>
          <w:sz w:val="22"/>
          <w:szCs w:val="22"/>
        </w:rPr>
        <w:t xml:space="preserve"> Secretariat present</w:t>
      </w:r>
      <w:r w:rsidR="00A3109C" w:rsidRPr="00EF4F00">
        <w:rPr>
          <w:rFonts w:asciiTheme="minorHAnsi" w:hAnsiTheme="minorHAnsi" w:cstheme="minorHAnsi"/>
          <w:sz w:val="22"/>
          <w:szCs w:val="22"/>
        </w:rPr>
        <w:t>ed</w:t>
      </w:r>
      <w:r w:rsidR="00874DDC" w:rsidRPr="00EF4F00">
        <w:rPr>
          <w:rFonts w:asciiTheme="minorHAnsi" w:hAnsiTheme="minorHAnsi" w:cstheme="minorHAnsi"/>
          <w:sz w:val="22"/>
          <w:szCs w:val="22"/>
        </w:rPr>
        <w:t xml:space="preserve"> </w:t>
      </w:r>
      <w:r w:rsidR="00A3109C" w:rsidRPr="00EF4F00">
        <w:rPr>
          <w:rFonts w:asciiTheme="minorHAnsi" w:hAnsiTheme="minorHAnsi" w:cstheme="minorHAnsi"/>
          <w:sz w:val="22"/>
          <w:szCs w:val="22"/>
        </w:rPr>
        <w:t>a</w:t>
      </w:r>
      <w:r w:rsidR="00874DDC" w:rsidRPr="00EF4F00">
        <w:rPr>
          <w:rFonts w:asciiTheme="minorHAnsi" w:hAnsiTheme="minorHAnsi" w:cstheme="minorHAnsi"/>
          <w:sz w:val="22"/>
          <w:szCs w:val="22"/>
        </w:rPr>
        <w:t xml:space="preserve"> proposal to repeal Decision </w:t>
      </w:r>
      <w:r w:rsidR="00874DDC" w:rsidRPr="004C6C04">
        <w:rPr>
          <w:rFonts w:asciiTheme="minorHAnsi" w:hAnsiTheme="minorHAnsi" w:cstheme="minorHAnsi"/>
          <w:sz w:val="22"/>
          <w:szCs w:val="22"/>
        </w:rPr>
        <w:t>SC52</w:t>
      </w:r>
      <w:r w:rsidR="00736116" w:rsidRPr="004C6C04">
        <w:rPr>
          <w:rFonts w:asciiTheme="minorHAnsi" w:hAnsiTheme="minorHAnsi" w:cstheme="minorHAnsi"/>
          <w:sz w:val="22"/>
          <w:szCs w:val="22"/>
        </w:rPr>
        <w:t>-11</w:t>
      </w:r>
      <w:r w:rsidR="007956EA">
        <w:rPr>
          <w:rFonts w:asciiTheme="minorHAnsi" w:hAnsiTheme="minorHAnsi" w:cstheme="minorHAnsi"/>
          <w:sz w:val="22"/>
          <w:szCs w:val="22"/>
        </w:rPr>
        <w:t xml:space="preserve"> in which</w:t>
      </w:r>
      <w:r w:rsidR="00A3109C" w:rsidRPr="00EF4F00">
        <w:rPr>
          <w:rStyle w:val="Strong"/>
          <w:rFonts w:asciiTheme="minorHAnsi" w:hAnsiTheme="minorHAnsi" w:cstheme="minorHAnsi"/>
          <w:b w:val="0"/>
          <w:i/>
          <w:sz w:val="22"/>
          <w:szCs w:val="22"/>
        </w:rPr>
        <w:t xml:space="preserve"> </w:t>
      </w:r>
      <w:r w:rsidR="007956EA" w:rsidRPr="007956EA">
        <w:rPr>
          <w:rStyle w:val="Strong"/>
          <w:rFonts w:asciiTheme="minorHAnsi" w:hAnsiTheme="minorHAnsi" w:cstheme="minorHAnsi"/>
          <w:b w:val="0"/>
          <w:sz w:val="22"/>
          <w:szCs w:val="22"/>
        </w:rPr>
        <w:t>“</w:t>
      </w:r>
      <w:r w:rsidR="00A3109C" w:rsidRPr="00EF4F00">
        <w:rPr>
          <w:rStyle w:val="Strong"/>
          <w:rFonts w:asciiTheme="minorHAnsi" w:hAnsiTheme="minorHAnsi" w:cstheme="minorHAnsi"/>
          <w:b w:val="0"/>
          <w:i/>
          <w:sz w:val="22"/>
          <w:szCs w:val="22"/>
        </w:rPr>
        <w:t>The Standing Committee decided that the Management Working Group be asked to review all new MOUs and other such agreements between the Ramsar Secretariat and other bodies, at its meeting immediately before the Standing Committee meeting at which the agreements were to be</w:t>
      </w:r>
      <w:r w:rsidR="00A3109C" w:rsidRPr="00EF4F00">
        <w:rPr>
          <w:rStyle w:val="Strong"/>
          <w:rFonts w:asciiTheme="minorHAnsi" w:hAnsiTheme="minorHAnsi" w:cstheme="minorHAnsi"/>
          <w:i/>
          <w:sz w:val="22"/>
          <w:szCs w:val="22"/>
        </w:rPr>
        <w:t xml:space="preserve"> </w:t>
      </w:r>
      <w:r w:rsidR="00A3109C" w:rsidRPr="00EF4F00">
        <w:rPr>
          <w:rStyle w:val="Strong"/>
          <w:rFonts w:asciiTheme="minorHAnsi" w:hAnsiTheme="minorHAnsi" w:cstheme="minorHAnsi"/>
          <w:b w:val="0"/>
          <w:i/>
          <w:sz w:val="22"/>
          <w:szCs w:val="22"/>
        </w:rPr>
        <w:t>submitted for approval</w:t>
      </w:r>
      <w:r w:rsidR="00A3109C" w:rsidRPr="00741923">
        <w:rPr>
          <w:rStyle w:val="Strong"/>
          <w:rFonts w:asciiTheme="minorHAnsi" w:hAnsiTheme="minorHAnsi" w:cstheme="minorHAnsi"/>
          <w:b w:val="0"/>
          <w:sz w:val="22"/>
          <w:szCs w:val="22"/>
        </w:rPr>
        <w:t>.</w:t>
      </w:r>
      <w:r w:rsidR="0054647B" w:rsidRPr="00741923">
        <w:rPr>
          <w:rStyle w:val="Strong"/>
          <w:rFonts w:asciiTheme="minorHAnsi" w:hAnsiTheme="minorHAnsi" w:cstheme="minorHAnsi"/>
          <w:b w:val="0"/>
          <w:sz w:val="22"/>
          <w:szCs w:val="22"/>
        </w:rPr>
        <w:t>”</w:t>
      </w:r>
      <w:r w:rsidR="00736116" w:rsidRPr="00EF4F00">
        <w:rPr>
          <w:rStyle w:val="Strong"/>
          <w:rFonts w:asciiTheme="minorHAnsi" w:hAnsiTheme="minorHAnsi" w:cstheme="minorHAnsi"/>
          <w:b w:val="0"/>
          <w:i/>
          <w:sz w:val="22"/>
          <w:szCs w:val="22"/>
        </w:rPr>
        <w:t xml:space="preserve"> </w:t>
      </w:r>
      <w:r w:rsidR="00736116" w:rsidRPr="00EF4F00">
        <w:rPr>
          <w:rStyle w:val="Strong"/>
          <w:rFonts w:asciiTheme="minorHAnsi" w:hAnsiTheme="minorHAnsi" w:cstheme="minorHAnsi"/>
          <w:b w:val="0"/>
          <w:sz w:val="22"/>
          <w:szCs w:val="22"/>
        </w:rPr>
        <w:t xml:space="preserve">The Secretariat informed the Management Working Group that it had been following the guidance </w:t>
      </w:r>
      <w:r w:rsidR="000D4C13" w:rsidRPr="00EF4F00">
        <w:rPr>
          <w:rStyle w:val="Strong"/>
          <w:rFonts w:asciiTheme="minorHAnsi" w:hAnsiTheme="minorHAnsi" w:cstheme="minorHAnsi"/>
          <w:b w:val="0"/>
          <w:sz w:val="22"/>
          <w:szCs w:val="22"/>
        </w:rPr>
        <w:t xml:space="preserve">for renewals of MOUs </w:t>
      </w:r>
      <w:r w:rsidR="00736116" w:rsidRPr="00EF4F00">
        <w:rPr>
          <w:rStyle w:val="Strong"/>
          <w:rFonts w:asciiTheme="minorHAnsi" w:hAnsiTheme="minorHAnsi" w:cstheme="minorHAnsi"/>
          <w:b w:val="0"/>
          <w:sz w:val="22"/>
          <w:szCs w:val="22"/>
        </w:rPr>
        <w:t>provided in document SC54 Doc.16</w:t>
      </w:r>
      <w:r w:rsidR="0054647B">
        <w:rPr>
          <w:rStyle w:val="Strong"/>
          <w:rFonts w:asciiTheme="minorHAnsi" w:hAnsiTheme="minorHAnsi" w:cstheme="minorHAnsi"/>
          <w:b w:val="0"/>
          <w:sz w:val="22"/>
          <w:szCs w:val="22"/>
        </w:rPr>
        <w:t xml:space="preserve"> </w:t>
      </w:r>
      <w:r w:rsidR="0072271B" w:rsidRPr="00EF4F00">
        <w:rPr>
          <w:rStyle w:val="Strong"/>
          <w:rFonts w:asciiTheme="minorHAnsi" w:hAnsiTheme="minorHAnsi" w:cstheme="minorHAnsi"/>
          <w:b w:val="0"/>
          <w:sz w:val="22"/>
          <w:szCs w:val="22"/>
        </w:rPr>
        <w:t>Rev.1</w:t>
      </w:r>
      <w:r w:rsidR="00736116" w:rsidRPr="00EF4F00">
        <w:rPr>
          <w:rStyle w:val="Strong"/>
          <w:rFonts w:asciiTheme="minorHAnsi" w:hAnsiTheme="minorHAnsi" w:cstheme="minorHAnsi"/>
          <w:b w:val="0"/>
          <w:sz w:val="22"/>
          <w:szCs w:val="22"/>
        </w:rPr>
        <w:t xml:space="preserve"> which provides a decision tree </w:t>
      </w:r>
      <w:r w:rsidR="0072271B" w:rsidRPr="00EF4F00">
        <w:rPr>
          <w:rStyle w:val="Strong"/>
          <w:rFonts w:asciiTheme="minorHAnsi" w:hAnsiTheme="minorHAnsi" w:cstheme="minorHAnsi"/>
          <w:b w:val="0"/>
          <w:sz w:val="22"/>
          <w:szCs w:val="22"/>
        </w:rPr>
        <w:t xml:space="preserve">and guidance </w:t>
      </w:r>
      <w:r w:rsidR="00736116" w:rsidRPr="00EF4F00">
        <w:rPr>
          <w:rStyle w:val="Strong"/>
          <w:rFonts w:asciiTheme="minorHAnsi" w:hAnsiTheme="minorHAnsi" w:cstheme="minorHAnsi"/>
          <w:b w:val="0"/>
          <w:sz w:val="22"/>
          <w:szCs w:val="22"/>
        </w:rPr>
        <w:t>approved by the Standing Committee for when cooperation agreements should be u</w:t>
      </w:r>
      <w:bookmarkStart w:id="0" w:name="_GoBack"/>
      <w:bookmarkEnd w:id="0"/>
      <w:r w:rsidR="00736116" w:rsidRPr="00EF4F00">
        <w:rPr>
          <w:rStyle w:val="Strong"/>
          <w:rFonts w:asciiTheme="minorHAnsi" w:hAnsiTheme="minorHAnsi" w:cstheme="minorHAnsi"/>
          <w:b w:val="0"/>
          <w:sz w:val="22"/>
          <w:szCs w:val="22"/>
        </w:rPr>
        <w:t>sed</w:t>
      </w:r>
      <w:r w:rsidR="0054647B">
        <w:rPr>
          <w:rStyle w:val="Strong"/>
          <w:rFonts w:asciiTheme="minorHAnsi" w:hAnsiTheme="minorHAnsi" w:cstheme="minorHAnsi"/>
          <w:b w:val="0"/>
          <w:sz w:val="22"/>
          <w:szCs w:val="22"/>
        </w:rPr>
        <w:t>,</w:t>
      </w:r>
      <w:r w:rsidR="00736116" w:rsidRPr="00EF4F00">
        <w:rPr>
          <w:rStyle w:val="Strong"/>
          <w:rFonts w:asciiTheme="minorHAnsi" w:hAnsiTheme="minorHAnsi" w:cstheme="minorHAnsi"/>
          <w:b w:val="0"/>
          <w:sz w:val="22"/>
          <w:szCs w:val="22"/>
        </w:rPr>
        <w:t xml:space="preserve"> noting that donor agreements fall outside of this process. </w:t>
      </w:r>
    </w:p>
    <w:p w14:paraId="0E6F536D" w14:textId="77777777" w:rsidR="000D4C13" w:rsidRPr="00EF4F00" w:rsidRDefault="000D4C13" w:rsidP="00EF4F00">
      <w:pPr>
        <w:pStyle w:val="ListParagraph"/>
        <w:spacing w:after="0" w:line="240" w:lineRule="auto"/>
        <w:ind w:left="425" w:hanging="425"/>
        <w:rPr>
          <w:rStyle w:val="Strong"/>
          <w:rFonts w:cstheme="minorHAnsi"/>
          <w:b w:val="0"/>
        </w:rPr>
      </w:pPr>
    </w:p>
    <w:p w14:paraId="37C3C60B" w14:textId="25AA8B06" w:rsidR="0072271B" w:rsidRPr="00EF4F00" w:rsidRDefault="00EF4F00" w:rsidP="00EF4F00">
      <w:pPr>
        <w:suppressAutoHyphens/>
        <w:ind w:left="425" w:hanging="425"/>
        <w:jc w:val="left"/>
        <w:rPr>
          <w:rFonts w:asciiTheme="minorHAnsi" w:hAnsiTheme="minorHAnsi" w:cstheme="minorHAnsi"/>
          <w:sz w:val="22"/>
          <w:szCs w:val="22"/>
        </w:rPr>
      </w:pPr>
      <w:r w:rsidRPr="00EF4F00">
        <w:rPr>
          <w:rStyle w:val="Strong"/>
          <w:rFonts w:asciiTheme="minorHAnsi" w:hAnsiTheme="minorHAnsi" w:cstheme="minorHAnsi"/>
          <w:b w:val="0"/>
          <w:sz w:val="22"/>
          <w:szCs w:val="22"/>
        </w:rPr>
        <w:t>7.</w:t>
      </w:r>
      <w:r w:rsidRPr="00EF4F00">
        <w:rPr>
          <w:rStyle w:val="Strong"/>
          <w:rFonts w:asciiTheme="minorHAnsi" w:hAnsiTheme="minorHAnsi" w:cstheme="minorHAnsi"/>
          <w:b w:val="0"/>
          <w:sz w:val="22"/>
          <w:szCs w:val="22"/>
        </w:rPr>
        <w:tab/>
      </w:r>
      <w:r w:rsidR="00736116" w:rsidRPr="00EF4F00">
        <w:rPr>
          <w:rStyle w:val="Strong"/>
          <w:rFonts w:asciiTheme="minorHAnsi" w:hAnsiTheme="minorHAnsi" w:cstheme="minorHAnsi"/>
          <w:b w:val="0"/>
          <w:sz w:val="22"/>
          <w:szCs w:val="22"/>
        </w:rPr>
        <w:t xml:space="preserve">The Secretariat invited the Management Working Group to consider giving the </w:t>
      </w:r>
      <w:r w:rsidR="00736116" w:rsidRPr="00EF4F00">
        <w:rPr>
          <w:rFonts w:asciiTheme="minorHAnsi" w:hAnsiTheme="minorHAnsi" w:cstheme="minorHAnsi"/>
          <w:sz w:val="22"/>
          <w:szCs w:val="22"/>
        </w:rPr>
        <w:t>Secretary General the authority to determine when an MOU with a new body is appropriate</w:t>
      </w:r>
      <w:r w:rsidR="0054647B">
        <w:rPr>
          <w:rFonts w:asciiTheme="minorHAnsi" w:hAnsiTheme="minorHAnsi" w:cstheme="minorHAnsi"/>
          <w:sz w:val="22"/>
          <w:szCs w:val="22"/>
        </w:rPr>
        <w:t>,</w:t>
      </w:r>
      <w:r w:rsidR="00736116" w:rsidRPr="00EF4F00">
        <w:rPr>
          <w:rFonts w:asciiTheme="minorHAnsi" w:hAnsiTheme="minorHAnsi" w:cstheme="minorHAnsi"/>
          <w:sz w:val="22"/>
          <w:szCs w:val="22"/>
        </w:rPr>
        <w:t xml:space="preserve"> following the guidance found in document SC54 Doc.</w:t>
      </w:r>
      <w:proofErr w:type="gramStart"/>
      <w:r w:rsidR="00736116" w:rsidRPr="00EF4F00">
        <w:rPr>
          <w:rFonts w:asciiTheme="minorHAnsi" w:hAnsiTheme="minorHAnsi" w:cstheme="minorHAnsi"/>
          <w:sz w:val="22"/>
          <w:szCs w:val="22"/>
        </w:rPr>
        <w:t>16.Rev.</w:t>
      </w:r>
      <w:proofErr w:type="gramEnd"/>
      <w:r w:rsidR="00736116" w:rsidRPr="00EF4F00">
        <w:rPr>
          <w:rFonts w:asciiTheme="minorHAnsi" w:hAnsiTheme="minorHAnsi" w:cstheme="minorHAnsi"/>
          <w:sz w:val="22"/>
          <w:szCs w:val="22"/>
        </w:rPr>
        <w:t>1 and IUCN’s legal template for cooperative agreements. The Secretariat shared that this is in line with the approach of other MEAs, is in line with the duties and responsibilities within the TORs of the Secretary General, and enables a “light and agile” approach to establishing cooperative agreements as expressed by the Management Working Group in the deliberations to inform SC54 Doc.16</w:t>
      </w:r>
      <w:r w:rsidR="0054647B">
        <w:rPr>
          <w:rFonts w:asciiTheme="minorHAnsi" w:hAnsiTheme="minorHAnsi" w:cstheme="minorHAnsi"/>
          <w:sz w:val="22"/>
          <w:szCs w:val="22"/>
        </w:rPr>
        <w:t xml:space="preserve"> </w:t>
      </w:r>
      <w:r w:rsidR="00736116" w:rsidRPr="00EF4F00">
        <w:rPr>
          <w:rFonts w:asciiTheme="minorHAnsi" w:hAnsiTheme="minorHAnsi" w:cstheme="minorHAnsi"/>
          <w:sz w:val="22"/>
          <w:szCs w:val="22"/>
        </w:rPr>
        <w:t>Rev.1.</w:t>
      </w:r>
      <w:r w:rsidR="0072271B" w:rsidRPr="00EF4F00">
        <w:rPr>
          <w:rFonts w:asciiTheme="minorHAnsi" w:hAnsiTheme="minorHAnsi" w:cstheme="minorHAnsi"/>
          <w:sz w:val="22"/>
          <w:szCs w:val="22"/>
        </w:rPr>
        <w:t xml:space="preserve"> The Secretariat also noted that Standing Committee decisions in general should be for actions falling within a triennium and not provide long-term instruction and guidance</w:t>
      </w:r>
      <w:r w:rsidR="0054647B">
        <w:rPr>
          <w:rFonts w:asciiTheme="minorHAnsi" w:hAnsiTheme="minorHAnsi" w:cstheme="minorHAnsi"/>
          <w:sz w:val="22"/>
          <w:szCs w:val="22"/>
        </w:rPr>
        <w:t>,</w:t>
      </w:r>
      <w:r w:rsidR="0072271B" w:rsidRPr="00EF4F00">
        <w:rPr>
          <w:rFonts w:asciiTheme="minorHAnsi" w:hAnsiTheme="minorHAnsi" w:cstheme="minorHAnsi"/>
          <w:sz w:val="22"/>
          <w:szCs w:val="22"/>
        </w:rPr>
        <w:t xml:space="preserve"> and that instruction on the authority to enter into new cooperation agreements should be included in the draft resolution on synergies for consideration by COP15. </w:t>
      </w:r>
    </w:p>
    <w:p w14:paraId="2035932D" w14:textId="77777777" w:rsidR="0072271B" w:rsidRPr="00EF4F00" w:rsidRDefault="0072271B" w:rsidP="00EF4F00">
      <w:pPr>
        <w:pStyle w:val="ListParagraph"/>
        <w:suppressAutoHyphens/>
        <w:spacing w:after="0" w:line="240" w:lineRule="auto"/>
        <w:ind w:left="425" w:hanging="425"/>
        <w:contextualSpacing w:val="0"/>
        <w:rPr>
          <w:rStyle w:val="Strong"/>
          <w:rFonts w:cstheme="minorHAnsi"/>
          <w:b w:val="0"/>
          <w:bCs w:val="0"/>
        </w:rPr>
      </w:pPr>
    </w:p>
    <w:p w14:paraId="4F56808A" w14:textId="0D22E28D" w:rsidR="00736116" w:rsidRPr="00EF4F00" w:rsidRDefault="00EF4F00" w:rsidP="00EF4F00">
      <w:pPr>
        <w:suppressAutoHyphens/>
        <w:ind w:left="425" w:hanging="425"/>
        <w:jc w:val="left"/>
        <w:rPr>
          <w:rStyle w:val="Strong"/>
          <w:rFonts w:asciiTheme="minorHAnsi" w:hAnsiTheme="minorHAnsi" w:cstheme="minorHAnsi"/>
          <w:b w:val="0"/>
          <w:bCs w:val="0"/>
          <w:sz w:val="22"/>
          <w:szCs w:val="22"/>
        </w:rPr>
      </w:pPr>
      <w:r w:rsidRPr="00EF4F00">
        <w:rPr>
          <w:rStyle w:val="Strong"/>
          <w:rFonts w:asciiTheme="minorHAnsi" w:hAnsiTheme="minorHAnsi" w:cstheme="minorHAnsi"/>
          <w:b w:val="0"/>
          <w:sz w:val="22"/>
          <w:szCs w:val="22"/>
        </w:rPr>
        <w:t>8.</w:t>
      </w:r>
      <w:r w:rsidRPr="00EF4F00">
        <w:rPr>
          <w:rStyle w:val="Strong"/>
          <w:rFonts w:asciiTheme="minorHAnsi" w:hAnsiTheme="minorHAnsi" w:cstheme="minorHAnsi"/>
          <w:b w:val="0"/>
          <w:sz w:val="22"/>
          <w:szCs w:val="22"/>
        </w:rPr>
        <w:tab/>
      </w:r>
      <w:r w:rsidR="00736116" w:rsidRPr="00EF4F00">
        <w:rPr>
          <w:rStyle w:val="Strong"/>
          <w:rFonts w:asciiTheme="minorHAnsi" w:hAnsiTheme="minorHAnsi" w:cstheme="minorHAnsi"/>
          <w:b w:val="0"/>
          <w:sz w:val="22"/>
          <w:szCs w:val="22"/>
        </w:rPr>
        <w:t>The Management Working Group was supportive of this proposal and recommends that the Standing Committee take the following decision</w:t>
      </w:r>
      <w:r w:rsidR="0054647B">
        <w:rPr>
          <w:rStyle w:val="Strong"/>
          <w:rFonts w:asciiTheme="minorHAnsi" w:hAnsiTheme="minorHAnsi" w:cstheme="minorHAnsi"/>
          <w:b w:val="0"/>
          <w:sz w:val="22"/>
          <w:szCs w:val="22"/>
        </w:rPr>
        <w:t>:</w:t>
      </w:r>
      <w:r w:rsidR="0054647B" w:rsidRPr="00EF4F00">
        <w:rPr>
          <w:rStyle w:val="Strong"/>
          <w:rFonts w:asciiTheme="minorHAnsi" w:hAnsiTheme="minorHAnsi" w:cstheme="minorHAnsi"/>
          <w:b w:val="0"/>
          <w:sz w:val="22"/>
          <w:szCs w:val="22"/>
        </w:rPr>
        <w:t xml:space="preserve"> </w:t>
      </w:r>
      <w:r w:rsidR="0054647B">
        <w:rPr>
          <w:rStyle w:val="Strong"/>
          <w:rFonts w:asciiTheme="minorHAnsi" w:hAnsiTheme="minorHAnsi" w:cstheme="minorHAnsi"/>
          <w:b w:val="0"/>
          <w:sz w:val="22"/>
          <w:szCs w:val="22"/>
        </w:rPr>
        <w:t>“</w:t>
      </w:r>
      <w:r w:rsidR="00736116" w:rsidRPr="00EF4F00">
        <w:rPr>
          <w:rStyle w:val="Strong"/>
          <w:rFonts w:asciiTheme="minorHAnsi" w:hAnsiTheme="minorHAnsi" w:cstheme="minorHAnsi"/>
          <w:b w:val="0"/>
          <w:sz w:val="22"/>
          <w:szCs w:val="22"/>
        </w:rPr>
        <w:t xml:space="preserve">The Standing Committee </w:t>
      </w:r>
      <w:r w:rsidR="00074A52" w:rsidRPr="00EF4F00">
        <w:rPr>
          <w:rStyle w:val="Strong"/>
          <w:rFonts w:asciiTheme="minorHAnsi" w:hAnsiTheme="minorHAnsi" w:cstheme="minorHAnsi"/>
          <w:b w:val="0"/>
          <w:sz w:val="22"/>
          <w:szCs w:val="22"/>
        </w:rPr>
        <w:t>authorizes</w:t>
      </w:r>
      <w:r w:rsidR="00736116" w:rsidRPr="00EF4F00">
        <w:rPr>
          <w:rStyle w:val="Strong"/>
          <w:rFonts w:asciiTheme="minorHAnsi" w:hAnsiTheme="minorHAnsi" w:cstheme="minorHAnsi"/>
          <w:b w:val="0"/>
          <w:sz w:val="22"/>
          <w:szCs w:val="22"/>
        </w:rPr>
        <w:t xml:space="preserve"> the Secretary General of the Convention on Wetlands to enter into new cooperation agreements with organizations that meet the criteria </w:t>
      </w:r>
      <w:r w:rsidR="00074A52" w:rsidRPr="00EF4F00">
        <w:rPr>
          <w:rStyle w:val="Strong"/>
          <w:rFonts w:asciiTheme="minorHAnsi" w:hAnsiTheme="minorHAnsi" w:cstheme="minorHAnsi"/>
          <w:b w:val="0"/>
          <w:sz w:val="22"/>
          <w:szCs w:val="22"/>
        </w:rPr>
        <w:t>found in SC54 Doc.</w:t>
      </w:r>
      <w:proofErr w:type="gramStart"/>
      <w:r w:rsidR="00074A52" w:rsidRPr="00EF4F00">
        <w:rPr>
          <w:rStyle w:val="Strong"/>
          <w:rFonts w:asciiTheme="minorHAnsi" w:hAnsiTheme="minorHAnsi" w:cstheme="minorHAnsi"/>
          <w:b w:val="0"/>
          <w:sz w:val="22"/>
          <w:szCs w:val="22"/>
        </w:rPr>
        <w:t>16.Rev.</w:t>
      </w:r>
      <w:proofErr w:type="gramEnd"/>
      <w:r w:rsidR="00074A52" w:rsidRPr="00EF4F00">
        <w:rPr>
          <w:rStyle w:val="Strong"/>
          <w:rFonts w:asciiTheme="minorHAnsi" w:hAnsiTheme="minorHAnsi" w:cstheme="minorHAnsi"/>
          <w:b w:val="0"/>
          <w:sz w:val="22"/>
          <w:szCs w:val="22"/>
        </w:rPr>
        <w:t xml:space="preserve">1. Further, the Standing Committee instructs the Secretariat to include this instruction in the draft resolution on </w:t>
      </w:r>
      <w:r w:rsidR="0054647B">
        <w:rPr>
          <w:rStyle w:val="Strong"/>
          <w:rFonts w:asciiTheme="minorHAnsi" w:hAnsiTheme="minorHAnsi" w:cstheme="minorHAnsi"/>
          <w:b w:val="0"/>
          <w:sz w:val="22"/>
          <w:szCs w:val="22"/>
        </w:rPr>
        <w:t>s</w:t>
      </w:r>
      <w:r w:rsidR="0054647B" w:rsidRPr="00EF4F00">
        <w:rPr>
          <w:rStyle w:val="Strong"/>
          <w:rFonts w:asciiTheme="minorHAnsi" w:hAnsiTheme="minorHAnsi" w:cstheme="minorHAnsi"/>
          <w:b w:val="0"/>
          <w:sz w:val="22"/>
          <w:szCs w:val="22"/>
        </w:rPr>
        <w:t xml:space="preserve">ynergies </w:t>
      </w:r>
      <w:r w:rsidR="00074A52" w:rsidRPr="00EF4F00">
        <w:rPr>
          <w:rStyle w:val="Strong"/>
          <w:rFonts w:asciiTheme="minorHAnsi" w:hAnsiTheme="minorHAnsi" w:cstheme="minorHAnsi"/>
          <w:b w:val="0"/>
          <w:sz w:val="22"/>
          <w:szCs w:val="22"/>
        </w:rPr>
        <w:t xml:space="preserve">for consideration by COP15. This decision </w:t>
      </w:r>
      <w:r w:rsidR="00736116" w:rsidRPr="00EF4F00">
        <w:rPr>
          <w:rStyle w:val="Strong"/>
          <w:rFonts w:asciiTheme="minorHAnsi" w:hAnsiTheme="minorHAnsi" w:cstheme="minorHAnsi"/>
          <w:b w:val="0"/>
          <w:sz w:val="22"/>
          <w:szCs w:val="22"/>
        </w:rPr>
        <w:t xml:space="preserve">repeals </w:t>
      </w:r>
      <w:r w:rsidR="0054647B">
        <w:rPr>
          <w:rStyle w:val="Strong"/>
          <w:rFonts w:asciiTheme="minorHAnsi" w:hAnsiTheme="minorHAnsi" w:cstheme="minorHAnsi"/>
          <w:b w:val="0"/>
          <w:sz w:val="22"/>
          <w:szCs w:val="22"/>
        </w:rPr>
        <w:t>D</w:t>
      </w:r>
      <w:r w:rsidR="00736116" w:rsidRPr="00EF4F00">
        <w:rPr>
          <w:rStyle w:val="Strong"/>
          <w:rFonts w:asciiTheme="minorHAnsi" w:hAnsiTheme="minorHAnsi" w:cstheme="minorHAnsi"/>
          <w:b w:val="0"/>
          <w:sz w:val="22"/>
          <w:szCs w:val="22"/>
        </w:rPr>
        <w:t>ecision SC52</w:t>
      </w:r>
      <w:r w:rsidR="0054647B">
        <w:rPr>
          <w:rStyle w:val="Strong"/>
          <w:rFonts w:asciiTheme="minorHAnsi" w:hAnsiTheme="minorHAnsi" w:cstheme="minorHAnsi"/>
          <w:b w:val="0"/>
          <w:sz w:val="22"/>
          <w:szCs w:val="22"/>
        </w:rPr>
        <w:t>-</w:t>
      </w:r>
      <w:r w:rsidR="00736116" w:rsidRPr="00EF4F00">
        <w:rPr>
          <w:rStyle w:val="Strong"/>
          <w:rFonts w:asciiTheme="minorHAnsi" w:hAnsiTheme="minorHAnsi" w:cstheme="minorHAnsi"/>
          <w:b w:val="0"/>
          <w:sz w:val="22"/>
          <w:szCs w:val="22"/>
        </w:rPr>
        <w:t>11</w:t>
      </w:r>
      <w:r w:rsidR="00074A52" w:rsidRPr="00EF4F00">
        <w:rPr>
          <w:rStyle w:val="Strong"/>
          <w:rFonts w:asciiTheme="minorHAnsi" w:hAnsiTheme="minorHAnsi" w:cstheme="minorHAnsi"/>
          <w:b w:val="0"/>
          <w:sz w:val="22"/>
          <w:szCs w:val="22"/>
        </w:rPr>
        <w:t>.</w:t>
      </w:r>
      <w:r w:rsidR="0054647B">
        <w:rPr>
          <w:rStyle w:val="Strong"/>
          <w:rFonts w:asciiTheme="minorHAnsi" w:hAnsiTheme="minorHAnsi" w:cstheme="minorHAnsi"/>
          <w:b w:val="0"/>
          <w:sz w:val="22"/>
          <w:szCs w:val="22"/>
        </w:rPr>
        <w:t>”</w:t>
      </w:r>
    </w:p>
    <w:p w14:paraId="63D65D53" w14:textId="31C71E62" w:rsidR="00736116" w:rsidRDefault="00736116" w:rsidP="00A3109C">
      <w:pPr>
        <w:pStyle w:val="ListParagraph"/>
        <w:suppressAutoHyphens/>
        <w:spacing w:after="0" w:line="240" w:lineRule="auto"/>
        <w:ind w:left="0"/>
        <w:contextualSpacing w:val="0"/>
        <w:rPr>
          <w:rStyle w:val="Strong"/>
          <w:b w:val="0"/>
        </w:rPr>
      </w:pPr>
    </w:p>
    <w:p w14:paraId="3EE5584A" w14:textId="7F78DBAE" w:rsidR="00736116" w:rsidRDefault="00736116" w:rsidP="00A3109C">
      <w:pPr>
        <w:pStyle w:val="ListParagraph"/>
        <w:suppressAutoHyphens/>
        <w:spacing w:after="0" w:line="240" w:lineRule="auto"/>
        <w:ind w:left="0"/>
        <w:contextualSpacing w:val="0"/>
        <w:rPr>
          <w:rStyle w:val="Strong"/>
          <w:b w:val="0"/>
        </w:rPr>
      </w:pPr>
    </w:p>
    <w:p w14:paraId="5A4AB0A3" w14:textId="77777777" w:rsidR="00874DDC" w:rsidRDefault="00874DDC" w:rsidP="000D4C13">
      <w:pPr>
        <w:pStyle w:val="ListParagraph"/>
        <w:rPr>
          <w:rFonts w:cstheme="minorHAnsi"/>
          <w:bCs/>
        </w:rPr>
      </w:pPr>
    </w:p>
    <w:sectPr w:rsidR="00874DDC" w:rsidSect="006058B3">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73F71" w14:textId="77777777" w:rsidR="00E74FFF" w:rsidRDefault="00E74FFF" w:rsidP="006058B3">
      <w:r>
        <w:separator/>
      </w:r>
    </w:p>
  </w:endnote>
  <w:endnote w:type="continuationSeparator" w:id="0">
    <w:p w14:paraId="6D51883F" w14:textId="77777777" w:rsidR="00E74FFF" w:rsidRDefault="00E74FFF" w:rsidP="0060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83870" w14:textId="6EF66609" w:rsidR="006058B3" w:rsidRPr="006058B3" w:rsidRDefault="00AE6055">
    <w:pPr>
      <w:pStyle w:val="Footer"/>
      <w:rPr>
        <w:rFonts w:asciiTheme="minorHAnsi" w:hAnsiTheme="minorHAnsi" w:cstheme="minorHAnsi"/>
        <w:sz w:val="20"/>
        <w:szCs w:val="20"/>
      </w:rPr>
    </w:pPr>
    <w:r w:rsidRPr="00967BF4">
      <w:rPr>
        <w:rFonts w:asciiTheme="minorHAnsi" w:hAnsiTheme="minorHAnsi" w:cstheme="minorHAnsi"/>
        <w:sz w:val="20"/>
        <w:szCs w:val="20"/>
      </w:rPr>
      <w:t>SC</w:t>
    </w:r>
    <w:r w:rsidR="00CE11A9">
      <w:rPr>
        <w:rFonts w:asciiTheme="minorHAnsi" w:hAnsiTheme="minorHAnsi" w:cstheme="minorHAnsi"/>
        <w:sz w:val="20"/>
        <w:szCs w:val="20"/>
      </w:rPr>
      <w:t>6</w:t>
    </w:r>
    <w:r w:rsidR="00A95654">
      <w:rPr>
        <w:rFonts w:asciiTheme="minorHAnsi" w:hAnsiTheme="minorHAnsi" w:cstheme="minorHAnsi"/>
        <w:sz w:val="20"/>
        <w:szCs w:val="20"/>
      </w:rPr>
      <w:t>3</w:t>
    </w:r>
    <w:r w:rsidR="0017220E">
      <w:rPr>
        <w:rFonts w:asciiTheme="minorHAnsi" w:hAnsiTheme="minorHAnsi" w:cstheme="minorHAnsi"/>
        <w:sz w:val="20"/>
        <w:szCs w:val="20"/>
      </w:rPr>
      <w:t xml:space="preserve"> </w:t>
    </w:r>
    <w:r w:rsidRPr="00967BF4">
      <w:rPr>
        <w:rFonts w:asciiTheme="minorHAnsi" w:hAnsiTheme="minorHAnsi" w:cstheme="minorHAnsi"/>
        <w:sz w:val="20"/>
        <w:szCs w:val="20"/>
      </w:rPr>
      <w:t>Doc.</w:t>
    </w:r>
    <w:r w:rsidR="00874DDC">
      <w:rPr>
        <w:rFonts w:asciiTheme="minorHAnsi" w:hAnsiTheme="minorHAnsi" w:cstheme="minorHAnsi"/>
        <w:sz w:val="20"/>
        <w:szCs w:val="20"/>
      </w:rPr>
      <w:t>7.1</w:t>
    </w:r>
    <w:r w:rsidR="006058B3" w:rsidRPr="00967BF4">
      <w:rPr>
        <w:rFonts w:asciiTheme="minorHAnsi" w:hAnsiTheme="minorHAnsi" w:cstheme="minorHAnsi"/>
        <w:sz w:val="20"/>
        <w:szCs w:val="20"/>
      </w:rPr>
      <w:tab/>
    </w:r>
    <w:r w:rsidR="006058B3" w:rsidRPr="00967BF4">
      <w:rPr>
        <w:rFonts w:asciiTheme="minorHAnsi" w:hAnsiTheme="minorHAnsi" w:cstheme="minorHAnsi"/>
        <w:sz w:val="20"/>
        <w:szCs w:val="20"/>
      </w:rPr>
      <w:tab/>
    </w:r>
    <w:r w:rsidR="006058B3" w:rsidRPr="00967BF4">
      <w:rPr>
        <w:rFonts w:asciiTheme="minorHAnsi" w:hAnsiTheme="minorHAnsi" w:cstheme="minorHAnsi"/>
        <w:sz w:val="20"/>
        <w:szCs w:val="20"/>
      </w:rPr>
      <w:fldChar w:fldCharType="begin"/>
    </w:r>
    <w:r w:rsidR="006058B3" w:rsidRPr="00967BF4">
      <w:rPr>
        <w:rFonts w:asciiTheme="minorHAnsi" w:hAnsiTheme="minorHAnsi" w:cstheme="minorHAnsi"/>
        <w:sz w:val="20"/>
        <w:szCs w:val="20"/>
      </w:rPr>
      <w:instrText xml:space="preserve"> PAGE   \* MERGEFORMAT </w:instrText>
    </w:r>
    <w:r w:rsidR="006058B3" w:rsidRPr="00967BF4">
      <w:rPr>
        <w:rFonts w:asciiTheme="minorHAnsi" w:hAnsiTheme="minorHAnsi" w:cstheme="minorHAnsi"/>
        <w:sz w:val="20"/>
        <w:szCs w:val="20"/>
      </w:rPr>
      <w:fldChar w:fldCharType="separate"/>
    </w:r>
    <w:r w:rsidR="00790DB1">
      <w:rPr>
        <w:rFonts w:asciiTheme="minorHAnsi" w:hAnsiTheme="minorHAnsi" w:cstheme="minorHAnsi"/>
        <w:noProof/>
        <w:sz w:val="20"/>
        <w:szCs w:val="20"/>
      </w:rPr>
      <w:t>2</w:t>
    </w:r>
    <w:r w:rsidR="006058B3" w:rsidRPr="00967BF4">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4A756" w14:textId="77777777" w:rsidR="00E74FFF" w:rsidRDefault="00E74FFF" w:rsidP="006058B3">
      <w:r>
        <w:separator/>
      </w:r>
    </w:p>
  </w:footnote>
  <w:footnote w:type="continuationSeparator" w:id="0">
    <w:p w14:paraId="65578751" w14:textId="77777777" w:rsidR="00E74FFF" w:rsidRDefault="00E74FFF" w:rsidP="00605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484C"/>
    <w:multiLevelType w:val="hybridMultilevel"/>
    <w:tmpl w:val="84A2A9D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AF27CF"/>
    <w:multiLevelType w:val="hybridMultilevel"/>
    <w:tmpl w:val="8D7E98CA"/>
    <w:lvl w:ilvl="0" w:tplc="C24A018A">
      <w:start w:val="1"/>
      <w:numFmt w:val="decimal"/>
      <w:lvlText w:val="%1."/>
      <w:lvlJc w:val="left"/>
      <w:pPr>
        <w:ind w:left="785" w:hanging="360"/>
      </w:pPr>
      <w:rPr>
        <w:rFonts w:asciiTheme="minorHAnsi" w:hAnsiTheme="minorHAnsi" w:hint="default"/>
        <w:sz w:val="22"/>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1B107B6C"/>
    <w:multiLevelType w:val="hybridMultilevel"/>
    <w:tmpl w:val="E39A07C4"/>
    <w:lvl w:ilvl="0" w:tplc="580AD49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3BAC"/>
    <w:multiLevelType w:val="hybridMultilevel"/>
    <w:tmpl w:val="E1168806"/>
    <w:lvl w:ilvl="0" w:tplc="2BD4E446">
      <w:start w:val="1"/>
      <w:numFmt w:val="decimal"/>
      <w:lvlText w:val="%1."/>
      <w:lvlJc w:val="left"/>
      <w:pPr>
        <w:ind w:left="433" w:hanging="432"/>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4" w15:restartNumberingAfterBreak="0">
    <w:nsid w:val="36C27448"/>
    <w:multiLevelType w:val="hybridMultilevel"/>
    <w:tmpl w:val="CBC00D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355FB3"/>
    <w:multiLevelType w:val="multilevel"/>
    <w:tmpl w:val="1DFA58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6" w15:restartNumberingAfterBreak="0">
    <w:nsid w:val="4FD15C30"/>
    <w:multiLevelType w:val="hybridMultilevel"/>
    <w:tmpl w:val="68D41ED6"/>
    <w:lvl w:ilvl="0" w:tplc="051EC3D6">
      <w:start w:val="1"/>
      <w:numFmt w:val="lowerRoman"/>
      <w:lvlText w:val="%1."/>
      <w:lvlJc w:val="left"/>
      <w:pPr>
        <w:ind w:left="1080" w:hanging="720"/>
      </w:pPr>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786ADB"/>
    <w:multiLevelType w:val="hybridMultilevel"/>
    <w:tmpl w:val="2E9EE4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A02561D"/>
    <w:multiLevelType w:val="hybridMultilevel"/>
    <w:tmpl w:val="846E0B10"/>
    <w:lvl w:ilvl="0" w:tplc="8C28602A">
      <w:start w:val="4"/>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DC7D11"/>
    <w:multiLevelType w:val="hybridMultilevel"/>
    <w:tmpl w:val="81702E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9951639"/>
    <w:multiLevelType w:val="hybridMultilevel"/>
    <w:tmpl w:val="78FE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775B16"/>
    <w:multiLevelType w:val="hybridMultilevel"/>
    <w:tmpl w:val="D93C8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0"/>
  </w:num>
  <w:num w:numId="5">
    <w:abstractNumId w:val="10"/>
  </w:num>
  <w:num w:numId="6">
    <w:abstractNumId w:val="11"/>
  </w:num>
  <w:num w:numId="7">
    <w:abstractNumId w:val="2"/>
  </w:num>
  <w:num w:numId="8">
    <w:abstractNumId w:val="1"/>
  </w:num>
  <w:num w:numId="9">
    <w:abstractNumId w:val="3"/>
  </w:num>
  <w:num w:numId="10">
    <w:abstractNumId w:val="9"/>
  </w:num>
  <w:num w:numId="11">
    <w:abstractNumId w:val="8"/>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AFD"/>
    <w:rsid w:val="000054C2"/>
    <w:rsid w:val="00017290"/>
    <w:rsid w:val="000206E7"/>
    <w:rsid w:val="00022A0A"/>
    <w:rsid w:val="000250FF"/>
    <w:rsid w:val="000267EF"/>
    <w:rsid w:val="00027DBC"/>
    <w:rsid w:val="00046743"/>
    <w:rsid w:val="00046B52"/>
    <w:rsid w:val="00065171"/>
    <w:rsid w:val="00065B8F"/>
    <w:rsid w:val="00074A52"/>
    <w:rsid w:val="00076CE7"/>
    <w:rsid w:val="00085EE7"/>
    <w:rsid w:val="00090B48"/>
    <w:rsid w:val="00091474"/>
    <w:rsid w:val="000C70C6"/>
    <w:rsid w:val="000C7A56"/>
    <w:rsid w:val="000D4C13"/>
    <w:rsid w:val="000E637A"/>
    <w:rsid w:val="00131FA2"/>
    <w:rsid w:val="00144492"/>
    <w:rsid w:val="001529FF"/>
    <w:rsid w:val="0015336C"/>
    <w:rsid w:val="00155904"/>
    <w:rsid w:val="0017220E"/>
    <w:rsid w:val="00194746"/>
    <w:rsid w:val="001B6F33"/>
    <w:rsid w:val="001C341F"/>
    <w:rsid w:val="001C4D6A"/>
    <w:rsid w:val="001D2AF2"/>
    <w:rsid w:val="0022547B"/>
    <w:rsid w:val="0022737C"/>
    <w:rsid w:val="002314AC"/>
    <w:rsid w:val="0025233F"/>
    <w:rsid w:val="00283C05"/>
    <w:rsid w:val="00295E57"/>
    <w:rsid w:val="002A28D6"/>
    <w:rsid w:val="002A7D66"/>
    <w:rsid w:val="002F0097"/>
    <w:rsid w:val="002F22EE"/>
    <w:rsid w:val="002F4875"/>
    <w:rsid w:val="00303D77"/>
    <w:rsid w:val="00305218"/>
    <w:rsid w:val="00307B7E"/>
    <w:rsid w:val="003149A3"/>
    <w:rsid w:val="00317FDC"/>
    <w:rsid w:val="0032596C"/>
    <w:rsid w:val="00344123"/>
    <w:rsid w:val="003501A9"/>
    <w:rsid w:val="00354D36"/>
    <w:rsid w:val="003D7BF6"/>
    <w:rsid w:val="003F53DD"/>
    <w:rsid w:val="00443985"/>
    <w:rsid w:val="0045145A"/>
    <w:rsid w:val="00470DB8"/>
    <w:rsid w:val="00491BEE"/>
    <w:rsid w:val="004A15AF"/>
    <w:rsid w:val="004C6C04"/>
    <w:rsid w:val="004E0DB3"/>
    <w:rsid w:val="004F7BE5"/>
    <w:rsid w:val="005053BC"/>
    <w:rsid w:val="005078BB"/>
    <w:rsid w:val="0051038A"/>
    <w:rsid w:val="00535F9D"/>
    <w:rsid w:val="0054647B"/>
    <w:rsid w:val="005535F2"/>
    <w:rsid w:val="005653D8"/>
    <w:rsid w:val="005855E2"/>
    <w:rsid w:val="00594ED0"/>
    <w:rsid w:val="005C7B28"/>
    <w:rsid w:val="005D106B"/>
    <w:rsid w:val="005D7783"/>
    <w:rsid w:val="005F0C8D"/>
    <w:rsid w:val="005F680E"/>
    <w:rsid w:val="006058B3"/>
    <w:rsid w:val="00610E89"/>
    <w:rsid w:val="006320E6"/>
    <w:rsid w:val="00634417"/>
    <w:rsid w:val="00644C1D"/>
    <w:rsid w:val="00686267"/>
    <w:rsid w:val="006905CC"/>
    <w:rsid w:val="006978F0"/>
    <w:rsid w:val="006A7C44"/>
    <w:rsid w:val="006B72AF"/>
    <w:rsid w:val="006D3C88"/>
    <w:rsid w:val="006D5444"/>
    <w:rsid w:val="006E03EA"/>
    <w:rsid w:val="006E3B93"/>
    <w:rsid w:val="006E61BB"/>
    <w:rsid w:val="006F0B29"/>
    <w:rsid w:val="006F30DC"/>
    <w:rsid w:val="006F3186"/>
    <w:rsid w:val="006F48CA"/>
    <w:rsid w:val="00707224"/>
    <w:rsid w:val="0072271B"/>
    <w:rsid w:val="00736116"/>
    <w:rsid w:val="00741923"/>
    <w:rsid w:val="00750225"/>
    <w:rsid w:val="007557D5"/>
    <w:rsid w:val="0075712F"/>
    <w:rsid w:val="00773024"/>
    <w:rsid w:val="00780AFD"/>
    <w:rsid w:val="00790DB1"/>
    <w:rsid w:val="007956EA"/>
    <w:rsid w:val="00795C6E"/>
    <w:rsid w:val="007F7F60"/>
    <w:rsid w:val="00801042"/>
    <w:rsid w:val="008222C9"/>
    <w:rsid w:val="00853A4C"/>
    <w:rsid w:val="00857CD6"/>
    <w:rsid w:val="008627FE"/>
    <w:rsid w:val="00873BE1"/>
    <w:rsid w:val="00874DDC"/>
    <w:rsid w:val="0089103F"/>
    <w:rsid w:val="008952D7"/>
    <w:rsid w:val="008A1B89"/>
    <w:rsid w:val="008B3068"/>
    <w:rsid w:val="008C1D57"/>
    <w:rsid w:val="008C2764"/>
    <w:rsid w:val="008D0D24"/>
    <w:rsid w:val="008D1611"/>
    <w:rsid w:val="008F2E14"/>
    <w:rsid w:val="008F72BF"/>
    <w:rsid w:val="0090644D"/>
    <w:rsid w:val="00910559"/>
    <w:rsid w:val="00921C07"/>
    <w:rsid w:val="00956B48"/>
    <w:rsid w:val="009603AF"/>
    <w:rsid w:val="00960912"/>
    <w:rsid w:val="00967BF4"/>
    <w:rsid w:val="00973990"/>
    <w:rsid w:val="0097657A"/>
    <w:rsid w:val="009978A7"/>
    <w:rsid w:val="009A4362"/>
    <w:rsid w:val="009B769F"/>
    <w:rsid w:val="009C24AD"/>
    <w:rsid w:val="009C4474"/>
    <w:rsid w:val="009C6711"/>
    <w:rsid w:val="009D3818"/>
    <w:rsid w:val="009D3A3C"/>
    <w:rsid w:val="009E5358"/>
    <w:rsid w:val="00A3109C"/>
    <w:rsid w:val="00A32562"/>
    <w:rsid w:val="00A52A09"/>
    <w:rsid w:val="00A61167"/>
    <w:rsid w:val="00A95654"/>
    <w:rsid w:val="00AA2EDD"/>
    <w:rsid w:val="00AC138B"/>
    <w:rsid w:val="00AC56C4"/>
    <w:rsid w:val="00AE6055"/>
    <w:rsid w:val="00AE7B3F"/>
    <w:rsid w:val="00AF25A0"/>
    <w:rsid w:val="00B02590"/>
    <w:rsid w:val="00B0440F"/>
    <w:rsid w:val="00B73411"/>
    <w:rsid w:val="00B9629C"/>
    <w:rsid w:val="00BB2E67"/>
    <w:rsid w:val="00BC5325"/>
    <w:rsid w:val="00BE67B3"/>
    <w:rsid w:val="00C17EF6"/>
    <w:rsid w:val="00C32315"/>
    <w:rsid w:val="00C36260"/>
    <w:rsid w:val="00C42E53"/>
    <w:rsid w:val="00C549D6"/>
    <w:rsid w:val="00C63E7B"/>
    <w:rsid w:val="00C648EB"/>
    <w:rsid w:val="00C87C2D"/>
    <w:rsid w:val="00CA5CD6"/>
    <w:rsid w:val="00CB2EBD"/>
    <w:rsid w:val="00CB40BA"/>
    <w:rsid w:val="00CE11A9"/>
    <w:rsid w:val="00D04785"/>
    <w:rsid w:val="00D37C9C"/>
    <w:rsid w:val="00D47D43"/>
    <w:rsid w:val="00D50230"/>
    <w:rsid w:val="00D631CE"/>
    <w:rsid w:val="00D96CBB"/>
    <w:rsid w:val="00DD473F"/>
    <w:rsid w:val="00DF3152"/>
    <w:rsid w:val="00E06E63"/>
    <w:rsid w:val="00E414F9"/>
    <w:rsid w:val="00E662CA"/>
    <w:rsid w:val="00E70C14"/>
    <w:rsid w:val="00E74FFF"/>
    <w:rsid w:val="00E9062A"/>
    <w:rsid w:val="00E93EF9"/>
    <w:rsid w:val="00E95E62"/>
    <w:rsid w:val="00EB6CF2"/>
    <w:rsid w:val="00EF4CF6"/>
    <w:rsid w:val="00EF4F00"/>
    <w:rsid w:val="00F00776"/>
    <w:rsid w:val="00F1025C"/>
    <w:rsid w:val="00F12376"/>
    <w:rsid w:val="00F16DB7"/>
    <w:rsid w:val="00F1700C"/>
    <w:rsid w:val="00F72490"/>
    <w:rsid w:val="00FD721C"/>
    <w:rsid w:val="00FF5278"/>
    <w:rsid w:val="00FF6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E94B646"/>
  <w15:chartTrackingRefBased/>
  <w15:docId w15:val="{465E57F8-2E7A-4441-A14F-7C36034E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B8F"/>
    <w:pPr>
      <w:spacing w:after="0" w:line="240" w:lineRule="auto"/>
      <w:ind w:left="357" w:hanging="357"/>
      <w:jc w:val="both"/>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5B8F"/>
    <w:pPr>
      <w:autoSpaceDE w:val="0"/>
      <w:autoSpaceDN w:val="0"/>
      <w:adjustRightInd w:val="0"/>
      <w:spacing w:after="0" w:line="240" w:lineRule="auto"/>
      <w:ind w:left="357" w:hanging="357"/>
      <w:jc w:val="both"/>
    </w:pPr>
    <w:rPr>
      <w:rFonts w:ascii="Palatino Linotype" w:hAnsi="Palatino Linotype" w:cs="Palatino Linotype"/>
      <w:color w:val="000000"/>
      <w:sz w:val="24"/>
      <w:szCs w:val="24"/>
    </w:rPr>
  </w:style>
  <w:style w:type="character" w:customStyle="1" w:styleId="EnlacedeInternet">
    <w:name w:val="Enlace de Internet"/>
    <w:basedOn w:val="DefaultParagraphFont"/>
    <w:rsid w:val="001C4D6A"/>
    <w:rPr>
      <w:color w:val="0000FF"/>
      <w:u w:val="single"/>
    </w:rPr>
  </w:style>
  <w:style w:type="paragraph" w:styleId="ListParagraph">
    <w:name w:val="List Paragraph"/>
    <w:aliases w:val="Rec para"/>
    <w:basedOn w:val="Normal"/>
    <w:link w:val="ListParagraphChar"/>
    <w:uiPriority w:val="34"/>
    <w:qFormat/>
    <w:rsid w:val="00634417"/>
    <w:pPr>
      <w:spacing w:after="160" w:line="259" w:lineRule="auto"/>
      <w:ind w:left="720" w:firstLine="0"/>
      <w:contextualSpacing/>
      <w:jc w:val="left"/>
    </w:pPr>
    <w:rPr>
      <w:rFonts w:asciiTheme="minorHAnsi" w:eastAsiaTheme="minorHAnsi" w:hAnsiTheme="minorHAnsi" w:cstheme="minorBidi"/>
      <w:sz w:val="22"/>
      <w:szCs w:val="22"/>
      <w:lang w:eastAsia="en-US"/>
    </w:rPr>
  </w:style>
  <w:style w:type="character" w:customStyle="1" w:styleId="ListParagraphChar">
    <w:name w:val="List Paragraph Char"/>
    <w:aliases w:val="Rec para Char"/>
    <w:link w:val="ListParagraph"/>
    <w:uiPriority w:val="34"/>
    <w:locked/>
    <w:rsid w:val="00634417"/>
  </w:style>
  <w:style w:type="character" w:styleId="CommentReference">
    <w:name w:val="annotation reference"/>
    <w:basedOn w:val="DefaultParagraphFont"/>
    <w:semiHidden/>
    <w:unhideWhenUsed/>
    <w:rsid w:val="00AE7B3F"/>
    <w:rPr>
      <w:sz w:val="16"/>
      <w:szCs w:val="16"/>
    </w:rPr>
  </w:style>
  <w:style w:type="paragraph" w:styleId="CommentText">
    <w:name w:val="annotation text"/>
    <w:basedOn w:val="Normal"/>
    <w:link w:val="CommentTextChar"/>
    <w:unhideWhenUsed/>
    <w:rsid w:val="00AE7B3F"/>
    <w:rPr>
      <w:sz w:val="20"/>
      <w:szCs w:val="20"/>
    </w:rPr>
  </w:style>
  <w:style w:type="character" w:customStyle="1" w:styleId="CommentTextChar">
    <w:name w:val="Comment Text Char"/>
    <w:basedOn w:val="DefaultParagraphFont"/>
    <w:link w:val="CommentText"/>
    <w:rsid w:val="00AE7B3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E7B3F"/>
    <w:rPr>
      <w:b/>
      <w:bCs/>
    </w:rPr>
  </w:style>
  <w:style w:type="character" w:customStyle="1" w:styleId="CommentSubjectChar">
    <w:name w:val="Comment Subject Char"/>
    <w:basedOn w:val="CommentTextChar"/>
    <w:link w:val="CommentSubject"/>
    <w:uiPriority w:val="99"/>
    <w:semiHidden/>
    <w:rsid w:val="00AE7B3F"/>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AE7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B3F"/>
    <w:rPr>
      <w:rFonts w:ascii="Segoe UI" w:eastAsia="Times New Roman" w:hAnsi="Segoe UI" w:cs="Segoe UI"/>
      <w:sz w:val="18"/>
      <w:szCs w:val="18"/>
      <w:lang w:eastAsia="en-GB"/>
    </w:rPr>
  </w:style>
  <w:style w:type="paragraph" w:styleId="BodyText">
    <w:name w:val="Body Text"/>
    <w:basedOn w:val="Normal"/>
    <w:link w:val="BodyTextChar"/>
    <w:uiPriority w:val="1"/>
    <w:qFormat/>
    <w:rsid w:val="00960912"/>
    <w:pPr>
      <w:widowControl w:val="0"/>
      <w:autoSpaceDE w:val="0"/>
      <w:autoSpaceDN w:val="0"/>
      <w:ind w:left="0" w:firstLine="0"/>
      <w:jc w:val="left"/>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960912"/>
    <w:rPr>
      <w:rFonts w:ascii="Calibri" w:eastAsia="Calibri" w:hAnsi="Calibri" w:cs="Calibri"/>
      <w:sz w:val="24"/>
      <w:szCs w:val="24"/>
      <w:lang w:val="en-US"/>
    </w:rPr>
  </w:style>
  <w:style w:type="paragraph" w:customStyle="1" w:styleId="ColorfulList-Accent11">
    <w:name w:val="Colorful List - Accent 11"/>
    <w:basedOn w:val="Normal"/>
    <w:uiPriority w:val="34"/>
    <w:qFormat/>
    <w:rsid w:val="007F7F60"/>
    <w:pPr>
      <w:ind w:left="720" w:hanging="425"/>
      <w:contextualSpacing/>
      <w:jc w:val="left"/>
    </w:pPr>
    <w:rPr>
      <w:rFonts w:ascii="Calibri" w:eastAsia="Calibri" w:hAnsi="Calibri"/>
      <w:sz w:val="22"/>
      <w:szCs w:val="22"/>
      <w:lang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semiHidden/>
    <w:unhideWhenUsed/>
    <w:rsid w:val="006058B3"/>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semiHidden/>
    <w:rsid w:val="006058B3"/>
    <w:rPr>
      <w:rFonts w:ascii="Times New Roman" w:eastAsia="Times New Roman" w:hAnsi="Times New Roman" w:cs="Times New Roman"/>
      <w:sz w:val="20"/>
      <w:szCs w:val="20"/>
      <w:lang w:eastAsia="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uiPriority w:val="99"/>
    <w:semiHidden/>
    <w:unhideWhenUsed/>
    <w:rsid w:val="006058B3"/>
    <w:rPr>
      <w:vertAlign w:val="superscript"/>
    </w:rPr>
  </w:style>
  <w:style w:type="character" w:styleId="Hyperlink">
    <w:name w:val="Hyperlink"/>
    <w:basedOn w:val="DefaultParagraphFont"/>
    <w:uiPriority w:val="99"/>
    <w:unhideWhenUsed/>
    <w:rsid w:val="006058B3"/>
    <w:rPr>
      <w:color w:val="0000FF"/>
      <w:u w:val="single"/>
    </w:rPr>
  </w:style>
  <w:style w:type="paragraph" w:styleId="Header">
    <w:name w:val="header"/>
    <w:basedOn w:val="Normal"/>
    <w:link w:val="HeaderChar"/>
    <w:uiPriority w:val="99"/>
    <w:unhideWhenUsed/>
    <w:rsid w:val="006058B3"/>
    <w:pPr>
      <w:tabs>
        <w:tab w:val="center" w:pos="4513"/>
        <w:tab w:val="right" w:pos="9026"/>
      </w:tabs>
    </w:pPr>
  </w:style>
  <w:style w:type="character" w:customStyle="1" w:styleId="HeaderChar">
    <w:name w:val="Header Char"/>
    <w:basedOn w:val="DefaultParagraphFont"/>
    <w:link w:val="Header"/>
    <w:uiPriority w:val="99"/>
    <w:rsid w:val="006058B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058B3"/>
    <w:pPr>
      <w:tabs>
        <w:tab w:val="center" w:pos="4513"/>
        <w:tab w:val="right" w:pos="9026"/>
      </w:tabs>
    </w:pPr>
  </w:style>
  <w:style w:type="character" w:customStyle="1" w:styleId="FooterChar">
    <w:name w:val="Footer Char"/>
    <w:basedOn w:val="DefaultParagraphFont"/>
    <w:link w:val="Footer"/>
    <w:uiPriority w:val="99"/>
    <w:rsid w:val="006058B3"/>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67BF4"/>
    <w:rPr>
      <w:color w:val="954F72" w:themeColor="followedHyperlink"/>
      <w:u w:val="single"/>
    </w:rPr>
  </w:style>
  <w:style w:type="character" w:customStyle="1" w:styleId="UnresolvedMention1">
    <w:name w:val="Unresolved Mention1"/>
    <w:basedOn w:val="DefaultParagraphFont"/>
    <w:uiPriority w:val="99"/>
    <w:semiHidden/>
    <w:unhideWhenUsed/>
    <w:rsid w:val="00C42E53"/>
    <w:rPr>
      <w:color w:val="605E5C"/>
      <w:shd w:val="clear" w:color="auto" w:fill="E1DFDD"/>
    </w:rPr>
  </w:style>
  <w:style w:type="paragraph" w:customStyle="1" w:styleId="Standard">
    <w:name w:val="Standard"/>
    <w:rsid w:val="00F1025C"/>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NoSpacing">
    <w:name w:val="No Spacing"/>
    <w:uiPriority w:val="1"/>
    <w:qFormat/>
    <w:rsid w:val="00A95654"/>
    <w:pPr>
      <w:spacing w:after="0" w:line="240" w:lineRule="auto"/>
      <w:ind w:left="357" w:hanging="357"/>
      <w:jc w:val="both"/>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145A"/>
  </w:style>
  <w:style w:type="character" w:styleId="Strong">
    <w:name w:val="Strong"/>
    <w:uiPriority w:val="22"/>
    <w:qFormat/>
    <w:rsid w:val="00A310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14327">
      <w:bodyDiv w:val="1"/>
      <w:marLeft w:val="0"/>
      <w:marRight w:val="0"/>
      <w:marTop w:val="0"/>
      <w:marBottom w:val="0"/>
      <w:divBdr>
        <w:top w:val="none" w:sz="0" w:space="0" w:color="auto"/>
        <w:left w:val="none" w:sz="0" w:space="0" w:color="auto"/>
        <w:bottom w:val="none" w:sz="0" w:space="0" w:color="auto"/>
        <w:right w:val="none" w:sz="0" w:space="0" w:color="auto"/>
      </w:divBdr>
    </w:div>
    <w:div w:id="362901283">
      <w:bodyDiv w:val="1"/>
      <w:marLeft w:val="0"/>
      <w:marRight w:val="0"/>
      <w:marTop w:val="0"/>
      <w:marBottom w:val="0"/>
      <w:divBdr>
        <w:top w:val="none" w:sz="0" w:space="0" w:color="auto"/>
        <w:left w:val="none" w:sz="0" w:space="0" w:color="auto"/>
        <w:bottom w:val="none" w:sz="0" w:space="0" w:color="auto"/>
        <w:right w:val="none" w:sz="0" w:space="0" w:color="auto"/>
      </w:divBdr>
    </w:div>
    <w:div w:id="410977514">
      <w:bodyDiv w:val="1"/>
      <w:marLeft w:val="0"/>
      <w:marRight w:val="0"/>
      <w:marTop w:val="0"/>
      <w:marBottom w:val="0"/>
      <w:divBdr>
        <w:top w:val="none" w:sz="0" w:space="0" w:color="auto"/>
        <w:left w:val="none" w:sz="0" w:space="0" w:color="auto"/>
        <w:bottom w:val="none" w:sz="0" w:space="0" w:color="auto"/>
        <w:right w:val="none" w:sz="0" w:space="0" w:color="auto"/>
      </w:divBdr>
    </w:div>
    <w:div w:id="792289769">
      <w:bodyDiv w:val="1"/>
      <w:marLeft w:val="0"/>
      <w:marRight w:val="0"/>
      <w:marTop w:val="0"/>
      <w:marBottom w:val="0"/>
      <w:divBdr>
        <w:top w:val="none" w:sz="0" w:space="0" w:color="auto"/>
        <w:left w:val="none" w:sz="0" w:space="0" w:color="auto"/>
        <w:bottom w:val="none" w:sz="0" w:space="0" w:color="auto"/>
        <w:right w:val="none" w:sz="0" w:space="0" w:color="auto"/>
      </w:divBdr>
    </w:div>
    <w:div w:id="960766400">
      <w:bodyDiv w:val="1"/>
      <w:marLeft w:val="0"/>
      <w:marRight w:val="0"/>
      <w:marTop w:val="0"/>
      <w:marBottom w:val="0"/>
      <w:divBdr>
        <w:top w:val="none" w:sz="0" w:space="0" w:color="auto"/>
        <w:left w:val="none" w:sz="0" w:space="0" w:color="auto"/>
        <w:bottom w:val="none" w:sz="0" w:space="0" w:color="auto"/>
        <w:right w:val="none" w:sz="0" w:space="0" w:color="auto"/>
      </w:divBdr>
    </w:div>
    <w:div w:id="1129513570">
      <w:bodyDiv w:val="1"/>
      <w:marLeft w:val="0"/>
      <w:marRight w:val="0"/>
      <w:marTop w:val="0"/>
      <w:marBottom w:val="0"/>
      <w:divBdr>
        <w:top w:val="none" w:sz="0" w:space="0" w:color="auto"/>
        <w:left w:val="none" w:sz="0" w:space="0" w:color="auto"/>
        <w:bottom w:val="none" w:sz="0" w:space="0" w:color="auto"/>
        <w:right w:val="none" w:sz="0" w:space="0" w:color="auto"/>
      </w:divBdr>
    </w:div>
    <w:div w:id="1320187299">
      <w:bodyDiv w:val="1"/>
      <w:marLeft w:val="0"/>
      <w:marRight w:val="0"/>
      <w:marTop w:val="0"/>
      <w:marBottom w:val="0"/>
      <w:divBdr>
        <w:top w:val="none" w:sz="0" w:space="0" w:color="auto"/>
        <w:left w:val="none" w:sz="0" w:space="0" w:color="auto"/>
        <w:bottom w:val="none" w:sz="0" w:space="0" w:color="auto"/>
        <w:right w:val="none" w:sz="0" w:space="0" w:color="auto"/>
      </w:divBdr>
    </w:div>
    <w:div w:id="14895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b6b05-eb82-4bda-97e8-cd82d0d6b4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7" ma:contentTypeDescription="Create a new document." ma:contentTypeScope="" ma:versionID="3f65ae92b7e3b848dc6f2345e788c425">
  <xsd:schema xmlns:xsd="http://www.w3.org/2001/XMLSchema" xmlns:xs="http://www.w3.org/2001/XMLSchema" xmlns:p="http://schemas.microsoft.com/office/2006/metadata/properties" xmlns:ns3="8c0b6b05-eb82-4bda-97e8-cd82d0d6b453" xmlns:ns4="aedd258d-19a7-41ba-8260-b0918f25313d" targetNamespace="http://schemas.microsoft.com/office/2006/metadata/properties" ma:root="true" ma:fieldsID="82e223424e79a703944e5cd941972b21" ns3:_="" ns4:_="">
    <xsd:import namespace="8c0b6b05-eb82-4bda-97e8-cd82d0d6b453"/>
    <xsd:import namespace="aedd258d-19a7-41ba-8260-b0918f2531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dd258d-19a7-41ba-8260-b0918f2531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F4904-B7CF-401E-BE23-00A1E7FFE92B}">
  <ds:schemaRefs>
    <ds:schemaRef ds:uri="http://schemas.openxmlformats.org/package/2006/metadata/core-properties"/>
    <ds:schemaRef ds:uri="http://schemas.microsoft.com/office/2006/documentManagement/types"/>
    <ds:schemaRef ds:uri="http://www.w3.org/XML/1998/namespace"/>
    <ds:schemaRef ds:uri="8c0b6b05-eb82-4bda-97e8-cd82d0d6b453"/>
    <ds:schemaRef ds:uri="http://purl.org/dc/dcmitype/"/>
    <ds:schemaRef ds:uri="http://purl.org/dc/terms/"/>
    <ds:schemaRef ds:uri="http://schemas.microsoft.com/office/infopath/2007/PartnerControls"/>
    <ds:schemaRef ds:uri="aedd258d-19a7-41ba-8260-b0918f25313d"/>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94BFFCF-B403-45FB-AB1F-3D13FF3A6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aedd258d-19a7-41ba-8260-b0918f253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D5342-28C9-452A-BB35-C486CFE68083}">
  <ds:schemaRefs>
    <ds:schemaRef ds:uri="http://schemas.microsoft.com/sharepoint/v3/contenttype/forms"/>
  </ds:schemaRefs>
</ds:datastoreItem>
</file>

<file path=customXml/itemProps4.xml><?xml version="1.0" encoding="utf-8"?>
<ds:datastoreItem xmlns:ds="http://schemas.openxmlformats.org/officeDocument/2006/customXml" ds:itemID="{996EE981-795C-4410-A7EE-28BCDBFB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BRACE Poppy</cp:lastModifiedBy>
  <cp:revision>4</cp:revision>
  <dcterms:created xsi:type="dcterms:W3CDTF">2024-02-19T15:35:00Z</dcterms:created>
  <dcterms:modified xsi:type="dcterms:W3CDTF">2024-02-29T15:26:00Z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