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E00D3" w14:textId="77777777" w:rsidR="00545C1A" w:rsidRPr="00545C1A" w:rsidRDefault="00545C1A" w:rsidP="00545C1A">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sz w:val="22"/>
          <w:szCs w:val="22"/>
        </w:rPr>
      </w:pPr>
      <w:bookmarkStart w:id="0" w:name="_GoBack"/>
      <w:bookmarkEnd w:id="0"/>
      <w:r>
        <w:rPr>
          <w:rFonts w:asciiTheme="minorHAnsi" w:hAnsiTheme="minorHAnsi"/>
          <w:bCs/>
          <w:sz w:val="22"/>
          <w:szCs w:val="22"/>
        </w:rPr>
        <w:t>LA CONVENCIÓN SOBRE LOS HUMEDALES</w:t>
      </w:r>
    </w:p>
    <w:p w14:paraId="2F727AAA" w14:textId="77777777" w:rsidR="00545C1A" w:rsidRPr="00545C1A" w:rsidRDefault="00545C1A" w:rsidP="00545C1A">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sz w:val="22"/>
          <w:szCs w:val="22"/>
        </w:rPr>
      </w:pPr>
      <w:r>
        <w:rPr>
          <w:rFonts w:asciiTheme="minorHAnsi" w:hAnsiTheme="minorHAnsi"/>
          <w:bCs/>
          <w:sz w:val="22"/>
          <w:szCs w:val="22"/>
        </w:rPr>
        <w:t>63ª reunión del Comité Permanente</w:t>
      </w:r>
    </w:p>
    <w:p w14:paraId="55D8A7B2" w14:textId="77777777" w:rsidR="00545C1A" w:rsidRPr="00545C1A" w:rsidRDefault="00545C1A" w:rsidP="00545C1A">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
          <w:sz w:val="22"/>
          <w:szCs w:val="22"/>
        </w:rPr>
      </w:pPr>
      <w:r>
        <w:rPr>
          <w:rFonts w:asciiTheme="minorHAnsi" w:hAnsiTheme="minorHAnsi"/>
          <w:sz w:val="22"/>
          <w:szCs w:val="22"/>
        </w:rPr>
        <w:t>Gland, Suiza, 3 a 7 de junio de 2024</w:t>
      </w:r>
    </w:p>
    <w:p w14:paraId="74D3C41D" w14:textId="77777777" w:rsidR="00065B8F" w:rsidRPr="002F22EE" w:rsidRDefault="00065B8F" w:rsidP="00065B8F">
      <w:pPr>
        <w:rPr>
          <w:lang w:val="en-US"/>
        </w:rPr>
      </w:pPr>
    </w:p>
    <w:p w14:paraId="7B1779A1" w14:textId="77777777" w:rsidR="00065B8F" w:rsidRPr="002F22EE" w:rsidRDefault="006A7C44" w:rsidP="00065B8F">
      <w:pPr>
        <w:jc w:val="right"/>
        <w:rPr>
          <w:rFonts w:asciiTheme="minorHAnsi" w:hAnsiTheme="minorHAnsi" w:cstheme="minorHAnsi"/>
          <w:b/>
          <w:sz w:val="28"/>
          <w:szCs w:val="28"/>
        </w:rPr>
      </w:pPr>
      <w:r>
        <w:rPr>
          <w:rFonts w:asciiTheme="minorHAnsi" w:hAnsiTheme="minorHAnsi"/>
          <w:b/>
          <w:sz w:val="28"/>
          <w:szCs w:val="28"/>
        </w:rPr>
        <w:t>SC63 Doc.5</w:t>
      </w:r>
    </w:p>
    <w:p w14:paraId="4EA21863" w14:textId="77777777" w:rsidR="00065B8F" w:rsidRPr="002F22EE" w:rsidRDefault="00065B8F" w:rsidP="00065B8F">
      <w:pPr>
        <w:jc w:val="center"/>
        <w:rPr>
          <w:rFonts w:asciiTheme="minorHAnsi" w:hAnsiTheme="minorHAnsi" w:cstheme="minorHAnsi"/>
          <w:bCs/>
          <w:lang w:val="en-US"/>
        </w:rPr>
      </w:pPr>
    </w:p>
    <w:p w14:paraId="3B8E7464" w14:textId="77777777" w:rsidR="00065B8F" w:rsidRDefault="00065B8F" w:rsidP="00065B8F">
      <w:pPr>
        <w:jc w:val="center"/>
        <w:rPr>
          <w:rFonts w:asciiTheme="minorHAnsi" w:hAnsiTheme="minorHAnsi" w:cstheme="minorHAnsi"/>
          <w:b/>
          <w:bCs/>
          <w:sz w:val="28"/>
          <w:szCs w:val="28"/>
        </w:rPr>
      </w:pPr>
      <w:r>
        <w:rPr>
          <w:rFonts w:asciiTheme="minorHAnsi" w:hAnsiTheme="minorHAnsi"/>
          <w:b/>
          <w:bCs/>
          <w:sz w:val="28"/>
          <w:szCs w:val="28"/>
        </w:rPr>
        <w:t>Informe de la Presidencia del Comité Permanente y del Equipo Ejecutivo</w:t>
      </w:r>
    </w:p>
    <w:p w14:paraId="631405C7" w14:textId="77777777" w:rsidR="006058B3" w:rsidRDefault="006058B3" w:rsidP="00065B8F">
      <w:pPr>
        <w:jc w:val="center"/>
        <w:rPr>
          <w:rFonts w:asciiTheme="minorHAnsi" w:hAnsiTheme="minorHAnsi" w:cstheme="minorHAnsi"/>
          <w:b/>
          <w:bCs/>
          <w:sz w:val="28"/>
          <w:szCs w:val="28"/>
        </w:rPr>
      </w:pPr>
    </w:p>
    <w:p w14:paraId="122EA140" w14:textId="77777777" w:rsidR="00E95E62" w:rsidRDefault="006058B3" w:rsidP="006058B3">
      <w:pPr>
        <w:jc w:val="center"/>
        <w:rPr>
          <w:rFonts w:asciiTheme="minorHAnsi" w:hAnsiTheme="minorHAnsi" w:cstheme="minorHAnsi"/>
          <w:b/>
          <w:bCs/>
          <w:sz w:val="28"/>
          <w:szCs w:val="28"/>
          <w:highlight w:val="yellow"/>
        </w:rPr>
      </w:pPr>
      <w:r>
        <w:rPr>
          <w:rFonts w:asciiTheme="minorHAnsi" w:hAnsiTheme="minorHAnsi"/>
          <w:b/>
          <w:bCs/>
          <w:noProof/>
          <w:sz w:val="28"/>
          <w:szCs w:val="28"/>
        </w:rPr>
        <mc:AlternateContent>
          <mc:Choice Requires="wps">
            <w:drawing>
              <wp:inline distT="0" distB="0" distL="0" distR="0" wp14:anchorId="4864891A" wp14:editId="53EC8CFA">
                <wp:extent cx="5768340" cy="883920"/>
                <wp:effectExtent l="0" t="0" r="2286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883920"/>
                        </a:xfrm>
                        <a:prstGeom prst="rect">
                          <a:avLst/>
                        </a:prstGeom>
                        <a:solidFill>
                          <a:srgbClr val="FFFFFF"/>
                        </a:solidFill>
                        <a:ln w="9525">
                          <a:solidFill>
                            <a:srgbClr val="000000"/>
                          </a:solidFill>
                          <a:miter lim="800000"/>
                          <a:headEnd/>
                          <a:tailEnd/>
                        </a:ln>
                      </wps:spPr>
                      <wps:txbx>
                        <w:txbxContent>
                          <w:p w14:paraId="0CB6A551" w14:textId="77777777" w:rsidR="00AA2EDD" w:rsidRPr="000E637A" w:rsidRDefault="000E637A" w:rsidP="007F7F60">
                            <w:pPr>
                              <w:rPr>
                                <w:rFonts w:asciiTheme="minorHAnsi" w:hAnsiTheme="minorHAnsi" w:cstheme="minorHAnsi"/>
                                <w:b/>
                                <w:sz w:val="22"/>
                                <w:szCs w:val="22"/>
                              </w:rPr>
                            </w:pPr>
                            <w:r>
                              <w:rPr>
                                <w:rFonts w:asciiTheme="minorHAnsi" w:hAnsiTheme="minorHAnsi"/>
                                <w:b/>
                                <w:sz w:val="22"/>
                                <w:szCs w:val="22"/>
                              </w:rPr>
                              <w:t>Medida solicitada:</w:t>
                            </w:r>
                          </w:p>
                          <w:p w14:paraId="55F0BE76" w14:textId="77777777" w:rsidR="000E637A" w:rsidRDefault="000E637A" w:rsidP="000E637A">
                            <w:pPr>
                              <w:pStyle w:val="ColorfulList-Accent11"/>
                              <w:ind w:left="0"/>
                            </w:pPr>
                          </w:p>
                          <w:p w14:paraId="0FC78AE3" w14:textId="77777777" w:rsidR="00AA2EDD" w:rsidRDefault="000E637A" w:rsidP="000E637A">
                            <w:pPr>
                              <w:pStyle w:val="ColorfulList-Accent11"/>
                              <w:ind w:left="0" w:firstLine="0"/>
                              <w:rPr>
                                <w:rFonts w:asciiTheme="minorHAnsi" w:hAnsiTheme="minorHAnsi" w:cstheme="minorHAnsi"/>
                              </w:rPr>
                            </w:pPr>
                            <w:r>
                              <w:t>Se invita al Comité Permanente a tomar nota del presente informe de la Presidencia del Comité Permanente y del Equipo Ejecutivo.</w:t>
                            </w:r>
                          </w:p>
                          <w:p w14:paraId="7527EE05" w14:textId="77777777" w:rsidR="007F7F60" w:rsidRPr="007F7F60" w:rsidRDefault="007F7F60">
                            <w:pPr>
                              <w:rPr>
                                <w:rFonts w:asciiTheme="minorHAnsi" w:hAnsiTheme="minorHAnsi" w:cstheme="minorHAnsi"/>
                              </w:rPr>
                            </w:pP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864891A" id="_x0000_t202" coordsize="21600,21600" o:spt="202" path="m,l,21600r21600,l21600,xe">
                <v:stroke joinstyle="miter"/>
                <v:path gradientshapeok="t" o:connecttype="rect"/>
              </v:shapetype>
              <v:shape id="Text Box 2" o:spid="_x0000_s1026" type="#_x0000_t202" style="width:454.2pt;height:6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">
                <v:textbox>
                  <w:txbxContent>
                    <w:p w14:paraId="0CB6A551" w14:textId="77777777" w:rsidR="00AA2EDD" w:rsidRPr="000E637A" w:rsidRDefault="000E637A" w:rsidP="007F7F60">
                      <w:pPr>
                        <w:rPr>
                          <w:b/>
                          <w:sz w:val="22"/>
                          <w:szCs w:val="22"/>
                          <w:rFonts w:asciiTheme="minorHAnsi" w:hAnsiTheme="minorHAnsi" w:cstheme="minorHAnsi"/>
                        </w:rPr>
                      </w:pPr>
                      <w:r>
                        <w:rPr>
                          <w:b/>
                          <w:sz w:val="22"/>
                          <w:szCs w:val="22"/>
                          <w:rFonts w:asciiTheme="minorHAnsi" w:hAnsiTheme="minorHAnsi"/>
                        </w:rPr>
                        <w:t xml:space="preserve">Medida solicitada:</w:t>
                      </w:r>
                    </w:p>
                    <w:p w14:paraId="55F0BE76" w14:textId="77777777" w:rsidR="000E637A" w:rsidRDefault="000E637A" w:rsidP="000E637A">
                      <w:pPr>
                        <w:pStyle w:val="ColorfulList-Accent11"/>
                        <w:ind w:left="0"/>
                      </w:pPr>
                    </w:p>
                    <w:p w14:paraId="0FC78AE3" w14:textId="77777777" w:rsidR="00AA2EDD" w:rsidRDefault="000E637A" w:rsidP="000E637A">
                      <w:pPr>
                        <w:pStyle w:val="ColorfulList-Accent11"/>
                        <w:ind w:left="0" w:firstLine="0"/>
                        <w:rPr>
                          <w:rFonts w:asciiTheme="minorHAnsi" w:hAnsiTheme="minorHAnsi" w:cstheme="minorHAnsi"/>
                        </w:rPr>
                      </w:pPr>
                      <w:r>
                        <w:t xml:space="preserve">Se invita al Comité Permanente a tomar nota del presente informe de la Presidencia del Comité Permanente y del Equipo Ejecutivo.</w:t>
                      </w:r>
                    </w:p>
                    <w:p w14:paraId="7527EE05" w14:textId="77777777" w:rsidR="007F7F60" w:rsidRPr="007F7F60" w:rsidRDefault="007F7F60">
                      <w:pPr>
                        <w:rPr>
                          <w:rFonts w:asciiTheme="minorHAnsi" w:hAnsiTheme="minorHAnsi" w:cstheme="minorHAnsi"/>
                        </w:rPr>
                      </w:pPr>
                    </w:p>
                  </w:txbxContent>
                </v:textbox>
                <w10:anchorlock/>
              </v:shape>
            </w:pict>
          </mc:Fallback>
        </mc:AlternateContent>
      </w:r>
    </w:p>
    <w:p w14:paraId="17E32191" w14:textId="77777777" w:rsidR="006058B3" w:rsidRDefault="006058B3" w:rsidP="006058B3">
      <w:pPr>
        <w:jc w:val="left"/>
        <w:rPr>
          <w:rFonts w:asciiTheme="minorHAnsi" w:hAnsiTheme="minorHAnsi" w:cstheme="minorHAnsi"/>
          <w:b/>
          <w:bCs/>
          <w:sz w:val="22"/>
          <w:szCs w:val="22"/>
        </w:rPr>
      </w:pPr>
    </w:p>
    <w:p w14:paraId="7F8B72F1" w14:textId="77777777" w:rsidR="006058B3" w:rsidRDefault="006058B3" w:rsidP="005F680E">
      <w:pPr>
        <w:jc w:val="left"/>
        <w:rPr>
          <w:rFonts w:asciiTheme="minorHAnsi" w:hAnsiTheme="minorHAnsi" w:cstheme="minorHAnsi"/>
          <w:b/>
          <w:bCs/>
          <w:sz w:val="22"/>
          <w:szCs w:val="22"/>
        </w:rPr>
      </w:pPr>
    </w:p>
    <w:p w14:paraId="23C57B64" w14:textId="77777777" w:rsidR="00773024" w:rsidRPr="006058B3" w:rsidRDefault="00773024" w:rsidP="005F680E">
      <w:pPr>
        <w:ind w:left="426" w:hanging="425"/>
        <w:jc w:val="left"/>
        <w:rPr>
          <w:rFonts w:asciiTheme="minorHAnsi" w:hAnsiTheme="minorHAnsi" w:cstheme="minorHAnsi"/>
          <w:b/>
          <w:bCs/>
          <w:sz w:val="22"/>
          <w:szCs w:val="22"/>
        </w:rPr>
      </w:pPr>
      <w:r>
        <w:rPr>
          <w:rFonts w:asciiTheme="minorHAnsi" w:hAnsiTheme="minorHAnsi"/>
          <w:b/>
          <w:bCs/>
          <w:sz w:val="22"/>
          <w:szCs w:val="22"/>
        </w:rPr>
        <w:t>Antecedentes</w:t>
      </w:r>
    </w:p>
    <w:p w14:paraId="6A1B7E46" w14:textId="77777777" w:rsidR="00C32315" w:rsidRPr="006058B3" w:rsidRDefault="00C32315" w:rsidP="005F680E">
      <w:pPr>
        <w:ind w:left="426" w:firstLine="0"/>
        <w:jc w:val="left"/>
        <w:rPr>
          <w:rFonts w:asciiTheme="minorHAnsi" w:hAnsiTheme="minorHAnsi" w:cstheme="minorHAnsi"/>
          <w:sz w:val="22"/>
          <w:szCs w:val="22"/>
        </w:rPr>
      </w:pPr>
    </w:p>
    <w:p w14:paraId="3BC82031" w14:textId="6F5A5B37" w:rsidR="00CA5CD6" w:rsidRPr="005F680E" w:rsidRDefault="005F680E" w:rsidP="005F680E">
      <w:pPr>
        <w:ind w:left="425" w:hanging="425"/>
        <w:jc w:val="left"/>
        <w:rPr>
          <w:rFonts w:asciiTheme="minorHAnsi" w:hAnsiTheme="minorHAnsi" w:cstheme="minorHAnsi"/>
          <w:bCs/>
          <w:sz w:val="22"/>
          <w:szCs w:val="22"/>
        </w:rPr>
      </w:pPr>
      <w:r>
        <w:rPr>
          <w:rFonts w:asciiTheme="minorHAnsi" w:hAnsiTheme="minorHAnsi"/>
          <w:bCs/>
          <w:sz w:val="22"/>
          <w:szCs w:val="22"/>
        </w:rPr>
        <w:t>1.</w:t>
      </w:r>
      <w:r>
        <w:rPr>
          <w:rFonts w:asciiTheme="minorHAnsi" w:hAnsiTheme="minorHAnsi"/>
          <w:bCs/>
          <w:sz w:val="22"/>
          <w:szCs w:val="22"/>
        </w:rPr>
        <w:tab/>
        <w:t>En el presente informe se ofrece un panorama general de la labor llevada a cabo por la Presidencia del Comité Permanente y el Equipo Ejecutivo en el período posterior a la 62ª reunión del Comité Permanente (SC62), celebrada del 4 al 8 de septiembre de 2023, y hasta el 4 de marzo de 2024, fecha de publicación de los documentos para la SC64.</w:t>
      </w:r>
    </w:p>
    <w:p w14:paraId="0787CCB3" w14:textId="77777777" w:rsidR="00D631CE" w:rsidRPr="005F680E" w:rsidRDefault="00D631CE" w:rsidP="005F680E">
      <w:pPr>
        <w:pStyle w:val="ListParagraph"/>
        <w:spacing w:after="0" w:line="240" w:lineRule="auto"/>
        <w:ind w:left="425" w:hanging="425"/>
        <w:rPr>
          <w:rFonts w:cstheme="minorHAnsi"/>
          <w:bCs/>
        </w:rPr>
      </w:pPr>
    </w:p>
    <w:p w14:paraId="7FC49AC8" w14:textId="77777777" w:rsidR="00F1025C" w:rsidRDefault="005F680E" w:rsidP="00017290">
      <w:pPr>
        <w:ind w:left="425" w:hanging="425"/>
        <w:jc w:val="left"/>
        <w:rPr>
          <w:rFonts w:asciiTheme="minorHAnsi" w:hAnsiTheme="minorHAnsi" w:cstheme="minorHAnsi"/>
          <w:sz w:val="22"/>
          <w:szCs w:val="22"/>
        </w:rPr>
      </w:pPr>
      <w:r>
        <w:rPr>
          <w:rFonts w:asciiTheme="minorHAnsi" w:hAnsiTheme="minorHAnsi"/>
          <w:bCs/>
          <w:sz w:val="22"/>
          <w:szCs w:val="22"/>
        </w:rPr>
        <w:t>2.</w:t>
      </w:r>
      <w:r>
        <w:rPr>
          <w:rFonts w:asciiTheme="minorHAnsi" w:hAnsiTheme="minorHAnsi"/>
          <w:bCs/>
          <w:sz w:val="22"/>
          <w:szCs w:val="22"/>
        </w:rPr>
        <w:tab/>
      </w:r>
      <w:r>
        <w:rPr>
          <w:rFonts w:asciiTheme="minorHAnsi" w:hAnsiTheme="minorHAnsi"/>
          <w:sz w:val="22"/>
          <w:szCs w:val="22"/>
        </w:rPr>
        <w:t>La función y composición del Equipo Ejecutivo se establecen en la Resolución XIII.4, párrafo 4, en la que se observa “que la labor de supervisión de la Secretaría que lleva a cabo el Comité Permanente es realizada en su nombre entre reuniones de dicho Comité por su Equipo Ejecutivo (Presidencia, Vicepresidencia y Presidencia del Subgrupo de Finanzas) junto con el Secretario o la Secretaria General”.</w:t>
      </w:r>
    </w:p>
    <w:p w14:paraId="3472EDDB" w14:textId="77777777" w:rsidR="00017290" w:rsidRDefault="00017290" w:rsidP="00017290">
      <w:pPr>
        <w:ind w:left="425" w:hanging="425"/>
        <w:jc w:val="left"/>
        <w:rPr>
          <w:rFonts w:asciiTheme="minorHAnsi" w:hAnsiTheme="minorHAnsi" w:cstheme="minorHAnsi"/>
          <w:bCs/>
          <w:sz w:val="22"/>
          <w:szCs w:val="22"/>
        </w:rPr>
      </w:pPr>
    </w:p>
    <w:p w14:paraId="381BC67F" w14:textId="185E4668" w:rsidR="00017290" w:rsidRDefault="00017290" w:rsidP="00017290">
      <w:pPr>
        <w:ind w:left="426" w:hanging="426"/>
        <w:jc w:val="left"/>
        <w:rPr>
          <w:rFonts w:asciiTheme="minorHAnsi" w:hAnsiTheme="minorHAnsi" w:cstheme="minorHAnsi"/>
          <w:bCs/>
          <w:sz w:val="22"/>
          <w:szCs w:val="22"/>
        </w:rPr>
      </w:pPr>
      <w:r>
        <w:rPr>
          <w:rFonts w:asciiTheme="minorHAnsi" w:hAnsiTheme="minorHAnsi"/>
          <w:bCs/>
          <w:sz w:val="22"/>
          <w:szCs w:val="22"/>
        </w:rPr>
        <w:t>3.</w:t>
      </w:r>
      <w:r>
        <w:rPr>
          <w:rFonts w:asciiTheme="minorHAnsi" w:hAnsiTheme="minorHAnsi"/>
          <w:bCs/>
          <w:sz w:val="22"/>
          <w:szCs w:val="22"/>
        </w:rPr>
        <w:tab/>
        <w:t xml:space="preserve">El Equipo Ejecutivo está integrado por China, que ejerce la Presidencia del Comité Permanente, el Gabón, que ocupa la Vicepresidencia del Comité Permanente y los Estados Unidos de América, que desempeñan la Presidencia del Subgrupo de Finanzas. </w:t>
      </w:r>
      <w:r w:rsidR="00F349E0">
        <w:rPr>
          <w:rFonts w:asciiTheme="minorHAnsi" w:hAnsiTheme="minorHAnsi"/>
          <w:bCs/>
          <w:sz w:val="22"/>
          <w:szCs w:val="22"/>
        </w:rPr>
        <w:t>Al ocupar la Presidencia del</w:t>
      </w:r>
      <w:r>
        <w:rPr>
          <w:rFonts w:asciiTheme="minorHAnsi" w:hAnsiTheme="minorHAnsi"/>
          <w:bCs/>
          <w:sz w:val="22"/>
          <w:szCs w:val="22"/>
        </w:rPr>
        <w:t xml:space="preserve"> Comité Permanente, </w:t>
      </w:r>
      <w:r w:rsidR="00F349E0">
        <w:rPr>
          <w:rFonts w:asciiTheme="minorHAnsi" w:hAnsiTheme="minorHAnsi"/>
          <w:bCs/>
          <w:sz w:val="22"/>
          <w:szCs w:val="22"/>
        </w:rPr>
        <w:t>China también</w:t>
      </w:r>
      <w:r>
        <w:rPr>
          <w:rFonts w:asciiTheme="minorHAnsi" w:hAnsiTheme="minorHAnsi"/>
          <w:bCs/>
          <w:sz w:val="22"/>
          <w:szCs w:val="22"/>
        </w:rPr>
        <w:t xml:space="preserve"> preside el Equipo Ejecutivo.</w:t>
      </w:r>
    </w:p>
    <w:p w14:paraId="1C9ACB1C" w14:textId="77777777" w:rsidR="00027DBC" w:rsidRDefault="00027DBC" w:rsidP="00017290">
      <w:pPr>
        <w:ind w:left="0" w:firstLine="0"/>
        <w:jc w:val="left"/>
        <w:rPr>
          <w:rFonts w:asciiTheme="minorHAnsi" w:hAnsiTheme="minorHAnsi" w:cstheme="minorHAnsi"/>
          <w:bCs/>
          <w:sz w:val="22"/>
          <w:szCs w:val="22"/>
        </w:rPr>
      </w:pPr>
    </w:p>
    <w:p w14:paraId="796EA3E5" w14:textId="77777777" w:rsidR="00F12376" w:rsidRPr="006058B3" w:rsidRDefault="00F12376" w:rsidP="005F680E">
      <w:pPr>
        <w:ind w:left="426" w:hanging="425"/>
        <w:jc w:val="left"/>
        <w:rPr>
          <w:rFonts w:asciiTheme="minorHAnsi" w:hAnsiTheme="minorHAnsi" w:cstheme="minorHAnsi"/>
          <w:b/>
          <w:bCs/>
          <w:sz w:val="22"/>
          <w:szCs w:val="22"/>
        </w:rPr>
      </w:pPr>
      <w:r>
        <w:rPr>
          <w:rFonts w:asciiTheme="minorHAnsi" w:hAnsiTheme="minorHAnsi"/>
          <w:b/>
          <w:bCs/>
          <w:sz w:val="22"/>
          <w:szCs w:val="22"/>
        </w:rPr>
        <w:t xml:space="preserve">Labor realizada por la Presidencia del Comité Permanente </w:t>
      </w:r>
    </w:p>
    <w:p w14:paraId="24928746" w14:textId="77777777" w:rsidR="00F12376" w:rsidRDefault="00F12376" w:rsidP="00017290">
      <w:pPr>
        <w:ind w:left="0" w:firstLine="0"/>
        <w:jc w:val="left"/>
        <w:rPr>
          <w:rFonts w:asciiTheme="minorHAnsi" w:hAnsiTheme="minorHAnsi" w:cstheme="minorHAnsi"/>
          <w:bCs/>
          <w:sz w:val="22"/>
          <w:szCs w:val="22"/>
        </w:rPr>
      </w:pPr>
    </w:p>
    <w:p w14:paraId="245C3E4E" w14:textId="77777777" w:rsidR="00F12376" w:rsidRDefault="00017290" w:rsidP="00E662CA">
      <w:pPr>
        <w:ind w:left="426" w:hanging="426"/>
        <w:jc w:val="left"/>
        <w:rPr>
          <w:rFonts w:asciiTheme="minorHAnsi" w:hAnsiTheme="minorHAnsi" w:cstheme="minorHAnsi"/>
          <w:bCs/>
          <w:sz w:val="22"/>
          <w:szCs w:val="22"/>
        </w:rPr>
      </w:pPr>
      <w:r>
        <w:rPr>
          <w:rFonts w:asciiTheme="minorHAnsi" w:hAnsiTheme="minorHAnsi"/>
          <w:bCs/>
          <w:sz w:val="22"/>
          <w:szCs w:val="22"/>
        </w:rPr>
        <w:t>4.</w:t>
      </w:r>
      <w:r>
        <w:rPr>
          <w:rFonts w:asciiTheme="minorHAnsi" w:hAnsiTheme="minorHAnsi"/>
          <w:bCs/>
          <w:sz w:val="22"/>
          <w:szCs w:val="22"/>
        </w:rPr>
        <w:tab/>
        <w:t>Tras la SC62, la Presidencia ha celebrado reuniones virtuales periódicas con la Secretaria General de la Convención para examinar la gestión de la Secretaría y la visión y prioridades de la Secretaria General para el trienio, así como la mejor forma en que la Presidencia puede apoyar tanto a la Secretaría como a las Partes Contratantes.</w:t>
      </w:r>
    </w:p>
    <w:p w14:paraId="01CF00D2" w14:textId="77777777" w:rsidR="00F12376" w:rsidRDefault="00F12376" w:rsidP="00E662CA">
      <w:pPr>
        <w:ind w:left="426" w:hanging="426"/>
        <w:jc w:val="left"/>
        <w:rPr>
          <w:rFonts w:asciiTheme="minorHAnsi" w:hAnsiTheme="minorHAnsi" w:cstheme="minorHAnsi"/>
          <w:bCs/>
          <w:sz w:val="22"/>
          <w:szCs w:val="22"/>
        </w:rPr>
      </w:pPr>
    </w:p>
    <w:p w14:paraId="7D5F1A87" w14:textId="2B7D3AC8" w:rsidR="00F12376" w:rsidRPr="005F680E" w:rsidRDefault="00017290" w:rsidP="00017290">
      <w:pPr>
        <w:ind w:left="426" w:hanging="426"/>
        <w:jc w:val="left"/>
        <w:rPr>
          <w:rFonts w:asciiTheme="minorHAnsi" w:hAnsiTheme="minorHAnsi" w:cstheme="minorHAnsi"/>
          <w:bCs/>
          <w:sz w:val="22"/>
          <w:szCs w:val="22"/>
        </w:rPr>
      </w:pPr>
      <w:r>
        <w:rPr>
          <w:rFonts w:asciiTheme="minorHAnsi" w:hAnsiTheme="minorHAnsi"/>
          <w:bCs/>
          <w:sz w:val="22"/>
          <w:szCs w:val="22"/>
        </w:rPr>
        <w:t xml:space="preserve">5. </w:t>
      </w:r>
      <w:r>
        <w:rPr>
          <w:rFonts w:asciiTheme="minorHAnsi" w:hAnsiTheme="minorHAnsi"/>
          <w:bCs/>
          <w:sz w:val="22"/>
          <w:szCs w:val="22"/>
        </w:rPr>
        <w:tab/>
        <w:t xml:space="preserve">Durante el período que abarca el presente informe, la Presidencia ha ofrecido a la Secretaria General orientación continua sobre cuestiones técnicas y administrativas. </w:t>
      </w:r>
    </w:p>
    <w:p w14:paraId="4489AD9F" w14:textId="77777777" w:rsidR="00F12376" w:rsidRPr="005F680E" w:rsidRDefault="00F12376" w:rsidP="00E662CA">
      <w:pPr>
        <w:ind w:left="426" w:hanging="426"/>
        <w:jc w:val="left"/>
        <w:rPr>
          <w:rFonts w:asciiTheme="minorHAnsi" w:hAnsiTheme="minorHAnsi" w:cstheme="minorHAnsi"/>
          <w:bCs/>
          <w:sz w:val="22"/>
          <w:szCs w:val="22"/>
        </w:rPr>
      </w:pPr>
    </w:p>
    <w:p w14:paraId="70D691FD" w14:textId="6CCB1842" w:rsidR="00F12376" w:rsidRDefault="00C17EF6" w:rsidP="00E662CA">
      <w:pPr>
        <w:ind w:left="426" w:hanging="426"/>
        <w:jc w:val="left"/>
        <w:rPr>
          <w:rFonts w:asciiTheme="minorHAnsi" w:hAnsiTheme="minorHAnsi" w:cstheme="minorHAnsi"/>
          <w:bCs/>
          <w:sz w:val="22"/>
          <w:szCs w:val="22"/>
        </w:rPr>
      </w:pPr>
      <w:r>
        <w:rPr>
          <w:rFonts w:asciiTheme="minorHAnsi" w:hAnsiTheme="minorHAnsi"/>
          <w:bCs/>
          <w:sz w:val="22"/>
          <w:szCs w:val="22"/>
        </w:rPr>
        <w:t>6.</w:t>
      </w:r>
      <w:r>
        <w:rPr>
          <w:rFonts w:asciiTheme="minorHAnsi" w:hAnsiTheme="minorHAnsi"/>
          <w:bCs/>
          <w:sz w:val="22"/>
          <w:szCs w:val="22"/>
        </w:rPr>
        <w:tab/>
        <w:t xml:space="preserve">La Presidencia del Comité Permanente realizó la evaluación anual del desempeño de la Secretaria General de conformidad con las normas y los procedimientos de la UICN. La Presidencia realiza llamadas trimestrales de revisión con la Secretaría General para mantenerse informada de las cuestiones administrativas y de gestión. </w:t>
      </w:r>
    </w:p>
    <w:p w14:paraId="41C98B3F" w14:textId="77777777" w:rsidR="00F12376" w:rsidRDefault="00F12376" w:rsidP="00E662CA">
      <w:pPr>
        <w:ind w:left="426" w:hanging="425"/>
        <w:jc w:val="left"/>
        <w:rPr>
          <w:rFonts w:asciiTheme="minorHAnsi" w:hAnsiTheme="minorHAnsi" w:cstheme="minorHAnsi"/>
          <w:b/>
          <w:sz w:val="22"/>
          <w:szCs w:val="22"/>
        </w:rPr>
      </w:pPr>
    </w:p>
    <w:p w14:paraId="6BEFBC29" w14:textId="77777777" w:rsidR="00AA2EDD" w:rsidRPr="006058B3" w:rsidRDefault="00090B48" w:rsidP="00545C1A">
      <w:pPr>
        <w:keepNext/>
        <w:ind w:left="0" w:firstLine="0"/>
        <w:jc w:val="left"/>
        <w:rPr>
          <w:rFonts w:asciiTheme="minorHAnsi" w:hAnsiTheme="minorHAnsi" w:cstheme="minorHAnsi"/>
          <w:b/>
          <w:sz w:val="22"/>
          <w:szCs w:val="22"/>
        </w:rPr>
      </w:pPr>
      <w:r>
        <w:rPr>
          <w:rFonts w:asciiTheme="minorHAnsi" w:hAnsiTheme="minorHAnsi"/>
          <w:b/>
          <w:sz w:val="22"/>
          <w:szCs w:val="22"/>
        </w:rPr>
        <w:lastRenderedPageBreak/>
        <w:t>Labor realizada por el Equipo Ejecutivo</w:t>
      </w:r>
    </w:p>
    <w:p w14:paraId="67126DA6" w14:textId="77777777" w:rsidR="00AA2EDD" w:rsidRPr="005F680E" w:rsidRDefault="00AA2EDD" w:rsidP="00545C1A">
      <w:pPr>
        <w:keepNext/>
        <w:ind w:left="1" w:firstLine="0"/>
        <w:jc w:val="left"/>
        <w:rPr>
          <w:rFonts w:asciiTheme="minorHAnsi" w:hAnsiTheme="minorHAnsi" w:cstheme="minorHAnsi"/>
          <w:bCs/>
          <w:sz w:val="22"/>
          <w:szCs w:val="22"/>
        </w:rPr>
      </w:pPr>
    </w:p>
    <w:p w14:paraId="6ED1A766" w14:textId="6BDBEBB0" w:rsidR="00F1025C" w:rsidRDefault="00586ED4" w:rsidP="00545C1A">
      <w:pPr>
        <w:keepNext/>
        <w:ind w:left="426" w:hanging="426"/>
        <w:jc w:val="left"/>
        <w:rPr>
          <w:rFonts w:asciiTheme="minorHAnsi" w:hAnsiTheme="minorHAnsi" w:cstheme="minorHAnsi"/>
          <w:bCs/>
          <w:sz w:val="22"/>
          <w:szCs w:val="22"/>
        </w:rPr>
      </w:pPr>
      <w:r>
        <w:rPr>
          <w:rFonts w:asciiTheme="minorHAnsi" w:hAnsiTheme="minorHAnsi"/>
          <w:bCs/>
          <w:sz w:val="22"/>
          <w:szCs w:val="22"/>
        </w:rPr>
        <w:t>7.</w:t>
      </w:r>
      <w:r>
        <w:rPr>
          <w:rFonts w:asciiTheme="minorHAnsi" w:hAnsiTheme="minorHAnsi"/>
          <w:bCs/>
          <w:sz w:val="22"/>
          <w:szCs w:val="22"/>
        </w:rPr>
        <w:tab/>
        <w:t xml:space="preserve">Se celebró una reunión en línea del Equipo Ejecutivo el 22 de noviembre de 2023 en la que la Secretaría informó al Equipo Ejecutivo sobre los preparativos de la SC63, el estado de los preparativos para la 15ª reunión de la Conferencia de las Partes Contratantes (COP15) y la culminación del acuerdo con el país anfitrión de la COP15, los planes relacionados con el Día Mundial de los Humedales 2024 y el proceso propuesto para la preparación, presentación y examen de los proyectos de resoluciones para la COP15. </w:t>
      </w:r>
    </w:p>
    <w:p w14:paraId="7C0FF9A6" w14:textId="77777777" w:rsidR="008222C9" w:rsidRDefault="008222C9" w:rsidP="00E662CA">
      <w:pPr>
        <w:ind w:left="426" w:hanging="426"/>
        <w:jc w:val="left"/>
        <w:rPr>
          <w:rFonts w:asciiTheme="minorHAnsi" w:hAnsiTheme="minorHAnsi" w:cstheme="minorHAnsi"/>
          <w:bCs/>
          <w:sz w:val="22"/>
          <w:szCs w:val="22"/>
        </w:rPr>
      </w:pPr>
    </w:p>
    <w:p w14:paraId="0BE9506A" w14:textId="2E3882F4" w:rsidR="00C63E7B" w:rsidRDefault="00586ED4" w:rsidP="004A15AF">
      <w:pPr>
        <w:ind w:left="426" w:hanging="426"/>
        <w:jc w:val="left"/>
        <w:rPr>
          <w:rFonts w:asciiTheme="minorHAnsi" w:hAnsiTheme="minorHAnsi" w:cstheme="minorHAnsi"/>
          <w:bCs/>
          <w:sz w:val="22"/>
          <w:szCs w:val="22"/>
        </w:rPr>
      </w:pPr>
      <w:r>
        <w:rPr>
          <w:rFonts w:asciiTheme="minorHAnsi" w:hAnsiTheme="minorHAnsi"/>
          <w:bCs/>
          <w:sz w:val="22"/>
          <w:szCs w:val="22"/>
        </w:rPr>
        <w:t xml:space="preserve">8. </w:t>
      </w:r>
      <w:r>
        <w:rPr>
          <w:rFonts w:asciiTheme="minorHAnsi" w:hAnsiTheme="minorHAnsi"/>
          <w:bCs/>
          <w:sz w:val="22"/>
          <w:szCs w:val="22"/>
        </w:rPr>
        <w:tab/>
        <w:t xml:space="preserve">En esta reunión, el Equipo Ejecutivo acordó convocar una reunión del Grupo de Trabajo Administrativo para el 15 de enero de 2024 a fin de brindar información actualizada a dicho grupo sobre las actividades y los progresos realizados en el marco del Programa sobre comunicación, fomento de capacidad, educación, concienciación y participación (CECoP), el Grupo de Examen Científico y Técnico (GECT), los preparativos de la COP15 y la finalización del documento de orientación para la contratación de un nuevo Secretario o Secretaria General. </w:t>
      </w:r>
    </w:p>
    <w:p w14:paraId="32CB1BA6" w14:textId="34F0755D" w:rsidR="00BA61F0" w:rsidRDefault="00BA61F0" w:rsidP="004A15AF">
      <w:pPr>
        <w:ind w:left="426" w:hanging="426"/>
        <w:jc w:val="left"/>
        <w:rPr>
          <w:rFonts w:asciiTheme="minorHAnsi" w:hAnsiTheme="minorHAnsi" w:cstheme="minorHAnsi"/>
          <w:bCs/>
          <w:sz w:val="22"/>
          <w:szCs w:val="22"/>
        </w:rPr>
      </w:pPr>
    </w:p>
    <w:p w14:paraId="07D34442" w14:textId="49048ADB" w:rsidR="00BA61F0" w:rsidRPr="00C549D6" w:rsidRDefault="00586ED4" w:rsidP="004A15AF">
      <w:pPr>
        <w:ind w:left="426" w:hanging="426"/>
        <w:jc w:val="left"/>
        <w:rPr>
          <w:rFonts w:asciiTheme="minorHAnsi" w:hAnsiTheme="minorHAnsi" w:cstheme="minorHAnsi"/>
          <w:bCs/>
          <w:sz w:val="22"/>
          <w:szCs w:val="22"/>
        </w:rPr>
      </w:pPr>
      <w:r>
        <w:rPr>
          <w:rFonts w:asciiTheme="minorHAnsi" w:hAnsiTheme="minorHAnsi"/>
          <w:bCs/>
          <w:sz w:val="22"/>
          <w:szCs w:val="22"/>
        </w:rPr>
        <w:t xml:space="preserve">9. </w:t>
      </w:r>
      <w:r>
        <w:rPr>
          <w:rFonts w:asciiTheme="minorHAnsi" w:hAnsiTheme="minorHAnsi"/>
          <w:bCs/>
          <w:sz w:val="22"/>
          <w:szCs w:val="22"/>
        </w:rPr>
        <w:tab/>
        <w:t xml:space="preserve">En respuesta a la solicitud de la Secretaría, el Equipo Ejecutivo ha estado disponible durante el período que abarca este informe para ofrecer orientación continua sobre cuestiones administrativas y de gobernanza. </w:t>
      </w:r>
    </w:p>
    <w:sectPr w:rsidR="00BA61F0" w:rsidRPr="00C549D6" w:rsidSect="006058B3">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18809" w14:textId="77777777" w:rsidR="00A5503B" w:rsidRDefault="00A5503B" w:rsidP="006058B3">
      <w:r>
        <w:separator/>
      </w:r>
    </w:p>
  </w:endnote>
  <w:endnote w:type="continuationSeparator" w:id="0">
    <w:p w14:paraId="74CC841A" w14:textId="77777777" w:rsidR="00A5503B" w:rsidRDefault="00A5503B" w:rsidP="0060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6693F" w14:textId="77777777" w:rsidR="006058B3" w:rsidRPr="006058B3" w:rsidRDefault="00AE6055">
    <w:pPr>
      <w:pStyle w:val="Footer"/>
      <w:rPr>
        <w:rFonts w:asciiTheme="minorHAnsi" w:hAnsiTheme="minorHAnsi" w:cstheme="minorHAnsi"/>
        <w:sz w:val="20"/>
        <w:szCs w:val="20"/>
      </w:rPr>
    </w:pPr>
    <w:r>
      <w:rPr>
        <w:rFonts w:asciiTheme="minorHAnsi" w:hAnsiTheme="minorHAnsi"/>
        <w:sz w:val="20"/>
        <w:szCs w:val="20"/>
      </w:rPr>
      <w:t>SC63 Doc.5</w:t>
    </w:r>
    <w:r>
      <w:rPr>
        <w:rFonts w:asciiTheme="minorHAnsi" w:hAnsiTheme="minorHAnsi"/>
        <w:sz w:val="20"/>
        <w:szCs w:val="20"/>
      </w:rPr>
      <w:tab/>
    </w:r>
    <w:r>
      <w:rPr>
        <w:rFonts w:asciiTheme="minorHAnsi" w:hAnsiTheme="minorHAnsi"/>
        <w:sz w:val="20"/>
        <w:szCs w:val="20"/>
      </w:rPr>
      <w:tab/>
    </w:r>
    <w:r w:rsidR="006058B3" w:rsidRPr="00967BF4">
      <w:rPr>
        <w:rFonts w:asciiTheme="minorHAnsi" w:hAnsiTheme="minorHAnsi" w:cstheme="minorHAnsi"/>
        <w:sz w:val="20"/>
        <w:szCs w:val="20"/>
      </w:rPr>
      <w:fldChar w:fldCharType="begin"/>
    </w:r>
    <w:r w:rsidR="006058B3" w:rsidRPr="00967BF4">
      <w:rPr>
        <w:rFonts w:asciiTheme="minorHAnsi" w:hAnsiTheme="minorHAnsi" w:cstheme="minorHAnsi"/>
        <w:sz w:val="20"/>
        <w:szCs w:val="20"/>
      </w:rPr>
      <w:instrText xml:space="preserve"> PAGE   \* MERGEFORMAT </w:instrText>
    </w:r>
    <w:r w:rsidR="006058B3" w:rsidRPr="00967BF4">
      <w:rPr>
        <w:rFonts w:asciiTheme="minorHAnsi" w:hAnsiTheme="minorHAnsi" w:cstheme="minorHAnsi"/>
        <w:sz w:val="20"/>
        <w:szCs w:val="20"/>
      </w:rPr>
      <w:fldChar w:fldCharType="separate"/>
    </w:r>
    <w:r w:rsidR="00790DB1">
      <w:rPr>
        <w:rFonts w:asciiTheme="minorHAnsi" w:hAnsiTheme="minorHAnsi" w:cstheme="minorHAnsi"/>
        <w:sz w:val="20"/>
        <w:szCs w:val="20"/>
      </w:rPr>
      <w:t>2</w:t>
    </w:r>
    <w:r w:rsidR="006058B3" w:rsidRPr="00967BF4">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0933D" w14:textId="77777777" w:rsidR="00A5503B" w:rsidRDefault="00A5503B" w:rsidP="006058B3">
      <w:r>
        <w:separator/>
      </w:r>
    </w:p>
  </w:footnote>
  <w:footnote w:type="continuationSeparator" w:id="0">
    <w:p w14:paraId="1D0D8705" w14:textId="77777777" w:rsidR="00A5503B" w:rsidRDefault="00A5503B" w:rsidP="00605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84C"/>
    <w:multiLevelType w:val="hybridMultilevel"/>
    <w:tmpl w:val="84A2A9D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AF27CF"/>
    <w:multiLevelType w:val="hybridMultilevel"/>
    <w:tmpl w:val="8D7E98CA"/>
    <w:lvl w:ilvl="0" w:tplc="C24A018A">
      <w:start w:val="1"/>
      <w:numFmt w:val="decimal"/>
      <w:lvlText w:val="%1."/>
      <w:lvlJc w:val="left"/>
      <w:pPr>
        <w:ind w:left="785" w:hanging="360"/>
      </w:pPr>
      <w:rPr>
        <w:rFonts w:asciiTheme="minorHAnsi" w:hAnsiTheme="minorHAnsi" w:hint="default"/>
        <w:sz w:val="2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1B107B6C"/>
    <w:multiLevelType w:val="hybridMultilevel"/>
    <w:tmpl w:val="E39A07C4"/>
    <w:lvl w:ilvl="0" w:tplc="580AD49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3BAC"/>
    <w:multiLevelType w:val="hybridMultilevel"/>
    <w:tmpl w:val="E1168806"/>
    <w:lvl w:ilvl="0" w:tplc="2BD4E446">
      <w:start w:val="1"/>
      <w:numFmt w:val="decimal"/>
      <w:lvlText w:val="%1."/>
      <w:lvlJc w:val="left"/>
      <w:pPr>
        <w:ind w:left="433" w:hanging="432"/>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4" w15:restartNumberingAfterBreak="0">
    <w:nsid w:val="40355FB3"/>
    <w:multiLevelType w:val="multilevel"/>
    <w:tmpl w:val="1DFA58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15:restartNumberingAfterBreak="0">
    <w:nsid w:val="57786ADB"/>
    <w:multiLevelType w:val="hybridMultilevel"/>
    <w:tmpl w:val="2E9EE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9951639"/>
    <w:multiLevelType w:val="hybridMultilevel"/>
    <w:tmpl w:val="78FE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775B16"/>
    <w:multiLevelType w:val="hybridMultilevel"/>
    <w:tmpl w:val="D93C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0"/>
  </w:num>
  <w:num w:numId="5">
    <w:abstractNumId w:val="6"/>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TrackFormatting/>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FD"/>
    <w:rsid w:val="000054C2"/>
    <w:rsid w:val="00017290"/>
    <w:rsid w:val="000206E7"/>
    <w:rsid w:val="00022A0A"/>
    <w:rsid w:val="000250FF"/>
    <w:rsid w:val="000267EF"/>
    <w:rsid w:val="00027DBC"/>
    <w:rsid w:val="00046B52"/>
    <w:rsid w:val="00065171"/>
    <w:rsid w:val="00065B8F"/>
    <w:rsid w:val="00076CE7"/>
    <w:rsid w:val="00085EE7"/>
    <w:rsid w:val="00090B48"/>
    <w:rsid w:val="00091474"/>
    <w:rsid w:val="000C7A56"/>
    <w:rsid w:val="000E637A"/>
    <w:rsid w:val="00131FA2"/>
    <w:rsid w:val="00144492"/>
    <w:rsid w:val="001529FF"/>
    <w:rsid w:val="0015336C"/>
    <w:rsid w:val="00155904"/>
    <w:rsid w:val="0017220E"/>
    <w:rsid w:val="001B6F33"/>
    <w:rsid w:val="001C341F"/>
    <w:rsid w:val="001C4D6A"/>
    <w:rsid w:val="001D2AF2"/>
    <w:rsid w:val="0022547B"/>
    <w:rsid w:val="0022737C"/>
    <w:rsid w:val="002314AC"/>
    <w:rsid w:val="00250282"/>
    <w:rsid w:val="0025233F"/>
    <w:rsid w:val="002847D3"/>
    <w:rsid w:val="00295E57"/>
    <w:rsid w:val="002A28D6"/>
    <w:rsid w:val="002A7D66"/>
    <w:rsid w:val="002F0097"/>
    <w:rsid w:val="002F22EE"/>
    <w:rsid w:val="002F4875"/>
    <w:rsid w:val="00303D77"/>
    <w:rsid w:val="00305218"/>
    <w:rsid w:val="00307B7E"/>
    <w:rsid w:val="003149A3"/>
    <w:rsid w:val="00317FDC"/>
    <w:rsid w:val="003501A9"/>
    <w:rsid w:val="00354D36"/>
    <w:rsid w:val="003F53DD"/>
    <w:rsid w:val="00443985"/>
    <w:rsid w:val="00470DB8"/>
    <w:rsid w:val="00491BEE"/>
    <w:rsid w:val="004A15AF"/>
    <w:rsid w:val="004C38CF"/>
    <w:rsid w:val="004E0DB3"/>
    <w:rsid w:val="004F7BE5"/>
    <w:rsid w:val="005078BB"/>
    <w:rsid w:val="0051038A"/>
    <w:rsid w:val="00535F9D"/>
    <w:rsid w:val="00545C1A"/>
    <w:rsid w:val="005535F2"/>
    <w:rsid w:val="005653D8"/>
    <w:rsid w:val="005855E2"/>
    <w:rsid w:val="00586ED4"/>
    <w:rsid w:val="00594ED0"/>
    <w:rsid w:val="005C7B28"/>
    <w:rsid w:val="005D106B"/>
    <w:rsid w:val="005D7783"/>
    <w:rsid w:val="005F0C8D"/>
    <w:rsid w:val="005F680E"/>
    <w:rsid w:val="006058B3"/>
    <w:rsid w:val="00610E89"/>
    <w:rsid w:val="006320E6"/>
    <w:rsid w:val="00634417"/>
    <w:rsid w:val="00644C1D"/>
    <w:rsid w:val="00686267"/>
    <w:rsid w:val="006978F0"/>
    <w:rsid w:val="006A7C44"/>
    <w:rsid w:val="006B72AF"/>
    <w:rsid w:val="006D3C88"/>
    <w:rsid w:val="006D5444"/>
    <w:rsid w:val="006E03EA"/>
    <w:rsid w:val="006E3B93"/>
    <w:rsid w:val="006F0B29"/>
    <w:rsid w:val="006F30DC"/>
    <w:rsid w:val="006F3186"/>
    <w:rsid w:val="006F48CA"/>
    <w:rsid w:val="00707224"/>
    <w:rsid w:val="00750225"/>
    <w:rsid w:val="007557D5"/>
    <w:rsid w:val="0075712F"/>
    <w:rsid w:val="00773024"/>
    <w:rsid w:val="00780AFD"/>
    <w:rsid w:val="00790DB1"/>
    <w:rsid w:val="007916AF"/>
    <w:rsid w:val="00795C6E"/>
    <w:rsid w:val="007F7F60"/>
    <w:rsid w:val="00801042"/>
    <w:rsid w:val="008222C9"/>
    <w:rsid w:val="00853A4C"/>
    <w:rsid w:val="00857CD6"/>
    <w:rsid w:val="008627FE"/>
    <w:rsid w:val="00872E31"/>
    <w:rsid w:val="00873BE1"/>
    <w:rsid w:val="0089103F"/>
    <w:rsid w:val="008952D7"/>
    <w:rsid w:val="008A1B89"/>
    <w:rsid w:val="008B3068"/>
    <w:rsid w:val="008C1D57"/>
    <w:rsid w:val="008C2764"/>
    <w:rsid w:val="008D0D24"/>
    <w:rsid w:val="008D1611"/>
    <w:rsid w:val="008F2E14"/>
    <w:rsid w:val="008F72BF"/>
    <w:rsid w:val="0090644D"/>
    <w:rsid w:val="00910559"/>
    <w:rsid w:val="00921C07"/>
    <w:rsid w:val="00936153"/>
    <w:rsid w:val="00956B48"/>
    <w:rsid w:val="009603AF"/>
    <w:rsid w:val="00960912"/>
    <w:rsid w:val="00967BF4"/>
    <w:rsid w:val="00973990"/>
    <w:rsid w:val="0097657A"/>
    <w:rsid w:val="009978A7"/>
    <w:rsid w:val="009A4362"/>
    <w:rsid w:val="009B769F"/>
    <w:rsid w:val="009C24AD"/>
    <w:rsid w:val="009C4474"/>
    <w:rsid w:val="009C6711"/>
    <w:rsid w:val="009D3818"/>
    <w:rsid w:val="009D3A3C"/>
    <w:rsid w:val="009E5358"/>
    <w:rsid w:val="00A32562"/>
    <w:rsid w:val="00A52A09"/>
    <w:rsid w:val="00A5503B"/>
    <w:rsid w:val="00A61167"/>
    <w:rsid w:val="00A95654"/>
    <w:rsid w:val="00AA2EDD"/>
    <w:rsid w:val="00AC138B"/>
    <w:rsid w:val="00AC56C4"/>
    <w:rsid w:val="00AE6055"/>
    <w:rsid w:val="00AE7B3F"/>
    <w:rsid w:val="00AF25A0"/>
    <w:rsid w:val="00B02590"/>
    <w:rsid w:val="00B0440F"/>
    <w:rsid w:val="00B73411"/>
    <w:rsid w:val="00B953EA"/>
    <w:rsid w:val="00B9629C"/>
    <w:rsid w:val="00BA61F0"/>
    <w:rsid w:val="00BB2E67"/>
    <w:rsid w:val="00BC5325"/>
    <w:rsid w:val="00BF6792"/>
    <w:rsid w:val="00C17EF6"/>
    <w:rsid w:val="00C32315"/>
    <w:rsid w:val="00C36260"/>
    <w:rsid w:val="00C42E53"/>
    <w:rsid w:val="00C549D6"/>
    <w:rsid w:val="00C63E7B"/>
    <w:rsid w:val="00C648EB"/>
    <w:rsid w:val="00C87C2D"/>
    <w:rsid w:val="00CA5CD6"/>
    <w:rsid w:val="00CB2EBD"/>
    <w:rsid w:val="00CB40BA"/>
    <w:rsid w:val="00CE11A9"/>
    <w:rsid w:val="00D04785"/>
    <w:rsid w:val="00D37C9C"/>
    <w:rsid w:val="00D47D43"/>
    <w:rsid w:val="00D50230"/>
    <w:rsid w:val="00D631CE"/>
    <w:rsid w:val="00D86C8F"/>
    <w:rsid w:val="00D96CBB"/>
    <w:rsid w:val="00DD473F"/>
    <w:rsid w:val="00DF3152"/>
    <w:rsid w:val="00E06E63"/>
    <w:rsid w:val="00E16C20"/>
    <w:rsid w:val="00E414F9"/>
    <w:rsid w:val="00E662CA"/>
    <w:rsid w:val="00E70C14"/>
    <w:rsid w:val="00E74FFF"/>
    <w:rsid w:val="00E9062A"/>
    <w:rsid w:val="00E95E62"/>
    <w:rsid w:val="00EB6CF2"/>
    <w:rsid w:val="00EF4CF6"/>
    <w:rsid w:val="00F00776"/>
    <w:rsid w:val="00F1025C"/>
    <w:rsid w:val="00F12376"/>
    <w:rsid w:val="00F16DB7"/>
    <w:rsid w:val="00F1700C"/>
    <w:rsid w:val="00F349E0"/>
    <w:rsid w:val="00F42070"/>
    <w:rsid w:val="00F72490"/>
    <w:rsid w:val="00FD721C"/>
    <w:rsid w:val="00FF5278"/>
    <w:rsid w:val="00FF6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94B646"/>
  <w15:chartTrackingRefBased/>
  <w15:docId w15:val="{465E57F8-2E7A-4441-A14F-7C36034E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B8F"/>
    <w:pPr>
      <w:spacing w:after="0" w:line="240" w:lineRule="auto"/>
      <w:ind w:left="357" w:hanging="357"/>
      <w:jc w:val="both"/>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5B8F"/>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character" w:customStyle="1" w:styleId="EnlacedeInternet">
    <w:name w:val="Enlace de Internet"/>
    <w:basedOn w:val="DefaultParagraphFont"/>
    <w:rsid w:val="001C4D6A"/>
    <w:rPr>
      <w:color w:val="0000FF"/>
      <w:u w:val="single"/>
    </w:rPr>
  </w:style>
  <w:style w:type="paragraph" w:styleId="ListParagraph">
    <w:name w:val="List Paragraph"/>
    <w:aliases w:val="Rec para"/>
    <w:basedOn w:val="Normal"/>
    <w:link w:val="ListParagraphChar"/>
    <w:uiPriority w:val="34"/>
    <w:qFormat/>
    <w:rsid w:val="00634417"/>
    <w:pPr>
      <w:spacing w:after="160" w:line="259" w:lineRule="auto"/>
      <w:ind w:left="720" w:firstLine="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Rec para Char"/>
    <w:link w:val="ListParagraph"/>
    <w:uiPriority w:val="34"/>
    <w:locked/>
    <w:rsid w:val="00634417"/>
  </w:style>
  <w:style w:type="character" w:styleId="CommentReference">
    <w:name w:val="annotation reference"/>
    <w:basedOn w:val="DefaultParagraphFont"/>
    <w:semiHidden/>
    <w:unhideWhenUsed/>
    <w:rsid w:val="00AE7B3F"/>
    <w:rPr>
      <w:sz w:val="16"/>
      <w:szCs w:val="16"/>
    </w:rPr>
  </w:style>
  <w:style w:type="paragraph" w:styleId="CommentText">
    <w:name w:val="annotation text"/>
    <w:basedOn w:val="Normal"/>
    <w:link w:val="CommentTextChar"/>
    <w:unhideWhenUsed/>
    <w:rsid w:val="00AE7B3F"/>
    <w:rPr>
      <w:sz w:val="20"/>
      <w:szCs w:val="20"/>
    </w:rPr>
  </w:style>
  <w:style w:type="character" w:customStyle="1" w:styleId="CommentTextChar">
    <w:name w:val="Comment Text Char"/>
    <w:basedOn w:val="DefaultParagraphFont"/>
    <w:link w:val="CommentText"/>
    <w:rsid w:val="00AE7B3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E7B3F"/>
    <w:rPr>
      <w:b/>
      <w:bCs/>
    </w:rPr>
  </w:style>
  <w:style w:type="character" w:customStyle="1" w:styleId="CommentSubjectChar">
    <w:name w:val="Comment Subject Char"/>
    <w:basedOn w:val="CommentTextChar"/>
    <w:link w:val="CommentSubject"/>
    <w:uiPriority w:val="99"/>
    <w:semiHidden/>
    <w:rsid w:val="00AE7B3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E7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B3F"/>
    <w:rPr>
      <w:rFonts w:ascii="Segoe UI" w:eastAsia="Times New Roman" w:hAnsi="Segoe UI" w:cs="Segoe UI"/>
      <w:sz w:val="18"/>
      <w:szCs w:val="18"/>
      <w:lang w:eastAsia="en-GB"/>
    </w:rPr>
  </w:style>
  <w:style w:type="paragraph" w:styleId="BodyText">
    <w:name w:val="Body Text"/>
    <w:basedOn w:val="Normal"/>
    <w:link w:val="BodyTextChar"/>
    <w:uiPriority w:val="1"/>
    <w:qFormat/>
    <w:rsid w:val="00960912"/>
    <w:pPr>
      <w:widowControl w:val="0"/>
      <w:autoSpaceDE w:val="0"/>
      <w:autoSpaceDN w:val="0"/>
      <w:ind w:left="0" w:firstLine="0"/>
      <w:jc w:val="left"/>
    </w:pPr>
    <w:rPr>
      <w:rFonts w:ascii="Calibri" w:eastAsia="Calibri" w:hAnsi="Calibri" w:cs="Calibri"/>
      <w:lang w:eastAsia="en-US"/>
    </w:rPr>
  </w:style>
  <w:style w:type="character" w:customStyle="1" w:styleId="BodyTextChar">
    <w:name w:val="Body Text Char"/>
    <w:basedOn w:val="DefaultParagraphFont"/>
    <w:link w:val="BodyText"/>
    <w:uiPriority w:val="1"/>
    <w:rsid w:val="00960912"/>
    <w:rPr>
      <w:rFonts w:ascii="Calibri" w:eastAsia="Calibri" w:hAnsi="Calibri" w:cs="Calibri"/>
      <w:sz w:val="24"/>
      <w:szCs w:val="24"/>
      <w:lang w:val="es-ES"/>
    </w:rPr>
  </w:style>
  <w:style w:type="paragraph" w:customStyle="1" w:styleId="ColorfulList-Accent11">
    <w:name w:val="Colorful List - Accent 11"/>
    <w:basedOn w:val="Normal"/>
    <w:uiPriority w:val="34"/>
    <w:qFormat/>
    <w:rsid w:val="007F7F60"/>
    <w:pPr>
      <w:ind w:left="720" w:hanging="425"/>
      <w:contextualSpacing/>
      <w:jc w:val="left"/>
    </w:pPr>
    <w:rPr>
      <w:rFonts w:ascii="Calibri" w:eastAsia="Calibri" w:hAnsi="Calibri"/>
      <w:sz w:val="22"/>
      <w:szCs w:val="22"/>
      <w:lang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semiHidden/>
    <w:unhideWhenUsed/>
    <w:rsid w:val="006058B3"/>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semiHidden/>
    <w:rsid w:val="006058B3"/>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uiPriority w:val="99"/>
    <w:semiHidden/>
    <w:unhideWhenUsed/>
    <w:rsid w:val="006058B3"/>
    <w:rPr>
      <w:vertAlign w:val="superscript"/>
    </w:rPr>
  </w:style>
  <w:style w:type="character" w:styleId="Hyperlink">
    <w:name w:val="Hyperlink"/>
    <w:basedOn w:val="DefaultParagraphFont"/>
    <w:uiPriority w:val="99"/>
    <w:unhideWhenUsed/>
    <w:rsid w:val="006058B3"/>
    <w:rPr>
      <w:color w:val="0000FF"/>
      <w:u w:val="single"/>
    </w:rPr>
  </w:style>
  <w:style w:type="paragraph" w:styleId="Header">
    <w:name w:val="header"/>
    <w:basedOn w:val="Normal"/>
    <w:link w:val="HeaderChar"/>
    <w:uiPriority w:val="99"/>
    <w:unhideWhenUsed/>
    <w:rsid w:val="006058B3"/>
    <w:pPr>
      <w:tabs>
        <w:tab w:val="center" w:pos="4513"/>
        <w:tab w:val="right" w:pos="9026"/>
      </w:tabs>
    </w:pPr>
  </w:style>
  <w:style w:type="character" w:customStyle="1" w:styleId="HeaderChar">
    <w:name w:val="Header Char"/>
    <w:basedOn w:val="DefaultParagraphFont"/>
    <w:link w:val="Header"/>
    <w:uiPriority w:val="99"/>
    <w:rsid w:val="006058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058B3"/>
    <w:pPr>
      <w:tabs>
        <w:tab w:val="center" w:pos="4513"/>
        <w:tab w:val="right" w:pos="9026"/>
      </w:tabs>
    </w:pPr>
  </w:style>
  <w:style w:type="character" w:customStyle="1" w:styleId="FooterChar">
    <w:name w:val="Footer Char"/>
    <w:basedOn w:val="DefaultParagraphFont"/>
    <w:link w:val="Footer"/>
    <w:uiPriority w:val="99"/>
    <w:rsid w:val="006058B3"/>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67BF4"/>
    <w:rPr>
      <w:color w:val="954F72" w:themeColor="followedHyperlink"/>
      <w:u w:val="single"/>
    </w:rPr>
  </w:style>
  <w:style w:type="character" w:customStyle="1" w:styleId="UnresolvedMention1">
    <w:name w:val="Unresolved Mention1"/>
    <w:basedOn w:val="DefaultParagraphFont"/>
    <w:uiPriority w:val="99"/>
    <w:semiHidden/>
    <w:unhideWhenUsed/>
    <w:rsid w:val="00C42E53"/>
    <w:rPr>
      <w:color w:val="605E5C"/>
      <w:shd w:val="clear" w:color="auto" w:fill="E1DFDD"/>
    </w:rPr>
  </w:style>
  <w:style w:type="paragraph" w:customStyle="1" w:styleId="Standard">
    <w:name w:val="Standard"/>
    <w:rsid w:val="00F1025C"/>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NoSpacing">
    <w:name w:val="No Spacing"/>
    <w:uiPriority w:val="1"/>
    <w:qFormat/>
    <w:rsid w:val="00A95654"/>
    <w:pPr>
      <w:spacing w:after="0" w:line="240" w:lineRule="auto"/>
      <w:ind w:left="357" w:hanging="357"/>
      <w:jc w:val="both"/>
    </w:pPr>
    <w:rPr>
      <w:rFonts w:ascii="Times New Roman" w:eastAsia="Times New Roman" w:hAnsi="Times New Roman" w:cs="Times New Roman"/>
      <w:sz w:val="24"/>
      <w:szCs w:val="24"/>
      <w:lang w:eastAsia="en-GB"/>
    </w:rPr>
  </w:style>
  <w:style w:type="paragraph" w:styleId="Revision">
    <w:name w:val="Revision"/>
    <w:hidden/>
    <w:uiPriority w:val="99"/>
    <w:semiHidden/>
    <w:rsid w:val="00D86C8F"/>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14327">
      <w:bodyDiv w:val="1"/>
      <w:marLeft w:val="0"/>
      <w:marRight w:val="0"/>
      <w:marTop w:val="0"/>
      <w:marBottom w:val="0"/>
      <w:divBdr>
        <w:top w:val="none" w:sz="0" w:space="0" w:color="auto"/>
        <w:left w:val="none" w:sz="0" w:space="0" w:color="auto"/>
        <w:bottom w:val="none" w:sz="0" w:space="0" w:color="auto"/>
        <w:right w:val="none" w:sz="0" w:space="0" w:color="auto"/>
      </w:divBdr>
    </w:div>
    <w:div w:id="362901283">
      <w:bodyDiv w:val="1"/>
      <w:marLeft w:val="0"/>
      <w:marRight w:val="0"/>
      <w:marTop w:val="0"/>
      <w:marBottom w:val="0"/>
      <w:divBdr>
        <w:top w:val="none" w:sz="0" w:space="0" w:color="auto"/>
        <w:left w:val="none" w:sz="0" w:space="0" w:color="auto"/>
        <w:bottom w:val="none" w:sz="0" w:space="0" w:color="auto"/>
        <w:right w:val="none" w:sz="0" w:space="0" w:color="auto"/>
      </w:divBdr>
    </w:div>
    <w:div w:id="405491118">
      <w:bodyDiv w:val="1"/>
      <w:marLeft w:val="0"/>
      <w:marRight w:val="0"/>
      <w:marTop w:val="0"/>
      <w:marBottom w:val="0"/>
      <w:divBdr>
        <w:top w:val="none" w:sz="0" w:space="0" w:color="auto"/>
        <w:left w:val="none" w:sz="0" w:space="0" w:color="auto"/>
        <w:bottom w:val="none" w:sz="0" w:space="0" w:color="auto"/>
        <w:right w:val="none" w:sz="0" w:space="0" w:color="auto"/>
      </w:divBdr>
    </w:div>
    <w:div w:id="410977514">
      <w:bodyDiv w:val="1"/>
      <w:marLeft w:val="0"/>
      <w:marRight w:val="0"/>
      <w:marTop w:val="0"/>
      <w:marBottom w:val="0"/>
      <w:divBdr>
        <w:top w:val="none" w:sz="0" w:space="0" w:color="auto"/>
        <w:left w:val="none" w:sz="0" w:space="0" w:color="auto"/>
        <w:bottom w:val="none" w:sz="0" w:space="0" w:color="auto"/>
        <w:right w:val="none" w:sz="0" w:space="0" w:color="auto"/>
      </w:divBdr>
    </w:div>
    <w:div w:id="792289769">
      <w:bodyDiv w:val="1"/>
      <w:marLeft w:val="0"/>
      <w:marRight w:val="0"/>
      <w:marTop w:val="0"/>
      <w:marBottom w:val="0"/>
      <w:divBdr>
        <w:top w:val="none" w:sz="0" w:space="0" w:color="auto"/>
        <w:left w:val="none" w:sz="0" w:space="0" w:color="auto"/>
        <w:bottom w:val="none" w:sz="0" w:space="0" w:color="auto"/>
        <w:right w:val="none" w:sz="0" w:space="0" w:color="auto"/>
      </w:divBdr>
    </w:div>
    <w:div w:id="960766400">
      <w:bodyDiv w:val="1"/>
      <w:marLeft w:val="0"/>
      <w:marRight w:val="0"/>
      <w:marTop w:val="0"/>
      <w:marBottom w:val="0"/>
      <w:divBdr>
        <w:top w:val="none" w:sz="0" w:space="0" w:color="auto"/>
        <w:left w:val="none" w:sz="0" w:space="0" w:color="auto"/>
        <w:bottom w:val="none" w:sz="0" w:space="0" w:color="auto"/>
        <w:right w:val="none" w:sz="0" w:space="0" w:color="auto"/>
      </w:divBdr>
    </w:div>
    <w:div w:id="1129513570">
      <w:bodyDiv w:val="1"/>
      <w:marLeft w:val="0"/>
      <w:marRight w:val="0"/>
      <w:marTop w:val="0"/>
      <w:marBottom w:val="0"/>
      <w:divBdr>
        <w:top w:val="none" w:sz="0" w:space="0" w:color="auto"/>
        <w:left w:val="none" w:sz="0" w:space="0" w:color="auto"/>
        <w:bottom w:val="none" w:sz="0" w:space="0" w:color="auto"/>
        <w:right w:val="none" w:sz="0" w:space="0" w:color="auto"/>
      </w:divBdr>
    </w:div>
    <w:div w:id="1320187299">
      <w:bodyDiv w:val="1"/>
      <w:marLeft w:val="0"/>
      <w:marRight w:val="0"/>
      <w:marTop w:val="0"/>
      <w:marBottom w:val="0"/>
      <w:divBdr>
        <w:top w:val="none" w:sz="0" w:space="0" w:color="auto"/>
        <w:left w:val="none" w:sz="0" w:space="0" w:color="auto"/>
        <w:bottom w:val="none" w:sz="0" w:space="0" w:color="auto"/>
        <w:right w:val="none" w:sz="0" w:space="0" w:color="auto"/>
      </w:divBdr>
    </w:div>
    <w:div w:id="14895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D5342-28C9-452A-BB35-C486CFE68083}">
  <ds:schemaRefs>
    <ds:schemaRef ds:uri="http://schemas.microsoft.com/sharepoint/v3/contenttype/forms"/>
  </ds:schemaRefs>
</ds:datastoreItem>
</file>

<file path=customXml/itemProps2.xml><?xml version="1.0" encoding="utf-8"?>
<ds:datastoreItem xmlns:ds="http://schemas.openxmlformats.org/officeDocument/2006/customXml" ds:itemID="{D94BFFCF-B403-45FB-AB1F-3D13FF3A6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F4904-B7CF-401E-BE23-00A1E7FFE92B}">
  <ds:schemaRefs>
    <ds:schemaRef ds:uri="http://purl.org/dc/terms/"/>
    <ds:schemaRef ds:uri="http://purl.org/dc/dcmitype/"/>
    <ds:schemaRef ds:uri="aedd258d-19a7-41ba-8260-b0918f25313d"/>
    <ds:schemaRef ds:uri="http://schemas.openxmlformats.org/package/2006/metadata/core-properties"/>
    <ds:schemaRef ds:uri="8c0b6b05-eb82-4bda-97e8-cd82d0d6b453"/>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096A794-C89C-4508-8AFD-778B28792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2975</Characters>
  <Application>Microsoft Office Word</Application>
  <DocSecurity>4</DocSecurity>
  <Lines>63</Lines>
  <Paragraphs>19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dcterms:created xsi:type="dcterms:W3CDTF">2024-02-22T16:06:00Z</dcterms:created>
  <dcterms:modified xsi:type="dcterms:W3CDTF">2024-02-22T16:06:00Z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