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E53" w14:textId="7B337EF8" w:rsidR="00135706" w:rsidRPr="00327A64" w:rsidRDefault="00135706" w:rsidP="004D36C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lang w:val="fr-CH"/>
        </w:rPr>
      </w:pPr>
      <w:r w:rsidRPr="00327A64">
        <w:rPr>
          <w:rFonts w:cstheme="minorHAnsi"/>
          <w:bCs/>
          <w:lang w:val="fr-CH"/>
        </w:rPr>
        <w:t xml:space="preserve">CONVENTION </w:t>
      </w:r>
      <w:r w:rsidR="00327A64">
        <w:rPr>
          <w:rFonts w:cstheme="minorHAnsi"/>
          <w:bCs/>
          <w:lang w:val="fr-CH"/>
        </w:rPr>
        <w:t>SUR LES ZONES HUMIDES</w:t>
      </w:r>
    </w:p>
    <w:p w14:paraId="4293AE14" w14:textId="7979147C" w:rsidR="00135706" w:rsidRPr="00327A64" w:rsidRDefault="00214C25" w:rsidP="004D36C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lang w:val="fr-CH"/>
        </w:rPr>
      </w:pPr>
      <w:r w:rsidRPr="00327A64">
        <w:rPr>
          <w:rFonts w:cstheme="minorHAnsi"/>
          <w:bCs/>
          <w:lang w:val="fr-CH"/>
        </w:rPr>
        <w:t>62</w:t>
      </w:r>
      <w:r w:rsidR="00327A64" w:rsidRPr="00327A64">
        <w:rPr>
          <w:rFonts w:cstheme="minorHAnsi"/>
          <w:bCs/>
          <w:vertAlign w:val="superscript"/>
          <w:lang w:val="fr-CH"/>
        </w:rPr>
        <w:t>e</w:t>
      </w:r>
      <w:r w:rsidR="00135706" w:rsidRPr="00327A64">
        <w:rPr>
          <w:rFonts w:cstheme="minorHAnsi"/>
          <w:bCs/>
          <w:lang w:val="fr-CH"/>
        </w:rPr>
        <w:t xml:space="preserve"> </w:t>
      </w:r>
      <w:r w:rsidR="00327A64">
        <w:rPr>
          <w:rFonts w:cstheme="minorHAnsi"/>
          <w:bCs/>
          <w:lang w:val="fr-CH"/>
        </w:rPr>
        <w:t>Réunion du Comité permanent</w:t>
      </w:r>
    </w:p>
    <w:p w14:paraId="368A0CB5" w14:textId="43469818" w:rsidR="00135706" w:rsidRPr="00327A64" w:rsidRDefault="00135706" w:rsidP="004D36C2">
      <w:pPr>
        <w:pBdr>
          <w:top w:val="single" w:sz="12" w:space="0" w:color="auto" w:shadow="1"/>
          <w:left w:val="single" w:sz="12" w:space="4" w:color="auto" w:shadow="1"/>
          <w:bottom w:val="single" w:sz="12" w:space="1" w:color="auto" w:shadow="1"/>
          <w:right w:val="single" w:sz="12" w:space="0" w:color="auto" w:shadow="1"/>
        </w:pBdr>
        <w:spacing w:after="0" w:line="240" w:lineRule="auto"/>
        <w:ind w:right="4490"/>
        <w:jc w:val="both"/>
        <w:rPr>
          <w:rFonts w:cstheme="minorHAnsi"/>
          <w:bCs/>
          <w:lang w:val="fr-CH"/>
        </w:rPr>
      </w:pPr>
      <w:r w:rsidRPr="00327A64">
        <w:rPr>
          <w:rFonts w:cstheme="minorHAnsi"/>
          <w:bCs/>
          <w:lang w:val="fr-CH"/>
        </w:rPr>
        <w:t xml:space="preserve">Gland, </w:t>
      </w:r>
      <w:r w:rsidR="00327A64">
        <w:rPr>
          <w:rFonts w:cstheme="minorHAnsi"/>
          <w:bCs/>
          <w:lang w:val="fr-CH"/>
        </w:rPr>
        <w:t>Suisse</w:t>
      </w:r>
      <w:r w:rsidRPr="00327A64">
        <w:rPr>
          <w:rFonts w:cstheme="minorHAnsi"/>
          <w:bCs/>
          <w:lang w:val="fr-CH"/>
        </w:rPr>
        <w:t xml:space="preserve">, </w:t>
      </w:r>
      <w:r w:rsidR="00214C25" w:rsidRPr="00327A64">
        <w:rPr>
          <w:rFonts w:cstheme="minorHAnsi"/>
          <w:bCs/>
          <w:lang w:val="fr-CH"/>
        </w:rPr>
        <w:t>4</w:t>
      </w:r>
      <w:r w:rsidRPr="00327A64">
        <w:rPr>
          <w:rFonts w:cstheme="minorHAnsi"/>
          <w:bCs/>
          <w:lang w:val="fr-CH"/>
        </w:rPr>
        <w:t xml:space="preserve"> </w:t>
      </w:r>
      <w:r w:rsidR="00D358A4">
        <w:rPr>
          <w:rFonts w:cstheme="minorHAnsi"/>
          <w:bCs/>
          <w:lang w:val="fr-CH"/>
        </w:rPr>
        <w:t>au</w:t>
      </w:r>
      <w:r w:rsidRPr="00327A64">
        <w:rPr>
          <w:rFonts w:cstheme="minorHAnsi"/>
          <w:bCs/>
          <w:lang w:val="fr-CH"/>
        </w:rPr>
        <w:t xml:space="preserve"> </w:t>
      </w:r>
      <w:r w:rsidR="00214C25" w:rsidRPr="00327A64">
        <w:rPr>
          <w:rFonts w:cstheme="minorHAnsi"/>
          <w:bCs/>
          <w:lang w:val="fr-CH"/>
        </w:rPr>
        <w:t xml:space="preserve">8 </w:t>
      </w:r>
      <w:r w:rsidR="00327A64">
        <w:rPr>
          <w:rFonts w:cstheme="minorHAnsi"/>
          <w:bCs/>
          <w:lang w:val="fr-CH"/>
        </w:rPr>
        <w:t>septembre</w:t>
      </w:r>
      <w:r w:rsidRPr="00327A64">
        <w:rPr>
          <w:rFonts w:cstheme="minorHAnsi"/>
          <w:bCs/>
          <w:lang w:val="fr-CH"/>
        </w:rPr>
        <w:t xml:space="preserve"> </w:t>
      </w:r>
      <w:r w:rsidR="00D84F77" w:rsidRPr="00327A64">
        <w:rPr>
          <w:rFonts w:cstheme="minorHAnsi"/>
          <w:bCs/>
          <w:lang w:val="fr-CH"/>
        </w:rPr>
        <w:t>20</w:t>
      </w:r>
      <w:r w:rsidR="00EB5383" w:rsidRPr="00327A64">
        <w:rPr>
          <w:rFonts w:cstheme="minorHAnsi"/>
          <w:bCs/>
          <w:lang w:val="fr-CH"/>
        </w:rPr>
        <w:t>2</w:t>
      </w:r>
      <w:r w:rsidR="00214C25" w:rsidRPr="00327A64">
        <w:rPr>
          <w:rFonts w:cstheme="minorHAnsi"/>
          <w:bCs/>
          <w:lang w:val="fr-CH"/>
        </w:rPr>
        <w:t>3</w:t>
      </w:r>
    </w:p>
    <w:p w14:paraId="18B91B93" w14:textId="77777777" w:rsidR="00135706" w:rsidRPr="00584D51" w:rsidRDefault="00135706" w:rsidP="00D47231">
      <w:pPr>
        <w:spacing w:after="0" w:line="240" w:lineRule="auto"/>
        <w:rPr>
          <w:rFonts w:cstheme="minorHAnsi"/>
          <w:b/>
          <w:sz w:val="28"/>
          <w:szCs w:val="28"/>
          <w:lang w:val="fr-FR"/>
        </w:rPr>
      </w:pPr>
    </w:p>
    <w:p w14:paraId="6095F09B" w14:textId="77777777" w:rsidR="00584301" w:rsidRPr="00D358A4" w:rsidRDefault="00584301" w:rsidP="00D47231">
      <w:pPr>
        <w:spacing w:after="0" w:line="240" w:lineRule="auto"/>
        <w:jc w:val="center"/>
        <w:rPr>
          <w:rFonts w:cstheme="minorHAnsi"/>
          <w:b/>
          <w:sz w:val="28"/>
          <w:szCs w:val="28"/>
          <w:lang w:val="fr-FR"/>
        </w:rPr>
      </w:pPr>
    </w:p>
    <w:p w14:paraId="3B6A97BB" w14:textId="075DBF24" w:rsidR="00397BD3" w:rsidRDefault="00397BD3" w:rsidP="00D47231">
      <w:pPr>
        <w:spacing w:after="0" w:line="240" w:lineRule="auto"/>
        <w:jc w:val="center"/>
        <w:rPr>
          <w:rFonts w:cstheme="minorHAnsi"/>
          <w:b/>
          <w:sz w:val="28"/>
          <w:szCs w:val="28"/>
          <w:lang w:val="fr-FR"/>
        </w:rPr>
      </w:pPr>
      <w:r w:rsidRPr="00397BD3">
        <w:rPr>
          <w:rFonts w:cstheme="minorHAnsi"/>
          <w:b/>
          <w:sz w:val="28"/>
          <w:szCs w:val="28"/>
          <w:lang w:val="fr-FR"/>
        </w:rPr>
        <w:t>Rapport et</w:t>
      </w:r>
      <w:r w:rsidR="00135706" w:rsidRPr="00397BD3">
        <w:rPr>
          <w:rFonts w:cstheme="minorHAnsi"/>
          <w:b/>
          <w:sz w:val="28"/>
          <w:szCs w:val="28"/>
          <w:lang w:val="fr-FR"/>
        </w:rPr>
        <w:t xml:space="preserve"> </w:t>
      </w:r>
      <w:r w:rsidR="00FB3E90">
        <w:rPr>
          <w:rFonts w:cstheme="minorHAnsi"/>
          <w:b/>
          <w:sz w:val="28"/>
          <w:szCs w:val="28"/>
          <w:lang w:val="fr-FR"/>
        </w:rPr>
        <w:t>d</w:t>
      </w:r>
      <w:r w:rsidRPr="00397BD3">
        <w:rPr>
          <w:rFonts w:cstheme="minorHAnsi"/>
          <w:b/>
          <w:sz w:val="28"/>
          <w:szCs w:val="28"/>
          <w:lang w:val="fr-FR"/>
        </w:rPr>
        <w:t>é</w:t>
      </w:r>
      <w:r w:rsidR="00135706" w:rsidRPr="00397BD3">
        <w:rPr>
          <w:rFonts w:cstheme="minorHAnsi"/>
          <w:b/>
          <w:sz w:val="28"/>
          <w:szCs w:val="28"/>
          <w:lang w:val="fr-FR"/>
        </w:rPr>
        <w:t xml:space="preserve">cisions </w:t>
      </w:r>
      <w:r w:rsidRPr="00397BD3">
        <w:rPr>
          <w:rFonts w:cstheme="minorHAnsi"/>
          <w:b/>
          <w:sz w:val="28"/>
          <w:szCs w:val="28"/>
          <w:lang w:val="fr-FR"/>
        </w:rPr>
        <w:t>de la 62</w:t>
      </w:r>
      <w:r w:rsidRPr="00F16FDD">
        <w:rPr>
          <w:rFonts w:cstheme="minorHAnsi"/>
          <w:b/>
          <w:sz w:val="28"/>
          <w:szCs w:val="28"/>
          <w:vertAlign w:val="superscript"/>
          <w:lang w:val="fr-FR"/>
        </w:rPr>
        <w:t>e</w:t>
      </w:r>
      <w:r w:rsidRPr="00397BD3">
        <w:rPr>
          <w:rFonts w:cstheme="minorHAnsi"/>
          <w:b/>
          <w:sz w:val="28"/>
          <w:szCs w:val="28"/>
          <w:lang w:val="fr-FR"/>
        </w:rPr>
        <w:t xml:space="preserve"> Réunion</w:t>
      </w:r>
    </w:p>
    <w:p w14:paraId="106398A4" w14:textId="12ECA4D0" w:rsidR="00135706" w:rsidRPr="00397BD3" w:rsidRDefault="00397BD3" w:rsidP="00D47231">
      <w:pPr>
        <w:spacing w:after="0" w:line="240" w:lineRule="auto"/>
        <w:jc w:val="center"/>
        <w:rPr>
          <w:rFonts w:cstheme="minorHAnsi"/>
          <w:b/>
          <w:sz w:val="28"/>
          <w:szCs w:val="28"/>
          <w:lang w:val="fr-FR"/>
        </w:rPr>
      </w:pPr>
      <w:r w:rsidRPr="00397BD3">
        <w:rPr>
          <w:rFonts w:cstheme="minorHAnsi"/>
          <w:b/>
          <w:sz w:val="28"/>
          <w:szCs w:val="28"/>
          <w:lang w:val="fr-FR"/>
        </w:rPr>
        <w:t xml:space="preserve"> du Comité pe</w:t>
      </w:r>
      <w:r>
        <w:rPr>
          <w:rFonts w:cstheme="minorHAnsi"/>
          <w:b/>
          <w:sz w:val="28"/>
          <w:szCs w:val="28"/>
          <w:lang w:val="fr-FR"/>
        </w:rPr>
        <w:t>rmanent </w:t>
      </w:r>
    </w:p>
    <w:p w14:paraId="50D567FE" w14:textId="77777777" w:rsidR="00135706" w:rsidRPr="00397BD3" w:rsidRDefault="00135706" w:rsidP="00D47231">
      <w:pPr>
        <w:spacing w:after="0" w:line="240" w:lineRule="auto"/>
        <w:outlineLvl w:val="0"/>
        <w:rPr>
          <w:rFonts w:cstheme="minorHAnsi"/>
          <w:b/>
          <w:lang w:val="fr-FR"/>
        </w:rPr>
      </w:pPr>
    </w:p>
    <w:p w14:paraId="26036CF1" w14:textId="52FBAD0E" w:rsidR="00135706" w:rsidRPr="00397BD3" w:rsidRDefault="00397BD3" w:rsidP="00370B73">
      <w:pPr>
        <w:keepNext/>
        <w:spacing w:after="0" w:line="240" w:lineRule="auto"/>
        <w:outlineLvl w:val="0"/>
        <w:rPr>
          <w:rFonts w:cstheme="minorHAnsi"/>
          <w:b/>
          <w:lang w:val="fr-FR"/>
        </w:rPr>
      </w:pPr>
      <w:r w:rsidRPr="00397BD3">
        <w:rPr>
          <w:rFonts w:cstheme="minorHAnsi"/>
          <w:b/>
          <w:lang w:val="fr-FR"/>
        </w:rPr>
        <w:t>Mardi</w:t>
      </w:r>
      <w:r w:rsidR="00135706" w:rsidRPr="00397BD3">
        <w:rPr>
          <w:rFonts w:cstheme="minorHAnsi"/>
          <w:b/>
          <w:lang w:val="fr-FR"/>
        </w:rPr>
        <w:t xml:space="preserve"> </w:t>
      </w:r>
      <w:r w:rsidR="00214C25" w:rsidRPr="00397BD3">
        <w:rPr>
          <w:rFonts w:cstheme="minorHAnsi"/>
          <w:b/>
          <w:lang w:val="fr-FR"/>
        </w:rPr>
        <w:t>5</w:t>
      </w:r>
      <w:r w:rsidR="00135706" w:rsidRPr="00397BD3">
        <w:rPr>
          <w:rFonts w:cstheme="minorHAnsi"/>
          <w:b/>
          <w:lang w:val="fr-FR"/>
        </w:rPr>
        <w:t xml:space="preserve"> </w:t>
      </w:r>
      <w:r w:rsidRPr="00397BD3">
        <w:rPr>
          <w:rFonts w:cstheme="minorHAnsi"/>
          <w:b/>
          <w:lang w:val="fr-FR"/>
        </w:rPr>
        <w:t>s</w:t>
      </w:r>
      <w:r w:rsidR="00214C25" w:rsidRPr="00397BD3">
        <w:rPr>
          <w:rFonts w:cstheme="minorHAnsi"/>
          <w:b/>
          <w:lang w:val="fr-FR"/>
        </w:rPr>
        <w:t>eptemb</w:t>
      </w:r>
      <w:r w:rsidRPr="00397BD3">
        <w:rPr>
          <w:rFonts w:cstheme="minorHAnsi"/>
          <w:b/>
          <w:lang w:val="fr-FR"/>
        </w:rPr>
        <w:t>re</w:t>
      </w:r>
      <w:r w:rsidR="00214C25" w:rsidRPr="00397BD3">
        <w:rPr>
          <w:rFonts w:cstheme="minorHAnsi"/>
          <w:b/>
          <w:lang w:val="fr-FR"/>
        </w:rPr>
        <w:t xml:space="preserve"> </w:t>
      </w:r>
      <w:r w:rsidR="00135706" w:rsidRPr="00397BD3">
        <w:rPr>
          <w:rFonts w:cstheme="minorHAnsi"/>
          <w:b/>
          <w:lang w:val="fr-FR"/>
        </w:rPr>
        <w:t>20</w:t>
      </w:r>
      <w:r w:rsidR="00EB5383" w:rsidRPr="00397BD3">
        <w:rPr>
          <w:rFonts w:cstheme="minorHAnsi"/>
          <w:b/>
          <w:lang w:val="fr-FR"/>
        </w:rPr>
        <w:t>2</w:t>
      </w:r>
      <w:r w:rsidR="00214C25" w:rsidRPr="00397BD3">
        <w:rPr>
          <w:rFonts w:cstheme="minorHAnsi"/>
          <w:b/>
          <w:lang w:val="fr-FR"/>
        </w:rPr>
        <w:t>3</w:t>
      </w:r>
    </w:p>
    <w:p w14:paraId="6C772214" w14:textId="77777777" w:rsidR="00135706" w:rsidRPr="00397BD3" w:rsidRDefault="00135706" w:rsidP="00370B73">
      <w:pPr>
        <w:keepNext/>
        <w:spacing w:after="0" w:line="240" w:lineRule="auto"/>
        <w:rPr>
          <w:rFonts w:cstheme="minorHAnsi"/>
          <w:b/>
          <w:lang w:val="fr-FR"/>
        </w:rPr>
      </w:pPr>
    </w:p>
    <w:p w14:paraId="316352E0" w14:textId="5F6C53EF" w:rsidR="00135706" w:rsidRPr="00397BD3" w:rsidRDefault="00135706" w:rsidP="00370B73">
      <w:pPr>
        <w:keepNext/>
        <w:spacing w:after="0" w:line="240" w:lineRule="auto"/>
        <w:rPr>
          <w:rFonts w:cstheme="minorHAnsi"/>
          <w:b/>
          <w:bCs/>
          <w:lang w:val="fr-FR"/>
        </w:rPr>
      </w:pPr>
      <w:r w:rsidRPr="00397BD3">
        <w:rPr>
          <w:rFonts w:cstheme="minorHAnsi"/>
          <w:b/>
          <w:lang w:val="fr-FR"/>
        </w:rPr>
        <w:t>1</w:t>
      </w:r>
      <w:r w:rsidR="00214C25" w:rsidRPr="00397BD3">
        <w:rPr>
          <w:rFonts w:cstheme="minorHAnsi"/>
          <w:b/>
          <w:lang w:val="fr-FR"/>
        </w:rPr>
        <w:t>0</w:t>
      </w:r>
      <w:r w:rsidRPr="00397BD3">
        <w:rPr>
          <w:rFonts w:cstheme="minorHAnsi"/>
          <w:b/>
          <w:lang w:val="fr-FR"/>
        </w:rPr>
        <w:t>:00 – 1</w:t>
      </w:r>
      <w:r w:rsidR="00214C25" w:rsidRPr="00397BD3">
        <w:rPr>
          <w:rFonts w:cstheme="minorHAnsi"/>
          <w:b/>
          <w:lang w:val="fr-FR"/>
        </w:rPr>
        <w:t>3</w:t>
      </w:r>
      <w:r w:rsidRPr="00397BD3">
        <w:rPr>
          <w:rFonts w:cstheme="minorHAnsi"/>
          <w:b/>
          <w:lang w:val="fr-FR"/>
        </w:rPr>
        <w:t xml:space="preserve">:00 </w:t>
      </w:r>
      <w:r w:rsidRPr="00397BD3">
        <w:rPr>
          <w:rFonts w:cstheme="minorHAnsi"/>
          <w:b/>
          <w:lang w:val="fr-FR"/>
        </w:rPr>
        <w:tab/>
      </w:r>
      <w:r w:rsidR="00397BD3" w:rsidRPr="00397BD3">
        <w:rPr>
          <w:rFonts w:cstheme="minorHAnsi"/>
          <w:b/>
          <w:lang w:val="fr-FR"/>
        </w:rPr>
        <w:t>Séance plénière du Comité permanent</w:t>
      </w:r>
    </w:p>
    <w:p w14:paraId="4A6F2DB9" w14:textId="77777777" w:rsidR="00135706" w:rsidRPr="00397BD3" w:rsidRDefault="00135706" w:rsidP="00370B73">
      <w:pPr>
        <w:keepNext/>
        <w:spacing w:after="0" w:line="240" w:lineRule="auto"/>
        <w:rPr>
          <w:rFonts w:cstheme="minorHAnsi"/>
          <w:lang w:val="fr-FR"/>
        </w:rPr>
      </w:pPr>
    </w:p>
    <w:p w14:paraId="2639DD96" w14:textId="1D9698B5" w:rsidR="00135706" w:rsidRPr="00397BD3" w:rsidRDefault="00397BD3"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97BD3">
        <w:rPr>
          <w:rFonts w:cstheme="minorHAnsi"/>
          <w:bCs/>
          <w:lang w:val="fr-FR"/>
        </w:rPr>
        <w:t>Point 1 de l’ordre du jour </w:t>
      </w:r>
      <w:r w:rsidR="00135706" w:rsidRPr="00397BD3">
        <w:rPr>
          <w:rFonts w:cstheme="minorHAnsi"/>
          <w:bCs/>
          <w:lang w:val="fr-FR"/>
        </w:rPr>
        <w:t xml:space="preserve">: </w:t>
      </w:r>
      <w:r w:rsidRPr="00397BD3">
        <w:rPr>
          <w:rFonts w:cstheme="minorHAnsi"/>
          <w:bCs/>
          <w:lang w:val="fr-FR"/>
        </w:rPr>
        <w:t>Allocutions d’ouve</w:t>
      </w:r>
      <w:r>
        <w:rPr>
          <w:rFonts w:cstheme="minorHAnsi"/>
          <w:bCs/>
          <w:lang w:val="fr-FR"/>
        </w:rPr>
        <w:t>rture</w:t>
      </w:r>
    </w:p>
    <w:p w14:paraId="14F692FE" w14:textId="77777777" w:rsidR="00135706" w:rsidRPr="00397BD3" w:rsidRDefault="00135706" w:rsidP="00370B73">
      <w:pPr>
        <w:keepNext/>
        <w:spacing w:after="0" w:line="240" w:lineRule="auto"/>
        <w:rPr>
          <w:rFonts w:cstheme="minorHAnsi"/>
          <w:lang w:val="fr-FR"/>
        </w:rPr>
      </w:pPr>
    </w:p>
    <w:p w14:paraId="5271E966" w14:textId="4A05130F" w:rsidR="00D84F77" w:rsidRPr="00397BD3" w:rsidRDefault="00D84F77" w:rsidP="00D47231">
      <w:pPr>
        <w:spacing w:after="0" w:line="240" w:lineRule="auto"/>
        <w:ind w:left="567" w:hanging="567"/>
        <w:rPr>
          <w:rFonts w:eastAsia="Calibri" w:cstheme="minorHAnsi"/>
          <w:bCs/>
          <w:lang w:val="fr-FR"/>
        </w:rPr>
      </w:pPr>
      <w:r w:rsidRPr="00397BD3">
        <w:rPr>
          <w:rFonts w:eastAsia="Calibri" w:cstheme="minorHAnsi"/>
          <w:bCs/>
          <w:lang w:val="fr-FR"/>
        </w:rPr>
        <w:t>1.</w:t>
      </w:r>
      <w:r w:rsidRPr="00397BD3">
        <w:rPr>
          <w:rFonts w:eastAsia="Calibri" w:cstheme="minorHAnsi"/>
          <w:bCs/>
          <w:lang w:val="fr-FR"/>
        </w:rPr>
        <w:tab/>
      </w:r>
      <w:r w:rsidR="00397BD3" w:rsidRPr="00397BD3">
        <w:rPr>
          <w:rFonts w:eastAsia="Calibri" w:cstheme="minorHAnsi"/>
          <w:bCs/>
          <w:lang w:val="fr-FR"/>
        </w:rPr>
        <w:t>Des allocutions d’ouverture sont prononcées par </w:t>
      </w:r>
      <w:r w:rsidR="00933D94" w:rsidRPr="00397BD3">
        <w:rPr>
          <w:rFonts w:eastAsia="Calibri" w:cstheme="minorHAnsi"/>
          <w:bCs/>
          <w:lang w:val="fr-FR"/>
        </w:rPr>
        <w:t>:</w:t>
      </w:r>
    </w:p>
    <w:p w14:paraId="7713C0B3" w14:textId="670C0DA3" w:rsidR="00D84F77" w:rsidRPr="00397BD3" w:rsidRDefault="00397BD3" w:rsidP="0011266F">
      <w:pPr>
        <w:pStyle w:val="ListParagraph"/>
        <w:numPr>
          <w:ilvl w:val="0"/>
          <w:numId w:val="1"/>
        </w:numPr>
        <w:spacing w:after="0" w:line="240" w:lineRule="auto"/>
        <w:ind w:left="992" w:hanging="425"/>
        <w:rPr>
          <w:rFonts w:cstheme="minorHAnsi"/>
          <w:lang w:val="fr-FR"/>
        </w:rPr>
      </w:pPr>
      <w:r>
        <w:rPr>
          <w:rFonts w:cstheme="minorHAnsi"/>
          <w:lang w:val="fr-FR"/>
        </w:rPr>
        <w:t xml:space="preserve">M. </w:t>
      </w:r>
      <w:r w:rsidR="005D2F71" w:rsidRPr="00397BD3">
        <w:rPr>
          <w:rFonts w:cstheme="minorHAnsi"/>
          <w:lang w:val="fr-FR"/>
        </w:rPr>
        <w:t xml:space="preserve">XIA </w:t>
      </w:r>
      <w:r w:rsidR="00214C25" w:rsidRPr="00397BD3">
        <w:rPr>
          <w:rFonts w:cstheme="minorHAnsi"/>
          <w:lang w:val="fr-FR"/>
        </w:rPr>
        <w:t>Jun,</w:t>
      </w:r>
      <w:r w:rsidR="00D84F77" w:rsidRPr="00397BD3">
        <w:rPr>
          <w:rFonts w:cstheme="minorHAnsi"/>
          <w:lang w:val="fr-FR"/>
        </w:rPr>
        <w:t xml:space="preserve"> </w:t>
      </w:r>
      <w:r w:rsidRPr="00397BD3">
        <w:rPr>
          <w:rFonts w:cstheme="minorHAnsi"/>
          <w:lang w:val="fr-FR"/>
        </w:rPr>
        <w:t xml:space="preserve">Président du Comité permanent </w:t>
      </w:r>
      <w:r w:rsidR="00933D94" w:rsidRPr="00397BD3">
        <w:rPr>
          <w:rFonts w:cstheme="minorHAnsi"/>
          <w:lang w:val="fr-FR"/>
        </w:rPr>
        <w:t xml:space="preserve">; </w:t>
      </w:r>
    </w:p>
    <w:p w14:paraId="4BD47A47" w14:textId="6A8BB1B5" w:rsidR="00D84F77" w:rsidRPr="00397BD3" w:rsidRDefault="00397BD3" w:rsidP="0064056B">
      <w:pPr>
        <w:pStyle w:val="ListParagraph"/>
        <w:numPr>
          <w:ilvl w:val="0"/>
          <w:numId w:val="1"/>
        </w:numPr>
        <w:spacing w:after="0" w:line="240" w:lineRule="auto"/>
        <w:ind w:left="992" w:hanging="425"/>
        <w:rPr>
          <w:rFonts w:cstheme="minorHAnsi"/>
          <w:lang w:val="fr-FR"/>
        </w:rPr>
      </w:pPr>
      <w:r>
        <w:rPr>
          <w:rFonts w:cstheme="minorHAnsi"/>
          <w:lang w:val="fr-FR"/>
        </w:rPr>
        <w:t>M</w:t>
      </w:r>
      <w:r w:rsidRPr="00327A64">
        <w:rPr>
          <w:rFonts w:cstheme="minorHAnsi"/>
          <w:vertAlign w:val="superscript"/>
          <w:lang w:val="fr-FR"/>
        </w:rPr>
        <w:t xml:space="preserve">me </w:t>
      </w:r>
      <w:r w:rsidR="00214C25" w:rsidRPr="00397BD3">
        <w:rPr>
          <w:rFonts w:cstheme="minorHAnsi"/>
          <w:lang w:val="fr-FR"/>
        </w:rPr>
        <w:t xml:space="preserve">Grethel </w:t>
      </w:r>
      <w:r w:rsidR="00985CF2" w:rsidRPr="00397BD3">
        <w:rPr>
          <w:rFonts w:cstheme="minorHAnsi"/>
          <w:lang w:val="fr-FR"/>
        </w:rPr>
        <w:t>AGUILAR</w:t>
      </w:r>
      <w:r w:rsidR="00214C25" w:rsidRPr="00397BD3">
        <w:rPr>
          <w:rFonts w:cstheme="minorHAnsi"/>
          <w:lang w:val="fr-FR"/>
        </w:rPr>
        <w:t xml:space="preserve">, </w:t>
      </w:r>
      <w:r w:rsidRPr="00397BD3">
        <w:rPr>
          <w:rFonts w:cstheme="minorHAnsi"/>
          <w:lang w:val="fr-FR"/>
        </w:rPr>
        <w:t xml:space="preserve">Directrice générale par </w:t>
      </w:r>
      <w:r w:rsidR="00CF44E4" w:rsidRPr="00397BD3">
        <w:rPr>
          <w:rFonts w:cstheme="minorHAnsi"/>
          <w:lang w:val="fr-FR"/>
        </w:rPr>
        <w:t>intérim</w:t>
      </w:r>
      <w:r w:rsidRPr="00397BD3">
        <w:rPr>
          <w:rFonts w:cstheme="minorHAnsi"/>
          <w:lang w:val="fr-FR"/>
        </w:rPr>
        <w:t>, UICN </w:t>
      </w:r>
      <w:r w:rsidR="00933D94" w:rsidRPr="00397BD3">
        <w:rPr>
          <w:rFonts w:cstheme="minorHAnsi"/>
          <w:lang w:val="fr-FR"/>
        </w:rPr>
        <w:t xml:space="preserve">; </w:t>
      </w:r>
    </w:p>
    <w:p w14:paraId="3163DB52" w14:textId="50E744BB" w:rsidR="00D84F77" w:rsidRPr="00397BD3" w:rsidRDefault="00397BD3" w:rsidP="0064056B">
      <w:pPr>
        <w:pStyle w:val="ListParagraph"/>
        <w:numPr>
          <w:ilvl w:val="0"/>
          <w:numId w:val="1"/>
        </w:numPr>
        <w:spacing w:after="0" w:line="240" w:lineRule="auto"/>
        <w:ind w:left="992" w:hanging="425"/>
        <w:rPr>
          <w:rFonts w:cstheme="minorHAnsi"/>
          <w:lang w:val="fr-FR"/>
        </w:rPr>
      </w:pPr>
      <w:r w:rsidRPr="00397BD3">
        <w:rPr>
          <w:rFonts w:cstheme="minorHAnsi"/>
          <w:lang w:val="fr-FR"/>
        </w:rPr>
        <w:t>M</w:t>
      </w:r>
      <w:r w:rsidRPr="00327A64">
        <w:rPr>
          <w:rFonts w:cstheme="minorHAnsi"/>
          <w:vertAlign w:val="superscript"/>
          <w:lang w:val="fr-FR"/>
        </w:rPr>
        <w:t>me</w:t>
      </w:r>
      <w:r w:rsidRPr="00397BD3">
        <w:rPr>
          <w:rFonts w:cstheme="minorHAnsi"/>
          <w:lang w:val="fr-FR"/>
        </w:rPr>
        <w:t xml:space="preserve"> </w:t>
      </w:r>
      <w:r w:rsidR="00214C25" w:rsidRPr="00397BD3">
        <w:rPr>
          <w:rFonts w:cstheme="minorHAnsi"/>
          <w:lang w:val="fr-FR"/>
        </w:rPr>
        <w:t xml:space="preserve">Nina </w:t>
      </w:r>
      <w:r w:rsidR="00985CF2" w:rsidRPr="00397BD3">
        <w:rPr>
          <w:rFonts w:cstheme="minorHAnsi"/>
          <w:lang w:val="fr-FR"/>
        </w:rPr>
        <w:t>MIKANDER</w:t>
      </w:r>
      <w:r w:rsidR="00214C25" w:rsidRPr="00397BD3">
        <w:rPr>
          <w:rFonts w:cstheme="minorHAnsi"/>
          <w:lang w:val="fr-FR"/>
        </w:rPr>
        <w:t xml:space="preserve">, </w:t>
      </w:r>
      <w:r w:rsidRPr="00397BD3">
        <w:rPr>
          <w:rFonts w:cstheme="minorHAnsi"/>
          <w:lang w:val="fr-FR"/>
        </w:rPr>
        <w:t xml:space="preserve">Directrice, Politique mondiale, </w:t>
      </w:r>
      <w:r w:rsidR="00214C25" w:rsidRPr="00397BD3">
        <w:rPr>
          <w:rFonts w:cstheme="minorHAnsi"/>
          <w:lang w:val="fr-FR"/>
        </w:rPr>
        <w:t>Bird</w:t>
      </w:r>
      <w:r w:rsidRPr="00397BD3">
        <w:rPr>
          <w:rFonts w:cstheme="minorHAnsi"/>
          <w:lang w:val="fr-FR"/>
        </w:rPr>
        <w:t>L</w:t>
      </w:r>
      <w:r w:rsidR="00214C25" w:rsidRPr="00397BD3">
        <w:rPr>
          <w:rFonts w:cstheme="minorHAnsi"/>
          <w:lang w:val="fr-FR"/>
        </w:rPr>
        <w:t>ife International</w:t>
      </w:r>
      <w:r w:rsidR="0064056B" w:rsidRPr="00397BD3">
        <w:rPr>
          <w:rFonts w:cstheme="minorHAnsi"/>
          <w:lang w:val="fr-FR"/>
        </w:rPr>
        <w:t xml:space="preserve">, </w:t>
      </w:r>
      <w:r w:rsidRPr="00397BD3">
        <w:rPr>
          <w:rFonts w:cstheme="minorHAnsi"/>
          <w:lang w:val="fr-FR"/>
        </w:rPr>
        <w:t xml:space="preserve">au nom des </w:t>
      </w:r>
      <w:r>
        <w:rPr>
          <w:rFonts w:cstheme="minorHAnsi"/>
          <w:lang w:val="fr-FR"/>
        </w:rPr>
        <w:t>six</w:t>
      </w:r>
      <w:r w:rsidR="00D84F77" w:rsidRPr="00397BD3">
        <w:rPr>
          <w:rFonts w:cstheme="minorHAnsi"/>
          <w:lang w:val="fr-FR"/>
        </w:rPr>
        <w:t xml:space="preserve"> </w:t>
      </w:r>
      <w:r w:rsidRPr="00397BD3">
        <w:rPr>
          <w:rFonts w:cstheme="minorHAnsi"/>
          <w:lang w:val="fr-FR"/>
        </w:rPr>
        <w:t>Organisation</w:t>
      </w:r>
      <w:r>
        <w:rPr>
          <w:rFonts w:cstheme="minorHAnsi"/>
          <w:lang w:val="fr-FR"/>
        </w:rPr>
        <w:t>s</w:t>
      </w:r>
      <w:r w:rsidR="00D84F77" w:rsidRPr="00397BD3">
        <w:rPr>
          <w:rFonts w:cstheme="minorHAnsi"/>
          <w:lang w:val="fr-FR"/>
        </w:rPr>
        <w:t xml:space="preserve"> </w:t>
      </w:r>
      <w:r>
        <w:rPr>
          <w:rFonts w:cstheme="minorHAnsi"/>
          <w:lang w:val="fr-FR"/>
        </w:rPr>
        <w:t xml:space="preserve">internationales partenaires </w:t>
      </w:r>
      <w:r w:rsidR="00D84F77" w:rsidRPr="00397BD3">
        <w:rPr>
          <w:rFonts w:cstheme="minorHAnsi"/>
          <w:lang w:val="fr-FR"/>
        </w:rPr>
        <w:t>(</w:t>
      </w:r>
      <w:r>
        <w:rPr>
          <w:rFonts w:cstheme="minorHAnsi"/>
          <w:lang w:val="fr-FR"/>
        </w:rPr>
        <w:t>OIP</w:t>
      </w:r>
      <w:r w:rsidR="00D84F77" w:rsidRPr="00397BD3">
        <w:rPr>
          <w:rFonts w:cstheme="minorHAnsi"/>
          <w:lang w:val="fr-FR"/>
        </w:rPr>
        <w:t>)</w:t>
      </w:r>
      <w:r>
        <w:rPr>
          <w:rFonts w:cstheme="minorHAnsi"/>
          <w:lang w:val="fr-FR"/>
        </w:rPr>
        <w:t xml:space="preserve"> </w:t>
      </w:r>
      <w:r w:rsidR="00933D94" w:rsidRPr="00397BD3">
        <w:rPr>
          <w:rFonts w:cstheme="minorHAnsi"/>
          <w:lang w:val="fr-FR"/>
        </w:rPr>
        <w:t xml:space="preserve">; </w:t>
      </w:r>
      <w:r>
        <w:rPr>
          <w:rFonts w:cstheme="minorHAnsi"/>
          <w:lang w:val="fr-FR"/>
        </w:rPr>
        <w:t>et</w:t>
      </w:r>
      <w:r w:rsidR="00933D94" w:rsidRPr="00397BD3">
        <w:rPr>
          <w:rFonts w:cstheme="minorHAnsi"/>
          <w:lang w:val="fr-FR"/>
        </w:rPr>
        <w:t xml:space="preserve"> </w:t>
      </w:r>
    </w:p>
    <w:p w14:paraId="5EE1B759" w14:textId="0C5E1CA5" w:rsidR="005C3E7C" w:rsidRPr="00397BD3" w:rsidRDefault="00397BD3" w:rsidP="0011266F">
      <w:pPr>
        <w:pStyle w:val="ListParagraph"/>
        <w:numPr>
          <w:ilvl w:val="0"/>
          <w:numId w:val="2"/>
        </w:numPr>
        <w:spacing w:after="0" w:line="240" w:lineRule="auto"/>
        <w:ind w:left="992" w:hanging="425"/>
        <w:rPr>
          <w:rFonts w:cstheme="minorHAnsi"/>
          <w:lang w:val="fr-FR"/>
        </w:rPr>
      </w:pPr>
      <w:r w:rsidRPr="00397BD3">
        <w:rPr>
          <w:rFonts w:cstheme="minorHAnsi"/>
          <w:lang w:val="fr-FR"/>
        </w:rPr>
        <w:t>M</w:t>
      </w:r>
      <w:r w:rsidRPr="00327A64">
        <w:rPr>
          <w:rFonts w:cstheme="minorHAnsi"/>
          <w:vertAlign w:val="superscript"/>
          <w:lang w:val="fr-FR"/>
        </w:rPr>
        <w:t>me</w:t>
      </w:r>
      <w:r w:rsidRPr="00397BD3">
        <w:rPr>
          <w:rFonts w:cstheme="minorHAnsi"/>
          <w:lang w:val="fr-FR"/>
        </w:rPr>
        <w:t xml:space="preserve"> </w:t>
      </w:r>
      <w:r w:rsidR="00214C25" w:rsidRPr="00397BD3">
        <w:rPr>
          <w:lang w:val="fr-FR"/>
        </w:rPr>
        <w:t xml:space="preserve">Musonda </w:t>
      </w:r>
      <w:r w:rsidR="00985CF2" w:rsidRPr="00397BD3">
        <w:rPr>
          <w:lang w:val="fr-FR"/>
        </w:rPr>
        <w:t>MUMBA</w:t>
      </w:r>
      <w:r w:rsidR="00D84F77" w:rsidRPr="00397BD3">
        <w:rPr>
          <w:rFonts w:cstheme="minorHAnsi"/>
          <w:lang w:val="fr-FR"/>
        </w:rPr>
        <w:t xml:space="preserve">, </w:t>
      </w:r>
      <w:r w:rsidR="00933D94" w:rsidRPr="00397BD3">
        <w:rPr>
          <w:rFonts w:cstheme="minorHAnsi"/>
          <w:lang w:val="fr-FR"/>
        </w:rPr>
        <w:t>Secr</w:t>
      </w:r>
      <w:r w:rsidRPr="00397BD3">
        <w:rPr>
          <w:rFonts w:cstheme="minorHAnsi"/>
          <w:lang w:val="fr-FR"/>
        </w:rPr>
        <w:t>étaire</w:t>
      </w:r>
      <w:r w:rsidR="00933D94" w:rsidRPr="00397BD3">
        <w:rPr>
          <w:rFonts w:cstheme="minorHAnsi"/>
          <w:lang w:val="fr-FR"/>
        </w:rPr>
        <w:t xml:space="preserve"> </w:t>
      </w:r>
      <w:r w:rsidRPr="00397BD3">
        <w:rPr>
          <w:rFonts w:cstheme="minorHAnsi"/>
          <w:lang w:val="fr-FR"/>
        </w:rPr>
        <w:t>générale</w:t>
      </w:r>
      <w:r w:rsidR="00933D94" w:rsidRPr="00397BD3">
        <w:rPr>
          <w:rFonts w:cstheme="minorHAnsi"/>
          <w:lang w:val="fr-FR"/>
        </w:rPr>
        <w:t xml:space="preserve"> </w:t>
      </w:r>
      <w:r>
        <w:rPr>
          <w:rFonts w:cstheme="minorHAnsi"/>
          <w:lang w:val="fr-FR"/>
        </w:rPr>
        <w:t>de la</w:t>
      </w:r>
      <w:r w:rsidR="00933D94" w:rsidRPr="00397BD3">
        <w:rPr>
          <w:rFonts w:cstheme="minorHAnsi"/>
          <w:lang w:val="fr-FR"/>
        </w:rPr>
        <w:t xml:space="preserve"> Convention.</w:t>
      </w:r>
    </w:p>
    <w:p w14:paraId="1443B404" w14:textId="77777777" w:rsidR="00D84F77" w:rsidRPr="00397BD3" w:rsidRDefault="00D84F77" w:rsidP="00D47231">
      <w:pPr>
        <w:spacing w:after="0" w:line="240" w:lineRule="auto"/>
        <w:rPr>
          <w:rFonts w:cstheme="minorHAnsi"/>
          <w:lang w:val="fr-FR"/>
        </w:rPr>
      </w:pPr>
    </w:p>
    <w:p w14:paraId="045DB966" w14:textId="405AD7BB" w:rsidR="005A4B27" w:rsidRPr="00397BD3" w:rsidRDefault="00397BD3"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97BD3">
        <w:rPr>
          <w:rFonts w:cstheme="minorHAnsi"/>
          <w:bCs/>
          <w:lang w:val="fr-FR"/>
        </w:rPr>
        <w:t xml:space="preserve">Point </w:t>
      </w:r>
      <w:r>
        <w:rPr>
          <w:rFonts w:cstheme="minorHAnsi"/>
          <w:bCs/>
          <w:lang w:val="fr-FR"/>
        </w:rPr>
        <w:t>2</w:t>
      </w:r>
      <w:r w:rsidRPr="00397BD3">
        <w:rPr>
          <w:rFonts w:cstheme="minorHAnsi"/>
          <w:bCs/>
          <w:lang w:val="fr-FR"/>
        </w:rPr>
        <w:t xml:space="preserve"> de l’ordre du jour : </w:t>
      </w:r>
      <w:r w:rsidR="005A4B27" w:rsidRPr="00397BD3">
        <w:rPr>
          <w:rFonts w:cstheme="minorHAnsi"/>
          <w:bCs/>
          <w:lang w:val="fr-FR"/>
        </w:rPr>
        <w:t xml:space="preserve">Adoption </w:t>
      </w:r>
      <w:r w:rsidRPr="00397BD3">
        <w:rPr>
          <w:rFonts w:cstheme="minorHAnsi"/>
          <w:bCs/>
          <w:lang w:val="fr-FR"/>
        </w:rPr>
        <w:t>de l’ordre du jour provisoire</w:t>
      </w:r>
    </w:p>
    <w:p w14:paraId="1A9E3D86" w14:textId="77777777" w:rsidR="005A4B27" w:rsidRPr="00397BD3" w:rsidRDefault="005A4B27" w:rsidP="00E64244">
      <w:pPr>
        <w:spacing w:after="0" w:line="240" w:lineRule="auto"/>
        <w:ind w:left="567" w:hanging="567"/>
        <w:rPr>
          <w:rFonts w:cstheme="minorHAnsi"/>
          <w:lang w:val="fr-FR"/>
        </w:rPr>
      </w:pPr>
    </w:p>
    <w:p w14:paraId="47714E36" w14:textId="4FFF618D" w:rsidR="00E64244" w:rsidRPr="00327A64" w:rsidRDefault="005A4B27" w:rsidP="0035175C">
      <w:pPr>
        <w:spacing w:after="0" w:line="240" w:lineRule="auto"/>
        <w:ind w:left="567" w:hanging="567"/>
        <w:rPr>
          <w:lang w:val="fr-CH"/>
        </w:rPr>
      </w:pPr>
      <w:r w:rsidRPr="00327A64">
        <w:rPr>
          <w:rFonts w:eastAsia="Calibri" w:cstheme="minorHAnsi"/>
          <w:bCs/>
          <w:lang w:val="fr-CH"/>
        </w:rPr>
        <w:t>2.</w:t>
      </w:r>
      <w:r w:rsidRPr="00327A64">
        <w:rPr>
          <w:rFonts w:eastAsia="Calibri" w:cstheme="minorHAnsi"/>
          <w:bCs/>
          <w:lang w:val="fr-CH"/>
        </w:rPr>
        <w:tab/>
      </w:r>
      <w:r w:rsidR="00105BBF">
        <w:rPr>
          <w:rFonts w:eastAsia="Calibri" w:cstheme="minorHAnsi"/>
          <w:bCs/>
          <w:lang w:val="fr-CH"/>
        </w:rPr>
        <w:t xml:space="preserve">Le Président du Comité permanent présente </w:t>
      </w:r>
      <w:r w:rsidR="00D358A4">
        <w:rPr>
          <w:rFonts w:eastAsia="Calibri" w:cstheme="minorHAnsi"/>
          <w:bCs/>
          <w:lang w:val="fr-CH"/>
        </w:rPr>
        <w:t xml:space="preserve">le </w:t>
      </w:r>
      <w:r w:rsidR="00D358A4" w:rsidRPr="00327A64">
        <w:rPr>
          <w:lang w:val="fr-CH"/>
        </w:rPr>
        <w:t>document SC62 Doc.2 Rev.1</w:t>
      </w:r>
      <w:r w:rsidR="00D358A4">
        <w:rPr>
          <w:lang w:val="fr-CH"/>
        </w:rPr>
        <w:t xml:space="preserve"> qui contient </w:t>
      </w:r>
      <w:r w:rsidR="00105BBF">
        <w:rPr>
          <w:rFonts w:eastAsia="Calibri" w:cstheme="minorHAnsi"/>
          <w:bCs/>
          <w:lang w:val="fr-CH"/>
        </w:rPr>
        <w:t>l’ordre du jour provisoire</w:t>
      </w:r>
      <w:r w:rsidR="0035175C" w:rsidRPr="00327A64">
        <w:rPr>
          <w:lang w:val="fr-CH"/>
        </w:rPr>
        <w:t>.</w:t>
      </w:r>
    </w:p>
    <w:p w14:paraId="5AEF11C4" w14:textId="13BAE479" w:rsidR="005D5335" w:rsidRPr="00D358A4" w:rsidRDefault="005D5335" w:rsidP="00A21C0C">
      <w:pPr>
        <w:spacing w:after="0" w:line="240" w:lineRule="auto"/>
        <w:ind w:left="567" w:hanging="567"/>
        <w:rPr>
          <w:rFonts w:cstheme="minorHAnsi"/>
          <w:lang w:val="fr-FR"/>
        </w:rPr>
      </w:pPr>
    </w:p>
    <w:p w14:paraId="26F26CC8" w14:textId="2BDFB3A6" w:rsidR="005F4C17" w:rsidRPr="000E08CF" w:rsidRDefault="0017411A" w:rsidP="005F4C17">
      <w:pPr>
        <w:spacing w:after="0" w:line="240" w:lineRule="auto"/>
        <w:rPr>
          <w:lang w:val="fr-FR"/>
        </w:rPr>
      </w:pPr>
      <w:r w:rsidRPr="000E08CF">
        <w:rPr>
          <w:rFonts w:cstheme="minorHAnsi"/>
          <w:b/>
          <w:lang w:val="fr-FR"/>
        </w:rPr>
        <w:t>D</w:t>
      </w:r>
      <w:r w:rsidR="00397BD3" w:rsidRPr="000E08CF">
        <w:rPr>
          <w:rFonts w:cstheme="minorHAnsi"/>
          <w:b/>
          <w:lang w:val="fr-FR"/>
        </w:rPr>
        <w:t>é</w:t>
      </w:r>
      <w:r w:rsidRPr="000E08CF">
        <w:rPr>
          <w:rFonts w:cstheme="minorHAnsi"/>
          <w:b/>
          <w:lang w:val="fr-FR"/>
        </w:rPr>
        <w:t>cision SC</w:t>
      </w:r>
      <w:r w:rsidR="0035175C" w:rsidRPr="000E08CF">
        <w:rPr>
          <w:rFonts w:cstheme="minorHAnsi"/>
          <w:b/>
          <w:lang w:val="fr-FR"/>
        </w:rPr>
        <w:t>62</w:t>
      </w:r>
      <w:r w:rsidRPr="000E08CF">
        <w:rPr>
          <w:rFonts w:cstheme="minorHAnsi"/>
          <w:b/>
          <w:lang w:val="fr-FR"/>
        </w:rPr>
        <w:t>-01</w:t>
      </w:r>
      <w:r w:rsidR="00397BD3" w:rsidRPr="000E08CF">
        <w:rPr>
          <w:rFonts w:cstheme="minorHAnsi"/>
          <w:b/>
          <w:lang w:val="fr-FR"/>
        </w:rPr>
        <w:t xml:space="preserve"> </w:t>
      </w:r>
      <w:r w:rsidRPr="000E08CF">
        <w:rPr>
          <w:rFonts w:cstheme="minorHAnsi"/>
          <w:b/>
          <w:lang w:val="fr-FR"/>
        </w:rPr>
        <w:t xml:space="preserve">: </w:t>
      </w:r>
      <w:r w:rsidR="000E08CF" w:rsidRPr="00CF44E4">
        <w:rPr>
          <w:rFonts w:cstheme="minorHAnsi"/>
          <w:b/>
          <w:lang w:val="fr-FR"/>
        </w:rPr>
        <w:t xml:space="preserve">Le Comité permanent </w:t>
      </w:r>
      <w:r w:rsidR="005F4C17" w:rsidRPr="000E08CF">
        <w:rPr>
          <w:rFonts w:cstheme="minorHAnsi"/>
          <w:b/>
          <w:lang w:val="fr-FR"/>
        </w:rPr>
        <w:t xml:space="preserve">adopte </w:t>
      </w:r>
      <w:r w:rsidR="000E08CF" w:rsidRPr="000E08CF">
        <w:rPr>
          <w:rFonts w:cstheme="minorHAnsi"/>
          <w:b/>
          <w:lang w:val="fr-FR"/>
        </w:rPr>
        <w:t xml:space="preserve">l’ordre du jour provisoire </w:t>
      </w:r>
      <w:r w:rsidR="000E08CF">
        <w:rPr>
          <w:rFonts w:cstheme="minorHAnsi"/>
          <w:b/>
          <w:lang w:val="fr-FR"/>
        </w:rPr>
        <w:t>figurant dans le</w:t>
      </w:r>
      <w:r w:rsidR="005F4C17" w:rsidRPr="000E08CF">
        <w:rPr>
          <w:rFonts w:cstheme="minorHAnsi"/>
          <w:b/>
          <w:lang w:val="fr-FR"/>
        </w:rPr>
        <w:t xml:space="preserve"> document SC</w:t>
      </w:r>
      <w:r w:rsidR="0035175C" w:rsidRPr="000E08CF">
        <w:rPr>
          <w:rFonts w:cstheme="minorHAnsi"/>
          <w:b/>
          <w:lang w:val="fr-FR"/>
        </w:rPr>
        <w:t>62</w:t>
      </w:r>
      <w:r w:rsidR="005F4C17" w:rsidRPr="000E08CF">
        <w:rPr>
          <w:rFonts w:cstheme="minorHAnsi"/>
          <w:b/>
          <w:lang w:val="fr-FR"/>
        </w:rPr>
        <w:t xml:space="preserve"> Doc.2 Rev.1</w:t>
      </w:r>
      <w:r w:rsidR="0035175C" w:rsidRPr="000E08CF">
        <w:rPr>
          <w:rFonts w:cstheme="minorHAnsi"/>
          <w:b/>
          <w:lang w:val="fr-FR"/>
        </w:rPr>
        <w:t>.</w:t>
      </w:r>
    </w:p>
    <w:p w14:paraId="12FD1027" w14:textId="77777777" w:rsidR="0017411A" w:rsidRPr="000E08CF" w:rsidRDefault="0017411A" w:rsidP="00D47231">
      <w:pPr>
        <w:tabs>
          <w:tab w:val="left" w:pos="720"/>
          <w:tab w:val="center" w:pos="4680"/>
        </w:tabs>
        <w:spacing w:after="0" w:line="240" w:lineRule="auto"/>
        <w:contextualSpacing/>
        <w:rPr>
          <w:rFonts w:cstheme="minorHAnsi"/>
          <w:lang w:val="fr-FR"/>
        </w:rPr>
      </w:pPr>
    </w:p>
    <w:p w14:paraId="1161549B" w14:textId="6D6C1C78" w:rsidR="0024341A" w:rsidRPr="00397BD3" w:rsidRDefault="00397BD3"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97BD3">
        <w:rPr>
          <w:rFonts w:cstheme="minorHAnsi"/>
          <w:bCs/>
          <w:lang w:val="fr-FR"/>
        </w:rPr>
        <w:t xml:space="preserve">Point </w:t>
      </w:r>
      <w:r>
        <w:rPr>
          <w:rFonts w:cstheme="minorHAnsi"/>
          <w:bCs/>
          <w:lang w:val="fr-FR"/>
        </w:rPr>
        <w:t>3</w:t>
      </w:r>
      <w:r w:rsidRPr="00397BD3">
        <w:rPr>
          <w:rFonts w:cstheme="minorHAnsi"/>
          <w:bCs/>
          <w:lang w:val="fr-FR"/>
        </w:rPr>
        <w:t xml:space="preserve"> de l’ordre du jour : Adoption du programme de travail provisoire</w:t>
      </w:r>
    </w:p>
    <w:p w14:paraId="5DF766C5" w14:textId="77777777" w:rsidR="0024341A" w:rsidRPr="00397BD3" w:rsidRDefault="0024341A" w:rsidP="00370B73">
      <w:pPr>
        <w:keepNext/>
        <w:spacing w:after="0" w:line="240" w:lineRule="auto"/>
        <w:rPr>
          <w:rFonts w:cstheme="minorHAnsi"/>
          <w:lang w:val="fr-FR"/>
        </w:rPr>
      </w:pPr>
    </w:p>
    <w:p w14:paraId="1BE4F19C" w14:textId="5A491E52" w:rsidR="005F4C17" w:rsidRPr="00327A64" w:rsidRDefault="0035175C" w:rsidP="005F4C17">
      <w:pPr>
        <w:spacing w:after="0" w:line="240" w:lineRule="auto"/>
        <w:ind w:left="567" w:hanging="567"/>
        <w:rPr>
          <w:lang w:val="fr-CH"/>
        </w:rPr>
      </w:pPr>
      <w:r w:rsidRPr="00327A64">
        <w:rPr>
          <w:lang w:val="fr-CH"/>
        </w:rPr>
        <w:t>3</w:t>
      </w:r>
      <w:r w:rsidR="0079631C" w:rsidRPr="00327A64">
        <w:rPr>
          <w:lang w:val="fr-CH"/>
        </w:rPr>
        <w:t>.</w:t>
      </w:r>
      <w:r w:rsidR="0079631C" w:rsidRPr="00327A64">
        <w:rPr>
          <w:lang w:val="fr-CH"/>
        </w:rPr>
        <w:tab/>
      </w:r>
      <w:r w:rsidR="00105BBF">
        <w:rPr>
          <w:lang w:val="fr-CH"/>
        </w:rPr>
        <w:t xml:space="preserve">Le Président du Comité permanent présente le </w:t>
      </w:r>
      <w:r w:rsidR="00D358A4" w:rsidRPr="00327A64">
        <w:rPr>
          <w:lang w:val="fr-CH"/>
        </w:rPr>
        <w:t>document SC62 Doc.3</w:t>
      </w:r>
      <w:r w:rsidR="00D358A4">
        <w:rPr>
          <w:lang w:val="fr-CH"/>
        </w:rPr>
        <w:t xml:space="preserve"> qui contient le </w:t>
      </w:r>
      <w:r w:rsidR="00105BBF">
        <w:rPr>
          <w:lang w:val="fr-CH"/>
        </w:rPr>
        <w:t>programme de travail provisoire</w:t>
      </w:r>
      <w:r w:rsidR="00393E41" w:rsidRPr="00327A64">
        <w:rPr>
          <w:lang w:val="fr-CH"/>
        </w:rPr>
        <w:t>.</w:t>
      </w:r>
    </w:p>
    <w:p w14:paraId="608C2DF1" w14:textId="77777777" w:rsidR="005F4C17" w:rsidRPr="00D358A4" w:rsidRDefault="005F4C17" w:rsidP="0035175C">
      <w:pPr>
        <w:spacing w:after="0" w:line="240" w:lineRule="auto"/>
        <w:rPr>
          <w:lang w:val="fr-FR"/>
        </w:rPr>
      </w:pPr>
    </w:p>
    <w:p w14:paraId="289110D7" w14:textId="4521AB0A" w:rsidR="005F4C17" w:rsidRPr="000E08CF" w:rsidRDefault="005F4C17" w:rsidP="005F4C17">
      <w:pPr>
        <w:spacing w:after="0" w:line="240" w:lineRule="auto"/>
        <w:rPr>
          <w:lang w:val="fr-FR"/>
        </w:rPr>
      </w:pPr>
      <w:r w:rsidRPr="000E08CF">
        <w:rPr>
          <w:rFonts w:cstheme="minorHAnsi"/>
          <w:b/>
          <w:lang w:val="fr-FR"/>
        </w:rPr>
        <w:t>D</w:t>
      </w:r>
      <w:r w:rsidR="00397BD3" w:rsidRPr="000E08CF">
        <w:rPr>
          <w:rFonts w:cstheme="minorHAnsi"/>
          <w:b/>
          <w:lang w:val="fr-FR"/>
        </w:rPr>
        <w:t>é</w:t>
      </w:r>
      <w:r w:rsidRPr="000E08CF">
        <w:rPr>
          <w:rFonts w:cstheme="minorHAnsi"/>
          <w:b/>
          <w:lang w:val="fr-FR"/>
        </w:rPr>
        <w:t>cision SC</w:t>
      </w:r>
      <w:r w:rsidR="0035175C" w:rsidRPr="000E08CF">
        <w:rPr>
          <w:rFonts w:cstheme="minorHAnsi"/>
          <w:b/>
          <w:lang w:val="fr-FR"/>
        </w:rPr>
        <w:t>62</w:t>
      </w:r>
      <w:r w:rsidRPr="000E08CF">
        <w:rPr>
          <w:rFonts w:cstheme="minorHAnsi"/>
          <w:b/>
          <w:lang w:val="fr-FR"/>
        </w:rPr>
        <w:t>-02</w:t>
      </w:r>
      <w:r w:rsidR="00397BD3" w:rsidRPr="000E08CF">
        <w:rPr>
          <w:rFonts w:cstheme="minorHAnsi"/>
          <w:b/>
          <w:lang w:val="fr-FR"/>
        </w:rPr>
        <w:t xml:space="preserve"> </w:t>
      </w:r>
      <w:r w:rsidRPr="000E08CF">
        <w:rPr>
          <w:rFonts w:cstheme="minorHAnsi"/>
          <w:b/>
          <w:lang w:val="fr-FR"/>
        </w:rPr>
        <w:t xml:space="preserve">: </w:t>
      </w:r>
      <w:r w:rsidR="000E08CF" w:rsidRPr="00CF44E4">
        <w:rPr>
          <w:rFonts w:cstheme="minorHAnsi"/>
          <w:b/>
          <w:lang w:val="fr-FR"/>
        </w:rPr>
        <w:t xml:space="preserve">Le Comité permanent </w:t>
      </w:r>
      <w:r w:rsidRPr="000E08CF">
        <w:rPr>
          <w:rFonts w:cstheme="minorHAnsi"/>
          <w:b/>
          <w:lang w:val="fr-FR"/>
        </w:rPr>
        <w:t xml:space="preserve">adopte </w:t>
      </w:r>
      <w:r w:rsidR="000E08CF" w:rsidRPr="000E08CF">
        <w:rPr>
          <w:rFonts w:cstheme="minorHAnsi"/>
          <w:b/>
          <w:lang w:val="fr-FR"/>
        </w:rPr>
        <w:t>le</w:t>
      </w:r>
      <w:r w:rsidR="000E08CF">
        <w:rPr>
          <w:rFonts w:cstheme="minorHAnsi"/>
          <w:b/>
          <w:lang w:val="fr-FR"/>
        </w:rPr>
        <w:t xml:space="preserve"> programme de travail provisoire figurant dans le</w:t>
      </w:r>
      <w:r w:rsidRPr="000E08CF">
        <w:rPr>
          <w:rFonts w:cstheme="minorHAnsi"/>
          <w:b/>
          <w:lang w:val="fr-FR"/>
        </w:rPr>
        <w:t xml:space="preserve"> document SC</w:t>
      </w:r>
      <w:r w:rsidR="0035175C" w:rsidRPr="000E08CF">
        <w:rPr>
          <w:rFonts w:cstheme="minorHAnsi"/>
          <w:b/>
          <w:lang w:val="fr-FR"/>
        </w:rPr>
        <w:t>62</w:t>
      </w:r>
      <w:r w:rsidRPr="000E08CF">
        <w:rPr>
          <w:rFonts w:cstheme="minorHAnsi"/>
          <w:b/>
          <w:lang w:val="fr-FR"/>
        </w:rPr>
        <w:t xml:space="preserve"> Doc.3</w:t>
      </w:r>
      <w:r w:rsidR="0035175C" w:rsidRPr="000E08CF">
        <w:rPr>
          <w:rFonts w:cstheme="minorHAnsi"/>
          <w:b/>
          <w:lang w:val="fr-FR"/>
        </w:rPr>
        <w:t>.</w:t>
      </w:r>
    </w:p>
    <w:p w14:paraId="088BBE94" w14:textId="77777777" w:rsidR="0024341A" w:rsidRPr="000E08CF" w:rsidRDefault="0024341A" w:rsidP="00D47231">
      <w:pPr>
        <w:tabs>
          <w:tab w:val="left" w:pos="720"/>
          <w:tab w:val="center" w:pos="4680"/>
        </w:tabs>
        <w:spacing w:after="0" w:line="240" w:lineRule="auto"/>
        <w:rPr>
          <w:rFonts w:cstheme="minorHAnsi"/>
          <w:bCs/>
          <w:lang w:val="fr-FR"/>
        </w:rPr>
      </w:pPr>
    </w:p>
    <w:p w14:paraId="741AECEF" w14:textId="5AD9A96A" w:rsidR="0024341A" w:rsidRPr="003B5404" w:rsidRDefault="003B5404" w:rsidP="00370B73">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B5404">
        <w:rPr>
          <w:rFonts w:cstheme="minorHAnsi"/>
          <w:bCs/>
          <w:lang w:val="fr-FR"/>
        </w:rPr>
        <w:t xml:space="preserve">Point </w:t>
      </w:r>
      <w:r>
        <w:rPr>
          <w:rFonts w:cstheme="minorHAnsi"/>
          <w:bCs/>
          <w:lang w:val="fr-FR"/>
        </w:rPr>
        <w:t>4</w:t>
      </w:r>
      <w:r w:rsidRPr="003B5404">
        <w:rPr>
          <w:rFonts w:cstheme="minorHAnsi"/>
          <w:bCs/>
          <w:lang w:val="fr-FR"/>
        </w:rPr>
        <w:t xml:space="preserve"> de l’ordre du jour : Ad</w:t>
      </w:r>
      <w:r w:rsidR="00584D51">
        <w:rPr>
          <w:rFonts w:cstheme="minorHAnsi"/>
          <w:bCs/>
          <w:lang w:val="fr-FR"/>
        </w:rPr>
        <w:t>mission</w:t>
      </w:r>
      <w:r w:rsidRPr="003B5404">
        <w:rPr>
          <w:rFonts w:cstheme="minorHAnsi"/>
          <w:bCs/>
          <w:lang w:val="fr-FR"/>
        </w:rPr>
        <w:t xml:space="preserve"> </w:t>
      </w:r>
      <w:r>
        <w:rPr>
          <w:rFonts w:cstheme="minorHAnsi"/>
          <w:bCs/>
          <w:lang w:val="fr-FR"/>
        </w:rPr>
        <w:t>des observateurs</w:t>
      </w:r>
    </w:p>
    <w:p w14:paraId="48007D5E" w14:textId="77777777" w:rsidR="0024341A" w:rsidRPr="003B5404" w:rsidRDefault="0024341A" w:rsidP="00370B73">
      <w:pPr>
        <w:keepNext/>
        <w:spacing w:after="0" w:line="240" w:lineRule="auto"/>
        <w:rPr>
          <w:rFonts w:cstheme="minorHAnsi"/>
          <w:lang w:val="fr-FR"/>
        </w:rPr>
      </w:pPr>
    </w:p>
    <w:p w14:paraId="55D65265" w14:textId="508DEBDF" w:rsidR="00633E8E" w:rsidRPr="00327A64" w:rsidRDefault="00CB5A76" w:rsidP="00CC6DB5">
      <w:pPr>
        <w:spacing w:after="0" w:line="240" w:lineRule="auto"/>
        <w:ind w:left="567" w:hanging="567"/>
        <w:rPr>
          <w:rFonts w:eastAsia="Calibri" w:cstheme="minorHAnsi"/>
          <w:bCs/>
          <w:lang w:val="fr-CH"/>
        </w:rPr>
      </w:pPr>
      <w:r w:rsidRPr="00327A64">
        <w:rPr>
          <w:rFonts w:eastAsia="Calibri" w:cstheme="minorHAnsi"/>
          <w:bCs/>
          <w:lang w:val="fr-CH"/>
        </w:rPr>
        <w:t>4</w:t>
      </w:r>
      <w:r w:rsidR="0079631C" w:rsidRPr="00327A64">
        <w:rPr>
          <w:rFonts w:eastAsia="Calibri" w:cstheme="minorHAnsi"/>
          <w:bCs/>
          <w:lang w:val="fr-CH"/>
        </w:rPr>
        <w:t>.</w:t>
      </w:r>
      <w:r w:rsidR="0079631C" w:rsidRPr="00327A64">
        <w:rPr>
          <w:rFonts w:eastAsia="Calibri" w:cstheme="minorHAnsi"/>
          <w:bCs/>
          <w:lang w:val="fr-CH"/>
        </w:rPr>
        <w:tab/>
      </w:r>
      <w:r w:rsidR="00105BBF">
        <w:rPr>
          <w:rFonts w:eastAsia="Calibri" w:cstheme="minorHAnsi"/>
          <w:bCs/>
          <w:lang w:val="fr-CH"/>
        </w:rPr>
        <w:t xml:space="preserve">Le Secrétariat signale les paragraphes clés du </w:t>
      </w:r>
      <w:r w:rsidR="00294A7E" w:rsidRPr="00327A64">
        <w:rPr>
          <w:rFonts w:eastAsia="Calibri" w:cstheme="minorHAnsi"/>
          <w:bCs/>
          <w:lang w:val="fr-CH"/>
        </w:rPr>
        <w:t>document SC</w:t>
      </w:r>
      <w:r w:rsidR="0035175C" w:rsidRPr="00327A64">
        <w:rPr>
          <w:rFonts w:eastAsia="Calibri" w:cstheme="minorHAnsi"/>
          <w:bCs/>
          <w:lang w:val="fr-CH"/>
        </w:rPr>
        <w:t>62</w:t>
      </w:r>
      <w:r w:rsidR="00294A7E" w:rsidRPr="00327A64">
        <w:rPr>
          <w:rFonts w:eastAsia="Calibri" w:cstheme="minorHAnsi"/>
          <w:bCs/>
          <w:lang w:val="fr-CH"/>
        </w:rPr>
        <w:t xml:space="preserve"> Doc.</w:t>
      </w:r>
      <w:r w:rsidR="00633E8E" w:rsidRPr="00327A64">
        <w:rPr>
          <w:rFonts w:eastAsia="Calibri" w:cstheme="minorHAnsi"/>
          <w:bCs/>
          <w:lang w:val="fr-CH"/>
        </w:rPr>
        <w:t>4.</w:t>
      </w:r>
      <w:r w:rsidR="00BE59A4" w:rsidRPr="00327A64">
        <w:rPr>
          <w:rFonts w:eastAsia="Calibri" w:cstheme="minorHAnsi"/>
          <w:bCs/>
          <w:lang w:val="fr-CH"/>
        </w:rPr>
        <w:t xml:space="preserve"> </w:t>
      </w:r>
      <w:r w:rsidR="00105BBF" w:rsidRPr="00D358A4">
        <w:rPr>
          <w:rFonts w:eastAsia="Calibri" w:cstheme="minorHAnsi"/>
          <w:bCs/>
          <w:lang w:val="fr-CH"/>
        </w:rPr>
        <w:t xml:space="preserve">Les organismes </w:t>
      </w:r>
      <w:r w:rsidR="00D358A4" w:rsidRPr="00D358A4">
        <w:rPr>
          <w:rFonts w:eastAsia="Calibri" w:cstheme="minorHAnsi"/>
          <w:bCs/>
          <w:lang w:val="fr-CH"/>
        </w:rPr>
        <w:t xml:space="preserve">ayant </w:t>
      </w:r>
      <w:r w:rsidR="00105BBF" w:rsidRPr="00D358A4">
        <w:rPr>
          <w:rFonts w:eastAsia="Calibri" w:cstheme="minorHAnsi"/>
          <w:bCs/>
          <w:lang w:val="fr-CH"/>
        </w:rPr>
        <w:t>demandé d’être admis comme observateurs sont</w:t>
      </w:r>
      <w:r w:rsidR="00D358A4">
        <w:rPr>
          <w:rFonts w:eastAsia="Calibri" w:cstheme="minorHAnsi"/>
          <w:bCs/>
          <w:lang w:val="fr-CH"/>
        </w:rPr>
        <w:t xml:space="preserve"> les suivants</w:t>
      </w:r>
      <w:r w:rsidR="00105BBF">
        <w:rPr>
          <w:rFonts w:eastAsia="Calibri" w:cstheme="minorHAnsi"/>
          <w:bCs/>
          <w:lang w:val="fr-CH"/>
        </w:rPr>
        <w:t> :</w:t>
      </w:r>
    </w:p>
    <w:p w14:paraId="7F91ADDA" w14:textId="77777777" w:rsidR="00BE59A4" w:rsidRPr="00327A64" w:rsidRDefault="00BE59A4" w:rsidP="00460E83">
      <w:pPr>
        <w:tabs>
          <w:tab w:val="left" w:pos="4253"/>
        </w:tabs>
        <w:overflowPunct w:val="0"/>
        <w:autoSpaceDE w:val="0"/>
        <w:autoSpaceDN w:val="0"/>
        <w:adjustRightInd w:val="0"/>
        <w:spacing w:after="0" w:line="240" w:lineRule="auto"/>
        <w:ind w:left="567" w:firstLine="1"/>
        <w:rPr>
          <w:u w:val="single"/>
          <w:lang w:val="fr-CH"/>
        </w:rPr>
      </w:pPr>
    </w:p>
    <w:p w14:paraId="477774E8" w14:textId="29E0F38F" w:rsidR="00460E83" w:rsidRPr="00327A64" w:rsidRDefault="00105BBF" w:rsidP="00460E83">
      <w:pPr>
        <w:tabs>
          <w:tab w:val="left" w:pos="4253"/>
        </w:tabs>
        <w:overflowPunct w:val="0"/>
        <w:autoSpaceDE w:val="0"/>
        <w:autoSpaceDN w:val="0"/>
        <w:adjustRightInd w:val="0"/>
        <w:spacing w:after="0" w:line="240" w:lineRule="auto"/>
        <w:ind w:left="567" w:firstLine="1"/>
        <w:rPr>
          <w:lang w:val="fr-CH"/>
        </w:rPr>
      </w:pPr>
      <w:r>
        <w:rPr>
          <w:u w:val="single"/>
          <w:lang w:val="fr-CH"/>
        </w:rPr>
        <w:t>Organisation des Nations Unies et ses institutions spécialisées</w:t>
      </w:r>
      <w:r w:rsidRPr="00105BBF">
        <w:rPr>
          <w:lang w:val="fr-CH"/>
        </w:rPr>
        <w:t> :</w:t>
      </w:r>
      <w:r>
        <w:rPr>
          <w:u w:val="single"/>
          <w:lang w:val="fr-CH"/>
        </w:rPr>
        <w:t xml:space="preserve"> </w:t>
      </w:r>
    </w:p>
    <w:p w14:paraId="66541007" w14:textId="30C8D100" w:rsidR="00460E83" w:rsidRPr="00327A64" w:rsidRDefault="0081602C" w:rsidP="00460E83">
      <w:pPr>
        <w:pStyle w:val="Default"/>
        <w:numPr>
          <w:ilvl w:val="0"/>
          <w:numId w:val="49"/>
        </w:numPr>
        <w:ind w:left="993" w:hanging="425"/>
        <w:rPr>
          <w:sz w:val="22"/>
          <w:szCs w:val="22"/>
          <w:lang w:val="fr-CH"/>
        </w:rPr>
      </w:pPr>
      <w:r>
        <w:rPr>
          <w:sz w:val="22"/>
          <w:szCs w:val="22"/>
          <w:lang w:val="fr-CH"/>
        </w:rPr>
        <w:t>Commission économique des Nations Unies pour l’Europe</w:t>
      </w:r>
      <w:r w:rsidR="00460E83" w:rsidRPr="00327A64">
        <w:rPr>
          <w:sz w:val="22"/>
          <w:szCs w:val="22"/>
          <w:lang w:val="fr-CH"/>
        </w:rPr>
        <w:t xml:space="preserve"> (</w:t>
      </w:r>
      <w:r>
        <w:rPr>
          <w:sz w:val="22"/>
          <w:szCs w:val="22"/>
          <w:lang w:val="fr-CH"/>
        </w:rPr>
        <w:t>CEE-ONU</w:t>
      </w:r>
      <w:r w:rsidR="00460E83" w:rsidRPr="00327A64">
        <w:rPr>
          <w:sz w:val="22"/>
          <w:szCs w:val="22"/>
          <w:lang w:val="fr-CH"/>
        </w:rPr>
        <w:t>)</w:t>
      </w:r>
    </w:p>
    <w:p w14:paraId="41F7BF73" w14:textId="1E3FE901" w:rsidR="00460E83" w:rsidRPr="00327A64" w:rsidRDefault="0081602C" w:rsidP="00460E83">
      <w:pPr>
        <w:pStyle w:val="Default"/>
        <w:numPr>
          <w:ilvl w:val="0"/>
          <w:numId w:val="49"/>
        </w:numPr>
        <w:ind w:left="993" w:hanging="425"/>
        <w:rPr>
          <w:sz w:val="22"/>
          <w:szCs w:val="22"/>
          <w:lang w:val="fr-CH"/>
        </w:rPr>
      </w:pPr>
      <w:r>
        <w:rPr>
          <w:sz w:val="22"/>
          <w:szCs w:val="22"/>
          <w:lang w:val="fr-CH"/>
        </w:rPr>
        <w:t>Programme des Nations Unies pour l’environnement (PNUE)</w:t>
      </w:r>
    </w:p>
    <w:p w14:paraId="58786FA0" w14:textId="3EDD4AE7" w:rsidR="00460E83" w:rsidRPr="00327A64" w:rsidRDefault="0081602C" w:rsidP="00460E83">
      <w:pPr>
        <w:pStyle w:val="Default"/>
        <w:numPr>
          <w:ilvl w:val="0"/>
          <w:numId w:val="49"/>
        </w:numPr>
        <w:ind w:left="993" w:hanging="425"/>
        <w:rPr>
          <w:sz w:val="22"/>
          <w:szCs w:val="22"/>
          <w:lang w:val="fr-CH"/>
        </w:rPr>
      </w:pPr>
      <w:r>
        <w:rPr>
          <w:sz w:val="22"/>
          <w:szCs w:val="22"/>
          <w:lang w:val="fr-CH"/>
        </w:rPr>
        <w:t>Organisation mondiale du tourisme (OMT)</w:t>
      </w:r>
    </w:p>
    <w:p w14:paraId="210124A1" w14:textId="77777777" w:rsidR="00BE59A4" w:rsidRPr="00327A64" w:rsidRDefault="00BE59A4" w:rsidP="00460E83">
      <w:pPr>
        <w:tabs>
          <w:tab w:val="left" w:pos="4253"/>
        </w:tabs>
        <w:overflowPunct w:val="0"/>
        <w:autoSpaceDE w:val="0"/>
        <w:autoSpaceDN w:val="0"/>
        <w:adjustRightInd w:val="0"/>
        <w:spacing w:after="0" w:line="240" w:lineRule="auto"/>
        <w:ind w:left="567" w:firstLine="1"/>
        <w:rPr>
          <w:u w:val="single"/>
          <w:lang w:val="fr-CH"/>
        </w:rPr>
      </w:pPr>
    </w:p>
    <w:p w14:paraId="2058440D" w14:textId="38340EE7" w:rsidR="00460E83" w:rsidRPr="00327A64" w:rsidRDefault="0081602C" w:rsidP="00BE59A4">
      <w:pPr>
        <w:keepNext/>
        <w:tabs>
          <w:tab w:val="left" w:pos="4253"/>
        </w:tabs>
        <w:overflowPunct w:val="0"/>
        <w:autoSpaceDE w:val="0"/>
        <w:autoSpaceDN w:val="0"/>
        <w:adjustRightInd w:val="0"/>
        <w:spacing w:after="0" w:line="240" w:lineRule="auto"/>
        <w:ind w:left="567"/>
        <w:rPr>
          <w:u w:val="single"/>
          <w:lang w:val="fr-CH"/>
        </w:rPr>
      </w:pPr>
      <w:r>
        <w:rPr>
          <w:u w:val="single"/>
          <w:lang w:val="fr-CH"/>
        </w:rPr>
        <w:t xml:space="preserve">États non parties à la </w:t>
      </w:r>
      <w:r w:rsidR="00460E83" w:rsidRPr="00327A64">
        <w:rPr>
          <w:u w:val="single"/>
          <w:lang w:val="fr-CH"/>
        </w:rPr>
        <w:t>Convention</w:t>
      </w:r>
      <w:r w:rsidRPr="0081602C">
        <w:rPr>
          <w:lang w:val="fr-CH"/>
        </w:rPr>
        <w:t> </w:t>
      </w:r>
      <w:r w:rsidR="00460E83" w:rsidRPr="0081602C">
        <w:rPr>
          <w:lang w:val="fr-CH"/>
        </w:rPr>
        <w:t>:</w:t>
      </w:r>
    </w:p>
    <w:p w14:paraId="6A916569" w14:textId="2DD142AC" w:rsidR="00460E83" w:rsidRPr="00327A64" w:rsidRDefault="00460E83" w:rsidP="00460E83">
      <w:pPr>
        <w:pStyle w:val="Default"/>
        <w:numPr>
          <w:ilvl w:val="0"/>
          <w:numId w:val="49"/>
        </w:numPr>
        <w:ind w:left="993" w:hanging="425"/>
        <w:rPr>
          <w:sz w:val="22"/>
          <w:szCs w:val="22"/>
          <w:lang w:val="fr-CH"/>
        </w:rPr>
      </w:pPr>
      <w:r w:rsidRPr="00327A64">
        <w:rPr>
          <w:sz w:val="22"/>
          <w:szCs w:val="22"/>
          <w:lang w:val="fr-CH"/>
        </w:rPr>
        <w:t xml:space="preserve">Qatar </w:t>
      </w:r>
      <w:r w:rsidR="0081602C">
        <w:rPr>
          <w:sz w:val="22"/>
          <w:szCs w:val="22"/>
          <w:lang w:val="fr-CH"/>
        </w:rPr>
        <w:t>– Ministère de l’environnement et du changement climatique</w:t>
      </w:r>
    </w:p>
    <w:p w14:paraId="0D4D76D4" w14:textId="77777777" w:rsidR="00BE59A4" w:rsidRPr="00327A64" w:rsidRDefault="00BE59A4" w:rsidP="00460E83">
      <w:pPr>
        <w:tabs>
          <w:tab w:val="left" w:pos="4253"/>
        </w:tabs>
        <w:overflowPunct w:val="0"/>
        <w:autoSpaceDE w:val="0"/>
        <w:autoSpaceDN w:val="0"/>
        <w:adjustRightInd w:val="0"/>
        <w:spacing w:after="0" w:line="240" w:lineRule="auto"/>
        <w:ind w:left="567" w:firstLine="1"/>
        <w:rPr>
          <w:u w:val="single"/>
          <w:lang w:val="fr-CH"/>
        </w:rPr>
      </w:pPr>
    </w:p>
    <w:p w14:paraId="5A75968A" w14:textId="1BB88683" w:rsidR="00460E83" w:rsidRPr="00327A64" w:rsidRDefault="0081602C" w:rsidP="00460E83">
      <w:pPr>
        <w:tabs>
          <w:tab w:val="left" w:pos="4253"/>
        </w:tabs>
        <w:overflowPunct w:val="0"/>
        <w:autoSpaceDE w:val="0"/>
        <w:autoSpaceDN w:val="0"/>
        <w:adjustRightInd w:val="0"/>
        <w:spacing w:after="0" w:line="240" w:lineRule="auto"/>
        <w:ind w:left="567" w:firstLine="1"/>
        <w:rPr>
          <w:u w:val="single"/>
          <w:lang w:val="fr-CH"/>
        </w:rPr>
      </w:pPr>
      <w:r>
        <w:rPr>
          <w:u w:val="single"/>
          <w:lang w:val="fr-CH"/>
        </w:rPr>
        <w:t xml:space="preserve">Organes et organismes qualifiés dans des domaines relatifs </w:t>
      </w:r>
      <w:r w:rsidR="00555C54">
        <w:rPr>
          <w:u w:val="single"/>
          <w:lang w:val="fr-CH"/>
        </w:rPr>
        <w:t>à la conservation et à l’utilisation durable des zones humides</w:t>
      </w:r>
      <w:r w:rsidR="00555C54" w:rsidRPr="00555C54">
        <w:rPr>
          <w:lang w:val="fr-CH"/>
        </w:rPr>
        <w:t> :</w:t>
      </w:r>
      <w:r w:rsidR="00555C54">
        <w:rPr>
          <w:u w:val="single"/>
          <w:lang w:val="fr-CH"/>
        </w:rPr>
        <w:t xml:space="preserve"> </w:t>
      </w:r>
    </w:p>
    <w:p w14:paraId="304A1554" w14:textId="2A1FF5AB" w:rsidR="00460E83" w:rsidRPr="00327A64" w:rsidRDefault="00555C54" w:rsidP="00BE59A4">
      <w:pPr>
        <w:pStyle w:val="Default"/>
        <w:numPr>
          <w:ilvl w:val="0"/>
          <w:numId w:val="49"/>
        </w:numPr>
        <w:ind w:left="993" w:hanging="425"/>
        <w:rPr>
          <w:sz w:val="22"/>
          <w:szCs w:val="22"/>
          <w:lang w:val="fr-CH"/>
        </w:rPr>
      </w:pPr>
      <w:r>
        <w:rPr>
          <w:sz w:val="22"/>
          <w:szCs w:val="22"/>
          <w:lang w:val="fr-CH"/>
        </w:rPr>
        <w:t>Conseil international de la chasse et de la conservation du gibier</w:t>
      </w:r>
      <w:r w:rsidR="00D358A4">
        <w:rPr>
          <w:sz w:val="22"/>
          <w:szCs w:val="22"/>
          <w:lang w:val="fr-CH"/>
        </w:rPr>
        <w:t xml:space="preserve"> (CIC)</w:t>
      </w:r>
    </w:p>
    <w:p w14:paraId="25210A50" w14:textId="77777777" w:rsidR="00460E83" w:rsidRPr="00327A64" w:rsidRDefault="00460E83" w:rsidP="00BE59A4">
      <w:pPr>
        <w:pStyle w:val="Default"/>
        <w:numPr>
          <w:ilvl w:val="0"/>
          <w:numId w:val="49"/>
        </w:numPr>
        <w:ind w:left="993" w:hanging="425"/>
        <w:rPr>
          <w:sz w:val="22"/>
          <w:szCs w:val="22"/>
          <w:lang w:val="fr-CH"/>
        </w:rPr>
      </w:pPr>
      <w:r w:rsidRPr="00327A64">
        <w:rPr>
          <w:sz w:val="22"/>
          <w:szCs w:val="22"/>
          <w:lang w:val="fr-CH"/>
        </w:rPr>
        <w:t>ONG APES</w:t>
      </w:r>
    </w:p>
    <w:p w14:paraId="7F956DE2" w14:textId="77777777" w:rsidR="00460E83" w:rsidRPr="00327A64" w:rsidRDefault="00460E83" w:rsidP="00BE59A4">
      <w:pPr>
        <w:pStyle w:val="Default"/>
        <w:numPr>
          <w:ilvl w:val="0"/>
          <w:numId w:val="49"/>
        </w:numPr>
        <w:ind w:left="993" w:hanging="425"/>
        <w:rPr>
          <w:sz w:val="22"/>
          <w:szCs w:val="22"/>
          <w:lang w:val="fr-CH"/>
        </w:rPr>
      </w:pPr>
      <w:r w:rsidRPr="00327A64">
        <w:rPr>
          <w:sz w:val="22"/>
          <w:szCs w:val="22"/>
          <w:lang w:val="fr-CH"/>
        </w:rPr>
        <w:t>Programme de Développement Humanitaire et Logistique (P.D.H.L.)</w:t>
      </w:r>
    </w:p>
    <w:p w14:paraId="573CBF66" w14:textId="77777777" w:rsidR="00460E83" w:rsidRPr="00460E83" w:rsidRDefault="00460E83" w:rsidP="00460E83">
      <w:pPr>
        <w:spacing w:after="0" w:line="240" w:lineRule="auto"/>
        <w:ind w:left="567" w:hanging="567"/>
        <w:rPr>
          <w:rFonts w:eastAsia="Calibri" w:cstheme="minorHAnsi"/>
          <w:bCs/>
          <w:lang w:val="fr-FR"/>
        </w:rPr>
      </w:pPr>
    </w:p>
    <w:p w14:paraId="6861CE23" w14:textId="7A10B8D7" w:rsidR="00D20B2A" w:rsidRPr="000E08CF" w:rsidRDefault="00D20B2A" w:rsidP="00D47231">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w:t>
      </w:r>
      <w:r w:rsidR="0035175C" w:rsidRPr="000E08CF">
        <w:rPr>
          <w:rFonts w:cstheme="minorHAnsi"/>
          <w:b/>
          <w:lang w:val="fr-FR"/>
        </w:rPr>
        <w:t>62</w:t>
      </w:r>
      <w:r w:rsidRPr="000E08CF">
        <w:rPr>
          <w:rFonts w:cstheme="minorHAnsi"/>
          <w:b/>
          <w:lang w:val="fr-FR"/>
        </w:rPr>
        <w:t>-0</w:t>
      </w:r>
      <w:r w:rsidR="00545238" w:rsidRPr="000E08CF">
        <w:rPr>
          <w:rFonts w:cstheme="minorHAnsi"/>
          <w:b/>
          <w:lang w:val="fr-FR"/>
        </w:rPr>
        <w:t>3</w:t>
      </w:r>
      <w:r w:rsidR="003B5404" w:rsidRPr="000E08CF">
        <w:rPr>
          <w:rFonts w:cstheme="minorHAnsi"/>
          <w:b/>
          <w:lang w:val="fr-FR"/>
        </w:rPr>
        <w:t> </w:t>
      </w:r>
      <w:r w:rsidRPr="000E08CF">
        <w:rPr>
          <w:rFonts w:cstheme="minorHAnsi"/>
          <w:b/>
          <w:lang w:val="fr-FR"/>
        </w:rPr>
        <w:t xml:space="preserve">: </w:t>
      </w:r>
      <w:r w:rsidR="000E08CF" w:rsidRPr="00CF44E4">
        <w:rPr>
          <w:rFonts w:cstheme="minorHAnsi"/>
          <w:b/>
          <w:lang w:val="fr-FR"/>
        </w:rPr>
        <w:t xml:space="preserve">Le Comité permanent </w:t>
      </w:r>
      <w:r w:rsidRPr="000E08CF">
        <w:rPr>
          <w:rFonts w:cstheme="minorHAnsi"/>
          <w:b/>
          <w:lang w:val="fr-FR"/>
        </w:rPr>
        <w:t>adm</w:t>
      </w:r>
      <w:r w:rsidR="000E08CF" w:rsidRPr="000E08CF">
        <w:rPr>
          <w:rFonts w:cstheme="minorHAnsi"/>
          <w:b/>
          <w:lang w:val="fr-FR"/>
        </w:rPr>
        <w:t>e</w:t>
      </w:r>
      <w:r w:rsidR="000E08CF">
        <w:rPr>
          <w:rFonts w:cstheme="minorHAnsi"/>
          <w:b/>
          <w:lang w:val="fr-FR"/>
        </w:rPr>
        <w:t xml:space="preserve">t les </w:t>
      </w:r>
      <w:r w:rsidRPr="000E08CF">
        <w:rPr>
          <w:rFonts w:cstheme="minorHAnsi"/>
          <w:b/>
          <w:lang w:val="fr-FR"/>
        </w:rPr>
        <w:t>observ</w:t>
      </w:r>
      <w:r w:rsidR="000E08CF">
        <w:rPr>
          <w:rFonts w:cstheme="minorHAnsi"/>
          <w:b/>
          <w:lang w:val="fr-FR"/>
        </w:rPr>
        <w:t>ateurs énumérés dans le</w:t>
      </w:r>
      <w:r w:rsidRPr="000E08CF">
        <w:rPr>
          <w:rFonts w:cstheme="minorHAnsi"/>
          <w:b/>
          <w:lang w:val="fr-FR"/>
        </w:rPr>
        <w:t xml:space="preserve"> </w:t>
      </w:r>
      <w:r w:rsidR="00294A7E" w:rsidRPr="000E08CF">
        <w:rPr>
          <w:rFonts w:cstheme="minorHAnsi"/>
          <w:b/>
          <w:lang w:val="fr-FR"/>
        </w:rPr>
        <w:t>document SC</w:t>
      </w:r>
      <w:r w:rsidR="0035175C" w:rsidRPr="000E08CF">
        <w:rPr>
          <w:rFonts w:cstheme="minorHAnsi"/>
          <w:b/>
          <w:lang w:val="fr-FR"/>
        </w:rPr>
        <w:t>62</w:t>
      </w:r>
      <w:r w:rsidR="00294A7E" w:rsidRPr="000E08CF">
        <w:rPr>
          <w:rFonts w:cstheme="minorHAnsi"/>
          <w:b/>
          <w:lang w:val="fr-FR"/>
        </w:rPr>
        <w:t xml:space="preserve"> Doc.</w:t>
      </w:r>
      <w:r w:rsidRPr="000E08CF">
        <w:rPr>
          <w:rFonts w:cstheme="minorHAnsi"/>
          <w:b/>
          <w:lang w:val="fr-FR"/>
        </w:rPr>
        <w:t>4.</w:t>
      </w:r>
    </w:p>
    <w:p w14:paraId="415E741D" w14:textId="550642DB" w:rsidR="0078588B" w:rsidRPr="000E08CF" w:rsidRDefault="0078588B" w:rsidP="0078588B">
      <w:pPr>
        <w:spacing w:after="0" w:line="240" w:lineRule="auto"/>
        <w:rPr>
          <w:rFonts w:cstheme="minorHAnsi"/>
          <w:lang w:val="fr-FR"/>
        </w:rPr>
      </w:pPr>
    </w:p>
    <w:p w14:paraId="1A8123AF" w14:textId="1659CACC" w:rsidR="0078588B" w:rsidRPr="003B5404" w:rsidRDefault="003B5404"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B5404">
        <w:rPr>
          <w:rFonts w:cstheme="minorHAnsi"/>
          <w:bCs/>
          <w:lang w:val="fr-FR"/>
        </w:rPr>
        <w:t>Point 5 de l’ordre du jour : Rapport du Président du Comité permanent et du Comité exécutif</w:t>
      </w:r>
    </w:p>
    <w:p w14:paraId="19E37C6E" w14:textId="5DF9D4B9" w:rsidR="0078588B" w:rsidRPr="003B5404" w:rsidRDefault="0078588B" w:rsidP="00370B73">
      <w:pPr>
        <w:keepNext/>
        <w:spacing w:after="0" w:line="240" w:lineRule="auto"/>
        <w:rPr>
          <w:rFonts w:cstheme="minorHAnsi"/>
          <w:lang w:val="fr-FR"/>
        </w:rPr>
      </w:pPr>
    </w:p>
    <w:p w14:paraId="4FB170DB" w14:textId="61CBE24D" w:rsidR="0009708B" w:rsidRPr="00555C54" w:rsidRDefault="0009708B" w:rsidP="00545238">
      <w:pPr>
        <w:spacing w:after="0" w:line="240" w:lineRule="auto"/>
        <w:ind w:left="567" w:hanging="567"/>
        <w:rPr>
          <w:rFonts w:cstheme="minorHAnsi"/>
          <w:lang w:val="fr-CH"/>
        </w:rPr>
      </w:pPr>
      <w:r w:rsidRPr="00555C54">
        <w:rPr>
          <w:rFonts w:cstheme="minorHAnsi"/>
          <w:lang w:val="fr-CH"/>
        </w:rPr>
        <w:t>5</w:t>
      </w:r>
      <w:r w:rsidR="0079631C" w:rsidRPr="00555C54">
        <w:rPr>
          <w:rFonts w:cstheme="minorHAnsi"/>
          <w:lang w:val="fr-CH"/>
        </w:rPr>
        <w:t>.</w:t>
      </w:r>
      <w:r w:rsidR="0079631C" w:rsidRPr="00555C54">
        <w:rPr>
          <w:rFonts w:cstheme="minorHAnsi"/>
          <w:lang w:val="fr-CH"/>
        </w:rPr>
        <w:tab/>
      </w:r>
      <w:r w:rsidR="00555C54">
        <w:rPr>
          <w:rFonts w:cstheme="minorHAnsi"/>
          <w:lang w:val="fr-CH"/>
        </w:rPr>
        <w:t xml:space="preserve">Le Président du Comité permanent présente le </w:t>
      </w:r>
      <w:r w:rsidRPr="00555C54">
        <w:rPr>
          <w:rFonts w:cstheme="minorHAnsi"/>
          <w:lang w:val="fr-CH"/>
        </w:rPr>
        <w:t>document SC62 Doc.5</w:t>
      </w:r>
      <w:r w:rsidRPr="00555C54">
        <w:rPr>
          <w:rFonts w:cstheme="minorHAnsi"/>
          <w:i/>
          <w:lang w:val="fr-CH"/>
        </w:rPr>
        <w:t>.</w:t>
      </w:r>
    </w:p>
    <w:p w14:paraId="2DBC0488" w14:textId="3112C536" w:rsidR="00545238" w:rsidRPr="00555C54" w:rsidRDefault="00545238" w:rsidP="008804A8">
      <w:pPr>
        <w:spacing w:after="0" w:line="240" w:lineRule="auto"/>
        <w:rPr>
          <w:rFonts w:cstheme="minorHAnsi"/>
          <w:lang w:val="fr-CH"/>
        </w:rPr>
      </w:pPr>
    </w:p>
    <w:p w14:paraId="6B758071" w14:textId="62101FC1" w:rsidR="009A0A9D" w:rsidRPr="00CF44E4" w:rsidRDefault="009A0A9D" w:rsidP="0009708B">
      <w:pPr>
        <w:spacing w:after="0" w:line="240" w:lineRule="auto"/>
        <w:contextualSpacing/>
        <w:rPr>
          <w:rFonts w:cstheme="minorHAnsi"/>
          <w:b/>
          <w:lang w:val="fr-FR"/>
        </w:rPr>
      </w:pPr>
      <w:r w:rsidRPr="00CF44E4">
        <w:rPr>
          <w:rFonts w:cstheme="minorHAnsi"/>
          <w:b/>
          <w:lang w:val="fr-FR"/>
        </w:rPr>
        <w:t>D</w:t>
      </w:r>
      <w:r w:rsidR="003B5404" w:rsidRPr="00CF44E4">
        <w:rPr>
          <w:rFonts w:cstheme="minorHAnsi"/>
          <w:b/>
          <w:lang w:val="fr-FR"/>
        </w:rPr>
        <w:t>é</w:t>
      </w:r>
      <w:r w:rsidRPr="00CF44E4">
        <w:rPr>
          <w:rFonts w:cstheme="minorHAnsi"/>
          <w:b/>
          <w:lang w:val="fr-FR"/>
        </w:rPr>
        <w:t>cision SC</w:t>
      </w:r>
      <w:r w:rsidR="0009708B" w:rsidRPr="00CF44E4">
        <w:rPr>
          <w:rFonts w:cstheme="minorHAnsi"/>
          <w:b/>
          <w:lang w:val="fr-FR"/>
        </w:rPr>
        <w:t>62</w:t>
      </w:r>
      <w:r w:rsidRPr="00CF44E4">
        <w:rPr>
          <w:rFonts w:cstheme="minorHAnsi"/>
          <w:b/>
          <w:lang w:val="fr-FR"/>
        </w:rPr>
        <w:t>-</w:t>
      </w:r>
      <w:r w:rsidR="00CA3BDB" w:rsidRPr="00CF44E4">
        <w:rPr>
          <w:rFonts w:cstheme="minorHAnsi"/>
          <w:b/>
          <w:lang w:val="fr-FR"/>
        </w:rPr>
        <w:t>04</w:t>
      </w:r>
      <w:r w:rsidR="003B5404" w:rsidRPr="00CF44E4">
        <w:rPr>
          <w:rFonts w:cstheme="minorHAnsi"/>
          <w:b/>
          <w:lang w:val="fr-FR"/>
        </w:rPr>
        <w:t> </w:t>
      </w:r>
      <w:r w:rsidRPr="00CF44E4">
        <w:rPr>
          <w:rFonts w:cstheme="minorHAnsi"/>
          <w:b/>
          <w:lang w:val="fr-FR"/>
        </w:rPr>
        <w:t xml:space="preserve">: </w:t>
      </w:r>
      <w:r w:rsidR="00CF44E4" w:rsidRPr="00CF44E4">
        <w:rPr>
          <w:rFonts w:cstheme="minorHAnsi"/>
          <w:b/>
          <w:lang w:val="fr-FR"/>
        </w:rPr>
        <w:t xml:space="preserve">Le Comité permanent prend note du Rapport du Président du Comité permanent et du Comité exécutif </w:t>
      </w:r>
      <w:r w:rsidR="0009708B" w:rsidRPr="00CF44E4">
        <w:rPr>
          <w:rFonts w:cstheme="minorHAnsi"/>
          <w:b/>
          <w:lang w:val="fr-FR"/>
        </w:rPr>
        <w:t>publi</w:t>
      </w:r>
      <w:r w:rsidR="000E08CF">
        <w:rPr>
          <w:rFonts w:cstheme="minorHAnsi"/>
          <w:b/>
          <w:lang w:val="fr-FR"/>
        </w:rPr>
        <w:t>é dans le</w:t>
      </w:r>
      <w:r w:rsidR="0009708B" w:rsidRPr="00CF44E4">
        <w:rPr>
          <w:rFonts w:cstheme="minorHAnsi"/>
          <w:b/>
          <w:lang w:val="fr-FR"/>
        </w:rPr>
        <w:t xml:space="preserve"> document SC62 Doc.5</w:t>
      </w:r>
      <w:r w:rsidR="001032CA" w:rsidRPr="00CF44E4">
        <w:rPr>
          <w:rFonts w:cstheme="minorHAnsi"/>
          <w:b/>
          <w:lang w:val="fr-FR"/>
        </w:rPr>
        <w:t>.</w:t>
      </w:r>
    </w:p>
    <w:p w14:paraId="2F44542B" w14:textId="77777777" w:rsidR="0079631C" w:rsidRPr="00CF44E4" w:rsidRDefault="0079631C" w:rsidP="0079631C">
      <w:pPr>
        <w:spacing w:after="0" w:line="240" w:lineRule="auto"/>
        <w:rPr>
          <w:rFonts w:cstheme="minorHAnsi"/>
          <w:lang w:val="fr-FR"/>
        </w:rPr>
      </w:pPr>
    </w:p>
    <w:p w14:paraId="6B5DC3D8" w14:textId="5A649599" w:rsidR="0079631C" w:rsidRPr="003B5404" w:rsidRDefault="003B5404" w:rsidP="0079631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3B5404">
        <w:rPr>
          <w:rFonts w:cstheme="minorHAnsi"/>
          <w:bCs/>
          <w:lang w:val="fr-FR"/>
        </w:rPr>
        <w:t xml:space="preserve">Point </w:t>
      </w:r>
      <w:r>
        <w:rPr>
          <w:rFonts w:cstheme="minorHAnsi"/>
          <w:bCs/>
          <w:lang w:val="fr-FR"/>
        </w:rPr>
        <w:t>6</w:t>
      </w:r>
      <w:r w:rsidRPr="003B5404">
        <w:rPr>
          <w:rFonts w:cstheme="minorHAnsi"/>
          <w:bCs/>
          <w:lang w:val="fr-FR"/>
        </w:rPr>
        <w:t xml:space="preserve"> de l’ordre du jour</w:t>
      </w:r>
      <w:r>
        <w:rPr>
          <w:rFonts w:cstheme="minorHAnsi"/>
          <w:bCs/>
          <w:lang w:val="fr-FR"/>
        </w:rPr>
        <w:t> </w:t>
      </w:r>
      <w:r w:rsidR="00071F08" w:rsidRPr="003B5404">
        <w:rPr>
          <w:rFonts w:cstheme="minorHAnsi"/>
          <w:bCs/>
          <w:lang w:val="fr-FR"/>
        </w:rPr>
        <w:t>: R</w:t>
      </w:r>
      <w:r w:rsidRPr="003B5404">
        <w:rPr>
          <w:rFonts w:cstheme="minorHAnsi"/>
          <w:bCs/>
          <w:lang w:val="fr-FR"/>
        </w:rPr>
        <w:t>ap</w:t>
      </w:r>
      <w:r w:rsidR="00071F08" w:rsidRPr="003B5404">
        <w:rPr>
          <w:rFonts w:cstheme="minorHAnsi"/>
          <w:bCs/>
          <w:lang w:val="fr-FR"/>
        </w:rPr>
        <w:t xml:space="preserve">port </w:t>
      </w:r>
      <w:r w:rsidRPr="003B5404">
        <w:rPr>
          <w:rFonts w:cstheme="minorHAnsi"/>
          <w:bCs/>
          <w:lang w:val="fr-FR"/>
        </w:rPr>
        <w:t>de la Secr</w:t>
      </w:r>
      <w:r>
        <w:rPr>
          <w:rFonts w:cstheme="minorHAnsi"/>
          <w:bCs/>
          <w:lang w:val="fr-FR"/>
        </w:rPr>
        <w:t>étaire générale</w:t>
      </w:r>
    </w:p>
    <w:p w14:paraId="072F2797" w14:textId="77777777" w:rsidR="0079631C" w:rsidRPr="003B5404" w:rsidRDefault="0079631C" w:rsidP="0079631C">
      <w:pPr>
        <w:keepNext/>
        <w:spacing w:after="0" w:line="240" w:lineRule="auto"/>
        <w:rPr>
          <w:rFonts w:cstheme="minorHAnsi"/>
          <w:lang w:val="fr-FR"/>
        </w:rPr>
      </w:pPr>
    </w:p>
    <w:p w14:paraId="370E718C" w14:textId="3A90FC1C" w:rsidR="0079631C" w:rsidRPr="00555C54" w:rsidRDefault="0009708B" w:rsidP="0079631C">
      <w:pPr>
        <w:spacing w:after="0" w:line="240" w:lineRule="auto"/>
        <w:ind w:left="567" w:hanging="567"/>
        <w:rPr>
          <w:rFonts w:eastAsia="Calibri" w:cstheme="minorHAnsi"/>
          <w:bCs/>
          <w:i/>
          <w:iCs/>
          <w:lang w:val="fr-CH"/>
        </w:rPr>
      </w:pPr>
      <w:r w:rsidRPr="00555C54">
        <w:rPr>
          <w:rFonts w:eastAsia="Calibri" w:cstheme="minorHAnsi"/>
          <w:bCs/>
          <w:lang w:val="fr-CH"/>
        </w:rPr>
        <w:t>6</w:t>
      </w:r>
      <w:r w:rsidR="0079631C" w:rsidRPr="00555C54">
        <w:rPr>
          <w:rFonts w:eastAsia="Calibri" w:cstheme="minorHAnsi"/>
          <w:bCs/>
          <w:lang w:val="fr-CH"/>
        </w:rPr>
        <w:t>.</w:t>
      </w:r>
      <w:r w:rsidR="0079631C" w:rsidRPr="00555C54">
        <w:rPr>
          <w:rFonts w:eastAsia="Calibri" w:cstheme="minorHAnsi"/>
          <w:bCs/>
          <w:lang w:val="fr-CH"/>
        </w:rPr>
        <w:tab/>
      </w:r>
      <w:r w:rsidR="00555C54">
        <w:rPr>
          <w:rFonts w:eastAsia="Calibri" w:cstheme="minorHAnsi"/>
          <w:bCs/>
          <w:lang w:val="fr-CH"/>
        </w:rPr>
        <w:t xml:space="preserve">La Secrétaire générale présente son rapport contenu dans le </w:t>
      </w:r>
      <w:r w:rsidRPr="00555C54">
        <w:rPr>
          <w:rFonts w:eastAsia="Calibri" w:cstheme="minorHAnsi"/>
          <w:bCs/>
          <w:lang w:val="fr-CH"/>
        </w:rPr>
        <w:t>document</w:t>
      </w:r>
      <w:r w:rsidR="0079631C" w:rsidRPr="00555C54">
        <w:rPr>
          <w:rFonts w:eastAsia="Calibri" w:cstheme="minorHAnsi"/>
          <w:bCs/>
          <w:lang w:val="fr-CH"/>
        </w:rPr>
        <w:t xml:space="preserve"> SC</w:t>
      </w:r>
      <w:r w:rsidRPr="00555C54">
        <w:rPr>
          <w:rFonts w:eastAsia="Calibri" w:cstheme="minorHAnsi"/>
          <w:bCs/>
          <w:lang w:val="fr-CH"/>
        </w:rPr>
        <w:t>62</w:t>
      </w:r>
      <w:r w:rsidR="0079631C" w:rsidRPr="00555C54">
        <w:rPr>
          <w:rFonts w:eastAsia="Calibri" w:cstheme="minorHAnsi"/>
          <w:bCs/>
          <w:lang w:val="fr-CH"/>
        </w:rPr>
        <w:t xml:space="preserve"> Doc.</w:t>
      </w:r>
      <w:r w:rsidRPr="00555C54">
        <w:rPr>
          <w:rFonts w:eastAsia="Calibri" w:cstheme="minorHAnsi"/>
          <w:bCs/>
          <w:lang w:val="fr-CH"/>
        </w:rPr>
        <w:t>6</w:t>
      </w:r>
      <w:r w:rsidR="00555C54">
        <w:rPr>
          <w:rFonts w:eastAsia="Calibri" w:cstheme="minorHAnsi"/>
          <w:bCs/>
          <w:i/>
          <w:iCs/>
          <w:lang w:val="fr-CH"/>
        </w:rPr>
        <w:t>.</w:t>
      </w:r>
    </w:p>
    <w:p w14:paraId="4026C959" w14:textId="77777777" w:rsidR="0079631C" w:rsidRPr="00555C54" w:rsidRDefault="0079631C" w:rsidP="0079631C">
      <w:pPr>
        <w:spacing w:after="0" w:line="240" w:lineRule="auto"/>
        <w:ind w:left="567" w:hanging="567"/>
        <w:rPr>
          <w:rFonts w:eastAsia="Calibri" w:cstheme="minorHAnsi"/>
          <w:bCs/>
          <w:lang w:val="fr-CH"/>
        </w:rPr>
      </w:pPr>
    </w:p>
    <w:p w14:paraId="2B072BBB" w14:textId="65B59F87" w:rsidR="0079631C" w:rsidRPr="00555C54" w:rsidRDefault="0009708B" w:rsidP="0079631C">
      <w:pPr>
        <w:spacing w:after="0" w:line="240" w:lineRule="auto"/>
        <w:ind w:left="567" w:hanging="567"/>
        <w:rPr>
          <w:rFonts w:eastAsia="Calibri" w:cstheme="minorHAnsi"/>
          <w:bCs/>
          <w:lang w:val="fr-CH"/>
        </w:rPr>
      </w:pPr>
      <w:r w:rsidRPr="00555C54">
        <w:rPr>
          <w:rFonts w:eastAsia="Calibri" w:cstheme="minorHAnsi"/>
          <w:bCs/>
          <w:lang w:val="fr-CH"/>
        </w:rPr>
        <w:t>7</w:t>
      </w:r>
      <w:r w:rsidR="0079631C" w:rsidRPr="00555C54">
        <w:rPr>
          <w:rFonts w:eastAsia="Calibri" w:cstheme="minorHAnsi"/>
          <w:bCs/>
          <w:lang w:val="fr-CH"/>
        </w:rPr>
        <w:t>.</w:t>
      </w:r>
      <w:r w:rsidR="0079631C" w:rsidRPr="00555C54">
        <w:rPr>
          <w:rFonts w:eastAsia="Calibri" w:cstheme="minorHAnsi"/>
          <w:bCs/>
          <w:lang w:val="fr-CH"/>
        </w:rPr>
        <w:tab/>
      </w:r>
      <w:r w:rsidR="00555C54">
        <w:rPr>
          <w:rFonts w:eastAsia="Calibri" w:cstheme="minorHAnsi"/>
          <w:bCs/>
          <w:lang w:val="fr-CH"/>
        </w:rPr>
        <w:t xml:space="preserve">Les membres du Comité permanent félicitent la Secrétaire générale pour son travail visant à améliorer la visibilité des zones humides dans les processus mondiaux, à renforcer la collaboration pour atteindre les </w:t>
      </w:r>
      <w:r w:rsidR="00D358A4">
        <w:rPr>
          <w:rFonts w:eastAsia="Calibri" w:cstheme="minorHAnsi"/>
          <w:bCs/>
          <w:lang w:val="fr-CH"/>
        </w:rPr>
        <w:t>o</w:t>
      </w:r>
      <w:r w:rsidR="00555C54">
        <w:rPr>
          <w:rFonts w:eastAsia="Calibri" w:cstheme="minorHAnsi"/>
          <w:bCs/>
          <w:lang w:val="fr-CH"/>
        </w:rPr>
        <w:t>bjectifs de développement durable et d’autres objectifs mondiaux, et à mobiliser des ressources pour soutenir l’application de la Convention.</w:t>
      </w:r>
      <w:r w:rsidR="001340A2" w:rsidRPr="00555C54">
        <w:rPr>
          <w:rFonts w:eastAsia="Calibri" w:cstheme="minorHAnsi"/>
          <w:bCs/>
          <w:lang w:val="fr-CH"/>
        </w:rPr>
        <w:t xml:space="preserve"> </w:t>
      </w:r>
    </w:p>
    <w:p w14:paraId="4D257AF3" w14:textId="77777777" w:rsidR="0079631C" w:rsidRPr="00555C54" w:rsidRDefault="0079631C" w:rsidP="0079631C">
      <w:pPr>
        <w:spacing w:after="0" w:line="240" w:lineRule="auto"/>
        <w:ind w:left="567" w:hanging="567"/>
        <w:rPr>
          <w:rFonts w:eastAsia="Calibri" w:cstheme="minorHAnsi"/>
          <w:bCs/>
          <w:lang w:val="fr-CH"/>
        </w:rPr>
      </w:pPr>
    </w:p>
    <w:p w14:paraId="31EAAA33" w14:textId="12EAA89C" w:rsidR="0079631C" w:rsidRPr="00555C54" w:rsidRDefault="0009708B" w:rsidP="0079631C">
      <w:pPr>
        <w:spacing w:after="0" w:line="240" w:lineRule="auto"/>
        <w:ind w:left="567" w:hanging="567"/>
        <w:rPr>
          <w:rFonts w:eastAsia="Calibri" w:cstheme="minorHAnsi"/>
          <w:bCs/>
          <w:lang w:val="fr-CH"/>
        </w:rPr>
      </w:pPr>
      <w:r w:rsidRPr="00555C54">
        <w:rPr>
          <w:rFonts w:eastAsia="Calibri" w:cstheme="minorHAnsi"/>
          <w:bCs/>
          <w:lang w:val="fr-CH"/>
        </w:rPr>
        <w:t>8.</w:t>
      </w:r>
      <w:r w:rsidR="0079631C" w:rsidRPr="00555C54">
        <w:rPr>
          <w:rFonts w:eastAsia="Calibri" w:cstheme="minorHAnsi"/>
          <w:bCs/>
          <w:lang w:val="fr-CH"/>
        </w:rPr>
        <w:tab/>
      </w:r>
      <w:r w:rsidR="00555C54">
        <w:rPr>
          <w:rFonts w:eastAsia="Calibri" w:cstheme="minorHAnsi"/>
          <w:bCs/>
          <w:lang w:val="fr-CH"/>
        </w:rPr>
        <w:t xml:space="preserve">L’Australie, le Burkina Faso, le Cambodge, le Canada, la Chine, le </w:t>
      </w:r>
      <w:r w:rsidRPr="00555C54">
        <w:rPr>
          <w:rFonts w:eastAsia="Calibri" w:cstheme="minorHAnsi"/>
          <w:bCs/>
          <w:lang w:val="fr-CH"/>
        </w:rPr>
        <w:t xml:space="preserve">Costa Rica, </w:t>
      </w:r>
      <w:r w:rsidR="00555C54">
        <w:rPr>
          <w:rFonts w:eastAsia="Calibri" w:cstheme="minorHAnsi"/>
          <w:bCs/>
          <w:lang w:val="fr-CH"/>
        </w:rPr>
        <w:t>l’</w:t>
      </w:r>
      <w:r w:rsidRPr="00555C54">
        <w:rPr>
          <w:rFonts w:eastAsia="Calibri" w:cstheme="minorHAnsi"/>
          <w:bCs/>
          <w:lang w:val="fr-CH"/>
        </w:rPr>
        <w:t>Iran</w:t>
      </w:r>
      <w:r w:rsidR="00BE59A4" w:rsidRPr="00555C54">
        <w:rPr>
          <w:rFonts w:eastAsia="Calibri" w:cstheme="minorHAnsi"/>
          <w:bCs/>
          <w:lang w:val="fr-CH"/>
        </w:rPr>
        <w:t xml:space="preserve"> (</w:t>
      </w:r>
      <w:r w:rsidR="00555C54">
        <w:rPr>
          <w:rFonts w:eastAsia="Calibri" w:cstheme="minorHAnsi"/>
          <w:bCs/>
          <w:lang w:val="fr-CH"/>
        </w:rPr>
        <w:t xml:space="preserve">République islamique d’), la République de Corée, la Suisse et </w:t>
      </w:r>
      <w:r w:rsidRPr="00555C54">
        <w:rPr>
          <w:rFonts w:eastAsia="Calibri" w:cstheme="minorHAnsi"/>
          <w:bCs/>
          <w:lang w:val="fr-CH"/>
        </w:rPr>
        <w:t>Youth Engaged in Wetlands</w:t>
      </w:r>
      <w:r w:rsidR="00555C54">
        <w:rPr>
          <w:rFonts w:eastAsia="Calibri" w:cstheme="minorHAnsi"/>
          <w:bCs/>
          <w:lang w:val="fr-CH"/>
        </w:rPr>
        <w:t xml:space="preserve"> interviennent dans la discussion</w:t>
      </w:r>
      <w:r w:rsidRPr="00555C54">
        <w:rPr>
          <w:rFonts w:eastAsia="Calibri" w:cstheme="minorHAnsi"/>
          <w:bCs/>
          <w:lang w:val="fr-CH"/>
        </w:rPr>
        <w:t>.</w:t>
      </w:r>
    </w:p>
    <w:p w14:paraId="12902BEA" w14:textId="77777777" w:rsidR="0079631C" w:rsidRPr="00D358A4" w:rsidRDefault="0079631C" w:rsidP="0079631C">
      <w:pPr>
        <w:spacing w:after="0" w:line="240" w:lineRule="auto"/>
        <w:ind w:left="567" w:hanging="567"/>
        <w:rPr>
          <w:rFonts w:eastAsia="Calibri" w:cstheme="minorHAnsi"/>
          <w:bCs/>
          <w:lang w:val="fr-FR"/>
        </w:rPr>
      </w:pPr>
    </w:p>
    <w:p w14:paraId="3FF16B20" w14:textId="5EAA737D" w:rsidR="0079631C" w:rsidRPr="000E08CF" w:rsidRDefault="0079631C" w:rsidP="0079631C">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w:t>
      </w:r>
      <w:r w:rsidR="0009708B" w:rsidRPr="000E08CF">
        <w:rPr>
          <w:rFonts w:cstheme="minorHAnsi"/>
          <w:b/>
          <w:lang w:val="fr-FR"/>
        </w:rPr>
        <w:t>62</w:t>
      </w:r>
      <w:r w:rsidRPr="000E08CF">
        <w:rPr>
          <w:rFonts w:cstheme="minorHAnsi"/>
          <w:b/>
          <w:lang w:val="fr-FR"/>
        </w:rPr>
        <w:t>-</w:t>
      </w:r>
      <w:r w:rsidR="00CA3BDB" w:rsidRPr="000E08CF">
        <w:rPr>
          <w:rFonts w:cstheme="minorHAnsi"/>
          <w:b/>
          <w:lang w:val="fr-FR"/>
        </w:rPr>
        <w:t>0</w:t>
      </w:r>
      <w:r w:rsidR="0009708B" w:rsidRPr="000E08CF">
        <w:rPr>
          <w:rFonts w:cstheme="minorHAnsi"/>
          <w:b/>
          <w:lang w:val="fr-FR"/>
        </w:rPr>
        <w:t>5</w:t>
      </w:r>
      <w:r w:rsidR="009571A0">
        <w:rPr>
          <w:rFonts w:cstheme="minorHAnsi"/>
          <w:b/>
          <w:lang w:val="fr-FR"/>
        </w:rPr>
        <w:t> </w:t>
      </w:r>
      <w:r w:rsidRPr="000E08CF">
        <w:rPr>
          <w:rFonts w:cstheme="minorHAnsi"/>
          <w:b/>
          <w:lang w:val="fr-FR"/>
        </w:rPr>
        <w:t xml:space="preserve">: </w:t>
      </w:r>
      <w:r w:rsidR="000E08CF" w:rsidRPr="000E08CF">
        <w:rPr>
          <w:rFonts w:cstheme="minorHAnsi"/>
          <w:b/>
          <w:lang w:val="fr-FR"/>
        </w:rPr>
        <w:t>Le Comité permanent accueille favorablement le</w:t>
      </w:r>
      <w:r w:rsidRPr="000E08CF">
        <w:rPr>
          <w:rFonts w:cstheme="minorHAnsi"/>
          <w:b/>
          <w:lang w:val="fr-FR"/>
        </w:rPr>
        <w:t xml:space="preserve"> </w:t>
      </w:r>
      <w:r w:rsidR="000E08CF" w:rsidRPr="000E08CF">
        <w:rPr>
          <w:rFonts w:cstheme="minorHAnsi"/>
          <w:b/>
          <w:lang w:val="fr-FR"/>
        </w:rPr>
        <w:t>Rapport de la Secrétaire générale</w:t>
      </w:r>
      <w:r w:rsidRPr="000E08CF">
        <w:rPr>
          <w:rFonts w:cstheme="minorHAnsi"/>
          <w:b/>
          <w:lang w:val="fr-FR"/>
        </w:rPr>
        <w:t xml:space="preserve"> publi</w:t>
      </w:r>
      <w:r w:rsidR="000E08CF">
        <w:rPr>
          <w:rFonts w:cstheme="minorHAnsi"/>
          <w:b/>
          <w:lang w:val="fr-FR"/>
        </w:rPr>
        <w:t xml:space="preserve">é dans le </w:t>
      </w:r>
      <w:r w:rsidRPr="000E08CF">
        <w:rPr>
          <w:rFonts w:cstheme="minorHAnsi"/>
          <w:b/>
          <w:lang w:val="fr-FR"/>
        </w:rPr>
        <w:t>document SC</w:t>
      </w:r>
      <w:r w:rsidR="0009708B" w:rsidRPr="000E08CF">
        <w:rPr>
          <w:rFonts w:cstheme="minorHAnsi"/>
          <w:b/>
          <w:lang w:val="fr-FR"/>
        </w:rPr>
        <w:t>62</w:t>
      </w:r>
      <w:r w:rsidRPr="000E08CF">
        <w:rPr>
          <w:rFonts w:cstheme="minorHAnsi"/>
          <w:b/>
          <w:lang w:val="fr-FR"/>
        </w:rPr>
        <w:t xml:space="preserve"> Doc.</w:t>
      </w:r>
      <w:r w:rsidR="0009708B" w:rsidRPr="000E08CF">
        <w:rPr>
          <w:rFonts w:cstheme="minorHAnsi"/>
          <w:b/>
          <w:lang w:val="fr-FR"/>
        </w:rPr>
        <w:t>6.</w:t>
      </w:r>
    </w:p>
    <w:p w14:paraId="2C7FC2D8" w14:textId="4151CAB1" w:rsidR="0078588B" w:rsidRPr="000E08CF" w:rsidRDefault="0078588B" w:rsidP="0078588B">
      <w:pPr>
        <w:spacing w:after="0" w:line="240" w:lineRule="auto"/>
        <w:rPr>
          <w:rFonts w:cstheme="minorHAnsi"/>
          <w:lang w:val="fr-FR"/>
        </w:rPr>
      </w:pPr>
    </w:p>
    <w:p w14:paraId="30FC3C31" w14:textId="3683B03D" w:rsidR="0078588B" w:rsidRPr="003B5404" w:rsidRDefault="003B5404"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FR"/>
        </w:rPr>
      </w:pPr>
      <w:r w:rsidRPr="003B5404">
        <w:rPr>
          <w:rFonts w:cstheme="minorHAnsi"/>
          <w:bCs/>
          <w:lang w:val="fr-FR"/>
        </w:rPr>
        <w:t xml:space="preserve">Point 7 de l’ordre du jour : </w:t>
      </w:r>
      <w:r w:rsidR="0078588B" w:rsidRPr="003B5404">
        <w:rPr>
          <w:lang w:val="fr-FR"/>
        </w:rPr>
        <w:t>R</w:t>
      </w:r>
      <w:r w:rsidRPr="003B5404">
        <w:rPr>
          <w:lang w:val="fr-FR"/>
        </w:rPr>
        <w:t>ap</w:t>
      </w:r>
      <w:r w:rsidR="0078588B" w:rsidRPr="003B5404">
        <w:rPr>
          <w:lang w:val="fr-FR"/>
        </w:rPr>
        <w:t xml:space="preserve">port </w:t>
      </w:r>
      <w:r w:rsidRPr="003B5404">
        <w:rPr>
          <w:lang w:val="fr-FR"/>
        </w:rPr>
        <w:t>du Groupe de travail sur la gestion</w:t>
      </w:r>
    </w:p>
    <w:p w14:paraId="5043A626" w14:textId="77777777" w:rsidR="0078588B" w:rsidRPr="003B5404" w:rsidRDefault="0078588B" w:rsidP="0078588B">
      <w:pPr>
        <w:keepNext/>
        <w:spacing w:after="0" w:line="240" w:lineRule="auto"/>
        <w:rPr>
          <w:rFonts w:cstheme="minorHAnsi"/>
          <w:lang w:val="fr-FR"/>
        </w:rPr>
      </w:pPr>
    </w:p>
    <w:p w14:paraId="4A50F0B2" w14:textId="01CBC2A9" w:rsidR="00A304EB" w:rsidRPr="0085174C" w:rsidRDefault="00635768" w:rsidP="00C611B3">
      <w:pPr>
        <w:spacing w:after="0" w:line="240" w:lineRule="auto"/>
        <w:ind w:left="567" w:hanging="567"/>
        <w:rPr>
          <w:rFonts w:cstheme="minorHAnsi"/>
          <w:lang w:val="fr-CH"/>
        </w:rPr>
      </w:pPr>
      <w:r w:rsidRPr="0085174C">
        <w:rPr>
          <w:rFonts w:cstheme="minorHAnsi"/>
          <w:lang w:val="fr-CH"/>
        </w:rPr>
        <w:t>9</w:t>
      </w:r>
      <w:r w:rsidR="0079631C" w:rsidRPr="0085174C">
        <w:rPr>
          <w:rFonts w:cstheme="minorHAnsi"/>
          <w:lang w:val="fr-CH"/>
        </w:rPr>
        <w:t>.</w:t>
      </w:r>
      <w:r w:rsidR="0079631C" w:rsidRPr="0085174C">
        <w:rPr>
          <w:rFonts w:cstheme="minorHAnsi"/>
          <w:lang w:val="fr-CH"/>
        </w:rPr>
        <w:tab/>
      </w:r>
      <w:r w:rsidR="005323FC">
        <w:rPr>
          <w:rFonts w:cstheme="minorHAnsi"/>
          <w:lang w:val="fr-CH"/>
        </w:rPr>
        <w:t>Le Président du Comité permanent et le Groupe de travail sur la gestion présentent le rapport de la réunion du Groupe de travail sur la gestion qui a eu lieu le lundi 4 septembre 2023.</w:t>
      </w:r>
      <w:r w:rsidRPr="0085174C">
        <w:rPr>
          <w:rFonts w:cstheme="minorHAnsi"/>
          <w:lang w:val="fr-CH"/>
        </w:rPr>
        <w:t xml:space="preserve"> </w:t>
      </w:r>
    </w:p>
    <w:p w14:paraId="4CDBE421" w14:textId="77777777" w:rsidR="002566E0" w:rsidRPr="0085174C" w:rsidRDefault="002566E0" w:rsidP="00635768">
      <w:pPr>
        <w:spacing w:after="0" w:line="240" w:lineRule="auto"/>
        <w:rPr>
          <w:rFonts w:cstheme="minorHAnsi"/>
          <w:lang w:val="fr-CH"/>
        </w:rPr>
      </w:pPr>
    </w:p>
    <w:p w14:paraId="79138978" w14:textId="15A3485C" w:rsidR="003323C2" w:rsidRPr="0085174C" w:rsidRDefault="003323C2" w:rsidP="003323C2">
      <w:pPr>
        <w:spacing w:after="0" w:line="240" w:lineRule="auto"/>
        <w:contextualSpacing/>
        <w:rPr>
          <w:b/>
          <w:lang w:val="fr-CH"/>
        </w:rPr>
      </w:pPr>
      <w:r w:rsidRPr="0085174C">
        <w:rPr>
          <w:rFonts w:cstheme="minorHAnsi"/>
          <w:b/>
          <w:lang w:val="fr-CH"/>
        </w:rPr>
        <w:t>D</w:t>
      </w:r>
      <w:r w:rsidR="003B5404" w:rsidRPr="0085174C">
        <w:rPr>
          <w:rFonts w:cstheme="minorHAnsi"/>
          <w:b/>
          <w:lang w:val="fr-CH"/>
        </w:rPr>
        <w:t>é</w:t>
      </w:r>
      <w:r w:rsidRPr="0085174C">
        <w:rPr>
          <w:rFonts w:cstheme="minorHAnsi"/>
          <w:b/>
          <w:lang w:val="fr-CH"/>
        </w:rPr>
        <w:t>cision SC</w:t>
      </w:r>
      <w:r w:rsidR="00635768" w:rsidRPr="0085174C">
        <w:rPr>
          <w:rFonts w:cstheme="minorHAnsi"/>
          <w:b/>
          <w:lang w:val="fr-CH"/>
        </w:rPr>
        <w:t>62</w:t>
      </w:r>
      <w:r w:rsidRPr="0085174C">
        <w:rPr>
          <w:rFonts w:cstheme="minorHAnsi"/>
          <w:b/>
          <w:lang w:val="fr-CH"/>
        </w:rPr>
        <w:t>-</w:t>
      </w:r>
      <w:r w:rsidR="00CA3BDB" w:rsidRPr="0085174C">
        <w:rPr>
          <w:rFonts w:cstheme="minorHAnsi"/>
          <w:b/>
          <w:lang w:val="fr-CH"/>
        </w:rPr>
        <w:t>0</w:t>
      </w:r>
      <w:r w:rsidR="00635768" w:rsidRPr="0085174C">
        <w:rPr>
          <w:rFonts w:cstheme="minorHAnsi"/>
          <w:b/>
          <w:lang w:val="fr-CH"/>
        </w:rPr>
        <w:t>6</w:t>
      </w:r>
      <w:r w:rsidR="003B5404" w:rsidRPr="0085174C">
        <w:rPr>
          <w:rFonts w:cstheme="minorHAnsi"/>
          <w:b/>
          <w:lang w:val="fr-CH"/>
        </w:rPr>
        <w:t> </w:t>
      </w:r>
      <w:r w:rsidRPr="0085174C">
        <w:rPr>
          <w:rFonts w:cstheme="minorHAnsi"/>
          <w:b/>
          <w:lang w:val="fr-CH"/>
        </w:rPr>
        <w:t xml:space="preserve">: </w:t>
      </w:r>
      <w:r w:rsidR="000E08CF" w:rsidRPr="0085174C">
        <w:rPr>
          <w:rFonts w:cstheme="minorHAnsi"/>
          <w:b/>
          <w:lang w:val="fr-CH"/>
        </w:rPr>
        <w:t>Le Comité permanent prend note du</w:t>
      </w:r>
      <w:r w:rsidR="003365A5" w:rsidRPr="0085174C">
        <w:rPr>
          <w:b/>
          <w:lang w:val="fr-CH"/>
        </w:rPr>
        <w:t xml:space="preserve"> </w:t>
      </w:r>
      <w:r w:rsidR="000E08CF" w:rsidRPr="0085174C">
        <w:rPr>
          <w:b/>
          <w:lang w:val="fr-CH"/>
        </w:rPr>
        <w:t>Rapport du Groupe de travail sur la gestion</w:t>
      </w:r>
      <w:r w:rsidR="001340A2" w:rsidRPr="0085174C">
        <w:rPr>
          <w:b/>
          <w:lang w:val="fr-CH"/>
        </w:rPr>
        <w:t>.</w:t>
      </w:r>
    </w:p>
    <w:p w14:paraId="2D9254A5" w14:textId="4FE69DE9" w:rsidR="00C611B3" w:rsidRPr="0085174C" w:rsidRDefault="00C611B3" w:rsidP="00367A4B">
      <w:pPr>
        <w:spacing w:after="0" w:line="240" w:lineRule="auto"/>
        <w:rPr>
          <w:rFonts w:cstheme="minorHAnsi"/>
          <w:lang w:val="fr-CH"/>
        </w:rPr>
      </w:pPr>
    </w:p>
    <w:p w14:paraId="41133F16" w14:textId="32A23771" w:rsidR="0078588B" w:rsidRPr="0085174C" w:rsidRDefault="003B5404" w:rsidP="0078588B">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CH"/>
        </w:rPr>
      </w:pPr>
      <w:r w:rsidRPr="0085174C">
        <w:rPr>
          <w:rFonts w:cstheme="minorHAnsi"/>
          <w:bCs/>
          <w:lang w:val="fr-CH"/>
        </w:rPr>
        <w:t xml:space="preserve">Point 20 de l’ordre du jour : </w:t>
      </w:r>
      <w:r w:rsidR="001340A2" w:rsidRPr="0085174C">
        <w:rPr>
          <w:lang w:val="fr-CH"/>
        </w:rPr>
        <w:t>Pr</w:t>
      </w:r>
      <w:r w:rsidR="005323FC">
        <w:rPr>
          <w:lang w:val="fr-CH"/>
        </w:rPr>
        <w:t>éparatifs de la 15</w:t>
      </w:r>
      <w:r w:rsidR="005323FC" w:rsidRPr="005323FC">
        <w:rPr>
          <w:vertAlign w:val="superscript"/>
          <w:lang w:val="fr-CH"/>
        </w:rPr>
        <w:t>e</w:t>
      </w:r>
      <w:r w:rsidR="005323FC">
        <w:rPr>
          <w:lang w:val="fr-CH"/>
        </w:rPr>
        <w:t xml:space="preserve"> Session de la Conférence des Parties contractantes </w:t>
      </w:r>
      <w:r w:rsidR="001340A2" w:rsidRPr="0085174C">
        <w:rPr>
          <w:lang w:val="fr-CH"/>
        </w:rPr>
        <w:t>(COP15)</w:t>
      </w:r>
    </w:p>
    <w:p w14:paraId="1A6811E6" w14:textId="13F3BB5E" w:rsidR="0078588B" w:rsidRPr="0085174C" w:rsidRDefault="0078588B" w:rsidP="00367A4B">
      <w:pPr>
        <w:spacing w:after="0" w:line="240" w:lineRule="auto"/>
        <w:ind w:left="567" w:hanging="567"/>
        <w:rPr>
          <w:rFonts w:cstheme="minorHAnsi"/>
          <w:lang w:val="fr-CH"/>
        </w:rPr>
      </w:pPr>
    </w:p>
    <w:p w14:paraId="5380A260" w14:textId="61EE67F7" w:rsidR="00367A4B" w:rsidRPr="0085174C" w:rsidRDefault="001340A2" w:rsidP="00367A4B">
      <w:pPr>
        <w:spacing w:after="0" w:line="240" w:lineRule="auto"/>
        <w:ind w:left="567" w:hanging="567"/>
        <w:rPr>
          <w:lang w:val="fr-CH"/>
        </w:rPr>
      </w:pPr>
      <w:r w:rsidRPr="0085174C">
        <w:rPr>
          <w:lang w:val="fr-CH"/>
        </w:rPr>
        <w:t>10</w:t>
      </w:r>
      <w:r w:rsidR="0079631C" w:rsidRPr="0085174C">
        <w:rPr>
          <w:lang w:val="fr-CH"/>
        </w:rPr>
        <w:t>.</w:t>
      </w:r>
      <w:r w:rsidR="0079631C" w:rsidRPr="0085174C">
        <w:rPr>
          <w:lang w:val="fr-CH"/>
        </w:rPr>
        <w:tab/>
      </w:r>
      <w:r w:rsidR="007563D8">
        <w:rPr>
          <w:lang w:val="fr-CH"/>
        </w:rPr>
        <w:t xml:space="preserve">Le Secrétariat présente le </w:t>
      </w:r>
      <w:r w:rsidR="00367A4B" w:rsidRPr="0085174C">
        <w:rPr>
          <w:lang w:val="fr-CH"/>
        </w:rPr>
        <w:t>document SC</w:t>
      </w:r>
      <w:r w:rsidRPr="0085174C">
        <w:rPr>
          <w:lang w:val="fr-CH"/>
        </w:rPr>
        <w:t>62</w:t>
      </w:r>
      <w:r w:rsidR="00367A4B" w:rsidRPr="0085174C">
        <w:rPr>
          <w:lang w:val="fr-CH"/>
        </w:rPr>
        <w:t xml:space="preserve"> Doc.</w:t>
      </w:r>
      <w:r w:rsidRPr="0085174C">
        <w:rPr>
          <w:lang w:val="fr-CH"/>
        </w:rPr>
        <w:t>20.1</w:t>
      </w:r>
      <w:r w:rsidR="00367A4B" w:rsidRPr="0085174C">
        <w:rPr>
          <w:lang w:val="fr-CH"/>
        </w:rPr>
        <w:t xml:space="preserve">, </w:t>
      </w:r>
      <w:r w:rsidRPr="0085174C">
        <w:rPr>
          <w:i/>
          <w:iCs/>
          <w:lang w:val="fr-CH"/>
        </w:rPr>
        <w:t>R</w:t>
      </w:r>
      <w:r w:rsidR="007563D8">
        <w:rPr>
          <w:i/>
          <w:iCs/>
          <w:lang w:val="fr-CH"/>
        </w:rPr>
        <w:t>apport du Secrétariat sur la COP15</w:t>
      </w:r>
      <w:r w:rsidRPr="0085174C">
        <w:rPr>
          <w:lang w:val="fr-CH"/>
        </w:rPr>
        <w:t xml:space="preserve">, </w:t>
      </w:r>
      <w:r w:rsidR="007563D8">
        <w:rPr>
          <w:lang w:val="fr-CH"/>
        </w:rPr>
        <w:t xml:space="preserve">qui décrit l’offre du Zimbabwe d’accueillir la COP15, présente l’ordre du jour provisoire de la session et les dates du 23 au 31 juillet 2025 proposées par le pays hôte. </w:t>
      </w:r>
    </w:p>
    <w:p w14:paraId="08E212D2" w14:textId="77777777" w:rsidR="00367A4B" w:rsidRPr="0085174C" w:rsidRDefault="00367A4B" w:rsidP="00367A4B">
      <w:pPr>
        <w:spacing w:after="0" w:line="240" w:lineRule="auto"/>
        <w:ind w:left="567" w:hanging="567"/>
        <w:rPr>
          <w:lang w:val="fr-CH"/>
        </w:rPr>
      </w:pPr>
    </w:p>
    <w:p w14:paraId="63F8C2E0" w14:textId="2EC63BFE" w:rsidR="00367A4B" w:rsidRPr="0085174C" w:rsidRDefault="0046529B" w:rsidP="00367A4B">
      <w:pPr>
        <w:spacing w:after="0" w:line="240" w:lineRule="auto"/>
        <w:ind w:left="567" w:hanging="567"/>
        <w:rPr>
          <w:lang w:val="fr-CH"/>
        </w:rPr>
      </w:pPr>
      <w:r w:rsidRPr="0085174C">
        <w:rPr>
          <w:lang w:val="fr-CH"/>
        </w:rPr>
        <w:t>11</w:t>
      </w:r>
      <w:r w:rsidR="0079631C" w:rsidRPr="0085174C">
        <w:rPr>
          <w:lang w:val="fr-CH"/>
        </w:rPr>
        <w:t>.</w:t>
      </w:r>
      <w:r w:rsidR="0079631C" w:rsidRPr="0085174C">
        <w:rPr>
          <w:lang w:val="fr-CH"/>
        </w:rPr>
        <w:tab/>
      </w:r>
      <w:r w:rsidR="007563D8">
        <w:rPr>
          <w:lang w:val="fr-CH"/>
        </w:rPr>
        <w:t xml:space="preserve">Un membre du Comité permanent suggère d’ajouter un point de l’ordre du jour dédié </w:t>
      </w:r>
      <w:r w:rsidR="006C132D">
        <w:rPr>
          <w:lang w:val="fr-CH"/>
        </w:rPr>
        <w:t>à l’</w:t>
      </w:r>
      <w:r w:rsidR="00985CF2">
        <w:rPr>
          <w:lang w:val="fr-CH"/>
        </w:rPr>
        <w:t>attribution d</w:t>
      </w:r>
      <w:r w:rsidR="007563D8" w:rsidRPr="00D358A4">
        <w:rPr>
          <w:lang w:val="fr-CH"/>
        </w:rPr>
        <w:t xml:space="preserve">u label Ville des Zones Humides </w:t>
      </w:r>
      <w:r w:rsidR="007563D8">
        <w:rPr>
          <w:lang w:val="fr-CH"/>
        </w:rPr>
        <w:t>dans l’ordre du jour provisoire.</w:t>
      </w:r>
    </w:p>
    <w:p w14:paraId="5958FB3E" w14:textId="77777777" w:rsidR="00367A4B" w:rsidRPr="0085174C" w:rsidRDefault="00367A4B" w:rsidP="00367A4B">
      <w:pPr>
        <w:spacing w:after="0" w:line="240" w:lineRule="auto"/>
        <w:ind w:left="567" w:hanging="567"/>
        <w:rPr>
          <w:lang w:val="fr-CH"/>
        </w:rPr>
      </w:pPr>
    </w:p>
    <w:p w14:paraId="229E7D9F" w14:textId="179867A0" w:rsidR="0046529B" w:rsidRPr="00D15407" w:rsidRDefault="0046529B" w:rsidP="0046529B">
      <w:pPr>
        <w:spacing w:after="0" w:line="240" w:lineRule="auto"/>
        <w:ind w:left="567" w:hanging="567"/>
        <w:rPr>
          <w:lang w:val="fr-FR"/>
        </w:rPr>
      </w:pPr>
      <w:r w:rsidRPr="00D15407">
        <w:rPr>
          <w:lang w:val="fr-FR"/>
        </w:rPr>
        <w:lastRenderedPageBreak/>
        <w:t>12</w:t>
      </w:r>
      <w:r w:rsidR="0079631C" w:rsidRPr="00D15407">
        <w:rPr>
          <w:lang w:val="fr-FR"/>
        </w:rPr>
        <w:t>.</w:t>
      </w:r>
      <w:r w:rsidR="0079631C" w:rsidRPr="00D15407">
        <w:rPr>
          <w:lang w:val="fr-FR"/>
        </w:rPr>
        <w:tab/>
      </w:r>
      <w:r w:rsidR="007563D8" w:rsidRPr="00D15407">
        <w:rPr>
          <w:lang w:val="fr-FR"/>
        </w:rPr>
        <w:t xml:space="preserve">Le </w:t>
      </w:r>
      <w:r w:rsidRPr="00D15407">
        <w:rPr>
          <w:lang w:val="fr-FR"/>
        </w:rPr>
        <w:t xml:space="preserve">Zimbabwe </w:t>
      </w:r>
      <w:r w:rsidR="00D15407" w:rsidRPr="00D15407">
        <w:rPr>
          <w:lang w:val="fr-FR"/>
        </w:rPr>
        <w:t>fait un</w:t>
      </w:r>
      <w:r w:rsidR="00D15407">
        <w:rPr>
          <w:lang w:val="fr-FR"/>
        </w:rPr>
        <w:t xml:space="preserve"> exposé</w:t>
      </w:r>
      <w:r w:rsidR="00D15407" w:rsidRPr="00D15407">
        <w:rPr>
          <w:lang w:val="fr-FR"/>
        </w:rPr>
        <w:t xml:space="preserve"> sur l’état des préparatifs de la</w:t>
      </w:r>
      <w:r w:rsidRPr="00D15407">
        <w:rPr>
          <w:lang w:val="fr-FR"/>
        </w:rPr>
        <w:t xml:space="preserve"> COP15. </w:t>
      </w:r>
    </w:p>
    <w:p w14:paraId="06DA66D6" w14:textId="77777777" w:rsidR="009F11C2" w:rsidRPr="00D15407" w:rsidRDefault="009F11C2" w:rsidP="0046529B">
      <w:pPr>
        <w:spacing w:after="0" w:line="240" w:lineRule="auto"/>
        <w:ind w:left="567" w:hanging="567"/>
        <w:rPr>
          <w:lang w:val="fr-FR"/>
        </w:rPr>
      </w:pPr>
    </w:p>
    <w:p w14:paraId="56455533" w14:textId="47FB8E8A" w:rsidR="009F11C2" w:rsidRPr="0085174C" w:rsidRDefault="009F11C2" w:rsidP="0046529B">
      <w:pPr>
        <w:spacing w:after="0" w:line="240" w:lineRule="auto"/>
        <w:ind w:left="567" w:hanging="567"/>
        <w:rPr>
          <w:lang w:val="fr-CH"/>
        </w:rPr>
      </w:pPr>
      <w:r w:rsidRPr="0085174C">
        <w:rPr>
          <w:lang w:val="fr-CH"/>
        </w:rPr>
        <w:t>13.</w:t>
      </w:r>
      <w:r w:rsidRPr="0085174C">
        <w:rPr>
          <w:lang w:val="fr-CH"/>
        </w:rPr>
        <w:tab/>
      </w:r>
      <w:r w:rsidR="007563D8">
        <w:rPr>
          <w:lang w:val="fr-CH"/>
        </w:rPr>
        <w:t xml:space="preserve">Les membres du Comité permanent expriment leur appréciation au Zimbabwe pour avoir offert d’accueillir la COP15 et au Secrétariat pour ses travaux </w:t>
      </w:r>
      <w:r w:rsidR="00D15407">
        <w:rPr>
          <w:lang w:val="fr-CH"/>
        </w:rPr>
        <w:t>préparatoires</w:t>
      </w:r>
      <w:r w:rsidR="007563D8">
        <w:rPr>
          <w:lang w:val="fr-CH"/>
        </w:rPr>
        <w:t xml:space="preserve"> de la COP15.</w:t>
      </w:r>
      <w:r w:rsidRPr="0085174C">
        <w:rPr>
          <w:lang w:val="fr-CH"/>
        </w:rPr>
        <w:t xml:space="preserve"> </w:t>
      </w:r>
    </w:p>
    <w:p w14:paraId="0CC0B208" w14:textId="5A122341" w:rsidR="000F768E" w:rsidRPr="0085174C" w:rsidRDefault="000F768E" w:rsidP="0046529B">
      <w:pPr>
        <w:spacing w:after="0" w:line="240" w:lineRule="auto"/>
        <w:rPr>
          <w:lang w:val="fr-CH"/>
        </w:rPr>
      </w:pPr>
    </w:p>
    <w:p w14:paraId="107E2DD1" w14:textId="1E92DF03" w:rsidR="004F2321" w:rsidRPr="0085174C" w:rsidRDefault="006E1938" w:rsidP="00367A4B">
      <w:pPr>
        <w:spacing w:after="0" w:line="240" w:lineRule="auto"/>
        <w:ind w:left="567" w:hanging="567"/>
        <w:rPr>
          <w:lang w:val="fr-CH"/>
        </w:rPr>
      </w:pPr>
      <w:r w:rsidRPr="00D15407">
        <w:rPr>
          <w:lang w:val="fr-CH"/>
        </w:rPr>
        <w:t>1</w:t>
      </w:r>
      <w:r w:rsidR="007563D8" w:rsidRPr="00D15407">
        <w:rPr>
          <w:lang w:val="fr-CH"/>
        </w:rPr>
        <w:t>4</w:t>
      </w:r>
      <w:r w:rsidR="00CA3BDB" w:rsidRPr="00D15407">
        <w:rPr>
          <w:lang w:val="fr-CH"/>
        </w:rPr>
        <w:t>.</w:t>
      </w:r>
      <w:r w:rsidR="00CA3BDB" w:rsidRPr="0085174C">
        <w:rPr>
          <w:lang w:val="fr-CH"/>
        </w:rPr>
        <w:tab/>
      </w:r>
      <w:r w:rsidR="007563D8">
        <w:rPr>
          <w:lang w:val="fr-CH"/>
        </w:rPr>
        <w:t>Le Président du Comité permanent invite les Parties contractantes à exprimer leur intérêt à se joindre au Sous</w:t>
      </w:r>
      <w:r w:rsidR="007563D8">
        <w:rPr>
          <w:lang w:val="fr-CH"/>
        </w:rPr>
        <w:noBreakHyphen/>
        <w:t xml:space="preserve">groupe sur la </w:t>
      </w:r>
      <w:r w:rsidRPr="0085174C">
        <w:rPr>
          <w:lang w:val="fr-CH"/>
        </w:rPr>
        <w:t xml:space="preserve">COP15. </w:t>
      </w:r>
    </w:p>
    <w:p w14:paraId="5955FBE6" w14:textId="77777777" w:rsidR="00E74514" w:rsidRPr="0085174C" w:rsidRDefault="00E74514" w:rsidP="00367A4B">
      <w:pPr>
        <w:spacing w:after="0" w:line="240" w:lineRule="auto"/>
        <w:ind w:left="567" w:hanging="567"/>
        <w:rPr>
          <w:lang w:val="fr-CH"/>
        </w:rPr>
      </w:pPr>
    </w:p>
    <w:p w14:paraId="04DF4FBB" w14:textId="190958C3" w:rsidR="000F768E" w:rsidRPr="0085174C" w:rsidRDefault="004F2321" w:rsidP="00367A4B">
      <w:pPr>
        <w:spacing w:after="0" w:line="240" w:lineRule="auto"/>
        <w:ind w:left="567" w:hanging="567"/>
        <w:rPr>
          <w:lang w:val="fr-CH"/>
        </w:rPr>
      </w:pPr>
      <w:r w:rsidRPr="0085174C">
        <w:rPr>
          <w:lang w:val="fr-CH"/>
        </w:rPr>
        <w:t>1</w:t>
      </w:r>
      <w:r w:rsidR="007563D8">
        <w:rPr>
          <w:lang w:val="fr-CH"/>
        </w:rPr>
        <w:t>5</w:t>
      </w:r>
      <w:r w:rsidRPr="0085174C">
        <w:rPr>
          <w:lang w:val="fr-CH"/>
        </w:rPr>
        <w:t>.</w:t>
      </w:r>
      <w:r w:rsidRPr="0085174C">
        <w:rPr>
          <w:lang w:val="fr-CH"/>
        </w:rPr>
        <w:tab/>
      </w:r>
      <w:r w:rsidR="00DC1755">
        <w:rPr>
          <w:lang w:val="fr-CH"/>
        </w:rPr>
        <w:t xml:space="preserve">Le </w:t>
      </w:r>
      <w:r w:rsidR="00E74514" w:rsidRPr="0085174C">
        <w:rPr>
          <w:lang w:val="fr-CH"/>
        </w:rPr>
        <w:t xml:space="preserve">Canada, </w:t>
      </w:r>
      <w:r w:rsidR="00DC1755">
        <w:rPr>
          <w:lang w:val="fr-CH"/>
        </w:rPr>
        <w:t xml:space="preserve">la </w:t>
      </w:r>
      <w:r w:rsidR="00E74514" w:rsidRPr="0085174C">
        <w:rPr>
          <w:lang w:val="fr-CH"/>
        </w:rPr>
        <w:t>Chin</w:t>
      </w:r>
      <w:r w:rsidR="00DC1755">
        <w:rPr>
          <w:lang w:val="fr-CH"/>
        </w:rPr>
        <w:t>e</w:t>
      </w:r>
      <w:r w:rsidR="00E74514" w:rsidRPr="0085174C">
        <w:rPr>
          <w:lang w:val="fr-CH"/>
        </w:rPr>
        <w:t xml:space="preserve">, Madagascar, </w:t>
      </w:r>
      <w:r w:rsidR="00452F29">
        <w:rPr>
          <w:lang w:val="fr-CH"/>
        </w:rPr>
        <w:t xml:space="preserve">le Royaume-Uni de Grande-Bretagne et d’Irlande du Nord, </w:t>
      </w:r>
      <w:r w:rsidR="006E1938" w:rsidRPr="0085174C">
        <w:rPr>
          <w:lang w:val="fr-CH"/>
        </w:rPr>
        <w:t>Saint</w:t>
      </w:r>
      <w:r w:rsidR="00DC1755">
        <w:rPr>
          <w:lang w:val="fr-CH"/>
        </w:rPr>
        <w:t>e</w:t>
      </w:r>
      <w:r w:rsidR="00DC1755">
        <w:rPr>
          <w:lang w:val="fr-CH"/>
        </w:rPr>
        <w:noBreakHyphen/>
        <w:t>Lucie</w:t>
      </w:r>
      <w:r w:rsidR="00E74514" w:rsidRPr="0085174C">
        <w:rPr>
          <w:lang w:val="fr-CH"/>
        </w:rPr>
        <w:t xml:space="preserve">, </w:t>
      </w:r>
      <w:r w:rsidR="00DC1755">
        <w:rPr>
          <w:lang w:val="fr-CH"/>
        </w:rPr>
        <w:t>la Suède</w:t>
      </w:r>
      <w:r w:rsidR="00E74514" w:rsidRPr="0085174C">
        <w:rPr>
          <w:lang w:val="fr-CH"/>
        </w:rPr>
        <w:t xml:space="preserve"> (</w:t>
      </w:r>
      <w:r w:rsidR="00DC1755">
        <w:rPr>
          <w:lang w:val="fr-CH"/>
        </w:rPr>
        <w:t>avec</w:t>
      </w:r>
      <w:r w:rsidR="00452F29">
        <w:rPr>
          <w:lang w:val="fr-CH"/>
        </w:rPr>
        <w:t xml:space="preserve"> la Slovénie comme suppléante), la Suisse, </w:t>
      </w:r>
      <w:r w:rsidR="006C132D">
        <w:rPr>
          <w:lang w:val="fr-CH"/>
        </w:rPr>
        <w:t xml:space="preserve">le </w:t>
      </w:r>
      <w:r w:rsidR="00452F29">
        <w:rPr>
          <w:lang w:val="fr-CH"/>
        </w:rPr>
        <w:t xml:space="preserve">Vanuatu (avec l’Australie comme suppléante) et </w:t>
      </w:r>
      <w:r w:rsidR="006E1938" w:rsidRPr="0085174C">
        <w:rPr>
          <w:lang w:val="fr-CH"/>
        </w:rPr>
        <w:t xml:space="preserve">BirdLife international </w:t>
      </w:r>
      <w:r w:rsidR="00452F29">
        <w:rPr>
          <w:lang w:val="fr-CH"/>
        </w:rPr>
        <w:t>expriment leur intérêt à rejoindre le Sous</w:t>
      </w:r>
      <w:r w:rsidR="00452F29">
        <w:rPr>
          <w:lang w:val="fr-CH"/>
        </w:rPr>
        <w:noBreakHyphen/>
        <w:t xml:space="preserve">groupe sur la </w:t>
      </w:r>
      <w:r w:rsidRPr="0085174C">
        <w:rPr>
          <w:lang w:val="fr-CH"/>
        </w:rPr>
        <w:t xml:space="preserve">COP15. </w:t>
      </w:r>
    </w:p>
    <w:p w14:paraId="59C0BBE9" w14:textId="77777777" w:rsidR="00367A4B" w:rsidRPr="0085174C" w:rsidRDefault="00367A4B" w:rsidP="0046529B">
      <w:pPr>
        <w:spacing w:after="0" w:line="240" w:lineRule="auto"/>
        <w:rPr>
          <w:lang w:val="fr-CH"/>
        </w:rPr>
      </w:pPr>
    </w:p>
    <w:p w14:paraId="51F5C949" w14:textId="019C4998" w:rsidR="00367A4B" w:rsidRPr="0085174C" w:rsidRDefault="009F11C2" w:rsidP="00367A4B">
      <w:pPr>
        <w:spacing w:after="0" w:line="240" w:lineRule="auto"/>
        <w:ind w:left="567" w:hanging="567"/>
        <w:rPr>
          <w:lang w:val="fr-CH"/>
        </w:rPr>
      </w:pPr>
      <w:r w:rsidRPr="0085174C">
        <w:rPr>
          <w:lang w:val="fr-CH"/>
        </w:rPr>
        <w:t>1</w:t>
      </w:r>
      <w:r w:rsidR="007563D8">
        <w:rPr>
          <w:lang w:val="fr-CH"/>
        </w:rPr>
        <w:t>6</w:t>
      </w:r>
      <w:r w:rsidR="00CA3BDB" w:rsidRPr="0085174C">
        <w:rPr>
          <w:lang w:val="fr-CH"/>
        </w:rPr>
        <w:t>.</w:t>
      </w:r>
      <w:r w:rsidR="00CA3BDB" w:rsidRPr="0085174C">
        <w:rPr>
          <w:lang w:val="fr-CH"/>
        </w:rPr>
        <w:tab/>
      </w:r>
      <w:r w:rsidR="00CC1A43">
        <w:rPr>
          <w:lang w:val="fr-CH"/>
        </w:rPr>
        <w:t>Le Botswana, la République de Corée et la Suède interviennent dans la discussion.</w:t>
      </w:r>
    </w:p>
    <w:p w14:paraId="5D37E815" w14:textId="77777777" w:rsidR="00367A4B" w:rsidRPr="00D358A4" w:rsidRDefault="00367A4B" w:rsidP="00367A4B">
      <w:pPr>
        <w:spacing w:after="0" w:line="240" w:lineRule="auto"/>
        <w:ind w:left="567" w:hanging="567"/>
        <w:rPr>
          <w:lang w:val="fr-FR"/>
        </w:rPr>
      </w:pPr>
    </w:p>
    <w:p w14:paraId="141DD26D" w14:textId="1159E712" w:rsidR="002B1C9D" w:rsidRPr="000E08CF" w:rsidRDefault="00E64244" w:rsidP="00E64244">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w:t>
      </w:r>
      <w:r w:rsidR="0046529B" w:rsidRPr="000E08CF">
        <w:rPr>
          <w:rFonts w:cstheme="minorHAnsi"/>
          <w:b/>
          <w:lang w:val="fr-FR"/>
        </w:rPr>
        <w:t>62</w:t>
      </w:r>
      <w:r w:rsidRPr="000E08CF">
        <w:rPr>
          <w:rFonts w:cstheme="minorHAnsi"/>
          <w:b/>
          <w:lang w:val="fr-FR"/>
        </w:rPr>
        <w:t>-</w:t>
      </w:r>
      <w:r w:rsidR="00E74514" w:rsidRPr="000E08CF">
        <w:rPr>
          <w:rFonts w:cstheme="minorHAnsi"/>
          <w:b/>
          <w:lang w:val="fr-FR"/>
        </w:rPr>
        <w:t>07</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Le Comité permanent prend note du</w:t>
      </w:r>
      <w:r w:rsidR="000E08CF" w:rsidRPr="000E08CF">
        <w:rPr>
          <w:b/>
          <w:lang w:val="fr-FR"/>
        </w:rPr>
        <w:t xml:space="preserve"> Rapport du </w:t>
      </w:r>
      <w:r w:rsidR="0046529B" w:rsidRPr="000E08CF">
        <w:rPr>
          <w:rFonts w:cstheme="minorHAnsi"/>
          <w:b/>
          <w:lang w:val="fr-FR"/>
        </w:rPr>
        <w:t>Secr</w:t>
      </w:r>
      <w:r w:rsidR="000E08CF">
        <w:rPr>
          <w:rFonts w:cstheme="minorHAnsi"/>
          <w:b/>
          <w:lang w:val="fr-FR"/>
        </w:rPr>
        <w:t>é</w:t>
      </w:r>
      <w:r w:rsidR="0046529B" w:rsidRPr="000E08CF">
        <w:rPr>
          <w:rFonts w:cstheme="minorHAnsi"/>
          <w:b/>
          <w:lang w:val="fr-FR"/>
        </w:rPr>
        <w:t xml:space="preserve">tariat </w:t>
      </w:r>
      <w:r w:rsidR="000E08CF">
        <w:rPr>
          <w:rFonts w:cstheme="minorHAnsi"/>
          <w:b/>
          <w:lang w:val="fr-FR"/>
        </w:rPr>
        <w:t>sur la</w:t>
      </w:r>
      <w:r w:rsidR="0046529B" w:rsidRPr="000E08CF">
        <w:rPr>
          <w:rFonts w:cstheme="minorHAnsi"/>
          <w:b/>
          <w:lang w:val="fr-FR"/>
        </w:rPr>
        <w:t xml:space="preserve"> COP15. </w:t>
      </w:r>
    </w:p>
    <w:p w14:paraId="6D31507D" w14:textId="77777777" w:rsidR="0046529B" w:rsidRPr="000E08CF" w:rsidRDefault="0046529B" w:rsidP="00E64244">
      <w:pPr>
        <w:spacing w:after="0" w:line="240" w:lineRule="auto"/>
        <w:contextualSpacing/>
        <w:rPr>
          <w:rFonts w:cstheme="minorHAnsi"/>
          <w:b/>
          <w:lang w:val="fr-FR"/>
        </w:rPr>
      </w:pPr>
    </w:p>
    <w:p w14:paraId="7BAE8063" w14:textId="5047322C" w:rsidR="0046529B" w:rsidRPr="000E08CF" w:rsidRDefault="0046529B" w:rsidP="00E64244">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08</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 xml:space="preserve">Le Comité permanent </w:t>
      </w:r>
      <w:r w:rsidR="006E1938" w:rsidRPr="000E08CF">
        <w:rPr>
          <w:rFonts w:cstheme="minorHAnsi"/>
          <w:b/>
          <w:lang w:val="fr-FR"/>
        </w:rPr>
        <w:t>accept</w:t>
      </w:r>
      <w:r w:rsidRPr="000E08CF">
        <w:rPr>
          <w:rFonts w:cstheme="minorHAnsi"/>
          <w:b/>
          <w:lang w:val="fr-FR"/>
        </w:rPr>
        <w:t>e</w:t>
      </w:r>
      <w:r w:rsidR="000E08CF" w:rsidRPr="000E08CF">
        <w:rPr>
          <w:rFonts w:cstheme="minorHAnsi"/>
          <w:b/>
          <w:lang w:val="fr-FR"/>
        </w:rPr>
        <w:t xml:space="preserve"> le</w:t>
      </w:r>
      <w:r w:rsidR="000E08CF">
        <w:rPr>
          <w:rFonts w:cstheme="minorHAnsi"/>
          <w:b/>
          <w:lang w:val="fr-FR"/>
        </w:rPr>
        <w:t>s dates proposées, du</w:t>
      </w:r>
      <w:r w:rsidR="006E1938" w:rsidRPr="000E08CF">
        <w:rPr>
          <w:rFonts w:cstheme="minorHAnsi"/>
          <w:b/>
          <w:lang w:val="fr-FR"/>
        </w:rPr>
        <w:t xml:space="preserve"> 23</w:t>
      </w:r>
      <w:r w:rsidR="000E08CF">
        <w:rPr>
          <w:rFonts w:cstheme="minorHAnsi"/>
          <w:b/>
          <w:lang w:val="fr-FR"/>
        </w:rPr>
        <w:t xml:space="preserve"> au </w:t>
      </w:r>
      <w:r w:rsidR="006E1938" w:rsidRPr="000E08CF">
        <w:rPr>
          <w:rFonts w:cstheme="minorHAnsi"/>
          <w:b/>
          <w:lang w:val="fr-FR"/>
        </w:rPr>
        <w:t xml:space="preserve">31 </w:t>
      </w:r>
      <w:r w:rsidR="000E08CF">
        <w:rPr>
          <w:rFonts w:cstheme="minorHAnsi"/>
          <w:b/>
          <w:lang w:val="fr-FR"/>
        </w:rPr>
        <w:t xml:space="preserve">juillet </w:t>
      </w:r>
      <w:r w:rsidR="006E1938" w:rsidRPr="000E08CF">
        <w:rPr>
          <w:rFonts w:cstheme="minorHAnsi"/>
          <w:b/>
          <w:lang w:val="fr-FR"/>
        </w:rPr>
        <w:t>2025</w:t>
      </w:r>
      <w:r w:rsidR="000E08CF">
        <w:rPr>
          <w:rFonts w:cstheme="minorHAnsi"/>
          <w:b/>
          <w:lang w:val="fr-FR"/>
        </w:rPr>
        <w:t>,</w:t>
      </w:r>
      <w:r w:rsidR="006E1938" w:rsidRPr="000E08CF">
        <w:rPr>
          <w:rFonts w:cstheme="minorHAnsi"/>
          <w:b/>
          <w:lang w:val="fr-FR"/>
        </w:rPr>
        <w:t xml:space="preserve"> </w:t>
      </w:r>
      <w:r w:rsidR="000E08CF">
        <w:rPr>
          <w:rFonts w:cstheme="minorHAnsi"/>
          <w:b/>
          <w:lang w:val="fr-FR"/>
        </w:rPr>
        <w:t>pour la</w:t>
      </w:r>
      <w:r w:rsidR="006E1938" w:rsidRPr="000E08CF">
        <w:rPr>
          <w:rFonts w:cstheme="minorHAnsi"/>
          <w:b/>
          <w:lang w:val="fr-FR"/>
        </w:rPr>
        <w:t xml:space="preserve"> COP15. </w:t>
      </w:r>
    </w:p>
    <w:p w14:paraId="093A0963" w14:textId="77777777" w:rsidR="0046529B" w:rsidRPr="000E08CF" w:rsidRDefault="0046529B" w:rsidP="00E64244">
      <w:pPr>
        <w:spacing w:after="0" w:line="240" w:lineRule="auto"/>
        <w:contextualSpacing/>
        <w:rPr>
          <w:rFonts w:cstheme="minorHAnsi"/>
          <w:b/>
          <w:lang w:val="fr-FR"/>
        </w:rPr>
      </w:pPr>
    </w:p>
    <w:p w14:paraId="2307B947" w14:textId="5DF6D009" w:rsidR="0046529B" w:rsidRPr="000E08CF" w:rsidRDefault="0046529B" w:rsidP="0046529B">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09</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 xml:space="preserve">Le Comité permanent </w:t>
      </w:r>
      <w:r w:rsidRPr="000E08CF">
        <w:rPr>
          <w:rFonts w:cstheme="minorHAnsi"/>
          <w:b/>
          <w:lang w:val="fr-FR"/>
        </w:rPr>
        <w:t>appro</w:t>
      </w:r>
      <w:r w:rsidR="000E08CF" w:rsidRPr="000E08CF">
        <w:rPr>
          <w:rFonts w:cstheme="minorHAnsi"/>
          <w:b/>
          <w:lang w:val="fr-FR"/>
        </w:rPr>
        <w:t>u</w:t>
      </w:r>
      <w:r w:rsidRPr="000E08CF">
        <w:rPr>
          <w:rFonts w:cstheme="minorHAnsi"/>
          <w:b/>
          <w:lang w:val="fr-FR"/>
        </w:rPr>
        <w:t xml:space="preserve">ve </w:t>
      </w:r>
      <w:r w:rsidR="000E08CF" w:rsidRPr="000E08CF">
        <w:rPr>
          <w:rFonts w:cstheme="minorHAnsi"/>
          <w:b/>
          <w:lang w:val="fr-FR"/>
        </w:rPr>
        <w:t>l’ordre du</w:t>
      </w:r>
      <w:r w:rsidR="000E08CF">
        <w:rPr>
          <w:rFonts w:cstheme="minorHAnsi"/>
          <w:b/>
          <w:lang w:val="fr-FR"/>
        </w:rPr>
        <w:t xml:space="preserve"> jour provisoire de la</w:t>
      </w:r>
      <w:r w:rsidRPr="000E08CF">
        <w:rPr>
          <w:rFonts w:cstheme="minorHAnsi"/>
          <w:b/>
          <w:lang w:val="fr-FR"/>
        </w:rPr>
        <w:t xml:space="preserve"> COP15 </w:t>
      </w:r>
      <w:r w:rsidR="000E08CF">
        <w:rPr>
          <w:rFonts w:cstheme="minorHAnsi"/>
          <w:b/>
          <w:lang w:val="fr-FR"/>
        </w:rPr>
        <w:t>avec l’ajout d’un point de l’ordre du jour dédié au label Ville des Zones Humides</w:t>
      </w:r>
      <w:r w:rsidRPr="000E08CF">
        <w:rPr>
          <w:rFonts w:cstheme="minorHAnsi"/>
          <w:b/>
          <w:lang w:val="fr-FR"/>
        </w:rPr>
        <w:t>.</w:t>
      </w:r>
    </w:p>
    <w:p w14:paraId="2AD6CFF8" w14:textId="77777777" w:rsidR="006E1938" w:rsidRPr="000E08CF" w:rsidRDefault="006E1938" w:rsidP="0046529B">
      <w:pPr>
        <w:spacing w:after="0" w:line="240" w:lineRule="auto"/>
        <w:contextualSpacing/>
        <w:rPr>
          <w:rFonts w:cstheme="minorHAnsi"/>
          <w:b/>
          <w:lang w:val="fr-FR"/>
        </w:rPr>
      </w:pPr>
    </w:p>
    <w:p w14:paraId="55066FC1" w14:textId="53935A51" w:rsidR="009F11C2" w:rsidRPr="000E08CF" w:rsidRDefault="006E1938" w:rsidP="006E1938">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10</w:t>
      </w:r>
      <w:r w:rsidR="003B5404" w:rsidRPr="000E08CF">
        <w:rPr>
          <w:rFonts w:cstheme="minorHAnsi"/>
          <w:b/>
          <w:lang w:val="fr-FR"/>
        </w:rPr>
        <w:t> </w:t>
      </w:r>
      <w:r w:rsidR="00E74514" w:rsidRPr="000E08CF">
        <w:rPr>
          <w:rFonts w:cstheme="minorHAnsi"/>
          <w:b/>
          <w:lang w:val="fr-FR"/>
        </w:rPr>
        <w:t>:</w:t>
      </w:r>
      <w:r w:rsidRPr="000E08CF">
        <w:rPr>
          <w:rFonts w:cstheme="minorHAnsi"/>
          <w:b/>
          <w:lang w:val="fr-FR"/>
        </w:rPr>
        <w:t xml:space="preserve"> </w:t>
      </w:r>
      <w:r w:rsidR="000E08CF" w:rsidRPr="000E08CF">
        <w:rPr>
          <w:rFonts w:cstheme="minorHAnsi"/>
          <w:b/>
          <w:lang w:val="fr-FR"/>
        </w:rPr>
        <w:t xml:space="preserve">Le Comité permanent </w:t>
      </w:r>
      <w:r w:rsidRPr="000E08CF">
        <w:rPr>
          <w:rFonts w:cstheme="minorHAnsi"/>
          <w:b/>
          <w:lang w:val="fr-FR"/>
        </w:rPr>
        <w:t>appro</w:t>
      </w:r>
      <w:r w:rsidR="000E08CF" w:rsidRPr="000E08CF">
        <w:rPr>
          <w:rFonts w:cstheme="minorHAnsi"/>
          <w:b/>
          <w:lang w:val="fr-FR"/>
        </w:rPr>
        <w:t>u</w:t>
      </w:r>
      <w:r w:rsidRPr="000E08CF">
        <w:rPr>
          <w:rFonts w:cstheme="minorHAnsi"/>
          <w:b/>
          <w:lang w:val="fr-FR"/>
        </w:rPr>
        <w:t xml:space="preserve">ve </w:t>
      </w:r>
      <w:r w:rsidR="000E08CF" w:rsidRPr="000E08CF">
        <w:rPr>
          <w:rFonts w:cstheme="minorHAnsi"/>
          <w:b/>
          <w:lang w:val="fr-FR"/>
        </w:rPr>
        <w:t>la</w:t>
      </w:r>
      <w:r w:rsidR="009F11C2" w:rsidRPr="000E08CF">
        <w:rPr>
          <w:rFonts w:cstheme="minorHAnsi"/>
          <w:b/>
          <w:lang w:val="fr-FR"/>
        </w:rPr>
        <w:t xml:space="preserve"> composition </w:t>
      </w:r>
      <w:r w:rsidR="000E08CF">
        <w:rPr>
          <w:rFonts w:cstheme="minorHAnsi"/>
          <w:b/>
          <w:lang w:val="fr-FR"/>
        </w:rPr>
        <w:t>du Sous-groupe sur la</w:t>
      </w:r>
      <w:r w:rsidR="009F11C2" w:rsidRPr="000E08CF">
        <w:rPr>
          <w:rFonts w:cstheme="minorHAnsi"/>
          <w:b/>
          <w:lang w:val="fr-FR"/>
        </w:rPr>
        <w:t xml:space="preserve"> COP15.</w:t>
      </w:r>
    </w:p>
    <w:p w14:paraId="37D44F5F" w14:textId="77777777" w:rsidR="009F11C2" w:rsidRPr="000E08CF" w:rsidRDefault="009F11C2" w:rsidP="009F11C2">
      <w:pPr>
        <w:spacing w:after="0" w:line="240" w:lineRule="auto"/>
        <w:rPr>
          <w:rFonts w:cstheme="minorHAnsi"/>
          <w:lang w:val="fr-FR"/>
        </w:rPr>
      </w:pPr>
    </w:p>
    <w:p w14:paraId="66F5AE4D" w14:textId="115CF00F" w:rsidR="009F11C2" w:rsidRPr="003B5404" w:rsidRDefault="003B5404" w:rsidP="009F11C2">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FR"/>
        </w:rPr>
      </w:pPr>
      <w:r w:rsidRPr="003B5404">
        <w:rPr>
          <w:rFonts w:cstheme="minorHAnsi"/>
          <w:bCs/>
          <w:lang w:val="fr-FR"/>
        </w:rPr>
        <w:t>Point 10 de l’ordre du jour </w:t>
      </w:r>
      <w:r w:rsidR="009F11C2" w:rsidRPr="003B5404">
        <w:rPr>
          <w:rFonts w:cstheme="minorHAnsi"/>
          <w:bCs/>
          <w:lang w:val="fr-FR"/>
        </w:rPr>
        <w:t xml:space="preserve">: </w:t>
      </w:r>
      <w:r w:rsidR="004F2321" w:rsidRPr="003B5404">
        <w:rPr>
          <w:lang w:val="fr-FR"/>
        </w:rPr>
        <w:t>R</w:t>
      </w:r>
      <w:r w:rsidRPr="003B5404">
        <w:rPr>
          <w:lang w:val="fr-FR"/>
        </w:rPr>
        <w:t>ap</w:t>
      </w:r>
      <w:r w:rsidR="004F2321" w:rsidRPr="003B5404">
        <w:rPr>
          <w:lang w:val="fr-FR"/>
        </w:rPr>
        <w:t xml:space="preserve">port </w:t>
      </w:r>
      <w:r w:rsidRPr="003B5404">
        <w:rPr>
          <w:lang w:val="fr-FR"/>
        </w:rPr>
        <w:t xml:space="preserve">du Groupe de travail sur </w:t>
      </w:r>
      <w:r w:rsidR="006C132D">
        <w:rPr>
          <w:lang w:val="fr-FR"/>
        </w:rPr>
        <w:t>le</w:t>
      </w:r>
      <w:r w:rsidRPr="003B5404">
        <w:rPr>
          <w:lang w:val="fr-FR"/>
        </w:rPr>
        <w:t xml:space="preserve"> Plan stratégique</w:t>
      </w:r>
    </w:p>
    <w:p w14:paraId="7A2CB90E" w14:textId="77777777" w:rsidR="009F11C2" w:rsidRPr="003B5404" w:rsidRDefault="009F11C2" w:rsidP="009F11C2">
      <w:pPr>
        <w:spacing w:after="0" w:line="240" w:lineRule="auto"/>
        <w:ind w:left="567" w:hanging="567"/>
        <w:rPr>
          <w:rFonts w:cstheme="minorHAnsi"/>
          <w:lang w:val="fr-FR"/>
        </w:rPr>
      </w:pPr>
    </w:p>
    <w:p w14:paraId="20C43C4F" w14:textId="7E02C510" w:rsidR="009F11C2" w:rsidRPr="00CC1A43" w:rsidRDefault="009F11C2" w:rsidP="009F11C2">
      <w:pPr>
        <w:spacing w:after="0" w:line="240" w:lineRule="auto"/>
        <w:ind w:left="567" w:hanging="567"/>
        <w:rPr>
          <w:lang w:val="fr-CH"/>
        </w:rPr>
      </w:pPr>
      <w:r w:rsidRPr="00CC1A43">
        <w:rPr>
          <w:lang w:val="fr-CH"/>
        </w:rPr>
        <w:t>1</w:t>
      </w:r>
      <w:r w:rsidR="003D63A4">
        <w:rPr>
          <w:lang w:val="fr-CH"/>
        </w:rPr>
        <w:t>7</w:t>
      </w:r>
      <w:r w:rsidRPr="00CC1A43">
        <w:rPr>
          <w:lang w:val="fr-CH"/>
        </w:rPr>
        <w:t>.</w:t>
      </w:r>
      <w:r w:rsidRPr="00CC1A43">
        <w:rPr>
          <w:lang w:val="fr-CH"/>
        </w:rPr>
        <w:tab/>
      </w:r>
      <w:r w:rsidR="00CC1A43">
        <w:rPr>
          <w:lang w:val="fr-CH"/>
        </w:rPr>
        <w:t xml:space="preserve">Le Brésil et le Canada, Coprésidents du Groupe de travail sur le Plan stratégique, présentent le </w:t>
      </w:r>
      <w:r w:rsidRPr="00CC1A43">
        <w:rPr>
          <w:lang w:val="fr-CH"/>
        </w:rPr>
        <w:t>document SC62 Doc.</w:t>
      </w:r>
      <w:r w:rsidR="004F2321" w:rsidRPr="00CC1A43">
        <w:rPr>
          <w:lang w:val="fr-CH"/>
        </w:rPr>
        <w:t>1</w:t>
      </w:r>
      <w:r w:rsidRPr="00CC1A43">
        <w:rPr>
          <w:lang w:val="fr-CH"/>
        </w:rPr>
        <w:t>0</w:t>
      </w:r>
      <w:r w:rsidR="004F2321" w:rsidRPr="00CC1A43">
        <w:rPr>
          <w:i/>
          <w:iCs/>
          <w:lang w:val="fr-CH"/>
        </w:rPr>
        <w:t>.</w:t>
      </w:r>
      <w:r w:rsidRPr="00CC1A43">
        <w:rPr>
          <w:lang w:val="fr-CH"/>
        </w:rPr>
        <w:t xml:space="preserve"> </w:t>
      </w:r>
    </w:p>
    <w:p w14:paraId="234A5DAB" w14:textId="77777777" w:rsidR="009F11C2" w:rsidRPr="00CC1A43" w:rsidRDefault="009F11C2" w:rsidP="009F11C2">
      <w:pPr>
        <w:spacing w:after="0" w:line="240" w:lineRule="auto"/>
        <w:ind w:left="567" w:hanging="567"/>
        <w:rPr>
          <w:lang w:val="fr-CH"/>
        </w:rPr>
      </w:pPr>
    </w:p>
    <w:p w14:paraId="76F84115" w14:textId="40286E80" w:rsidR="009F11C2" w:rsidRPr="00CC1A43" w:rsidRDefault="009F11C2" w:rsidP="009F11C2">
      <w:pPr>
        <w:spacing w:after="0" w:line="240" w:lineRule="auto"/>
        <w:ind w:left="567" w:hanging="567"/>
        <w:rPr>
          <w:lang w:val="fr-CH"/>
        </w:rPr>
      </w:pPr>
      <w:r w:rsidRPr="00CC1A43">
        <w:rPr>
          <w:lang w:val="fr-CH"/>
        </w:rPr>
        <w:t>1</w:t>
      </w:r>
      <w:r w:rsidR="003D63A4">
        <w:rPr>
          <w:lang w:val="fr-CH"/>
        </w:rPr>
        <w:t>8</w:t>
      </w:r>
      <w:r w:rsidRPr="00CC1A43">
        <w:rPr>
          <w:lang w:val="fr-CH"/>
        </w:rPr>
        <w:t>.</w:t>
      </w:r>
      <w:r w:rsidRPr="00CC1A43">
        <w:rPr>
          <w:lang w:val="fr-CH"/>
        </w:rPr>
        <w:tab/>
      </w:r>
      <w:r w:rsidR="00D15407">
        <w:rPr>
          <w:lang w:val="fr-CH"/>
        </w:rPr>
        <w:t>L</w:t>
      </w:r>
      <w:r w:rsidR="00CC1A43">
        <w:rPr>
          <w:lang w:val="fr-CH"/>
        </w:rPr>
        <w:t xml:space="preserve">es membres du Comité permanent remercient les </w:t>
      </w:r>
      <w:r w:rsidR="00E0533F">
        <w:rPr>
          <w:lang w:val="fr-CH"/>
        </w:rPr>
        <w:t>C</w:t>
      </w:r>
      <w:r w:rsidR="00CC1A43">
        <w:rPr>
          <w:lang w:val="fr-CH"/>
        </w:rPr>
        <w:t>oprésidents et l’équipe de consultants pour leur travail.</w:t>
      </w:r>
      <w:r w:rsidR="004F2321" w:rsidRPr="00CC1A43">
        <w:rPr>
          <w:lang w:val="fr-CH"/>
        </w:rPr>
        <w:t xml:space="preserve"> </w:t>
      </w:r>
    </w:p>
    <w:p w14:paraId="0DA6E08A" w14:textId="77777777" w:rsidR="004F2321" w:rsidRPr="00CC1A43" w:rsidRDefault="004F2321" w:rsidP="009F11C2">
      <w:pPr>
        <w:spacing w:after="0" w:line="240" w:lineRule="auto"/>
        <w:ind w:left="567" w:hanging="567"/>
        <w:rPr>
          <w:lang w:val="fr-CH"/>
        </w:rPr>
      </w:pPr>
    </w:p>
    <w:p w14:paraId="76104F57" w14:textId="2C35CD37" w:rsidR="004F2321" w:rsidRPr="00CC1A43" w:rsidRDefault="004F2321" w:rsidP="009F11C2">
      <w:pPr>
        <w:spacing w:after="0" w:line="240" w:lineRule="auto"/>
        <w:ind w:left="567" w:hanging="567"/>
        <w:rPr>
          <w:lang w:val="fr-CH"/>
        </w:rPr>
      </w:pPr>
      <w:r w:rsidRPr="00CC1A43">
        <w:rPr>
          <w:lang w:val="fr-CH"/>
        </w:rPr>
        <w:t>1</w:t>
      </w:r>
      <w:r w:rsidR="003D63A4">
        <w:rPr>
          <w:lang w:val="fr-CH"/>
        </w:rPr>
        <w:t>9</w:t>
      </w:r>
      <w:r w:rsidRPr="00CC1A43">
        <w:rPr>
          <w:lang w:val="fr-CH"/>
        </w:rPr>
        <w:t xml:space="preserve">. </w:t>
      </w:r>
      <w:r w:rsidRPr="00CC1A43">
        <w:rPr>
          <w:lang w:val="fr-CH"/>
        </w:rPr>
        <w:tab/>
      </w:r>
      <w:r w:rsidR="00CC1A43">
        <w:rPr>
          <w:lang w:val="fr-CH"/>
        </w:rPr>
        <w:t>L’Australie, le Burkina Faso, la Chine, la Colombie, le Japon, le Royaume-Uni de Grande-Bretagne et d’Irlande du Nord et le Président du GEST interviennent dans la discussion.</w:t>
      </w:r>
    </w:p>
    <w:p w14:paraId="57829AAA" w14:textId="77777777" w:rsidR="004F2321" w:rsidRPr="00D358A4" w:rsidRDefault="004F2321" w:rsidP="009F11C2">
      <w:pPr>
        <w:spacing w:after="0" w:line="240" w:lineRule="auto"/>
        <w:ind w:left="567" w:hanging="567"/>
        <w:rPr>
          <w:lang w:val="fr-FR"/>
        </w:rPr>
      </w:pPr>
    </w:p>
    <w:p w14:paraId="2B2D5575" w14:textId="75F7B008" w:rsidR="004F2321" w:rsidRPr="000E08CF" w:rsidRDefault="004F2321" w:rsidP="004F2321">
      <w:pPr>
        <w:spacing w:after="0" w:line="240" w:lineRule="auto"/>
        <w:contextualSpacing/>
        <w:rPr>
          <w:rFonts w:cstheme="minorHAnsi"/>
          <w:b/>
          <w:lang w:val="fr-FR"/>
        </w:rPr>
      </w:pPr>
      <w:r w:rsidRPr="000E08CF">
        <w:rPr>
          <w:rFonts w:cstheme="minorHAnsi"/>
          <w:b/>
          <w:lang w:val="fr-FR"/>
        </w:rPr>
        <w:t>D</w:t>
      </w:r>
      <w:r w:rsidR="003B5404" w:rsidRPr="000E08CF">
        <w:rPr>
          <w:rFonts w:cstheme="minorHAnsi"/>
          <w:b/>
          <w:lang w:val="fr-FR"/>
        </w:rPr>
        <w:t>é</w:t>
      </w:r>
      <w:r w:rsidRPr="000E08CF">
        <w:rPr>
          <w:rFonts w:cstheme="minorHAnsi"/>
          <w:b/>
          <w:lang w:val="fr-FR"/>
        </w:rPr>
        <w:t>cision SC62-</w:t>
      </w:r>
      <w:r w:rsidR="00E74514" w:rsidRPr="000E08CF">
        <w:rPr>
          <w:rFonts w:cstheme="minorHAnsi"/>
          <w:b/>
          <w:lang w:val="fr-FR"/>
        </w:rPr>
        <w:t>11</w:t>
      </w:r>
      <w:r w:rsidR="003B5404" w:rsidRPr="000E08CF">
        <w:rPr>
          <w:rFonts w:cstheme="minorHAnsi"/>
          <w:b/>
          <w:lang w:val="fr-FR"/>
        </w:rPr>
        <w:t> </w:t>
      </w:r>
      <w:r w:rsidRPr="000E08CF">
        <w:rPr>
          <w:rFonts w:cstheme="minorHAnsi"/>
          <w:b/>
          <w:lang w:val="fr-FR"/>
        </w:rPr>
        <w:t xml:space="preserve">: </w:t>
      </w:r>
      <w:r w:rsidR="000E08CF" w:rsidRPr="000E08CF">
        <w:rPr>
          <w:rFonts w:cstheme="minorHAnsi"/>
          <w:b/>
          <w:lang w:val="fr-FR"/>
        </w:rPr>
        <w:t>Le Comité permanent prend note du</w:t>
      </w:r>
      <w:r w:rsidR="000E08CF" w:rsidRPr="000E08CF">
        <w:rPr>
          <w:b/>
          <w:lang w:val="fr-FR"/>
        </w:rPr>
        <w:t xml:space="preserve"> Rapport </w:t>
      </w:r>
      <w:r w:rsidR="000E08CF">
        <w:rPr>
          <w:b/>
          <w:lang w:val="fr-FR"/>
        </w:rPr>
        <w:t>du Groupe de travail sur le Plan stratégique</w:t>
      </w:r>
      <w:r w:rsidR="008D5B1B" w:rsidRPr="000E08CF">
        <w:rPr>
          <w:rFonts w:cstheme="minorHAnsi"/>
          <w:b/>
          <w:lang w:val="fr-FR"/>
        </w:rPr>
        <w:t xml:space="preserve">. </w:t>
      </w:r>
    </w:p>
    <w:p w14:paraId="33E31F1C" w14:textId="77777777" w:rsidR="004F2321" w:rsidRPr="000E08CF" w:rsidRDefault="004F2321" w:rsidP="009F11C2">
      <w:pPr>
        <w:spacing w:after="0" w:line="240" w:lineRule="auto"/>
        <w:ind w:left="567" w:hanging="567"/>
        <w:rPr>
          <w:lang w:val="fr-FR"/>
        </w:rPr>
      </w:pPr>
    </w:p>
    <w:p w14:paraId="6C08E515" w14:textId="77777777" w:rsidR="0007746C" w:rsidRPr="00EE162B" w:rsidRDefault="0007746C" w:rsidP="0007746C">
      <w:pPr>
        <w:keepNext/>
        <w:spacing w:after="0" w:line="240" w:lineRule="auto"/>
        <w:rPr>
          <w:rFonts w:cstheme="minorHAnsi"/>
          <w:b/>
          <w:bCs/>
          <w:lang w:val="fr-CH"/>
        </w:rPr>
      </w:pPr>
      <w:r w:rsidRPr="00EE162B">
        <w:rPr>
          <w:rFonts w:cstheme="minorHAnsi"/>
          <w:b/>
          <w:lang w:val="fr-CH"/>
        </w:rPr>
        <w:t xml:space="preserve">15:00 – 18:00 </w:t>
      </w:r>
      <w:r w:rsidRPr="00EE162B">
        <w:rPr>
          <w:rFonts w:cstheme="minorHAnsi"/>
          <w:b/>
          <w:lang w:val="fr-CH"/>
        </w:rPr>
        <w:tab/>
        <w:t>Séance plénière du Comité permanent</w:t>
      </w:r>
    </w:p>
    <w:p w14:paraId="2C493737" w14:textId="77777777" w:rsidR="0007746C" w:rsidRPr="00EE162B" w:rsidRDefault="0007746C" w:rsidP="0007746C">
      <w:pPr>
        <w:keepNext/>
        <w:spacing w:after="0" w:line="240" w:lineRule="auto"/>
        <w:rPr>
          <w:rFonts w:cstheme="minorHAnsi"/>
          <w:lang w:val="fr-CH"/>
        </w:rPr>
      </w:pPr>
    </w:p>
    <w:p w14:paraId="0FD7F1B4" w14:textId="77777777" w:rsidR="0007746C" w:rsidRPr="00EE162B"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CH"/>
        </w:rPr>
      </w:pPr>
      <w:r w:rsidRPr="00EE162B">
        <w:rPr>
          <w:rFonts w:cstheme="minorHAnsi"/>
          <w:bCs/>
          <w:lang w:val="fr-CH"/>
        </w:rPr>
        <w:t xml:space="preserve">Point 25 de l’ordre du jour : </w:t>
      </w:r>
      <w:r w:rsidRPr="00EE162B">
        <w:rPr>
          <w:lang w:val="fr-CH"/>
        </w:rPr>
        <w:t>Rapport du Secrétariat sur les Initiatives régionales Ramsar</w:t>
      </w:r>
    </w:p>
    <w:p w14:paraId="6A604D1F" w14:textId="77777777" w:rsidR="0007746C" w:rsidRPr="00EE162B" w:rsidRDefault="0007746C" w:rsidP="0007746C">
      <w:pPr>
        <w:spacing w:after="0" w:line="240" w:lineRule="auto"/>
        <w:rPr>
          <w:lang w:val="fr-CH"/>
        </w:rPr>
      </w:pPr>
    </w:p>
    <w:p w14:paraId="0B7B8A16" w14:textId="26FC842C" w:rsidR="0007746C" w:rsidRPr="00EE162B" w:rsidRDefault="006C132D" w:rsidP="0007746C">
      <w:pPr>
        <w:spacing w:after="0" w:line="240" w:lineRule="auto"/>
        <w:ind w:left="567" w:hanging="567"/>
        <w:rPr>
          <w:rFonts w:eastAsia="Calibri" w:cstheme="minorHAnsi"/>
          <w:bCs/>
          <w:lang w:val="fr-CH"/>
        </w:rPr>
      </w:pPr>
      <w:r>
        <w:rPr>
          <w:rFonts w:eastAsia="Calibri" w:cstheme="minorHAnsi"/>
          <w:bCs/>
          <w:lang w:val="fr-CH"/>
        </w:rPr>
        <w:t>20</w:t>
      </w:r>
      <w:r w:rsidR="0007746C" w:rsidRPr="00EE162B">
        <w:rPr>
          <w:rFonts w:eastAsia="Calibri" w:cstheme="minorHAnsi"/>
          <w:bCs/>
          <w:lang w:val="fr-CH"/>
        </w:rPr>
        <w:t>.</w:t>
      </w:r>
      <w:r w:rsidR="0007746C" w:rsidRPr="00EE162B">
        <w:rPr>
          <w:rFonts w:eastAsia="Calibri" w:cstheme="minorHAnsi"/>
          <w:bCs/>
          <w:lang w:val="fr-CH"/>
        </w:rPr>
        <w:tab/>
      </w:r>
      <w:r w:rsidR="0007746C">
        <w:rPr>
          <w:rFonts w:eastAsia="Calibri" w:cstheme="minorHAnsi"/>
          <w:bCs/>
          <w:lang w:val="fr-CH"/>
        </w:rPr>
        <w:t xml:space="preserve">Le Secrétariat présente le </w:t>
      </w:r>
      <w:r w:rsidR="0007746C" w:rsidRPr="00EE162B">
        <w:rPr>
          <w:rFonts w:eastAsia="Calibri" w:cstheme="minorHAnsi"/>
          <w:bCs/>
          <w:lang w:val="fr-CH"/>
        </w:rPr>
        <w:t xml:space="preserve">document SC62 Doc.25 Rev.1, </w:t>
      </w:r>
      <w:r w:rsidR="0007746C">
        <w:rPr>
          <w:rFonts w:eastAsia="Calibri" w:cstheme="minorHAnsi"/>
          <w:bCs/>
          <w:lang w:val="fr-CH"/>
        </w:rPr>
        <w:t xml:space="preserve">examinant en premier lieu la soumission des rapports annuels </w:t>
      </w:r>
      <w:r>
        <w:rPr>
          <w:rFonts w:eastAsia="Calibri" w:cstheme="minorHAnsi"/>
          <w:bCs/>
          <w:lang w:val="fr-CH"/>
        </w:rPr>
        <w:t>des Initiatives régionales Ramsar (IRR)</w:t>
      </w:r>
      <w:r w:rsidR="0007746C">
        <w:rPr>
          <w:rFonts w:eastAsia="Calibri" w:cstheme="minorHAnsi"/>
          <w:bCs/>
          <w:lang w:val="fr-CH"/>
        </w:rPr>
        <w:t>, puis les IRR nouvellement établies qui sont éligibles à un appui du budget administratif. Il signale l’allocation suggérée de fonds de la ligne budgétaire D « Soutien aux Initiatives régionales Ramsar » du budget administratif Ramsar de 2023 afin de fournir un financement de départ à l’IRR pour l’Afrique australe.</w:t>
      </w:r>
    </w:p>
    <w:p w14:paraId="1D6D3015" w14:textId="77777777" w:rsidR="0007746C" w:rsidRPr="00EE162B" w:rsidRDefault="0007746C" w:rsidP="0007746C">
      <w:pPr>
        <w:spacing w:after="0" w:line="240" w:lineRule="auto"/>
        <w:ind w:left="567" w:hanging="567"/>
        <w:rPr>
          <w:rFonts w:eastAsia="Calibri" w:cstheme="minorHAnsi"/>
          <w:bCs/>
          <w:lang w:val="fr-CH"/>
        </w:rPr>
      </w:pPr>
    </w:p>
    <w:p w14:paraId="00DA510D" w14:textId="677FA0DA" w:rsidR="0007746C" w:rsidRPr="00EE162B" w:rsidRDefault="0007746C" w:rsidP="0007746C">
      <w:pPr>
        <w:spacing w:after="0" w:line="240" w:lineRule="auto"/>
        <w:ind w:left="567" w:hanging="567"/>
        <w:rPr>
          <w:lang w:val="fr-CH"/>
        </w:rPr>
      </w:pPr>
      <w:r w:rsidRPr="00EE162B">
        <w:rPr>
          <w:rFonts w:eastAsia="Calibri" w:cstheme="minorHAnsi"/>
          <w:bCs/>
          <w:lang w:val="fr-CH"/>
        </w:rPr>
        <w:lastRenderedPageBreak/>
        <w:t>2</w:t>
      </w:r>
      <w:r w:rsidR="006C132D">
        <w:rPr>
          <w:rFonts w:eastAsia="Calibri" w:cstheme="minorHAnsi"/>
          <w:bCs/>
          <w:lang w:val="fr-CH"/>
        </w:rPr>
        <w:t>1</w:t>
      </w:r>
      <w:r w:rsidRPr="00EE162B">
        <w:rPr>
          <w:rFonts w:eastAsia="Calibri" w:cstheme="minorHAnsi"/>
          <w:bCs/>
          <w:lang w:val="fr-CH"/>
        </w:rPr>
        <w:t>.</w:t>
      </w:r>
      <w:r w:rsidRPr="00EE162B">
        <w:rPr>
          <w:rFonts w:eastAsia="Calibri" w:cstheme="minorHAnsi"/>
          <w:bCs/>
          <w:lang w:val="fr-CH"/>
        </w:rPr>
        <w:tab/>
      </w:r>
      <w:r>
        <w:rPr>
          <w:rFonts w:eastAsia="Calibri" w:cstheme="minorHAnsi"/>
          <w:bCs/>
          <w:lang w:val="fr-CH"/>
        </w:rPr>
        <w:t xml:space="preserve">Sainte-Lucie apporte des mises à jour </w:t>
      </w:r>
      <w:r w:rsidR="00E0533F">
        <w:rPr>
          <w:rFonts w:eastAsia="Calibri" w:cstheme="minorHAnsi"/>
          <w:bCs/>
          <w:lang w:val="fr-CH"/>
        </w:rPr>
        <w:t>complémentaires</w:t>
      </w:r>
      <w:r>
        <w:rPr>
          <w:rFonts w:eastAsia="Calibri" w:cstheme="minorHAnsi"/>
          <w:bCs/>
          <w:lang w:val="fr-CH"/>
        </w:rPr>
        <w:t xml:space="preserve"> sur les activités du projet régional de l’Initiative régionale Ramsar pour les zones humides des Caraïbes (</w:t>
      </w:r>
      <w:r w:rsidRPr="00EE162B">
        <w:rPr>
          <w:lang w:val="fr-CH"/>
        </w:rPr>
        <w:t>CariWet)</w:t>
      </w:r>
      <w:r w:rsidRPr="0042425A">
        <w:rPr>
          <w:rFonts w:eastAsia="Calibri" w:cstheme="minorHAnsi"/>
          <w:bCs/>
          <w:lang w:val="fr-CH"/>
        </w:rPr>
        <w:t xml:space="preserve"> </w:t>
      </w:r>
      <w:r>
        <w:rPr>
          <w:rFonts w:eastAsia="Calibri" w:cstheme="minorHAnsi"/>
          <w:bCs/>
          <w:lang w:val="fr-CH"/>
        </w:rPr>
        <w:t>financé par IKI</w:t>
      </w:r>
      <w:r w:rsidRPr="00EE162B">
        <w:rPr>
          <w:lang w:val="fr-CH"/>
        </w:rPr>
        <w:t>.</w:t>
      </w:r>
    </w:p>
    <w:p w14:paraId="526414C5" w14:textId="77777777" w:rsidR="0007746C" w:rsidRPr="00EE162B" w:rsidRDefault="0007746C" w:rsidP="0007746C">
      <w:pPr>
        <w:spacing w:after="0" w:line="240" w:lineRule="auto"/>
        <w:ind w:left="567" w:hanging="567"/>
        <w:rPr>
          <w:lang w:val="fr-CH"/>
        </w:rPr>
      </w:pPr>
    </w:p>
    <w:p w14:paraId="647DBA7C" w14:textId="77777777" w:rsidR="0007746C" w:rsidRPr="00EE162B" w:rsidRDefault="0007746C" w:rsidP="0007746C">
      <w:pPr>
        <w:rPr>
          <w:rFonts w:cs="Calibri"/>
          <w:b/>
          <w:lang w:val="fr-CH"/>
        </w:rPr>
      </w:pPr>
      <w:r w:rsidRPr="00EE162B">
        <w:rPr>
          <w:rFonts w:cstheme="minorHAnsi"/>
          <w:b/>
          <w:lang w:val="fr-CH"/>
        </w:rPr>
        <w:t>Décision SC62-12 :</w:t>
      </w:r>
      <w:r w:rsidRPr="00EE162B">
        <w:rPr>
          <w:rFonts w:cstheme="minorHAnsi"/>
          <w:b/>
          <w:iCs/>
          <w:lang w:val="fr-CH"/>
        </w:rPr>
        <w:t xml:space="preserve"> Le </w:t>
      </w:r>
      <w:r w:rsidRPr="00EE162B">
        <w:rPr>
          <w:rFonts w:cstheme="minorHAnsi"/>
          <w:b/>
          <w:lang w:val="fr-CH"/>
        </w:rPr>
        <w:t>Comité permanent</w:t>
      </w:r>
      <w:r w:rsidRPr="00EE162B">
        <w:rPr>
          <w:rFonts w:cs="Calibri"/>
          <w:b/>
          <w:lang w:val="fr-CH"/>
        </w:rPr>
        <w:t xml:space="preserve"> prend note des rapports annuels soumis par les </w:t>
      </w:r>
      <w:r w:rsidRPr="00EE162B">
        <w:rPr>
          <w:rFonts w:ascii="Calibri" w:eastAsia="Calibri" w:hAnsi="Calibri" w:cs="Calibri"/>
          <w:b/>
          <w:lang w:val="fr-CH"/>
        </w:rPr>
        <w:t xml:space="preserve">Initiatives régionales Ramsar </w:t>
      </w:r>
      <w:r w:rsidRPr="00EE162B">
        <w:rPr>
          <w:rFonts w:cs="Calibri"/>
          <w:b/>
          <w:lang w:val="fr-CH"/>
        </w:rPr>
        <w:t xml:space="preserve">(IRR) pour 2022, conformément à la Résolution XIV.7, </w:t>
      </w:r>
      <w:r w:rsidRPr="0042425A">
        <w:rPr>
          <w:rFonts w:cs="Calibri"/>
          <w:b/>
          <w:i/>
          <w:iCs/>
          <w:lang w:val="fr-CH"/>
        </w:rPr>
        <w:t xml:space="preserve">Les </w:t>
      </w:r>
      <w:r w:rsidRPr="00EE162B">
        <w:rPr>
          <w:rFonts w:cs="Calibri"/>
          <w:b/>
          <w:i/>
          <w:lang w:val="fr-CH"/>
        </w:rPr>
        <w:t>Initiatives régionales Ramsar</w:t>
      </w:r>
      <w:r w:rsidRPr="00EE162B">
        <w:rPr>
          <w:rFonts w:cs="Calibri"/>
          <w:b/>
          <w:lang w:val="fr-CH"/>
        </w:rPr>
        <w:t>.</w:t>
      </w:r>
    </w:p>
    <w:p w14:paraId="46680216" w14:textId="77777777" w:rsidR="0007746C" w:rsidRPr="00EE162B" w:rsidRDefault="0007746C" w:rsidP="0007746C">
      <w:pPr>
        <w:pStyle w:val="ColorfulList-Accent11"/>
        <w:ind w:left="0"/>
        <w:rPr>
          <w:rFonts w:cs="Calibri"/>
          <w:b/>
          <w:lang w:val="fr-CH"/>
        </w:rPr>
      </w:pPr>
    </w:p>
    <w:p w14:paraId="1F24D412" w14:textId="264AC960" w:rsidR="0007746C" w:rsidRPr="00EE162B" w:rsidRDefault="00E0533F" w:rsidP="0007746C">
      <w:pPr>
        <w:pStyle w:val="ColorfulList-Accent11"/>
        <w:ind w:left="0"/>
        <w:rPr>
          <w:rFonts w:cs="Calibri"/>
          <w:b/>
          <w:lang w:val="fr-CH"/>
        </w:rPr>
      </w:pPr>
      <w:r>
        <w:rPr>
          <w:rFonts w:cstheme="minorHAnsi"/>
          <w:b/>
          <w:lang w:val="fr-CH"/>
        </w:rPr>
        <w:tab/>
      </w:r>
      <w:r w:rsidR="0007746C" w:rsidRPr="00EE162B">
        <w:rPr>
          <w:rFonts w:cstheme="minorHAnsi"/>
          <w:b/>
          <w:lang w:val="fr-CH"/>
        </w:rPr>
        <w:t>Décision SC62-13 :</w:t>
      </w:r>
      <w:r w:rsidR="0007746C" w:rsidRPr="00EE162B">
        <w:rPr>
          <w:rFonts w:asciiTheme="minorHAnsi" w:hAnsiTheme="minorHAnsi" w:cstheme="minorHAnsi"/>
          <w:b/>
          <w:iCs/>
          <w:lang w:val="fr-CH"/>
        </w:rPr>
        <w:t xml:space="preserve"> Le </w:t>
      </w:r>
      <w:r w:rsidR="0007746C" w:rsidRPr="00EE162B">
        <w:rPr>
          <w:rFonts w:cstheme="minorHAnsi"/>
          <w:b/>
          <w:lang w:val="fr-CH"/>
        </w:rPr>
        <w:t>Comité permanent</w:t>
      </w:r>
      <w:r w:rsidR="0007746C" w:rsidRPr="00EE162B">
        <w:rPr>
          <w:rFonts w:cs="Calibri"/>
          <w:b/>
          <w:lang w:val="fr-CH"/>
        </w:rPr>
        <w:t xml:space="preserve"> prend note de l’allocation de fonds </w:t>
      </w:r>
      <w:r w:rsidR="0007746C">
        <w:rPr>
          <w:rFonts w:cs="Calibri"/>
          <w:b/>
          <w:lang w:val="fr-CH"/>
        </w:rPr>
        <w:t>de la ligne</w:t>
      </w:r>
      <w:r w:rsidR="0007746C" w:rsidRPr="00EE162B">
        <w:rPr>
          <w:rFonts w:cs="Calibri"/>
          <w:b/>
          <w:lang w:val="fr-CH"/>
        </w:rPr>
        <w:t xml:space="preserve"> budgétaire D « </w:t>
      </w:r>
      <w:r w:rsidR="0007746C">
        <w:rPr>
          <w:rFonts w:cs="Calibri"/>
          <w:b/>
          <w:lang w:val="fr-CH"/>
        </w:rPr>
        <w:t>Soutien</w:t>
      </w:r>
      <w:r w:rsidR="0007746C" w:rsidRPr="00EE162B">
        <w:rPr>
          <w:rFonts w:cs="Calibri"/>
          <w:b/>
          <w:lang w:val="fr-CH"/>
        </w:rPr>
        <w:t xml:space="preserve"> aux Initiatives régionales</w:t>
      </w:r>
      <w:r w:rsidR="0007746C">
        <w:rPr>
          <w:rFonts w:cs="Calibri"/>
          <w:b/>
          <w:lang w:val="fr-CH"/>
        </w:rPr>
        <w:t xml:space="preserve"> Ramsar</w:t>
      </w:r>
      <w:r w:rsidR="0007746C" w:rsidRPr="00EE162B">
        <w:rPr>
          <w:rFonts w:cs="Calibri"/>
          <w:b/>
          <w:lang w:val="fr-CH"/>
        </w:rPr>
        <w:t xml:space="preserve"> » du budget administratif Ramsar de 2023, proposée dans le document SC62 Doc.8.1, pour fournir un financement de départ de 30 000 CHF à l’Initiative régionale Ramsar pour l’Afrique australe. </w:t>
      </w:r>
    </w:p>
    <w:p w14:paraId="62E8745A" w14:textId="77777777" w:rsidR="0007746C" w:rsidRPr="00E0533F" w:rsidRDefault="0007746C" w:rsidP="0007746C">
      <w:pPr>
        <w:spacing w:after="0" w:line="240" w:lineRule="auto"/>
        <w:ind w:left="567" w:hanging="567"/>
        <w:rPr>
          <w:lang w:val="fr-CH"/>
        </w:rPr>
      </w:pPr>
    </w:p>
    <w:p w14:paraId="0AC49B48" w14:textId="08A04604" w:rsidR="0007746C" w:rsidRPr="00E0533F" w:rsidRDefault="006C132D" w:rsidP="0007746C">
      <w:pPr>
        <w:spacing w:after="0" w:line="240" w:lineRule="auto"/>
        <w:ind w:left="567" w:hanging="567"/>
        <w:rPr>
          <w:rFonts w:eastAsia="Calibri" w:cstheme="minorHAnsi"/>
          <w:bCs/>
          <w:lang w:val="fr-CH"/>
        </w:rPr>
      </w:pPr>
      <w:r w:rsidRPr="00E0533F">
        <w:rPr>
          <w:rFonts w:eastAsia="Calibri" w:cstheme="minorHAnsi"/>
          <w:bCs/>
          <w:lang w:val="fr-CH"/>
        </w:rPr>
        <w:t>22</w:t>
      </w:r>
      <w:r w:rsidR="0007746C" w:rsidRPr="00E0533F">
        <w:rPr>
          <w:rFonts w:eastAsia="Calibri" w:cstheme="minorHAnsi"/>
          <w:bCs/>
          <w:lang w:val="fr-CH"/>
        </w:rPr>
        <w:t>.</w:t>
      </w:r>
      <w:r w:rsidR="0007746C" w:rsidRPr="00E0533F">
        <w:rPr>
          <w:rFonts w:eastAsia="Calibri" w:cstheme="minorHAnsi"/>
          <w:bCs/>
          <w:lang w:val="fr-CH"/>
        </w:rPr>
        <w:tab/>
        <w:t xml:space="preserve">Le Secrétariat présente la proposition de création d’une nouvelle IRR dans le cadre de la Convention, le Centre international des mangroves (CIM), conçue conformément à la Résolution XIV.19, </w:t>
      </w:r>
      <w:r w:rsidR="0007746C" w:rsidRPr="00E0533F">
        <w:rPr>
          <w:i/>
          <w:lang w:val="fr-CH"/>
        </w:rPr>
        <w:t>Proposition de création d’un Centre international des mangroves (une Initiative régionale Ramsar)</w:t>
      </w:r>
      <w:r w:rsidR="0007746C" w:rsidRPr="00E0533F">
        <w:rPr>
          <w:rFonts w:eastAsia="Calibri" w:cstheme="minorHAnsi"/>
          <w:bCs/>
          <w:lang w:val="fr-CH"/>
        </w:rPr>
        <w:t xml:space="preserve">, et </w:t>
      </w:r>
      <w:r w:rsidR="000B4F99" w:rsidRPr="00E0533F">
        <w:rPr>
          <w:rFonts w:eastAsia="Calibri" w:cstheme="minorHAnsi"/>
          <w:bCs/>
          <w:lang w:val="fr-CH"/>
        </w:rPr>
        <w:t>rend compte de</w:t>
      </w:r>
      <w:r w:rsidR="0007746C" w:rsidRPr="00E0533F">
        <w:rPr>
          <w:rFonts w:eastAsia="Calibri" w:cstheme="minorHAnsi"/>
          <w:bCs/>
          <w:lang w:val="fr-CH"/>
        </w:rPr>
        <w:t xml:space="preserve"> l’appel à propositions pour de nouvelles IRR</w:t>
      </w:r>
      <w:r w:rsidR="000B4F99" w:rsidRPr="00E0533F">
        <w:rPr>
          <w:rFonts w:eastAsia="Calibri" w:cstheme="minorHAnsi"/>
          <w:bCs/>
          <w:lang w:val="fr-CH"/>
        </w:rPr>
        <w:t xml:space="preserve"> qu’il a lancé</w:t>
      </w:r>
      <w:r w:rsidR="0007746C" w:rsidRPr="00E0533F">
        <w:rPr>
          <w:rFonts w:eastAsia="Calibri" w:cstheme="minorHAnsi"/>
          <w:bCs/>
          <w:lang w:val="fr-CH"/>
        </w:rPr>
        <w:t>, conformément à la Résolution XIV.7,</w:t>
      </w:r>
      <w:r w:rsidR="0007746C" w:rsidRPr="00E0533F">
        <w:rPr>
          <w:rFonts w:cs="Calibri"/>
          <w:b/>
          <w:lang w:val="fr-CH"/>
        </w:rPr>
        <w:t xml:space="preserve"> </w:t>
      </w:r>
      <w:r w:rsidR="0007746C" w:rsidRPr="00E0533F">
        <w:rPr>
          <w:rFonts w:cs="Calibri"/>
          <w:i/>
          <w:iCs/>
          <w:lang w:val="fr-CH"/>
        </w:rPr>
        <w:t>Les Initiatives régionales Ramsar</w:t>
      </w:r>
      <w:r w:rsidR="0007746C" w:rsidRPr="00E0533F">
        <w:rPr>
          <w:rFonts w:eastAsia="Calibri" w:cstheme="minorHAnsi"/>
          <w:bCs/>
          <w:lang w:val="fr-CH"/>
        </w:rPr>
        <w:t>, fixant un délai pour les réponses au 30 septembre 2023.</w:t>
      </w:r>
    </w:p>
    <w:p w14:paraId="3385D2ED" w14:textId="77777777" w:rsidR="0007746C" w:rsidRPr="00E0533F" w:rsidRDefault="0007746C" w:rsidP="0007746C">
      <w:pPr>
        <w:spacing w:after="0" w:line="240" w:lineRule="auto"/>
        <w:ind w:left="567" w:hanging="567"/>
        <w:rPr>
          <w:rFonts w:eastAsia="Calibri" w:cstheme="minorHAnsi"/>
          <w:bCs/>
          <w:lang w:val="fr-CH"/>
        </w:rPr>
      </w:pPr>
    </w:p>
    <w:p w14:paraId="2FF9A9A9" w14:textId="2B756316" w:rsidR="0007746C" w:rsidRPr="00E0533F" w:rsidRDefault="006C132D" w:rsidP="0007746C">
      <w:pPr>
        <w:spacing w:after="0" w:line="240" w:lineRule="auto"/>
        <w:ind w:left="567" w:hanging="567"/>
        <w:rPr>
          <w:rFonts w:eastAsia="Calibri" w:cstheme="minorHAnsi"/>
          <w:bCs/>
          <w:lang w:val="fr-CH"/>
        </w:rPr>
      </w:pPr>
      <w:r w:rsidRPr="00E0533F">
        <w:rPr>
          <w:rFonts w:eastAsia="Calibri" w:cstheme="minorHAnsi"/>
          <w:bCs/>
          <w:lang w:val="fr-CH"/>
        </w:rPr>
        <w:t>23</w:t>
      </w:r>
      <w:r w:rsidR="0007746C" w:rsidRPr="00E0533F">
        <w:rPr>
          <w:rFonts w:eastAsia="Calibri" w:cstheme="minorHAnsi"/>
          <w:bCs/>
          <w:lang w:val="fr-CH"/>
        </w:rPr>
        <w:t>.</w:t>
      </w:r>
      <w:r w:rsidR="0007746C" w:rsidRPr="00E0533F">
        <w:rPr>
          <w:rFonts w:eastAsia="Calibri" w:cstheme="minorHAnsi"/>
          <w:bCs/>
          <w:lang w:val="fr-CH"/>
        </w:rPr>
        <w:tab/>
        <w:t>La Chine, qui propose la création du CIM avec le Cambodge et Madagascar, apporte des informations additionnelles, notamment à travers un exposé et une vidéo, notant l’importance des mangroves et décrivant les efforts déployés au niveau national pour la conservation des mangroves. Elle décrit la vision, les principes, la mission et les objectifs du CIM ainsi que la structure de gouvernance proposée et le plan financier initial avec le projet de fonds, International Mangrove Futures Fund. La Chine ajoute que l’Initiative ne cherche pas à obtenir de financement du budget administratif de la Convention. À ce jour, 13 Parties contractantes ont envoyé des lettres de soutien.</w:t>
      </w:r>
      <w:r w:rsidR="000B4F99" w:rsidRPr="00E0533F">
        <w:rPr>
          <w:rFonts w:eastAsia="Calibri" w:cstheme="minorHAnsi"/>
          <w:bCs/>
          <w:lang w:val="fr-CH"/>
        </w:rPr>
        <w:t xml:space="preserve"> Le Panama fait observer qu’il a contribué à </w:t>
      </w:r>
      <w:r w:rsidR="0095766D" w:rsidRPr="00E0533F">
        <w:rPr>
          <w:rFonts w:eastAsia="Calibri" w:cstheme="minorHAnsi"/>
          <w:bCs/>
          <w:lang w:val="fr-CH"/>
        </w:rPr>
        <w:t>la formulation de la documentation</w:t>
      </w:r>
      <w:r w:rsidR="0007746C" w:rsidRPr="00E0533F">
        <w:rPr>
          <w:rFonts w:eastAsia="Calibri" w:cstheme="minorHAnsi"/>
          <w:bCs/>
          <w:lang w:val="fr-CH"/>
        </w:rPr>
        <w:t xml:space="preserve"> </w:t>
      </w:r>
      <w:r w:rsidR="0095766D" w:rsidRPr="00E0533F">
        <w:rPr>
          <w:rFonts w:eastAsia="Calibri" w:cstheme="minorHAnsi"/>
          <w:bCs/>
          <w:lang w:val="fr-CH"/>
        </w:rPr>
        <w:t>et soumis une lettre de soutien à la Secrétaire générale, qui s’ajoute à celles des Parties énumérées dans la proposition.</w:t>
      </w:r>
    </w:p>
    <w:p w14:paraId="17EE90E3" w14:textId="77777777" w:rsidR="0007746C" w:rsidRPr="00E0533F" w:rsidRDefault="0007746C" w:rsidP="0007746C">
      <w:pPr>
        <w:spacing w:after="0" w:line="240" w:lineRule="auto"/>
        <w:ind w:left="567" w:hanging="567"/>
        <w:rPr>
          <w:rFonts w:eastAsia="Calibri" w:cstheme="minorHAnsi"/>
          <w:bCs/>
          <w:lang w:val="fr-FR"/>
        </w:rPr>
      </w:pPr>
    </w:p>
    <w:p w14:paraId="36391BCC" w14:textId="5B7942A9" w:rsidR="0007746C" w:rsidRPr="00EE5B96" w:rsidRDefault="0095766D" w:rsidP="0007746C">
      <w:pPr>
        <w:spacing w:after="0" w:line="240" w:lineRule="auto"/>
        <w:ind w:left="567" w:hanging="567"/>
        <w:rPr>
          <w:rFonts w:eastAsia="Calibri" w:cstheme="minorHAnsi"/>
          <w:bCs/>
          <w:lang w:val="fr-CH"/>
        </w:rPr>
      </w:pPr>
      <w:r>
        <w:rPr>
          <w:rFonts w:eastAsia="Calibri" w:cstheme="minorHAnsi"/>
          <w:bCs/>
          <w:lang w:val="fr-CH"/>
        </w:rPr>
        <w:t>24</w:t>
      </w:r>
      <w:r w:rsidR="0007746C" w:rsidRPr="00EE5B96">
        <w:rPr>
          <w:rFonts w:eastAsia="Calibri" w:cstheme="minorHAnsi"/>
          <w:bCs/>
          <w:lang w:val="fr-CH"/>
        </w:rPr>
        <w:t>.</w:t>
      </w:r>
      <w:r w:rsidR="0007746C" w:rsidRPr="00EE5B96">
        <w:rPr>
          <w:rFonts w:eastAsia="Calibri" w:cstheme="minorHAnsi"/>
          <w:bCs/>
          <w:lang w:val="fr-CH"/>
        </w:rPr>
        <w:tab/>
      </w:r>
      <w:r w:rsidR="0007746C">
        <w:rPr>
          <w:rFonts w:eastAsia="Calibri" w:cstheme="minorHAnsi"/>
          <w:bCs/>
          <w:lang w:val="fr-CH"/>
        </w:rPr>
        <w:t>Onze membres du Comité permanent et neuf autres Parties contractantes présentes félicitent les États proposant de créer le CIM pour leurs efforts et soutiennent l’établissement du CIM en tant que nouvelle IRR, soulignant, entre autres, qu’il jouera un rôle dans le renforcement de la coopération internationale.</w:t>
      </w:r>
    </w:p>
    <w:p w14:paraId="47EC37F3" w14:textId="77777777" w:rsidR="0007746C" w:rsidRPr="00EE5B96" w:rsidRDefault="0007746C" w:rsidP="0007746C">
      <w:pPr>
        <w:spacing w:after="0" w:line="240" w:lineRule="auto"/>
        <w:ind w:left="567" w:hanging="567"/>
        <w:rPr>
          <w:rFonts w:eastAsia="Calibri" w:cstheme="minorHAnsi"/>
          <w:bCs/>
          <w:lang w:val="fr-CH"/>
        </w:rPr>
      </w:pPr>
    </w:p>
    <w:p w14:paraId="4C2B531F" w14:textId="174EBD96" w:rsidR="0007746C" w:rsidRPr="00EE5B96" w:rsidRDefault="00B31A7A" w:rsidP="0007746C">
      <w:pPr>
        <w:spacing w:after="0" w:line="240" w:lineRule="auto"/>
        <w:ind w:left="567" w:hanging="567"/>
        <w:rPr>
          <w:rFonts w:eastAsia="Calibri" w:cstheme="minorHAnsi"/>
          <w:bCs/>
          <w:lang w:val="fr-CH"/>
        </w:rPr>
      </w:pPr>
      <w:r>
        <w:rPr>
          <w:rFonts w:eastAsia="Calibri" w:cstheme="minorHAnsi"/>
          <w:bCs/>
          <w:lang w:val="fr-CH"/>
        </w:rPr>
        <w:t>25</w:t>
      </w:r>
      <w:r w:rsidR="0007746C" w:rsidRPr="00EE5B96">
        <w:rPr>
          <w:rFonts w:eastAsia="Calibri" w:cstheme="minorHAnsi"/>
          <w:bCs/>
          <w:lang w:val="fr-CH"/>
        </w:rPr>
        <w:t>.</w:t>
      </w:r>
      <w:r w:rsidR="0007746C" w:rsidRPr="00EE5B96">
        <w:rPr>
          <w:rFonts w:eastAsia="Calibri" w:cstheme="minorHAnsi"/>
          <w:bCs/>
          <w:lang w:val="fr-CH"/>
        </w:rPr>
        <w:tab/>
      </w:r>
      <w:r w:rsidR="0007746C">
        <w:rPr>
          <w:rFonts w:eastAsia="Calibri" w:cstheme="minorHAnsi"/>
          <w:bCs/>
          <w:lang w:val="fr-CH"/>
        </w:rPr>
        <w:t>Certains membres du Comité permanent suggèrent des amendements aux documents soumis, y compris au cahier des charges du CIM, notamment sur les points suivants : renforce</w:t>
      </w:r>
      <w:r>
        <w:rPr>
          <w:rFonts w:eastAsia="Calibri" w:cstheme="minorHAnsi"/>
          <w:bCs/>
          <w:lang w:val="fr-CH"/>
        </w:rPr>
        <w:t>ment des</w:t>
      </w:r>
      <w:r w:rsidR="0007746C">
        <w:rPr>
          <w:rFonts w:eastAsia="Calibri" w:cstheme="minorHAnsi"/>
          <w:bCs/>
          <w:lang w:val="fr-CH"/>
        </w:rPr>
        <w:t xml:space="preserve"> </w:t>
      </w:r>
      <w:r>
        <w:rPr>
          <w:rFonts w:eastAsia="Calibri" w:cstheme="minorHAnsi"/>
          <w:bCs/>
          <w:lang w:val="fr-CH"/>
        </w:rPr>
        <w:t>i</w:t>
      </w:r>
      <w:r w:rsidR="0007746C">
        <w:rPr>
          <w:rFonts w:eastAsia="Calibri" w:cstheme="minorHAnsi"/>
          <w:bCs/>
          <w:lang w:val="fr-CH"/>
        </w:rPr>
        <w:t xml:space="preserve">nitiatives régionales existantes sur les mangroves </w:t>
      </w:r>
      <w:r>
        <w:rPr>
          <w:rFonts w:eastAsia="Calibri" w:cstheme="minorHAnsi"/>
          <w:bCs/>
          <w:lang w:val="fr-CH"/>
        </w:rPr>
        <w:t>pour</w:t>
      </w:r>
      <w:r w:rsidR="0007746C">
        <w:rPr>
          <w:rFonts w:eastAsia="Calibri" w:cstheme="minorHAnsi"/>
          <w:bCs/>
          <w:lang w:val="fr-CH"/>
        </w:rPr>
        <w:t xml:space="preserve"> éviter </w:t>
      </w:r>
      <w:r>
        <w:rPr>
          <w:rFonts w:eastAsia="Calibri" w:cstheme="minorHAnsi"/>
          <w:bCs/>
          <w:lang w:val="fr-CH"/>
        </w:rPr>
        <w:t>les</w:t>
      </w:r>
      <w:r w:rsidR="0007746C">
        <w:rPr>
          <w:rFonts w:eastAsia="Calibri" w:cstheme="minorHAnsi"/>
          <w:bCs/>
          <w:lang w:val="fr-CH"/>
        </w:rPr>
        <w:t xml:space="preserve"> efforts</w:t>
      </w:r>
      <w:r>
        <w:rPr>
          <w:rFonts w:eastAsia="Calibri" w:cstheme="minorHAnsi"/>
          <w:bCs/>
          <w:lang w:val="fr-CH"/>
        </w:rPr>
        <w:t xml:space="preserve"> redondants</w:t>
      </w:r>
      <w:r w:rsidR="0007746C">
        <w:rPr>
          <w:rFonts w:eastAsia="Calibri" w:cstheme="minorHAnsi"/>
          <w:bCs/>
          <w:lang w:val="fr-CH"/>
        </w:rPr>
        <w:t> ; simplifi</w:t>
      </w:r>
      <w:r>
        <w:rPr>
          <w:rFonts w:eastAsia="Calibri" w:cstheme="minorHAnsi"/>
          <w:bCs/>
          <w:lang w:val="fr-CH"/>
        </w:rPr>
        <w:t>cation de</w:t>
      </w:r>
      <w:r w:rsidR="0007746C">
        <w:rPr>
          <w:rFonts w:eastAsia="Calibri" w:cstheme="minorHAnsi"/>
          <w:bCs/>
          <w:lang w:val="fr-CH"/>
        </w:rPr>
        <w:t xml:space="preserve"> la structure de gouvernance proposée ; raisons et portée d’une référence à une couverture régionale « pantropicale » ; caractère volontaire des contributions au financement du CIM et importance d’attirer un financement privé ; collaboration potentielle entre le CIM et des États non </w:t>
      </w:r>
      <w:r w:rsidR="00E0533F">
        <w:rPr>
          <w:rFonts w:eastAsia="Calibri" w:cstheme="minorHAnsi"/>
          <w:bCs/>
          <w:lang w:val="fr-CH"/>
        </w:rPr>
        <w:t>p</w:t>
      </w:r>
      <w:r w:rsidR="0007746C">
        <w:rPr>
          <w:rFonts w:eastAsia="Calibri" w:cstheme="minorHAnsi"/>
          <w:bCs/>
          <w:lang w:val="fr-CH"/>
        </w:rPr>
        <w:t xml:space="preserve">arties à la Convention ; et autres initiatives de collaboration avec le CIM, y compris le Partenariat international pour le carbone bleu et les efforts déployés dans le cadre du Forum des Nations Unies sur les forêts (FNUF) et de l’Organisation internationale des bois tropicaux (OIBT). </w:t>
      </w:r>
    </w:p>
    <w:p w14:paraId="3520B10B" w14:textId="77777777" w:rsidR="0007746C" w:rsidRPr="00EE5B96" w:rsidRDefault="0007746C" w:rsidP="0007746C">
      <w:pPr>
        <w:spacing w:after="0" w:line="240" w:lineRule="auto"/>
        <w:ind w:left="567" w:hanging="567"/>
        <w:rPr>
          <w:rFonts w:eastAsia="Calibri" w:cstheme="minorHAnsi"/>
          <w:bCs/>
          <w:lang w:val="fr-CH"/>
        </w:rPr>
      </w:pPr>
    </w:p>
    <w:p w14:paraId="4234B23C" w14:textId="23ABFB1E" w:rsidR="0007746C" w:rsidRPr="00EE5B96" w:rsidRDefault="00E42DCB" w:rsidP="0007746C">
      <w:pPr>
        <w:spacing w:after="0" w:line="240" w:lineRule="auto"/>
        <w:ind w:left="567" w:hanging="567"/>
        <w:rPr>
          <w:rFonts w:eastAsia="Calibri" w:cstheme="minorHAnsi"/>
          <w:bCs/>
          <w:lang w:val="fr-CH"/>
        </w:rPr>
      </w:pPr>
      <w:r>
        <w:rPr>
          <w:rFonts w:eastAsia="Calibri" w:cstheme="minorHAnsi"/>
          <w:bCs/>
          <w:lang w:val="fr-CH"/>
        </w:rPr>
        <w:t>26</w:t>
      </w:r>
      <w:r w:rsidR="0007746C" w:rsidRPr="00EE5B96">
        <w:rPr>
          <w:rFonts w:eastAsia="Calibri" w:cstheme="minorHAnsi"/>
          <w:bCs/>
          <w:lang w:val="fr-CH"/>
        </w:rPr>
        <w:t>.</w:t>
      </w:r>
      <w:r w:rsidR="0007746C" w:rsidRPr="00EE5B96">
        <w:rPr>
          <w:rFonts w:eastAsia="Calibri" w:cstheme="minorHAnsi"/>
          <w:bCs/>
          <w:lang w:val="fr-CH"/>
        </w:rPr>
        <w:tab/>
      </w:r>
      <w:r w:rsidR="0007746C">
        <w:rPr>
          <w:rFonts w:eastAsia="Calibri" w:cstheme="minorHAnsi"/>
          <w:bCs/>
          <w:lang w:val="fr-CH"/>
        </w:rPr>
        <w:t xml:space="preserve">Le Secrétariat précise que des États non </w:t>
      </w:r>
      <w:r w:rsidR="00E0533F">
        <w:rPr>
          <w:rFonts w:eastAsia="Calibri" w:cstheme="minorHAnsi"/>
          <w:bCs/>
          <w:lang w:val="fr-CH"/>
        </w:rPr>
        <w:t>p</w:t>
      </w:r>
      <w:r w:rsidR="0007746C">
        <w:rPr>
          <w:rFonts w:eastAsia="Calibri" w:cstheme="minorHAnsi"/>
          <w:bCs/>
          <w:lang w:val="fr-CH"/>
        </w:rPr>
        <w:t xml:space="preserve">arties à la Convention ont participé </w:t>
      </w:r>
      <w:r>
        <w:rPr>
          <w:rFonts w:eastAsia="Calibri" w:cstheme="minorHAnsi"/>
          <w:bCs/>
          <w:lang w:val="fr-CH"/>
        </w:rPr>
        <w:t xml:space="preserve">aux travaux </w:t>
      </w:r>
      <w:r w:rsidR="0007746C">
        <w:rPr>
          <w:rFonts w:eastAsia="Calibri" w:cstheme="minorHAnsi"/>
          <w:bCs/>
          <w:lang w:val="fr-CH"/>
        </w:rPr>
        <w:t>d’IRR</w:t>
      </w:r>
      <w:r>
        <w:rPr>
          <w:rFonts w:eastAsia="Calibri" w:cstheme="minorHAnsi"/>
          <w:bCs/>
          <w:lang w:val="fr-CH"/>
        </w:rPr>
        <w:t xml:space="preserve"> établies</w:t>
      </w:r>
      <w:r w:rsidR="0007746C">
        <w:rPr>
          <w:rFonts w:eastAsia="Calibri" w:cstheme="minorHAnsi"/>
          <w:bCs/>
          <w:lang w:val="fr-CH"/>
        </w:rPr>
        <w:t xml:space="preserve">. </w:t>
      </w:r>
    </w:p>
    <w:p w14:paraId="7AA68D52" w14:textId="77777777" w:rsidR="0007746C" w:rsidRPr="00EE5B96" w:rsidRDefault="0007746C" w:rsidP="0007746C">
      <w:pPr>
        <w:spacing w:after="0" w:line="240" w:lineRule="auto"/>
        <w:ind w:left="567" w:hanging="567"/>
        <w:rPr>
          <w:rFonts w:eastAsia="Calibri" w:cstheme="minorHAnsi"/>
          <w:bCs/>
          <w:lang w:val="fr-CH"/>
        </w:rPr>
      </w:pPr>
    </w:p>
    <w:p w14:paraId="628887B6" w14:textId="6C637930" w:rsidR="0007746C" w:rsidRPr="00E0533F" w:rsidRDefault="00E42DCB" w:rsidP="0007746C">
      <w:pPr>
        <w:spacing w:after="0" w:line="240" w:lineRule="auto"/>
        <w:ind w:left="567" w:hanging="567"/>
        <w:rPr>
          <w:rFonts w:eastAsia="Calibri" w:cstheme="minorHAnsi"/>
          <w:bCs/>
          <w:lang w:val="fr-CH"/>
        </w:rPr>
      </w:pPr>
      <w:r>
        <w:rPr>
          <w:rFonts w:eastAsia="Calibri" w:cstheme="minorHAnsi"/>
          <w:bCs/>
          <w:lang w:val="fr-CH"/>
        </w:rPr>
        <w:lastRenderedPageBreak/>
        <w:t>27</w:t>
      </w:r>
      <w:r w:rsidR="0007746C" w:rsidRPr="00EE5B96">
        <w:rPr>
          <w:rFonts w:eastAsia="Calibri" w:cstheme="minorHAnsi"/>
          <w:bCs/>
          <w:lang w:val="fr-CH"/>
        </w:rPr>
        <w:t>.</w:t>
      </w:r>
      <w:r w:rsidR="0007746C" w:rsidRPr="00EE5B96">
        <w:rPr>
          <w:rFonts w:eastAsia="Calibri" w:cstheme="minorHAnsi"/>
          <w:bCs/>
          <w:lang w:val="fr-CH"/>
        </w:rPr>
        <w:tab/>
      </w:r>
      <w:r w:rsidR="0007746C">
        <w:rPr>
          <w:rFonts w:eastAsia="Calibri" w:cstheme="minorHAnsi"/>
          <w:bCs/>
          <w:lang w:val="fr-CH"/>
        </w:rPr>
        <w:t>Le Président du Comité permanent note l’appui généralisé à la proposition et propose de mener, entre les membres du Comité permanent intéressés, des consultations informelles sur les amendements suggérés.</w:t>
      </w:r>
    </w:p>
    <w:p w14:paraId="2ACB33F3" w14:textId="77777777" w:rsidR="0007746C" w:rsidRPr="00E0533F" w:rsidRDefault="0007746C" w:rsidP="0007746C">
      <w:pPr>
        <w:spacing w:after="0" w:line="240" w:lineRule="auto"/>
        <w:ind w:left="567" w:hanging="567"/>
        <w:rPr>
          <w:rFonts w:eastAsia="Calibri" w:cstheme="minorHAnsi"/>
          <w:bCs/>
          <w:lang w:val="fr-CH"/>
        </w:rPr>
      </w:pPr>
    </w:p>
    <w:p w14:paraId="5094BB28" w14:textId="26C4DFB0" w:rsidR="0007746C" w:rsidRPr="00E0533F" w:rsidRDefault="00E42DCB" w:rsidP="0007746C">
      <w:pPr>
        <w:spacing w:after="0" w:line="240" w:lineRule="auto"/>
        <w:ind w:left="567" w:hanging="567"/>
        <w:rPr>
          <w:rFonts w:eastAsia="Calibri" w:cstheme="minorHAnsi"/>
          <w:bCs/>
          <w:lang w:val="fr-CH"/>
        </w:rPr>
      </w:pPr>
      <w:r w:rsidRPr="00E0533F">
        <w:rPr>
          <w:rFonts w:eastAsia="Calibri" w:cstheme="minorHAnsi"/>
          <w:bCs/>
          <w:lang w:val="fr-CH"/>
        </w:rPr>
        <w:t>28</w:t>
      </w:r>
      <w:r w:rsidR="0007746C" w:rsidRPr="00E0533F">
        <w:rPr>
          <w:rFonts w:eastAsia="Calibri" w:cstheme="minorHAnsi"/>
          <w:bCs/>
          <w:lang w:val="fr-CH"/>
        </w:rPr>
        <w:t>.</w:t>
      </w:r>
      <w:r w:rsidR="0007746C" w:rsidRPr="00E0533F">
        <w:rPr>
          <w:rFonts w:eastAsia="Calibri" w:cstheme="minorHAnsi"/>
          <w:bCs/>
          <w:lang w:val="fr-CH"/>
        </w:rPr>
        <w:tab/>
        <w:t xml:space="preserve">La Chine rend compte de consultations informelles, en particulier sur la description de la région proposée ainsi que sur les objectifs, la gouvernance et le financement du CIM. Elle note qu’un document révisé sera publié </w:t>
      </w:r>
      <w:r w:rsidRPr="00E0533F">
        <w:rPr>
          <w:rFonts w:eastAsia="Calibri" w:cstheme="minorHAnsi"/>
          <w:bCs/>
          <w:lang w:val="fr-CH"/>
        </w:rPr>
        <w:t xml:space="preserve">pour examen </w:t>
      </w:r>
      <w:r w:rsidR="0007746C" w:rsidRPr="00E0533F">
        <w:rPr>
          <w:rFonts w:eastAsia="Calibri" w:cstheme="minorHAnsi"/>
          <w:bCs/>
          <w:lang w:val="fr-CH"/>
        </w:rPr>
        <w:t>par le Comité permanent. Le Président confirme que le Comité permanent reprendr</w:t>
      </w:r>
      <w:r w:rsidR="00E0533F" w:rsidRPr="00E0533F">
        <w:rPr>
          <w:rFonts w:eastAsia="Calibri" w:cstheme="minorHAnsi"/>
          <w:bCs/>
          <w:lang w:val="fr-CH"/>
        </w:rPr>
        <w:t>a la discussion</w:t>
      </w:r>
      <w:r w:rsidRPr="00E0533F">
        <w:rPr>
          <w:rFonts w:eastAsia="Calibri" w:cstheme="minorHAnsi"/>
          <w:bCs/>
          <w:lang w:val="fr-CH"/>
        </w:rPr>
        <w:t xml:space="preserve"> sur le sujet,</w:t>
      </w:r>
      <w:r w:rsidR="0007746C" w:rsidRPr="00E0533F">
        <w:rPr>
          <w:rFonts w:eastAsia="Calibri" w:cstheme="minorHAnsi"/>
          <w:bCs/>
          <w:lang w:val="fr-CH"/>
        </w:rPr>
        <w:t xml:space="preserve"> le mercredi 6 septembre. </w:t>
      </w:r>
    </w:p>
    <w:p w14:paraId="74DCCB1D" w14:textId="77777777" w:rsidR="0007746C" w:rsidRPr="00EE5B96" w:rsidRDefault="0007746C" w:rsidP="0007746C">
      <w:pPr>
        <w:spacing w:after="0" w:line="240" w:lineRule="auto"/>
        <w:ind w:left="567" w:hanging="567"/>
        <w:rPr>
          <w:rFonts w:eastAsia="Calibri" w:cstheme="minorHAnsi"/>
          <w:bCs/>
          <w:lang w:val="fr-CH"/>
        </w:rPr>
      </w:pPr>
    </w:p>
    <w:p w14:paraId="556912B7" w14:textId="47B75A13" w:rsidR="0007746C" w:rsidRPr="00EE5B96" w:rsidRDefault="00E42DCB" w:rsidP="0007746C">
      <w:pPr>
        <w:spacing w:after="0" w:line="240" w:lineRule="auto"/>
        <w:ind w:left="567" w:hanging="567"/>
        <w:rPr>
          <w:rFonts w:eastAsia="Calibri" w:cstheme="minorHAnsi"/>
          <w:bCs/>
          <w:lang w:val="fr-CH"/>
        </w:rPr>
      </w:pPr>
      <w:r>
        <w:rPr>
          <w:rFonts w:eastAsia="Calibri" w:cstheme="minorHAnsi"/>
          <w:bCs/>
          <w:lang w:val="fr-CH"/>
        </w:rPr>
        <w:t>29</w:t>
      </w:r>
      <w:r w:rsidR="0007746C" w:rsidRPr="00EE5B96">
        <w:rPr>
          <w:rFonts w:eastAsia="Calibri" w:cstheme="minorHAnsi"/>
          <w:bCs/>
          <w:lang w:val="fr-CH"/>
        </w:rPr>
        <w:t>.</w:t>
      </w:r>
      <w:r w:rsidR="0007746C" w:rsidRPr="00EE5B96">
        <w:rPr>
          <w:rFonts w:eastAsia="Calibri" w:cstheme="minorHAnsi"/>
          <w:bCs/>
          <w:lang w:val="fr-CH"/>
        </w:rPr>
        <w:tab/>
      </w:r>
      <w:r w:rsidR="0007746C">
        <w:rPr>
          <w:rFonts w:eastAsia="Calibri" w:cstheme="minorHAnsi"/>
          <w:bCs/>
          <w:lang w:val="fr-CH"/>
        </w:rPr>
        <w:t>La Belgique, le Brésil, le Burkina Faso, le Cambodge, la Colombie, le Costa Rica, les Émirats arabes unis, les États</w:t>
      </w:r>
      <w:r w:rsidR="0007746C">
        <w:rPr>
          <w:rFonts w:eastAsia="Calibri" w:cstheme="minorHAnsi"/>
          <w:bCs/>
          <w:lang w:val="fr-CH"/>
        </w:rPr>
        <w:noBreakHyphen/>
        <w:t>Unis d’Amérique, la Géorgie, l’Iran</w:t>
      </w:r>
      <w:r>
        <w:rPr>
          <w:rFonts w:eastAsia="Calibri" w:cstheme="minorHAnsi"/>
          <w:bCs/>
          <w:lang w:val="fr-CH"/>
        </w:rPr>
        <w:t xml:space="preserve"> (République islamique d’)</w:t>
      </w:r>
      <w:r w:rsidR="0007746C">
        <w:rPr>
          <w:rFonts w:eastAsia="Calibri" w:cstheme="minorHAnsi"/>
          <w:bCs/>
          <w:lang w:val="fr-CH"/>
        </w:rPr>
        <w:t xml:space="preserve">, le Japon, la Libye au nom des Parties d’Afrique du Nord, </w:t>
      </w:r>
      <w:r w:rsidR="0007746C" w:rsidRPr="00EE5B96">
        <w:rPr>
          <w:rFonts w:eastAsia="Calibri" w:cstheme="minorHAnsi"/>
          <w:bCs/>
          <w:lang w:val="fr-CH"/>
        </w:rPr>
        <w:t xml:space="preserve">Madagascar, </w:t>
      </w:r>
      <w:r w:rsidR="0007746C">
        <w:rPr>
          <w:rFonts w:eastAsia="Calibri" w:cstheme="minorHAnsi"/>
          <w:bCs/>
          <w:lang w:val="fr-CH"/>
        </w:rPr>
        <w:t xml:space="preserve">le </w:t>
      </w:r>
      <w:r w:rsidR="0007746C" w:rsidRPr="00EE5B96">
        <w:rPr>
          <w:rFonts w:eastAsia="Calibri" w:cstheme="minorHAnsi"/>
          <w:bCs/>
          <w:lang w:val="fr-CH"/>
        </w:rPr>
        <w:t xml:space="preserve">Panama, </w:t>
      </w:r>
      <w:r w:rsidR="0007746C">
        <w:rPr>
          <w:rFonts w:eastAsia="Calibri" w:cstheme="minorHAnsi"/>
          <w:bCs/>
          <w:lang w:val="fr-CH"/>
        </w:rPr>
        <w:t xml:space="preserve">la Tchéquie, le </w:t>
      </w:r>
      <w:r w:rsidR="0007746C" w:rsidRPr="00EE5B96">
        <w:rPr>
          <w:rFonts w:eastAsia="Calibri" w:cstheme="minorHAnsi"/>
          <w:bCs/>
          <w:lang w:val="fr-CH"/>
        </w:rPr>
        <w:t>Rwanda, Saint</w:t>
      </w:r>
      <w:r w:rsidR="0007746C">
        <w:rPr>
          <w:rFonts w:eastAsia="Calibri" w:cstheme="minorHAnsi"/>
          <w:bCs/>
          <w:lang w:val="fr-CH"/>
        </w:rPr>
        <w:t>e</w:t>
      </w:r>
      <w:r w:rsidR="0007746C">
        <w:rPr>
          <w:rFonts w:eastAsia="Calibri" w:cstheme="minorHAnsi"/>
          <w:bCs/>
          <w:lang w:val="fr-CH"/>
        </w:rPr>
        <w:noBreakHyphen/>
        <w:t>Lucie</w:t>
      </w:r>
      <w:r w:rsidR="0007746C" w:rsidRPr="00EE5B96">
        <w:rPr>
          <w:rFonts w:eastAsia="Calibri" w:cstheme="minorHAnsi"/>
          <w:bCs/>
          <w:lang w:val="fr-CH"/>
        </w:rPr>
        <w:t xml:space="preserve">, </w:t>
      </w:r>
      <w:r w:rsidR="0007746C">
        <w:rPr>
          <w:rFonts w:eastAsia="Calibri" w:cstheme="minorHAnsi"/>
          <w:bCs/>
          <w:lang w:val="fr-CH"/>
        </w:rPr>
        <w:t xml:space="preserve">le </w:t>
      </w:r>
      <w:r w:rsidR="0007746C" w:rsidRPr="00EE5B96">
        <w:rPr>
          <w:rFonts w:eastAsia="Calibri" w:cstheme="minorHAnsi"/>
          <w:bCs/>
          <w:lang w:val="fr-CH"/>
        </w:rPr>
        <w:t xml:space="preserve">Samoa, </w:t>
      </w:r>
      <w:r w:rsidR="0007746C">
        <w:rPr>
          <w:rFonts w:eastAsia="Calibri" w:cstheme="minorHAnsi"/>
          <w:bCs/>
          <w:lang w:val="fr-CH"/>
        </w:rPr>
        <w:t xml:space="preserve">la </w:t>
      </w:r>
      <w:r w:rsidR="0007746C" w:rsidRPr="00EE5B96">
        <w:rPr>
          <w:rFonts w:eastAsia="Calibri" w:cstheme="minorHAnsi"/>
          <w:bCs/>
          <w:lang w:val="fr-CH"/>
        </w:rPr>
        <w:t>Slova</w:t>
      </w:r>
      <w:r w:rsidR="0007746C">
        <w:rPr>
          <w:rFonts w:eastAsia="Calibri" w:cstheme="minorHAnsi"/>
          <w:bCs/>
          <w:lang w:val="fr-CH"/>
        </w:rPr>
        <w:t>quie</w:t>
      </w:r>
      <w:r w:rsidR="0007746C" w:rsidRPr="00EE5B96">
        <w:rPr>
          <w:rFonts w:eastAsia="Calibri" w:cstheme="minorHAnsi"/>
          <w:bCs/>
          <w:lang w:val="fr-CH"/>
        </w:rPr>
        <w:t xml:space="preserve">, </w:t>
      </w:r>
      <w:r w:rsidR="0007746C">
        <w:rPr>
          <w:rFonts w:eastAsia="Calibri" w:cstheme="minorHAnsi"/>
          <w:bCs/>
          <w:lang w:val="fr-CH"/>
        </w:rPr>
        <w:t xml:space="preserve">la Suède, la Suisse, le Zimbabwe et </w:t>
      </w:r>
      <w:r w:rsidR="0007746C" w:rsidRPr="00EE5B96">
        <w:rPr>
          <w:rFonts w:eastAsia="Calibri" w:cstheme="minorHAnsi"/>
          <w:bCs/>
          <w:lang w:val="fr-CH"/>
        </w:rPr>
        <w:t>Wildfowl &amp; Wetlands Trust</w:t>
      </w:r>
      <w:r w:rsidR="0007746C">
        <w:rPr>
          <w:rFonts w:eastAsia="Calibri" w:cstheme="minorHAnsi"/>
          <w:bCs/>
          <w:lang w:val="fr-CH"/>
        </w:rPr>
        <w:t xml:space="preserve"> interviennent dans la discussion</w:t>
      </w:r>
      <w:r w:rsidR="0007746C" w:rsidRPr="00EE5B96">
        <w:rPr>
          <w:rFonts w:eastAsia="Calibri" w:cstheme="minorHAnsi"/>
          <w:bCs/>
          <w:lang w:val="fr-CH"/>
        </w:rPr>
        <w:t>.</w:t>
      </w:r>
    </w:p>
    <w:p w14:paraId="3AFFE7FF" w14:textId="77777777" w:rsidR="0007746C" w:rsidRPr="0042425A" w:rsidRDefault="0007746C" w:rsidP="0007746C">
      <w:pPr>
        <w:keepNext/>
        <w:spacing w:after="0" w:line="240" w:lineRule="auto"/>
        <w:rPr>
          <w:rFonts w:cstheme="minorHAnsi"/>
          <w:lang w:val="fr-FR"/>
        </w:rPr>
      </w:pPr>
    </w:p>
    <w:p w14:paraId="06740299" w14:textId="77777777" w:rsidR="0007746C" w:rsidRPr="000773AB"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773AB">
        <w:rPr>
          <w:rFonts w:cstheme="minorHAnsi"/>
          <w:bCs/>
          <w:lang w:val="fr-FR"/>
        </w:rPr>
        <w:t>Point 13 de l’ordre du jour :</w:t>
      </w:r>
      <w:r>
        <w:rPr>
          <w:rFonts w:cstheme="minorHAnsi"/>
          <w:bCs/>
          <w:lang w:val="fr-FR"/>
        </w:rPr>
        <w:t xml:space="preserve"> </w:t>
      </w:r>
      <w:r w:rsidRPr="000773AB">
        <w:rPr>
          <w:lang w:val="fr-FR"/>
        </w:rPr>
        <w:t>Plan de travail du</w:t>
      </w:r>
      <w:r>
        <w:rPr>
          <w:lang w:val="fr-FR"/>
        </w:rPr>
        <w:t xml:space="preserve"> </w:t>
      </w:r>
      <w:r w:rsidRPr="000773AB">
        <w:rPr>
          <w:lang w:val="fr-FR"/>
        </w:rPr>
        <w:t>Secrétariat</w:t>
      </w:r>
      <w:r>
        <w:rPr>
          <w:lang w:val="fr-FR"/>
        </w:rPr>
        <w:t xml:space="preserve"> pour</w:t>
      </w:r>
      <w:r w:rsidRPr="000773AB">
        <w:rPr>
          <w:lang w:val="fr-FR"/>
        </w:rPr>
        <w:t xml:space="preserve"> 2023-2025</w:t>
      </w:r>
    </w:p>
    <w:p w14:paraId="2B945CB5" w14:textId="77777777" w:rsidR="0007746C" w:rsidRPr="000773AB" w:rsidRDefault="0007746C" w:rsidP="0007746C">
      <w:pPr>
        <w:spacing w:after="0" w:line="240" w:lineRule="auto"/>
        <w:rPr>
          <w:lang w:val="fr-FR"/>
        </w:rPr>
      </w:pPr>
    </w:p>
    <w:p w14:paraId="75B55D46" w14:textId="7253FE12" w:rsidR="0007746C" w:rsidRPr="00380DFC" w:rsidRDefault="00E42DCB" w:rsidP="0007746C">
      <w:pPr>
        <w:spacing w:after="0" w:line="240" w:lineRule="auto"/>
        <w:ind w:left="567" w:hanging="567"/>
        <w:rPr>
          <w:rFonts w:eastAsia="Calibri" w:cstheme="minorHAnsi"/>
          <w:bCs/>
          <w:i/>
          <w:iCs/>
          <w:lang w:val="fr-CH"/>
        </w:rPr>
      </w:pPr>
      <w:r>
        <w:rPr>
          <w:rFonts w:eastAsia="Calibri" w:cstheme="minorHAnsi"/>
          <w:bCs/>
          <w:lang w:val="fr-CH"/>
        </w:rPr>
        <w:t>30</w:t>
      </w:r>
      <w:r w:rsidR="0007746C" w:rsidRPr="00380DFC">
        <w:rPr>
          <w:rFonts w:eastAsia="Calibri" w:cstheme="minorHAnsi"/>
          <w:bCs/>
          <w:lang w:val="fr-CH"/>
        </w:rPr>
        <w:t>.</w:t>
      </w:r>
      <w:r w:rsidR="0007746C" w:rsidRPr="00380DFC">
        <w:rPr>
          <w:rFonts w:eastAsia="Calibri" w:cstheme="minorHAnsi"/>
          <w:bCs/>
          <w:lang w:val="fr-CH"/>
        </w:rPr>
        <w:tab/>
      </w:r>
      <w:r w:rsidR="0007746C">
        <w:rPr>
          <w:rFonts w:eastAsia="Calibri" w:cstheme="minorHAnsi"/>
          <w:bCs/>
          <w:lang w:val="fr-CH"/>
        </w:rPr>
        <w:t xml:space="preserve">Le Secrétariat présente le </w:t>
      </w:r>
      <w:r w:rsidR="0007746C" w:rsidRPr="00380DFC">
        <w:rPr>
          <w:rFonts w:eastAsia="Calibri" w:cstheme="minorHAnsi"/>
          <w:bCs/>
          <w:lang w:val="fr-CH"/>
        </w:rPr>
        <w:t>document SC62 Doc.13</w:t>
      </w:r>
      <w:r w:rsidR="0007746C" w:rsidRPr="00380DFC">
        <w:rPr>
          <w:rFonts w:eastAsia="Calibri" w:cstheme="minorHAnsi"/>
          <w:bCs/>
          <w:i/>
          <w:iCs/>
          <w:lang w:val="fr-CH"/>
        </w:rPr>
        <w:t>.</w:t>
      </w:r>
    </w:p>
    <w:p w14:paraId="49C8383F" w14:textId="77777777" w:rsidR="0007746C" w:rsidRPr="00E0533F" w:rsidRDefault="0007746C" w:rsidP="0007746C">
      <w:pPr>
        <w:spacing w:after="0" w:line="240" w:lineRule="auto"/>
        <w:ind w:left="567" w:hanging="567"/>
        <w:rPr>
          <w:rFonts w:eastAsia="Calibri" w:cstheme="minorHAnsi"/>
          <w:bCs/>
          <w:i/>
          <w:iCs/>
          <w:lang w:val="fr-CH"/>
        </w:rPr>
      </w:pPr>
    </w:p>
    <w:p w14:paraId="21229F6E" w14:textId="2C8DD0DA" w:rsidR="0007746C" w:rsidRPr="00380DFC" w:rsidRDefault="00E42DCB" w:rsidP="0007746C">
      <w:pPr>
        <w:spacing w:after="0" w:line="240" w:lineRule="auto"/>
        <w:ind w:left="567" w:hanging="567"/>
        <w:rPr>
          <w:rFonts w:eastAsia="Calibri" w:cstheme="minorHAnsi"/>
          <w:bCs/>
          <w:lang w:val="fr-CH"/>
        </w:rPr>
      </w:pPr>
      <w:r w:rsidRPr="00E0533F">
        <w:rPr>
          <w:rFonts w:eastAsia="Calibri" w:cstheme="minorHAnsi"/>
          <w:bCs/>
          <w:lang w:val="fr-CH"/>
        </w:rPr>
        <w:t>31</w:t>
      </w:r>
      <w:r w:rsidR="0007746C" w:rsidRPr="00E0533F">
        <w:rPr>
          <w:rFonts w:eastAsia="Calibri" w:cstheme="minorHAnsi"/>
          <w:bCs/>
          <w:lang w:val="fr-CH"/>
        </w:rPr>
        <w:t>.</w:t>
      </w:r>
      <w:r w:rsidR="0007746C" w:rsidRPr="00E0533F">
        <w:rPr>
          <w:rFonts w:eastAsia="Calibri" w:cstheme="minorHAnsi"/>
          <w:bCs/>
          <w:lang w:val="fr-CH"/>
        </w:rPr>
        <w:tab/>
        <w:t>Le Président du G</w:t>
      </w:r>
      <w:r w:rsidRPr="00E0533F">
        <w:rPr>
          <w:rFonts w:eastAsia="Calibri" w:cstheme="minorHAnsi"/>
          <w:bCs/>
          <w:lang w:val="fr-CH"/>
        </w:rPr>
        <w:t>roupe d’évaluation scientifique et technique (G</w:t>
      </w:r>
      <w:r w:rsidR="0007746C" w:rsidRPr="00E0533F">
        <w:rPr>
          <w:rFonts w:eastAsia="Calibri" w:cstheme="minorHAnsi"/>
          <w:bCs/>
          <w:lang w:val="fr-CH"/>
        </w:rPr>
        <w:t>EST</w:t>
      </w:r>
      <w:r w:rsidRPr="00E0533F">
        <w:rPr>
          <w:rFonts w:eastAsia="Calibri" w:cstheme="minorHAnsi"/>
          <w:bCs/>
          <w:lang w:val="fr-CH"/>
        </w:rPr>
        <w:t>)</w:t>
      </w:r>
      <w:r w:rsidR="0007746C" w:rsidRPr="00E0533F">
        <w:rPr>
          <w:rFonts w:eastAsia="Calibri" w:cstheme="minorHAnsi"/>
          <w:bCs/>
          <w:lang w:val="fr-CH"/>
        </w:rPr>
        <w:t xml:space="preserve"> note que deux tâches du plan de travail sont étroitement liées aux tâches du GEST, à savoir le recueil d’études de cas sur les petites zones humides </w:t>
      </w:r>
      <w:r w:rsidR="0007746C">
        <w:rPr>
          <w:rFonts w:eastAsia="Calibri" w:cstheme="minorHAnsi"/>
          <w:bCs/>
          <w:lang w:val="fr-CH"/>
        </w:rPr>
        <w:t xml:space="preserve">et la fourniture d’orientations aux Parties contractantes en ce qui concerne les stratégies et plans d’action nationaux pour la biodiversité (SPANB), et suggère d’ajouter la phrase « en association avec le GEST » pour toutes ces tâches.  </w:t>
      </w:r>
    </w:p>
    <w:p w14:paraId="484B10EF" w14:textId="77777777" w:rsidR="0007746C" w:rsidRPr="0042425A" w:rsidRDefault="0007746C" w:rsidP="0007746C">
      <w:pPr>
        <w:spacing w:after="0" w:line="240" w:lineRule="auto"/>
        <w:ind w:left="567" w:hanging="567"/>
        <w:rPr>
          <w:rFonts w:eastAsia="Calibri" w:cstheme="minorHAnsi"/>
          <w:bCs/>
          <w:lang w:val="fr-FR"/>
        </w:rPr>
      </w:pPr>
    </w:p>
    <w:p w14:paraId="02D56FBA" w14:textId="0F620D0D" w:rsidR="0007746C" w:rsidRPr="000773AB" w:rsidRDefault="0007746C" w:rsidP="0007746C">
      <w:pPr>
        <w:spacing w:after="0" w:line="240" w:lineRule="auto"/>
        <w:contextualSpacing/>
        <w:rPr>
          <w:lang w:val="fr-FR"/>
        </w:rPr>
      </w:pPr>
      <w:r w:rsidRPr="000773AB">
        <w:rPr>
          <w:rFonts w:cstheme="minorHAnsi"/>
          <w:b/>
          <w:lang w:val="fr-FR"/>
        </w:rPr>
        <w:t xml:space="preserve">Décision SC62-14 : </w:t>
      </w:r>
      <w:r w:rsidRPr="000773AB">
        <w:rPr>
          <w:rFonts w:cstheme="minorHAnsi"/>
          <w:b/>
          <w:iCs/>
          <w:lang w:val="fr-FR"/>
        </w:rPr>
        <w:t xml:space="preserve">Le </w:t>
      </w:r>
      <w:r w:rsidRPr="000773AB">
        <w:rPr>
          <w:rFonts w:cstheme="minorHAnsi"/>
          <w:b/>
          <w:lang w:val="fr-FR"/>
        </w:rPr>
        <w:t>Comité permanent</w:t>
      </w:r>
      <w:r w:rsidRPr="000773AB">
        <w:rPr>
          <w:rFonts w:cs="Calibri"/>
          <w:b/>
          <w:lang w:val="fr-FR"/>
        </w:rPr>
        <w:t xml:space="preserve"> </w:t>
      </w:r>
      <w:r w:rsidR="00E0533F">
        <w:rPr>
          <w:rFonts w:cs="Calibri"/>
          <w:b/>
          <w:lang w:val="fr-FR"/>
        </w:rPr>
        <w:t xml:space="preserve">prend </w:t>
      </w:r>
      <w:r w:rsidRPr="000773AB">
        <w:rPr>
          <w:rFonts w:cstheme="minorHAnsi"/>
          <w:b/>
          <w:lang w:val="fr-FR"/>
        </w:rPr>
        <w:t xml:space="preserve">note </w:t>
      </w:r>
      <w:r w:rsidR="00E0533F">
        <w:rPr>
          <w:rFonts w:cstheme="minorHAnsi"/>
          <w:b/>
          <w:lang w:val="fr-FR"/>
        </w:rPr>
        <w:t>du</w:t>
      </w:r>
      <w:r w:rsidRPr="000773AB">
        <w:rPr>
          <w:rFonts w:cstheme="minorHAnsi"/>
          <w:b/>
          <w:lang w:val="fr-FR"/>
        </w:rPr>
        <w:t xml:space="preserve"> Plan annuel intégré du </w:t>
      </w:r>
      <w:r w:rsidRPr="000773AB">
        <w:rPr>
          <w:rFonts w:eastAsia="Calibri" w:cstheme="minorHAnsi"/>
          <w:b/>
          <w:bCs/>
          <w:lang w:val="fr-FR"/>
        </w:rPr>
        <w:t xml:space="preserve">Secrétariat pour 2023 </w:t>
      </w:r>
      <w:r>
        <w:rPr>
          <w:rFonts w:eastAsia="Calibri" w:cstheme="minorHAnsi"/>
          <w:b/>
          <w:bCs/>
          <w:lang w:val="fr-FR"/>
        </w:rPr>
        <w:t xml:space="preserve">et </w:t>
      </w:r>
      <w:r w:rsidR="00E0533F">
        <w:rPr>
          <w:rFonts w:eastAsia="Calibri" w:cstheme="minorHAnsi"/>
          <w:b/>
          <w:bCs/>
          <w:lang w:val="fr-FR"/>
        </w:rPr>
        <w:t>du</w:t>
      </w:r>
      <w:r>
        <w:rPr>
          <w:rFonts w:eastAsia="Calibri" w:cstheme="minorHAnsi"/>
          <w:b/>
          <w:bCs/>
          <w:lang w:val="fr-FR"/>
        </w:rPr>
        <w:t xml:space="preserve"> Plan triennal pour</w:t>
      </w:r>
      <w:r w:rsidRPr="000773AB">
        <w:rPr>
          <w:rFonts w:eastAsia="Calibri" w:cstheme="minorHAnsi"/>
          <w:b/>
          <w:bCs/>
          <w:lang w:val="fr-FR"/>
        </w:rPr>
        <w:t xml:space="preserve"> 2023-2025</w:t>
      </w:r>
      <w:r w:rsidR="00E0533F" w:rsidRPr="00E0533F">
        <w:rPr>
          <w:rFonts w:cstheme="minorHAnsi"/>
          <w:b/>
          <w:lang w:val="fr-FR"/>
        </w:rPr>
        <w:t xml:space="preserve"> </w:t>
      </w:r>
      <w:r w:rsidR="00E0533F" w:rsidRPr="000773AB">
        <w:rPr>
          <w:rFonts w:cstheme="minorHAnsi"/>
          <w:b/>
          <w:lang w:val="fr-FR"/>
        </w:rPr>
        <w:t xml:space="preserve">et </w:t>
      </w:r>
      <w:r w:rsidR="00E0533F">
        <w:rPr>
          <w:rFonts w:cstheme="minorHAnsi"/>
          <w:b/>
          <w:lang w:val="fr-FR"/>
        </w:rPr>
        <w:t xml:space="preserve">les </w:t>
      </w:r>
      <w:r w:rsidR="00E0533F" w:rsidRPr="000773AB">
        <w:rPr>
          <w:rFonts w:cstheme="minorHAnsi"/>
          <w:b/>
          <w:lang w:val="fr-FR"/>
        </w:rPr>
        <w:t>approuve</w:t>
      </w:r>
      <w:r w:rsidRPr="000773AB">
        <w:rPr>
          <w:rFonts w:eastAsia="Calibri" w:cstheme="minorHAnsi"/>
          <w:b/>
          <w:bCs/>
          <w:lang w:val="fr-FR"/>
        </w:rPr>
        <w:t xml:space="preserve">, </w:t>
      </w:r>
      <w:r>
        <w:rPr>
          <w:rFonts w:eastAsia="Calibri" w:cstheme="minorHAnsi"/>
          <w:b/>
          <w:bCs/>
          <w:lang w:val="fr-FR"/>
        </w:rPr>
        <w:t>sous réserve des ajouts proposés par le Président du GEST</w:t>
      </w:r>
      <w:r w:rsidRPr="000773AB">
        <w:rPr>
          <w:rFonts w:eastAsia="Calibri" w:cstheme="minorHAnsi"/>
          <w:b/>
          <w:bCs/>
          <w:lang w:val="fr-FR"/>
        </w:rPr>
        <w:t>.</w:t>
      </w:r>
    </w:p>
    <w:p w14:paraId="2BB85777" w14:textId="0F3751BB" w:rsidR="0007746C" w:rsidRDefault="0007746C" w:rsidP="00E64244">
      <w:pPr>
        <w:spacing w:after="0" w:line="240" w:lineRule="auto"/>
        <w:contextualSpacing/>
        <w:rPr>
          <w:rFonts w:cstheme="minorHAnsi"/>
          <w:b/>
          <w:i/>
          <w:lang w:val="fr-FR"/>
        </w:rPr>
      </w:pPr>
    </w:p>
    <w:p w14:paraId="58473219" w14:textId="4FAE1B06" w:rsidR="0007746C" w:rsidRDefault="0007746C" w:rsidP="00E64244">
      <w:pPr>
        <w:spacing w:after="0" w:line="240" w:lineRule="auto"/>
        <w:contextualSpacing/>
        <w:rPr>
          <w:rFonts w:cstheme="minorHAnsi"/>
          <w:b/>
          <w:i/>
          <w:lang w:val="fr-FR"/>
        </w:rPr>
      </w:pPr>
    </w:p>
    <w:p w14:paraId="73F6E3BB" w14:textId="77777777" w:rsidR="0007746C" w:rsidRPr="00E26EB0" w:rsidRDefault="0007746C" w:rsidP="0007746C">
      <w:pPr>
        <w:keepNext/>
        <w:spacing w:after="0" w:line="240" w:lineRule="auto"/>
        <w:outlineLvl w:val="0"/>
        <w:rPr>
          <w:rFonts w:cstheme="minorHAnsi"/>
          <w:b/>
          <w:lang w:val="fr-FR"/>
        </w:rPr>
      </w:pPr>
      <w:r w:rsidRPr="00E26EB0">
        <w:rPr>
          <w:rFonts w:cstheme="minorHAnsi"/>
          <w:b/>
          <w:lang w:val="fr-FR"/>
        </w:rPr>
        <w:t>Mercredi 6 septembre 2023</w:t>
      </w:r>
    </w:p>
    <w:p w14:paraId="618B6EAC" w14:textId="77777777" w:rsidR="0007746C" w:rsidRPr="007F1EA6" w:rsidRDefault="0007746C" w:rsidP="0007746C">
      <w:pPr>
        <w:keepNext/>
        <w:spacing w:after="0" w:line="240" w:lineRule="auto"/>
        <w:rPr>
          <w:rFonts w:cstheme="minorHAnsi"/>
          <w:b/>
          <w:lang w:val="fr-FR"/>
        </w:rPr>
      </w:pPr>
    </w:p>
    <w:p w14:paraId="3D21B27F" w14:textId="77777777" w:rsidR="0007746C" w:rsidRPr="00425384" w:rsidRDefault="0007746C" w:rsidP="0007746C">
      <w:pPr>
        <w:keepNext/>
        <w:spacing w:after="0" w:line="240" w:lineRule="auto"/>
        <w:rPr>
          <w:rFonts w:cstheme="minorHAnsi"/>
          <w:b/>
          <w:bCs/>
          <w:lang w:val="fr-FR"/>
        </w:rPr>
      </w:pPr>
      <w:r w:rsidRPr="00425384">
        <w:rPr>
          <w:rFonts w:cstheme="minorHAnsi"/>
          <w:b/>
          <w:lang w:val="fr-FR"/>
        </w:rPr>
        <w:t xml:space="preserve">10:00 – 13:00 </w:t>
      </w:r>
      <w:r w:rsidRPr="00425384">
        <w:rPr>
          <w:rFonts w:cstheme="minorHAnsi"/>
          <w:b/>
          <w:lang w:val="fr-FR"/>
        </w:rPr>
        <w:tab/>
      </w:r>
      <w:r w:rsidRPr="00EE162B">
        <w:rPr>
          <w:rFonts w:cstheme="minorHAnsi"/>
          <w:b/>
          <w:lang w:val="fr-CH"/>
        </w:rPr>
        <w:t>Séance plénière du Comité permanent</w:t>
      </w:r>
    </w:p>
    <w:p w14:paraId="50C98F32" w14:textId="77777777" w:rsidR="0007746C" w:rsidRPr="00425384" w:rsidRDefault="0007746C" w:rsidP="0007746C">
      <w:pPr>
        <w:keepNext/>
        <w:spacing w:after="0" w:line="240" w:lineRule="auto"/>
        <w:rPr>
          <w:rFonts w:cstheme="minorHAnsi"/>
          <w:lang w:val="fr-FR"/>
        </w:rPr>
      </w:pPr>
    </w:p>
    <w:p w14:paraId="5F8761EE"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EE162B">
        <w:rPr>
          <w:rFonts w:cstheme="minorHAnsi"/>
          <w:bCs/>
          <w:lang w:val="fr-CH"/>
        </w:rPr>
        <w:t xml:space="preserve">Point </w:t>
      </w:r>
      <w:r>
        <w:rPr>
          <w:rFonts w:cstheme="minorHAnsi"/>
          <w:bCs/>
          <w:lang w:val="fr-CH"/>
        </w:rPr>
        <w:t>11</w:t>
      </w:r>
      <w:r w:rsidRPr="00EE162B">
        <w:rPr>
          <w:rFonts w:cstheme="minorHAnsi"/>
          <w:bCs/>
          <w:lang w:val="fr-CH"/>
        </w:rPr>
        <w:t xml:space="preserve"> de l’ordre du jour :</w:t>
      </w:r>
      <w:r w:rsidRPr="00425384">
        <w:rPr>
          <w:rFonts w:cstheme="minorHAnsi"/>
          <w:bCs/>
          <w:lang w:val="fr-FR"/>
        </w:rPr>
        <w:t xml:space="preserve"> </w:t>
      </w:r>
      <w:r w:rsidRPr="000C1AD4">
        <w:rPr>
          <w:lang w:val="fr-FR"/>
        </w:rPr>
        <w:t>Rapport du Secrétariat sur le renforcement institutionnel pour soutenir</w:t>
      </w:r>
    </w:p>
    <w:p w14:paraId="67C4CF76" w14:textId="77777777" w:rsidR="0007746C" w:rsidRPr="0042538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lang w:val="fr-FR"/>
        </w:rPr>
        <w:t>l’application de la Convention</w:t>
      </w:r>
    </w:p>
    <w:p w14:paraId="0457C035" w14:textId="77777777" w:rsidR="0007746C" w:rsidRPr="00425384" w:rsidRDefault="0007746C" w:rsidP="0007746C">
      <w:pPr>
        <w:spacing w:after="0" w:line="240" w:lineRule="auto"/>
        <w:rPr>
          <w:lang w:val="fr-FR"/>
        </w:rPr>
      </w:pPr>
    </w:p>
    <w:p w14:paraId="357558AB" w14:textId="4CAE52DA" w:rsidR="0007746C" w:rsidRPr="00952973" w:rsidRDefault="00E42DCB" w:rsidP="0007746C">
      <w:pPr>
        <w:spacing w:after="0" w:line="240" w:lineRule="auto"/>
        <w:ind w:left="567" w:hanging="567"/>
        <w:rPr>
          <w:rFonts w:eastAsia="Calibri" w:cstheme="minorHAnsi"/>
          <w:bCs/>
          <w:i/>
          <w:iCs/>
          <w:lang w:val="fr-CH"/>
        </w:rPr>
      </w:pPr>
      <w:r>
        <w:rPr>
          <w:rFonts w:eastAsia="Calibri" w:cstheme="minorHAnsi"/>
          <w:bCs/>
          <w:lang w:val="fr-FR"/>
        </w:rPr>
        <w:t>32</w:t>
      </w:r>
      <w:r w:rsidR="0007746C" w:rsidRPr="00AD7CED">
        <w:rPr>
          <w:rFonts w:eastAsia="Calibri" w:cstheme="minorHAnsi"/>
          <w:bCs/>
          <w:lang w:val="fr-FR"/>
        </w:rPr>
        <w:t>.</w:t>
      </w:r>
      <w:r w:rsidR="0007746C" w:rsidRPr="00AD7CED">
        <w:rPr>
          <w:rFonts w:eastAsia="Calibri" w:cstheme="minorHAnsi"/>
          <w:bCs/>
          <w:lang w:val="fr-FR"/>
        </w:rPr>
        <w:tab/>
      </w:r>
      <w:r w:rsidR="0007746C">
        <w:rPr>
          <w:rFonts w:eastAsia="Calibri" w:cstheme="minorHAnsi"/>
          <w:bCs/>
          <w:lang w:val="fr-FR"/>
        </w:rPr>
        <w:t xml:space="preserve">Le Secrétariat présente le </w:t>
      </w:r>
      <w:r w:rsidR="0007746C" w:rsidRPr="00AD7CED">
        <w:rPr>
          <w:rFonts w:eastAsia="Calibri" w:cstheme="minorHAnsi"/>
          <w:bCs/>
          <w:lang w:val="fr-FR"/>
        </w:rPr>
        <w:t>document SC62 Doc.11</w:t>
      </w:r>
      <w:r w:rsidR="0007746C" w:rsidRPr="00AD7CED">
        <w:rPr>
          <w:rFonts w:eastAsia="Calibri" w:cstheme="minorHAnsi"/>
          <w:bCs/>
          <w:i/>
          <w:iCs/>
          <w:lang w:val="fr-FR"/>
        </w:rPr>
        <w:t xml:space="preserve">, </w:t>
      </w:r>
      <w:r w:rsidR="0007746C">
        <w:rPr>
          <w:rFonts w:eastAsia="Calibri" w:cstheme="minorHAnsi"/>
          <w:bCs/>
          <w:lang w:val="fr-FR"/>
        </w:rPr>
        <w:t xml:space="preserve">qui décrit le processus de consultation mené en réponse au </w:t>
      </w:r>
      <w:r w:rsidR="0007746C" w:rsidRPr="00AD7CED">
        <w:rPr>
          <w:rFonts w:eastAsia="Calibri" w:cstheme="minorHAnsi"/>
          <w:bCs/>
          <w:lang w:val="fr-FR"/>
        </w:rPr>
        <w:t>paragraph</w:t>
      </w:r>
      <w:r w:rsidR="0007746C">
        <w:rPr>
          <w:rFonts w:eastAsia="Calibri" w:cstheme="minorHAnsi"/>
          <w:bCs/>
          <w:lang w:val="fr-FR"/>
        </w:rPr>
        <w:t>e</w:t>
      </w:r>
      <w:r w:rsidR="0007746C" w:rsidRPr="00AD7CED">
        <w:rPr>
          <w:rFonts w:eastAsia="Calibri" w:cstheme="minorHAnsi"/>
          <w:bCs/>
          <w:lang w:val="fr-FR"/>
        </w:rPr>
        <w:t xml:space="preserve"> 22 </w:t>
      </w:r>
      <w:r w:rsidR="0007746C">
        <w:rPr>
          <w:rFonts w:eastAsia="Calibri" w:cstheme="minorHAnsi"/>
          <w:bCs/>
          <w:lang w:val="fr-FR"/>
        </w:rPr>
        <w:t>de la</w:t>
      </w:r>
      <w:r w:rsidR="0007746C" w:rsidRPr="00AD7CED">
        <w:rPr>
          <w:rFonts w:eastAsia="Calibri" w:cstheme="minorHAnsi"/>
          <w:bCs/>
          <w:lang w:val="fr-FR"/>
        </w:rPr>
        <w:t xml:space="preserve"> R</w:t>
      </w:r>
      <w:r w:rsidR="0007746C">
        <w:rPr>
          <w:rFonts w:eastAsia="Calibri" w:cstheme="minorHAnsi"/>
          <w:bCs/>
          <w:lang w:val="fr-FR"/>
        </w:rPr>
        <w:t>é</w:t>
      </w:r>
      <w:r w:rsidR="0007746C" w:rsidRPr="00AD7CED">
        <w:rPr>
          <w:rFonts w:eastAsia="Calibri" w:cstheme="minorHAnsi"/>
          <w:bCs/>
          <w:lang w:val="fr-FR"/>
        </w:rPr>
        <w:t>solution XIV.6</w:t>
      </w:r>
      <w:r w:rsidR="0007746C">
        <w:rPr>
          <w:rFonts w:eastAsia="Calibri" w:cstheme="minorHAnsi"/>
          <w:bCs/>
          <w:lang w:val="fr-FR"/>
        </w:rPr>
        <w:t>,</w:t>
      </w:r>
      <w:r w:rsidR="0007746C" w:rsidRPr="00AD7CED">
        <w:rPr>
          <w:rFonts w:eastAsia="Calibri" w:cstheme="minorHAnsi"/>
          <w:bCs/>
          <w:lang w:val="fr-FR"/>
        </w:rPr>
        <w:t xml:space="preserve"> </w:t>
      </w:r>
      <w:r w:rsidR="0007746C" w:rsidRPr="00AD7CED">
        <w:rPr>
          <w:i/>
          <w:lang w:val="fr-FR"/>
        </w:rPr>
        <w:t>Renforcer la visibilité de la Convention</w:t>
      </w:r>
      <w:r w:rsidR="0007746C">
        <w:rPr>
          <w:i/>
          <w:lang w:val="fr-FR"/>
        </w:rPr>
        <w:t xml:space="preserve"> </w:t>
      </w:r>
      <w:r w:rsidR="0007746C" w:rsidRPr="00AD7CED">
        <w:rPr>
          <w:i/>
          <w:lang w:val="fr-FR"/>
        </w:rPr>
        <w:t>et les synergies avec d’autres accords multilatéraux sur l’environnement</w:t>
      </w:r>
      <w:r w:rsidR="0007746C">
        <w:rPr>
          <w:i/>
          <w:lang w:val="fr-FR"/>
        </w:rPr>
        <w:t xml:space="preserve"> </w:t>
      </w:r>
      <w:r w:rsidR="0007746C" w:rsidRPr="00AD7CED">
        <w:rPr>
          <w:i/>
          <w:lang w:val="fr-FR"/>
        </w:rPr>
        <w:t xml:space="preserve">et institutions internationales. </w:t>
      </w:r>
      <w:r w:rsidR="0007746C">
        <w:rPr>
          <w:lang w:val="fr-FR"/>
        </w:rPr>
        <w:t xml:space="preserve">Les Parties contractantes intéressées, ayant participé à la deuxième réunion du processus, ont convenu de la priorisation des possibilités de renforcer le Secrétariat dans les domaines suivants : </w:t>
      </w:r>
      <w:r w:rsidR="0007746C" w:rsidRPr="001F785D">
        <w:rPr>
          <w:rFonts w:eastAsia="Calibri" w:cstheme="minorHAnsi"/>
          <w:bCs/>
          <w:lang w:val="fr-FR"/>
        </w:rPr>
        <w:t>les dispositions administratives, la gouvernance, le leadership, l’indépendance des ressources humaines, le haut niveau de l’engagement politique et les objectifs en matière de visibilité de la Convention, comme on le voit dans l’Annexe 2 du document.</w:t>
      </w:r>
      <w:r w:rsidR="0007746C" w:rsidRPr="00AD7CED">
        <w:rPr>
          <w:rFonts w:eastAsia="Calibri" w:cstheme="minorHAnsi"/>
          <w:bCs/>
          <w:lang w:val="fr-FR"/>
        </w:rPr>
        <w:t xml:space="preserve"> </w:t>
      </w:r>
      <w:r w:rsidR="0007746C">
        <w:rPr>
          <w:rFonts w:eastAsia="Calibri" w:cstheme="minorHAnsi"/>
          <w:bCs/>
          <w:lang w:val="fr-CH"/>
        </w:rPr>
        <w:t xml:space="preserve">Ces Parties contractantes ont aussi proposé des recommandations </w:t>
      </w:r>
      <w:r w:rsidR="001D6C4B">
        <w:rPr>
          <w:rFonts w:eastAsia="Calibri" w:cstheme="minorHAnsi"/>
          <w:bCs/>
          <w:lang w:val="fr-CH"/>
        </w:rPr>
        <w:t>pour examen</w:t>
      </w:r>
      <w:r w:rsidR="0007746C">
        <w:rPr>
          <w:rFonts w:eastAsia="Calibri" w:cstheme="minorHAnsi"/>
          <w:bCs/>
          <w:lang w:val="fr-CH"/>
        </w:rPr>
        <w:t xml:space="preserve"> qui sont énumérées au paragraphe 10 du même document, mais avaient des opinions différentes sur la manière dont les travaux devaient procéder, en particulier concernant l’hébergement du Secrétariat.</w:t>
      </w:r>
    </w:p>
    <w:p w14:paraId="71D7606D" w14:textId="77777777" w:rsidR="0007746C" w:rsidRPr="00952973" w:rsidRDefault="0007746C" w:rsidP="0007746C">
      <w:pPr>
        <w:spacing w:after="0" w:line="240" w:lineRule="auto"/>
        <w:ind w:left="567" w:hanging="567"/>
        <w:rPr>
          <w:rFonts w:eastAsia="Calibri" w:cstheme="minorHAnsi"/>
          <w:bCs/>
          <w:lang w:val="fr-CH"/>
        </w:rPr>
      </w:pPr>
    </w:p>
    <w:p w14:paraId="6E9B1A4C" w14:textId="1B9DA409" w:rsidR="0007746C" w:rsidRPr="00952973" w:rsidRDefault="001D6C4B" w:rsidP="0007746C">
      <w:pPr>
        <w:spacing w:after="0" w:line="240" w:lineRule="auto"/>
        <w:ind w:left="567" w:hanging="567"/>
        <w:rPr>
          <w:rFonts w:eastAsia="Calibri" w:cstheme="minorHAnsi"/>
          <w:bCs/>
          <w:lang w:val="fr-CH"/>
        </w:rPr>
      </w:pPr>
      <w:r>
        <w:rPr>
          <w:rFonts w:eastAsia="Calibri" w:cstheme="minorHAnsi"/>
          <w:bCs/>
          <w:lang w:val="fr-CH"/>
        </w:rPr>
        <w:lastRenderedPageBreak/>
        <w:t>33</w:t>
      </w:r>
      <w:r w:rsidR="0007746C" w:rsidRPr="00952973">
        <w:rPr>
          <w:rFonts w:eastAsia="Calibri" w:cstheme="minorHAnsi"/>
          <w:bCs/>
          <w:lang w:val="fr-CH"/>
        </w:rPr>
        <w:t>.</w:t>
      </w:r>
      <w:r w:rsidR="0007746C" w:rsidRPr="00952973">
        <w:rPr>
          <w:rFonts w:eastAsia="Calibri" w:cstheme="minorHAnsi"/>
          <w:bCs/>
          <w:lang w:val="fr-CH"/>
        </w:rPr>
        <w:tab/>
      </w:r>
      <w:r w:rsidR="0007746C">
        <w:rPr>
          <w:rFonts w:eastAsia="Calibri" w:cstheme="minorHAnsi"/>
          <w:bCs/>
          <w:lang w:val="fr-CH"/>
        </w:rPr>
        <w:t>Un membre du Comité permanent rappelle les résultats du processus de consultation, remerciant les participants pour leur ouverture, leur esprit constructif et leur engagement à trouver un terrain d’entente.</w:t>
      </w:r>
    </w:p>
    <w:p w14:paraId="4F4CDA9B" w14:textId="77777777" w:rsidR="0007746C" w:rsidRPr="00952973" w:rsidRDefault="0007746C" w:rsidP="0007746C">
      <w:pPr>
        <w:spacing w:after="0" w:line="240" w:lineRule="auto"/>
        <w:ind w:left="567" w:hanging="567"/>
        <w:rPr>
          <w:rFonts w:eastAsia="Calibri" w:cstheme="minorHAnsi"/>
          <w:bCs/>
          <w:lang w:val="fr-CH"/>
        </w:rPr>
      </w:pPr>
    </w:p>
    <w:p w14:paraId="526B5608" w14:textId="258B92C8" w:rsidR="0007746C" w:rsidRPr="00952973" w:rsidRDefault="0007746C" w:rsidP="0007746C">
      <w:pPr>
        <w:spacing w:after="0" w:line="240" w:lineRule="auto"/>
        <w:ind w:left="567" w:hanging="567"/>
        <w:rPr>
          <w:rFonts w:eastAsia="Calibri" w:cstheme="minorHAnsi"/>
          <w:bCs/>
          <w:lang w:val="fr-CH"/>
        </w:rPr>
      </w:pPr>
      <w:r w:rsidRPr="00952973">
        <w:rPr>
          <w:rFonts w:eastAsia="Calibri" w:cstheme="minorHAnsi"/>
          <w:bCs/>
          <w:lang w:val="fr-CH"/>
        </w:rPr>
        <w:t>3</w:t>
      </w:r>
      <w:r w:rsidR="00833202">
        <w:rPr>
          <w:rFonts w:eastAsia="Calibri" w:cstheme="minorHAnsi"/>
          <w:bCs/>
          <w:lang w:val="fr-CH"/>
        </w:rPr>
        <w:t>4</w:t>
      </w:r>
      <w:r w:rsidRPr="00952973">
        <w:rPr>
          <w:rFonts w:eastAsia="Calibri" w:cstheme="minorHAnsi"/>
          <w:bCs/>
          <w:lang w:val="fr-CH"/>
        </w:rPr>
        <w:t>.</w:t>
      </w:r>
      <w:r w:rsidRPr="00952973">
        <w:rPr>
          <w:rFonts w:eastAsia="Calibri" w:cstheme="minorHAnsi"/>
          <w:bCs/>
          <w:lang w:val="fr-CH"/>
        </w:rPr>
        <w:tab/>
      </w:r>
      <w:r>
        <w:rPr>
          <w:rFonts w:eastAsia="Calibri" w:cstheme="minorHAnsi"/>
          <w:bCs/>
          <w:lang w:val="fr-CH"/>
        </w:rPr>
        <w:t>Un membre du Comité permanent propose un éclaircissement du paragraphe 10 et de l’Annexe 2 du document, constatant que les Parties contractantes présentes à la réunion ont proposé différentes options à examiner.</w:t>
      </w:r>
      <w:r w:rsidRPr="00952973">
        <w:rPr>
          <w:rFonts w:eastAsia="Calibri" w:cstheme="minorHAnsi"/>
          <w:bCs/>
          <w:lang w:val="fr-CH"/>
        </w:rPr>
        <w:t xml:space="preserve"> </w:t>
      </w:r>
    </w:p>
    <w:p w14:paraId="7AD0560E" w14:textId="77777777" w:rsidR="0007746C" w:rsidRPr="00495680" w:rsidRDefault="0007746C" w:rsidP="0007746C">
      <w:pPr>
        <w:spacing w:after="0" w:line="240" w:lineRule="auto"/>
        <w:ind w:left="567" w:hanging="567"/>
        <w:rPr>
          <w:rFonts w:eastAsia="Calibri" w:cstheme="minorHAnsi"/>
          <w:bCs/>
          <w:lang w:val="fr-CH"/>
        </w:rPr>
      </w:pPr>
    </w:p>
    <w:p w14:paraId="25825F88" w14:textId="00FA5FBA" w:rsidR="0007746C" w:rsidRPr="00495680" w:rsidRDefault="00833202" w:rsidP="0007746C">
      <w:pPr>
        <w:spacing w:after="0" w:line="240" w:lineRule="auto"/>
        <w:ind w:left="567" w:hanging="567"/>
        <w:rPr>
          <w:lang w:val="fr-CH"/>
        </w:rPr>
      </w:pPr>
      <w:r w:rsidRPr="00495680">
        <w:rPr>
          <w:rFonts w:eastAsia="Calibri" w:cstheme="minorHAnsi"/>
          <w:bCs/>
          <w:lang w:val="fr-CH"/>
        </w:rPr>
        <w:t>35</w:t>
      </w:r>
      <w:r w:rsidR="0007746C" w:rsidRPr="00495680">
        <w:rPr>
          <w:rFonts w:eastAsia="Calibri" w:cstheme="minorHAnsi"/>
          <w:bCs/>
          <w:lang w:val="fr-CH"/>
        </w:rPr>
        <w:t>.</w:t>
      </w:r>
      <w:r w:rsidR="0007746C" w:rsidRPr="00495680">
        <w:rPr>
          <w:rFonts w:eastAsia="Calibri" w:cstheme="minorHAnsi"/>
          <w:bCs/>
          <w:lang w:val="fr-CH"/>
        </w:rPr>
        <w:tab/>
        <w:t xml:space="preserve">Certains membres du Comité permanent font observer que peu de Parties contractantes ont participé au processus de consultation et quelques autres membres ajoutent que certaines questions figurant dans le document pertinent nécessiteront un avis de l’UICN. D’autres membres du Comité permanent suggèrent de poursuivre les travaux sur les possibles incidences des projets de recommandations avant de les intégrer dans un éventuel projet de résolution pour examen par </w:t>
      </w:r>
      <w:r w:rsidRPr="00495680">
        <w:rPr>
          <w:rFonts w:eastAsia="Calibri" w:cstheme="minorHAnsi"/>
          <w:bCs/>
          <w:lang w:val="fr-CH"/>
        </w:rPr>
        <w:t xml:space="preserve">les Parties contractantes à </w:t>
      </w:r>
      <w:r w:rsidR="0007746C" w:rsidRPr="00495680">
        <w:rPr>
          <w:rFonts w:eastAsia="Calibri" w:cstheme="minorHAnsi"/>
          <w:bCs/>
          <w:lang w:val="fr-CH"/>
        </w:rPr>
        <w:t xml:space="preserve">la </w:t>
      </w:r>
      <w:r w:rsidR="0007746C" w:rsidRPr="00495680">
        <w:rPr>
          <w:lang w:val="fr-CH"/>
        </w:rPr>
        <w:t>COP15.</w:t>
      </w:r>
    </w:p>
    <w:p w14:paraId="1597B568" w14:textId="77777777" w:rsidR="0007746C" w:rsidRPr="00495680" w:rsidRDefault="0007746C" w:rsidP="0007746C">
      <w:pPr>
        <w:spacing w:after="0" w:line="240" w:lineRule="auto"/>
        <w:ind w:left="567" w:hanging="567"/>
        <w:rPr>
          <w:lang w:val="fr-CH"/>
        </w:rPr>
      </w:pPr>
    </w:p>
    <w:p w14:paraId="781717D1" w14:textId="0B5DAC34" w:rsidR="0007746C" w:rsidRPr="00952973" w:rsidRDefault="00833202" w:rsidP="0007746C">
      <w:pPr>
        <w:spacing w:after="0" w:line="240" w:lineRule="auto"/>
        <w:ind w:left="567" w:hanging="567"/>
        <w:rPr>
          <w:kern w:val="2"/>
          <w:lang w:val="fr-CH"/>
          <w14:ligatures w14:val="standardContextual"/>
        </w:rPr>
      </w:pPr>
      <w:r w:rsidRPr="00495680">
        <w:rPr>
          <w:lang w:val="fr-CH"/>
        </w:rPr>
        <w:t>36</w:t>
      </w:r>
      <w:r w:rsidR="0007746C" w:rsidRPr="00495680">
        <w:rPr>
          <w:lang w:val="fr-CH"/>
        </w:rPr>
        <w:t>.</w:t>
      </w:r>
      <w:r w:rsidR="0007746C" w:rsidRPr="00495680">
        <w:rPr>
          <w:lang w:val="fr-CH"/>
        </w:rPr>
        <w:tab/>
        <w:t xml:space="preserve">Certaines Parties contractantes et certains membres du Comité permanent soutiennent la transition vers le système des Nations Unies. </w:t>
      </w:r>
      <w:r w:rsidRPr="00495680">
        <w:rPr>
          <w:lang w:val="fr-CH"/>
        </w:rPr>
        <w:t xml:space="preserve">D’autres sont d’avis qu’il est préférable d’explorer des mesures à prendre n’incluant pas une transition. </w:t>
      </w:r>
      <w:r w:rsidR="0007746C" w:rsidRPr="00495680">
        <w:rPr>
          <w:lang w:val="fr-CH"/>
        </w:rPr>
        <w:t xml:space="preserve">Plusieurs membres du Comité permanent soutiennent la création d’un </w:t>
      </w:r>
      <w:r w:rsidR="0007746C" w:rsidRPr="00495680">
        <w:rPr>
          <w:kern w:val="2"/>
          <w:lang w:val="fr-CH"/>
          <w14:ligatures w14:val="standardContextual"/>
        </w:rPr>
        <w:t xml:space="preserve">groupe de travail pour </w:t>
      </w:r>
      <w:bookmarkStart w:id="0" w:name="_Hlk144980349"/>
      <w:r w:rsidR="0007746C" w:rsidRPr="00495680">
        <w:rPr>
          <w:kern w:val="2"/>
          <w:lang w:val="fr-CH"/>
          <w14:ligatures w14:val="standardContextual"/>
        </w:rPr>
        <w:t xml:space="preserve">piloter le </w:t>
      </w:r>
      <w:r w:rsidR="0007746C">
        <w:rPr>
          <w:kern w:val="2"/>
          <w:lang w:val="fr-CH"/>
          <w14:ligatures w14:val="standardContextual"/>
        </w:rPr>
        <w:t>processus visant à assurer le renforcement institutionnel pour soutenir l’application de la Convention</w:t>
      </w:r>
      <w:bookmarkEnd w:id="0"/>
      <w:r w:rsidR="0007746C">
        <w:rPr>
          <w:kern w:val="2"/>
          <w:lang w:val="fr-CH"/>
          <w14:ligatures w14:val="standardContextual"/>
        </w:rPr>
        <w:t>, en tenant compte de toutes les voies possibles et de toutes les incidences budgétaires.</w:t>
      </w:r>
      <w:r w:rsidR="0007746C" w:rsidRPr="00952973">
        <w:rPr>
          <w:kern w:val="2"/>
          <w:lang w:val="fr-CH"/>
          <w14:ligatures w14:val="standardContextual"/>
        </w:rPr>
        <w:t xml:space="preserve"> </w:t>
      </w:r>
    </w:p>
    <w:p w14:paraId="28F9A03E" w14:textId="77777777" w:rsidR="0007746C" w:rsidRPr="00952973" w:rsidRDefault="0007746C" w:rsidP="0007746C">
      <w:pPr>
        <w:spacing w:after="0" w:line="240" w:lineRule="auto"/>
        <w:ind w:left="567" w:hanging="567"/>
        <w:rPr>
          <w:kern w:val="2"/>
          <w:lang w:val="fr-CH"/>
          <w14:ligatures w14:val="standardContextual"/>
        </w:rPr>
      </w:pPr>
    </w:p>
    <w:p w14:paraId="0B8532FC" w14:textId="01C5BFBA" w:rsidR="0007746C" w:rsidRPr="00952973" w:rsidRDefault="00833202" w:rsidP="0007746C">
      <w:pPr>
        <w:spacing w:after="0" w:line="240" w:lineRule="auto"/>
        <w:ind w:left="567" w:hanging="567"/>
        <w:rPr>
          <w:lang w:val="fr-CH"/>
        </w:rPr>
      </w:pPr>
      <w:r>
        <w:rPr>
          <w:kern w:val="2"/>
          <w:lang w:val="fr-CH"/>
          <w14:ligatures w14:val="standardContextual"/>
        </w:rPr>
        <w:t>37</w:t>
      </w:r>
      <w:r w:rsidR="0007746C" w:rsidRPr="00952973">
        <w:rPr>
          <w:kern w:val="2"/>
          <w:lang w:val="fr-CH"/>
          <w14:ligatures w14:val="standardContextual"/>
        </w:rPr>
        <w:t>.</w:t>
      </w:r>
      <w:r w:rsidR="0007746C" w:rsidRPr="00952973">
        <w:rPr>
          <w:kern w:val="2"/>
          <w:lang w:val="fr-CH"/>
          <w14:ligatures w14:val="standardContextual"/>
        </w:rPr>
        <w:tab/>
      </w:r>
      <w:r w:rsidR="0007746C">
        <w:rPr>
          <w:kern w:val="2"/>
          <w:lang w:val="fr-CH"/>
          <w14:ligatures w14:val="standardContextual"/>
        </w:rPr>
        <w:t>Certains membres du Comité permanent soulignent qu’il importe d’élaborer un cahier des charges pour le groupe de travail. Un autre membre ajoute que le cahier des charges doit éviter de créer un surcroît de travail pour le Groupe de travail sur la gestion et le Sous</w:t>
      </w:r>
      <w:r w:rsidR="0007746C">
        <w:rPr>
          <w:kern w:val="2"/>
          <w:lang w:val="fr-CH"/>
          <w14:ligatures w14:val="standardContextual"/>
        </w:rPr>
        <w:noBreakHyphen/>
        <w:t xml:space="preserve">groupe sur les finances. </w:t>
      </w:r>
    </w:p>
    <w:p w14:paraId="10019377" w14:textId="77777777" w:rsidR="0007746C" w:rsidRPr="00952973" w:rsidRDefault="0007746C" w:rsidP="0007746C">
      <w:pPr>
        <w:spacing w:after="0" w:line="240" w:lineRule="auto"/>
        <w:ind w:left="567" w:hanging="567"/>
        <w:rPr>
          <w:lang w:val="fr-CH"/>
        </w:rPr>
      </w:pPr>
    </w:p>
    <w:p w14:paraId="2782EC43" w14:textId="4193777B" w:rsidR="0007746C" w:rsidRPr="00952973" w:rsidRDefault="00833202" w:rsidP="0007746C">
      <w:pPr>
        <w:spacing w:after="0" w:line="240" w:lineRule="auto"/>
        <w:ind w:left="567" w:hanging="567"/>
        <w:rPr>
          <w:lang w:val="fr-CH"/>
        </w:rPr>
      </w:pPr>
      <w:r>
        <w:rPr>
          <w:lang w:val="fr-CH"/>
        </w:rPr>
        <w:t>38</w:t>
      </w:r>
      <w:r w:rsidR="0007746C" w:rsidRPr="00952973">
        <w:rPr>
          <w:lang w:val="fr-CH"/>
        </w:rPr>
        <w:t>.</w:t>
      </w:r>
      <w:r w:rsidR="0007746C" w:rsidRPr="00952973">
        <w:rPr>
          <w:lang w:val="fr-CH"/>
        </w:rPr>
        <w:tab/>
      </w:r>
      <w:r w:rsidR="0007746C">
        <w:rPr>
          <w:lang w:val="fr-CH"/>
        </w:rPr>
        <w:t>Les membres du Comité permanent conviennent que le groupe de travail, une fois établi, rédigera un projet de cahier des charges qui sera présenté au Comité permanent pour examen et approbation d’ici à vendredi 8 septembre 2023.</w:t>
      </w:r>
      <w:r w:rsidR="0007746C" w:rsidRPr="00952973">
        <w:rPr>
          <w:lang w:val="fr-CH"/>
        </w:rPr>
        <w:t xml:space="preserve"> </w:t>
      </w:r>
    </w:p>
    <w:p w14:paraId="64AE8A5F" w14:textId="77777777" w:rsidR="0007746C" w:rsidRPr="00952973" w:rsidRDefault="0007746C" w:rsidP="0007746C">
      <w:pPr>
        <w:spacing w:after="0" w:line="240" w:lineRule="auto"/>
        <w:ind w:left="567" w:hanging="567"/>
        <w:rPr>
          <w:lang w:val="fr-CH"/>
        </w:rPr>
      </w:pPr>
    </w:p>
    <w:p w14:paraId="16FF5C05" w14:textId="7E0580E8" w:rsidR="0007746C" w:rsidRPr="00952973" w:rsidRDefault="00833202" w:rsidP="0007746C">
      <w:pPr>
        <w:spacing w:after="0" w:line="240" w:lineRule="auto"/>
        <w:ind w:left="567" w:hanging="567"/>
        <w:rPr>
          <w:lang w:val="fr-CH"/>
        </w:rPr>
      </w:pPr>
      <w:r>
        <w:rPr>
          <w:lang w:val="fr-CH"/>
        </w:rPr>
        <w:t>39</w:t>
      </w:r>
      <w:r w:rsidR="0007746C" w:rsidRPr="00952973">
        <w:rPr>
          <w:lang w:val="fr-CH"/>
        </w:rPr>
        <w:t>.</w:t>
      </w:r>
      <w:r w:rsidR="0007746C" w:rsidRPr="00952973">
        <w:rPr>
          <w:lang w:val="fr-CH"/>
        </w:rPr>
        <w:tab/>
      </w:r>
      <w:r w:rsidR="0007746C">
        <w:rPr>
          <w:lang w:val="fr-CH"/>
        </w:rPr>
        <w:t xml:space="preserve">Concernant la demande faite au Groupe de travail sur la gestion de préparer un projet de résolution établissant le processus de recrutement d’un nouveau Secrétaire général, en réponse à la Décision </w:t>
      </w:r>
      <w:r w:rsidR="0007746C" w:rsidRPr="00952973">
        <w:rPr>
          <w:lang w:val="fr-CH"/>
        </w:rPr>
        <w:t xml:space="preserve">SC59-40 </w:t>
      </w:r>
      <w:r w:rsidR="0007746C">
        <w:rPr>
          <w:lang w:val="fr-CH"/>
        </w:rPr>
        <w:t>et pour examen par le Comité permanent à sa 63</w:t>
      </w:r>
      <w:r w:rsidR="0007746C" w:rsidRPr="0010010A">
        <w:rPr>
          <w:vertAlign w:val="superscript"/>
          <w:lang w:val="fr-CH"/>
        </w:rPr>
        <w:t>e</w:t>
      </w:r>
      <w:r w:rsidR="0007746C">
        <w:rPr>
          <w:lang w:val="fr-CH"/>
        </w:rPr>
        <w:t> Réunion</w:t>
      </w:r>
      <w:r>
        <w:rPr>
          <w:lang w:val="fr-CH"/>
        </w:rPr>
        <w:t xml:space="preserve"> </w:t>
      </w:r>
      <w:r w:rsidRPr="00495680">
        <w:rPr>
          <w:lang w:val="fr-CH"/>
        </w:rPr>
        <w:t>(SC63)</w:t>
      </w:r>
      <w:r w:rsidR="0007746C" w:rsidRPr="00495680">
        <w:rPr>
          <w:lang w:val="fr-CH"/>
        </w:rPr>
        <w:t xml:space="preserve">, </w:t>
      </w:r>
      <w:r w:rsidR="0007746C">
        <w:rPr>
          <w:lang w:val="fr-CH"/>
        </w:rPr>
        <w:t>certains membres du Comité permanent soulignent l’importance de s’assurer que toutes les Parties contractantes comprennent bien le processus.</w:t>
      </w:r>
      <w:r w:rsidR="0007746C" w:rsidRPr="00952973">
        <w:rPr>
          <w:lang w:val="fr-CH"/>
        </w:rPr>
        <w:t xml:space="preserve"> </w:t>
      </w:r>
    </w:p>
    <w:p w14:paraId="5D79E8CE" w14:textId="77777777" w:rsidR="0007746C" w:rsidRPr="00952973" w:rsidRDefault="0007746C" w:rsidP="0007746C">
      <w:pPr>
        <w:spacing w:after="0" w:line="240" w:lineRule="auto"/>
        <w:ind w:left="567" w:hanging="567"/>
        <w:rPr>
          <w:lang w:val="fr-CH"/>
        </w:rPr>
      </w:pPr>
    </w:p>
    <w:p w14:paraId="28E5217F" w14:textId="52F87601" w:rsidR="0007746C" w:rsidRPr="00952973" w:rsidRDefault="00833202" w:rsidP="0007746C">
      <w:pPr>
        <w:spacing w:after="0" w:line="240" w:lineRule="auto"/>
        <w:ind w:left="567" w:hanging="567"/>
        <w:rPr>
          <w:lang w:val="fr-CH"/>
        </w:rPr>
      </w:pPr>
      <w:r>
        <w:rPr>
          <w:lang w:val="fr-CH"/>
        </w:rPr>
        <w:t>40</w:t>
      </w:r>
      <w:r w:rsidR="0007746C" w:rsidRPr="00952973">
        <w:rPr>
          <w:lang w:val="fr-CH"/>
        </w:rPr>
        <w:t>.</w:t>
      </w:r>
      <w:r w:rsidR="0007746C" w:rsidRPr="00952973">
        <w:rPr>
          <w:lang w:val="fr-CH"/>
        </w:rPr>
        <w:tab/>
      </w:r>
      <w:r w:rsidR="0007746C">
        <w:rPr>
          <w:lang w:val="fr-CH"/>
        </w:rPr>
        <w:t xml:space="preserve">L’Afrique du Sud, l’Australie, l’Autriche, le Brésil, le Cambodge, la Colombie, le </w:t>
      </w:r>
      <w:r w:rsidR="0007746C" w:rsidRPr="00952973">
        <w:rPr>
          <w:lang w:val="fr-CH"/>
        </w:rPr>
        <w:t xml:space="preserve">Costa Rica, </w:t>
      </w:r>
      <w:r w:rsidR="0007746C">
        <w:rPr>
          <w:lang w:val="fr-CH"/>
        </w:rPr>
        <w:t>les États</w:t>
      </w:r>
      <w:r w:rsidR="0007746C">
        <w:rPr>
          <w:lang w:val="fr-CH"/>
        </w:rPr>
        <w:noBreakHyphen/>
        <w:t>Unis d’Amérique, l’</w:t>
      </w:r>
      <w:r w:rsidR="0007746C" w:rsidRPr="00952973">
        <w:rPr>
          <w:lang w:val="fr-CH"/>
        </w:rPr>
        <w:t>Iran (</w:t>
      </w:r>
      <w:r w:rsidR="0007746C">
        <w:rPr>
          <w:lang w:val="fr-CH"/>
        </w:rPr>
        <w:t>République islamique d’), le Japon, le Maroc, le Panama, la Suisse, l’Ukraine et le Zimbabwe expriment leur intérêt à participer au Groupe de travail.</w:t>
      </w:r>
      <w:r w:rsidR="0007746C" w:rsidRPr="00952973">
        <w:rPr>
          <w:lang w:val="fr-CH"/>
        </w:rPr>
        <w:t xml:space="preserve"> </w:t>
      </w:r>
    </w:p>
    <w:p w14:paraId="7942C5DF" w14:textId="77777777" w:rsidR="0007746C" w:rsidRPr="00952973" w:rsidRDefault="0007746C" w:rsidP="0007746C">
      <w:pPr>
        <w:spacing w:after="0" w:line="240" w:lineRule="auto"/>
        <w:ind w:left="567" w:hanging="567"/>
        <w:rPr>
          <w:lang w:val="fr-CH"/>
        </w:rPr>
      </w:pPr>
    </w:p>
    <w:p w14:paraId="11ADF9D2" w14:textId="799EB232" w:rsidR="0007746C" w:rsidRPr="00952973" w:rsidRDefault="00833202" w:rsidP="0007746C">
      <w:pPr>
        <w:spacing w:after="0" w:line="240" w:lineRule="auto"/>
        <w:ind w:left="567" w:hanging="567"/>
        <w:rPr>
          <w:lang w:val="fr-CH"/>
        </w:rPr>
      </w:pPr>
      <w:r>
        <w:rPr>
          <w:lang w:val="fr-CH"/>
        </w:rPr>
        <w:t>41</w:t>
      </w:r>
      <w:r w:rsidR="0007746C" w:rsidRPr="00952973">
        <w:rPr>
          <w:lang w:val="fr-CH"/>
        </w:rPr>
        <w:t>.</w:t>
      </w:r>
      <w:r w:rsidR="0007746C" w:rsidRPr="00952973">
        <w:rPr>
          <w:lang w:val="fr-CH"/>
        </w:rPr>
        <w:tab/>
      </w:r>
      <w:r w:rsidR="0007746C">
        <w:rPr>
          <w:lang w:val="fr-CH"/>
        </w:rPr>
        <w:t xml:space="preserve">L’Afrique du Sud, l’Australie, la Belgique, le Brésil, le Canada, la Colombie, le </w:t>
      </w:r>
      <w:r w:rsidR="0007746C" w:rsidRPr="00952973">
        <w:rPr>
          <w:lang w:val="fr-CH"/>
        </w:rPr>
        <w:t xml:space="preserve">Costa Rica, </w:t>
      </w:r>
      <w:r w:rsidR="0007746C">
        <w:rPr>
          <w:lang w:val="fr-CH"/>
        </w:rPr>
        <w:t>la Suède, la Suisse et l’UICN interviennent dans la discussion.</w:t>
      </w:r>
      <w:r w:rsidR="0007746C" w:rsidRPr="00952973">
        <w:rPr>
          <w:lang w:val="fr-CH"/>
        </w:rPr>
        <w:t xml:space="preserve"> </w:t>
      </w:r>
    </w:p>
    <w:p w14:paraId="5A559FDD" w14:textId="77777777" w:rsidR="0007746C" w:rsidRPr="00952973" w:rsidRDefault="0007746C" w:rsidP="0007746C">
      <w:pPr>
        <w:spacing w:after="0" w:line="240" w:lineRule="auto"/>
        <w:ind w:left="567" w:hanging="567"/>
        <w:rPr>
          <w:lang w:val="fr-CH"/>
        </w:rPr>
      </w:pPr>
    </w:p>
    <w:p w14:paraId="21E2D26E" w14:textId="77777777" w:rsidR="0007746C" w:rsidRPr="00952973" w:rsidRDefault="0007746C" w:rsidP="0007746C">
      <w:pPr>
        <w:spacing w:after="0" w:line="240" w:lineRule="auto"/>
        <w:contextualSpacing/>
        <w:rPr>
          <w:b/>
          <w:lang w:val="fr-CH"/>
        </w:rPr>
      </w:pPr>
      <w:r w:rsidRPr="00952973">
        <w:rPr>
          <w:rFonts w:cstheme="minorHAnsi"/>
          <w:b/>
          <w:lang w:val="fr-CH"/>
        </w:rPr>
        <w:t xml:space="preserve">Décision SC62-15 : Le Comité permanent prend note </w:t>
      </w:r>
      <w:r w:rsidRPr="00952973">
        <w:rPr>
          <w:b/>
          <w:lang w:val="fr-CH"/>
        </w:rPr>
        <w:t>du Rapport du Secrétariat sur le renforcement institutionnel pour soutenir l’application de la Convention, en réponse à la Résolution XIV.6, paragraphe 22.</w:t>
      </w:r>
    </w:p>
    <w:p w14:paraId="15AF8414" w14:textId="77777777" w:rsidR="0007746C" w:rsidRPr="00952973" w:rsidRDefault="0007746C" w:rsidP="0007746C">
      <w:pPr>
        <w:spacing w:after="0" w:line="240" w:lineRule="auto"/>
        <w:contextualSpacing/>
        <w:rPr>
          <w:b/>
          <w:lang w:val="fr-CH"/>
        </w:rPr>
      </w:pPr>
    </w:p>
    <w:p w14:paraId="096ABD00" w14:textId="77777777" w:rsidR="0007746C" w:rsidRPr="00952973" w:rsidRDefault="0007746C" w:rsidP="0007746C">
      <w:pPr>
        <w:spacing w:after="0" w:line="240" w:lineRule="auto"/>
        <w:contextualSpacing/>
        <w:rPr>
          <w:rFonts w:eastAsia="Calibri" w:cstheme="minorHAnsi"/>
          <w:bCs/>
          <w:lang w:val="fr-CH"/>
        </w:rPr>
      </w:pPr>
      <w:r w:rsidRPr="00952973">
        <w:rPr>
          <w:rFonts w:cstheme="minorHAnsi"/>
          <w:b/>
          <w:lang w:val="fr-CH"/>
        </w:rPr>
        <w:t xml:space="preserve">Décision SC62-16 : Le Comité permanent prend note des recommandations des </w:t>
      </w:r>
      <w:r>
        <w:rPr>
          <w:rFonts w:cstheme="minorHAnsi"/>
          <w:b/>
          <w:lang w:val="fr-CH"/>
        </w:rPr>
        <w:t>P</w:t>
      </w:r>
      <w:r w:rsidRPr="00952973">
        <w:rPr>
          <w:rFonts w:cstheme="minorHAnsi"/>
          <w:b/>
          <w:lang w:val="fr-CH"/>
        </w:rPr>
        <w:t>arties contractantes intéressées et du Secrétariat</w:t>
      </w:r>
      <w:r>
        <w:rPr>
          <w:rFonts w:cstheme="minorHAnsi"/>
          <w:b/>
          <w:lang w:val="fr-CH"/>
        </w:rPr>
        <w:t>,</w:t>
      </w:r>
      <w:r w:rsidRPr="00952973">
        <w:rPr>
          <w:rFonts w:cstheme="minorHAnsi"/>
          <w:b/>
          <w:lang w:val="fr-CH"/>
        </w:rPr>
        <w:t xml:space="preserve"> </w:t>
      </w:r>
      <w:r>
        <w:rPr>
          <w:rFonts w:cstheme="minorHAnsi"/>
          <w:b/>
          <w:lang w:val="fr-CH"/>
        </w:rPr>
        <w:t>figurant</w:t>
      </w:r>
      <w:r w:rsidRPr="00952973">
        <w:rPr>
          <w:rFonts w:cstheme="minorHAnsi"/>
          <w:b/>
          <w:lang w:val="fr-CH"/>
        </w:rPr>
        <w:t xml:space="preserve"> dans l’Annexe 2 du rapport.</w:t>
      </w:r>
    </w:p>
    <w:p w14:paraId="5EE15249" w14:textId="77777777" w:rsidR="0007746C" w:rsidRPr="00952973" w:rsidRDefault="0007746C" w:rsidP="0007746C">
      <w:pPr>
        <w:spacing w:after="0" w:line="240" w:lineRule="auto"/>
        <w:contextualSpacing/>
        <w:rPr>
          <w:rFonts w:eastAsia="Calibri" w:cstheme="minorHAnsi"/>
          <w:bCs/>
          <w:lang w:val="fr-CH"/>
        </w:rPr>
      </w:pPr>
    </w:p>
    <w:p w14:paraId="051E9796" w14:textId="77777777" w:rsidR="0007746C" w:rsidRPr="00952973" w:rsidRDefault="0007746C" w:rsidP="0007746C">
      <w:pPr>
        <w:spacing w:after="0" w:line="240" w:lineRule="auto"/>
        <w:contextualSpacing/>
        <w:rPr>
          <w:rFonts w:eastAsia="Calibri" w:cstheme="minorHAnsi"/>
          <w:bCs/>
          <w:lang w:val="fr-CH"/>
        </w:rPr>
      </w:pPr>
      <w:r w:rsidRPr="00952973">
        <w:rPr>
          <w:rFonts w:cstheme="minorHAnsi"/>
          <w:b/>
          <w:lang w:val="fr-CH"/>
        </w:rPr>
        <w:lastRenderedPageBreak/>
        <w:t xml:space="preserve">Décision SC62-17 : </w:t>
      </w:r>
      <w:r>
        <w:rPr>
          <w:rFonts w:cstheme="minorHAnsi"/>
          <w:b/>
          <w:lang w:val="fr-CH"/>
        </w:rPr>
        <w:t xml:space="preserve">Le Comité permanent </w:t>
      </w:r>
      <w:r w:rsidRPr="00C577C8">
        <w:rPr>
          <w:rFonts w:cstheme="minorHAnsi"/>
          <w:b/>
          <w:lang w:val="fr-CH"/>
        </w:rPr>
        <w:t>établit un groupe de travail</w:t>
      </w:r>
      <w:r w:rsidRPr="00952973">
        <w:rPr>
          <w:rFonts w:cstheme="minorHAnsi"/>
          <w:b/>
          <w:lang w:val="fr-CH"/>
        </w:rPr>
        <w:t xml:space="preserve"> </w:t>
      </w:r>
      <w:r>
        <w:rPr>
          <w:rFonts w:cstheme="minorHAnsi"/>
          <w:b/>
          <w:lang w:val="fr-CH"/>
        </w:rPr>
        <w:t xml:space="preserve">chargé de </w:t>
      </w:r>
      <w:r w:rsidRPr="00C577C8">
        <w:rPr>
          <w:rFonts w:cstheme="minorHAnsi"/>
          <w:b/>
          <w:lang w:val="fr-CH"/>
        </w:rPr>
        <w:t>piloter le processus visant à assurer le renforcement institutionnel pour soutenir l’application de la Convention</w:t>
      </w:r>
      <w:r>
        <w:rPr>
          <w:rFonts w:cstheme="minorHAnsi"/>
          <w:b/>
          <w:lang w:val="fr-CH"/>
        </w:rPr>
        <w:t>, y compris par la préparation d’un projet de résolution pour examen par le Comité permanent à sa 63</w:t>
      </w:r>
      <w:r w:rsidRPr="009B2514">
        <w:rPr>
          <w:rFonts w:cstheme="minorHAnsi"/>
          <w:b/>
          <w:vertAlign w:val="superscript"/>
          <w:lang w:val="fr-CH"/>
        </w:rPr>
        <w:t>e</w:t>
      </w:r>
      <w:r>
        <w:rPr>
          <w:rFonts w:cstheme="minorHAnsi"/>
          <w:b/>
          <w:lang w:val="fr-CH"/>
        </w:rPr>
        <w:t> Réunion.</w:t>
      </w:r>
    </w:p>
    <w:p w14:paraId="01A9F989" w14:textId="77777777" w:rsidR="0007746C" w:rsidRPr="001F785D" w:rsidRDefault="0007746C" w:rsidP="0007746C">
      <w:pPr>
        <w:spacing w:after="0" w:line="240" w:lineRule="auto"/>
        <w:rPr>
          <w:rFonts w:eastAsia="Calibri" w:cstheme="minorHAnsi"/>
          <w:bCs/>
          <w:lang w:val="fr-FR"/>
        </w:rPr>
      </w:pPr>
    </w:p>
    <w:p w14:paraId="70D6BE67"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rFonts w:cstheme="minorHAnsi"/>
          <w:bCs/>
          <w:lang w:val="fr-FR"/>
        </w:rPr>
        <w:t xml:space="preserve">Point 12 de l’ordre du jour : </w:t>
      </w:r>
      <w:r w:rsidRPr="000C1AD4">
        <w:rPr>
          <w:lang w:val="fr-FR"/>
        </w:rPr>
        <w:t>Rapport du Secrétariat sur l’amélioration de l’efficacité et de l’efficience de la Convention</w:t>
      </w:r>
    </w:p>
    <w:p w14:paraId="79537A1D" w14:textId="77777777" w:rsidR="0007746C" w:rsidRPr="000C1AD4" w:rsidRDefault="0007746C" w:rsidP="0007746C">
      <w:pPr>
        <w:spacing w:after="0" w:line="240" w:lineRule="auto"/>
        <w:rPr>
          <w:lang w:val="fr-FR"/>
        </w:rPr>
      </w:pPr>
    </w:p>
    <w:p w14:paraId="1280AA4A" w14:textId="5BF70DE3" w:rsidR="0007746C" w:rsidRPr="009B2514" w:rsidRDefault="00833202" w:rsidP="0007746C">
      <w:pPr>
        <w:spacing w:after="0" w:line="240" w:lineRule="auto"/>
        <w:ind w:left="567" w:hanging="567"/>
        <w:rPr>
          <w:lang w:val="fr-CH"/>
        </w:rPr>
      </w:pPr>
      <w:r>
        <w:rPr>
          <w:rFonts w:eastAsia="Calibri" w:cstheme="minorHAnsi"/>
          <w:bCs/>
          <w:lang w:val="fr-CH"/>
        </w:rPr>
        <w:t>42</w:t>
      </w:r>
      <w:r w:rsidR="0007746C" w:rsidRPr="009B2514">
        <w:rPr>
          <w:rFonts w:eastAsia="Calibri" w:cstheme="minorHAnsi"/>
          <w:bCs/>
          <w:lang w:val="fr-CH"/>
        </w:rPr>
        <w:t>.</w:t>
      </w:r>
      <w:r w:rsidR="0007746C" w:rsidRPr="009B2514">
        <w:rPr>
          <w:rFonts w:eastAsia="Calibri" w:cstheme="minorHAnsi"/>
          <w:bCs/>
          <w:lang w:val="fr-CH"/>
        </w:rPr>
        <w:tab/>
      </w:r>
      <w:r w:rsidR="0007746C">
        <w:rPr>
          <w:rFonts w:eastAsia="Calibri" w:cstheme="minorHAnsi"/>
          <w:bCs/>
          <w:lang w:val="fr-CH"/>
        </w:rPr>
        <w:t xml:space="preserve">Le Secrétariat présente le </w:t>
      </w:r>
      <w:r w:rsidR="0007746C" w:rsidRPr="009B2514">
        <w:rPr>
          <w:rFonts w:eastAsia="Calibri" w:cstheme="minorHAnsi"/>
          <w:bCs/>
          <w:lang w:val="fr-CH"/>
        </w:rPr>
        <w:t xml:space="preserve">document SC62 Doc.12, </w:t>
      </w:r>
      <w:r w:rsidR="0007746C">
        <w:rPr>
          <w:rFonts w:eastAsia="Calibri" w:cstheme="minorHAnsi"/>
          <w:bCs/>
          <w:lang w:val="fr-CH"/>
        </w:rPr>
        <w:t xml:space="preserve">qui traite, entre autres, de l’instruction à donner au Secrétariat de proposer des approches pour améliorer la collaboration entre les Parties contractantes grâce à des outils en ligne. Il signale les deux options pour les approches suggérées dans le document, la première faisant appel à des outils de collaboration largement utilisés comme </w:t>
      </w:r>
      <w:r w:rsidR="0007746C" w:rsidRPr="009B2514">
        <w:rPr>
          <w:lang w:val="fr-CH"/>
        </w:rPr>
        <w:t xml:space="preserve">SharePoint, </w:t>
      </w:r>
      <w:r w:rsidR="0007746C">
        <w:rPr>
          <w:lang w:val="fr-CH"/>
        </w:rPr>
        <w:t xml:space="preserve">et la deuxième proposant une plateforme sur mesure, intégrée et sécurisée. </w:t>
      </w:r>
    </w:p>
    <w:p w14:paraId="6D11A72E" w14:textId="77777777" w:rsidR="0007746C" w:rsidRPr="00495680" w:rsidRDefault="0007746C" w:rsidP="0007746C">
      <w:pPr>
        <w:spacing w:after="0" w:line="240" w:lineRule="auto"/>
        <w:ind w:left="567" w:hanging="567"/>
        <w:rPr>
          <w:lang w:val="fr-CH"/>
        </w:rPr>
      </w:pPr>
    </w:p>
    <w:p w14:paraId="594788CB" w14:textId="4CDADB22" w:rsidR="0007746C" w:rsidRPr="00495680" w:rsidRDefault="00833202" w:rsidP="0007746C">
      <w:pPr>
        <w:spacing w:after="0" w:line="240" w:lineRule="auto"/>
        <w:ind w:left="567" w:hanging="567"/>
        <w:rPr>
          <w:lang w:val="fr-CH"/>
        </w:rPr>
      </w:pPr>
      <w:r w:rsidRPr="00495680">
        <w:rPr>
          <w:lang w:val="fr-CH"/>
        </w:rPr>
        <w:t>43</w:t>
      </w:r>
      <w:r w:rsidR="0007746C" w:rsidRPr="00495680">
        <w:rPr>
          <w:lang w:val="fr-CH"/>
        </w:rPr>
        <w:t>.</w:t>
      </w:r>
      <w:r w:rsidR="0007746C" w:rsidRPr="00495680">
        <w:rPr>
          <w:lang w:val="fr-CH"/>
        </w:rPr>
        <w:tab/>
        <w:t>De nombreux membres du Comité permanent soutiennent la première approche</w:t>
      </w:r>
      <w:r w:rsidR="0011286D" w:rsidRPr="00495680">
        <w:rPr>
          <w:lang w:val="fr-CH"/>
        </w:rPr>
        <w:t>. Quelques-uns</w:t>
      </w:r>
      <w:r w:rsidR="0007746C" w:rsidRPr="00495680">
        <w:rPr>
          <w:lang w:val="fr-CH"/>
        </w:rPr>
        <w:t xml:space="preserve"> suggèrent d’utiliser un projet d’application pilote dans un groupe de travail spécifique</w:t>
      </w:r>
      <w:r w:rsidR="00DE6B77" w:rsidRPr="00495680">
        <w:rPr>
          <w:lang w:val="fr-CH"/>
        </w:rPr>
        <w:t xml:space="preserve"> à titre d’essai</w:t>
      </w:r>
      <w:r w:rsidR="0007746C" w:rsidRPr="00495680">
        <w:rPr>
          <w:lang w:val="fr-CH"/>
        </w:rPr>
        <w:t xml:space="preserve">, </w:t>
      </w:r>
      <w:r w:rsidR="00DE6B77" w:rsidRPr="00495680">
        <w:rPr>
          <w:lang w:val="fr-CH"/>
        </w:rPr>
        <w:t>tandis que d’autres estiment que la nouvelle méthode de travail doit être appliquée le plus vite possible et pour tous les travaux intersessions en cours de la Convention. Certains représentants sont ouverts à l’idée</w:t>
      </w:r>
      <w:r w:rsidR="0007746C" w:rsidRPr="00495680">
        <w:rPr>
          <w:lang w:val="fr-CH"/>
        </w:rPr>
        <w:t xml:space="preserve"> de considérer éventuellement, à long terme, une plateforme personnalisée.</w:t>
      </w:r>
    </w:p>
    <w:p w14:paraId="2857C1F8" w14:textId="77777777" w:rsidR="0007746C" w:rsidRPr="009B2514" w:rsidRDefault="0007746C" w:rsidP="0007746C">
      <w:pPr>
        <w:spacing w:after="0" w:line="240" w:lineRule="auto"/>
        <w:ind w:left="567" w:hanging="567"/>
        <w:rPr>
          <w:lang w:val="fr-CH"/>
        </w:rPr>
      </w:pPr>
    </w:p>
    <w:p w14:paraId="49B901FD" w14:textId="6E6C6BE8" w:rsidR="0007746C" w:rsidRPr="009B2514" w:rsidRDefault="00DE6B77" w:rsidP="0007746C">
      <w:pPr>
        <w:spacing w:after="0" w:line="240" w:lineRule="auto"/>
        <w:ind w:left="567" w:hanging="567"/>
        <w:rPr>
          <w:lang w:val="fr-CH"/>
        </w:rPr>
      </w:pPr>
      <w:r>
        <w:rPr>
          <w:lang w:val="fr-CH"/>
        </w:rPr>
        <w:t>44</w:t>
      </w:r>
      <w:r w:rsidR="0007746C" w:rsidRPr="009B2514">
        <w:rPr>
          <w:lang w:val="fr-CH"/>
        </w:rPr>
        <w:t>.</w:t>
      </w:r>
      <w:r w:rsidR="0007746C" w:rsidRPr="009B2514">
        <w:rPr>
          <w:lang w:val="fr-CH"/>
        </w:rPr>
        <w:tab/>
      </w:r>
      <w:r w:rsidR="0007746C">
        <w:rPr>
          <w:lang w:val="fr-CH"/>
        </w:rPr>
        <w:t xml:space="preserve">Certains membres du Comité permanent soulignent que les systèmes choisis ne doivent pas remplacer les négociations en personne et doivent refléter les besoins des Parties ayant une plus faible capacité de participation en ligne ; d’autres notent que ces outils en ligne pourraient être une ressource complémentaire et améliorer l’accès virtuel des participants aux négociations. </w:t>
      </w:r>
      <w:r w:rsidR="00495680">
        <w:rPr>
          <w:lang w:val="fr-CH"/>
        </w:rPr>
        <w:t>Par souci de transparence,</w:t>
      </w:r>
      <w:r w:rsidR="0007746C">
        <w:rPr>
          <w:lang w:val="fr-CH"/>
        </w:rPr>
        <w:t xml:space="preserve"> leur application devrait comprendre des versions de documents avec suivi des corrections à titre de référence pour les Parties contractantes</w:t>
      </w:r>
      <w:r w:rsidR="00495680">
        <w:rPr>
          <w:lang w:val="fr-CH"/>
        </w:rPr>
        <w:t> et</w:t>
      </w:r>
      <w:r w:rsidR="0007746C">
        <w:rPr>
          <w:lang w:val="fr-CH"/>
        </w:rPr>
        <w:t xml:space="preserve"> la mise en œuvre permanente d’outils en ligne devrait tenir compte des difficultés rencontrées par les Parties contractantes. </w:t>
      </w:r>
      <w:r w:rsidR="0007746C" w:rsidRPr="009B2514">
        <w:rPr>
          <w:lang w:val="fr-CH"/>
        </w:rPr>
        <w:t xml:space="preserve"> </w:t>
      </w:r>
    </w:p>
    <w:p w14:paraId="598E17E8" w14:textId="77777777" w:rsidR="0007746C" w:rsidRPr="00495680" w:rsidRDefault="0007746C" w:rsidP="0007746C">
      <w:pPr>
        <w:spacing w:after="0" w:line="240" w:lineRule="auto"/>
        <w:ind w:left="567" w:hanging="567"/>
        <w:rPr>
          <w:lang w:val="fr-CH"/>
        </w:rPr>
      </w:pPr>
    </w:p>
    <w:p w14:paraId="3B3806AF" w14:textId="33274A99" w:rsidR="0007746C" w:rsidRPr="00495680" w:rsidRDefault="0007746C" w:rsidP="0007746C">
      <w:pPr>
        <w:spacing w:after="0" w:line="240" w:lineRule="auto"/>
        <w:ind w:left="567" w:hanging="567"/>
        <w:rPr>
          <w:lang w:val="fr-CH"/>
        </w:rPr>
      </w:pPr>
      <w:r w:rsidRPr="00495680">
        <w:rPr>
          <w:lang w:val="fr-CH"/>
        </w:rPr>
        <w:t>4</w:t>
      </w:r>
      <w:r w:rsidR="00DE6B77" w:rsidRPr="00495680">
        <w:rPr>
          <w:lang w:val="fr-CH"/>
        </w:rPr>
        <w:t>5</w:t>
      </w:r>
      <w:r w:rsidRPr="00495680">
        <w:rPr>
          <w:lang w:val="fr-CH"/>
        </w:rPr>
        <w:t>.</w:t>
      </w:r>
      <w:r w:rsidRPr="00495680">
        <w:rPr>
          <w:lang w:val="fr-CH"/>
        </w:rPr>
        <w:tab/>
        <w:t>Un membre du Comité permanent suggère de rester prudents dans la conclusion d’accords sur l’utilisation de systèmes plus personnalisés, notant le risque d’incidences budgétaires permanentes.</w:t>
      </w:r>
      <w:r w:rsidR="00DE6B77" w:rsidRPr="00495680">
        <w:rPr>
          <w:lang w:val="fr-CH"/>
        </w:rPr>
        <w:t xml:space="preserve"> Un autre indique que si l’on décide de mettre en place un tel système, cela pourrait se faire en coopération avec d’autres conventions de sorte que les coûts puissent être partagés.</w:t>
      </w:r>
      <w:r w:rsidRPr="00495680">
        <w:rPr>
          <w:lang w:val="fr-CH"/>
        </w:rPr>
        <w:t xml:space="preserve"> </w:t>
      </w:r>
    </w:p>
    <w:p w14:paraId="6F653486" w14:textId="77777777" w:rsidR="0007746C" w:rsidRPr="009B2514" w:rsidRDefault="0007746C" w:rsidP="0007746C">
      <w:pPr>
        <w:spacing w:after="0" w:line="240" w:lineRule="auto"/>
        <w:ind w:left="567" w:hanging="567"/>
        <w:rPr>
          <w:lang w:val="fr-CH"/>
        </w:rPr>
      </w:pPr>
    </w:p>
    <w:p w14:paraId="189CE76D" w14:textId="3E01CC5B" w:rsidR="0007746C" w:rsidRPr="009B2514" w:rsidRDefault="00DE6B77" w:rsidP="0007746C">
      <w:pPr>
        <w:spacing w:after="0" w:line="240" w:lineRule="auto"/>
        <w:ind w:left="567" w:hanging="567"/>
        <w:rPr>
          <w:lang w:val="fr-CH"/>
        </w:rPr>
      </w:pPr>
      <w:r>
        <w:rPr>
          <w:lang w:val="fr-CH"/>
        </w:rPr>
        <w:t>46</w:t>
      </w:r>
      <w:r w:rsidR="0007746C" w:rsidRPr="009B2514">
        <w:rPr>
          <w:lang w:val="fr-CH"/>
        </w:rPr>
        <w:t>.</w:t>
      </w:r>
      <w:r w:rsidR="0007746C" w:rsidRPr="009B2514">
        <w:rPr>
          <w:lang w:val="fr-CH"/>
        </w:rPr>
        <w:tab/>
      </w:r>
      <w:r w:rsidR="0007746C">
        <w:rPr>
          <w:lang w:val="fr-CH"/>
        </w:rPr>
        <w:t>L’Australie, le Brésil, la Colombie, le</w:t>
      </w:r>
      <w:r w:rsidR="0007746C" w:rsidRPr="009B2514">
        <w:rPr>
          <w:lang w:val="fr-CH"/>
        </w:rPr>
        <w:t xml:space="preserve"> Costa Rica, </w:t>
      </w:r>
      <w:r w:rsidR="0007746C">
        <w:rPr>
          <w:lang w:val="fr-CH"/>
        </w:rPr>
        <w:t>les Émirats arabes unis, l’</w:t>
      </w:r>
      <w:r w:rsidR="0007746C" w:rsidRPr="009B2514">
        <w:rPr>
          <w:lang w:val="fr-CH"/>
        </w:rPr>
        <w:t>Iran (</w:t>
      </w:r>
      <w:r w:rsidR="0007746C">
        <w:rPr>
          <w:lang w:val="fr-CH"/>
        </w:rPr>
        <w:t>République islamique d’), le Royaume-Uni de Grande-Bretagne et d’Irlande du Nord et la Suède interviennent dans la discussion.</w:t>
      </w:r>
    </w:p>
    <w:p w14:paraId="5667060E" w14:textId="77777777" w:rsidR="0007746C" w:rsidRPr="00495680" w:rsidRDefault="0007746C" w:rsidP="0007746C">
      <w:pPr>
        <w:spacing w:after="0" w:line="240" w:lineRule="auto"/>
        <w:ind w:left="567" w:hanging="567"/>
        <w:rPr>
          <w:rFonts w:eastAsia="Calibri" w:cstheme="minorHAnsi"/>
          <w:bCs/>
          <w:lang w:val="fr-CH"/>
        </w:rPr>
      </w:pPr>
    </w:p>
    <w:p w14:paraId="49602F89" w14:textId="7BB51E16" w:rsidR="0007746C" w:rsidRPr="009B2514" w:rsidRDefault="0007746C" w:rsidP="0007746C">
      <w:pPr>
        <w:spacing w:after="0" w:line="240" w:lineRule="auto"/>
        <w:contextualSpacing/>
        <w:rPr>
          <w:rFonts w:eastAsia="Calibri" w:cstheme="minorHAnsi"/>
          <w:bCs/>
          <w:lang w:val="fr-CH"/>
        </w:rPr>
      </w:pPr>
      <w:bookmarkStart w:id="1" w:name="_Hlk144886658"/>
      <w:r w:rsidRPr="00495680">
        <w:rPr>
          <w:rFonts w:cstheme="minorHAnsi"/>
          <w:b/>
          <w:lang w:val="fr-CH"/>
        </w:rPr>
        <w:t>Décision SC62-18 : Le Comité permanent donne instruction au Secrétariat de suivre l’approche 1 telle qu’elle est définie dans le document SC62 Doc.12, en utilisant les outils existants pour préparer un plan qui sera présenté à la 63</w:t>
      </w:r>
      <w:r w:rsidRPr="00495680">
        <w:rPr>
          <w:rFonts w:cstheme="minorHAnsi"/>
          <w:b/>
          <w:vertAlign w:val="superscript"/>
          <w:lang w:val="fr-CH"/>
        </w:rPr>
        <w:t>e</w:t>
      </w:r>
      <w:r w:rsidRPr="00495680">
        <w:rPr>
          <w:rFonts w:cstheme="minorHAnsi"/>
          <w:b/>
          <w:lang w:val="fr-CH"/>
        </w:rPr>
        <w:t xml:space="preserve"> Réunion du Comité permanent, </w:t>
      </w:r>
      <w:r w:rsidR="00DE6B77" w:rsidRPr="00495680">
        <w:rPr>
          <w:rFonts w:cstheme="minorHAnsi"/>
          <w:b/>
          <w:lang w:val="fr-CH"/>
        </w:rPr>
        <w:t>reconnaissant que la mise en œuvre de ces outils ne devrait pas remplacer les négociations en personne et notant</w:t>
      </w:r>
      <w:r w:rsidRPr="00495680">
        <w:rPr>
          <w:rFonts w:cstheme="minorHAnsi"/>
          <w:b/>
          <w:lang w:val="fr-CH"/>
        </w:rPr>
        <w:t xml:space="preserve"> qu’après une phase pilote, d’autres discussions auront lieu afin d’affiner le processus</w:t>
      </w:r>
      <w:r>
        <w:rPr>
          <w:rFonts w:cstheme="minorHAnsi"/>
          <w:b/>
          <w:lang w:val="fr-CH"/>
        </w:rPr>
        <w:t xml:space="preserve">. </w:t>
      </w:r>
    </w:p>
    <w:bookmarkEnd w:id="1"/>
    <w:p w14:paraId="0A0C7C8E" w14:textId="77777777" w:rsidR="0007746C" w:rsidRPr="001F785D" w:rsidRDefault="0007746C" w:rsidP="0007746C">
      <w:pPr>
        <w:keepNext/>
        <w:spacing w:after="0" w:line="240" w:lineRule="auto"/>
        <w:rPr>
          <w:rFonts w:cstheme="minorHAnsi"/>
          <w:lang w:val="fr-FR"/>
        </w:rPr>
      </w:pPr>
    </w:p>
    <w:p w14:paraId="1C1308A3"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0C1AD4">
        <w:rPr>
          <w:rFonts w:cstheme="minorHAnsi"/>
          <w:bCs/>
          <w:lang w:val="fr-FR"/>
        </w:rPr>
        <w:t xml:space="preserve">Point 14 de l’ordre du jour : </w:t>
      </w:r>
      <w:bookmarkStart w:id="2" w:name="_Hlk144967084"/>
      <w:r w:rsidRPr="000C1AD4">
        <w:rPr>
          <w:lang w:val="fr-FR"/>
        </w:rPr>
        <w:t>Renforcer la visibilité de la Convention et les synergies en partenariat</w:t>
      </w:r>
    </w:p>
    <w:p w14:paraId="213F1FC5"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lang w:val="fr-FR"/>
        </w:rPr>
        <w:t>avec les accords multilatéraux sur l’environnement et d’autres</w:t>
      </w:r>
      <w:r>
        <w:rPr>
          <w:lang w:val="fr-FR"/>
        </w:rPr>
        <w:t xml:space="preserve"> </w:t>
      </w:r>
      <w:r w:rsidRPr="000C1AD4">
        <w:rPr>
          <w:lang w:val="fr-FR"/>
        </w:rPr>
        <w:t>institutions internationales</w:t>
      </w:r>
    </w:p>
    <w:bookmarkEnd w:id="2"/>
    <w:p w14:paraId="0DB29825" w14:textId="77777777" w:rsidR="0007746C" w:rsidRPr="000C1AD4" w:rsidRDefault="0007746C" w:rsidP="0007746C">
      <w:pPr>
        <w:spacing w:after="0" w:line="240" w:lineRule="auto"/>
        <w:rPr>
          <w:lang w:val="fr-FR"/>
        </w:rPr>
      </w:pPr>
    </w:p>
    <w:p w14:paraId="1783732C" w14:textId="0E67D9A6" w:rsidR="0007746C" w:rsidRPr="00CB1E77" w:rsidRDefault="00DE6B77" w:rsidP="0007746C">
      <w:pPr>
        <w:spacing w:after="0" w:line="240" w:lineRule="auto"/>
        <w:ind w:left="567" w:hanging="567"/>
        <w:rPr>
          <w:rFonts w:eastAsia="Calibri" w:cstheme="minorHAnsi"/>
          <w:bCs/>
          <w:i/>
          <w:iCs/>
          <w:lang w:val="fr-FR"/>
        </w:rPr>
      </w:pPr>
      <w:r>
        <w:rPr>
          <w:lang w:val="fr-FR"/>
        </w:rPr>
        <w:t>47</w:t>
      </w:r>
      <w:r w:rsidR="0007746C" w:rsidRPr="00CB1E77">
        <w:rPr>
          <w:lang w:val="fr-FR"/>
        </w:rPr>
        <w:t>.</w:t>
      </w:r>
      <w:r w:rsidR="0007746C" w:rsidRPr="00CB1E77">
        <w:rPr>
          <w:lang w:val="fr-FR"/>
        </w:rPr>
        <w:tab/>
      </w:r>
      <w:r w:rsidR="0007746C" w:rsidRPr="000825F7">
        <w:rPr>
          <w:rFonts w:eastAsia="Calibri" w:cstheme="minorHAnsi"/>
          <w:bCs/>
          <w:lang w:val="fr-FR"/>
        </w:rPr>
        <w:t>Le Secrétariat présente le document SC62 Doc.14</w:t>
      </w:r>
      <w:r w:rsidR="0007746C" w:rsidRPr="000825F7">
        <w:rPr>
          <w:rFonts w:eastAsia="Calibri" w:cstheme="minorHAnsi"/>
          <w:bCs/>
          <w:i/>
          <w:iCs/>
          <w:lang w:val="fr-FR"/>
        </w:rPr>
        <w:t>.</w:t>
      </w:r>
    </w:p>
    <w:p w14:paraId="28E62D83" w14:textId="77777777" w:rsidR="0007746C" w:rsidRPr="007F1EA6" w:rsidRDefault="0007746C" w:rsidP="0007746C">
      <w:pPr>
        <w:spacing w:after="0" w:line="240" w:lineRule="auto"/>
        <w:ind w:left="567" w:hanging="567"/>
        <w:rPr>
          <w:lang w:val="fr-FR"/>
        </w:rPr>
      </w:pPr>
    </w:p>
    <w:p w14:paraId="216CBBDB" w14:textId="29B24A2D" w:rsidR="0007746C" w:rsidRPr="003F76B7" w:rsidRDefault="00DE6B77" w:rsidP="0007746C">
      <w:pPr>
        <w:spacing w:after="0" w:line="240" w:lineRule="auto"/>
        <w:ind w:left="567" w:hanging="567"/>
        <w:rPr>
          <w:lang w:val="fr-CH"/>
        </w:rPr>
      </w:pPr>
      <w:r>
        <w:rPr>
          <w:lang w:val="fr-CH"/>
        </w:rPr>
        <w:t>48</w:t>
      </w:r>
      <w:r w:rsidR="0007746C" w:rsidRPr="003F76B7">
        <w:rPr>
          <w:lang w:val="fr-CH"/>
        </w:rPr>
        <w:t>.</w:t>
      </w:r>
      <w:r w:rsidR="0007746C" w:rsidRPr="003F76B7">
        <w:rPr>
          <w:lang w:val="fr-CH"/>
        </w:rPr>
        <w:tab/>
      </w:r>
      <w:r w:rsidR="0007746C">
        <w:rPr>
          <w:lang w:val="fr-CH"/>
        </w:rPr>
        <w:t>Les membres du Comité permanent remercient le Secrétariat pour ses travaux en vue de renforcer la visibilité et l’impact de la Convention.</w:t>
      </w:r>
    </w:p>
    <w:p w14:paraId="636F7C0D" w14:textId="77777777" w:rsidR="0007746C" w:rsidRPr="003F76B7" w:rsidRDefault="0007746C" w:rsidP="0007746C">
      <w:pPr>
        <w:spacing w:after="0" w:line="240" w:lineRule="auto"/>
        <w:ind w:left="567" w:hanging="567"/>
        <w:rPr>
          <w:lang w:val="fr-CH"/>
        </w:rPr>
      </w:pPr>
    </w:p>
    <w:p w14:paraId="46F6E11A" w14:textId="599A2C36" w:rsidR="0007746C" w:rsidRPr="003F76B7" w:rsidRDefault="00DE6B77" w:rsidP="0007746C">
      <w:pPr>
        <w:spacing w:after="0" w:line="240" w:lineRule="auto"/>
        <w:ind w:left="567" w:hanging="567"/>
        <w:rPr>
          <w:lang w:val="fr-CH"/>
        </w:rPr>
      </w:pPr>
      <w:r>
        <w:rPr>
          <w:lang w:val="fr-CH"/>
        </w:rPr>
        <w:t>49</w:t>
      </w:r>
      <w:r w:rsidR="0007746C" w:rsidRPr="003F76B7">
        <w:rPr>
          <w:lang w:val="fr-CH"/>
        </w:rPr>
        <w:t>.</w:t>
      </w:r>
      <w:r w:rsidR="0007746C" w:rsidRPr="003F76B7">
        <w:rPr>
          <w:lang w:val="fr-CH"/>
        </w:rPr>
        <w:tab/>
      </w:r>
      <w:r w:rsidR="0007746C">
        <w:rPr>
          <w:lang w:val="fr-CH"/>
        </w:rPr>
        <w:t xml:space="preserve">Le </w:t>
      </w:r>
      <w:r w:rsidR="0007746C" w:rsidRPr="003F76B7">
        <w:rPr>
          <w:lang w:val="fr-CH"/>
        </w:rPr>
        <w:t xml:space="preserve">Burkina Faso </w:t>
      </w:r>
      <w:r w:rsidR="0007746C">
        <w:rPr>
          <w:lang w:val="fr-CH"/>
        </w:rPr>
        <w:t xml:space="preserve">lit à haute voix une déclaration du Gabon présentant le </w:t>
      </w:r>
      <w:r w:rsidR="0007746C" w:rsidRPr="000825F7">
        <w:rPr>
          <w:lang w:val="fr-CH"/>
        </w:rPr>
        <w:t>Défi de l’eau douce et invitant le Comité permanent à exprimer son appui. Le Défi de l’eau douce</w:t>
      </w:r>
      <w:r w:rsidR="0007746C">
        <w:rPr>
          <w:lang w:val="fr-CH"/>
        </w:rPr>
        <w:t xml:space="preserve"> a été lancé par plusieurs Parties à la Convention, à l’occasion de la Conférence des Nations Unies sur l’eau, en mars 2023, dans le but d’inclure des objectifs quantitatifs pour les zones humides dans les cadres et processus plus généraux et de mobiliser les ressources pour la protection des zones humides. Le Président de la Conférence des Nations Unies sur le climat (2023) a sélectionné le Défi comme l’un des résultats du Programme sur l’eau qui sera lancé à la réunion. Les Parties sont encouragées à se joindre à l’initiative et à collaborer à </w:t>
      </w:r>
      <w:r w:rsidR="00495680">
        <w:rPr>
          <w:lang w:val="fr-CH"/>
        </w:rPr>
        <w:t>la rédaction de</w:t>
      </w:r>
      <w:r w:rsidR="0007746C">
        <w:rPr>
          <w:lang w:val="fr-CH"/>
        </w:rPr>
        <w:t xml:space="preserve"> résolutions sur le sujet pour la COP15. De nombreux membres du Comité permanent expriment leur appui </w:t>
      </w:r>
      <w:r w:rsidR="0007746C" w:rsidRPr="000825F7">
        <w:rPr>
          <w:lang w:val="fr-CH"/>
        </w:rPr>
        <w:t>au Défi de l’eau douce,</w:t>
      </w:r>
      <w:r w:rsidR="0007746C">
        <w:rPr>
          <w:lang w:val="fr-CH"/>
        </w:rPr>
        <w:t xml:space="preserve"> invitant les Parties contractantes </w:t>
      </w:r>
      <w:r w:rsidR="003A7503">
        <w:rPr>
          <w:lang w:val="fr-CH"/>
        </w:rPr>
        <w:t>ne l’ayant</w:t>
      </w:r>
      <w:r w:rsidR="0007746C">
        <w:rPr>
          <w:lang w:val="fr-CH"/>
        </w:rPr>
        <w:t xml:space="preserve"> pas encore fait à s’y joindre et suggérant que la </w:t>
      </w:r>
      <w:r w:rsidR="0007746C" w:rsidRPr="003F76B7">
        <w:rPr>
          <w:lang w:val="fr-CH"/>
        </w:rPr>
        <w:t xml:space="preserve">Convention </w:t>
      </w:r>
      <w:r w:rsidR="0007746C">
        <w:rPr>
          <w:lang w:val="fr-CH"/>
        </w:rPr>
        <w:t xml:space="preserve">s’engage davantage dans l’initiative. Un membre du Comité </w:t>
      </w:r>
      <w:r w:rsidR="0007746C" w:rsidRPr="00495680">
        <w:rPr>
          <w:lang w:val="fr-CH"/>
        </w:rPr>
        <w:t xml:space="preserve">permanent </w:t>
      </w:r>
      <w:r w:rsidR="00495680" w:rsidRPr="00495680">
        <w:rPr>
          <w:lang w:val="fr-CH"/>
        </w:rPr>
        <w:t>observe</w:t>
      </w:r>
      <w:r w:rsidR="0007746C" w:rsidRPr="00495680">
        <w:rPr>
          <w:lang w:val="fr-CH"/>
        </w:rPr>
        <w:t xml:space="preserve"> que </w:t>
      </w:r>
      <w:r w:rsidR="0007746C">
        <w:rPr>
          <w:lang w:val="fr-CH"/>
        </w:rPr>
        <w:t>toutes les Parties contractantes ne soutiennent pas cette initiative.</w:t>
      </w:r>
      <w:r w:rsidR="0007746C" w:rsidRPr="003F76B7">
        <w:rPr>
          <w:lang w:val="fr-CH"/>
        </w:rPr>
        <w:t xml:space="preserve">   </w:t>
      </w:r>
    </w:p>
    <w:p w14:paraId="08268F3F" w14:textId="77777777" w:rsidR="0007746C" w:rsidRPr="003F76B7" w:rsidRDefault="0007746C" w:rsidP="0007746C">
      <w:pPr>
        <w:spacing w:after="0" w:line="240" w:lineRule="auto"/>
        <w:ind w:left="567" w:hanging="567"/>
        <w:rPr>
          <w:lang w:val="fr-CH"/>
        </w:rPr>
      </w:pPr>
    </w:p>
    <w:p w14:paraId="4A520D79" w14:textId="0F44A4F4" w:rsidR="0007746C" w:rsidRPr="003F76B7" w:rsidRDefault="003A7503" w:rsidP="0007746C">
      <w:pPr>
        <w:spacing w:after="0" w:line="240" w:lineRule="auto"/>
        <w:ind w:left="567" w:hanging="567"/>
        <w:rPr>
          <w:lang w:val="fr-CH"/>
        </w:rPr>
      </w:pPr>
      <w:r>
        <w:rPr>
          <w:lang w:val="fr-CH"/>
        </w:rPr>
        <w:t>50</w:t>
      </w:r>
      <w:r w:rsidR="0007746C" w:rsidRPr="003F76B7">
        <w:rPr>
          <w:lang w:val="fr-CH"/>
        </w:rPr>
        <w:t>.</w:t>
      </w:r>
      <w:r w:rsidR="0007746C" w:rsidRPr="003F76B7">
        <w:rPr>
          <w:lang w:val="fr-CH"/>
        </w:rPr>
        <w:tab/>
      </w:r>
      <w:r w:rsidR="0007746C">
        <w:rPr>
          <w:lang w:val="fr-CH"/>
        </w:rPr>
        <w:t>D’autres membres du Comité permanent et organisations soulignent les possibilités de développer encore des synergies avec </w:t>
      </w:r>
      <w:r w:rsidR="0007746C" w:rsidRPr="000825F7">
        <w:rPr>
          <w:lang w:val="fr-CH"/>
        </w:rPr>
        <w:t>: la Convention relative à la conservation de la vie sauvage et du milieu naturel de l'Europe (Convention de Berne) ; l’Organisation du traité de coopération amazonienne (OTCA)</w:t>
      </w:r>
      <w:r w:rsidR="0007746C" w:rsidRPr="003F76B7">
        <w:rPr>
          <w:lang w:val="fr-CH"/>
        </w:rPr>
        <w:t xml:space="preserve">, </w:t>
      </w:r>
      <w:r w:rsidR="0007746C">
        <w:rPr>
          <w:lang w:val="fr-CH"/>
        </w:rPr>
        <w:t xml:space="preserve">en particulier son Sommet sur l’Amazone en août 2023 et la déclaration qui en a résulté ; le </w:t>
      </w:r>
      <w:r w:rsidR="0007746C" w:rsidRPr="00F4523E">
        <w:rPr>
          <w:lang w:val="fr-CH"/>
        </w:rPr>
        <w:t xml:space="preserve">Mémorandum d’Entente sur la conservation des oiseaux de proie migrateurs d’Afrique et d’Eurasie (MdE Rapaces) de la Convention sur les espèces migratrices (CMS) ; le Groupe d’experts </w:t>
      </w:r>
      <w:r w:rsidR="0007746C" w:rsidRPr="00495680">
        <w:rPr>
          <w:lang w:val="fr-CH"/>
        </w:rPr>
        <w:t>intergouvernemental sur l’évolution du climat (GIEC) sur les travaux relatifs aux écosystèmes de carbone bleu ; la Convention sur la diversité biologique, avec le Cadre mondial de la biodiversité</w:t>
      </w:r>
      <w:r w:rsidRPr="00495680">
        <w:rPr>
          <w:lang w:val="fr-CH"/>
        </w:rPr>
        <w:t xml:space="preserve"> de Kunming à Montréal (CMB)</w:t>
      </w:r>
      <w:r w:rsidR="0007746C" w:rsidRPr="00495680">
        <w:rPr>
          <w:lang w:val="fr-CH"/>
        </w:rPr>
        <w:t>, mettant également en lumière le Forum mondial du littoral ; le Traité international sur les ressources phytogénétiques pour l’alimentation et l’agriculture (TIRPAA) </w:t>
      </w:r>
      <w:r w:rsidR="0007746C" w:rsidRPr="00F4523E">
        <w:rPr>
          <w:lang w:val="fr-CH"/>
        </w:rPr>
        <w:t>; et la Convention sur la protection et l'utilisation des cours d'eau transfrontières et des lacs internationaux (Convention sur l'eau)</w:t>
      </w:r>
      <w:r w:rsidR="0007746C" w:rsidRPr="003F76B7">
        <w:rPr>
          <w:lang w:val="fr-CH"/>
        </w:rPr>
        <w:t xml:space="preserve">. </w:t>
      </w:r>
      <w:r w:rsidR="0007746C">
        <w:rPr>
          <w:lang w:val="fr-CH"/>
        </w:rPr>
        <w:t xml:space="preserve">Le Président du GEST rappelle les tâches du </w:t>
      </w:r>
      <w:r w:rsidR="00495680">
        <w:rPr>
          <w:lang w:val="fr-CH"/>
        </w:rPr>
        <w:t>G</w:t>
      </w:r>
      <w:r w:rsidR="0007746C">
        <w:rPr>
          <w:lang w:val="fr-CH"/>
        </w:rPr>
        <w:t xml:space="preserve">roupe en collaboration avec le GIEC. </w:t>
      </w:r>
      <w:r w:rsidR="0007746C" w:rsidRPr="003F76B7">
        <w:rPr>
          <w:lang w:val="fr-CH"/>
        </w:rPr>
        <w:t xml:space="preserve">Youth Engaged in Wetlands </w:t>
      </w:r>
      <w:r w:rsidR="0007746C">
        <w:rPr>
          <w:lang w:val="fr-CH"/>
        </w:rPr>
        <w:t>insiste sur la possibilité de collaborer avec la société civile au sens large.</w:t>
      </w:r>
    </w:p>
    <w:p w14:paraId="48DBAD87" w14:textId="77777777" w:rsidR="0007746C" w:rsidRPr="003F76B7" w:rsidRDefault="0007746C" w:rsidP="0007746C">
      <w:pPr>
        <w:spacing w:after="0" w:line="240" w:lineRule="auto"/>
        <w:ind w:left="567" w:hanging="567"/>
        <w:rPr>
          <w:lang w:val="fr-CH"/>
        </w:rPr>
      </w:pPr>
    </w:p>
    <w:p w14:paraId="2E9CF454" w14:textId="19ABC4DE" w:rsidR="0007746C" w:rsidRPr="003F76B7" w:rsidRDefault="003A7503" w:rsidP="0007746C">
      <w:pPr>
        <w:spacing w:after="0" w:line="240" w:lineRule="auto"/>
        <w:ind w:left="567" w:hanging="567"/>
        <w:rPr>
          <w:lang w:val="fr-CH"/>
        </w:rPr>
      </w:pPr>
      <w:r>
        <w:rPr>
          <w:lang w:val="fr-CH"/>
        </w:rPr>
        <w:t>51</w:t>
      </w:r>
      <w:r w:rsidR="0007746C" w:rsidRPr="003F76B7">
        <w:rPr>
          <w:lang w:val="fr-CH"/>
        </w:rPr>
        <w:t>.</w:t>
      </w:r>
      <w:r w:rsidR="0007746C" w:rsidRPr="003F76B7">
        <w:rPr>
          <w:lang w:val="fr-CH"/>
        </w:rPr>
        <w:tab/>
      </w:r>
      <w:r w:rsidR="0007746C">
        <w:rPr>
          <w:lang w:val="fr-CH"/>
        </w:rPr>
        <w:t>Un membre du Comité permanent fait observer qu’il est parfois difficile d’accéder à l’appui et à l’engagement des OIP de la Convention.</w:t>
      </w:r>
    </w:p>
    <w:p w14:paraId="5655FDA6" w14:textId="77777777" w:rsidR="0007746C" w:rsidRPr="003F76B7" w:rsidRDefault="0007746C" w:rsidP="0007746C">
      <w:pPr>
        <w:spacing w:after="0" w:line="240" w:lineRule="auto"/>
        <w:ind w:left="567" w:hanging="567"/>
        <w:rPr>
          <w:lang w:val="fr-CH"/>
        </w:rPr>
      </w:pPr>
    </w:p>
    <w:p w14:paraId="3BF0BFEB" w14:textId="72374BAA" w:rsidR="0007746C" w:rsidRPr="003F76B7" w:rsidRDefault="00E2797C" w:rsidP="0007746C">
      <w:pPr>
        <w:spacing w:after="0" w:line="240" w:lineRule="auto"/>
        <w:ind w:left="567" w:hanging="567"/>
        <w:rPr>
          <w:lang w:val="fr-CH"/>
        </w:rPr>
      </w:pPr>
      <w:r>
        <w:rPr>
          <w:lang w:val="fr-CH"/>
        </w:rPr>
        <w:t>52</w:t>
      </w:r>
      <w:r w:rsidR="0007746C" w:rsidRPr="003F76B7">
        <w:rPr>
          <w:lang w:val="fr-CH"/>
        </w:rPr>
        <w:t>.</w:t>
      </w:r>
      <w:r w:rsidR="0007746C" w:rsidRPr="003F76B7">
        <w:rPr>
          <w:lang w:val="fr-CH"/>
        </w:rPr>
        <w:tab/>
      </w:r>
      <w:r w:rsidR="0007746C">
        <w:rPr>
          <w:lang w:val="fr-CH"/>
        </w:rPr>
        <w:t xml:space="preserve">Le </w:t>
      </w:r>
      <w:r w:rsidR="0007746C" w:rsidRPr="003F76B7">
        <w:rPr>
          <w:lang w:val="fr-CH"/>
        </w:rPr>
        <w:t xml:space="preserve">Botswana, </w:t>
      </w:r>
      <w:r w:rsidR="0007746C">
        <w:rPr>
          <w:lang w:val="fr-CH"/>
        </w:rPr>
        <w:t xml:space="preserve">le Brésil, le </w:t>
      </w:r>
      <w:r w:rsidR="0007746C" w:rsidRPr="003F76B7">
        <w:rPr>
          <w:lang w:val="fr-CH"/>
        </w:rPr>
        <w:t xml:space="preserve">Burkina Faso </w:t>
      </w:r>
      <w:r w:rsidR="0007746C">
        <w:rPr>
          <w:lang w:val="fr-CH"/>
        </w:rPr>
        <w:t>au nom du Gabon, le</w:t>
      </w:r>
      <w:r w:rsidR="0007746C" w:rsidRPr="003F76B7">
        <w:rPr>
          <w:lang w:val="fr-CH"/>
        </w:rPr>
        <w:t xml:space="preserve"> Burkina Faso </w:t>
      </w:r>
      <w:r w:rsidR="0007746C">
        <w:rPr>
          <w:lang w:val="fr-CH"/>
        </w:rPr>
        <w:t xml:space="preserve">au nom des Parties d’Afrique de l’Ouest, le Canada au nom du Mexique, la Chine, le </w:t>
      </w:r>
      <w:r w:rsidR="0007746C" w:rsidRPr="003F76B7">
        <w:rPr>
          <w:lang w:val="fr-CH"/>
        </w:rPr>
        <w:t xml:space="preserve">Costa Rica, </w:t>
      </w:r>
      <w:r w:rsidR="0007746C">
        <w:rPr>
          <w:lang w:val="fr-CH"/>
        </w:rPr>
        <w:t>les Émirats arabes unis, les États</w:t>
      </w:r>
      <w:r w:rsidR="0007746C">
        <w:rPr>
          <w:lang w:val="fr-CH"/>
        </w:rPr>
        <w:noBreakHyphen/>
        <w:t xml:space="preserve">Unis d’Amérique, la </w:t>
      </w:r>
      <w:r w:rsidR="0007746C" w:rsidRPr="003F76B7">
        <w:rPr>
          <w:lang w:val="fr-CH"/>
        </w:rPr>
        <w:t>Finland</w:t>
      </w:r>
      <w:r w:rsidR="0007746C">
        <w:rPr>
          <w:lang w:val="fr-CH"/>
        </w:rPr>
        <w:t>e</w:t>
      </w:r>
      <w:r w:rsidR="0007746C" w:rsidRPr="003F76B7">
        <w:rPr>
          <w:lang w:val="fr-CH"/>
        </w:rPr>
        <w:t xml:space="preserve">, </w:t>
      </w:r>
      <w:r w:rsidR="0007746C">
        <w:rPr>
          <w:lang w:val="fr-CH"/>
        </w:rPr>
        <w:t>la Géorgie, la Slovaquie, le Zimbabwe</w:t>
      </w:r>
      <w:r>
        <w:rPr>
          <w:lang w:val="fr-CH"/>
        </w:rPr>
        <w:t>,</w:t>
      </w:r>
      <w:r w:rsidR="0007746C">
        <w:rPr>
          <w:lang w:val="fr-CH"/>
        </w:rPr>
        <w:t xml:space="preserve"> la Commission économique des Nations Unies pour l’Europe (CEE</w:t>
      </w:r>
      <w:r w:rsidR="0007746C">
        <w:rPr>
          <w:lang w:val="fr-CH"/>
        </w:rPr>
        <w:noBreakHyphen/>
        <w:t xml:space="preserve">ONU), le Programme des Nations Unies pour l’environnement (PNUE), </w:t>
      </w:r>
      <w:r w:rsidR="0007746C" w:rsidRPr="003F76B7">
        <w:rPr>
          <w:lang w:val="fr-CH"/>
        </w:rPr>
        <w:t xml:space="preserve">Wildfowl &amp; Wetlands Trust (WWT) </w:t>
      </w:r>
      <w:r w:rsidR="0007746C">
        <w:rPr>
          <w:lang w:val="fr-CH"/>
        </w:rPr>
        <w:t>et</w:t>
      </w:r>
      <w:r w:rsidR="0007746C" w:rsidRPr="003F76B7">
        <w:rPr>
          <w:lang w:val="fr-CH"/>
        </w:rPr>
        <w:t xml:space="preserve"> Youth Engaged in Wetlands</w:t>
      </w:r>
      <w:r w:rsidR="0007746C">
        <w:rPr>
          <w:lang w:val="fr-CH"/>
        </w:rPr>
        <w:t xml:space="preserve"> interviennent dans la discussion</w:t>
      </w:r>
      <w:r w:rsidR="0007746C" w:rsidRPr="003F76B7">
        <w:rPr>
          <w:lang w:val="fr-CH"/>
        </w:rPr>
        <w:t>.</w:t>
      </w:r>
    </w:p>
    <w:p w14:paraId="1DFF6274" w14:textId="77777777" w:rsidR="0007746C" w:rsidRPr="003F76B7" w:rsidRDefault="0007746C" w:rsidP="0007746C">
      <w:pPr>
        <w:spacing w:after="0" w:line="240" w:lineRule="auto"/>
        <w:ind w:left="720" w:hanging="720"/>
        <w:rPr>
          <w:rFonts w:cstheme="minorHAnsi"/>
          <w:b/>
          <w:lang w:val="fr-CH"/>
        </w:rPr>
      </w:pPr>
    </w:p>
    <w:p w14:paraId="6970CBF0" w14:textId="77777777" w:rsidR="0007746C" w:rsidRPr="003F76B7" w:rsidRDefault="0007746C" w:rsidP="0007746C">
      <w:pPr>
        <w:spacing w:after="0" w:line="240" w:lineRule="auto"/>
        <w:contextualSpacing/>
        <w:rPr>
          <w:rFonts w:eastAsia="Calibri" w:cstheme="minorHAnsi"/>
          <w:bCs/>
          <w:lang w:val="fr-CH"/>
        </w:rPr>
      </w:pPr>
      <w:r w:rsidRPr="003F76B7">
        <w:rPr>
          <w:rFonts w:cstheme="minorHAnsi"/>
          <w:b/>
          <w:lang w:val="fr-CH"/>
        </w:rPr>
        <w:t>Décision SC62-19</w:t>
      </w:r>
      <w:r>
        <w:rPr>
          <w:rFonts w:cstheme="minorHAnsi"/>
          <w:b/>
          <w:lang w:val="fr-CH"/>
        </w:rPr>
        <w:t xml:space="preserve"> </w:t>
      </w:r>
      <w:r w:rsidRPr="003F76B7">
        <w:rPr>
          <w:rFonts w:cstheme="minorHAnsi"/>
          <w:b/>
          <w:lang w:val="fr-CH"/>
        </w:rPr>
        <w:t xml:space="preserve">: </w:t>
      </w:r>
      <w:r>
        <w:rPr>
          <w:rFonts w:cstheme="minorHAnsi"/>
          <w:b/>
          <w:lang w:val="fr-CH"/>
        </w:rPr>
        <w:t xml:space="preserve">Le Comité permanent prend note des progrès d’application des Résolutions </w:t>
      </w:r>
      <w:r w:rsidRPr="003F76B7">
        <w:rPr>
          <w:rFonts w:cstheme="minorHAnsi"/>
          <w:b/>
          <w:lang w:val="fr-CH"/>
        </w:rPr>
        <w:t xml:space="preserve">XIV.6 </w:t>
      </w:r>
      <w:r>
        <w:rPr>
          <w:rFonts w:cstheme="minorHAnsi"/>
          <w:b/>
          <w:lang w:val="fr-CH"/>
        </w:rPr>
        <w:t>et</w:t>
      </w:r>
      <w:r w:rsidRPr="003F76B7">
        <w:rPr>
          <w:rFonts w:cstheme="minorHAnsi"/>
          <w:b/>
          <w:lang w:val="fr-CH"/>
        </w:rPr>
        <w:t xml:space="preserve"> XIII.7 </w:t>
      </w:r>
      <w:r>
        <w:rPr>
          <w:rFonts w:cstheme="minorHAnsi"/>
          <w:b/>
          <w:lang w:val="fr-CH"/>
        </w:rPr>
        <w:t>relatives au renforcement de la visibilité de la Convention et aux synergies avec les accords multilatéraux sur l’environnement et d’autres institutions internationales.</w:t>
      </w:r>
    </w:p>
    <w:p w14:paraId="274CA130" w14:textId="77777777" w:rsidR="0007746C" w:rsidRPr="001F785D" w:rsidRDefault="0007746C" w:rsidP="0007746C">
      <w:pPr>
        <w:keepNext/>
        <w:spacing w:after="0" w:line="240" w:lineRule="auto"/>
        <w:rPr>
          <w:rFonts w:cstheme="minorHAnsi"/>
          <w:lang w:val="fr-FR"/>
        </w:rPr>
      </w:pPr>
    </w:p>
    <w:p w14:paraId="41D07099" w14:textId="77777777" w:rsidR="0007746C" w:rsidRPr="000C1AD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0C1AD4">
        <w:rPr>
          <w:rFonts w:cstheme="minorHAnsi"/>
          <w:bCs/>
          <w:lang w:val="fr-FR"/>
        </w:rPr>
        <w:t>Point 1</w:t>
      </w:r>
      <w:r>
        <w:rPr>
          <w:rFonts w:cstheme="minorHAnsi"/>
          <w:bCs/>
          <w:lang w:val="fr-FR"/>
        </w:rPr>
        <w:t>5</w:t>
      </w:r>
      <w:r w:rsidRPr="000C1AD4">
        <w:rPr>
          <w:rFonts w:cstheme="minorHAnsi"/>
          <w:bCs/>
          <w:lang w:val="fr-FR"/>
        </w:rPr>
        <w:t xml:space="preserve"> de l’ordre du jour : </w:t>
      </w:r>
      <w:r w:rsidRPr="000C1AD4">
        <w:rPr>
          <w:lang w:val="fr-FR"/>
        </w:rPr>
        <w:t>Révision et regroupement des Résolutions en vigueur</w:t>
      </w:r>
    </w:p>
    <w:p w14:paraId="747C8654" w14:textId="77777777" w:rsidR="0007746C" w:rsidRPr="000C1AD4" w:rsidRDefault="0007746C" w:rsidP="0007746C">
      <w:pPr>
        <w:spacing w:after="0" w:line="240" w:lineRule="auto"/>
        <w:rPr>
          <w:lang w:val="fr-FR"/>
        </w:rPr>
      </w:pPr>
    </w:p>
    <w:p w14:paraId="683A422B" w14:textId="1CDF7073" w:rsidR="0007746C" w:rsidRPr="00C47C5D" w:rsidRDefault="00E2797C" w:rsidP="0007746C">
      <w:pPr>
        <w:spacing w:after="0" w:line="240" w:lineRule="auto"/>
        <w:ind w:left="567" w:hanging="567"/>
        <w:rPr>
          <w:rFonts w:eastAsia="Calibri" w:cstheme="minorHAnsi"/>
          <w:bCs/>
          <w:i/>
          <w:iCs/>
          <w:lang w:val="fr-CH"/>
        </w:rPr>
      </w:pPr>
      <w:r>
        <w:rPr>
          <w:rFonts w:eastAsia="Calibri" w:cstheme="minorHAnsi"/>
          <w:bCs/>
          <w:lang w:val="fr-CH"/>
        </w:rPr>
        <w:t>53</w:t>
      </w:r>
      <w:r w:rsidR="0007746C" w:rsidRPr="00C47C5D">
        <w:rPr>
          <w:rFonts w:eastAsia="Calibri" w:cstheme="minorHAnsi"/>
          <w:bCs/>
          <w:lang w:val="fr-CH"/>
        </w:rPr>
        <w:t>.</w:t>
      </w:r>
      <w:r w:rsidR="0007746C" w:rsidRPr="00C47C5D">
        <w:rPr>
          <w:rFonts w:eastAsia="Calibri" w:cstheme="minorHAnsi"/>
          <w:bCs/>
          <w:lang w:val="fr-CH"/>
        </w:rPr>
        <w:tab/>
      </w:r>
      <w:r w:rsidR="0007746C">
        <w:rPr>
          <w:rFonts w:eastAsia="Calibri" w:cstheme="minorHAnsi"/>
          <w:bCs/>
          <w:lang w:val="fr-CH"/>
        </w:rPr>
        <w:t xml:space="preserve">Le Secrétariat présente le </w:t>
      </w:r>
      <w:r w:rsidR="0007746C" w:rsidRPr="00C47C5D">
        <w:rPr>
          <w:rFonts w:eastAsia="Calibri" w:cstheme="minorHAnsi"/>
          <w:bCs/>
          <w:lang w:val="fr-CH"/>
        </w:rPr>
        <w:t>document SC62 Doc.15</w:t>
      </w:r>
      <w:r w:rsidR="0007746C" w:rsidRPr="00C47C5D">
        <w:rPr>
          <w:rFonts w:eastAsia="Calibri" w:cstheme="minorHAnsi"/>
          <w:bCs/>
          <w:iCs/>
          <w:lang w:val="fr-CH"/>
        </w:rPr>
        <w:t>, not</w:t>
      </w:r>
      <w:r w:rsidR="0007746C">
        <w:rPr>
          <w:rFonts w:eastAsia="Calibri" w:cstheme="minorHAnsi"/>
          <w:bCs/>
          <w:iCs/>
          <w:lang w:val="fr-CH"/>
        </w:rPr>
        <w:t>ant trois points pour examen par le Comité permanent : noter les mesures prises par le Secrétariat à ce jour ; sélectionner,</w:t>
      </w:r>
      <w:r w:rsidR="0007746C" w:rsidRPr="00F4523E">
        <w:rPr>
          <w:rFonts w:eastAsia="Calibri" w:cstheme="minorHAnsi"/>
          <w:bCs/>
          <w:iCs/>
          <w:lang w:val="fr-CH"/>
        </w:rPr>
        <w:t xml:space="preserve"> </w:t>
      </w:r>
      <w:r w:rsidR="0007746C">
        <w:rPr>
          <w:rFonts w:eastAsia="Calibri" w:cstheme="minorHAnsi"/>
          <w:bCs/>
          <w:iCs/>
          <w:lang w:val="fr-CH"/>
        </w:rPr>
        <w:t xml:space="preserve">selon </w:t>
      </w:r>
      <w:r>
        <w:rPr>
          <w:rFonts w:eastAsia="Calibri" w:cstheme="minorHAnsi"/>
          <w:bCs/>
          <w:iCs/>
          <w:lang w:val="fr-CH"/>
        </w:rPr>
        <w:lastRenderedPageBreak/>
        <w:t xml:space="preserve">des catégories de </w:t>
      </w:r>
      <w:r w:rsidR="0007746C">
        <w:rPr>
          <w:rFonts w:eastAsia="Calibri" w:cstheme="minorHAnsi"/>
          <w:bCs/>
          <w:iCs/>
          <w:lang w:val="fr-CH"/>
        </w:rPr>
        <w:t>sujet</w:t>
      </w:r>
      <w:r>
        <w:rPr>
          <w:rFonts w:eastAsia="Calibri" w:cstheme="minorHAnsi"/>
          <w:bCs/>
          <w:iCs/>
          <w:lang w:val="fr-CH"/>
        </w:rPr>
        <w:t>s</w:t>
      </w:r>
      <w:r w:rsidR="0007746C">
        <w:rPr>
          <w:rFonts w:eastAsia="Calibri" w:cstheme="minorHAnsi"/>
          <w:bCs/>
          <w:iCs/>
          <w:lang w:val="fr-CH"/>
        </w:rPr>
        <w:t>, des Résolutions pour lesquelles des projets de regroupement seront préparés pour examen à la 63</w:t>
      </w:r>
      <w:r w:rsidR="0007746C" w:rsidRPr="00A93891">
        <w:rPr>
          <w:rFonts w:eastAsia="Calibri" w:cstheme="minorHAnsi"/>
          <w:bCs/>
          <w:iCs/>
          <w:vertAlign w:val="superscript"/>
          <w:lang w:val="fr-CH"/>
        </w:rPr>
        <w:t>e</w:t>
      </w:r>
      <w:r w:rsidR="0007746C">
        <w:rPr>
          <w:rFonts w:eastAsia="Calibri" w:cstheme="minorHAnsi"/>
          <w:bCs/>
          <w:iCs/>
          <w:lang w:val="fr-CH"/>
        </w:rPr>
        <w:t> Réunion du Comité permanent, et convenir de l’allocation de fonds excédentaires pour soutenir ce processus ; et accepter le processus en trois étapes proposé pour la liste des Décisions du Comité permanent.</w:t>
      </w:r>
    </w:p>
    <w:p w14:paraId="1E095CFD" w14:textId="77777777" w:rsidR="0007746C" w:rsidRPr="00C47C5D" w:rsidRDefault="0007746C" w:rsidP="0007746C">
      <w:pPr>
        <w:spacing w:after="0" w:line="240" w:lineRule="auto"/>
        <w:ind w:left="567" w:hanging="567"/>
        <w:rPr>
          <w:rFonts w:eastAsia="Calibri" w:cstheme="minorHAnsi"/>
          <w:bCs/>
          <w:i/>
          <w:iCs/>
          <w:lang w:val="fr-CH"/>
        </w:rPr>
      </w:pPr>
    </w:p>
    <w:p w14:paraId="684128EE" w14:textId="3B628170" w:rsidR="0007746C" w:rsidRPr="00C47C5D" w:rsidRDefault="00E2797C" w:rsidP="0007746C">
      <w:pPr>
        <w:spacing w:after="0" w:line="240" w:lineRule="auto"/>
        <w:ind w:left="567" w:hanging="567"/>
        <w:rPr>
          <w:rFonts w:eastAsia="Calibri" w:cstheme="minorHAnsi"/>
          <w:bCs/>
          <w:i/>
          <w:iCs/>
          <w:lang w:val="fr-CH"/>
        </w:rPr>
      </w:pPr>
      <w:r>
        <w:rPr>
          <w:rFonts w:eastAsia="Calibri" w:cstheme="minorHAnsi"/>
          <w:bCs/>
          <w:lang w:val="fr-CH"/>
        </w:rPr>
        <w:t>54</w:t>
      </w:r>
      <w:r w:rsidR="0007746C" w:rsidRPr="00C47C5D">
        <w:rPr>
          <w:rFonts w:eastAsia="Calibri" w:cstheme="minorHAnsi"/>
          <w:bCs/>
          <w:lang w:val="fr-CH"/>
        </w:rPr>
        <w:t>.</w:t>
      </w:r>
      <w:r w:rsidR="0007746C" w:rsidRPr="00C47C5D">
        <w:rPr>
          <w:rFonts w:eastAsia="Calibri" w:cstheme="minorHAnsi"/>
          <w:bCs/>
          <w:lang w:val="fr-CH"/>
        </w:rPr>
        <w:tab/>
      </w:r>
      <w:r w:rsidR="0007746C">
        <w:rPr>
          <w:rFonts w:eastAsia="Calibri" w:cstheme="minorHAnsi"/>
          <w:bCs/>
          <w:lang w:val="fr-CH"/>
        </w:rPr>
        <w:t>Le Secrétariat invite les membres du Comité permanent à sélectionner deux catégories de sujets de Résolutions pour lesquelles des projets de regroupement seront préparés pour examen à la 63</w:t>
      </w:r>
      <w:r w:rsidR="0007746C" w:rsidRPr="00A93891">
        <w:rPr>
          <w:rFonts w:eastAsia="Calibri" w:cstheme="minorHAnsi"/>
          <w:bCs/>
          <w:vertAlign w:val="superscript"/>
          <w:lang w:val="fr-CH"/>
        </w:rPr>
        <w:t>e</w:t>
      </w:r>
      <w:r w:rsidR="0007746C">
        <w:rPr>
          <w:rFonts w:eastAsia="Calibri" w:cstheme="minorHAnsi"/>
          <w:bCs/>
          <w:lang w:val="fr-CH"/>
        </w:rPr>
        <w:t xml:space="preserve"> Réunion du Comité permanent, dans la liste qui figure au paragraphe 16 du document, et propose la catégorie additionnelle « Inventaires » pour laquelle un projet a déjà été présenté dans le document </w:t>
      </w:r>
      <w:r w:rsidR="0007746C" w:rsidRPr="00C47C5D">
        <w:rPr>
          <w:rFonts w:eastAsia="Calibri" w:cstheme="minorHAnsi"/>
          <w:bCs/>
          <w:lang w:val="fr-CH"/>
        </w:rPr>
        <w:t xml:space="preserve">SC59 Doc.13.3. </w:t>
      </w:r>
    </w:p>
    <w:p w14:paraId="26CC1631" w14:textId="77777777" w:rsidR="0007746C" w:rsidRPr="00C47C5D" w:rsidRDefault="0007746C" w:rsidP="0007746C">
      <w:pPr>
        <w:spacing w:after="0" w:line="240" w:lineRule="auto"/>
        <w:ind w:left="567" w:hanging="567"/>
        <w:rPr>
          <w:lang w:val="fr-CH"/>
        </w:rPr>
      </w:pPr>
    </w:p>
    <w:p w14:paraId="7E7C2692" w14:textId="13986D8C" w:rsidR="0007746C" w:rsidRPr="00C47C5D" w:rsidRDefault="00E2797C" w:rsidP="0007746C">
      <w:pPr>
        <w:spacing w:after="0" w:line="240" w:lineRule="auto"/>
        <w:ind w:left="567" w:hanging="567"/>
        <w:rPr>
          <w:lang w:val="fr-CH"/>
        </w:rPr>
      </w:pPr>
      <w:r>
        <w:rPr>
          <w:lang w:val="fr-CH"/>
        </w:rPr>
        <w:t>55</w:t>
      </w:r>
      <w:r w:rsidR="0007746C" w:rsidRPr="00C47C5D">
        <w:rPr>
          <w:lang w:val="fr-CH"/>
        </w:rPr>
        <w:t>.</w:t>
      </w:r>
      <w:r w:rsidR="0007746C" w:rsidRPr="00C47C5D">
        <w:rPr>
          <w:lang w:val="fr-CH"/>
        </w:rPr>
        <w:tab/>
      </w:r>
      <w:r w:rsidR="0007746C">
        <w:rPr>
          <w:lang w:val="fr-CH"/>
        </w:rPr>
        <w:t xml:space="preserve">Les membres du Comité permanent décident de sélectionner « Inventaires » et « CESP » comme deuxième catégorie. Ils expriment des </w:t>
      </w:r>
      <w:r>
        <w:rPr>
          <w:lang w:val="fr-CH"/>
        </w:rPr>
        <w:t>avis</w:t>
      </w:r>
      <w:r w:rsidR="0007746C">
        <w:rPr>
          <w:lang w:val="fr-CH"/>
        </w:rPr>
        <w:t xml:space="preserve"> divergents sur le fait de sélectionner en troisième </w:t>
      </w:r>
      <w:r w:rsidR="0007746C" w:rsidRPr="00F4523E">
        <w:rPr>
          <w:lang w:val="fr-CH"/>
        </w:rPr>
        <w:t>catégorie « Eau, orientations relatives à l’eau, gestion de l’eau », « Évaluation des valeurs et services des zones humides » ou « Changements climatiques ».</w:t>
      </w:r>
      <w:r w:rsidR="0007746C">
        <w:rPr>
          <w:lang w:val="fr-CH"/>
        </w:rPr>
        <w:t xml:space="preserve"> Certains membres suggèrent de regrouper les catégories « </w:t>
      </w:r>
      <w:r w:rsidR="008C50AB">
        <w:rPr>
          <w:lang w:val="fr-CH"/>
        </w:rPr>
        <w:t>o</w:t>
      </w:r>
      <w:r w:rsidR="0007746C">
        <w:rPr>
          <w:lang w:val="fr-CH"/>
        </w:rPr>
        <w:t>rientations relatives à l’eau » et « </w:t>
      </w:r>
      <w:r w:rsidR="008C50AB">
        <w:rPr>
          <w:lang w:val="fr-CH"/>
        </w:rPr>
        <w:t>v</w:t>
      </w:r>
      <w:r w:rsidR="0007746C">
        <w:rPr>
          <w:lang w:val="fr-CH"/>
        </w:rPr>
        <w:t>aleurs et services des zones humides ». Un autre membre met en garde contre la priorisation d’un sujet plutôt qu’un autre, compte tenu des différentes opinions des membres.</w:t>
      </w:r>
    </w:p>
    <w:p w14:paraId="7BE0A7E5" w14:textId="77777777" w:rsidR="0007746C" w:rsidRPr="00C47C5D" w:rsidRDefault="0007746C" w:rsidP="0007746C">
      <w:pPr>
        <w:spacing w:after="0" w:line="240" w:lineRule="auto"/>
        <w:ind w:left="567" w:hanging="567"/>
        <w:rPr>
          <w:lang w:val="fr-CH"/>
        </w:rPr>
      </w:pPr>
    </w:p>
    <w:p w14:paraId="7495FBF1" w14:textId="4493ECD5" w:rsidR="0007746C" w:rsidRPr="00C47C5D" w:rsidRDefault="008C50AB" w:rsidP="0007746C">
      <w:pPr>
        <w:spacing w:after="0" w:line="240" w:lineRule="auto"/>
        <w:ind w:left="567" w:hanging="567"/>
        <w:rPr>
          <w:lang w:val="fr-CH"/>
        </w:rPr>
      </w:pPr>
      <w:r>
        <w:rPr>
          <w:lang w:val="fr-CH"/>
        </w:rPr>
        <w:t>56</w:t>
      </w:r>
      <w:r w:rsidR="0007746C" w:rsidRPr="00C47C5D">
        <w:rPr>
          <w:lang w:val="fr-CH"/>
        </w:rPr>
        <w:t>.</w:t>
      </w:r>
      <w:r w:rsidR="0007746C" w:rsidRPr="00C47C5D">
        <w:rPr>
          <w:lang w:val="fr-CH"/>
        </w:rPr>
        <w:tab/>
      </w:r>
      <w:r w:rsidR="0007746C">
        <w:rPr>
          <w:lang w:val="fr-CH"/>
        </w:rPr>
        <w:t>Un membre du Comité permanent suggère que le Sous</w:t>
      </w:r>
      <w:r w:rsidR="0007746C">
        <w:rPr>
          <w:lang w:val="fr-CH"/>
        </w:rPr>
        <w:noBreakHyphen/>
        <w:t>groupe sur les finances étudie les incidences budgétaires d’un regroupement additionnel. Le Président demande au Sous</w:t>
      </w:r>
      <w:r w:rsidR="0007746C">
        <w:rPr>
          <w:lang w:val="fr-CH"/>
        </w:rPr>
        <w:noBreakHyphen/>
        <w:t>groupe sur les finances de se réunir brièvement durant la pause et de faire rapport au Comité à la séance de l’après</w:t>
      </w:r>
      <w:r w:rsidR="0007746C">
        <w:rPr>
          <w:lang w:val="fr-CH"/>
        </w:rPr>
        <w:noBreakHyphen/>
        <w:t xml:space="preserve">midi. </w:t>
      </w:r>
      <w:r w:rsidR="0007746C" w:rsidRPr="00C47C5D">
        <w:rPr>
          <w:lang w:val="fr-CH"/>
        </w:rPr>
        <w:t xml:space="preserve"> </w:t>
      </w:r>
    </w:p>
    <w:p w14:paraId="38EF4137" w14:textId="77777777" w:rsidR="0007746C" w:rsidRPr="00C47C5D" w:rsidRDefault="0007746C" w:rsidP="0007746C">
      <w:pPr>
        <w:spacing w:after="0" w:line="240" w:lineRule="auto"/>
        <w:ind w:left="567" w:hanging="567"/>
        <w:rPr>
          <w:lang w:val="fr-CH"/>
        </w:rPr>
      </w:pPr>
    </w:p>
    <w:p w14:paraId="4DA5ADC7" w14:textId="344E620F" w:rsidR="0007746C" w:rsidRPr="00C47C5D" w:rsidRDefault="008C50AB" w:rsidP="0007746C">
      <w:pPr>
        <w:spacing w:after="0" w:line="240" w:lineRule="auto"/>
        <w:ind w:left="567" w:hanging="567"/>
        <w:rPr>
          <w:lang w:val="fr-CH"/>
        </w:rPr>
      </w:pPr>
      <w:r>
        <w:rPr>
          <w:lang w:val="fr-CH"/>
        </w:rPr>
        <w:t>57</w:t>
      </w:r>
      <w:r w:rsidR="0007746C" w:rsidRPr="00C47C5D">
        <w:rPr>
          <w:lang w:val="fr-CH"/>
        </w:rPr>
        <w:t>.</w:t>
      </w:r>
      <w:r w:rsidR="0007746C" w:rsidRPr="00C47C5D">
        <w:rPr>
          <w:lang w:val="fr-CH"/>
        </w:rPr>
        <w:tab/>
      </w:r>
      <w:r w:rsidR="0007746C">
        <w:rPr>
          <w:lang w:val="fr-CH"/>
        </w:rPr>
        <w:t>Concernant le processus de maintien de la liste des Décisions du Comité permanent, certains membres du Comité suggèrent d’examiner également une date limite pour l’intégration de Décisions anciennes du Comité permanent dans la liste. Les membres du Comité permanent expriment une préférence pour la 24</w:t>
      </w:r>
      <w:r w:rsidR="0007746C" w:rsidRPr="00E479A7">
        <w:rPr>
          <w:vertAlign w:val="superscript"/>
          <w:lang w:val="fr-CH"/>
        </w:rPr>
        <w:t>e</w:t>
      </w:r>
      <w:r w:rsidR="0007746C">
        <w:rPr>
          <w:lang w:val="fr-CH"/>
        </w:rPr>
        <w:t> Réunion du Comité permanent comme point de départ.</w:t>
      </w:r>
      <w:r w:rsidR="0007746C" w:rsidRPr="00C47C5D">
        <w:rPr>
          <w:lang w:val="fr-CH"/>
        </w:rPr>
        <w:t xml:space="preserve"> </w:t>
      </w:r>
    </w:p>
    <w:p w14:paraId="68087A1E" w14:textId="77777777" w:rsidR="0007746C" w:rsidRPr="00C47C5D" w:rsidRDefault="0007746C" w:rsidP="0007746C">
      <w:pPr>
        <w:spacing w:after="0" w:line="240" w:lineRule="auto"/>
        <w:ind w:left="567" w:hanging="567"/>
        <w:rPr>
          <w:lang w:val="fr-CH"/>
        </w:rPr>
      </w:pPr>
    </w:p>
    <w:p w14:paraId="2841AE09" w14:textId="7AFC7775" w:rsidR="0007746C" w:rsidRPr="00C47C5D" w:rsidRDefault="008C50AB" w:rsidP="0007746C">
      <w:pPr>
        <w:spacing w:after="0" w:line="240" w:lineRule="auto"/>
        <w:ind w:left="567" w:hanging="567"/>
        <w:rPr>
          <w:lang w:val="fr-CH"/>
        </w:rPr>
      </w:pPr>
      <w:r>
        <w:rPr>
          <w:lang w:val="fr-CH"/>
        </w:rPr>
        <w:t>58</w:t>
      </w:r>
      <w:r w:rsidR="0007746C" w:rsidRPr="00C47C5D">
        <w:rPr>
          <w:lang w:val="fr-CH"/>
        </w:rPr>
        <w:t>.</w:t>
      </w:r>
      <w:r w:rsidR="0007746C" w:rsidRPr="00C47C5D">
        <w:rPr>
          <w:lang w:val="fr-CH"/>
        </w:rPr>
        <w:tab/>
      </w:r>
      <w:r w:rsidR="0007746C">
        <w:rPr>
          <w:lang w:val="fr-CH"/>
        </w:rPr>
        <w:t xml:space="preserve">L’Argentine, l’Australie, le Brésil, le Canada, la Colombie, le </w:t>
      </w:r>
      <w:r w:rsidR="0007746C" w:rsidRPr="00C47C5D">
        <w:rPr>
          <w:lang w:val="fr-CH"/>
        </w:rPr>
        <w:t xml:space="preserve">Costa Rica, </w:t>
      </w:r>
      <w:r w:rsidR="0007746C">
        <w:rPr>
          <w:lang w:val="fr-CH"/>
        </w:rPr>
        <w:t>les États</w:t>
      </w:r>
      <w:r w:rsidR="0007746C">
        <w:rPr>
          <w:lang w:val="fr-CH"/>
        </w:rPr>
        <w:noBreakHyphen/>
        <w:t>Unis d’Amérique, la Géorgie, l’</w:t>
      </w:r>
      <w:r w:rsidR="0007746C" w:rsidRPr="00C47C5D">
        <w:rPr>
          <w:lang w:val="fr-CH"/>
        </w:rPr>
        <w:t>Iran (</w:t>
      </w:r>
      <w:r w:rsidR="0007746C">
        <w:rPr>
          <w:lang w:val="fr-CH"/>
        </w:rPr>
        <w:t xml:space="preserve">République islamique d’), le Japon, </w:t>
      </w:r>
      <w:r w:rsidR="0007746C" w:rsidRPr="00C47C5D">
        <w:rPr>
          <w:lang w:val="fr-CH"/>
        </w:rPr>
        <w:t xml:space="preserve">Madagascar, </w:t>
      </w:r>
      <w:r w:rsidR="0007746C">
        <w:rPr>
          <w:lang w:val="fr-CH"/>
        </w:rPr>
        <w:t xml:space="preserve">le </w:t>
      </w:r>
      <w:r w:rsidR="0007746C" w:rsidRPr="00C47C5D">
        <w:rPr>
          <w:lang w:val="fr-CH"/>
        </w:rPr>
        <w:t xml:space="preserve">Panama, </w:t>
      </w:r>
      <w:r w:rsidR="0007746C">
        <w:rPr>
          <w:lang w:val="fr-CH"/>
        </w:rPr>
        <w:t xml:space="preserve">le </w:t>
      </w:r>
      <w:r w:rsidR="0007746C" w:rsidRPr="00C47C5D">
        <w:rPr>
          <w:lang w:val="fr-CH"/>
        </w:rPr>
        <w:t xml:space="preserve">Rwanda, </w:t>
      </w:r>
      <w:r w:rsidR="0007746C">
        <w:rPr>
          <w:lang w:val="fr-CH"/>
        </w:rPr>
        <w:t>la Suède et la Suisse interviennent dans la discussion.</w:t>
      </w:r>
    </w:p>
    <w:p w14:paraId="7ABE60A3" w14:textId="77777777" w:rsidR="0007746C" w:rsidRPr="00C47C5D" w:rsidRDefault="0007746C" w:rsidP="0007746C">
      <w:pPr>
        <w:spacing w:after="0" w:line="240" w:lineRule="auto"/>
        <w:ind w:left="720" w:hanging="720"/>
        <w:rPr>
          <w:lang w:val="fr-CH"/>
        </w:rPr>
      </w:pPr>
    </w:p>
    <w:p w14:paraId="748E5774" w14:textId="77777777" w:rsidR="0007746C" w:rsidRPr="00C47C5D" w:rsidRDefault="0007746C" w:rsidP="0007746C">
      <w:pPr>
        <w:spacing w:after="0" w:line="240" w:lineRule="auto"/>
        <w:contextualSpacing/>
        <w:rPr>
          <w:rFonts w:cstheme="minorHAnsi"/>
          <w:b/>
          <w:lang w:val="fr-CH"/>
        </w:rPr>
      </w:pPr>
      <w:r w:rsidRPr="00C47C5D">
        <w:rPr>
          <w:rFonts w:cstheme="minorHAnsi"/>
          <w:b/>
          <w:lang w:val="fr-CH"/>
        </w:rPr>
        <w:t>Décision SC62-20</w:t>
      </w:r>
      <w:r>
        <w:rPr>
          <w:rFonts w:cstheme="minorHAnsi"/>
          <w:b/>
          <w:lang w:val="fr-CH"/>
        </w:rPr>
        <w:t xml:space="preserve"> </w:t>
      </w:r>
      <w:r w:rsidRPr="00C47C5D">
        <w:rPr>
          <w:rFonts w:cstheme="minorHAnsi"/>
          <w:b/>
          <w:lang w:val="fr-CH"/>
        </w:rPr>
        <w:t xml:space="preserve">: </w:t>
      </w:r>
      <w:r>
        <w:rPr>
          <w:rFonts w:cstheme="minorHAnsi"/>
          <w:b/>
          <w:lang w:val="fr-CH"/>
        </w:rPr>
        <w:t xml:space="preserve">Le Comité permanent prend note des mesures prises par le Secrétariat qui en a rendu compte dans le </w:t>
      </w:r>
      <w:r w:rsidRPr="00C47C5D">
        <w:rPr>
          <w:rFonts w:cstheme="minorHAnsi"/>
          <w:b/>
          <w:lang w:val="fr-CH"/>
        </w:rPr>
        <w:t>document SC62 Doc.15.</w:t>
      </w:r>
    </w:p>
    <w:p w14:paraId="13BE024B" w14:textId="77777777" w:rsidR="0007746C" w:rsidRPr="00495680" w:rsidRDefault="0007746C" w:rsidP="0007746C">
      <w:pPr>
        <w:spacing w:after="0" w:line="240" w:lineRule="auto"/>
        <w:contextualSpacing/>
        <w:rPr>
          <w:rFonts w:cstheme="minorHAnsi"/>
          <w:b/>
          <w:lang w:val="fr-CH"/>
        </w:rPr>
      </w:pPr>
    </w:p>
    <w:p w14:paraId="7B6AA22D" w14:textId="21B90682" w:rsidR="0007746C" w:rsidRPr="00C47C5D" w:rsidRDefault="0007746C" w:rsidP="0007746C">
      <w:pPr>
        <w:spacing w:after="0" w:line="240" w:lineRule="auto"/>
        <w:contextualSpacing/>
        <w:rPr>
          <w:rFonts w:cstheme="minorHAnsi"/>
          <w:b/>
          <w:lang w:val="fr-CH"/>
        </w:rPr>
      </w:pPr>
      <w:r w:rsidRPr="00495680">
        <w:rPr>
          <w:rFonts w:cstheme="minorHAnsi"/>
          <w:b/>
          <w:lang w:val="fr-CH"/>
        </w:rPr>
        <w:t xml:space="preserve">Décision SC62-21 : Le Comité permanent approuve le processus en trois étapes décrit au paragraphe 23 </w:t>
      </w:r>
      <w:r w:rsidR="008C50AB" w:rsidRPr="00495680">
        <w:rPr>
          <w:rFonts w:cstheme="minorHAnsi"/>
          <w:b/>
          <w:lang w:val="fr-CH"/>
        </w:rPr>
        <w:t xml:space="preserve">du document SC62 Doc.15, </w:t>
      </w:r>
      <w:r w:rsidRPr="00495680">
        <w:rPr>
          <w:rFonts w:cstheme="minorHAnsi"/>
          <w:b/>
          <w:lang w:val="fr-CH"/>
        </w:rPr>
        <w:t xml:space="preserve">pour le maintien de la liste des Décisions en vigueur du Comité permanent, à condition que les </w:t>
      </w:r>
      <w:r>
        <w:rPr>
          <w:rFonts w:cstheme="minorHAnsi"/>
          <w:b/>
          <w:lang w:val="fr-CH"/>
        </w:rPr>
        <w:t>Décisions anciennes exclues de la liste ne deviennent pas caduques mais restent accessibles sur le site Web de la Convention et puissent être intégrées dans la liste si l’on décide qu’elles sont encore valables.</w:t>
      </w:r>
      <w:r w:rsidRPr="00C47C5D">
        <w:rPr>
          <w:rFonts w:cstheme="minorHAnsi"/>
          <w:b/>
          <w:lang w:val="fr-CH"/>
        </w:rPr>
        <w:t xml:space="preserve"> </w:t>
      </w:r>
    </w:p>
    <w:p w14:paraId="62C93061" w14:textId="77777777" w:rsidR="0007746C" w:rsidRPr="00E26EB0" w:rsidRDefault="0007746C" w:rsidP="0007746C">
      <w:pPr>
        <w:keepNext/>
        <w:spacing w:after="0" w:line="240" w:lineRule="auto"/>
        <w:rPr>
          <w:rFonts w:cstheme="minorHAnsi"/>
          <w:b/>
          <w:lang w:val="fr-FR"/>
        </w:rPr>
      </w:pPr>
    </w:p>
    <w:p w14:paraId="5B51EE46" w14:textId="77777777" w:rsidR="0007746C" w:rsidRPr="00E26EB0" w:rsidRDefault="0007746C" w:rsidP="0007746C">
      <w:pPr>
        <w:keepNext/>
        <w:spacing w:after="0" w:line="240" w:lineRule="auto"/>
        <w:rPr>
          <w:rFonts w:cstheme="minorHAnsi"/>
          <w:b/>
          <w:bCs/>
          <w:lang w:val="fr-FR"/>
        </w:rPr>
      </w:pPr>
      <w:r w:rsidRPr="00E26EB0">
        <w:rPr>
          <w:rFonts w:cstheme="minorHAnsi"/>
          <w:b/>
          <w:lang w:val="fr-FR"/>
        </w:rPr>
        <w:t xml:space="preserve">15:00 – 18:00 </w:t>
      </w:r>
      <w:r w:rsidRPr="00E26EB0">
        <w:rPr>
          <w:rFonts w:cstheme="minorHAnsi"/>
          <w:b/>
          <w:lang w:val="fr-FR"/>
        </w:rPr>
        <w:tab/>
      </w:r>
      <w:r w:rsidRPr="00EE162B">
        <w:rPr>
          <w:rFonts w:cstheme="minorHAnsi"/>
          <w:b/>
          <w:lang w:val="fr-CH"/>
        </w:rPr>
        <w:t>Séance plénière du Comité permanent</w:t>
      </w:r>
    </w:p>
    <w:p w14:paraId="712EE8FD" w14:textId="77777777" w:rsidR="0007746C" w:rsidRPr="00E26EB0" w:rsidRDefault="0007746C" w:rsidP="0007746C">
      <w:pPr>
        <w:keepNext/>
        <w:spacing w:after="0" w:line="240" w:lineRule="auto"/>
        <w:rPr>
          <w:rFonts w:cstheme="minorHAnsi"/>
          <w:lang w:val="fr-FR"/>
        </w:rPr>
      </w:pPr>
    </w:p>
    <w:p w14:paraId="2FAD31E4" w14:textId="77777777" w:rsidR="0007746C" w:rsidRPr="00E26EB0"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CH"/>
        </w:rPr>
      </w:pPr>
      <w:r w:rsidRPr="00EE162B">
        <w:rPr>
          <w:rFonts w:cstheme="minorHAnsi"/>
          <w:bCs/>
          <w:lang w:val="fr-CH"/>
        </w:rPr>
        <w:t xml:space="preserve">Point 25 de l’ordre du jour : </w:t>
      </w:r>
      <w:r w:rsidRPr="00EE162B">
        <w:rPr>
          <w:lang w:val="fr-CH"/>
        </w:rPr>
        <w:t>Rapport du Secrétariat sur les Initiatives régionales Ramsar</w:t>
      </w:r>
      <w:r>
        <w:rPr>
          <w:lang w:val="fr-CH"/>
        </w:rPr>
        <w:t xml:space="preserve"> (suite)</w:t>
      </w:r>
    </w:p>
    <w:p w14:paraId="225FB499" w14:textId="77777777" w:rsidR="0007746C" w:rsidRPr="00EA7C1A" w:rsidRDefault="0007746C" w:rsidP="0007746C">
      <w:pPr>
        <w:spacing w:after="0" w:line="240" w:lineRule="auto"/>
        <w:rPr>
          <w:lang w:val="fr-FR"/>
        </w:rPr>
      </w:pPr>
    </w:p>
    <w:p w14:paraId="4CA010F9" w14:textId="77DAC8CE" w:rsidR="0007746C" w:rsidRPr="006C643B" w:rsidRDefault="008C50AB" w:rsidP="0007746C">
      <w:pPr>
        <w:spacing w:after="0" w:line="240" w:lineRule="auto"/>
        <w:ind w:left="567" w:hanging="567"/>
        <w:rPr>
          <w:rFonts w:eastAsia="Calibri" w:cstheme="minorHAnsi"/>
          <w:bCs/>
          <w:i/>
          <w:iCs/>
          <w:lang w:val="fr-CH"/>
        </w:rPr>
      </w:pPr>
      <w:r>
        <w:rPr>
          <w:rFonts w:eastAsia="Calibri" w:cstheme="minorHAnsi"/>
          <w:bCs/>
          <w:lang w:val="fr-CH"/>
        </w:rPr>
        <w:t>59</w:t>
      </w:r>
      <w:r w:rsidR="0007746C" w:rsidRPr="006C643B">
        <w:rPr>
          <w:rFonts w:eastAsia="Calibri" w:cstheme="minorHAnsi"/>
          <w:bCs/>
          <w:lang w:val="fr-CH"/>
        </w:rPr>
        <w:t>.</w:t>
      </w:r>
      <w:r w:rsidR="0007746C" w:rsidRPr="006C643B">
        <w:rPr>
          <w:rFonts w:eastAsia="Calibri" w:cstheme="minorHAnsi"/>
          <w:bCs/>
          <w:lang w:val="fr-CH"/>
        </w:rPr>
        <w:tab/>
      </w:r>
      <w:r w:rsidR="0007746C">
        <w:rPr>
          <w:rFonts w:eastAsia="Calibri" w:cstheme="minorHAnsi"/>
          <w:bCs/>
          <w:lang w:val="fr-CH"/>
        </w:rPr>
        <w:t xml:space="preserve">Le Président ouvre la séance et demande une mise à jour </w:t>
      </w:r>
      <w:r w:rsidR="00495680">
        <w:rPr>
          <w:rFonts w:eastAsia="Calibri" w:cstheme="minorHAnsi"/>
          <w:bCs/>
          <w:lang w:val="fr-CH"/>
        </w:rPr>
        <w:t>du</w:t>
      </w:r>
      <w:r w:rsidR="0007746C">
        <w:rPr>
          <w:rFonts w:eastAsia="Calibri" w:cstheme="minorHAnsi"/>
          <w:bCs/>
          <w:lang w:val="fr-CH"/>
        </w:rPr>
        <w:t xml:space="preserve"> groupe de contact établi la veille en vue d’affiner la proposition de création d’une nouvelle Initiative régionale Ramsar, le Centre international des mangroves (CIM).</w:t>
      </w:r>
    </w:p>
    <w:p w14:paraId="33B7ED8F" w14:textId="77777777" w:rsidR="0007746C" w:rsidRPr="006C643B" w:rsidRDefault="0007746C" w:rsidP="0007746C">
      <w:pPr>
        <w:spacing w:after="0" w:line="240" w:lineRule="auto"/>
        <w:ind w:left="567" w:hanging="567"/>
        <w:rPr>
          <w:rFonts w:eastAsia="Calibri" w:cstheme="minorHAnsi"/>
          <w:bCs/>
          <w:lang w:val="fr-CH"/>
        </w:rPr>
      </w:pPr>
    </w:p>
    <w:p w14:paraId="32215D45" w14:textId="7E84EAC0" w:rsidR="0007746C" w:rsidRPr="006C643B" w:rsidRDefault="008C50AB" w:rsidP="0007746C">
      <w:pPr>
        <w:spacing w:after="0" w:line="240" w:lineRule="auto"/>
        <w:ind w:left="567" w:hanging="567"/>
        <w:rPr>
          <w:rFonts w:eastAsia="Calibri" w:cstheme="minorHAnsi"/>
          <w:bCs/>
          <w:lang w:val="fr-CH"/>
        </w:rPr>
      </w:pPr>
      <w:r>
        <w:rPr>
          <w:rFonts w:eastAsia="Calibri" w:cstheme="minorHAnsi"/>
          <w:bCs/>
          <w:lang w:val="fr-CH"/>
        </w:rPr>
        <w:lastRenderedPageBreak/>
        <w:t>60</w:t>
      </w:r>
      <w:r w:rsidR="0007746C" w:rsidRPr="006C643B">
        <w:rPr>
          <w:rFonts w:eastAsia="Calibri" w:cstheme="minorHAnsi"/>
          <w:bCs/>
          <w:lang w:val="fr-CH"/>
        </w:rPr>
        <w:t>.</w:t>
      </w:r>
      <w:r w:rsidR="0007746C" w:rsidRPr="006C643B">
        <w:rPr>
          <w:rFonts w:eastAsia="Calibri" w:cstheme="minorHAnsi"/>
          <w:bCs/>
          <w:lang w:val="fr-CH"/>
        </w:rPr>
        <w:tab/>
      </w:r>
      <w:r w:rsidR="0007746C">
        <w:rPr>
          <w:rFonts w:eastAsia="Calibri" w:cstheme="minorHAnsi"/>
          <w:bCs/>
          <w:lang w:val="fr-CH"/>
        </w:rPr>
        <w:t xml:space="preserve">La </w:t>
      </w:r>
      <w:r w:rsidR="0007746C" w:rsidRPr="006C643B">
        <w:rPr>
          <w:rFonts w:eastAsia="Calibri" w:cstheme="minorHAnsi"/>
          <w:bCs/>
          <w:lang w:val="fr-CH"/>
        </w:rPr>
        <w:t>Chin</w:t>
      </w:r>
      <w:r w:rsidR="0007746C">
        <w:rPr>
          <w:rFonts w:eastAsia="Calibri" w:cstheme="minorHAnsi"/>
          <w:bCs/>
          <w:lang w:val="fr-CH"/>
        </w:rPr>
        <w:t>e</w:t>
      </w:r>
      <w:r w:rsidR="0007746C" w:rsidRPr="006C643B">
        <w:rPr>
          <w:rFonts w:eastAsia="Calibri" w:cstheme="minorHAnsi"/>
          <w:bCs/>
          <w:lang w:val="fr-CH"/>
        </w:rPr>
        <w:t xml:space="preserve">, </w:t>
      </w:r>
      <w:r w:rsidR="0007746C">
        <w:rPr>
          <w:rFonts w:eastAsia="Calibri" w:cstheme="minorHAnsi"/>
          <w:bCs/>
          <w:lang w:val="fr-CH"/>
        </w:rPr>
        <w:t xml:space="preserve">qui est l’un des auteurs de la proposition de création du CIM, indique que le groupe de contact a reçu des contributions de cinq Parties contractantes ; ces contributions ont été intégrées au </w:t>
      </w:r>
      <w:r w:rsidR="0007746C" w:rsidRPr="006C643B">
        <w:rPr>
          <w:rFonts w:eastAsia="Calibri" w:cstheme="minorHAnsi"/>
          <w:bCs/>
          <w:lang w:val="fr-CH"/>
        </w:rPr>
        <w:t xml:space="preserve">document SC62 Doc.25 Rev.2, </w:t>
      </w:r>
      <w:r w:rsidR="0007746C">
        <w:rPr>
          <w:rFonts w:eastAsia="Calibri" w:cstheme="minorHAnsi"/>
          <w:bCs/>
          <w:lang w:val="fr-CH"/>
        </w:rPr>
        <w:t>publié un peu plus tôt dans la journée, et comprennent des amendements au projet de cahier des charges du CIM, pour examen par le Comité permanent. Les</w:t>
      </w:r>
      <w:r w:rsidR="0007746C" w:rsidRPr="006C643B">
        <w:rPr>
          <w:rFonts w:eastAsia="Calibri" w:cstheme="minorHAnsi"/>
          <w:bCs/>
          <w:lang w:val="fr-CH"/>
        </w:rPr>
        <w:t xml:space="preserve"> Parties </w:t>
      </w:r>
      <w:r w:rsidR="0007746C">
        <w:rPr>
          <w:rFonts w:eastAsia="Calibri" w:cstheme="minorHAnsi"/>
          <w:bCs/>
          <w:lang w:val="fr-CH"/>
        </w:rPr>
        <w:t>expriment leur satisfaction à propos des amendements.</w:t>
      </w:r>
    </w:p>
    <w:p w14:paraId="4503DD22" w14:textId="77777777" w:rsidR="0007746C" w:rsidRPr="006C643B" w:rsidRDefault="0007746C" w:rsidP="0007746C">
      <w:pPr>
        <w:spacing w:after="0" w:line="240" w:lineRule="auto"/>
        <w:ind w:left="567" w:hanging="567"/>
        <w:rPr>
          <w:rFonts w:eastAsia="Calibri" w:cstheme="minorHAnsi"/>
          <w:bCs/>
          <w:lang w:val="fr-CH"/>
        </w:rPr>
      </w:pPr>
    </w:p>
    <w:p w14:paraId="40473C9D" w14:textId="16BB7F27" w:rsidR="0007746C" w:rsidRPr="006C643B" w:rsidRDefault="008C50AB" w:rsidP="0007746C">
      <w:pPr>
        <w:spacing w:after="0" w:line="240" w:lineRule="auto"/>
        <w:ind w:left="567" w:hanging="567"/>
        <w:rPr>
          <w:rFonts w:eastAsia="Calibri" w:cstheme="minorHAnsi"/>
          <w:bCs/>
          <w:lang w:val="fr-CH"/>
        </w:rPr>
      </w:pPr>
      <w:r>
        <w:rPr>
          <w:rFonts w:eastAsia="Calibri" w:cstheme="minorHAnsi"/>
          <w:bCs/>
          <w:lang w:val="fr-CH"/>
        </w:rPr>
        <w:t>61</w:t>
      </w:r>
      <w:r w:rsidR="0007746C" w:rsidRPr="006C643B">
        <w:rPr>
          <w:rFonts w:eastAsia="Calibri" w:cstheme="minorHAnsi"/>
          <w:bCs/>
          <w:lang w:val="fr-CH"/>
        </w:rPr>
        <w:t>.</w:t>
      </w:r>
      <w:r w:rsidR="0007746C" w:rsidRPr="006C643B">
        <w:rPr>
          <w:rFonts w:eastAsia="Calibri" w:cstheme="minorHAnsi"/>
          <w:bCs/>
          <w:lang w:val="fr-CH"/>
        </w:rPr>
        <w:tab/>
      </w:r>
      <w:r w:rsidR="0007746C">
        <w:rPr>
          <w:rFonts w:eastAsia="Calibri" w:cstheme="minorHAnsi"/>
          <w:bCs/>
          <w:lang w:val="fr-CH"/>
        </w:rPr>
        <w:t>Les membres du Comité permanent et un observateur se félicitent des efforts consentis et de la souplesse</w:t>
      </w:r>
      <w:r>
        <w:rPr>
          <w:rFonts w:eastAsia="Calibri" w:cstheme="minorHAnsi"/>
          <w:bCs/>
          <w:lang w:val="fr-CH"/>
        </w:rPr>
        <w:t xml:space="preserve"> d’esprit</w:t>
      </w:r>
      <w:r w:rsidR="0007746C">
        <w:rPr>
          <w:rFonts w:eastAsia="Calibri" w:cstheme="minorHAnsi"/>
          <w:bCs/>
          <w:lang w:val="fr-CH"/>
        </w:rPr>
        <w:t xml:space="preserve"> de la Chine et se réjouissent de la création du CIM ainsi que de la coopération fructueuse attendue entre les Parties concernées et avec d’autres initiatives relatives aux mangroves.</w:t>
      </w:r>
    </w:p>
    <w:p w14:paraId="07ED3605" w14:textId="77777777" w:rsidR="0007746C" w:rsidRPr="006C643B" w:rsidRDefault="0007746C" w:rsidP="0007746C">
      <w:pPr>
        <w:spacing w:after="0" w:line="240" w:lineRule="auto"/>
        <w:ind w:left="567" w:hanging="567"/>
        <w:rPr>
          <w:rFonts w:eastAsia="Calibri" w:cstheme="minorHAnsi"/>
          <w:bCs/>
          <w:lang w:val="fr-CH"/>
        </w:rPr>
      </w:pPr>
    </w:p>
    <w:p w14:paraId="323E0F45" w14:textId="01F399C7" w:rsidR="0007746C" w:rsidRPr="006C643B" w:rsidRDefault="008C50AB" w:rsidP="0007746C">
      <w:pPr>
        <w:spacing w:after="0" w:line="240" w:lineRule="auto"/>
        <w:ind w:left="567" w:hanging="567"/>
        <w:rPr>
          <w:rFonts w:eastAsia="Calibri" w:cstheme="minorHAnsi"/>
          <w:bCs/>
          <w:lang w:val="fr-CH"/>
        </w:rPr>
      </w:pPr>
      <w:r>
        <w:rPr>
          <w:rFonts w:eastAsia="Calibri" w:cstheme="minorHAnsi"/>
          <w:bCs/>
          <w:lang w:val="fr-CH"/>
        </w:rPr>
        <w:t>62</w:t>
      </w:r>
      <w:r w:rsidR="0007746C" w:rsidRPr="006C643B">
        <w:rPr>
          <w:rFonts w:eastAsia="Calibri" w:cstheme="minorHAnsi"/>
          <w:bCs/>
          <w:lang w:val="fr-CH"/>
        </w:rPr>
        <w:t>.</w:t>
      </w:r>
      <w:r w:rsidR="0007746C" w:rsidRPr="006C643B">
        <w:rPr>
          <w:rFonts w:eastAsia="Calibri" w:cstheme="minorHAnsi"/>
          <w:bCs/>
          <w:lang w:val="fr-CH"/>
        </w:rPr>
        <w:tab/>
      </w:r>
      <w:r w:rsidR="0007746C">
        <w:rPr>
          <w:rFonts w:eastAsia="Calibri" w:cstheme="minorHAnsi"/>
          <w:bCs/>
          <w:lang w:val="fr-CH"/>
        </w:rPr>
        <w:t xml:space="preserve">Le Brésil, la Chine, le </w:t>
      </w:r>
      <w:r w:rsidR="0007746C" w:rsidRPr="006C643B">
        <w:rPr>
          <w:rFonts w:eastAsia="Calibri" w:cstheme="minorHAnsi"/>
          <w:bCs/>
          <w:lang w:val="fr-CH"/>
        </w:rPr>
        <w:t xml:space="preserve">Costa Rica </w:t>
      </w:r>
      <w:r w:rsidR="0007746C">
        <w:rPr>
          <w:rFonts w:eastAsia="Calibri" w:cstheme="minorHAnsi"/>
          <w:bCs/>
          <w:lang w:val="fr-CH"/>
        </w:rPr>
        <w:t>et</w:t>
      </w:r>
      <w:r w:rsidR="0007746C" w:rsidRPr="006C643B">
        <w:rPr>
          <w:rFonts w:eastAsia="Calibri" w:cstheme="minorHAnsi"/>
          <w:bCs/>
          <w:lang w:val="fr-CH"/>
        </w:rPr>
        <w:t xml:space="preserve"> Wetlands International, </w:t>
      </w:r>
      <w:r w:rsidR="0007746C">
        <w:rPr>
          <w:rFonts w:eastAsia="Calibri" w:cstheme="minorHAnsi"/>
          <w:bCs/>
          <w:lang w:val="fr-CH"/>
        </w:rPr>
        <w:t>également au nom de l’UICN et du WWF, interviennent dans la discussion.</w:t>
      </w:r>
    </w:p>
    <w:p w14:paraId="11DC9F6A" w14:textId="77777777" w:rsidR="0007746C" w:rsidRPr="00EA7C1A" w:rsidRDefault="0007746C" w:rsidP="0007746C">
      <w:pPr>
        <w:spacing w:after="0" w:line="240" w:lineRule="auto"/>
        <w:ind w:left="567" w:hanging="567"/>
        <w:rPr>
          <w:rFonts w:eastAsia="Calibri" w:cstheme="minorHAnsi"/>
          <w:bCs/>
          <w:lang w:val="fr-FR"/>
        </w:rPr>
      </w:pPr>
    </w:p>
    <w:p w14:paraId="57DC54B6" w14:textId="77777777" w:rsidR="0007746C" w:rsidRPr="006C643B" w:rsidRDefault="0007746C" w:rsidP="0007746C">
      <w:pPr>
        <w:spacing w:after="0" w:line="240" w:lineRule="auto"/>
        <w:rPr>
          <w:b/>
          <w:lang w:val="fr-CH"/>
        </w:rPr>
      </w:pPr>
      <w:r w:rsidRPr="006C643B">
        <w:rPr>
          <w:rFonts w:cstheme="minorHAnsi"/>
          <w:b/>
          <w:lang w:val="fr-CH"/>
        </w:rPr>
        <w:t>Décision SC62-2</w:t>
      </w:r>
      <w:r>
        <w:rPr>
          <w:rFonts w:cstheme="minorHAnsi"/>
          <w:b/>
          <w:lang w:val="fr-CH"/>
        </w:rPr>
        <w:t>2</w:t>
      </w:r>
      <w:r w:rsidRPr="006C643B">
        <w:rPr>
          <w:rFonts w:cstheme="minorHAnsi"/>
          <w:b/>
          <w:lang w:val="fr-CH"/>
        </w:rPr>
        <w:t xml:space="preserve"> : </w:t>
      </w:r>
      <w:r>
        <w:rPr>
          <w:b/>
          <w:lang w:val="fr-CH"/>
        </w:rPr>
        <w:t xml:space="preserve">Le Comité permanent approuve la création du Centre international des mangroves comme nouvelle Initiative régionale Ramsar dans le cadre de la Convention, avec le cahier des charges qui figure en Appendice 1 de l’Annexe 2 du </w:t>
      </w:r>
      <w:r w:rsidRPr="006C643B">
        <w:rPr>
          <w:b/>
          <w:lang w:val="fr-CH"/>
        </w:rPr>
        <w:t>document SC62 Doc.25 Rev.2.</w:t>
      </w:r>
    </w:p>
    <w:p w14:paraId="3AAAB497" w14:textId="77777777" w:rsidR="0007746C" w:rsidRPr="006C643B" w:rsidRDefault="0007746C" w:rsidP="0007746C">
      <w:pPr>
        <w:spacing w:after="0" w:line="240" w:lineRule="auto"/>
        <w:ind w:left="567" w:hanging="567"/>
        <w:rPr>
          <w:lang w:val="fr-CH"/>
        </w:rPr>
      </w:pPr>
    </w:p>
    <w:p w14:paraId="41DEE2F7" w14:textId="77777777" w:rsidR="0007746C" w:rsidRPr="006C643B" w:rsidRDefault="0007746C" w:rsidP="0007746C">
      <w:pPr>
        <w:spacing w:after="0" w:line="240" w:lineRule="auto"/>
        <w:rPr>
          <w:b/>
          <w:lang w:val="fr-CH"/>
        </w:rPr>
      </w:pPr>
      <w:r w:rsidRPr="006C643B">
        <w:rPr>
          <w:rFonts w:cstheme="minorHAnsi"/>
          <w:b/>
          <w:lang w:val="fr-CH"/>
        </w:rPr>
        <w:t>Décision SC62-2</w:t>
      </w:r>
      <w:r>
        <w:rPr>
          <w:rFonts w:cstheme="minorHAnsi"/>
          <w:b/>
          <w:lang w:val="fr-CH"/>
        </w:rPr>
        <w:t>3</w:t>
      </w:r>
      <w:r w:rsidRPr="006C643B">
        <w:rPr>
          <w:rFonts w:cstheme="minorHAnsi"/>
          <w:b/>
          <w:lang w:val="fr-CH"/>
        </w:rPr>
        <w:t xml:space="preserve"> : </w:t>
      </w:r>
      <w:r>
        <w:rPr>
          <w:b/>
          <w:lang w:val="fr-CH"/>
        </w:rPr>
        <w:t xml:space="preserve">Le Comité permanent prend note du fait qu’un appel à propositions pour de nouvelles Initiatives régionales Ramsar a été lancé, conformément à la Résolution </w:t>
      </w:r>
      <w:r w:rsidRPr="006C643B">
        <w:rPr>
          <w:b/>
          <w:lang w:val="fr-CH"/>
        </w:rPr>
        <w:t xml:space="preserve">XIV.7, </w:t>
      </w:r>
      <w:r w:rsidRPr="00EA7C1A">
        <w:rPr>
          <w:b/>
          <w:lang w:val="fr-CH"/>
        </w:rPr>
        <w:t>que le délai a été fixé, pour les réponses, au 30 septembre 2023 ; et que le Secrétariat rendra compte de</w:t>
      </w:r>
      <w:r>
        <w:rPr>
          <w:b/>
          <w:lang w:val="fr-CH"/>
        </w:rPr>
        <w:t>s résultats au Comité permanent, à sa 63</w:t>
      </w:r>
      <w:r w:rsidRPr="00E10766">
        <w:rPr>
          <w:b/>
          <w:vertAlign w:val="superscript"/>
          <w:lang w:val="fr-CH"/>
        </w:rPr>
        <w:t>e</w:t>
      </w:r>
      <w:r>
        <w:rPr>
          <w:b/>
          <w:lang w:val="fr-CH"/>
        </w:rPr>
        <w:t> Réunion.</w:t>
      </w:r>
      <w:r w:rsidRPr="006C643B">
        <w:rPr>
          <w:b/>
          <w:lang w:val="fr-CH"/>
        </w:rPr>
        <w:t xml:space="preserve"> </w:t>
      </w:r>
    </w:p>
    <w:p w14:paraId="1EB5FCF7" w14:textId="77777777" w:rsidR="0007746C" w:rsidRPr="006C643B" w:rsidRDefault="0007746C" w:rsidP="0007746C">
      <w:pPr>
        <w:spacing w:after="0" w:line="240" w:lineRule="auto"/>
        <w:rPr>
          <w:lang w:val="fr-CH"/>
        </w:rPr>
      </w:pPr>
    </w:p>
    <w:p w14:paraId="46B66466" w14:textId="77777777" w:rsidR="0007746C" w:rsidRPr="00215FC5" w:rsidRDefault="0007746C" w:rsidP="0007746C">
      <w:pPr>
        <w:keepNext/>
        <w:keepLines/>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EE162B">
        <w:rPr>
          <w:rFonts w:cstheme="minorHAnsi"/>
          <w:bCs/>
          <w:lang w:val="fr-CH"/>
        </w:rPr>
        <w:t xml:space="preserve">Point </w:t>
      </w:r>
      <w:r>
        <w:rPr>
          <w:rFonts w:cstheme="minorHAnsi"/>
          <w:bCs/>
          <w:lang w:val="fr-CH"/>
        </w:rPr>
        <w:t>1</w:t>
      </w:r>
      <w:r w:rsidRPr="00EE162B">
        <w:rPr>
          <w:rFonts w:cstheme="minorHAnsi"/>
          <w:bCs/>
          <w:lang w:val="fr-CH"/>
        </w:rPr>
        <w:t>5 de l’ordre du jour </w:t>
      </w:r>
      <w:r w:rsidRPr="00215FC5">
        <w:rPr>
          <w:rFonts w:cstheme="minorHAnsi"/>
          <w:bCs/>
          <w:lang w:val="fr-FR"/>
        </w:rPr>
        <w:t xml:space="preserve">: Révision et regroupement des Résolutions en vigueur </w:t>
      </w:r>
      <w:r w:rsidRPr="00215FC5">
        <w:rPr>
          <w:lang w:val="fr-FR"/>
        </w:rPr>
        <w:t>(</w:t>
      </w:r>
      <w:r>
        <w:rPr>
          <w:lang w:val="fr-FR"/>
        </w:rPr>
        <w:t>suite</w:t>
      </w:r>
      <w:r w:rsidRPr="00215FC5">
        <w:rPr>
          <w:lang w:val="fr-FR"/>
        </w:rPr>
        <w:t>)</w:t>
      </w:r>
    </w:p>
    <w:p w14:paraId="5E3680A2" w14:textId="77777777" w:rsidR="0007746C" w:rsidRPr="00215FC5" w:rsidRDefault="0007746C" w:rsidP="0007746C">
      <w:pPr>
        <w:keepNext/>
        <w:keepLines/>
        <w:spacing w:after="0" w:line="240" w:lineRule="auto"/>
        <w:ind w:left="360"/>
        <w:rPr>
          <w:lang w:val="fr-FR"/>
        </w:rPr>
      </w:pPr>
    </w:p>
    <w:p w14:paraId="6BF1B00C" w14:textId="14F5F588" w:rsidR="0007746C" w:rsidRPr="00E10766" w:rsidRDefault="008C50AB" w:rsidP="0007746C">
      <w:pPr>
        <w:keepNext/>
        <w:keepLines/>
        <w:spacing w:after="0" w:line="240" w:lineRule="auto"/>
        <w:ind w:left="560" w:hanging="560"/>
        <w:rPr>
          <w:lang w:val="fr-CH"/>
        </w:rPr>
      </w:pPr>
      <w:r>
        <w:rPr>
          <w:lang w:val="fr-CH"/>
        </w:rPr>
        <w:t>63</w:t>
      </w:r>
      <w:r w:rsidR="0007746C" w:rsidRPr="00E10766">
        <w:rPr>
          <w:lang w:val="fr-CH"/>
        </w:rPr>
        <w:t>.</w:t>
      </w:r>
      <w:r w:rsidR="0007746C" w:rsidRPr="00E10766">
        <w:rPr>
          <w:lang w:val="fr-CH"/>
        </w:rPr>
        <w:tab/>
      </w:r>
      <w:r w:rsidR="0007746C">
        <w:rPr>
          <w:lang w:val="fr-CH"/>
        </w:rPr>
        <w:t>Après une brève réunion du Sous-groupe sur les finances, le Président du Sous</w:t>
      </w:r>
      <w:r w:rsidR="0007746C">
        <w:rPr>
          <w:lang w:val="fr-CH"/>
        </w:rPr>
        <w:noBreakHyphen/>
        <w:t xml:space="preserve">groupe signale qu’un consensus a été trouvé sur la recommandation visant à allouer un montant additionnel de </w:t>
      </w:r>
      <w:r w:rsidR="0007746C" w:rsidRPr="00E10766">
        <w:rPr>
          <w:lang w:val="fr-CH"/>
        </w:rPr>
        <w:t>11</w:t>
      </w:r>
      <w:r w:rsidR="0007746C">
        <w:rPr>
          <w:lang w:val="fr-CH"/>
        </w:rPr>
        <w:t> </w:t>
      </w:r>
      <w:r w:rsidR="0007746C" w:rsidRPr="00E10766">
        <w:rPr>
          <w:lang w:val="fr-CH"/>
        </w:rPr>
        <w:t>000</w:t>
      </w:r>
      <w:r w:rsidR="0007746C">
        <w:rPr>
          <w:lang w:val="fr-CH"/>
        </w:rPr>
        <w:t> CHF pour permettre de porter à quatre le nombre total de catégories couvertes par l’exercice de regroupement.</w:t>
      </w:r>
      <w:r w:rsidR="0007746C" w:rsidRPr="00E10766">
        <w:rPr>
          <w:lang w:val="fr-CH"/>
        </w:rPr>
        <w:t xml:space="preserve"> </w:t>
      </w:r>
    </w:p>
    <w:p w14:paraId="31FBBD76" w14:textId="77777777" w:rsidR="0007746C" w:rsidRPr="00E10766" w:rsidRDefault="0007746C" w:rsidP="0007746C">
      <w:pPr>
        <w:spacing w:after="0" w:line="240" w:lineRule="auto"/>
        <w:ind w:left="720" w:hanging="720"/>
        <w:rPr>
          <w:lang w:val="fr-CH"/>
        </w:rPr>
      </w:pPr>
    </w:p>
    <w:p w14:paraId="21A03082" w14:textId="77777777" w:rsidR="0007746C" w:rsidRPr="00933514" w:rsidRDefault="0007746C" w:rsidP="0007746C">
      <w:pPr>
        <w:spacing w:after="0" w:line="240" w:lineRule="auto"/>
        <w:rPr>
          <w:rFonts w:cstheme="minorHAnsi"/>
          <w:b/>
          <w:lang w:val="fr-FR"/>
        </w:rPr>
      </w:pPr>
      <w:r w:rsidRPr="00933514">
        <w:rPr>
          <w:rFonts w:cstheme="minorHAnsi"/>
          <w:b/>
          <w:lang w:val="fr-FR"/>
        </w:rPr>
        <w:t>Décision SC62-2</w:t>
      </w:r>
      <w:r>
        <w:rPr>
          <w:rFonts w:cstheme="minorHAnsi"/>
          <w:b/>
          <w:lang w:val="fr-FR"/>
        </w:rPr>
        <w:t>4</w:t>
      </w:r>
      <w:r w:rsidRPr="00933514">
        <w:rPr>
          <w:rFonts w:cstheme="minorHAnsi"/>
          <w:b/>
          <w:lang w:val="fr-FR"/>
        </w:rPr>
        <w:t xml:space="preserve"> : Le Comité permanent décide d’allouer 33 000 CHF des fonds excédentaires pour </w:t>
      </w:r>
      <w:r>
        <w:rPr>
          <w:rFonts w:cstheme="minorHAnsi"/>
          <w:b/>
          <w:lang w:val="fr-FR"/>
        </w:rPr>
        <w:t xml:space="preserve">engager </w:t>
      </w:r>
      <w:r w:rsidRPr="00933514">
        <w:rPr>
          <w:rFonts w:cstheme="minorHAnsi"/>
          <w:b/>
          <w:lang w:val="fr-FR"/>
        </w:rPr>
        <w:t>des consulta</w:t>
      </w:r>
      <w:r>
        <w:rPr>
          <w:rFonts w:cstheme="minorHAnsi"/>
          <w:b/>
          <w:lang w:val="fr-FR"/>
        </w:rPr>
        <w:t>nts</w:t>
      </w:r>
      <w:r w:rsidRPr="00933514">
        <w:rPr>
          <w:rFonts w:cstheme="minorHAnsi"/>
          <w:b/>
          <w:lang w:val="fr-FR"/>
        </w:rPr>
        <w:t xml:space="preserve"> en vu</w:t>
      </w:r>
      <w:r>
        <w:rPr>
          <w:rFonts w:cstheme="minorHAnsi"/>
          <w:b/>
          <w:lang w:val="fr-FR"/>
        </w:rPr>
        <w:t>e de soutenir le processus</w:t>
      </w:r>
      <w:r w:rsidRPr="00933514">
        <w:rPr>
          <w:rFonts w:cstheme="minorHAnsi"/>
          <w:b/>
          <w:lang w:val="fr-FR"/>
        </w:rPr>
        <w:t xml:space="preserve"> </w:t>
      </w:r>
      <w:r>
        <w:rPr>
          <w:rFonts w:cstheme="minorHAnsi"/>
          <w:b/>
          <w:lang w:val="fr-FR"/>
        </w:rPr>
        <w:t>de regroupement et de révision des Résolutions</w:t>
      </w:r>
      <w:r w:rsidRPr="00933514">
        <w:rPr>
          <w:rFonts w:cstheme="minorHAnsi"/>
          <w:b/>
          <w:lang w:val="fr-FR"/>
        </w:rPr>
        <w:t>.</w:t>
      </w:r>
    </w:p>
    <w:p w14:paraId="1971C07F" w14:textId="77777777" w:rsidR="0007746C" w:rsidRPr="00933514" w:rsidRDefault="0007746C" w:rsidP="0007746C">
      <w:pPr>
        <w:spacing w:after="0" w:line="240" w:lineRule="auto"/>
        <w:rPr>
          <w:rFonts w:cstheme="minorHAnsi"/>
          <w:b/>
          <w:lang w:val="fr-FR"/>
        </w:rPr>
      </w:pPr>
    </w:p>
    <w:p w14:paraId="3BF296BD" w14:textId="42F5FDDB" w:rsidR="0007746C" w:rsidRPr="00933514" w:rsidRDefault="0007746C" w:rsidP="0007746C">
      <w:pPr>
        <w:spacing w:after="0" w:line="240" w:lineRule="auto"/>
        <w:rPr>
          <w:rFonts w:cs="Calibri"/>
          <w:b/>
          <w:lang w:val="fr-FR"/>
        </w:rPr>
      </w:pPr>
      <w:r w:rsidRPr="00933514">
        <w:rPr>
          <w:rFonts w:cstheme="minorHAnsi"/>
          <w:b/>
          <w:lang w:val="fr-FR"/>
        </w:rPr>
        <w:t>Décision SC62-2</w:t>
      </w:r>
      <w:r>
        <w:rPr>
          <w:rFonts w:cstheme="minorHAnsi"/>
          <w:b/>
          <w:lang w:val="fr-FR"/>
        </w:rPr>
        <w:t>5</w:t>
      </w:r>
      <w:r w:rsidRPr="00933514">
        <w:rPr>
          <w:rFonts w:cstheme="minorHAnsi"/>
          <w:b/>
          <w:lang w:val="fr-FR"/>
        </w:rPr>
        <w:t xml:space="preserve"> : Le Comité permanent sélectionne </w:t>
      </w:r>
      <w:r>
        <w:rPr>
          <w:rFonts w:cstheme="minorHAnsi"/>
          <w:b/>
          <w:lang w:val="fr-FR"/>
        </w:rPr>
        <w:t>« </w:t>
      </w:r>
      <w:r w:rsidRPr="00933514">
        <w:rPr>
          <w:rFonts w:cstheme="minorHAnsi"/>
          <w:b/>
          <w:lang w:val="fr-FR"/>
        </w:rPr>
        <w:t>Inventaires</w:t>
      </w:r>
      <w:r>
        <w:rPr>
          <w:rFonts w:cstheme="minorHAnsi"/>
          <w:b/>
          <w:lang w:val="fr-FR"/>
        </w:rPr>
        <w:t> »</w:t>
      </w:r>
      <w:r w:rsidRPr="00933514">
        <w:rPr>
          <w:rFonts w:cstheme="minorHAnsi"/>
          <w:b/>
          <w:lang w:val="fr-FR"/>
        </w:rPr>
        <w:t xml:space="preserve">, </w:t>
      </w:r>
      <w:r>
        <w:rPr>
          <w:rFonts w:cstheme="minorHAnsi"/>
          <w:b/>
          <w:lang w:val="fr-FR"/>
        </w:rPr>
        <w:t>« </w:t>
      </w:r>
      <w:r w:rsidRPr="00933514">
        <w:rPr>
          <w:rFonts w:cstheme="minorHAnsi"/>
          <w:b/>
          <w:lang w:val="fr-FR"/>
        </w:rPr>
        <w:t>CESP</w:t>
      </w:r>
      <w:r>
        <w:rPr>
          <w:rFonts w:cstheme="minorHAnsi"/>
          <w:b/>
          <w:lang w:val="fr-FR"/>
        </w:rPr>
        <w:t> »</w:t>
      </w:r>
      <w:r w:rsidRPr="00933514">
        <w:rPr>
          <w:rFonts w:cstheme="minorHAnsi"/>
          <w:b/>
          <w:lang w:val="fr-FR"/>
        </w:rPr>
        <w:t xml:space="preserve">, </w:t>
      </w:r>
      <w:r>
        <w:rPr>
          <w:rFonts w:cstheme="minorHAnsi"/>
          <w:b/>
          <w:lang w:val="fr-FR"/>
        </w:rPr>
        <w:t>« </w:t>
      </w:r>
      <w:r w:rsidRPr="00EA7C1A">
        <w:rPr>
          <w:b/>
          <w:lang w:val="fr-FR"/>
        </w:rPr>
        <w:t>Eau, orientations relatives à l’eau, gestion de l’eau</w:t>
      </w:r>
      <w:r>
        <w:rPr>
          <w:b/>
          <w:lang w:val="fr-FR"/>
        </w:rPr>
        <w:t> »</w:t>
      </w:r>
      <w:r w:rsidRPr="00933514">
        <w:rPr>
          <w:b/>
          <w:lang w:val="fr-FR"/>
        </w:rPr>
        <w:t xml:space="preserve"> </w:t>
      </w:r>
      <w:r>
        <w:rPr>
          <w:b/>
          <w:lang w:val="fr-FR"/>
        </w:rPr>
        <w:t>ainsi que</w:t>
      </w:r>
      <w:r w:rsidRPr="00933514">
        <w:rPr>
          <w:b/>
          <w:lang w:val="fr-FR"/>
        </w:rPr>
        <w:t xml:space="preserve"> </w:t>
      </w:r>
      <w:r>
        <w:rPr>
          <w:b/>
          <w:lang w:val="fr-FR"/>
        </w:rPr>
        <w:t>« Évaluation des valeurs et services des zones humides »</w:t>
      </w:r>
      <w:r w:rsidRPr="00933514">
        <w:rPr>
          <w:b/>
          <w:lang w:val="fr-FR"/>
        </w:rPr>
        <w:t xml:space="preserve"> </w:t>
      </w:r>
      <w:r>
        <w:rPr>
          <w:b/>
          <w:lang w:val="fr-FR"/>
        </w:rPr>
        <w:t xml:space="preserve">comme catégories pour lesquelles des projets de regroupement seront préparés pour examen </w:t>
      </w:r>
      <w:r w:rsidR="002555E6">
        <w:rPr>
          <w:b/>
          <w:lang w:val="fr-FR"/>
        </w:rPr>
        <w:t xml:space="preserve">par le Comité permanent </w:t>
      </w:r>
      <w:r>
        <w:rPr>
          <w:b/>
          <w:lang w:val="fr-FR"/>
        </w:rPr>
        <w:t xml:space="preserve">à </w:t>
      </w:r>
      <w:r w:rsidR="002555E6">
        <w:rPr>
          <w:b/>
          <w:lang w:val="fr-FR"/>
        </w:rPr>
        <w:t>s</w:t>
      </w:r>
      <w:r>
        <w:rPr>
          <w:b/>
          <w:lang w:val="fr-FR"/>
        </w:rPr>
        <w:t>a 63</w:t>
      </w:r>
      <w:r w:rsidRPr="00933514">
        <w:rPr>
          <w:b/>
          <w:vertAlign w:val="superscript"/>
          <w:lang w:val="fr-FR"/>
        </w:rPr>
        <w:t>e</w:t>
      </w:r>
      <w:r>
        <w:rPr>
          <w:b/>
          <w:lang w:val="fr-FR"/>
        </w:rPr>
        <w:t> Réunion</w:t>
      </w:r>
      <w:r w:rsidRPr="00933514">
        <w:rPr>
          <w:b/>
          <w:lang w:val="fr-FR"/>
        </w:rPr>
        <w:t>.</w:t>
      </w:r>
    </w:p>
    <w:p w14:paraId="648D98E4" w14:textId="77777777" w:rsidR="0007746C" w:rsidRPr="00933514" w:rsidRDefault="0007746C" w:rsidP="0007746C">
      <w:pPr>
        <w:keepNext/>
        <w:spacing w:after="0" w:line="240" w:lineRule="auto"/>
        <w:rPr>
          <w:rFonts w:cstheme="minorHAnsi"/>
          <w:lang w:val="fr-FR"/>
        </w:rPr>
      </w:pPr>
    </w:p>
    <w:p w14:paraId="272F4091" w14:textId="77777777" w:rsidR="0007746C" w:rsidRPr="00215FC5"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215FC5">
        <w:rPr>
          <w:rFonts w:cstheme="minorHAnsi"/>
          <w:bCs/>
          <w:lang w:val="fr-FR"/>
        </w:rPr>
        <w:t xml:space="preserve">Point 16.1 de l’ordre du jour : </w:t>
      </w:r>
      <w:r w:rsidRPr="00215FC5">
        <w:rPr>
          <w:lang w:val="fr-FR"/>
        </w:rPr>
        <w:t>Communication, renforcement des capacités, éducation,</w:t>
      </w:r>
      <w:r>
        <w:rPr>
          <w:lang w:val="fr-FR"/>
        </w:rPr>
        <w:t xml:space="preserve"> </w:t>
      </w:r>
      <w:r w:rsidRPr="00215FC5">
        <w:rPr>
          <w:lang w:val="fr-FR"/>
        </w:rPr>
        <w:t xml:space="preserve">sensibilisation et participation (CESP) : Rapport du Président du </w:t>
      </w:r>
      <w:bookmarkStart w:id="3" w:name="_Hlk144902497"/>
      <w:r w:rsidRPr="00215FC5">
        <w:rPr>
          <w:lang w:val="fr-FR"/>
        </w:rPr>
        <w:t>Groupe de surveillance des activités de CESP</w:t>
      </w:r>
    </w:p>
    <w:p w14:paraId="5ACCB711" w14:textId="77777777" w:rsidR="0007746C" w:rsidRPr="00215FC5" w:rsidRDefault="0007746C" w:rsidP="0007746C">
      <w:pPr>
        <w:spacing w:after="0" w:line="240" w:lineRule="auto"/>
        <w:rPr>
          <w:lang w:val="fr-FR"/>
        </w:rPr>
      </w:pPr>
    </w:p>
    <w:bookmarkEnd w:id="3"/>
    <w:p w14:paraId="7A97F072" w14:textId="72189FB6" w:rsidR="0007746C" w:rsidRPr="00E10766" w:rsidRDefault="0007746C" w:rsidP="0007746C">
      <w:pPr>
        <w:keepNext/>
        <w:keepLines/>
        <w:spacing w:after="0" w:line="240" w:lineRule="auto"/>
        <w:ind w:left="560" w:hanging="560"/>
        <w:rPr>
          <w:lang w:val="fr-CH"/>
        </w:rPr>
      </w:pPr>
      <w:r w:rsidRPr="00206B0A">
        <w:rPr>
          <w:lang w:val="fr-CH"/>
        </w:rPr>
        <w:t>6</w:t>
      </w:r>
      <w:r w:rsidR="002555E6">
        <w:rPr>
          <w:lang w:val="fr-CH"/>
        </w:rPr>
        <w:t>4</w:t>
      </w:r>
      <w:r w:rsidRPr="00206B0A">
        <w:rPr>
          <w:lang w:val="fr-CH"/>
        </w:rPr>
        <w:t>.</w:t>
      </w:r>
      <w:r w:rsidRPr="00206B0A">
        <w:rPr>
          <w:lang w:val="fr-CH"/>
        </w:rPr>
        <w:tab/>
      </w:r>
      <w:r>
        <w:rPr>
          <w:lang w:val="fr-CH"/>
        </w:rPr>
        <w:t xml:space="preserve">Le </w:t>
      </w:r>
      <w:r w:rsidRPr="00206B0A">
        <w:rPr>
          <w:lang w:val="fr-CH"/>
        </w:rPr>
        <w:t xml:space="preserve">Wildfowl &amp; Wetlands Trust, </w:t>
      </w:r>
      <w:r>
        <w:rPr>
          <w:lang w:val="fr-CH"/>
        </w:rPr>
        <w:t>en tant que Vice-Président du Groupe de surveillance des activités de CESP, présente le</w:t>
      </w:r>
      <w:r w:rsidRPr="00206B0A">
        <w:rPr>
          <w:lang w:val="fr-CH"/>
        </w:rPr>
        <w:t xml:space="preserve"> document SC62 Doc.16.1, </w:t>
      </w:r>
      <w:r>
        <w:rPr>
          <w:lang w:val="fr-CH"/>
        </w:rPr>
        <w:t>qui décrit la composition du nouveau Groupe et les travaux accomplis à ce jour, notamment concernant la préparation et l’application initiale du plan de travail du Groupe pour la période triennale.</w:t>
      </w:r>
      <w:r w:rsidRPr="00E10766">
        <w:rPr>
          <w:lang w:val="fr-CH"/>
        </w:rPr>
        <w:t xml:space="preserve"> </w:t>
      </w:r>
    </w:p>
    <w:p w14:paraId="31F04D7C" w14:textId="77777777" w:rsidR="0007746C" w:rsidRPr="00206B0A" w:rsidRDefault="0007746C" w:rsidP="0007746C">
      <w:pPr>
        <w:keepNext/>
        <w:keepLines/>
        <w:spacing w:after="0" w:line="240" w:lineRule="auto"/>
        <w:ind w:left="560" w:hanging="560"/>
        <w:rPr>
          <w:lang w:val="fr-CH"/>
        </w:rPr>
      </w:pPr>
    </w:p>
    <w:p w14:paraId="6AD9627D" w14:textId="77777777" w:rsidR="0007746C" w:rsidRPr="00215FC5" w:rsidRDefault="0007746C" w:rsidP="0007746C">
      <w:pPr>
        <w:rPr>
          <w:rFonts w:cstheme="minorHAnsi"/>
          <w:b/>
          <w:lang w:val="fr-FR"/>
        </w:rPr>
      </w:pPr>
      <w:r w:rsidRPr="00215FC5">
        <w:rPr>
          <w:rFonts w:cstheme="minorHAnsi"/>
          <w:b/>
          <w:lang w:val="fr-FR"/>
        </w:rPr>
        <w:t>Décision SC62-2</w:t>
      </w:r>
      <w:r>
        <w:rPr>
          <w:rFonts w:cstheme="minorHAnsi"/>
          <w:b/>
          <w:lang w:val="fr-FR"/>
        </w:rPr>
        <w:t>6</w:t>
      </w:r>
      <w:r w:rsidRPr="00215FC5">
        <w:rPr>
          <w:rFonts w:cstheme="minorHAnsi"/>
          <w:b/>
          <w:lang w:val="fr-FR"/>
        </w:rPr>
        <w:t> : Le Comité permanent prend note du rapport du Groupe de surveillance des activités de CESP</w:t>
      </w:r>
      <w:r>
        <w:rPr>
          <w:rFonts w:cstheme="minorHAnsi"/>
          <w:b/>
          <w:lang w:val="fr-FR"/>
        </w:rPr>
        <w:t xml:space="preserve"> figurant dans le</w:t>
      </w:r>
      <w:r w:rsidRPr="00215FC5">
        <w:rPr>
          <w:rFonts w:cstheme="minorHAnsi"/>
          <w:b/>
          <w:lang w:val="fr-FR"/>
        </w:rPr>
        <w:t xml:space="preserve"> document SC62 Doc.16.1. </w:t>
      </w:r>
    </w:p>
    <w:p w14:paraId="30A44A73" w14:textId="77777777" w:rsidR="0007746C" w:rsidRPr="00215FC5" w:rsidRDefault="0007746C" w:rsidP="0007746C">
      <w:pPr>
        <w:spacing w:after="0" w:line="240" w:lineRule="auto"/>
        <w:ind w:left="720" w:hanging="720"/>
        <w:rPr>
          <w:rFonts w:cstheme="minorHAnsi"/>
          <w:b/>
          <w:lang w:val="fr-FR"/>
        </w:rPr>
      </w:pPr>
    </w:p>
    <w:p w14:paraId="29C8ED21" w14:textId="77777777" w:rsidR="0007746C" w:rsidRPr="00215FC5"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215FC5">
        <w:rPr>
          <w:rFonts w:cstheme="minorHAnsi"/>
          <w:bCs/>
          <w:lang w:val="fr-FR"/>
        </w:rPr>
        <w:t xml:space="preserve">Point 16.2 de l’ordre du jour : </w:t>
      </w:r>
      <w:r w:rsidRPr="00215FC5">
        <w:rPr>
          <w:lang w:val="fr-FR"/>
        </w:rPr>
        <w:t>Communication, renforcement des capacités, éducation,</w:t>
      </w:r>
      <w:r>
        <w:rPr>
          <w:lang w:val="fr-FR"/>
        </w:rPr>
        <w:t xml:space="preserve"> </w:t>
      </w:r>
      <w:r w:rsidRPr="00215FC5">
        <w:rPr>
          <w:lang w:val="fr-FR"/>
        </w:rPr>
        <w:t>sensibilisation et participation (CESP) :</w:t>
      </w:r>
      <w:r>
        <w:rPr>
          <w:lang w:val="fr-FR"/>
        </w:rPr>
        <w:t xml:space="preserve"> </w:t>
      </w:r>
      <w:r w:rsidRPr="00215FC5">
        <w:rPr>
          <w:lang w:val="fr-FR"/>
        </w:rPr>
        <w:t>Plan de travail du Groupe de surveillance des activités de CESP, 2023-2025</w:t>
      </w:r>
    </w:p>
    <w:p w14:paraId="1C3DCC2E" w14:textId="77777777" w:rsidR="0007746C" w:rsidRPr="00215FC5" w:rsidRDefault="0007746C" w:rsidP="0007746C">
      <w:pPr>
        <w:spacing w:after="0" w:line="240" w:lineRule="auto"/>
        <w:rPr>
          <w:lang w:val="fr-FR"/>
        </w:rPr>
      </w:pPr>
    </w:p>
    <w:p w14:paraId="09CEB53D" w14:textId="42CFA7B3" w:rsidR="0007746C" w:rsidRPr="00E10766" w:rsidRDefault="002555E6" w:rsidP="0007746C">
      <w:pPr>
        <w:keepNext/>
        <w:keepLines/>
        <w:spacing w:after="0" w:line="240" w:lineRule="auto"/>
        <w:ind w:left="560" w:hanging="560"/>
        <w:rPr>
          <w:lang w:val="fr-CH"/>
        </w:rPr>
      </w:pPr>
      <w:r>
        <w:rPr>
          <w:lang w:val="fr-CH"/>
        </w:rPr>
        <w:t>65</w:t>
      </w:r>
      <w:r w:rsidR="0007746C" w:rsidRPr="00206B0A">
        <w:rPr>
          <w:lang w:val="fr-CH"/>
        </w:rPr>
        <w:t>.</w:t>
      </w:r>
      <w:r w:rsidR="0007746C" w:rsidRPr="00206B0A">
        <w:rPr>
          <w:lang w:val="fr-CH"/>
        </w:rPr>
        <w:tab/>
      </w:r>
      <w:r w:rsidR="0007746C">
        <w:rPr>
          <w:lang w:val="fr-CH"/>
        </w:rPr>
        <w:t>L</w:t>
      </w:r>
      <w:r w:rsidR="0007746C" w:rsidRPr="00206B0A">
        <w:rPr>
          <w:lang w:val="fr-CH"/>
        </w:rPr>
        <w:t xml:space="preserve">e Wildfowl &amp; Wetlands Trust, </w:t>
      </w:r>
      <w:r w:rsidR="0007746C">
        <w:rPr>
          <w:lang w:val="fr-CH"/>
        </w:rPr>
        <w:t>en tant que Vice-Président du Groupe de surveillance des activités de CESP, présente le</w:t>
      </w:r>
      <w:r w:rsidR="0007746C" w:rsidRPr="00206B0A">
        <w:rPr>
          <w:lang w:val="fr-CH"/>
        </w:rPr>
        <w:t xml:space="preserve"> document SC62 Doc.16.2, </w:t>
      </w:r>
      <w:r w:rsidR="0007746C">
        <w:rPr>
          <w:lang w:val="fr-CH"/>
        </w:rPr>
        <w:t xml:space="preserve">décrivant le plan de travail du Groupe pour la période triennale et soulignant les tâches concernées : renforcer l’appui aux Correspondants nationaux CESP ; examiner les orientations de CESP ; collaborer avec le GEST pour optimiser la portée de ses produits, y compris la prochaine édition des Perspectives mondiales des zones humides ; participer à la préparation du cinquième Plan stratégique ; collaborer </w:t>
      </w:r>
      <w:r>
        <w:rPr>
          <w:lang w:val="fr-CH"/>
        </w:rPr>
        <w:t>au</w:t>
      </w:r>
      <w:r w:rsidR="0007746C">
        <w:rPr>
          <w:lang w:val="fr-CH"/>
        </w:rPr>
        <w:t xml:space="preserve"> label Ville des Zones Humides accréditée ; et participer aux activités relatives à la jeunesse.</w:t>
      </w:r>
    </w:p>
    <w:p w14:paraId="5A0BA54C" w14:textId="77777777" w:rsidR="0007746C" w:rsidRPr="00E10766" w:rsidRDefault="0007746C" w:rsidP="0007746C">
      <w:pPr>
        <w:keepNext/>
        <w:keepLines/>
        <w:spacing w:after="0" w:line="240" w:lineRule="auto"/>
        <w:ind w:left="560" w:hanging="560"/>
        <w:rPr>
          <w:lang w:val="fr-CH"/>
        </w:rPr>
      </w:pPr>
    </w:p>
    <w:p w14:paraId="0BD14109" w14:textId="1F9DBA7F" w:rsidR="0007746C" w:rsidRPr="00E10766" w:rsidRDefault="002555E6" w:rsidP="0007746C">
      <w:pPr>
        <w:keepNext/>
        <w:keepLines/>
        <w:spacing w:after="0" w:line="240" w:lineRule="auto"/>
        <w:ind w:left="560" w:hanging="560"/>
        <w:rPr>
          <w:lang w:val="fr-CH"/>
        </w:rPr>
      </w:pPr>
      <w:r>
        <w:rPr>
          <w:lang w:val="fr-CH"/>
        </w:rPr>
        <w:t>66</w:t>
      </w:r>
      <w:r w:rsidR="0007746C" w:rsidRPr="00E10766">
        <w:rPr>
          <w:lang w:val="fr-CH"/>
        </w:rPr>
        <w:t>.</w:t>
      </w:r>
      <w:r w:rsidR="0007746C" w:rsidRPr="00E10766">
        <w:rPr>
          <w:lang w:val="fr-CH"/>
        </w:rPr>
        <w:tab/>
      </w:r>
      <w:r w:rsidR="0007746C">
        <w:rPr>
          <w:lang w:val="fr-CH"/>
        </w:rPr>
        <w:t xml:space="preserve">Le Président du GEST exprime sa satisfaction quant à la collaboration </w:t>
      </w:r>
      <w:r w:rsidR="00B90D2C">
        <w:rPr>
          <w:lang w:val="fr-CH"/>
        </w:rPr>
        <w:t>permanente</w:t>
      </w:r>
      <w:r w:rsidR="0007746C">
        <w:rPr>
          <w:lang w:val="fr-CH"/>
        </w:rPr>
        <w:t xml:space="preserve">. </w:t>
      </w:r>
    </w:p>
    <w:p w14:paraId="75B8A360" w14:textId="77777777" w:rsidR="0007746C" w:rsidRPr="00E10766" w:rsidRDefault="0007746C" w:rsidP="0007746C">
      <w:pPr>
        <w:keepNext/>
        <w:keepLines/>
        <w:spacing w:after="0" w:line="240" w:lineRule="auto"/>
        <w:ind w:left="560" w:hanging="560"/>
        <w:rPr>
          <w:lang w:val="fr-CH"/>
        </w:rPr>
      </w:pPr>
    </w:p>
    <w:p w14:paraId="4760810D" w14:textId="77777777" w:rsidR="0007746C" w:rsidRPr="00215FC5" w:rsidRDefault="0007746C" w:rsidP="0007746C">
      <w:pPr>
        <w:spacing w:after="0" w:line="240" w:lineRule="auto"/>
        <w:rPr>
          <w:rFonts w:cstheme="minorHAnsi"/>
          <w:b/>
          <w:lang w:val="fr-FR"/>
        </w:rPr>
      </w:pPr>
      <w:r w:rsidRPr="00215FC5">
        <w:rPr>
          <w:rFonts w:cstheme="minorHAnsi"/>
          <w:b/>
          <w:lang w:val="fr-FR"/>
        </w:rPr>
        <w:t>Décision SC62-2</w:t>
      </w:r>
      <w:r>
        <w:rPr>
          <w:rFonts w:cstheme="minorHAnsi"/>
          <w:b/>
          <w:lang w:val="fr-FR"/>
        </w:rPr>
        <w:t>7</w:t>
      </w:r>
      <w:r w:rsidRPr="00215FC5">
        <w:rPr>
          <w:rFonts w:cstheme="minorHAnsi"/>
          <w:b/>
          <w:lang w:val="fr-FR"/>
        </w:rPr>
        <w:t xml:space="preserve"> : Le Comité permanent prend note du plan de travail pour 2023-2025 </w:t>
      </w:r>
      <w:r>
        <w:rPr>
          <w:rFonts w:cstheme="minorHAnsi"/>
          <w:b/>
          <w:lang w:val="fr-FR"/>
        </w:rPr>
        <w:t>du</w:t>
      </w:r>
      <w:r w:rsidRPr="00215FC5">
        <w:rPr>
          <w:rFonts w:cstheme="minorHAnsi"/>
          <w:b/>
          <w:lang w:val="fr-FR"/>
        </w:rPr>
        <w:t xml:space="preserve"> Groupe de surveillance des activités de CESP</w:t>
      </w:r>
      <w:r>
        <w:rPr>
          <w:rFonts w:cstheme="minorHAnsi"/>
          <w:b/>
          <w:lang w:val="fr-FR"/>
        </w:rPr>
        <w:t xml:space="preserve"> figurant dans le</w:t>
      </w:r>
      <w:r w:rsidRPr="00215FC5">
        <w:rPr>
          <w:rFonts w:cstheme="minorHAnsi"/>
          <w:b/>
          <w:lang w:val="fr-FR"/>
        </w:rPr>
        <w:t xml:space="preserve"> document SC62 Doc.16.2. </w:t>
      </w:r>
    </w:p>
    <w:p w14:paraId="5C43AE35" w14:textId="77777777" w:rsidR="0007746C" w:rsidRPr="00215FC5" w:rsidRDefault="0007746C" w:rsidP="0007746C">
      <w:pPr>
        <w:spacing w:after="0" w:line="240" w:lineRule="auto"/>
        <w:ind w:left="720" w:hanging="720"/>
        <w:rPr>
          <w:lang w:val="fr-FR"/>
        </w:rPr>
      </w:pPr>
    </w:p>
    <w:p w14:paraId="2B7F02F8" w14:textId="77777777" w:rsidR="0007746C" w:rsidRPr="008C2E89" w:rsidRDefault="0007746C" w:rsidP="0007746C">
      <w:pPr>
        <w:keepNext/>
        <w:keepLines/>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215FC5">
        <w:rPr>
          <w:rFonts w:cstheme="minorHAnsi"/>
          <w:bCs/>
          <w:lang w:val="fr-FR"/>
        </w:rPr>
        <w:t>Point 16.</w:t>
      </w:r>
      <w:r>
        <w:rPr>
          <w:rFonts w:cstheme="minorHAnsi"/>
          <w:bCs/>
          <w:lang w:val="fr-FR"/>
        </w:rPr>
        <w:t>3</w:t>
      </w:r>
      <w:r w:rsidRPr="00215FC5">
        <w:rPr>
          <w:rFonts w:cstheme="minorHAnsi"/>
          <w:bCs/>
          <w:lang w:val="fr-FR"/>
        </w:rPr>
        <w:t xml:space="preserve"> de l’ordre du jour : </w:t>
      </w:r>
      <w:r w:rsidRPr="00215FC5">
        <w:rPr>
          <w:lang w:val="fr-FR"/>
        </w:rPr>
        <w:t>Communication, renforcement des capacités, éducation,</w:t>
      </w:r>
      <w:r>
        <w:rPr>
          <w:lang w:val="fr-FR"/>
        </w:rPr>
        <w:t xml:space="preserve"> </w:t>
      </w:r>
      <w:r w:rsidRPr="00215FC5">
        <w:rPr>
          <w:lang w:val="fr-FR"/>
        </w:rPr>
        <w:t>sensibilisation et participation (CESP) :</w:t>
      </w:r>
      <w:r>
        <w:rPr>
          <w:lang w:val="fr-FR"/>
        </w:rPr>
        <w:t xml:space="preserve"> </w:t>
      </w:r>
      <w:r w:rsidRPr="008C2E89">
        <w:rPr>
          <w:lang w:val="fr-FR"/>
        </w:rPr>
        <w:t>Rapport du Secrétariat sur la Journée mondiale des zones</w:t>
      </w:r>
      <w:r>
        <w:rPr>
          <w:lang w:val="fr-FR"/>
        </w:rPr>
        <w:t xml:space="preserve"> </w:t>
      </w:r>
      <w:r w:rsidRPr="008C2E89">
        <w:rPr>
          <w:lang w:val="fr-FR"/>
        </w:rPr>
        <w:t>humides</w:t>
      </w:r>
    </w:p>
    <w:p w14:paraId="42A1A428" w14:textId="77777777" w:rsidR="0007746C" w:rsidRPr="008C2E89" w:rsidRDefault="0007746C" w:rsidP="0007746C">
      <w:pPr>
        <w:keepNext/>
        <w:keepLines/>
        <w:spacing w:after="0" w:line="240" w:lineRule="auto"/>
        <w:rPr>
          <w:lang w:val="fr-FR"/>
        </w:rPr>
      </w:pPr>
    </w:p>
    <w:p w14:paraId="4E2377FC" w14:textId="25F7CB5B" w:rsidR="0007746C" w:rsidRPr="00E10766" w:rsidRDefault="00B90D2C" w:rsidP="0007746C">
      <w:pPr>
        <w:keepNext/>
        <w:keepLines/>
        <w:spacing w:after="0" w:line="240" w:lineRule="auto"/>
        <w:ind w:left="560" w:hanging="560"/>
        <w:rPr>
          <w:lang w:val="fr-CH"/>
        </w:rPr>
      </w:pPr>
      <w:r>
        <w:rPr>
          <w:lang w:val="fr-CH"/>
        </w:rPr>
        <w:t>67</w:t>
      </w:r>
      <w:r w:rsidR="0007746C" w:rsidRPr="00E10766">
        <w:rPr>
          <w:lang w:val="fr-CH"/>
        </w:rPr>
        <w:t>.</w:t>
      </w:r>
      <w:r w:rsidR="0007746C" w:rsidRPr="00E10766">
        <w:rPr>
          <w:lang w:val="fr-CH"/>
        </w:rPr>
        <w:tab/>
      </w:r>
      <w:r w:rsidR="0007746C">
        <w:rPr>
          <w:lang w:val="fr-CH"/>
        </w:rPr>
        <w:t>Le Secrétariat fait un exposé sur la Journée mondiale des zones humides.</w:t>
      </w:r>
      <w:r w:rsidR="0007746C" w:rsidRPr="00E10766">
        <w:rPr>
          <w:lang w:val="fr-CH"/>
        </w:rPr>
        <w:t xml:space="preserve"> </w:t>
      </w:r>
    </w:p>
    <w:p w14:paraId="41BED623" w14:textId="77777777" w:rsidR="0007746C" w:rsidRPr="00E10766" w:rsidRDefault="0007746C" w:rsidP="0007746C">
      <w:pPr>
        <w:keepNext/>
        <w:keepLines/>
        <w:spacing w:after="0" w:line="240" w:lineRule="auto"/>
        <w:ind w:left="560" w:hanging="560"/>
        <w:rPr>
          <w:lang w:val="fr-CH"/>
        </w:rPr>
      </w:pPr>
    </w:p>
    <w:p w14:paraId="5129E384" w14:textId="0792F8AE" w:rsidR="0007746C" w:rsidRPr="00E10766" w:rsidRDefault="00B90D2C" w:rsidP="0007746C">
      <w:pPr>
        <w:keepNext/>
        <w:keepLines/>
        <w:spacing w:after="0" w:line="240" w:lineRule="auto"/>
        <w:ind w:left="560" w:hanging="560"/>
        <w:rPr>
          <w:lang w:val="fr-CH"/>
        </w:rPr>
      </w:pPr>
      <w:r>
        <w:rPr>
          <w:lang w:val="fr-CH"/>
        </w:rPr>
        <w:t>68</w:t>
      </w:r>
      <w:r w:rsidR="0007746C" w:rsidRPr="00E10766">
        <w:rPr>
          <w:lang w:val="fr-CH"/>
        </w:rPr>
        <w:t>.</w:t>
      </w:r>
      <w:r w:rsidR="0007746C" w:rsidRPr="00E10766">
        <w:rPr>
          <w:lang w:val="fr-CH"/>
        </w:rPr>
        <w:tab/>
      </w:r>
      <w:r w:rsidR="0007746C">
        <w:rPr>
          <w:lang w:val="fr-CH"/>
        </w:rPr>
        <w:t xml:space="preserve">Plusieurs membres du Comité permanent remercient le Secrétariat pour son exposé et pour le soutien fourni aux </w:t>
      </w:r>
      <w:r w:rsidR="0007746C" w:rsidRPr="00601C3A">
        <w:rPr>
          <w:lang w:val="fr-CH"/>
        </w:rPr>
        <w:t>pays,</w:t>
      </w:r>
      <w:r w:rsidR="0007746C">
        <w:rPr>
          <w:lang w:val="fr-CH"/>
        </w:rPr>
        <w:t xml:space="preserve"> et partagent des informations sur les initiatives et actions nationales de célébration de la Journée mondiale des zones humides </w:t>
      </w:r>
      <w:r w:rsidR="0007746C" w:rsidRPr="001C6C83">
        <w:rPr>
          <w:lang w:val="fr-CH"/>
        </w:rPr>
        <w:t>2023</w:t>
      </w:r>
      <w:r w:rsidR="0007746C">
        <w:rPr>
          <w:lang w:val="fr-CH"/>
        </w:rPr>
        <w:t>. Deux membres soulignent l’appui de l’</w:t>
      </w:r>
      <w:r w:rsidR="0007746C" w:rsidRPr="009F0F56">
        <w:rPr>
          <w:lang w:val="fr-CH"/>
        </w:rPr>
        <w:t xml:space="preserve">Initiative régionale Ramsar pour les zones humides méditerranéennes </w:t>
      </w:r>
      <w:r w:rsidR="0007746C" w:rsidRPr="00E10766">
        <w:rPr>
          <w:lang w:val="fr-CH"/>
        </w:rPr>
        <w:t xml:space="preserve">(MedWet) </w:t>
      </w:r>
      <w:r w:rsidR="0007746C">
        <w:rPr>
          <w:lang w:val="fr-CH"/>
        </w:rPr>
        <w:t>pour la traduction en arabe de matériel de la Journée mondiale des zones humides.</w:t>
      </w:r>
    </w:p>
    <w:p w14:paraId="4F0A20E2" w14:textId="77777777" w:rsidR="0007746C" w:rsidRPr="00E10766" w:rsidRDefault="0007746C" w:rsidP="0007746C">
      <w:pPr>
        <w:keepNext/>
        <w:keepLines/>
        <w:spacing w:after="0" w:line="240" w:lineRule="auto"/>
        <w:ind w:left="560" w:hanging="560"/>
        <w:rPr>
          <w:lang w:val="fr-CH"/>
        </w:rPr>
      </w:pPr>
    </w:p>
    <w:p w14:paraId="529C6773" w14:textId="13FD4FB3" w:rsidR="0007746C" w:rsidRPr="00E10766" w:rsidRDefault="00B90D2C" w:rsidP="0007746C">
      <w:pPr>
        <w:keepNext/>
        <w:keepLines/>
        <w:spacing w:after="0" w:line="240" w:lineRule="auto"/>
        <w:ind w:left="560" w:hanging="560"/>
        <w:rPr>
          <w:lang w:val="fr-CH"/>
        </w:rPr>
      </w:pPr>
      <w:r>
        <w:rPr>
          <w:lang w:val="fr-CH"/>
        </w:rPr>
        <w:t>69</w:t>
      </w:r>
      <w:r w:rsidR="0007746C" w:rsidRPr="00E10766">
        <w:rPr>
          <w:lang w:val="fr-CH"/>
        </w:rPr>
        <w:t>.</w:t>
      </w:r>
      <w:r w:rsidR="0007746C" w:rsidRPr="00E10766">
        <w:rPr>
          <w:lang w:val="fr-CH"/>
        </w:rPr>
        <w:tab/>
      </w:r>
      <w:r w:rsidR="0007746C">
        <w:rPr>
          <w:lang w:val="fr-CH"/>
        </w:rPr>
        <w:t xml:space="preserve">Un membre du Comité permanent </w:t>
      </w:r>
      <w:r>
        <w:rPr>
          <w:lang w:val="fr-CH"/>
        </w:rPr>
        <w:t>estime</w:t>
      </w:r>
      <w:r w:rsidR="0007746C">
        <w:rPr>
          <w:lang w:val="fr-CH"/>
        </w:rPr>
        <w:t xml:space="preserve"> qu’un rapport écrit au Comité permanent sur les résultats, meilleures pratiques et enseignements de la Journée mondiale des zones humides serait utile. Un autre suggère d’identifier des problèmes potentiels et de proposer des recommandations, ajoutant que des enseignements peuvent être tirés d’initiatives semblables.</w:t>
      </w:r>
    </w:p>
    <w:p w14:paraId="55398F74" w14:textId="77777777" w:rsidR="0007746C" w:rsidRPr="00E10766" w:rsidRDefault="0007746C" w:rsidP="0007746C">
      <w:pPr>
        <w:keepNext/>
        <w:keepLines/>
        <w:spacing w:after="0" w:line="240" w:lineRule="auto"/>
        <w:ind w:left="560" w:hanging="560"/>
        <w:rPr>
          <w:lang w:val="fr-CH"/>
        </w:rPr>
      </w:pPr>
    </w:p>
    <w:p w14:paraId="1C412577" w14:textId="6AD41310" w:rsidR="0007746C" w:rsidRPr="00E10766" w:rsidRDefault="00B90D2C" w:rsidP="0007746C">
      <w:pPr>
        <w:keepNext/>
        <w:keepLines/>
        <w:spacing w:after="0" w:line="240" w:lineRule="auto"/>
        <w:ind w:left="560" w:hanging="560"/>
        <w:rPr>
          <w:lang w:val="fr-CH"/>
        </w:rPr>
      </w:pPr>
      <w:r>
        <w:rPr>
          <w:lang w:val="fr-CH"/>
        </w:rPr>
        <w:t>70</w:t>
      </w:r>
      <w:r w:rsidR="0007746C" w:rsidRPr="00E10766">
        <w:rPr>
          <w:lang w:val="fr-CH"/>
        </w:rPr>
        <w:t>.</w:t>
      </w:r>
      <w:r w:rsidR="0007746C" w:rsidRPr="00E10766">
        <w:rPr>
          <w:lang w:val="fr-CH"/>
        </w:rPr>
        <w:tab/>
      </w:r>
      <w:r w:rsidR="0007746C">
        <w:rPr>
          <w:lang w:val="fr-CH"/>
        </w:rPr>
        <w:t>Un membre du Comité permanent suggère de faire appel à des célébrités qui sensibiliseraient d’autres publics et porteraient plus loin le message de l’importance de la protection des zones humides. Un autre souligne l’importance de matériel pouvant être adapté aux besoins locaux.</w:t>
      </w:r>
    </w:p>
    <w:p w14:paraId="0A471549" w14:textId="77777777" w:rsidR="0007746C" w:rsidRPr="00E10766" w:rsidRDefault="0007746C" w:rsidP="0007746C">
      <w:pPr>
        <w:keepNext/>
        <w:keepLines/>
        <w:spacing w:after="0" w:line="240" w:lineRule="auto"/>
        <w:ind w:left="560" w:hanging="560"/>
        <w:rPr>
          <w:lang w:val="fr-CH"/>
        </w:rPr>
      </w:pPr>
    </w:p>
    <w:p w14:paraId="640836D5" w14:textId="459CD442" w:rsidR="0007746C" w:rsidRPr="00E10766" w:rsidRDefault="00B90D2C" w:rsidP="0007746C">
      <w:pPr>
        <w:keepNext/>
        <w:keepLines/>
        <w:spacing w:after="0" w:line="240" w:lineRule="auto"/>
        <w:ind w:left="560" w:hanging="560"/>
        <w:rPr>
          <w:lang w:val="fr-CH"/>
        </w:rPr>
      </w:pPr>
      <w:r>
        <w:rPr>
          <w:lang w:val="fr-CH"/>
        </w:rPr>
        <w:t>71</w:t>
      </w:r>
      <w:r w:rsidR="0007746C" w:rsidRPr="00E10766">
        <w:rPr>
          <w:lang w:val="fr-CH"/>
        </w:rPr>
        <w:t>.</w:t>
      </w:r>
      <w:r w:rsidR="0007746C" w:rsidRPr="00E10766">
        <w:rPr>
          <w:lang w:val="fr-CH"/>
        </w:rPr>
        <w:tab/>
      </w:r>
      <w:r w:rsidR="0007746C">
        <w:rPr>
          <w:lang w:val="fr-CH"/>
        </w:rPr>
        <w:t xml:space="preserve">Le Cambodge, la Chine, la France, l’Iran (République islamique d’), la Libye, le Rwanda, la Tchéquie et </w:t>
      </w:r>
      <w:r w:rsidR="0007746C" w:rsidRPr="00E10766">
        <w:rPr>
          <w:lang w:val="fr-CH"/>
        </w:rPr>
        <w:t>Wildfowl &amp; Wetlands Trust</w:t>
      </w:r>
      <w:r w:rsidR="0007746C">
        <w:rPr>
          <w:lang w:val="fr-CH"/>
        </w:rPr>
        <w:t xml:space="preserve"> interviennent dans la discussion</w:t>
      </w:r>
      <w:r w:rsidR="0007746C" w:rsidRPr="00E10766">
        <w:rPr>
          <w:lang w:val="fr-CH"/>
        </w:rPr>
        <w:t>.</w:t>
      </w:r>
    </w:p>
    <w:p w14:paraId="2A2C74C1" w14:textId="77777777" w:rsidR="0007746C" w:rsidRPr="00E10766" w:rsidRDefault="0007746C" w:rsidP="0007746C">
      <w:pPr>
        <w:keepNext/>
        <w:keepLines/>
        <w:spacing w:after="0" w:line="240" w:lineRule="auto"/>
        <w:ind w:left="560" w:hanging="560"/>
        <w:rPr>
          <w:lang w:val="fr-CH"/>
        </w:rPr>
      </w:pPr>
    </w:p>
    <w:p w14:paraId="0687CEC2" w14:textId="4E7BDACE" w:rsidR="0007746C" w:rsidRPr="00E10766" w:rsidRDefault="00B90D2C" w:rsidP="0007746C">
      <w:pPr>
        <w:keepNext/>
        <w:keepLines/>
        <w:spacing w:after="0" w:line="240" w:lineRule="auto"/>
        <w:ind w:left="560" w:hanging="560"/>
        <w:rPr>
          <w:lang w:val="fr-CH"/>
        </w:rPr>
      </w:pPr>
      <w:r>
        <w:rPr>
          <w:lang w:val="fr-CH"/>
        </w:rPr>
        <w:t>72</w:t>
      </w:r>
      <w:r w:rsidR="0007746C" w:rsidRPr="00E10766">
        <w:rPr>
          <w:lang w:val="fr-CH"/>
        </w:rPr>
        <w:t xml:space="preserve">. </w:t>
      </w:r>
      <w:r w:rsidR="0007746C" w:rsidRPr="00E10766">
        <w:rPr>
          <w:lang w:val="fr-CH"/>
        </w:rPr>
        <w:tab/>
      </w:r>
      <w:r w:rsidR="0007746C">
        <w:rPr>
          <w:lang w:val="fr-CH"/>
        </w:rPr>
        <w:t>Le Président attire l’attention des participants sur la future Journée mondiale des zones humides 2024 dont le thème est « Les zones humides et le bien</w:t>
      </w:r>
      <w:r w:rsidR="0007746C">
        <w:rPr>
          <w:lang w:val="fr-CH"/>
        </w:rPr>
        <w:noBreakHyphen/>
        <w:t xml:space="preserve">être humain ». </w:t>
      </w:r>
    </w:p>
    <w:p w14:paraId="23139643" w14:textId="77777777" w:rsidR="0007746C" w:rsidRPr="00206B0A" w:rsidRDefault="0007746C" w:rsidP="0007746C">
      <w:pPr>
        <w:keepNext/>
        <w:keepLines/>
        <w:spacing w:after="0" w:line="240" w:lineRule="auto"/>
        <w:ind w:left="560" w:hanging="560"/>
        <w:rPr>
          <w:lang w:val="fr-CH"/>
        </w:rPr>
      </w:pPr>
    </w:p>
    <w:p w14:paraId="41783B24" w14:textId="77777777" w:rsidR="0007746C" w:rsidRPr="008C2E89" w:rsidRDefault="0007746C" w:rsidP="0007746C">
      <w:pPr>
        <w:spacing w:after="0" w:line="240" w:lineRule="auto"/>
        <w:contextualSpacing/>
        <w:rPr>
          <w:rFonts w:cstheme="minorHAnsi"/>
          <w:b/>
          <w:lang w:val="fr-FR"/>
        </w:rPr>
      </w:pPr>
      <w:r w:rsidRPr="008C2E89">
        <w:rPr>
          <w:rFonts w:cstheme="minorHAnsi"/>
          <w:b/>
          <w:lang w:val="fr-FR"/>
        </w:rPr>
        <w:t>Décision SC62-2</w:t>
      </w:r>
      <w:r>
        <w:rPr>
          <w:rFonts w:cstheme="minorHAnsi"/>
          <w:b/>
          <w:lang w:val="fr-FR"/>
        </w:rPr>
        <w:t>8</w:t>
      </w:r>
      <w:r w:rsidRPr="008C2E89">
        <w:rPr>
          <w:rFonts w:cstheme="minorHAnsi"/>
          <w:b/>
          <w:lang w:val="fr-FR"/>
        </w:rPr>
        <w:t xml:space="preserve"> : </w:t>
      </w:r>
      <w:r w:rsidRPr="00E32B7B">
        <w:rPr>
          <w:rFonts w:cstheme="minorHAnsi"/>
          <w:b/>
          <w:lang w:val="fr-FR"/>
        </w:rPr>
        <w:t xml:space="preserve">Le Comité permanent prend note </w:t>
      </w:r>
      <w:r w:rsidRPr="009F0F56">
        <w:rPr>
          <w:rFonts w:cstheme="minorHAnsi"/>
          <w:b/>
          <w:lang w:val="fr-FR"/>
        </w:rPr>
        <w:t>du rapport</w:t>
      </w:r>
      <w:r w:rsidRPr="00E32B7B">
        <w:rPr>
          <w:rFonts w:cstheme="minorHAnsi"/>
          <w:b/>
          <w:lang w:val="fr-FR"/>
        </w:rPr>
        <w:t xml:space="preserve"> du Secrétariat sur la Journée mondiale des zones humides 2023.</w:t>
      </w:r>
    </w:p>
    <w:p w14:paraId="3C81B3C3" w14:textId="77777777" w:rsidR="0007746C" w:rsidRPr="008C2E89" w:rsidRDefault="0007746C" w:rsidP="0007746C">
      <w:pPr>
        <w:keepNext/>
        <w:spacing w:after="0" w:line="240" w:lineRule="auto"/>
        <w:rPr>
          <w:rFonts w:cstheme="minorHAnsi"/>
          <w:lang w:val="fr-FR"/>
        </w:rPr>
      </w:pPr>
    </w:p>
    <w:p w14:paraId="56DA17F4" w14:textId="77777777" w:rsidR="0007746C" w:rsidRPr="008C2E89"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8C2E89">
        <w:rPr>
          <w:rFonts w:cstheme="minorHAnsi"/>
          <w:bCs/>
          <w:lang w:val="fr-FR"/>
        </w:rPr>
        <w:t xml:space="preserve">Point 17 de l’ordre du jour : </w:t>
      </w:r>
      <w:r w:rsidRPr="008C2E89">
        <w:rPr>
          <w:lang w:val="fr-FR"/>
        </w:rPr>
        <w:t>Rapport du Groupe de travail sur la jeunesse</w:t>
      </w:r>
    </w:p>
    <w:p w14:paraId="07D5DCDC" w14:textId="77777777" w:rsidR="0007746C" w:rsidRPr="008C2E89" w:rsidRDefault="0007746C" w:rsidP="0007746C">
      <w:pPr>
        <w:spacing w:after="0" w:line="240" w:lineRule="auto"/>
        <w:ind w:left="720" w:hanging="720"/>
        <w:rPr>
          <w:lang w:val="fr-FR"/>
        </w:rPr>
      </w:pPr>
    </w:p>
    <w:p w14:paraId="3286A902" w14:textId="5D9F4FC7" w:rsidR="0007746C" w:rsidRPr="00206B0A" w:rsidRDefault="00B90D2C" w:rsidP="0007746C">
      <w:pPr>
        <w:spacing w:after="0" w:line="240" w:lineRule="auto"/>
        <w:ind w:left="560" w:hanging="560"/>
        <w:rPr>
          <w:lang w:val="fr-CH"/>
        </w:rPr>
      </w:pPr>
      <w:r>
        <w:rPr>
          <w:lang w:val="fr-CH"/>
        </w:rPr>
        <w:t>73</w:t>
      </w:r>
      <w:r w:rsidR="0007746C" w:rsidRPr="00206B0A">
        <w:rPr>
          <w:lang w:val="fr-CH"/>
        </w:rPr>
        <w:t>.</w:t>
      </w:r>
      <w:r w:rsidR="0007746C" w:rsidRPr="00206B0A">
        <w:rPr>
          <w:lang w:val="fr-CH"/>
        </w:rPr>
        <w:tab/>
      </w:r>
      <w:r w:rsidR="0007746C">
        <w:rPr>
          <w:lang w:val="fr-CH"/>
        </w:rPr>
        <w:t xml:space="preserve">L’Australie, qui préside le Groupe de travail sur la jeunesse (GTJ), présente le </w:t>
      </w:r>
      <w:r w:rsidR="0007746C" w:rsidRPr="00206B0A">
        <w:rPr>
          <w:lang w:val="fr-CH"/>
        </w:rPr>
        <w:t xml:space="preserve">document SC62 Doc.17, </w:t>
      </w:r>
      <w:r w:rsidR="0007746C">
        <w:rPr>
          <w:lang w:val="fr-CH"/>
        </w:rPr>
        <w:t>qui relate les trois réunions du GTJ, en vue d’organiser et de conduire des ateliers de consultation des jeunes, de nommer des chargés de liaison auprès du GEST et du Groupe de travail sur le Plan stratégique, et de lancer le plan de travail du GTJ.</w:t>
      </w:r>
    </w:p>
    <w:p w14:paraId="730E7755" w14:textId="77777777" w:rsidR="0007746C" w:rsidRPr="00206B0A" w:rsidRDefault="0007746C" w:rsidP="0007746C">
      <w:pPr>
        <w:spacing w:after="0" w:line="240" w:lineRule="auto"/>
        <w:ind w:left="560" w:hanging="560"/>
        <w:rPr>
          <w:lang w:val="fr-CH"/>
        </w:rPr>
      </w:pPr>
    </w:p>
    <w:p w14:paraId="0D04EE45" w14:textId="0520516A" w:rsidR="0007746C" w:rsidRPr="00206B0A" w:rsidRDefault="00B90D2C" w:rsidP="0007746C">
      <w:pPr>
        <w:spacing w:after="0" w:line="240" w:lineRule="auto"/>
        <w:ind w:left="560" w:hanging="560"/>
        <w:rPr>
          <w:lang w:val="fr-CH"/>
        </w:rPr>
      </w:pPr>
      <w:r>
        <w:rPr>
          <w:lang w:val="fr-CH"/>
        </w:rPr>
        <w:t>74</w:t>
      </w:r>
      <w:r w:rsidR="0007746C" w:rsidRPr="00206B0A">
        <w:rPr>
          <w:lang w:val="fr-CH"/>
        </w:rPr>
        <w:t>.</w:t>
      </w:r>
      <w:r w:rsidR="0007746C" w:rsidRPr="00206B0A">
        <w:rPr>
          <w:lang w:val="fr-CH"/>
        </w:rPr>
        <w:tab/>
      </w:r>
      <w:r w:rsidR="0007746C">
        <w:rPr>
          <w:lang w:val="fr-CH"/>
        </w:rPr>
        <w:t xml:space="preserve">Des membres du Comité permanent expriment leur </w:t>
      </w:r>
      <w:r>
        <w:rPr>
          <w:lang w:val="fr-CH"/>
        </w:rPr>
        <w:t>appréciation des</w:t>
      </w:r>
      <w:r w:rsidR="0007746C">
        <w:rPr>
          <w:lang w:val="fr-CH"/>
        </w:rPr>
        <w:t xml:space="preserve"> travaux du Groupe, et se réjouissent des efforts visant à nommer des </w:t>
      </w:r>
      <w:r w:rsidR="00EC551F">
        <w:rPr>
          <w:lang w:val="fr-CH"/>
        </w:rPr>
        <w:t>C</w:t>
      </w:r>
      <w:r w:rsidR="0007746C">
        <w:rPr>
          <w:lang w:val="fr-CH"/>
        </w:rPr>
        <w:t xml:space="preserve">orrespondants nationaux pour les jeunes et encourager la participation des jeunes dans les processus internationaux de l’environnement, proposant d’impliquer des membres de la communauté locale comme </w:t>
      </w:r>
      <w:r w:rsidR="0007746C" w:rsidRPr="00206B0A">
        <w:rPr>
          <w:lang w:val="fr-CH"/>
        </w:rPr>
        <w:t xml:space="preserve">mentors. </w:t>
      </w:r>
    </w:p>
    <w:p w14:paraId="1135803F" w14:textId="77777777" w:rsidR="0007746C" w:rsidRPr="00206B0A" w:rsidRDefault="0007746C" w:rsidP="0007746C">
      <w:pPr>
        <w:spacing w:after="0" w:line="240" w:lineRule="auto"/>
        <w:ind w:left="560" w:hanging="560"/>
        <w:rPr>
          <w:lang w:val="fr-CH"/>
        </w:rPr>
      </w:pPr>
    </w:p>
    <w:p w14:paraId="4C85A6AF" w14:textId="796122A4" w:rsidR="0007746C" w:rsidRPr="00206B0A" w:rsidRDefault="00B90D2C" w:rsidP="0007746C">
      <w:pPr>
        <w:spacing w:after="0" w:line="240" w:lineRule="auto"/>
        <w:ind w:left="560" w:hanging="560"/>
        <w:rPr>
          <w:lang w:val="fr-CH"/>
        </w:rPr>
      </w:pPr>
      <w:r>
        <w:rPr>
          <w:lang w:val="fr-CH"/>
        </w:rPr>
        <w:t>75</w:t>
      </w:r>
      <w:r w:rsidR="0007746C" w:rsidRPr="00206B0A">
        <w:rPr>
          <w:lang w:val="fr-CH"/>
        </w:rPr>
        <w:t>.</w:t>
      </w:r>
      <w:r w:rsidR="0007746C" w:rsidRPr="00206B0A">
        <w:rPr>
          <w:lang w:val="fr-CH"/>
        </w:rPr>
        <w:tab/>
      </w:r>
      <w:r w:rsidR="0007746C">
        <w:rPr>
          <w:lang w:val="fr-CH"/>
        </w:rPr>
        <w:t xml:space="preserve">L’Australie, le Canada, la Colombie, le Japon, la Slovaquie et </w:t>
      </w:r>
      <w:r w:rsidR="0007746C" w:rsidRPr="00206B0A">
        <w:rPr>
          <w:lang w:val="fr-CH"/>
        </w:rPr>
        <w:t>Youth Engaged in Wetlands</w:t>
      </w:r>
      <w:r w:rsidR="0007746C">
        <w:rPr>
          <w:lang w:val="fr-CH"/>
        </w:rPr>
        <w:t xml:space="preserve"> interviennent dans la discussion</w:t>
      </w:r>
      <w:r w:rsidR="0007746C" w:rsidRPr="00206B0A">
        <w:rPr>
          <w:lang w:val="fr-CH"/>
        </w:rPr>
        <w:t>.</w:t>
      </w:r>
    </w:p>
    <w:p w14:paraId="3E587173" w14:textId="77777777" w:rsidR="0007746C" w:rsidRPr="00EA7C1A" w:rsidRDefault="0007746C" w:rsidP="0007746C">
      <w:pPr>
        <w:spacing w:after="0" w:line="240" w:lineRule="auto"/>
        <w:contextualSpacing/>
        <w:rPr>
          <w:rFonts w:cstheme="minorHAnsi"/>
          <w:b/>
          <w:lang w:val="fr-FR"/>
        </w:rPr>
      </w:pPr>
    </w:p>
    <w:p w14:paraId="62051581" w14:textId="77777777" w:rsidR="0007746C" w:rsidRPr="008C2E89" w:rsidRDefault="0007746C" w:rsidP="0007746C">
      <w:pPr>
        <w:spacing w:after="0" w:line="240" w:lineRule="auto"/>
        <w:contextualSpacing/>
        <w:rPr>
          <w:rFonts w:cstheme="minorHAnsi"/>
          <w:b/>
          <w:bCs/>
          <w:lang w:val="fr-FR"/>
        </w:rPr>
      </w:pPr>
      <w:r w:rsidRPr="008C2E89">
        <w:rPr>
          <w:rFonts w:cstheme="minorHAnsi"/>
          <w:b/>
          <w:lang w:val="fr-FR"/>
        </w:rPr>
        <w:t>Décision SC62-2</w:t>
      </w:r>
      <w:r>
        <w:rPr>
          <w:rFonts w:cstheme="minorHAnsi"/>
          <w:b/>
          <w:lang w:val="fr-FR"/>
        </w:rPr>
        <w:t>9</w:t>
      </w:r>
      <w:r w:rsidRPr="008C2E89">
        <w:rPr>
          <w:rFonts w:cstheme="minorHAnsi"/>
          <w:b/>
          <w:lang w:val="fr-FR"/>
        </w:rPr>
        <w:t xml:space="preserve"> : Le Comité permanent prend note du </w:t>
      </w:r>
      <w:r w:rsidRPr="008C2E89">
        <w:rPr>
          <w:rFonts w:cstheme="minorHAnsi"/>
          <w:b/>
          <w:bCs/>
          <w:lang w:val="fr-FR"/>
        </w:rPr>
        <w:t>rapport du Groupe de travail sur la jeunesse f</w:t>
      </w:r>
      <w:r>
        <w:rPr>
          <w:rFonts w:cstheme="minorHAnsi"/>
          <w:b/>
          <w:bCs/>
          <w:lang w:val="fr-FR"/>
        </w:rPr>
        <w:t>igurant dans le</w:t>
      </w:r>
      <w:r w:rsidRPr="008C2E89">
        <w:rPr>
          <w:rFonts w:cstheme="minorHAnsi"/>
          <w:b/>
          <w:bCs/>
          <w:lang w:val="fr-FR"/>
        </w:rPr>
        <w:t xml:space="preserve"> document SC62 Doc.17.</w:t>
      </w:r>
    </w:p>
    <w:p w14:paraId="7816CFB3" w14:textId="77777777" w:rsidR="0007746C" w:rsidRPr="008C2E89" w:rsidRDefault="0007746C" w:rsidP="0007746C">
      <w:pPr>
        <w:spacing w:after="0" w:line="240" w:lineRule="auto"/>
        <w:rPr>
          <w:rFonts w:cstheme="minorHAnsi"/>
          <w:lang w:val="fr-FR"/>
        </w:rPr>
      </w:pPr>
    </w:p>
    <w:p w14:paraId="1E2AFE11" w14:textId="77777777" w:rsidR="0007746C" w:rsidRPr="008C2E89" w:rsidRDefault="0007746C" w:rsidP="0007746C">
      <w:pPr>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8C2E89">
        <w:rPr>
          <w:rFonts w:cstheme="minorHAnsi"/>
          <w:bCs/>
          <w:lang w:val="fr-FR"/>
        </w:rPr>
        <w:t>Point 1</w:t>
      </w:r>
      <w:r>
        <w:rPr>
          <w:rFonts w:cstheme="minorHAnsi"/>
          <w:bCs/>
          <w:lang w:val="fr-FR"/>
        </w:rPr>
        <w:t>8</w:t>
      </w:r>
      <w:r w:rsidRPr="008C2E89">
        <w:rPr>
          <w:rFonts w:cstheme="minorHAnsi"/>
          <w:bCs/>
          <w:lang w:val="fr-FR"/>
        </w:rPr>
        <w:t xml:space="preserve"> de l’ordre du jour : </w:t>
      </w:r>
      <w:r w:rsidRPr="008C2E89">
        <w:rPr>
          <w:lang w:val="fr-FR"/>
        </w:rPr>
        <w:t>Plan de travail pour la mobilisation des ressources</w:t>
      </w:r>
      <w:r>
        <w:rPr>
          <w:lang w:val="fr-FR"/>
        </w:rPr>
        <w:t xml:space="preserve">, </w:t>
      </w:r>
      <w:r w:rsidRPr="008C2E89">
        <w:rPr>
          <w:lang w:val="fr-FR"/>
        </w:rPr>
        <w:t>2023-2025</w:t>
      </w:r>
    </w:p>
    <w:p w14:paraId="72618559" w14:textId="77777777" w:rsidR="0007746C" w:rsidRPr="00495680" w:rsidRDefault="0007746C" w:rsidP="0007746C">
      <w:pPr>
        <w:spacing w:after="0" w:line="240" w:lineRule="auto"/>
        <w:ind w:left="720" w:hanging="720"/>
        <w:rPr>
          <w:lang w:val="fr-FR"/>
        </w:rPr>
      </w:pPr>
    </w:p>
    <w:p w14:paraId="2245A9DC" w14:textId="619476C1" w:rsidR="0007746C" w:rsidRPr="00495680" w:rsidRDefault="00247BDA" w:rsidP="0007746C">
      <w:pPr>
        <w:spacing w:after="0" w:line="240" w:lineRule="auto"/>
        <w:ind w:left="560" w:hanging="560"/>
        <w:rPr>
          <w:lang w:val="fr-CH"/>
        </w:rPr>
      </w:pPr>
      <w:r w:rsidRPr="00495680">
        <w:rPr>
          <w:lang w:val="fr-CH"/>
        </w:rPr>
        <w:t>76</w:t>
      </w:r>
      <w:r w:rsidR="0007746C" w:rsidRPr="00495680">
        <w:rPr>
          <w:lang w:val="fr-CH"/>
        </w:rPr>
        <w:t>.</w:t>
      </w:r>
      <w:r w:rsidR="0007746C" w:rsidRPr="00495680">
        <w:rPr>
          <w:lang w:val="fr-CH"/>
        </w:rPr>
        <w:tab/>
        <w:t>Le Secrétariat présente le document SC62 Doc.18, qui comprend la liste des priorités d’appels de fonds non administratifs pour 2023-2025 et les activités visant à faciliter la mobilisation des ressources par les Parties contractantes. Il remercie les Parties contractantes ayant</w:t>
      </w:r>
      <w:r w:rsidRPr="00495680">
        <w:rPr>
          <w:lang w:val="fr-CH"/>
        </w:rPr>
        <w:t>, à ce jour,</w:t>
      </w:r>
      <w:r w:rsidR="0007746C" w:rsidRPr="00495680">
        <w:rPr>
          <w:lang w:val="fr-CH"/>
        </w:rPr>
        <w:t xml:space="preserve"> versé des contributions volontaires durant la période triennale. </w:t>
      </w:r>
    </w:p>
    <w:p w14:paraId="65922095" w14:textId="77777777" w:rsidR="0007746C" w:rsidRPr="00495680" w:rsidRDefault="0007746C" w:rsidP="0007746C">
      <w:pPr>
        <w:spacing w:after="0" w:line="240" w:lineRule="auto"/>
        <w:ind w:left="560" w:hanging="560"/>
        <w:rPr>
          <w:lang w:val="fr-CH"/>
        </w:rPr>
      </w:pPr>
    </w:p>
    <w:p w14:paraId="31F8CECB" w14:textId="126C416E" w:rsidR="0007746C" w:rsidRPr="00495680" w:rsidRDefault="00247BDA" w:rsidP="0007746C">
      <w:pPr>
        <w:spacing w:after="0" w:line="240" w:lineRule="auto"/>
        <w:ind w:left="560" w:hanging="560"/>
        <w:rPr>
          <w:lang w:val="fr-CH"/>
        </w:rPr>
      </w:pPr>
      <w:r w:rsidRPr="00495680">
        <w:rPr>
          <w:lang w:val="fr-CH"/>
        </w:rPr>
        <w:t>77</w:t>
      </w:r>
      <w:r w:rsidR="0007746C" w:rsidRPr="00495680">
        <w:rPr>
          <w:lang w:val="fr-CH"/>
        </w:rPr>
        <w:t>.</w:t>
      </w:r>
      <w:r w:rsidR="0007746C" w:rsidRPr="00495680">
        <w:rPr>
          <w:lang w:val="fr-CH"/>
        </w:rPr>
        <w:tab/>
        <w:t xml:space="preserve">Un membre du Comité permanent note que les Parties ont différentes capacités de mobiliser des ressources pour l’application de la Convention, par exemple, par la mise à jour des données sur les </w:t>
      </w:r>
      <w:r w:rsidRPr="00495680">
        <w:rPr>
          <w:lang w:val="fr-CH"/>
        </w:rPr>
        <w:t>zones humides d’importance internationale (‘</w:t>
      </w:r>
      <w:r w:rsidR="0007746C" w:rsidRPr="00495680">
        <w:rPr>
          <w:lang w:val="fr-CH"/>
        </w:rPr>
        <w:t>Sites Ramsar</w:t>
      </w:r>
      <w:r w:rsidRPr="00495680">
        <w:rPr>
          <w:lang w:val="fr-CH"/>
        </w:rPr>
        <w:t>’)</w:t>
      </w:r>
      <w:r w:rsidR="0007746C" w:rsidRPr="00495680">
        <w:rPr>
          <w:lang w:val="fr-CH"/>
        </w:rPr>
        <w:t xml:space="preserve">, et souligne que le cinquième Plan stratégique offre une occasion de soutenir les efforts en soulignant l’importance des zones humides pour l’application </w:t>
      </w:r>
      <w:r w:rsidRPr="00495680">
        <w:rPr>
          <w:lang w:val="fr-CH"/>
        </w:rPr>
        <w:t xml:space="preserve">des </w:t>
      </w:r>
      <w:r w:rsidR="0007746C" w:rsidRPr="00495680">
        <w:rPr>
          <w:lang w:val="fr-CH"/>
        </w:rPr>
        <w:t xml:space="preserve">processus </w:t>
      </w:r>
      <w:r w:rsidRPr="00495680">
        <w:rPr>
          <w:lang w:val="fr-CH"/>
        </w:rPr>
        <w:t>d’autres c</w:t>
      </w:r>
      <w:r w:rsidR="0007746C" w:rsidRPr="00495680">
        <w:rPr>
          <w:lang w:val="fr-CH"/>
        </w:rPr>
        <w:t>onvention</w:t>
      </w:r>
      <w:r w:rsidRPr="00495680">
        <w:rPr>
          <w:lang w:val="fr-CH"/>
        </w:rPr>
        <w:t>s</w:t>
      </w:r>
      <w:r w:rsidR="0007746C" w:rsidRPr="00495680">
        <w:rPr>
          <w:lang w:val="fr-CH"/>
        </w:rPr>
        <w:t>. Le membre du Comité se félicite de l’accent mis par la Secrétaire générale sur la mobilisation des ressources.</w:t>
      </w:r>
    </w:p>
    <w:p w14:paraId="31221358" w14:textId="77777777" w:rsidR="0007746C" w:rsidRPr="00206B0A" w:rsidRDefault="0007746C" w:rsidP="0007746C">
      <w:pPr>
        <w:spacing w:after="0" w:line="240" w:lineRule="auto"/>
        <w:ind w:left="560" w:hanging="560"/>
        <w:rPr>
          <w:lang w:val="fr-CH"/>
        </w:rPr>
      </w:pPr>
    </w:p>
    <w:p w14:paraId="034CE965" w14:textId="0AC6C19A" w:rsidR="0007746C" w:rsidRPr="00206B0A" w:rsidRDefault="00247BDA" w:rsidP="0007746C">
      <w:pPr>
        <w:spacing w:after="0" w:line="240" w:lineRule="auto"/>
        <w:ind w:left="560" w:hanging="560"/>
        <w:rPr>
          <w:lang w:val="fr-CH"/>
        </w:rPr>
      </w:pPr>
      <w:r>
        <w:rPr>
          <w:lang w:val="fr-CH"/>
        </w:rPr>
        <w:t>78</w:t>
      </w:r>
      <w:r w:rsidR="0007746C" w:rsidRPr="00206B0A">
        <w:rPr>
          <w:lang w:val="fr-CH"/>
        </w:rPr>
        <w:t>.</w:t>
      </w:r>
      <w:r w:rsidR="0007746C" w:rsidRPr="00206B0A">
        <w:rPr>
          <w:lang w:val="fr-CH"/>
        </w:rPr>
        <w:tab/>
      </w:r>
      <w:r w:rsidR="0007746C">
        <w:rPr>
          <w:lang w:val="fr-CH"/>
        </w:rPr>
        <w:t>Un membre du Comité permanent pose une question sur le processus d’enquête sur l’évaluation des besoins et suggère que les résultats de l’enquête soient partagés avec les Parties. Le Secrétariat apporte les éclaircissements nécessaires.</w:t>
      </w:r>
    </w:p>
    <w:p w14:paraId="38A273AD" w14:textId="77777777" w:rsidR="0007746C" w:rsidRPr="00206B0A" w:rsidRDefault="0007746C" w:rsidP="0007746C">
      <w:pPr>
        <w:spacing w:after="0" w:line="240" w:lineRule="auto"/>
        <w:ind w:left="560" w:hanging="560"/>
        <w:rPr>
          <w:lang w:val="fr-CH"/>
        </w:rPr>
      </w:pPr>
    </w:p>
    <w:p w14:paraId="4B3C7F3A" w14:textId="0BC1F7B7" w:rsidR="0007746C" w:rsidRPr="00206B0A" w:rsidRDefault="00247BDA" w:rsidP="0007746C">
      <w:pPr>
        <w:spacing w:after="0" w:line="240" w:lineRule="auto"/>
        <w:ind w:left="560" w:hanging="560"/>
        <w:rPr>
          <w:lang w:val="fr-CH"/>
        </w:rPr>
      </w:pPr>
      <w:r>
        <w:rPr>
          <w:lang w:val="fr-CH"/>
        </w:rPr>
        <w:t>79</w:t>
      </w:r>
      <w:r w:rsidR="0007746C" w:rsidRPr="00206B0A">
        <w:rPr>
          <w:lang w:val="fr-CH"/>
        </w:rPr>
        <w:t xml:space="preserve">. </w:t>
      </w:r>
      <w:r w:rsidR="0007746C" w:rsidRPr="00206B0A">
        <w:rPr>
          <w:lang w:val="fr-CH"/>
        </w:rPr>
        <w:tab/>
      </w:r>
      <w:r w:rsidR="0007746C">
        <w:rPr>
          <w:lang w:val="fr-CH"/>
        </w:rPr>
        <w:t>Le Burkina Faso et le Japon interviennent dans la discussion.</w:t>
      </w:r>
      <w:r w:rsidR="0007746C" w:rsidRPr="00206B0A">
        <w:rPr>
          <w:lang w:val="fr-CH"/>
        </w:rPr>
        <w:t xml:space="preserve"> </w:t>
      </w:r>
    </w:p>
    <w:p w14:paraId="6AE9BA92" w14:textId="77777777" w:rsidR="0007746C" w:rsidRPr="00EA7C1A" w:rsidRDefault="0007746C" w:rsidP="0007746C">
      <w:pPr>
        <w:spacing w:after="0" w:line="240" w:lineRule="auto"/>
        <w:contextualSpacing/>
        <w:rPr>
          <w:rFonts w:cstheme="minorHAnsi"/>
          <w:b/>
          <w:lang w:val="fr-FR"/>
        </w:rPr>
      </w:pPr>
    </w:p>
    <w:p w14:paraId="23A75F76" w14:textId="77777777" w:rsidR="0007746C" w:rsidRPr="008C2E89" w:rsidRDefault="0007746C" w:rsidP="0007746C">
      <w:pPr>
        <w:spacing w:after="0" w:line="240" w:lineRule="auto"/>
        <w:contextualSpacing/>
        <w:rPr>
          <w:lang w:val="fr-FR"/>
        </w:rPr>
      </w:pPr>
      <w:r w:rsidRPr="008C2E89">
        <w:rPr>
          <w:rFonts w:cstheme="minorHAnsi"/>
          <w:b/>
          <w:lang w:val="fr-FR"/>
        </w:rPr>
        <w:t>Décision SC62-</w:t>
      </w:r>
      <w:r>
        <w:rPr>
          <w:rFonts w:cstheme="minorHAnsi"/>
          <w:b/>
          <w:lang w:val="fr-FR"/>
        </w:rPr>
        <w:t>30</w:t>
      </w:r>
      <w:r w:rsidRPr="008C2E89">
        <w:rPr>
          <w:rFonts w:cstheme="minorHAnsi"/>
          <w:b/>
          <w:lang w:val="fr-FR"/>
        </w:rPr>
        <w:t xml:space="preserve"> : Le Comité permanent </w:t>
      </w:r>
      <w:r w:rsidRPr="008C2E89">
        <w:rPr>
          <w:rFonts w:cstheme="minorHAnsi"/>
          <w:b/>
          <w:bCs/>
          <w:lang w:val="fr-FR"/>
        </w:rPr>
        <w:t>approuve le Plan de travail pour la mobilisation des ressources, 2023-2025</w:t>
      </w:r>
      <w:r>
        <w:rPr>
          <w:rFonts w:cstheme="minorHAnsi"/>
          <w:b/>
          <w:bCs/>
          <w:lang w:val="fr-FR"/>
        </w:rPr>
        <w:t xml:space="preserve"> figurant dans le</w:t>
      </w:r>
      <w:r w:rsidRPr="008C2E89">
        <w:rPr>
          <w:rFonts w:cstheme="minorHAnsi"/>
          <w:b/>
          <w:bCs/>
          <w:lang w:val="fr-FR"/>
        </w:rPr>
        <w:t xml:space="preserve"> document SC62 Doc.18.</w:t>
      </w:r>
    </w:p>
    <w:p w14:paraId="654F8CEB" w14:textId="2110C6B8" w:rsidR="0007746C" w:rsidRDefault="0007746C" w:rsidP="00E64244">
      <w:pPr>
        <w:spacing w:after="0" w:line="240" w:lineRule="auto"/>
        <w:contextualSpacing/>
        <w:rPr>
          <w:rFonts w:cstheme="minorHAnsi"/>
          <w:b/>
          <w:i/>
          <w:lang w:val="fr-FR"/>
        </w:rPr>
      </w:pPr>
    </w:p>
    <w:p w14:paraId="1BA443AF" w14:textId="311E1F3E" w:rsidR="0007746C" w:rsidRDefault="0007746C" w:rsidP="00E64244">
      <w:pPr>
        <w:spacing w:after="0" w:line="240" w:lineRule="auto"/>
        <w:contextualSpacing/>
        <w:rPr>
          <w:rFonts w:cstheme="minorHAnsi"/>
          <w:b/>
          <w:i/>
          <w:lang w:val="fr-FR"/>
        </w:rPr>
      </w:pPr>
    </w:p>
    <w:p w14:paraId="343062EF" w14:textId="77777777" w:rsidR="0007746C" w:rsidRPr="005C3814" w:rsidRDefault="0007746C" w:rsidP="0007746C">
      <w:pPr>
        <w:keepNext/>
        <w:spacing w:after="0" w:line="240" w:lineRule="auto"/>
        <w:outlineLvl w:val="0"/>
        <w:rPr>
          <w:rFonts w:cstheme="minorHAnsi"/>
          <w:b/>
          <w:lang w:val="fr-FR"/>
        </w:rPr>
      </w:pPr>
      <w:r w:rsidRPr="005C3814">
        <w:rPr>
          <w:rFonts w:cstheme="minorHAnsi"/>
          <w:b/>
          <w:lang w:val="fr-FR"/>
        </w:rPr>
        <w:t>Jeudi 7 septembre 2023</w:t>
      </w:r>
    </w:p>
    <w:p w14:paraId="3F5039F3" w14:textId="77777777" w:rsidR="0007746C" w:rsidRPr="005C3814" w:rsidRDefault="0007746C" w:rsidP="0007746C">
      <w:pPr>
        <w:keepNext/>
        <w:spacing w:after="0" w:line="240" w:lineRule="auto"/>
        <w:rPr>
          <w:rFonts w:cstheme="minorHAnsi"/>
          <w:b/>
          <w:lang w:val="fr-FR"/>
        </w:rPr>
      </w:pPr>
    </w:p>
    <w:p w14:paraId="03CBF1ED" w14:textId="77777777" w:rsidR="0007746C" w:rsidRPr="005C3814" w:rsidRDefault="0007746C" w:rsidP="0007746C">
      <w:pPr>
        <w:keepNext/>
        <w:spacing w:after="0" w:line="240" w:lineRule="auto"/>
        <w:rPr>
          <w:rFonts w:cstheme="minorHAnsi"/>
          <w:b/>
          <w:bCs/>
          <w:lang w:val="fr-FR"/>
        </w:rPr>
      </w:pPr>
      <w:r w:rsidRPr="005C3814">
        <w:rPr>
          <w:rFonts w:cstheme="minorHAnsi"/>
          <w:b/>
          <w:lang w:val="fr-FR"/>
        </w:rPr>
        <w:t xml:space="preserve">10:00 – 13:00 </w:t>
      </w:r>
      <w:r w:rsidRPr="005C3814">
        <w:rPr>
          <w:rFonts w:cstheme="minorHAnsi"/>
          <w:b/>
          <w:lang w:val="fr-FR"/>
        </w:rPr>
        <w:tab/>
        <w:t>Séance plénière du Comité permanent</w:t>
      </w:r>
    </w:p>
    <w:p w14:paraId="420CD1FC" w14:textId="77777777" w:rsidR="0007746C" w:rsidRPr="005C3814" w:rsidRDefault="0007746C" w:rsidP="0007746C">
      <w:pPr>
        <w:keepNext/>
        <w:spacing w:after="0" w:line="240" w:lineRule="auto"/>
        <w:rPr>
          <w:rFonts w:cstheme="minorHAnsi"/>
          <w:lang w:val="fr-FR"/>
        </w:rPr>
      </w:pPr>
    </w:p>
    <w:p w14:paraId="00E095EE"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C3814">
        <w:rPr>
          <w:rFonts w:cstheme="minorHAnsi"/>
          <w:bCs/>
          <w:lang w:val="fr-FR"/>
        </w:rPr>
        <w:t>Point 11 de l</w:t>
      </w:r>
      <w:r>
        <w:rPr>
          <w:rFonts w:cstheme="minorHAnsi"/>
          <w:bCs/>
          <w:lang w:val="fr-FR"/>
        </w:rPr>
        <w:t>’</w:t>
      </w:r>
      <w:r w:rsidRPr="005C3814">
        <w:rPr>
          <w:rFonts w:cstheme="minorHAnsi"/>
          <w:bCs/>
          <w:lang w:val="fr-FR"/>
        </w:rPr>
        <w:t>ordre du jour : Rapport du Secrétariat sur le renforcement institutionnel pour soutenir l</w:t>
      </w:r>
      <w:r>
        <w:rPr>
          <w:rFonts w:cstheme="minorHAnsi"/>
          <w:bCs/>
          <w:lang w:val="fr-FR"/>
        </w:rPr>
        <w:t>’</w:t>
      </w:r>
      <w:r w:rsidRPr="005C3814">
        <w:rPr>
          <w:rFonts w:cstheme="minorHAnsi"/>
          <w:bCs/>
          <w:lang w:val="fr-FR"/>
        </w:rPr>
        <w:t>application de la Convention</w:t>
      </w:r>
    </w:p>
    <w:p w14:paraId="42E475B8" w14:textId="77777777" w:rsidR="0007746C" w:rsidRPr="005C3814" w:rsidRDefault="0007746C" w:rsidP="0007746C">
      <w:pPr>
        <w:spacing w:after="0" w:line="240" w:lineRule="auto"/>
        <w:ind w:left="567" w:hanging="567"/>
        <w:rPr>
          <w:rFonts w:eastAsia="Calibri" w:cstheme="minorHAnsi"/>
          <w:bCs/>
          <w:lang w:val="fr-FR"/>
        </w:rPr>
      </w:pPr>
    </w:p>
    <w:p w14:paraId="5184FEC4" w14:textId="6D9682BB" w:rsidR="0007746C" w:rsidRPr="00495680" w:rsidRDefault="00247BDA" w:rsidP="0007746C">
      <w:pPr>
        <w:ind w:left="567" w:hanging="567"/>
        <w:rPr>
          <w:rFonts w:eastAsia="Calibri" w:cstheme="minorHAnsi"/>
          <w:bCs/>
          <w:lang w:val="fr-FR"/>
        </w:rPr>
      </w:pPr>
      <w:r>
        <w:rPr>
          <w:rFonts w:eastAsia="Calibri" w:cstheme="minorHAnsi"/>
          <w:bCs/>
          <w:lang w:val="fr-FR"/>
        </w:rPr>
        <w:lastRenderedPageBreak/>
        <w:t>80</w:t>
      </w:r>
      <w:r w:rsidR="0007746C" w:rsidRPr="005C3814">
        <w:rPr>
          <w:rFonts w:eastAsia="Calibri" w:cstheme="minorHAnsi"/>
          <w:bCs/>
          <w:lang w:val="fr-FR"/>
        </w:rPr>
        <w:t>.</w:t>
      </w:r>
      <w:r w:rsidR="0007746C" w:rsidRPr="005C3814">
        <w:rPr>
          <w:rFonts w:eastAsia="Calibri" w:cstheme="minorHAnsi"/>
          <w:bCs/>
          <w:lang w:val="fr-FR"/>
        </w:rPr>
        <w:tab/>
        <w:t>Les États-Unis d</w:t>
      </w:r>
      <w:r w:rsidR="0007746C">
        <w:rPr>
          <w:rFonts w:eastAsia="Calibri" w:cstheme="minorHAnsi"/>
          <w:bCs/>
          <w:lang w:val="fr-FR"/>
        </w:rPr>
        <w:t>’</w:t>
      </w:r>
      <w:r w:rsidR="0007746C" w:rsidRPr="005C3814">
        <w:rPr>
          <w:rFonts w:eastAsia="Calibri" w:cstheme="minorHAnsi"/>
          <w:bCs/>
          <w:lang w:val="fr-FR"/>
        </w:rPr>
        <w:t>Amérique</w:t>
      </w:r>
      <w:r w:rsidR="0007746C" w:rsidRPr="00495680">
        <w:rPr>
          <w:rFonts w:eastAsia="Calibri" w:cstheme="minorHAnsi"/>
          <w:bCs/>
          <w:lang w:val="fr-FR"/>
        </w:rPr>
        <w:t xml:space="preserve">, en qualité de Président </w:t>
      </w:r>
      <w:r w:rsidRPr="00495680">
        <w:rPr>
          <w:rFonts w:eastAsia="Calibri" w:cstheme="minorHAnsi"/>
          <w:bCs/>
          <w:lang w:val="fr-FR"/>
        </w:rPr>
        <w:t>par intérim</w:t>
      </w:r>
      <w:r w:rsidR="0007746C" w:rsidRPr="00495680">
        <w:rPr>
          <w:rFonts w:eastAsia="Calibri" w:cstheme="minorHAnsi"/>
          <w:bCs/>
          <w:lang w:val="fr-FR"/>
        </w:rPr>
        <w:t xml:space="preserve"> du </w:t>
      </w:r>
      <w:r w:rsidRPr="00495680">
        <w:rPr>
          <w:rFonts w:eastAsia="Calibri" w:cstheme="minorHAnsi"/>
          <w:bCs/>
          <w:lang w:val="fr-FR"/>
        </w:rPr>
        <w:t>G</w:t>
      </w:r>
      <w:r w:rsidR="0007746C" w:rsidRPr="00495680">
        <w:rPr>
          <w:rFonts w:eastAsia="Calibri" w:cstheme="minorHAnsi"/>
          <w:bCs/>
          <w:lang w:val="fr-FR"/>
        </w:rPr>
        <w:t>roupe de travail</w:t>
      </w:r>
      <w:r w:rsidRPr="00495680">
        <w:rPr>
          <w:rFonts w:cstheme="minorHAnsi"/>
          <w:bCs/>
          <w:lang w:val="fr-FR"/>
        </w:rPr>
        <w:t xml:space="preserve"> sur le renforcement institutionnel</w:t>
      </w:r>
      <w:r w:rsidR="0007746C" w:rsidRPr="00495680">
        <w:rPr>
          <w:rFonts w:eastAsia="Calibri" w:cstheme="minorHAnsi"/>
          <w:bCs/>
          <w:lang w:val="fr-FR"/>
        </w:rPr>
        <w:t>, rendent compte à la plénière des délibérations du groupe</w:t>
      </w:r>
      <w:r w:rsidRPr="00495680">
        <w:rPr>
          <w:rFonts w:eastAsia="Calibri" w:cstheme="minorHAnsi"/>
          <w:bCs/>
          <w:lang w:val="fr-FR"/>
        </w:rPr>
        <w:t xml:space="preserve"> </w:t>
      </w:r>
      <w:r w:rsidR="0007746C" w:rsidRPr="00495680">
        <w:rPr>
          <w:rFonts w:eastAsia="Calibri" w:cstheme="minorHAnsi"/>
          <w:bCs/>
          <w:lang w:val="fr-FR"/>
        </w:rPr>
        <w:t xml:space="preserve">; ils soulignent les progrès </w:t>
      </w:r>
      <w:r w:rsidR="00FF01DB" w:rsidRPr="00495680">
        <w:rPr>
          <w:rFonts w:eastAsia="Calibri" w:cstheme="minorHAnsi"/>
          <w:bCs/>
          <w:lang w:val="fr-FR"/>
        </w:rPr>
        <w:t xml:space="preserve">positifs </w:t>
      </w:r>
      <w:r w:rsidR="0007746C" w:rsidRPr="00495680">
        <w:rPr>
          <w:rFonts w:eastAsia="Calibri" w:cstheme="minorHAnsi"/>
          <w:bCs/>
          <w:lang w:val="fr-FR"/>
        </w:rPr>
        <w:t xml:space="preserve">accomplis et indiquent que de nouvelles discussions seront nécessaires pour finaliser le mandat du </w:t>
      </w:r>
      <w:r w:rsidR="00FF01DB" w:rsidRPr="00495680">
        <w:rPr>
          <w:rFonts w:eastAsia="Calibri" w:cstheme="minorHAnsi"/>
          <w:bCs/>
          <w:lang w:val="fr-FR"/>
        </w:rPr>
        <w:t>G</w:t>
      </w:r>
      <w:r w:rsidR="0007746C" w:rsidRPr="00495680">
        <w:rPr>
          <w:rFonts w:eastAsia="Calibri" w:cstheme="minorHAnsi"/>
          <w:bCs/>
          <w:lang w:val="fr-FR"/>
        </w:rPr>
        <w:t xml:space="preserve">roupe de travail créé </w:t>
      </w:r>
      <w:r w:rsidR="00FF01DB" w:rsidRPr="00495680">
        <w:rPr>
          <w:rFonts w:eastAsia="Calibri" w:cstheme="minorHAnsi"/>
          <w:bCs/>
          <w:lang w:val="fr-FR"/>
        </w:rPr>
        <w:t>afin de piloter</w:t>
      </w:r>
      <w:r w:rsidR="0007746C" w:rsidRPr="00495680">
        <w:rPr>
          <w:rFonts w:eastAsia="Calibri" w:cstheme="minorHAnsi"/>
          <w:bCs/>
          <w:lang w:val="fr-FR"/>
        </w:rPr>
        <w:t xml:space="preserve"> le processus visant à renforcer la solidité de la structure organisationnelle pour soutenir l’application de la Convention. Ils ajoutent que ce mandat devrait être soumis à l’examen de la plénière le vendredi 8 septembre 2023.</w:t>
      </w:r>
    </w:p>
    <w:p w14:paraId="762E9239" w14:textId="77777777" w:rsidR="0007746C" w:rsidRPr="005C3814" w:rsidRDefault="0007746C" w:rsidP="0007746C">
      <w:pPr>
        <w:keepNext/>
        <w:spacing w:after="0" w:line="240" w:lineRule="auto"/>
        <w:rPr>
          <w:rFonts w:cstheme="minorHAnsi"/>
          <w:lang w:val="fr-FR"/>
        </w:rPr>
      </w:pPr>
    </w:p>
    <w:p w14:paraId="73AC798F"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5C3814">
        <w:rPr>
          <w:bCs/>
          <w:lang w:val="fr-FR"/>
        </w:rPr>
        <w:t>Point 8 de l</w:t>
      </w:r>
      <w:r>
        <w:rPr>
          <w:bCs/>
          <w:lang w:val="fr-FR"/>
        </w:rPr>
        <w:t>’</w:t>
      </w:r>
      <w:r w:rsidRPr="005C3814">
        <w:rPr>
          <w:bCs/>
          <w:lang w:val="fr-FR"/>
        </w:rPr>
        <w:t>ordre du jour : Questions financières et budgétaires</w:t>
      </w:r>
    </w:p>
    <w:p w14:paraId="3AC04FAC" w14:textId="77777777" w:rsidR="0007746C" w:rsidRPr="005C3814" w:rsidRDefault="0007746C" w:rsidP="0007746C">
      <w:pPr>
        <w:spacing w:after="0" w:line="240" w:lineRule="auto"/>
        <w:ind w:left="567" w:hanging="567"/>
        <w:rPr>
          <w:rFonts w:eastAsia="Calibri" w:cstheme="minorHAnsi"/>
          <w:bCs/>
          <w:lang w:val="fr-FR"/>
        </w:rPr>
      </w:pPr>
    </w:p>
    <w:p w14:paraId="7EBD4289" w14:textId="05D981BE" w:rsidR="0007746C" w:rsidRPr="005C3814" w:rsidRDefault="00FF01DB" w:rsidP="0007746C">
      <w:pPr>
        <w:spacing w:after="0" w:line="240" w:lineRule="auto"/>
        <w:ind w:left="567" w:hanging="567"/>
        <w:rPr>
          <w:rFonts w:eastAsia="Calibri" w:cstheme="minorHAnsi"/>
          <w:bCs/>
          <w:lang w:val="fr-FR"/>
        </w:rPr>
      </w:pPr>
      <w:r>
        <w:rPr>
          <w:rFonts w:eastAsia="Calibri" w:cstheme="minorHAnsi"/>
          <w:bCs/>
          <w:lang w:val="fr-FR"/>
        </w:rPr>
        <w:t>81</w:t>
      </w:r>
      <w:r w:rsidR="0007746C" w:rsidRPr="005C3814">
        <w:rPr>
          <w:rFonts w:eastAsia="Calibri" w:cstheme="minorHAnsi"/>
          <w:bCs/>
          <w:lang w:val="fr-FR"/>
        </w:rPr>
        <w:t>.</w:t>
      </w:r>
      <w:r w:rsidR="0007746C" w:rsidRPr="005C3814">
        <w:rPr>
          <w:rFonts w:eastAsia="Calibri" w:cstheme="minorHAnsi"/>
          <w:bCs/>
          <w:lang w:val="fr-FR"/>
        </w:rPr>
        <w:tab/>
        <w:t>Les États-Unis d</w:t>
      </w:r>
      <w:r w:rsidR="0007746C">
        <w:rPr>
          <w:rFonts w:eastAsia="Calibri" w:cstheme="minorHAnsi"/>
          <w:bCs/>
          <w:lang w:val="fr-FR"/>
        </w:rPr>
        <w:t>’</w:t>
      </w:r>
      <w:r w:rsidR="0007746C" w:rsidRPr="005C3814">
        <w:rPr>
          <w:rFonts w:eastAsia="Calibri" w:cstheme="minorHAnsi"/>
          <w:bCs/>
          <w:lang w:val="fr-FR"/>
        </w:rPr>
        <w:t>Amérique, en qualité de Président du Sous-groupe sur les finances, indiquent qu</w:t>
      </w:r>
      <w:r w:rsidR="0007746C">
        <w:rPr>
          <w:rFonts w:eastAsia="Calibri" w:cstheme="minorHAnsi"/>
          <w:bCs/>
          <w:lang w:val="fr-FR"/>
        </w:rPr>
        <w:t>’</w:t>
      </w:r>
      <w:r w:rsidR="0007746C" w:rsidRPr="005C3814">
        <w:rPr>
          <w:rFonts w:eastAsia="Calibri" w:cstheme="minorHAnsi"/>
          <w:bCs/>
          <w:lang w:val="fr-FR"/>
        </w:rPr>
        <w:t>un consensus s</w:t>
      </w:r>
      <w:r w:rsidR="0007746C">
        <w:rPr>
          <w:rFonts w:eastAsia="Calibri" w:cstheme="minorHAnsi"/>
          <w:bCs/>
          <w:lang w:val="fr-FR"/>
        </w:rPr>
        <w:t>’</w:t>
      </w:r>
      <w:r w:rsidR="0007746C" w:rsidRPr="005C3814">
        <w:rPr>
          <w:rFonts w:eastAsia="Calibri" w:cstheme="minorHAnsi"/>
          <w:bCs/>
          <w:lang w:val="fr-FR"/>
        </w:rPr>
        <w:t>est dégagé concernant une grande partie, voire l</w:t>
      </w:r>
      <w:r w:rsidR="0007746C">
        <w:rPr>
          <w:rFonts w:eastAsia="Calibri" w:cstheme="minorHAnsi"/>
          <w:bCs/>
          <w:lang w:val="fr-FR"/>
        </w:rPr>
        <w:t>’</w:t>
      </w:r>
      <w:r w:rsidR="0007746C" w:rsidRPr="005C3814">
        <w:rPr>
          <w:rFonts w:eastAsia="Calibri" w:cstheme="minorHAnsi"/>
          <w:bCs/>
          <w:lang w:val="fr-FR"/>
        </w:rPr>
        <w:t>intégralité, du texte de la décision ; ils font état de nouvelles modifications à apporter au rapport (document SC62 Com.1 Rev.1) et demandent que le Sous-groupe se réunisse brièvement pour finaliser le texte</w:t>
      </w:r>
      <w:r w:rsidR="0007746C" w:rsidRPr="005C3814">
        <w:rPr>
          <w:lang w:val="fr-FR"/>
        </w:rPr>
        <w:t xml:space="preserve">. </w:t>
      </w:r>
    </w:p>
    <w:p w14:paraId="3DAE85CB" w14:textId="77777777" w:rsidR="0007746C" w:rsidRPr="005C3814" w:rsidRDefault="0007746C" w:rsidP="0007746C">
      <w:pPr>
        <w:keepNext/>
        <w:spacing w:after="0" w:line="240" w:lineRule="auto"/>
        <w:rPr>
          <w:rFonts w:cstheme="minorHAnsi"/>
          <w:lang w:val="fr-FR"/>
        </w:rPr>
      </w:pPr>
    </w:p>
    <w:p w14:paraId="6B4F98AE"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5C3814">
        <w:rPr>
          <w:rFonts w:cstheme="minorHAnsi"/>
          <w:bCs/>
          <w:lang w:val="fr-FR"/>
        </w:rPr>
        <w:t>Point 19 de l</w:t>
      </w:r>
      <w:r>
        <w:rPr>
          <w:rFonts w:cstheme="minorHAnsi"/>
          <w:bCs/>
          <w:lang w:val="fr-FR"/>
        </w:rPr>
        <w:t>’</w:t>
      </w:r>
      <w:r w:rsidRPr="005C3814">
        <w:rPr>
          <w:rFonts w:cstheme="minorHAnsi"/>
          <w:bCs/>
          <w:lang w:val="fr-FR"/>
        </w:rPr>
        <w:t>ordre du jour : Rapport du Président du Groupe d</w:t>
      </w:r>
      <w:r>
        <w:rPr>
          <w:rFonts w:cstheme="minorHAnsi"/>
          <w:bCs/>
          <w:lang w:val="fr-FR"/>
        </w:rPr>
        <w:t>’</w:t>
      </w:r>
      <w:r w:rsidRPr="005C3814">
        <w:rPr>
          <w:rFonts w:cstheme="minorHAnsi"/>
          <w:bCs/>
          <w:lang w:val="fr-FR"/>
        </w:rPr>
        <w:t>évaluation scientifique et technique, y compris le plan de travail pour 2023-2025</w:t>
      </w:r>
    </w:p>
    <w:p w14:paraId="67A1468A" w14:textId="77777777" w:rsidR="0007746C" w:rsidRPr="005C3814" w:rsidRDefault="0007746C" w:rsidP="0007746C">
      <w:pPr>
        <w:spacing w:after="0" w:line="240" w:lineRule="auto"/>
        <w:ind w:left="720" w:hanging="720"/>
        <w:rPr>
          <w:rFonts w:eastAsia="Calibri" w:cstheme="minorHAnsi"/>
          <w:bCs/>
          <w:lang w:val="fr-FR"/>
        </w:rPr>
      </w:pPr>
    </w:p>
    <w:p w14:paraId="311C1BBD" w14:textId="0254AF10" w:rsidR="0007746C" w:rsidRPr="005C3814" w:rsidRDefault="00FF01DB" w:rsidP="0007746C">
      <w:pPr>
        <w:spacing w:after="0" w:line="240" w:lineRule="auto"/>
        <w:ind w:left="567" w:hanging="567"/>
        <w:rPr>
          <w:rFonts w:eastAsia="Calibri" w:cstheme="minorHAnsi"/>
          <w:bCs/>
          <w:lang w:val="fr-FR"/>
        </w:rPr>
      </w:pPr>
      <w:r>
        <w:rPr>
          <w:rFonts w:eastAsia="Calibri" w:cstheme="minorHAnsi"/>
          <w:bCs/>
          <w:lang w:val="fr-FR"/>
        </w:rPr>
        <w:t>82</w:t>
      </w:r>
      <w:r w:rsidR="0007746C" w:rsidRPr="005C3814">
        <w:rPr>
          <w:rFonts w:eastAsia="Calibri" w:cstheme="minorHAnsi"/>
          <w:bCs/>
          <w:lang w:val="fr-FR"/>
        </w:rPr>
        <w:t>.</w:t>
      </w:r>
      <w:r w:rsidR="0007746C" w:rsidRPr="005C3814">
        <w:rPr>
          <w:rFonts w:eastAsia="Calibri" w:cstheme="minorHAnsi"/>
          <w:bCs/>
          <w:lang w:val="fr-FR"/>
        </w:rPr>
        <w:tab/>
        <w:t>Le Président du GEST présente le document SC62</w:t>
      </w:r>
      <w:r w:rsidR="0007746C">
        <w:rPr>
          <w:rFonts w:eastAsia="Calibri" w:cstheme="minorHAnsi"/>
          <w:bCs/>
          <w:lang w:val="fr-FR"/>
        </w:rPr>
        <w:t> </w:t>
      </w:r>
      <w:r w:rsidR="0007746C" w:rsidRPr="005C3814">
        <w:rPr>
          <w:rFonts w:eastAsia="Calibri" w:cstheme="minorHAnsi"/>
          <w:bCs/>
          <w:lang w:val="fr-FR"/>
        </w:rPr>
        <w:t>Doc.19 Rev.1, axé sur : les objectifs du GEST pour 2023-2025</w:t>
      </w:r>
      <w:r w:rsidR="0007746C">
        <w:rPr>
          <w:rFonts w:eastAsia="Calibri" w:cstheme="minorHAnsi"/>
          <w:bCs/>
          <w:lang w:val="fr-FR"/>
        </w:rPr>
        <w:t> </w:t>
      </w:r>
      <w:r w:rsidR="0007746C" w:rsidRPr="005C3814">
        <w:rPr>
          <w:rFonts w:eastAsia="Calibri" w:cstheme="minorHAnsi"/>
          <w:bCs/>
          <w:lang w:val="fr-FR"/>
        </w:rPr>
        <w:t>; l</w:t>
      </w:r>
      <w:r w:rsidR="0007746C">
        <w:rPr>
          <w:rFonts w:eastAsia="Calibri" w:cstheme="minorHAnsi"/>
          <w:bCs/>
          <w:lang w:val="fr-FR"/>
        </w:rPr>
        <w:t>’</w:t>
      </w:r>
      <w:r w:rsidR="0007746C" w:rsidRPr="005C3814">
        <w:rPr>
          <w:rFonts w:eastAsia="Calibri" w:cstheme="minorHAnsi"/>
          <w:bCs/>
          <w:lang w:val="fr-FR"/>
        </w:rPr>
        <w:t>état d</w:t>
      </w:r>
      <w:r w:rsidR="0007746C">
        <w:rPr>
          <w:rFonts w:eastAsia="Calibri" w:cstheme="minorHAnsi"/>
          <w:bCs/>
          <w:lang w:val="fr-FR"/>
        </w:rPr>
        <w:t>’</w:t>
      </w:r>
      <w:r w:rsidR="0007746C" w:rsidRPr="005C3814">
        <w:rPr>
          <w:rFonts w:eastAsia="Calibri" w:cstheme="minorHAnsi"/>
          <w:bCs/>
          <w:lang w:val="fr-FR"/>
        </w:rPr>
        <w:t xml:space="preserve">avancement de la mise en œuvre des tâches </w:t>
      </w:r>
      <w:r w:rsidR="0007746C" w:rsidRPr="00495680">
        <w:rPr>
          <w:rFonts w:eastAsia="Calibri" w:cstheme="minorHAnsi"/>
          <w:bCs/>
          <w:lang w:val="fr-FR"/>
        </w:rPr>
        <w:t>prioritaires du GEST ; les résultats du GEST dont il conviendra de rendre compte aux 63</w:t>
      </w:r>
      <w:r w:rsidR="0007746C" w:rsidRPr="00495680">
        <w:rPr>
          <w:rFonts w:eastAsia="Calibri" w:cstheme="minorHAnsi"/>
          <w:bCs/>
          <w:vertAlign w:val="superscript"/>
          <w:lang w:val="fr-FR"/>
        </w:rPr>
        <w:t>e</w:t>
      </w:r>
      <w:r w:rsidR="0007746C" w:rsidRPr="00495680">
        <w:rPr>
          <w:rFonts w:eastAsia="Calibri" w:cstheme="minorHAnsi"/>
          <w:bCs/>
          <w:lang w:val="fr-FR"/>
        </w:rPr>
        <w:t xml:space="preserve"> et 64</w:t>
      </w:r>
      <w:r w:rsidR="0007746C" w:rsidRPr="00495680">
        <w:rPr>
          <w:rFonts w:eastAsia="Calibri" w:cstheme="minorHAnsi"/>
          <w:bCs/>
          <w:vertAlign w:val="superscript"/>
          <w:lang w:val="fr-FR"/>
        </w:rPr>
        <w:t>e</w:t>
      </w:r>
      <w:r w:rsidR="0007746C" w:rsidRPr="00495680">
        <w:rPr>
          <w:rFonts w:eastAsia="Calibri" w:cstheme="minorHAnsi"/>
          <w:bCs/>
          <w:lang w:val="fr-FR"/>
        </w:rPr>
        <w:t> Réunions du Comité permanent ; et les recommandations tirées de la 25</w:t>
      </w:r>
      <w:r w:rsidR="0007746C" w:rsidRPr="00495680">
        <w:rPr>
          <w:rFonts w:eastAsia="Calibri" w:cstheme="minorHAnsi"/>
          <w:bCs/>
          <w:vertAlign w:val="superscript"/>
          <w:lang w:val="fr-FR"/>
        </w:rPr>
        <w:t>e</w:t>
      </w:r>
      <w:r w:rsidR="0007746C" w:rsidRPr="00495680">
        <w:rPr>
          <w:rFonts w:eastAsia="Calibri" w:cstheme="minorHAnsi"/>
          <w:bCs/>
          <w:lang w:val="fr-FR"/>
        </w:rPr>
        <w:t> réunion du GEST</w:t>
      </w:r>
      <w:r w:rsidRPr="00495680">
        <w:rPr>
          <w:rFonts w:eastAsia="Calibri" w:cstheme="minorHAnsi"/>
          <w:bCs/>
          <w:lang w:val="fr-FR"/>
        </w:rPr>
        <w:t xml:space="preserve"> (GEST25)</w:t>
      </w:r>
      <w:r w:rsidR="0007746C" w:rsidRPr="00495680">
        <w:rPr>
          <w:rFonts w:eastAsia="Calibri" w:cstheme="minorHAnsi"/>
          <w:bCs/>
          <w:lang w:val="fr-FR"/>
        </w:rPr>
        <w:t xml:space="preserve">. Le Président du GEST remercie les membres du Comité permanent d’avoir approuvé le plan </w:t>
      </w:r>
      <w:r w:rsidR="0007746C" w:rsidRPr="005C3814">
        <w:rPr>
          <w:rFonts w:eastAsia="Calibri" w:cstheme="minorHAnsi"/>
          <w:bCs/>
          <w:lang w:val="fr-FR"/>
        </w:rPr>
        <w:t>de travail intersessions du GEST le 29 juin 2023, ce qui a permis au GEST d</w:t>
      </w:r>
      <w:r w:rsidR="0007746C">
        <w:rPr>
          <w:rFonts w:eastAsia="Calibri" w:cstheme="minorHAnsi"/>
          <w:bCs/>
          <w:lang w:val="fr-FR"/>
        </w:rPr>
        <w:t>’</w:t>
      </w:r>
      <w:r w:rsidR="0007746C" w:rsidRPr="005C3814">
        <w:rPr>
          <w:rFonts w:eastAsia="Calibri" w:cstheme="minorHAnsi"/>
          <w:bCs/>
          <w:lang w:val="fr-FR"/>
        </w:rPr>
        <w:t>entamer les travaux relatifs aux tâches prioritaires.</w:t>
      </w:r>
    </w:p>
    <w:p w14:paraId="1E60E1F3" w14:textId="77777777" w:rsidR="0007746C" w:rsidRPr="005C3814" w:rsidRDefault="0007746C" w:rsidP="0007746C">
      <w:pPr>
        <w:spacing w:after="0" w:line="240" w:lineRule="auto"/>
        <w:rPr>
          <w:rFonts w:eastAsia="Calibri" w:cstheme="minorHAnsi"/>
          <w:bCs/>
          <w:lang w:val="fr-FR"/>
        </w:rPr>
      </w:pPr>
    </w:p>
    <w:p w14:paraId="05C8FB47" w14:textId="2A37DF90" w:rsidR="0007746C" w:rsidRPr="005C3814" w:rsidRDefault="00FF01DB" w:rsidP="00FF01DB">
      <w:pPr>
        <w:spacing w:after="0" w:line="240" w:lineRule="auto"/>
        <w:ind w:left="567" w:hanging="567"/>
        <w:rPr>
          <w:rFonts w:eastAsia="Calibri" w:cstheme="minorHAnsi"/>
          <w:bCs/>
          <w:lang w:val="fr-FR"/>
        </w:rPr>
      </w:pPr>
      <w:r>
        <w:rPr>
          <w:rFonts w:eastAsia="Calibri" w:cstheme="minorHAnsi"/>
          <w:bCs/>
          <w:lang w:val="fr-FR"/>
        </w:rPr>
        <w:t>83</w:t>
      </w:r>
      <w:r w:rsidR="0007746C" w:rsidRPr="005C3814">
        <w:rPr>
          <w:rFonts w:eastAsia="Calibri" w:cstheme="minorHAnsi"/>
          <w:bCs/>
          <w:lang w:val="fr-FR"/>
        </w:rPr>
        <w:t>.</w:t>
      </w:r>
      <w:r w:rsidR="0007746C" w:rsidRPr="005C3814">
        <w:rPr>
          <w:rFonts w:eastAsia="Calibri" w:cstheme="minorHAnsi"/>
          <w:bCs/>
          <w:lang w:val="fr-FR"/>
        </w:rPr>
        <w:tab/>
        <w:t>Les membres du Comité permanent saluent les travaux du GEST.</w:t>
      </w:r>
    </w:p>
    <w:p w14:paraId="0A5C77A9" w14:textId="77777777" w:rsidR="0007746C" w:rsidRPr="005C3814" w:rsidRDefault="0007746C" w:rsidP="0007746C">
      <w:pPr>
        <w:spacing w:after="0" w:line="240" w:lineRule="auto"/>
        <w:ind w:left="720" w:hanging="720"/>
        <w:rPr>
          <w:rFonts w:eastAsia="Calibri" w:cstheme="minorHAnsi"/>
          <w:bCs/>
          <w:lang w:val="fr-FR"/>
        </w:rPr>
      </w:pPr>
    </w:p>
    <w:p w14:paraId="18674FF6" w14:textId="7C7D108B" w:rsidR="0007746C" w:rsidRPr="005C3814" w:rsidRDefault="00FF01DB" w:rsidP="0007746C">
      <w:pPr>
        <w:spacing w:after="0" w:line="240" w:lineRule="auto"/>
        <w:ind w:left="720" w:hanging="720"/>
        <w:rPr>
          <w:rFonts w:eastAsia="Calibri" w:cstheme="minorHAnsi"/>
          <w:bCs/>
          <w:lang w:val="fr-FR"/>
        </w:rPr>
      </w:pPr>
      <w:r>
        <w:rPr>
          <w:rFonts w:eastAsia="Calibri" w:cstheme="minorHAnsi"/>
          <w:bCs/>
          <w:lang w:val="fr-FR"/>
        </w:rPr>
        <w:t>84</w:t>
      </w:r>
      <w:r w:rsidR="0007746C" w:rsidRPr="005C3814">
        <w:rPr>
          <w:rFonts w:eastAsia="Calibri" w:cstheme="minorHAnsi"/>
          <w:bCs/>
          <w:lang w:val="fr-FR"/>
        </w:rPr>
        <w:t>.</w:t>
      </w:r>
      <w:r w:rsidR="0007746C" w:rsidRPr="005C3814">
        <w:rPr>
          <w:rFonts w:eastAsia="Calibri" w:cstheme="minorHAnsi"/>
          <w:bCs/>
          <w:lang w:val="fr-FR"/>
        </w:rPr>
        <w:tab/>
        <w:t>Certains membres du Comité permanent font des suggestions concernant la réalisation de tâches figurant dans le plan de travail du GEST, notamment en ce qui concerne : l</w:t>
      </w:r>
      <w:r w:rsidR="0007746C">
        <w:rPr>
          <w:rFonts w:eastAsia="Calibri" w:cstheme="minorHAnsi"/>
          <w:bCs/>
          <w:lang w:val="fr-FR"/>
        </w:rPr>
        <w:t>’</w:t>
      </w:r>
      <w:r w:rsidR="0007746C" w:rsidRPr="005C3814">
        <w:rPr>
          <w:rFonts w:eastAsia="Calibri" w:cstheme="minorHAnsi"/>
          <w:bCs/>
          <w:lang w:val="fr-FR"/>
        </w:rPr>
        <w:t>évaluation rapide visant à répertorier les menaces qui pèsent sur les écosystèmes, y compris les mesures liées à l</w:t>
      </w:r>
      <w:r w:rsidR="0007746C">
        <w:rPr>
          <w:rFonts w:eastAsia="Calibri" w:cstheme="minorHAnsi"/>
          <w:bCs/>
          <w:lang w:val="fr-FR"/>
        </w:rPr>
        <w:t>’</w:t>
      </w:r>
      <w:r w:rsidR="0007746C" w:rsidRPr="005C3814">
        <w:rPr>
          <w:rFonts w:eastAsia="Calibri" w:cstheme="minorHAnsi"/>
          <w:bCs/>
          <w:lang w:val="fr-FR"/>
        </w:rPr>
        <w:t xml:space="preserve">adaptation aux effets </w:t>
      </w:r>
      <w:r>
        <w:rPr>
          <w:rFonts w:eastAsia="Calibri" w:cstheme="minorHAnsi"/>
          <w:bCs/>
          <w:lang w:val="fr-FR"/>
        </w:rPr>
        <w:t>des</w:t>
      </w:r>
      <w:r w:rsidR="0007746C" w:rsidRPr="005C3814">
        <w:rPr>
          <w:rFonts w:eastAsia="Calibri" w:cstheme="minorHAnsi"/>
          <w:bCs/>
          <w:lang w:val="fr-FR"/>
        </w:rPr>
        <w:t xml:space="preserve"> changement</w:t>
      </w:r>
      <w:r>
        <w:rPr>
          <w:rFonts w:eastAsia="Calibri" w:cstheme="minorHAnsi"/>
          <w:bCs/>
          <w:lang w:val="fr-FR"/>
        </w:rPr>
        <w:t>s</w:t>
      </w:r>
      <w:r w:rsidR="0007746C" w:rsidRPr="005C3814">
        <w:rPr>
          <w:rFonts w:eastAsia="Calibri" w:cstheme="minorHAnsi"/>
          <w:bCs/>
          <w:lang w:val="fr-FR"/>
        </w:rPr>
        <w:t xml:space="preserve"> climatique</w:t>
      </w:r>
      <w:r>
        <w:rPr>
          <w:rFonts w:eastAsia="Calibri" w:cstheme="minorHAnsi"/>
          <w:bCs/>
          <w:lang w:val="fr-FR"/>
        </w:rPr>
        <w:t>s</w:t>
      </w:r>
      <w:r w:rsidR="0007746C" w:rsidRPr="005C3814">
        <w:rPr>
          <w:rFonts w:eastAsia="Calibri" w:cstheme="minorHAnsi"/>
          <w:bCs/>
          <w:lang w:val="fr-FR"/>
        </w:rPr>
        <w:t xml:space="preserve"> et à l</w:t>
      </w:r>
      <w:r w:rsidR="0007746C">
        <w:rPr>
          <w:rFonts w:eastAsia="Calibri" w:cstheme="minorHAnsi"/>
          <w:bCs/>
          <w:lang w:val="fr-FR"/>
        </w:rPr>
        <w:t>’</w:t>
      </w:r>
      <w:r w:rsidR="0007746C" w:rsidRPr="005C3814">
        <w:rPr>
          <w:rFonts w:eastAsia="Calibri" w:cstheme="minorHAnsi"/>
          <w:bCs/>
          <w:lang w:val="fr-FR"/>
        </w:rPr>
        <w:t>atténuation des risques</w:t>
      </w:r>
      <w:r w:rsidR="0007746C">
        <w:rPr>
          <w:rFonts w:eastAsia="Calibri" w:cstheme="minorHAnsi"/>
          <w:bCs/>
          <w:lang w:val="fr-FR"/>
        </w:rPr>
        <w:t> </w:t>
      </w:r>
      <w:r w:rsidR="0007746C" w:rsidRPr="005C3814">
        <w:rPr>
          <w:rFonts w:eastAsia="Calibri" w:cstheme="minorHAnsi"/>
          <w:bCs/>
          <w:lang w:val="fr-FR"/>
        </w:rPr>
        <w:t>; l</w:t>
      </w:r>
      <w:r w:rsidR="0007746C">
        <w:rPr>
          <w:rFonts w:eastAsia="Calibri" w:cstheme="minorHAnsi"/>
          <w:bCs/>
          <w:lang w:val="fr-FR"/>
        </w:rPr>
        <w:t>’</w:t>
      </w:r>
      <w:r w:rsidR="0007746C" w:rsidRPr="005C3814">
        <w:rPr>
          <w:rFonts w:eastAsia="Calibri" w:cstheme="minorHAnsi"/>
          <w:bCs/>
          <w:lang w:val="fr-FR"/>
        </w:rPr>
        <w:t>importance des informations communiquées par les communautés locales sur les petites zones humides</w:t>
      </w:r>
      <w:r w:rsidR="0007746C">
        <w:rPr>
          <w:rFonts w:eastAsia="Calibri" w:cstheme="minorHAnsi"/>
          <w:bCs/>
          <w:lang w:val="fr-FR"/>
        </w:rPr>
        <w:t> </w:t>
      </w:r>
      <w:r w:rsidR="0007746C" w:rsidRPr="005C3814">
        <w:rPr>
          <w:rFonts w:eastAsia="Calibri" w:cstheme="minorHAnsi"/>
          <w:bCs/>
          <w:lang w:val="fr-FR"/>
        </w:rPr>
        <w:t>; les mesures axées sur le maintien et la restauration des zones humides en milieu agricole et la prise en compte des incidences du secteur agricole sur les zones humides</w:t>
      </w:r>
      <w:r w:rsidR="0007746C">
        <w:rPr>
          <w:rFonts w:eastAsia="Calibri" w:cstheme="minorHAnsi"/>
          <w:bCs/>
          <w:lang w:val="fr-FR"/>
        </w:rPr>
        <w:t> </w:t>
      </w:r>
      <w:r w:rsidR="0007746C" w:rsidRPr="005C3814">
        <w:rPr>
          <w:rFonts w:eastAsia="Calibri" w:cstheme="minorHAnsi"/>
          <w:bCs/>
          <w:lang w:val="fr-FR"/>
        </w:rPr>
        <w:t>; le potentiel des zones humides, y compris les zones humides artificielles, en tant qu</w:t>
      </w:r>
      <w:r w:rsidR="0007746C">
        <w:rPr>
          <w:rFonts w:eastAsia="Calibri" w:cstheme="minorHAnsi"/>
          <w:bCs/>
          <w:lang w:val="fr-FR"/>
        </w:rPr>
        <w:t>’</w:t>
      </w:r>
      <w:r w:rsidR="0007746C" w:rsidRPr="005C3814">
        <w:rPr>
          <w:rFonts w:eastAsia="Calibri" w:cstheme="minorHAnsi"/>
          <w:bCs/>
          <w:lang w:val="fr-FR"/>
        </w:rPr>
        <w:t xml:space="preserve">écosystèmes de carbone bleu, </w:t>
      </w:r>
      <w:r w:rsidR="0007746C">
        <w:rPr>
          <w:rFonts w:eastAsia="Calibri" w:cstheme="minorHAnsi"/>
          <w:bCs/>
          <w:lang w:val="fr-FR"/>
        </w:rPr>
        <w:t>pour mieux faire face aux</w:t>
      </w:r>
      <w:r w:rsidR="0007746C" w:rsidRPr="005C3814">
        <w:rPr>
          <w:rFonts w:eastAsia="Calibri" w:cstheme="minorHAnsi"/>
          <w:bCs/>
          <w:lang w:val="fr-FR"/>
        </w:rPr>
        <w:t xml:space="preserve"> catastrophes liées au</w:t>
      </w:r>
      <w:r>
        <w:rPr>
          <w:rFonts w:eastAsia="Calibri" w:cstheme="minorHAnsi"/>
          <w:bCs/>
          <w:lang w:val="fr-FR"/>
        </w:rPr>
        <w:t>x</w:t>
      </w:r>
      <w:r w:rsidR="0007746C" w:rsidRPr="005C3814">
        <w:rPr>
          <w:rFonts w:eastAsia="Calibri" w:cstheme="minorHAnsi"/>
          <w:bCs/>
          <w:lang w:val="fr-FR"/>
        </w:rPr>
        <w:t xml:space="preserve"> changement</w:t>
      </w:r>
      <w:r>
        <w:rPr>
          <w:rFonts w:eastAsia="Calibri" w:cstheme="minorHAnsi"/>
          <w:bCs/>
          <w:lang w:val="fr-FR"/>
        </w:rPr>
        <w:t>s</w:t>
      </w:r>
      <w:r w:rsidR="0007746C" w:rsidRPr="005C3814">
        <w:rPr>
          <w:rFonts w:eastAsia="Calibri" w:cstheme="minorHAnsi"/>
          <w:bCs/>
          <w:lang w:val="fr-FR"/>
        </w:rPr>
        <w:t xml:space="preserve"> climatique</w:t>
      </w:r>
      <w:r>
        <w:rPr>
          <w:rFonts w:eastAsia="Calibri" w:cstheme="minorHAnsi"/>
          <w:bCs/>
          <w:lang w:val="fr-FR"/>
        </w:rPr>
        <w:t>s</w:t>
      </w:r>
      <w:r w:rsidR="0007746C">
        <w:rPr>
          <w:rFonts w:eastAsia="Calibri" w:cstheme="minorHAnsi"/>
          <w:bCs/>
          <w:lang w:val="fr-FR"/>
        </w:rPr>
        <w:t> </w:t>
      </w:r>
      <w:r w:rsidR="0007746C" w:rsidRPr="005C3814">
        <w:rPr>
          <w:rFonts w:eastAsia="Calibri" w:cstheme="minorHAnsi"/>
          <w:bCs/>
          <w:lang w:val="fr-FR"/>
        </w:rPr>
        <w:t>; les politiques et les subventions ayant des effets néfastes sur les zones humides</w:t>
      </w:r>
      <w:r w:rsidR="0007746C">
        <w:rPr>
          <w:rFonts w:eastAsia="Calibri" w:cstheme="minorHAnsi"/>
          <w:bCs/>
          <w:lang w:val="fr-FR"/>
        </w:rPr>
        <w:t> </w:t>
      </w:r>
      <w:r w:rsidR="0007746C" w:rsidRPr="005C3814">
        <w:rPr>
          <w:rFonts w:eastAsia="Calibri" w:cstheme="minorHAnsi"/>
          <w:bCs/>
          <w:lang w:val="fr-FR"/>
        </w:rPr>
        <w:t xml:space="preserve">; le travail sur les indicateurs pertinents du Cadre mondial </w:t>
      </w:r>
      <w:r w:rsidR="00495680">
        <w:rPr>
          <w:rFonts w:eastAsia="Calibri" w:cstheme="minorHAnsi"/>
          <w:bCs/>
          <w:lang w:val="fr-FR"/>
        </w:rPr>
        <w:t>de</w:t>
      </w:r>
      <w:r w:rsidR="0007746C" w:rsidRPr="005C3814">
        <w:rPr>
          <w:rFonts w:eastAsia="Calibri" w:cstheme="minorHAnsi"/>
          <w:bCs/>
          <w:lang w:val="fr-FR"/>
        </w:rPr>
        <w:t xml:space="preserve"> la biodiversité ; les travaux de recherche sur l</w:t>
      </w:r>
      <w:r w:rsidR="0007746C">
        <w:rPr>
          <w:rFonts w:eastAsia="Calibri" w:cstheme="minorHAnsi"/>
          <w:bCs/>
          <w:lang w:val="fr-FR"/>
        </w:rPr>
        <w:t>’</w:t>
      </w:r>
      <w:r w:rsidR="0007746C" w:rsidRPr="005C3814">
        <w:rPr>
          <w:rFonts w:eastAsia="Calibri" w:cstheme="minorHAnsi"/>
          <w:bCs/>
          <w:lang w:val="fr-FR"/>
        </w:rPr>
        <w:t>absorption et les émissions de gaz à effet de serre par les zones humides intérieures</w:t>
      </w:r>
      <w:r w:rsidR="0007746C">
        <w:rPr>
          <w:rFonts w:eastAsia="Calibri" w:cstheme="minorHAnsi"/>
          <w:bCs/>
          <w:lang w:val="fr-FR"/>
        </w:rPr>
        <w:t> </w:t>
      </w:r>
      <w:r w:rsidR="0007746C" w:rsidRPr="005C3814">
        <w:rPr>
          <w:rFonts w:eastAsia="Calibri" w:cstheme="minorHAnsi"/>
          <w:bCs/>
          <w:lang w:val="fr-FR"/>
        </w:rPr>
        <w:t>; la nécessité de tenir compte des différences de situations d</w:t>
      </w:r>
      <w:r w:rsidR="0007746C">
        <w:rPr>
          <w:rFonts w:eastAsia="Calibri" w:cstheme="minorHAnsi"/>
          <w:bCs/>
          <w:lang w:val="fr-FR"/>
        </w:rPr>
        <w:t>’</w:t>
      </w:r>
      <w:r w:rsidR="0007746C" w:rsidRPr="005C3814">
        <w:rPr>
          <w:rFonts w:eastAsia="Calibri" w:cstheme="minorHAnsi"/>
          <w:bCs/>
          <w:lang w:val="fr-FR"/>
        </w:rPr>
        <w:t>une région et d</w:t>
      </w:r>
      <w:r w:rsidR="0007746C">
        <w:rPr>
          <w:rFonts w:eastAsia="Calibri" w:cstheme="minorHAnsi"/>
          <w:bCs/>
          <w:lang w:val="fr-FR"/>
        </w:rPr>
        <w:t>’</w:t>
      </w:r>
      <w:r w:rsidR="0007746C" w:rsidRPr="005C3814">
        <w:rPr>
          <w:rFonts w:eastAsia="Calibri" w:cstheme="minorHAnsi"/>
          <w:bCs/>
          <w:lang w:val="fr-FR"/>
        </w:rPr>
        <w:t>un pays à l</w:t>
      </w:r>
      <w:r w:rsidR="0007746C">
        <w:rPr>
          <w:rFonts w:eastAsia="Calibri" w:cstheme="minorHAnsi"/>
          <w:bCs/>
          <w:lang w:val="fr-FR"/>
        </w:rPr>
        <w:t>’</w:t>
      </w:r>
      <w:r w:rsidR="0007746C" w:rsidRPr="005C3814">
        <w:rPr>
          <w:rFonts w:eastAsia="Calibri" w:cstheme="minorHAnsi"/>
          <w:bCs/>
          <w:lang w:val="fr-FR"/>
        </w:rPr>
        <w:t>autre dans l</w:t>
      </w:r>
      <w:r w:rsidR="0007746C">
        <w:rPr>
          <w:rFonts w:eastAsia="Calibri" w:cstheme="minorHAnsi"/>
          <w:bCs/>
          <w:lang w:val="fr-FR"/>
        </w:rPr>
        <w:t>’</w:t>
      </w:r>
      <w:r w:rsidR="0007746C" w:rsidRPr="005C3814">
        <w:rPr>
          <w:rFonts w:eastAsia="Calibri" w:cstheme="minorHAnsi"/>
          <w:bCs/>
          <w:lang w:val="fr-FR"/>
        </w:rPr>
        <w:t>évaluation globale des lacunes dans le réseau de Sites Ramsar</w:t>
      </w:r>
      <w:r w:rsidR="0007746C">
        <w:rPr>
          <w:rFonts w:eastAsia="Calibri" w:cstheme="minorHAnsi"/>
          <w:bCs/>
          <w:lang w:val="fr-FR"/>
        </w:rPr>
        <w:t> </w:t>
      </w:r>
      <w:r w:rsidR="0007746C" w:rsidRPr="005C3814">
        <w:rPr>
          <w:rFonts w:eastAsia="Calibri" w:cstheme="minorHAnsi"/>
          <w:bCs/>
          <w:lang w:val="fr-FR"/>
        </w:rPr>
        <w:t>; la nécessité de concevoir l</w:t>
      </w:r>
      <w:r w:rsidR="0007746C">
        <w:rPr>
          <w:rFonts w:eastAsia="Calibri" w:cstheme="minorHAnsi"/>
          <w:bCs/>
          <w:lang w:val="fr-FR"/>
        </w:rPr>
        <w:t>’</w:t>
      </w:r>
      <w:r w:rsidR="0007746C" w:rsidRPr="005C3814">
        <w:rPr>
          <w:rFonts w:eastAsia="Calibri" w:cstheme="minorHAnsi"/>
          <w:bCs/>
          <w:lang w:val="fr-FR"/>
        </w:rPr>
        <w:t>atténuation et l</w:t>
      </w:r>
      <w:r w:rsidR="0007746C">
        <w:rPr>
          <w:rFonts w:eastAsia="Calibri" w:cstheme="minorHAnsi"/>
          <w:bCs/>
          <w:lang w:val="fr-FR"/>
        </w:rPr>
        <w:t>’</w:t>
      </w:r>
      <w:r w:rsidR="0007746C" w:rsidRPr="005C3814">
        <w:rPr>
          <w:rFonts w:eastAsia="Calibri" w:cstheme="minorHAnsi"/>
          <w:bCs/>
          <w:lang w:val="fr-FR"/>
        </w:rPr>
        <w:t xml:space="preserve">adaptation selon une approche équilibrée pour lutter contre </w:t>
      </w:r>
      <w:r w:rsidR="0007746C">
        <w:rPr>
          <w:rFonts w:eastAsia="Calibri" w:cstheme="minorHAnsi"/>
          <w:bCs/>
          <w:lang w:val="fr-FR"/>
        </w:rPr>
        <w:t xml:space="preserve">les </w:t>
      </w:r>
      <w:r w:rsidR="0007746C" w:rsidRPr="005C3814">
        <w:rPr>
          <w:rFonts w:eastAsia="Calibri" w:cstheme="minorHAnsi"/>
          <w:bCs/>
          <w:lang w:val="fr-FR"/>
        </w:rPr>
        <w:t xml:space="preserve">incidences </w:t>
      </w:r>
      <w:r>
        <w:rPr>
          <w:rFonts w:eastAsia="Calibri" w:cstheme="minorHAnsi"/>
          <w:bCs/>
          <w:lang w:val="fr-FR"/>
        </w:rPr>
        <w:t>des</w:t>
      </w:r>
      <w:r w:rsidR="0007746C" w:rsidRPr="005C3814">
        <w:rPr>
          <w:rFonts w:eastAsia="Calibri" w:cstheme="minorHAnsi"/>
          <w:bCs/>
          <w:lang w:val="fr-FR"/>
        </w:rPr>
        <w:t xml:space="preserve"> changement</w:t>
      </w:r>
      <w:r>
        <w:rPr>
          <w:rFonts w:eastAsia="Calibri" w:cstheme="minorHAnsi"/>
          <w:bCs/>
          <w:lang w:val="fr-FR"/>
        </w:rPr>
        <w:t>s</w:t>
      </w:r>
      <w:r w:rsidR="0007746C" w:rsidRPr="005C3814">
        <w:rPr>
          <w:rFonts w:eastAsia="Calibri" w:cstheme="minorHAnsi"/>
          <w:bCs/>
          <w:lang w:val="fr-FR"/>
        </w:rPr>
        <w:t xml:space="preserve"> climatique</w:t>
      </w:r>
      <w:r>
        <w:rPr>
          <w:rFonts w:eastAsia="Calibri" w:cstheme="minorHAnsi"/>
          <w:bCs/>
          <w:lang w:val="fr-FR"/>
        </w:rPr>
        <w:t>s</w:t>
      </w:r>
      <w:r w:rsidR="0007746C" w:rsidRPr="005C3814">
        <w:rPr>
          <w:rFonts w:eastAsia="Calibri" w:cstheme="minorHAnsi"/>
          <w:bCs/>
          <w:lang w:val="fr-FR"/>
        </w:rPr>
        <w:t xml:space="preserve"> sur les zones humides et accroître la résilience des zones humides et des communautés qui en sont tributaires</w:t>
      </w:r>
      <w:r w:rsidR="0007746C">
        <w:rPr>
          <w:rFonts w:eastAsia="Calibri" w:cstheme="minorHAnsi"/>
          <w:bCs/>
          <w:lang w:val="fr-FR"/>
        </w:rPr>
        <w:t> </w:t>
      </w:r>
      <w:r w:rsidR="0007746C" w:rsidRPr="005C3814">
        <w:rPr>
          <w:rFonts w:eastAsia="Calibri" w:cstheme="minorHAnsi"/>
          <w:bCs/>
          <w:lang w:val="fr-FR"/>
        </w:rPr>
        <w:t>; la recherche d</w:t>
      </w:r>
      <w:r w:rsidR="0007746C">
        <w:rPr>
          <w:rFonts w:eastAsia="Calibri" w:cstheme="minorHAnsi"/>
          <w:bCs/>
          <w:lang w:val="fr-FR"/>
        </w:rPr>
        <w:t>’</w:t>
      </w:r>
      <w:r w:rsidR="0007746C" w:rsidRPr="005C3814">
        <w:rPr>
          <w:rFonts w:eastAsia="Calibri" w:cstheme="minorHAnsi"/>
          <w:bCs/>
          <w:lang w:val="fr-FR"/>
        </w:rPr>
        <w:t>approches durables et innovantes, y compris l</w:t>
      </w:r>
      <w:r w:rsidR="0007746C">
        <w:rPr>
          <w:rFonts w:eastAsia="Calibri" w:cstheme="minorHAnsi"/>
          <w:bCs/>
          <w:lang w:val="fr-FR"/>
        </w:rPr>
        <w:t>’</w:t>
      </w:r>
      <w:r w:rsidR="0007746C" w:rsidRPr="005C3814">
        <w:rPr>
          <w:rFonts w:eastAsia="Calibri" w:cstheme="minorHAnsi"/>
          <w:bCs/>
          <w:lang w:val="fr-FR"/>
        </w:rPr>
        <w:t>offre d</w:t>
      </w:r>
      <w:r w:rsidR="0007746C">
        <w:rPr>
          <w:rFonts w:eastAsia="Calibri" w:cstheme="minorHAnsi"/>
          <w:bCs/>
          <w:lang w:val="fr-FR"/>
        </w:rPr>
        <w:t>’</w:t>
      </w:r>
      <w:r w:rsidR="0007746C" w:rsidRPr="005C3814">
        <w:rPr>
          <w:rFonts w:eastAsia="Calibri" w:cstheme="minorHAnsi"/>
          <w:bCs/>
          <w:lang w:val="fr-FR"/>
        </w:rPr>
        <w:t>un large éventail de produits et de services fondés sur la biodiversité capables de procurer des avantages connexes pour la sécurité alimentaire tout au long des filières de la bioéconomie</w:t>
      </w:r>
      <w:r w:rsidR="0007746C">
        <w:rPr>
          <w:rFonts w:eastAsia="Calibri" w:cstheme="minorHAnsi"/>
          <w:bCs/>
          <w:lang w:val="fr-FR"/>
        </w:rPr>
        <w:t> </w:t>
      </w:r>
      <w:r w:rsidR="0007746C" w:rsidRPr="005C3814">
        <w:rPr>
          <w:rFonts w:eastAsia="Calibri" w:cstheme="minorHAnsi"/>
          <w:bCs/>
          <w:lang w:val="fr-FR"/>
        </w:rPr>
        <w:t>; et la nécessité d</w:t>
      </w:r>
      <w:r w:rsidR="0007746C">
        <w:rPr>
          <w:rFonts w:eastAsia="Calibri" w:cstheme="minorHAnsi"/>
          <w:bCs/>
          <w:lang w:val="fr-FR"/>
        </w:rPr>
        <w:t>’</w:t>
      </w:r>
      <w:r w:rsidR="0007746C" w:rsidRPr="005C3814">
        <w:rPr>
          <w:rFonts w:eastAsia="Calibri" w:cstheme="minorHAnsi"/>
          <w:bCs/>
          <w:lang w:val="fr-FR"/>
        </w:rPr>
        <w:t>une coordination entre les groupes chargés des différentes tâches</w:t>
      </w:r>
      <w:r w:rsidR="0007746C">
        <w:rPr>
          <w:rFonts w:eastAsia="Calibri" w:cstheme="minorHAnsi"/>
          <w:bCs/>
          <w:lang w:val="fr-FR"/>
        </w:rPr>
        <w:t xml:space="preserve"> d’une </w:t>
      </w:r>
      <w:r w:rsidR="0007746C">
        <w:rPr>
          <w:rFonts w:eastAsia="Calibri" w:cstheme="minorHAnsi"/>
          <w:bCs/>
          <w:lang w:val="fr-FR"/>
        </w:rPr>
        <w:lastRenderedPageBreak/>
        <w:t>part</w:t>
      </w:r>
      <w:r w:rsidR="0007746C" w:rsidRPr="005C3814">
        <w:rPr>
          <w:rFonts w:eastAsia="Calibri" w:cstheme="minorHAnsi"/>
          <w:bCs/>
          <w:lang w:val="fr-FR"/>
        </w:rPr>
        <w:t>, et entre les différentes tâches et les domaines de travail thématiques</w:t>
      </w:r>
      <w:r w:rsidR="0007746C">
        <w:rPr>
          <w:rFonts w:eastAsia="Calibri" w:cstheme="minorHAnsi"/>
          <w:bCs/>
          <w:lang w:val="fr-FR"/>
        </w:rPr>
        <w:t>,</w:t>
      </w:r>
      <w:r w:rsidR="0007746C" w:rsidRPr="005C3814">
        <w:rPr>
          <w:rFonts w:eastAsia="Calibri" w:cstheme="minorHAnsi"/>
          <w:bCs/>
          <w:lang w:val="fr-FR"/>
        </w:rPr>
        <w:t xml:space="preserve"> s</w:t>
      </w:r>
      <w:r w:rsidR="0007746C">
        <w:rPr>
          <w:rFonts w:eastAsia="Calibri" w:cstheme="minorHAnsi"/>
          <w:bCs/>
          <w:lang w:val="fr-FR"/>
        </w:rPr>
        <w:t>’</w:t>
      </w:r>
      <w:r w:rsidR="0007746C" w:rsidRPr="005C3814">
        <w:rPr>
          <w:rFonts w:eastAsia="Calibri" w:cstheme="minorHAnsi"/>
          <w:bCs/>
          <w:lang w:val="fr-FR"/>
        </w:rPr>
        <w:t>agissant de sujets transversaux</w:t>
      </w:r>
      <w:r w:rsidR="0007746C">
        <w:rPr>
          <w:rFonts w:eastAsia="Calibri" w:cstheme="minorHAnsi"/>
          <w:bCs/>
          <w:lang w:val="fr-FR"/>
        </w:rPr>
        <w:t>, de l’autre</w:t>
      </w:r>
      <w:r w:rsidR="0007746C" w:rsidRPr="005C3814">
        <w:rPr>
          <w:rFonts w:eastAsia="Calibri" w:cstheme="minorHAnsi"/>
          <w:bCs/>
          <w:lang w:val="fr-FR"/>
        </w:rPr>
        <w:t>.</w:t>
      </w:r>
    </w:p>
    <w:p w14:paraId="4E73415F" w14:textId="77777777" w:rsidR="0007746C" w:rsidRPr="005C3814" w:rsidRDefault="0007746C" w:rsidP="0007746C">
      <w:pPr>
        <w:spacing w:after="0" w:line="240" w:lineRule="auto"/>
        <w:ind w:left="720" w:hanging="720"/>
        <w:rPr>
          <w:rFonts w:eastAsia="Calibri" w:cstheme="minorHAnsi"/>
          <w:bCs/>
          <w:lang w:val="fr-FR"/>
        </w:rPr>
      </w:pPr>
    </w:p>
    <w:p w14:paraId="369FAB69" w14:textId="034B88D4" w:rsidR="0007746C" w:rsidRDefault="00FF01DB" w:rsidP="0007746C">
      <w:pPr>
        <w:spacing w:after="0" w:line="240" w:lineRule="auto"/>
        <w:ind w:left="720" w:hanging="720"/>
        <w:rPr>
          <w:rFonts w:eastAsia="Calibri" w:cstheme="minorHAnsi"/>
          <w:bCs/>
          <w:lang w:val="fr-FR"/>
        </w:rPr>
      </w:pPr>
      <w:r>
        <w:rPr>
          <w:rFonts w:eastAsia="Calibri" w:cstheme="minorHAnsi"/>
          <w:bCs/>
          <w:lang w:val="fr-FR"/>
        </w:rPr>
        <w:t>85</w:t>
      </w:r>
      <w:r w:rsidR="0007746C" w:rsidRPr="005C3814">
        <w:rPr>
          <w:rFonts w:eastAsia="Calibri" w:cstheme="minorHAnsi"/>
          <w:bCs/>
          <w:lang w:val="fr-FR"/>
        </w:rPr>
        <w:t>.</w:t>
      </w:r>
      <w:r w:rsidR="0007746C" w:rsidRPr="005C3814">
        <w:rPr>
          <w:rFonts w:eastAsia="Calibri" w:cstheme="minorHAnsi"/>
          <w:bCs/>
          <w:lang w:val="fr-FR"/>
        </w:rPr>
        <w:tab/>
        <w:t>En ce qui concerne de futures priorités que le GEST pourrait envisager, les membres du Comité permanent suggèrent des orientations sur l</w:t>
      </w:r>
      <w:r w:rsidR="0007746C">
        <w:rPr>
          <w:rFonts w:eastAsia="Calibri" w:cstheme="minorHAnsi"/>
          <w:bCs/>
          <w:lang w:val="fr-FR"/>
        </w:rPr>
        <w:t>’</w:t>
      </w:r>
      <w:r w:rsidR="0007746C" w:rsidRPr="005C3814">
        <w:rPr>
          <w:rFonts w:eastAsia="Calibri" w:cstheme="minorHAnsi"/>
          <w:bCs/>
          <w:lang w:val="fr-FR"/>
        </w:rPr>
        <w:t>interprétation de la définition des zones humides telle qu</w:t>
      </w:r>
      <w:r w:rsidR="0007746C">
        <w:rPr>
          <w:rFonts w:eastAsia="Calibri" w:cstheme="minorHAnsi"/>
          <w:bCs/>
          <w:lang w:val="fr-FR"/>
        </w:rPr>
        <w:t>’</w:t>
      </w:r>
      <w:r w:rsidR="0007746C" w:rsidRPr="005C3814">
        <w:rPr>
          <w:rFonts w:eastAsia="Calibri" w:cstheme="minorHAnsi"/>
          <w:bCs/>
          <w:lang w:val="fr-FR"/>
        </w:rPr>
        <w:t>elle figure dans la Convention, y compris la classification des écosystèmes</w:t>
      </w:r>
      <w:r w:rsidR="0007746C">
        <w:rPr>
          <w:rFonts w:eastAsia="Calibri" w:cstheme="minorHAnsi"/>
          <w:bCs/>
          <w:lang w:val="fr-FR"/>
        </w:rPr>
        <w:t> </w:t>
      </w:r>
      <w:r w:rsidR="0007746C" w:rsidRPr="005C3814">
        <w:rPr>
          <w:rFonts w:eastAsia="Calibri" w:cstheme="minorHAnsi"/>
          <w:bCs/>
          <w:lang w:val="fr-FR"/>
        </w:rPr>
        <w:t>; une meilleure définition des avantages que procurent les zones humides sur les plans social, économique et environnemental et, selon une approche équilibrée et intégrée, l</w:t>
      </w:r>
      <w:r w:rsidR="0007746C">
        <w:rPr>
          <w:rFonts w:eastAsia="Calibri" w:cstheme="minorHAnsi"/>
          <w:bCs/>
          <w:lang w:val="fr-FR"/>
        </w:rPr>
        <w:t>’</w:t>
      </w:r>
      <w:r w:rsidR="0007746C" w:rsidRPr="005C3814">
        <w:rPr>
          <w:rFonts w:eastAsia="Calibri" w:cstheme="minorHAnsi"/>
          <w:bCs/>
          <w:lang w:val="fr-FR"/>
        </w:rPr>
        <w:t>évaluation de la vulnérabilité sociale et économique des communautés qui dépendent des zones humides et la recherche de solutions à l</w:t>
      </w:r>
      <w:r w:rsidR="0007746C">
        <w:rPr>
          <w:rFonts w:eastAsia="Calibri" w:cstheme="minorHAnsi"/>
          <w:bCs/>
          <w:lang w:val="fr-FR"/>
        </w:rPr>
        <w:t>’</w:t>
      </w:r>
      <w:r w:rsidR="0007746C" w:rsidRPr="005C3814">
        <w:rPr>
          <w:rFonts w:eastAsia="Calibri" w:cstheme="minorHAnsi"/>
          <w:bCs/>
          <w:lang w:val="fr-FR"/>
        </w:rPr>
        <w:t>appui de moyens d</w:t>
      </w:r>
      <w:r w:rsidR="0007746C">
        <w:rPr>
          <w:rFonts w:eastAsia="Calibri" w:cstheme="minorHAnsi"/>
          <w:bCs/>
          <w:lang w:val="fr-FR"/>
        </w:rPr>
        <w:t>’</w:t>
      </w:r>
      <w:r w:rsidR="0007746C" w:rsidRPr="005C3814">
        <w:rPr>
          <w:rFonts w:eastAsia="Calibri" w:cstheme="minorHAnsi"/>
          <w:bCs/>
          <w:lang w:val="fr-FR"/>
        </w:rPr>
        <w:t>existence durables.</w:t>
      </w:r>
    </w:p>
    <w:p w14:paraId="267FA314" w14:textId="77777777" w:rsidR="0007746C" w:rsidRPr="005C3814" w:rsidRDefault="0007746C" w:rsidP="0007746C">
      <w:pPr>
        <w:spacing w:after="0" w:line="240" w:lineRule="auto"/>
        <w:ind w:left="720" w:hanging="720"/>
        <w:rPr>
          <w:rFonts w:eastAsia="Calibri" w:cstheme="minorHAnsi"/>
          <w:bCs/>
          <w:lang w:val="fr-FR"/>
        </w:rPr>
      </w:pPr>
    </w:p>
    <w:p w14:paraId="099FF822" w14:textId="51EE66D7" w:rsidR="0007746C" w:rsidRPr="00495680" w:rsidRDefault="00FF01DB" w:rsidP="0007746C">
      <w:pPr>
        <w:spacing w:after="0" w:line="240" w:lineRule="auto"/>
        <w:ind w:left="720" w:hanging="720"/>
        <w:rPr>
          <w:rFonts w:eastAsia="Calibri" w:cstheme="minorHAnsi"/>
          <w:bCs/>
          <w:lang w:val="fr-FR"/>
        </w:rPr>
      </w:pPr>
      <w:r>
        <w:rPr>
          <w:rFonts w:eastAsia="Calibri" w:cstheme="minorHAnsi"/>
          <w:bCs/>
          <w:lang w:val="fr-FR"/>
        </w:rPr>
        <w:t>86</w:t>
      </w:r>
      <w:r w:rsidR="0007746C" w:rsidRPr="005C3814">
        <w:rPr>
          <w:rFonts w:eastAsia="Calibri" w:cstheme="minorHAnsi"/>
          <w:bCs/>
          <w:lang w:val="fr-FR"/>
        </w:rPr>
        <w:t>.</w:t>
      </w:r>
      <w:r w:rsidR="0007746C" w:rsidRPr="005C3814">
        <w:rPr>
          <w:rFonts w:eastAsia="Calibri" w:cstheme="minorHAnsi"/>
          <w:bCs/>
          <w:lang w:val="fr-FR"/>
        </w:rPr>
        <w:tab/>
        <w:t xml:space="preserve">Le Président du GEST remercie les membres du Comité </w:t>
      </w:r>
      <w:r w:rsidR="0007746C" w:rsidRPr="00495680">
        <w:rPr>
          <w:rFonts w:eastAsia="Calibri" w:cstheme="minorHAnsi"/>
          <w:bCs/>
          <w:lang w:val="fr-FR"/>
        </w:rPr>
        <w:t xml:space="preserve">permanent pour leurs observations. Il souligne que celles-ci relèvent de deux catégories : la finalisation du cahier des charges des projets en cours, et les nouveaux enjeux à inclure dans le plan de travail du GEST pour la période triennale suivante. Il souligne que toutes les suggestions sont utiles et insiste sur la nécessité de ne pas s’écarter du cadre du plan de travail approuvé par le Comité permanent durant la période intersessions. Il suggère en outre </w:t>
      </w:r>
      <w:r w:rsidRPr="00495680">
        <w:rPr>
          <w:rFonts w:eastAsia="Calibri" w:cstheme="minorHAnsi"/>
          <w:bCs/>
          <w:lang w:val="fr-FR"/>
        </w:rPr>
        <w:t>que le GEST</w:t>
      </w:r>
      <w:r w:rsidR="0007746C" w:rsidRPr="00495680">
        <w:rPr>
          <w:rFonts w:eastAsia="Calibri" w:cstheme="minorHAnsi"/>
          <w:bCs/>
          <w:lang w:val="fr-FR"/>
        </w:rPr>
        <w:t xml:space="preserve"> recense les nouveau</w:t>
      </w:r>
      <w:r w:rsidR="00D8796B" w:rsidRPr="00495680">
        <w:rPr>
          <w:rFonts w:eastAsia="Calibri" w:cstheme="minorHAnsi"/>
          <w:bCs/>
          <w:lang w:val="fr-FR"/>
        </w:rPr>
        <w:t>x</w:t>
      </w:r>
      <w:r w:rsidR="0007746C" w:rsidRPr="00495680">
        <w:rPr>
          <w:rFonts w:eastAsia="Calibri" w:cstheme="minorHAnsi"/>
          <w:bCs/>
          <w:lang w:val="fr-FR"/>
        </w:rPr>
        <w:t xml:space="preserve"> enjeux </w:t>
      </w:r>
      <w:r w:rsidR="00D8796B" w:rsidRPr="00495680">
        <w:rPr>
          <w:rFonts w:eastAsia="Calibri" w:cstheme="minorHAnsi"/>
          <w:bCs/>
          <w:lang w:val="fr-FR"/>
        </w:rPr>
        <w:t>et les présente au Comité permanent</w:t>
      </w:r>
      <w:r w:rsidR="0007746C" w:rsidRPr="00495680">
        <w:rPr>
          <w:rFonts w:eastAsia="Calibri" w:cstheme="minorHAnsi"/>
          <w:bCs/>
          <w:lang w:val="fr-FR"/>
        </w:rPr>
        <w:t xml:space="preserve"> à sa 63</w:t>
      </w:r>
      <w:r w:rsidR="0007746C" w:rsidRPr="00495680">
        <w:rPr>
          <w:rFonts w:eastAsia="Calibri" w:cstheme="minorHAnsi"/>
          <w:bCs/>
          <w:vertAlign w:val="superscript"/>
          <w:lang w:val="fr-FR"/>
        </w:rPr>
        <w:t>e</w:t>
      </w:r>
      <w:r w:rsidR="0007746C" w:rsidRPr="00495680">
        <w:rPr>
          <w:rFonts w:eastAsia="Calibri" w:cstheme="minorHAnsi"/>
          <w:bCs/>
          <w:lang w:val="fr-FR"/>
        </w:rPr>
        <w:t> </w:t>
      </w:r>
      <w:r w:rsidR="00D8796B" w:rsidRPr="00495680">
        <w:rPr>
          <w:rFonts w:eastAsia="Calibri" w:cstheme="minorHAnsi"/>
          <w:bCs/>
          <w:lang w:val="fr-FR"/>
        </w:rPr>
        <w:t>R</w:t>
      </w:r>
      <w:r w:rsidR="0007746C" w:rsidRPr="00495680">
        <w:rPr>
          <w:rFonts w:eastAsia="Calibri" w:cstheme="minorHAnsi"/>
          <w:bCs/>
          <w:lang w:val="fr-FR"/>
        </w:rPr>
        <w:t>éunion.</w:t>
      </w:r>
    </w:p>
    <w:p w14:paraId="58FED6DD" w14:textId="77777777" w:rsidR="0007746C" w:rsidRPr="00495680" w:rsidRDefault="0007746C" w:rsidP="0007746C">
      <w:pPr>
        <w:spacing w:after="0" w:line="240" w:lineRule="auto"/>
        <w:ind w:left="720" w:hanging="720"/>
        <w:rPr>
          <w:rFonts w:eastAsia="Calibri" w:cstheme="minorHAnsi"/>
          <w:bCs/>
          <w:lang w:val="fr-FR"/>
        </w:rPr>
      </w:pPr>
    </w:p>
    <w:p w14:paraId="4385C410" w14:textId="52357378" w:rsidR="0007746C" w:rsidRPr="005C3814" w:rsidRDefault="0007746C" w:rsidP="0007746C">
      <w:pPr>
        <w:spacing w:after="0" w:line="240" w:lineRule="auto"/>
        <w:ind w:left="720" w:hanging="720"/>
        <w:rPr>
          <w:lang w:val="fr-FR"/>
        </w:rPr>
      </w:pPr>
      <w:r w:rsidRPr="005C3814">
        <w:rPr>
          <w:rFonts w:eastAsia="Calibri" w:cstheme="minorHAnsi"/>
          <w:bCs/>
          <w:lang w:val="fr-FR"/>
        </w:rPr>
        <w:t>8</w:t>
      </w:r>
      <w:r w:rsidR="00D8796B">
        <w:rPr>
          <w:rFonts w:eastAsia="Calibri" w:cstheme="minorHAnsi"/>
          <w:bCs/>
          <w:lang w:val="fr-FR"/>
        </w:rPr>
        <w:t>7</w:t>
      </w:r>
      <w:r w:rsidRPr="005C3814">
        <w:rPr>
          <w:rFonts w:eastAsia="Calibri" w:cstheme="minorHAnsi"/>
          <w:bCs/>
          <w:lang w:val="fr-FR"/>
        </w:rPr>
        <w:t>.</w:t>
      </w:r>
      <w:r w:rsidRPr="005C3814">
        <w:rPr>
          <w:rFonts w:eastAsia="Calibri" w:cstheme="minorHAnsi"/>
          <w:bCs/>
          <w:lang w:val="fr-FR"/>
        </w:rPr>
        <w:tab/>
        <w:t>L</w:t>
      </w:r>
      <w:r>
        <w:rPr>
          <w:rFonts w:eastAsia="Calibri" w:cstheme="minorHAnsi"/>
          <w:bCs/>
          <w:lang w:val="fr-FR"/>
        </w:rPr>
        <w:t>’</w:t>
      </w:r>
      <w:r w:rsidRPr="005C3814">
        <w:rPr>
          <w:rFonts w:eastAsia="Calibri" w:cstheme="minorHAnsi"/>
          <w:bCs/>
          <w:lang w:val="fr-FR"/>
        </w:rPr>
        <w:t xml:space="preserve">Australie, la Belgique au nom de la </w:t>
      </w:r>
      <w:r w:rsidR="00D8796B">
        <w:rPr>
          <w:rFonts w:eastAsia="Calibri" w:cstheme="minorHAnsi"/>
          <w:bCs/>
          <w:lang w:val="fr-FR"/>
        </w:rPr>
        <w:t>r</w:t>
      </w:r>
      <w:r w:rsidRPr="005C3814">
        <w:rPr>
          <w:rFonts w:eastAsia="Calibri" w:cstheme="minorHAnsi"/>
          <w:bCs/>
          <w:lang w:val="fr-FR"/>
        </w:rPr>
        <w:t xml:space="preserve">égion </w:t>
      </w:r>
      <w:r>
        <w:rPr>
          <w:rFonts w:eastAsia="Calibri" w:cstheme="minorHAnsi"/>
          <w:bCs/>
          <w:lang w:val="fr-FR"/>
        </w:rPr>
        <w:t>Europe</w:t>
      </w:r>
      <w:r w:rsidRPr="005C3814">
        <w:rPr>
          <w:rFonts w:eastAsia="Calibri" w:cstheme="minorHAnsi"/>
          <w:bCs/>
          <w:lang w:val="fr-FR"/>
        </w:rPr>
        <w:t xml:space="preserve">, le Brésil, la Colombie, le Costa Rica, la Géorgie, la République de Corée et la Suède </w:t>
      </w:r>
      <w:r w:rsidRPr="005C3814">
        <w:rPr>
          <w:bCs/>
          <w:lang w:val="fr-FR"/>
        </w:rPr>
        <w:t>interviennent dans la discussion.</w:t>
      </w:r>
    </w:p>
    <w:p w14:paraId="7DBF633D" w14:textId="77777777" w:rsidR="0007746C" w:rsidRPr="005C3814" w:rsidRDefault="0007746C" w:rsidP="0007746C">
      <w:pPr>
        <w:spacing w:after="0" w:line="240" w:lineRule="auto"/>
        <w:contextualSpacing/>
        <w:rPr>
          <w:rFonts w:cstheme="minorHAnsi"/>
          <w:b/>
          <w:lang w:val="fr-FR"/>
        </w:rPr>
      </w:pPr>
    </w:p>
    <w:p w14:paraId="324F1BAA" w14:textId="77777777" w:rsidR="0007746C" w:rsidRPr="005C3814" w:rsidRDefault="0007746C" w:rsidP="0007746C">
      <w:pPr>
        <w:spacing w:after="0" w:line="240" w:lineRule="auto"/>
        <w:contextualSpacing/>
        <w:rPr>
          <w:rFonts w:cstheme="minorHAnsi"/>
          <w:b/>
          <w:lang w:val="fr-FR"/>
        </w:rPr>
      </w:pPr>
      <w:r w:rsidRPr="005C3814">
        <w:rPr>
          <w:rFonts w:cstheme="minorHAnsi"/>
          <w:b/>
          <w:lang w:val="fr-FR"/>
        </w:rPr>
        <w:t>Décision SC62-31 : Le Comité permanent prend note du rapport du Président du GEST.</w:t>
      </w:r>
    </w:p>
    <w:p w14:paraId="1FE51004" w14:textId="77777777" w:rsidR="0007746C" w:rsidRPr="005C3814" w:rsidRDefault="0007746C" w:rsidP="0007746C">
      <w:pPr>
        <w:spacing w:after="0" w:line="240" w:lineRule="auto"/>
        <w:contextualSpacing/>
        <w:rPr>
          <w:rFonts w:cstheme="minorHAnsi"/>
          <w:b/>
          <w:lang w:val="fr-FR"/>
        </w:rPr>
      </w:pPr>
    </w:p>
    <w:p w14:paraId="31A43954" w14:textId="5B9B9427" w:rsidR="0007746C" w:rsidRPr="005C3814" w:rsidRDefault="0007746C" w:rsidP="0007746C">
      <w:pPr>
        <w:spacing w:after="0" w:line="240" w:lineRule="auto"/>
        <w:contextualSpacing/>
        <w:rPr>
          <w:rFonts w:cstheme="minorHAnsi"/>
          <w:b/>
          <w:lang w:val="fr-FR"/>
        </w:rPr>
      </w:pPr>
      <w:r w:rsidRPr="005C3814">
        <w:rPr>
          <w:rFonts w:cstheme="minorHAnsi"/>
          <w:b/>
          <w:lang w:val="fr-FR"/>
        </w:rPr>
        <w:t>Décision SC62-32 : Le Comité permanent prend note du plan de travail 2023-2025 du GEST approuvé durant la période intersessions et figurant à l</w:t>
      </w:r>
      <w:r>
        <w:rPr>
          <w:rFonts w:cstheme="minorHAnsi"/>
          <w:b/>
          <w:lang w:val="fr-FR"/>
        </w:rPr>
        <w:t>’</w:t>
      </w:r>
      <w:r w:rsidR="00D8796B">
        <w:rPr>
          <w:rFonts w:cstheme="minorHAnsi"/>
          <w:b/>
          <w:lang w:val="fr-FR"/>
        </w:rPr>
        <w:t>A</w:t>
      </w:r>
      <w:r w:rsidRPr="005C3814">
        <w:rPr>
          <w:rFonts w:cstheme="minorHAnsi"/>
          <w:b/>
          <w:lang w:val="fr-FR"/>
        </w:rPr>
        <w:t>nnexe 1 du document SC62 Doc.19 Rev.1.</w:t>
      </w:r>
    </w:p>
    <w:p w14:paraId="0438171F" w14:textId="77777777" w:rsidR="0007746C" w:rsidRPr="005C3814" w:rsidRDefault="0007746C" w:rsidP="0007746C">
      <w:pPr>
        <w:spacing w:after="0" w:line="240" w:lineRule="auto"/>
        <w:contextualSpacing/>
        <w:rPr>
          <w:rFonts w:cstheme="minorHAnsi"/>
          <w:b/>
          <w:lang w:val="fr-FR"/>
        </w:rPr>
      </w:pPr>
    </w:p>
    <w:p w14:paraId="76DBBE4D"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5C3814">
        <w:rPr>
          <w:rFonts w:cstheme="minorHAnsi"/>
          <w:bCs/>
          <w:lang w:val="fr-FR"/>
        </w:rPr>
        <w:t>Point 21 de l</w:t>
      </w:r>
      <w:r>
        <w:rPr>
          <w:rFonts w:cstheme="minorHAnsi"/>
          <w:bCs/>
          <w:lang w:val="fr-FR"/>
        </w:rPr>
        <w:t>’</w:t>
      </w:r>
      <w:r w:rsidRPr="005C3814">
        <w:rPr>
          <w:rFonts w:cstheme="minorHAnsi"/>
          <w:bCs/>
          <w:lang w:val="fr-FR"/>
        </w:rPr>
        <w:t>ordre du jour : Rapport national pour la COP15</w:t>
      </w:r>
    </w:p>
    <w:p w14:paraId="67207918" w14:textId="77777777" w:rsidR="0007746C" w:rsidRPr="005C3814" w:rsidRDefault="0007746C" w:rsidP="0007746C">
      <w:pPr>
        <w:spacing w:after="0" w:line="240" w:lineRule="auto"/>
        <w:ind w:left="720" w:hanging="720"/>
        <w:rPr>
          <w:lang w:val="fr-FR"/>
        </w:rPr>
      </w:pPr>
    </w:p>
    <w:p w14:paraId="63D287ED" w14:textId="73CBFD0A" w:rsidR="0007746C" w:rsidRPr="005C3814" w:rsidRDefault="00D8796B" w:rsidP="0007746C">
      <w:pPr>
        <w:spacing w:after="0" w:line="240" w:lineRule="auto"/>
        <w:ind w:left="567" w:hanging="567"/>
        <w:rPr>
          <w:lang w:val="fr-FR"/>
        </w:rPr>
      </w:pPr>
      <w:r>
        <w:rPr>
          <w:lang w:val="fr-FR"/>
        </w:rPr>
        <w:t>88</w:t>
      </w:r>
      <w:r w:rsidR="0007746C" w:rsidRPr="005C3814">
        <w:rPr>
          <w:lang w:val="fr-FR"/>
        </w:rPr>
        <w:t>.</w:t>
      </w:r>
      <w:r w:rsidR="0007746C" w:rsidRPr="005C3814">
        <w:rPr>
          <w:lang w:val="fr-FR"/>
        </w:rPr>
        <w:tab/>
        <w:t>Le Secrétariat présente le document SC62</w:t>
      </w:r>
      <w:r w:rsidR="0007746C">
        <w:rPr>
          <w:lang w:val="fr-FR"/>
        </w:rPr>
        <w:t> </w:t>
      </w:r>
      <w:r w:rsidR="0007746C" w:rsidRPr="005C3814">
        <w:rPr>
          <w:lang w:val="fr-FR"/>
        </w:rPr>
        <w:t>Doc.21, notant que le modèle de Rapport national comprend quatre sections ; il conserv</w:t>
      </w:r>
      <w:r w:rsidR="0007746C">
        <w:rPr>
          <w:lang w:val="fr-FR"/>
        </w:rPr>
        <w:t>e</w:t>
      </w:r>
      <w:r w:rsidR="0007746C" w:rsidRPr="005C3814">
        <w:rPr>
          <w:lang w:val="fr-FR"/>
        </w:rPr>
        <w:t xml:space="preserve"> ainsi la même structure et le même contenu que les modèles précédents, dans un souci de cohérence et de continuité. </w:t>
      </w:r>
      <w:r w:rsidR="00495680">
        <w:rPr>
          <w:lang w:val="fr-FR"/>
        </w:rPr>
        <w:t>Le Secrétariat</w:t>
      </w:r>
      <w:r w:rsidR="0007746C" w:rsidRPr="005C3814">
        <w:rPr>
          <w:lang w:val="fr-FR"/>
        </w:rPr>
        <w:t xml:space="preserve"> souligne que la cinquième section, facultative, prévue dans les rapports précédents pour permettre aux Parties de communiquer des informations supplémentaires sur les Sites Ramsar a été supprimée de manière à éviter une charge de travail inutile pour les Parties </w:t>
      </w:r>
      <w:r w:rsidR="0007746C" w:rsidRPr="00495680">
        <w:rPr>
          <w:lang w:val="fr-FR"/>
        </w:rPr>
        <w:t>contractantes, ces données pouvant être consultées sur le Service d’information sur les Sites Ramsar</w:t>
      </w:r>
      <w:r w:rsidRPr="00495680">
        <w:rPr>
          <w:lang w:val="fr-FR"/>
        </w:rPr>
        <w:t xml:space="preserve"> (SISR)</w:t>
      </w:r>
      <w:r w:rsidR="0007746C" w:rsidRPr="00495680">
        <w:rPr>
          <w:lang w:val="fr-FR"/>
        </w:rPr>
        <w:t xml:space="preserve"> ; </w:t>
      </w:r>
      <w:r w:rsidR="0007746C">
        <w:rPr>
          <w:lang w:val="fr-FR"/>
        </w:rPr>
        <w:t xml:space="preserve">il précise </w:t>
      </w:r>
      <w:r w:rsidR="0007746C" w:rsidRPr="005C3814">
        <w:rPr>
          <w:lang w:val="fr-FR"/>
        </w:rPr>
        <w:t xml:space="preserve">que des questions sur la participation de la jeunesse ont été ajoutées, y compris sur les </w:t>
      </w:r>
      <w:r>
        <w:rPr>
          <w:lang w:val="fr-FR"/>
        </w:rPr>
        <w:t>C</w:t>
      </w:r>
      <w:r w:rsidR="0007746C" w:rsidRPr="005C3814">
        <w:rPr>
          <w:lang w:val="fr-FR"/>
        </w:rPr>
        <w:t xml:space="preserve">orrespondants nationaux pour les jeunes. Il indique </w:t>
      </w:r>
      <w:r w:rsidR="0007746C">
        <w:rPr>
          <w:lang w:val="fr-FR"/>
        </w:rPr>
        <w:t>enfin</w:t>
      </w:r>
      <w:r w:rsidR="0007746C" w:rsidRPr="005C3814">
        <w:rPr>
          <w:lang w:val="fr-FR"/>
        </w:rPr>
        <w:t xml:space="preserve"> que les questions ont été mises en correspondance avec les buts et objectifs du Quatrième plan stratégique et avec les </w:t>
      </w:r>
      <w:r>
        <w:rPr>
          <w:lang w:val="fr-FR"/>
        </w:rPr>
        <w:t>R</w:t>
      </w:r>
      <w:r w:rsidR="0007746C" w:rsidRPr="005C3814">
        <w:rPr>
          <w:lang w:val="fr-FR"/>
        </w:rPr>
        <w:t>ésolutions de la COP14.</w:t>
      </w:r>
    </w:p>
    <w:p w14:paraId="1EB572C1" w14:textId="77777777" w:rsidR="0007746C" w:rsidRPr="005C3814" w:rsidRDefault="0007746C" w:rsidP="0007746C">
      <w:pPr>
        <w:spacing w:after="0" w:line="240" w:lineRule="auto"/>
        <w:ind w:left="567" w:hanging="567"/>
        <w:rPr>
          <w:lang w:val="fr-FR"/>
        </w:rPr>
      </w:pPr>
    </w:p>
    <w:p w14:paraId="32001FEB" w14:textId="360AA019" w:rsidR="0007746C" w:rsidRPr="005C3814" w:rsidRDefault="00EC551F" w:rsidP="0007746C">
      <w:pPr>
        <w:spacing w:after="0" w:line="240" w:lineRule="auto"/>
        <w:ind w:left="567" w:hanging="567"/>
        <w:rPr>
          <w:lang w:val="fr-FR"/>
        </w:rPr>
      </w:pPr>
      <w:r>
        <w:rPr>
          <w:lang w:val="fr-FR"/>
        </w:rPr>
        <w:t>89</w:t>
      </w:r>
      <w:r w:rsidR="0007746C" w:rsidRPr="005C3814">
        <w:rPr>
          <w:lang w:val="fr-FR"/>
        </w:rPr>
        <w:t>.</w:t>
      </w:r>
      <w:r w:rsidR="0007746C" w:rsidRPr="005C3814">
        <w:rPr>
          <w:lang w:val="fr-FR"/>
        </w:rPr>
        <w:tab/>
        <w:t>Les membres du Comité permanent discutent de moyens de simplifier les questions afin de réduire la charge de travail des Parties contractantes en matière d</w:t>
      </w:r>
      <w:r w:rsidR="0007746C">
        <w:rPr>
          <w:lang w:val="fr-FR"/>
        </w:rPr>
        <w:t>’</w:t>
      </w:r>
      <w:r w:rsidR="0007746C" w:rsidRPr="005C3814">
        <w:rPr>
          <w:lang w:val="fr-FR"/>
        </w:rPr>
        <w:t xml:space="preserve">établissement de rapports ; ils envisagent de </w:t>
      </w:r>
      <w:r>
        <w:rPr>
          <w:lang w:val="fr-FR"/>
        </w:rPr>
        <w:t>réviser</w:t>
      </w:r>
      <w:r w:rsidR="0007746C" w:rsidRPr="005C3814">
        <w:rPr>
          <w:lang w:val="fr-FR"/>
        </w:rPr>
        <w:t>, supprimer ou ajouter des questions sur</w:t>
      </w:r>
      <w:r w:rsidR="0007746C">
        <w:rPr>
          <w:lang w:val="fr-FR"/>
        </w:rPr>
        <w:t> </w:t>
      </w:r>
      <w:r w:rsidR="0007746C" w:rsidRPr="005C3814">
        <w:rPr>
          <w:lang w:val="fr-FR"/>
        </w:rPr>
        <w:t>: la parité hommes-femmes</w:t>
      </w:r>
      <w:r w:rsidR="0007746C">
        <w:rPr>
          <w:lang w:val="fr-FR"/>
        </w:rPr>
        <w:t> </w:t>
      </w:r>
      <w:r w:rsidR="0007746C" w:rsidRPr="005C3814">
        <w:rPr>
          <w:lang w:val="fr-FR"/>
        </w:rPr>
        <w:t xml:space="preserve">; les inventaires nationaux des zones humides, de manière à répondre </w:t>
      </w:r>
      <w:r>
        <w:rPr>
          <w:lang w:val="fr-FR"/>
        </w:rPr>
        <w:t xml:space="preserve">aussi </w:t>
      </w:r>
      <w:r w:rsidR="0007746C" w:rsidRPr="005C3814">
        <w:rPr>
          <w:lang w:val="fr-FR"/>
        </w:rPr>
        <w:t>aux principaux besoins en matière de préparation et de mise à jour de ces inventaires</w:t>
      </w:r>
      <w:r w:rsidR="0007746C">
        <w:rPr>
          <w:lang w:val="fr-FR"/>
        </w:rPr>
        <w:t> </w:t>
      </w:r>
      <w:r w:rsidR="0007746C" w:rsidRPr="005C3814">
        <w:rPr>
          <w:lang w:val="fr-FR"/>
        </w:rPr>
        <w:t>; les politiques visant à encourager le secteur privé à respecter le principe d</w:t>
      </w:r>
      <w:r w:rsidR="0007746C">
        <w:rPr>
          <w:lang w:val="fr-FR"/>
        </w:rPr>
        <w:t>’</w:t>
      </w:r>
      <w:r w:rsidR="0007746C" w:rsidRPr="005C3814">
        <w:rPr>
          <w:lang w:val="fr-FR"/>
        </w:rPr>
        <w:t>utilisation rationnelle et les orientations</w:t>
      </w:r>
      <w:r w:rsidR="0007746C">
        <w:rPr>
          <w:lang w:val="fr-FR"/>
        </w:rPr>
        <w:t>,</w:t>
      </w:r>
      <w:r w:rsidR="0007746C" w:rsidRPr="005C3814">
        <w:rPr>
          <w:lang w:val="fr-FR"/>
        </w:rPr>
        <w:t xml:space="preserve"> de manière à traiter également des lignes directrices ou autres instruments</w:t>
      </w:r>
      <w:r w:rsidR="0007746C">
        <w:rPr>
          <w:lang w:val="fr-FR"/>
        </w:rPr>
        <w:t> </w:t>
      </w:r>
      <w:r w:rsidR="0007746C" w:rsidRPr="005C3814">
        <w:rPr>
          <w:lang w:val="fr-FR"/>
        </w:rPr>
        <w:t>; la mise en œuvre d</w:t>
      </w:r>
      <w:r w:rsidR="0007746C">
        <w:rPr>
          <w:lang w:val="fr-FR"/>
        </w:rPr>
        <w:t>’</w:t>
      </w:r>
      <w:r w:rsidR="0007746C" w:rsidRPr="005C3814">
        <w:rPr>
          <w:lang w:val="fr-FR"/>
        </w:rPr>
        <w:t>actions qui contribuent au renforcement des capacités aux fins de la mise en œuvre du Plan stratégique de la Convention</w:t>
      </w:r>
      <w:r w:rsidR="0007746C">
        <w:rPr>
          <w:lang w:val="fr-FR"/>
        </w:rPr>
        <w:t> </w:t>
      </w:r>
      <w:r w:rsidR="0007746C" w:rsidRPr="005C3814">
        <w:rPr>
          <w:lang w:val="fr-FR"/>
        </w:rPr>
        <w:t>; les principaux enseignements tirés s</w:t>
      </w:r>
      <w:r w:rsidR="0007746C">
        <w:rPr>
          <w:lang w:val="fr-FR"/>
        </w:rPr>
        <w:t>’</w:t>
      </w:r>
      <w:r w:rsidR="0007746C" w:rsidRPr="005C3814">
        <w:rPr>
          <w:lang w:val="fr-FR"/>
        </w:rPr>
        <w:t>agissant des zones humides et de l</w:t>
      </w:r>
      <w:r w:rsidR="0007746C">
        <w:rPr>
          <w:lang w:val="fr-FR"/>
        </w:rPr>
        <w:t>’</w:t>
      </w:r>
      <w:r w:rsidR="0007746C" w:rsidRPr="005C3814">
        <w:rPr>
          <w:lang w:val="fr-FR"/>
        </w:rPr>
        <w:t>égalité des genres</w:t>
      </w:r>
      <w:r w:rsidR="0007746C">
        <w:rPr>
          <w:lang w:val="fr-FR"/>
        </w:rPr>
        <w:t> </w:t>
      </w:r>
      <w:r w:rsidR="0007746C" w:rsidRPr="005C3814">
        <w:rPr>
          <w:lang w:val="fr-FR"/>
        </w:rPr>
        <w:t xml:space="preserve">; les efforts déployés en matière de conservation et </w:t>
      </w:r>
      <w:r w:rsidR="0007746C" w:rsidRPr="005C3814">
        <w:rPr>
          <w:lang w:val="fr-FR"/>
        </w:rPr>
        <w:lastRenderedPageBreak/>
        <w:t>d</w:t>
      </w:r>
      <w:r w:rsidR="0007746C">
        <w:rPr>
          <w:lang w:val="fr-FR"/>
        </w:rPr>
        <w:t>’</w:t>
      </w:r>
      <w:r w:rsidR="0007746C" w:rsidRPr="005C3814">
        <w:rPr>
          <w:lang w:val="fr-FR"/>
        </w:rPr>
        <w:t>utilisation rationnelle des zones humides urbaines et périurbaines</w:t>
      </w:r>
      <w:r w:rsidR="0007746C">
        <w:rPr>
          <w:lang w:val="fr-FR"/>
        </w:rPr>
        <w:t> </w:t>
      </w:r>
      <w:r w:rsidR="0007746C" w:rsidRPr="005C3814">
        <w:rPr>
          <w:lang w:val="fr-FR"/>
        </w:rPr>
        <w:t>; et les liens avec d</w:t>
      </w:r>
      <w:r w:rsidR="0007746C">
        <w:rPr>
          <w:lang w:val="fr-FR"/>
        </w:rPr>
        <w:t>’</w:t>
      </w:r>
      <w:r w:rsidR="0007746C" w:rsidRPr="005C3814">
        <w:rPr>
          <w:lang w:val="fr-FR"/>
        </w:rPr>
        <w:t xml:space="preserve">autres </w:t>
      </w:r>
      <w:r>
        <w:rPr>
          <w:lang w:val="fr-FR"/>
        </w:rPr>
        <w:t>c</w:t>
      </w:r>
      <w:r w:rsidR="0007746C" w:rsidRPr="005C3814">
        <w:rPr>
          <w:lang w:val="fr-FR"/>
        </w:rPr>
        <w:t>onventions pertinentes.</w:t>
      </w:r>
    </w:p>
    <w:p w14:paraId="49D550FD" w14:textId="77777777" w:rsidR="0007746C" w:rsidRPr="005C3814" w:rsidRDefault="0007746C" w:rsidP="0007746C">
      <w:pPr>
        <w:spacing w:after="0" w:line="240" w:lineRule="auto"/>
        <w:ind w:left="567" w:hanging="567"/>
        <w:rPr>
          <w:lang w:val="fr-FR"/>
        </w:rPr>
      </w:pPr>
    </w:p>
    <w:p w14:paraId="1790D2DA" w14:textId="5210E416" w:rsidR="0007746C" w:rsidRPr="005C3814" w:rsidRDefault="00EC551F" w:rsidP="0007746C">
      <w:pPr>
        <w:spacing w:after="0" w:line="240" w:lineRule="auto"/>
        <w:ind w:left="567" w:hanging="567"/>
        <w:rPr>
          <w:lang w:val="fr-FR"/>
        </w:rPr>
      </w:pPr>
      <w:r>
        <w:rPr>
          <w:lang w:val="fr-FR"/>
        </w:rPr>
        <w:t>90</w:t>
      </w:r>
      <w:r w:rsidR="0007746C" w:rsidRPr="005C3814">
        <w:rPr>
          <w:lang w:val="fr-FR"/>
        </w:rPr>
        <w:t>.</w:t>
      </w:r>
      <w:r w:rsidR="0007746C" w:rsidRPr="005C3814">
        <w:rPr>
          <w:lang w:val="fr-FR"/>
        </w:rPr>
        <w:tab/>
        <w:t>Un membre du Comité permanent suggère d</w:t>
      </w:r>
      <w:r w:rsidR="0007746C">
        <w:rPr>
          <w:lang w:val="fr-FR"/>
        </w:rPr>
        <w:t>’</w:t>
      </w:r>
      <w:r w:rsidR="0007746C" w:rsidRPr="005C3814">
        <w:rPr>
          <w:lang w:val="fr-FR"/>
        </w:rPr>
        <w:t>ajouter une question sur les raisons des arriérés de contributions financières des Parties contractantes, d</w:t>
      </w:r>
      <w:r w:rsidR="0007746C">
        <w:rPr>
          <w:lang w:val="fr-FR"/>
        </w:rPr>
        <w:t>’</w:t>
      </w:r>
      <w:r w:rsidR="0007746C" w:rsidRPr="005C3814">
        <w:rPr>
          <w:lang w:val="fr-FR"/>
        </w:rPr>
        <w:t>autres membres du Comité permanent suggérant de faire preuve de prudence</w:t>
      </w:r>
      <w:r w:rsidR="0007746C">
        <w:rPr>
          <w:lang w:val="fr-FR"/>
        </w:rPr>
        <w:t xml:space="preserve"> en la matière</w:t>
      </w:r>
      <w:r w:rsidR="0007746C" w:rsidRPr="005C3814">
        <w:rPr>
          <w:lang w:val="fr-FR"/>
        </w:rPr>
        <w:t>, dans un esprit de coopération et de solidarité.</w:t>
      </w:r>
    </w:p>
    <w:p w14:paraId="29F5BFFA" w14:textId="77777777" w:rsidR="0007746C" w:rsidRPr="005C3814" w:rsidRDefault="0007746C" w:rsidP="0007746C">
      <w:pPr>
        <w:spacing w:after="0" w:line="240" w:lineRule="auto"/>
        <w:ind w:left="567" w:hanging="567"/>
        <w:rPr>
          <w:lang w:val="fr-FR"/>
        </w:rPr>
      </w:pPr>
    </w:p>
    <w:p w14:paraId="53D297EF" w14:textId="22735730" w:rsidR="0007746C" w:rsidRPr="005C3814" w:rsidRDefault="00EC551F" w:rsidP="0007746C">
      <w:pPr>
        <w:spacing w:after="0" w:line="240" w:lineRule="auto"/>
        <w:ind w:left="567" w:hanging="567"/>
        <w:rPr>
          <w:lang w:val="fr-FR"/>
        </w:rPr>
      </w:pPr>
      <w:r>
        <w:rPr>
          <w:lang w:val="fr-FR"/>
        </w:rPr>
        <w:t>91</w:t>
      </w:r>
      <w:r w:rsidR="0007746C" w:rsidRPr="005C3814">
        <w:rPr>
          <w:lang w:val="fr-FR"/>
        </w:rPr>
        <w:t>.</w:t>
      </w:r>
      <w:r w:rsidR="0007746C" w:rsidRPr="005C3814">
        <w:rPr>
          <w:lang w:val="fr-FR"/>
        </w:rPr>
        <w:tab/>
        <w:t xml:space="preserve">Le Président du Comité permanent suggère de créer un groupe de </w:t>
      </w:r>
      <w:r>
        <w:rPr>
          <w:lang w:val="fr-FR"/>
        </w:rPr>
        <w:t xml:space="preserve">contact </w:t>
      </w:r>
      <w:r w:rsidR="0007746C" w:rsidRPr="005C3814">
        <w:rPr>
          <w:lang w:val="fr-FR"/>
        </w:rPr>
        <w:t>permettant aux Parties intéressées de se réunir et de discuter plus avant des ajouts et des amendements afin de finaliser le document d</w:t>
      </w:r>
      <w:r w:rsidR="0007746C">
        <w:rPr>
          <w:lang w:val="fr-FR"/>
        </w:rPr>
        <w:t>’</w:t>
      </w:r>
      <w:r w:rsidR="0007746C" w:rsidRPr="005C3814">
        <w:rPr>
          <w:lang w:val="fr-FR"/>
        </w:rPr>
        <w:t>ici la fin de la journée, ce que les délégués acceptent.</w:t>
      </w:r>
    </w:p>
    <w:p w14:paraId="511B9BEB" w14:textId="77777777" w:rsidR="0007746C" w:rsidRPr="005C3814" w:rsidRDefault="0007746C" w:rsidP="0007746C">
      <w:pPr>
        <w:spacing w:after="0" w:line="240" w:lineRule="auto"/>
        <w:ind w:left="567" w:hanging="567"/>
        <w:rPr>
          <w:lang w:val="fr-FR"/>
        </w:rPr>
      </w:pPr>
    </w:p>
    <w:p w14:paraId="2B395605" w14:textId="6BC8F949" w:rsidR="0007746C" w:rsidRPr="005C3814" w:rsidRDefault="00EC551F" w:rsidP="0007746C">
      <w:pPr>
        <w:spacing w:after="0" w:line="240" w:lineRule="auto"/>
        <w:ind w:left="567" w:hanging="567"/>
        <w:rPr>
          <w:lang w:val="fr-FR"/>
        </w:rPr>
      </w:pPr>
      <w:r>
        <w:rPr>
          <w:lang w:val="fr-FR"/>
        </w:rPr>
        <w:t>92</w:t>
      </w:r>
      <w:r w:rsidR="0007746C" w:rsidRPr="005C3814">
        <w:rPr>
          <w:lang w:val="fr-FR"/>
        </w:rPr>
        <w:t>.</w:t>
      </w:r>
      <w:r w:rsidR="0007746C" w:rsidRPr="005C3814">
        <w:rPr>
          <w:lang w:val="fr-FR"/>
        </w:rPr>
        <w:tab/>
        <w:t>L</w:t>
      </w:r>
      <w:r w:rsidR="0007746C">
        <w:rPr>
          <w:lang w:val="fr-FR"/>
        </w:rPr>
        <w:t>’</w:t>
      </w:r>
      <w:r w:rsidR="0007746C" w:rsidRPr="005C3814">
        <w:rPr>
          <w:lang w:val="fr-FR"/>
        </w:rPr>
        <w:t>Algérie, le Brésil, le Brésil au nom de l</w:t>
      </w:r>
      <w:r w:rsidR="0007746C">
        <w:rPr>
          <w:lang w:val="fr-FR"/>
        </w:rPr>
        <w:t>’</w:t>
      </w:r>
      <w:r w:rsidR="0007746C" w:rsidRPr="005C3814">
        <w:rPr>
          <w:lang w:val="fr-FR"/>
        </w:rPr>
        <w:t xml:space="preserve">Équateur, le Canada, le Costa Rica, le Japon, la République de Corée, la Suède, le Zimbabwe et Youth Engaged in Wetlands </w:t>
      </w:r>
      <w:r w:rsidR="0007746C" w:rsidRPr="005C3814">
        <w:rPr>
          <w:bCs/>
          <w:lang w:val="fr-FR"/>
        </w:rPr>
        <w:t>interviennent dans la discussion.</w:t>
      </w:r>
    </w:p>
    <w:p w14:paraId="51A5DAE0" w14:textId="77777777" w:rsidR="0007746C" w:rsidRPr="005C3814" w:rsidRDefault="0007746C" w:rsidP="0007746C">
      <w:pPr>
        <w:keepNext/>
        <w:spacing w:after="0" w:line="240" w:lineRule="auto"/>
        <w:rPr>
          <w:rFonts w:cstheme="minorHAnsi"/>
          <w:lang w:val="fr-FR"/>
        </w:rPr>
      </w:pPr>
    </w:p>
    <w:p w14:paraId="62CAB424" w14:textId="77777777" w:rsidR="0007746C" w:rsidRPr="005C381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FR"/>
        </w:rPr>
      </w:pPr>
      <w:r w:rsidRPr="005C3814">
        <w:rPr>
          <w:rFonts w:cstheme="minorHAnsi"/>
          <w:bCs/>
          <w:lang w:val="fr-FR"/>
        </w:rPr>
        <w:t>Point 9 de l</w:t>
      </w:r>
      <w:r>
        <w:rPr>
          <w:rFonts w:cstheme="minorHAnsi"/>
          <w:bCs/>
          <w:lang w:val="fr-FR"/>
        </w:rPr>
        <w:t>’</w:t>
      </w:r>
      <w:r w:rsidRPr="005C3814">
        <w:rPr>
          <w:rFonts w:cstheme="minorHAnsi"/>
          <w:bCs/>
          <w:lang w:val="fr-FR"/>
        </w:rPr>
        <w:t>ordre du jour : Problèmes urgents d</w:t>
      </w:r>
      <w:r>
        <w:rPr>
          <w:rFonts w:cstheme="minorHAnsi"/>
          <w:bCs/>
          <w:lang w:val="fr-FR"/>
        </w:rPr>
        <w:t>’</w:t>
      </w:r>
      <w:r w:rsidRPr="005C3814">
        <w:rPr>
          <w:rFonts w:cstheme="minorHAnsi"/>
          <w:bCs/>
          <w:lang w:val="fr-FR"/>
        </w:rPr>
        <w:t xml:space="preserve">utilisation rationnelle des zones humides devant recevoir une attention accrue : </w:t>
      </w:r>
      <w:r>
        <w:rPr>
          <w:rFonts w:cstheme="minorHAnsi"/>
          <w:bCs/>
          <w:lang w:val="fr-FR"/>
        </w:rPr>
        <w:t>m</w:t>
      </w:r>
      <w:r w:rsidRPr="005C3814">
        <w:rPr>
          <w:rFonts w:cstheme="minorHAnsi"/>
          <w:bCs/>
          <w:lang w:val="fr-FR"/>
        </w:rPr>
        <w:t>ise à jour concernant les inventaires des zones humides</w:t>
      </w:r>
    </w:p>
    <w:p w14:paraId="156DB115" w14:textId="77777777" w:rsidR="0007746C" w:rsidRPr="005C3814" w:rsidRDefault="0007746C" w:rsidP="0007746C">
      <w:pPr>
        <w:spacing w:after="0" w:line="240" w:lineRule="auto"/>
        <w:rPr>
          <w:lang w:val="fr-FR"/>
        </w:rPr>
      </w:pPr>
    </w:p>
    <w:p w14:paraId="2C2F2A9A" w14:textId="45EE930E" w:rsidR="0007746C" w:rsidRPr="005C3814" w:rsidRDefault="00851CC0" w:rsidP="0007746C">
      <w:pPr>
        <w:spacing w:after="0" w:line="240" w:lineRule="auto"/>
        <w:ind w:left="567" w:hanging="567"/>
        <w:rPr>
          <w:lang w:val="fr-FR"/>
        </w:rPr>
      </w:pPr>
      <w:r>
        <w:rPr>
          <w:lang w:val="fr-FR"/>
        </w:rPr>
        <w:t>93</w:t>
      </w:r>
      <w:r w:rsidR="0007746C" w:rsidRPr="005C3814">
        <w:rPr>
          <w:lang w:val="fr-FR"/>
        </w:rPr>
        <w:t>.</w:t>
      </w:r>
      <w:r w:rsidR="0007746C" w:rsidRPr="005C3814">
        <w:rPr>
          <w:lang w:val="fr-FR"/>
        </w:rPr>
        <w:tab/>
        <w:t>Le Secrétariat présente le document SC62</w:t>
      </w:r>
      <w:r w:rsidR="0007746C">
        <w:rPr>
          <w:lang w:val="fr-FR"/>
        </w:rPr>
        <w:t> </w:t>
      </w:r>
      <w:r w:rsidR="0007746C" w:rsidRPr="005C3814">
        <w:rPr>
          <w:lang w:val="fr-FR"/>
        </w:rPr>
        <w:t>Doc.9 contenant des informations générales, décrivant les progrès réalisés dans l</w:t>
      </w:r>
      <w:r w:rsidR="0007746C">
        <w:rPr>
          <w:lang w:val="fr-FR"/>
        </w:rPr>
        <w:t>’</w:t>
      </w:r>
      <w:r w:rsidR="0007746C" w:rsidRPr="005C3814">
        <w:rPr>
          <w:lang w:val="fr-FR"/>
        </w:rPr>
        <w:t>achèvement des inventaires nationaux des zones humides et présentant les travaux du Secrétariat à l</w:t>
      </w:r>
      <w:r w:rsidR="0007746C">
        <w:rPr>
          <w:lang w:val="fr-FR"/>
        </w:rPr>
        <w:t>’</w:t>
      </w:r>
      <w:r w:rsidR="0007746C" w:rsidRPr="005C3814">
        <w:rPr>
          <w:lang w:val="fr-FR"/>
        </w:rPr>
        <w:t>appui des inventaires nationaux des zones humides, y compris les recommandations pertinentes.</w:t>
      </w:r>
    </w:p>
    <w:p w14:paraId="288223B9" w14:textId="77777777" w:rsidR="0007746C" w:rsidRPr="005C3814" w:rsidRDefault="0007746C" w:rsidP="0007746C">
      <w:pPr>
        <w:spacing w:after="0" w:line="240" w:lineRule="auto"/>
        <w:ind w:left="567" w:hanging="567"/>
        <w:rPr>
          <w:rFonts w:eastAsia="Calibri" w:cstheme="minorHAnsi"/>
          <w:bCs/>
          <w:lang w:val="fr-FR"/>
        </w:rPr>
      </w:pPr>
    </w:p>
    <w:p w14:paraId="23A13884" w14:textId="2BC1210E" w:rsidR="0007746C" w:rsidRPr="005C3814" w:rsidRDefault="00851CC0" w:rsidP="0007746C">
      <w:pPr>
        <w:ind w:left="567" w:hanging="567"/>
        <w:rPr>
          <w:lang w:val="fr-FR"/>
        </w:rPr>
      </w:pPr>
      <w:r>
        <w:rPr>
          <w:lang w:val="fr-FR"/>
        </w:rPr>
        <w:t>94</w:t>
      </w:r>
      <w:r w:rsidR="0007746C" w:rsidRPr="005C3814">
        <w:rPr>
          <w:lang w:val="fr-FR"/>
        </w:rPr>
        <w:t>.</w:t>
      </w:r>
      <w:r w:rsidR="0007746C" w:rsidRPr="005C3814">
        <w:rPr>
          <w:lang w:val="fr-FR"/>
        </w:rPr>
        <w:tab/>
        <w:t>Les membres du Comité permanent soulignent l</w:t>
      </w:r>
      <w:r w:rsidR="0007746C">
        <w:rPr>
          <w:lang w:val="fr-FR"/>
        </w:rPr>
        <w:t>’</w:t>
      </w:r>
      <w:r w:rsidR="0007746C" w:rsidRPr="005C3814">
        <w:rPr>
          <w:lang w:val="fr-FR"/>
        </w:rPr>
        <w:t>importance des inventaires nationaux des zones humides pour prévenir la dégradation et la perte de ces écosystèmes et soutiennent l</w:t>
      </w:r>
      <w:r w:rsidR="0007746C">
        <w:rPr>
          <w:lang w:val="fr-FR"/>
        </w:rPr>
        <w:t>’</w:t>
      </w:r>
      <w:r w:rsidR="0007746C" w:rsidRPr="005C3814">
        <w:rPr>
          <w:lang w:val="fr-FR"/>
        </w:rPr>
        <w:t>approche structurée relative à l</w:t>
      </w:r>
      <w:r w:rsidR="0007746C">
        <w:rPr>
          <w:lang w:val="fr-FR"/>
        </w:rPr>
        <w:t>’</w:t>
      </w:r>
      <w:r w:rsidR="0007746C" w:rsidRPr="005C3814">
        <w:rPr>
          <w:lang w:val="fr-FR"/>
        </w:rPr>
        <w:t>appui aux inventaires des zones humides décrite au paragraphe</w:t>
      </w:r>
      <w:r w:rsidR="0007746C">
        <w:rPr>
          <w:lang w:val="fr-FR"/>
        </w:rPr>
        <w:t> </w:t>
      </w:r>
      <w:r w:rsidR="0007746C" w:rsidRPr="005C3814">
        <w:rPr>
          <w:lang w:val="fr-FR"/>
        </w:rPr>
        <w:t>15 du document SC62</w:t>
      </w:r>
      <w:r w:rsidR="0007746C">
        <w:rPr>
          <w:lang w:val="fr-FR"/>
        </w:rPr>
        <w:t> </w:t>
      </w:r>
      <w:r w:rsidR="0007746C" w:rsidRPr="005C3814">
        <w:rPr>
          <w:lang w:val="fr-FR"/>
        </w:rPr>
        <w:t>Doc.9.</w:t>
      </w:r>
    </w:p>
    <w:p w14:paraId="7B01DE4A" w14:textId="77E5613C" w:rsidR="0007746C" w:rsidRPr="00495680" w:rsidRDefault="00851CC0" w:rsidP="0007746C">
      <w:pPr>
        <w:spacing w:after="0" w:line="240" w:lineRule="auto"/>
        <w:ind w:left="567" w:hanging="567"/>
        <w:rPr>
          <w:rFonts w:cstheme="minorHAnsi"/>
          <w:lang w:val="fr-FR"/>
        </w:rPr>
      </w:pPr>
      <w:r>
        <w:rPr>
          <w:rFonts w:cstheme="minorHAnsi"/>
          <w:lang w:val="fr-FR"/>
        </w:rPr>
        <w:t>95</w:t>
      </w:r>
      <w:r w:rsidR="0007746C" w:rsidRPr="005C3814">
        <w:rPr>
          <w:rFonts w:cstheme="minorHAnsi"/>
          <w:lang w:val="fr-FR"/>
        </w:rPr>
        <w:t>.</w:t>
      </w:r>
      <w:r w:rsidR="0007746C" w:rsidRPr="005C3814">
        <w:rPr>
          <w:rFonts w:cstheme="minorHAnsi"/>
          <w:lang w:val="fr-FR"/>
        </w:rPr>
        <w:tab/>
        <w:t xml:space="preserve">Des membres du Comité permanent </w:t>
      </w:r>
      <w:r w:rsidR="0007746C">
        <w:rPr>
          <w:rFonts w:cstheme="minorHAnsi"/>
          <w:lang w:val="fr-FR"/>
        </w:rPr>
        <w:t>préconisent</w:t>
      </w:r>
      <w:r w:rsidR="0007746C" w:rsidRPr="005C3814">
        <w:rPr>
          <w:rFonts w:cstheme="minorHAnsi"/>
          <w:lang w:val="fr-FR"/>
        </w:rPr>
        <w:t xml:space="preserve"> un </w:t>
      </w:r>
      <w:r w:rsidR="0007746C">
        <w:rPr>
          <w:rFonts w:cstheme="minorHAnsi"/>
          <w:lang w:val="fr-FR"/>
        </w:rPr>
        <w:t>appui</w:t>
      </w:r>
      <w:r w:rsidR="0007746C" w:rsidRPr="005C3814">
        <w:rPr>
          <w:rFonts w:cstheme="minorHAnsi"/>
          <w:lang w:val="fr-FR"/>
        </w:rPr>
        <w:t xml:space="preserve"> régional accru pour l</w:t>
      </w:r>
      <w:r w:rsidR="0007746C">
        <w:rPr>
          <w:rFonts w:cstheme="minorHAnsi"/>
          <w:lang w:val="fr-FR"/>
        </w:rPr>
        <w:t>’</w:t>
      </w:r>
      <w:r w:rsidR="0007746C" w:rsidRPr="005C3814">
        <w:rPr>
          <w:rFonts w:cstheme="minorHAnsi"/>
          <w:lang w:val="fr-FR"/>
        </w:rPr>
        <w:t>établissement d</w:t>
      </w:r>
      <w:r w:rsidR="0007746C">
        <w:rPr>
          <w:rFonts w:cstheme="minorHAnsi"/>
          <w:lang w:val="fr-FR"/>
        </w:rPr>
        <w:t xml:space="preserve">es </w:t>
      </w:r>
      <w:r w:rsidR="0007746C" w:rsidRPr="005C3814">
        <w:rPr>
          <w:rFonts w:cstheme="minorHAnsi"/>
          <w:lang w:val="fr-FR"/>
        </w:rPr>
        <w:t xml:space="preserve">inventaires nationaux des zones humides, y compris des activités de renforcement des capacités, </w:t>
      </w:r>
      <w:r w:rsidR="0007746C">
        <w:rPr>
          <w:rFonts w:cstheme="minorHAnsi"/>
          <w:lang w:val="fr-FR"/>
        </w:rPr>
        <w:t>la création</w:t>
      </w:r>
      <w:r w:rsidR="0007746C" w:rsidRPr="005C3814">
        <w:rPr>
          <w:rFonts w:cstheme="minorHAnsi"/>
          <w:lang w:val="fr-FR"/>
        </w:rPr>
        <w:t xml:space="preserve"> de partenariats pour l</w:t>
      </w:r>
      <w:r w:rsidR="0007746C">
        <w:rPr>
          <w:rFonts w:cstheme="minorHAnsi"/>
          <w:lang w:val="fr-FR"/>
        </w:rPr>
        <w:t>’</w:t>
      </w:r>
      <w:r w:rsidR="0007746C" w:rsidRPr="005C3814">
        <w:rPr>
          <w:rFonts w:cstheme="minorHAnsi"/>
          <w:lang w:val="fr-FR"/>
        </w:rPr>
        <w:t>utilisation des données, une feuille de route pour progr</w:t>
      </w:r>
      <w:r w:rsidR="0007746C">
        <w:rPr>
          <w:rFonts w:cstheme="minorHAnsi"/>
          <w:lang w:val="fr-FR"/>
        </w:rPr>
        <w:t>esser et</w:t>
      </w:r>
      <w:r w:rsidR="0007746C" w:rsidRPr="005C3814">
        <w:rPr>
          <w:rFonts w:cstheme="minorHAnsi"/>
          <w:lang w:val="fr-FR"/>
        </w:rPr>
        <w:t xml:space="preserve"> des ressources financières. Ils soulign</w:t>
      </w:r>
      <w:r w:rsidR="0007746C">
        <w:rPr>
          <w:rFonts w:cstheme="minorHAnsi"/>
          <w:lang w:val="fr-FR"/>
        </w:rPr>
        <w:t>ent en outre</w:t>
      </w:r>
      <w:r w:rsidR="0007746C" w:rsidRPr="005C3814">
        <w:rPr>
          <w:rFonts w:cstheme="minorHAnsi"/>
          <w:lang w:val="fr-FR"/>
        </w:rPr>
        <w:t xml:space="preserve"> qu</w:t>
      </w:r>
      <w:r w:rsidR="0007746C">
        <w:rPr>
          <w:rFonts w:cstheme="minorHAnsi"/>
          <w:lang w:val="fr-FR"/>
        </w:rPr>
        <w:t>’il conviendrait de réaliser</w:t>
      </w:r>
      <w:r w:rsidR="0007746C" w:rsidRPr="005C3814">
        <w:rPr>
          <w:rFonts w:cstheme="minorHAnsi"/>
          <w:lang w:val="fr-FR"/>
        </w:rPr>
        <w:t xml:space="preserve"> </w:t>
      </w:r>
      <w:r w:rsidR="0007746C">
        <w:rPr>
          <w:rFonts w:cstheme="minorHAnsi"/>
          <w:lang w:val="fr-FR"/>
        </w:rPr>
        <w:t>les</w:t>
      </w:r>
      <w:r w:rsidR="0007746C" w:rsidRPr="005C3814">
        <w:rPr>
          <w:rFonts w:cstheme="minorHAnsi"/>
          <w:lang w:val="fr-FR"/>
        </w:rPr>
        <w:t xml:space="preserve"> inventaires</w:t>
      </w:r>
      <w:r w:rsidR="0007746C">
        <w:rPr>
          <w:rFonts w:cstheme="minorHAnsi"/>
          <w:lang w:val="fr-FR"/>
        </w:rPr>
        <w:t xml:space="preserve"> en continu et préconisent </w:t>
      </w:r>
      <w:r w:rsidR="0007746C" w:rsidRPr="005C3814">
        <w:rPr>
          <w:rFonts w:cstheme="minorHAnsi"/>
          <w:lang w:val="fr-FR"/>
        </w:rPr>
        <w:t>: l</w:t>
      </w:r>
      <w:r w:rsidR="0007746C">
        <w:rPr>
          <w:rFonts w:cstheme="minorHAnsi"/>
          <w:lang w:val="fr-FR"/>
        </w:rPr>
        <w:t>’</w:t>
      </w:r>
      <w:r w:rsidR="0007746C" w:rsidRPr="005C3814">
        <w:rPr>
          <w:rFonts w:cstheme="minorHAnsi"/>
          <w:lang w:val="fr-FR"/>
        </w:rPr>
        <w:t>élaboration de lignes directrices sur le renforcement des capacités concernant l</w:t>
      </w:r>
      <w:r w:rsidR="0007746C">
        <w:rPr>
          <w:rFonts w:cstheme="minorHAnsi"/>
          <w:lang w:val="fr-FR"/>
        </w:rPr>
        <w:t>’</w:t>
      </w:r>
      <w:r w:rsidR="0007746C" w:rsidRPr="005C3814">
        <w:rPr>
          <w:rFonts w:cstheme="minorHAnsi"/>
          <w:lang w:val="fr-FR"/>
        </w:rPr>
        <w:t>utilisation de nouvelles technologies</w:t>
      </w:r>
      <w:r w:rsidR="0007746C">
        <w:rPr>
          <w:rFonts w:cstheme="minorHAnsi"/>
          <w:lang w:val="fr-FR"/>
        </w:rPr>
        <w:t> </w:t>
      </w:r>
      <w:r w:rsidR="0007746C" w:rsidRPr="005C3814">
        <w:rPr>
          <w:rFonts w:cstheme="minorHAnsi"/>
          <w:lang w:val="fr-FR"/>
        </w:rPr>
        <w:t xml:space="preserve">; </w:t>
      </w:r>
      <w:r w:rsidR="0007746C">
        <w:rPr>
          <w:rFonts w:cstheme="minorHAnsi"/>
          <w:lang w:val="fr-FR"/>
        </w:rPr>
        <w:t>la réalisation</w:t>
      </w:r>
      <w:r w:rsidR="0007746C" w:rsidRPr="005C3814">
        <w:rPr>
          <w:rFonts w:cstheme="minorHAnsi"/>
          <w:lang w:val="fr-FR"/>
        </w:rPr>
        <w:t xml:space="preserve"> d</w:t>
      </w:r>
      <w:r w:rsidR="0007746C">
        <w:rPr>
          <w:rFonts w:cstheme="minorHAnsi"/>
          <w:lang w:val="fr-FR"/>
        </w:rPr>
        <w:t>’</w:t>
      </w:r>
      <w:r w:rsidR="0007746C" w:rsidRPr="005C3814">
        <w:rPr>
          <w:rFonts w:cstheme="minorHAnsi"/>
          <w:lang w:val="fr-FR"/>
        </w:rPr>
        <w:t>études de cas régionales sur les expériences positives</w:t>
      </w:r>
      <w:r w:rsidR="0007746C">
        <w:rPr>
          <w:rFonts w:cstheme="minorHAnsi"/>
          <w:lang w:val="fr-FR"/>
        </w:rPr>
        <w:t> </w:t>
      </w:r>
      <w:r w:rsidR="0007746C" w:rsidRPr="005C3814">
        <w:rPr>
          <w:rFonts w:cstheme="minorHAnsi"/>
          <w:lang w:val="fr-FR"/>
        </w:rPr>
        <w:t>; l</w:t>
      </w:r>
      <w:r w:rsidR="0007746C">
        <w:rPr>
          <w:rFonts w:cstheme="minorHAnsi"/>
          <w:lang w:val="fr-FR"/>
        </w:rPr>
        <w:t>’</w:t>
      </w:r>
      <w:r w:rsidR="0007746C" w:rsidRPr="005C3814">
        <w:rPr>
          <w:rFonts w:cstheme="minorHAnsi"/>
          <w:lang w:val="fr-FR"/>
        </w:rPr>
        <w:t>amélioration des inventaires régionaux existants</w:t>
      </w:r>
      <w:r w:rsidR="0007746C">
        <w:rPr>
          <w:rFonts w:cstheme="minorHAnsi"/>
          <w:lang w:val="fr-FR"/>
        </w:rPr>
        <w:t> </w:t>
      </w:r>
      <w:r w:rsidR="0007746C" w:rsidRPr="005C3814">
        <w:rPr>
          <w:rFonts w:cstheme="minorHAnsi"/>
          <w:lang w:val="fr-FR"/>
        </w:rPr>
        <w:t>; et l</w:t>
      </w:r>
      <w:r w:rsidR="0007746C">
        <w:rPr>
          <w:rFonts w:cstheme="minorHAnsi"/>
          <w:lang w:val="fr-FR"/>
        </w:rPr>
        <w:t>’</w:t>
      </w:r>
      <w:r w:rsidR="0007746C" w:rsidRPr="005C3814">
        <w:rPr>
          <w:rFonts w:cstheme="minorHAnsi"/>
          <w:lang w:val="fr-FR"/>
        </w:rPr>
        <w:t>établissement d</w:t>
      </w:r>
      <w:r w:rsidR="0007746C">
        <w:rPr>
          <w:rFonts w:cstheme="minorHAnsi"/>
          <w:lang w:val="fr-FR"/>
        </w:rPr>
        <w:t>’</w:t>
      </w:r>
      <w:r w:rsidR="0007746C" w:rsidRPr="005C3814">
        <w:rPr>
          <w:rFonts w:cstheme="minorHAnsi"/>
          <w:lang w:val="fr-FR"/>
        </w:rPr>
        <w:t xml:space="preserve">un plan de travail </w:t>
      </w:r>
      <w:r w:rsidR="0007746C">
        <w:rPr>
          <w:rFonts w:cstheme="minorHAnsi"/>
          <w:lang w:val="fr-FR"/>
        </w:rPr>
        <w:t>pour soutenir les</w:t>
      </w:r>
      <w:r w:rsidR="0007746C" w:rsidRPr="005C3814">
        <w:rPr>
          <w:rFonts w:cstheme="minorHAnsi"/>
          <w:lang w:val="fr-FR"/>
        </w:rPr>
        <w:t xml:space="preserve"> activités des Parties contractantes.</w:t>
      </w:r>
    </w:p>
    <w:p w14:paraId="11B9C1E2" w14:textId="77777777" w:rsidR="0007746C" w:rsidRPr="00495680" w:rsidRDefault="0007746C" w:rsidP="0007746C">
      <w:pPr>
        <w:spacing w:after="0" w:line="240" w:lineRule="auto"/>
        <w:ind w:left="567" w:hanging="567"/>
        <w:rPr>
          <w:rFonts w:cstheme="minorHAnsi"/>
          <w:lang w:val="fr-FR"/>
        </w:rPr>
      </w:pPr>
    </w:p>
    <w:p w14:paraId="3ECC54CE" w14:textId="66A17CD4" w:rsidR="00851CC0" w:rsidRPr="00495680" w:rsidRDefault="00851CC0" w:rsidP="0007746C">
      <w:pPr>
        <w:spacing w:after="0" w:line="240" w:lineRule="auto"/>
        <w:ind w:left="567" w:hanging="567"/>
        <w:rPr>
          <w:lang w:val="fr-FR"/>
        </w:rPr>
      </w:pPr>
      <w:r w:rsidRPr="00495680">
        <w:rPr>
          <w:lang w:val="fr-FR"/>
        </w:rPr>
        <w:t>96</w:t>
      </w:r>
      <w:r w:rsidR="0007746C" w:rsidRPr="00495680">
        <w:rPr>
          <w:lang w:val="fr-FR"/>
        </w:rPr>
        <w:t>.</w:t>
      </w:r>
      <w:r w:rsidR="0007746C" w:rsidRPr="00495680">
        <w:rPr>
          <w:lang w:val="fr-FR"/>
        </w:rPr>
        <w:tab/>
      </w:r>
      <w:r w:rsidR="00411E32" w:rsidRPr="00495680">
        <w:rPr>
          <w:lang w:val="fr-FR"/>
        </w:rPr>
        <w:t xml:space="preserve">Les membres représentant la région Afrique, constatant l’absence de mécanisme officiel pour aider les Parties à appliquer la Convention, invitent à adopter une approche plus systématique de la mobilisation des ressources et demandent au Secrétariat d’organiser une réunion </w:t>
      </w:r>
      <w:r w:rsidR="00411E32" w:rsidRPr="00495680">
        <w:rPr>
          <w:bCs/>
          <w:lang w:val="fr-FR"/>
        </w:rPr>
        <w:t>consultative avec l’Afrique et d’autres régions intéressées pour évaluer les besoins de mobilisation des ressources en vue d’élaborer, éventuellement, un projet de ré</w:t>
      </w:r>
      <w:r w:rsidR="00411E32" w:rsidRPr="00495680">
        <w:rPr>
          <w:lang w:val="fr-FR"/>
        </w:rPr>
        <w:t>solution.</w:t>
      </w:r>
    </w:p>
    <w:p w14:paraId="4AE1B4FF" w14:textId="77777777" w:rsidR="00851CC0" w:rsidRPr="00495680" w:rsidRDefault="00851CC0" w:rsidP="0007746C">
      <w:pPr>
        <w:spacing w:after="0" w:line="240" w:lineRule="auto"/>
        <w:ind w:left="567" w:hanging="567"/>
        <w:rPr>
          <w:lang w:val="fr-FR"/>
        </w:rPr>
      </w:pPr>
    </w:p>
    <w:p w14:paraId="1E4FBE77" w14:textId="74E401BD" w:rsidR="0007746C" w:rsidRPr="005C3814" w:rsidRDefault="00851CC0" w:rsidP="0007746C">
      <w:pPr>
        <w:spacing w:after="0" w:line="240" w:lineRule="auto"/>
        <w:ind w:left="567" w:hanging="567"/>
        <w:rPr>
          <w:lang w:val="fr-FR"/>
        </w:rPr>
      </w:pPr>
      <w:r>
        <w:rPr>
          <w:lang w:val="fr-FR"/>
        </w:rPr>
        <w:t>97.</w:t>
      </w:r>
      <w:r>
        <w:rPr>
          <w:lang w:val="fr-FR"/>
        </w:rPr>
        <w:tab/>
      </w:r>
      <w:r w:rsidR="0007746C" w:rsidRPr="00CF41FC">
        <w:rPr>
          <w:lang w:val="fr-FR"/>
        </w:rPr>
        <w:t>D</w:t>
      </w:r>
      <w:r w:rsidR="0007746C">
        <w:rPr>
          <w:lang w:val="fr-FR"/>
        </w:rPr>
        <w:t>’</w:t>
      </w:r>
      <w:r w:rsidR="0007746C" w:rsidRPr="00CF41FC">
        <w:rPr>
          <w:lang w:val="fr-FR"/>
        </w:rPr>
        <w:t>autres membres du Comité permanent propos</w:t>
      </w:r>
      <w:r w:rsidR="0007746C">
        <w:rPr>
          <w:lang w:val="fr-FR"/>
        </w:rPr>
        <w:t>ent un partage des données d’expérience au niveau national et des</w:t>
      </w:r>
      <w:r w:rsidR="0007746C" w:rsidRPr="00CF41FC">
        <w:rPr>
          <w:lang w:val="fr-FR"/>
        </w:rPr>
        <w:t xml:space="preserve"> enseignements tirés de la préparation des inventaires des zones humides</w:t>
      </w:r>
      <w:r w:rsidR="0007746C">
        <w:rPr>
          <w:lang w:val="fr-FR"/>
        </w:rPr>
        <w:t> </w:t>
      </w:r>
      <w:r w:rsidR="0007746C" w:rsidRPr="00CF41FC">
        <w:rPr>
          <w:lang w:val="fr-FR"/>
        </w:rPr>
        <w:t xml:space="preserve">; </w:t>
      </w:r>
      <w:r w:rsidR="0007746C">
        <w:rPr>
          <w:lang w:val="fr-FR"/>
        </w:rPr>
        <w:t>ils</w:t>
      </w:r>
      <w:r w:rsidR="0007746C" w:rsidRPr="00CF41FC">
        <w:rPr>
          <w:lang w:val="fr-FR"/>
        </w:rPr>
        <w:t xml:space="preserve"> encourag</w:t>
      </w:r>
      <w:r w:rsidR="0007746C">
        <w:rPr>
          <w:lang w:val="fr-FR"/>
        </w:rPr>
        <w:t>ent</w:t>
      </w:r>
      <w:r w:rsidR="0007746C" w:rsidRPr="00CF41FC">
        <w:rPr>
          <w:lang w:val="fr-FR"/>
        </w:rPr>
        <w:t xml:space="preserve"> la prise en compte des inventaires nationaux </w:t>
      </w:r>
      <w:r w:rsidR="0007746C">
        <w:rPr>
          <w:lang w:val="fr-FR"/>
        </w:rPr>
        <w:t>au sein d’autres instances</w:t>
      </w:r>
      <w:r w:rsidR="0007746C" w:rsidRPr="00CF41FC">
        <w:rPr>
          <w:lang w:val="fr-FR"/>
        </w:rPr>
        <w:t xml:space="preserve">, notamment pour </w:t>
      </w:r>
      <w:r w:rsidR="0007746C">
        <w:rPr>
          <w:lang w:val="fr-FR"/>
        </w:rPr>
        <w:t xml:space="preserve">que </w:t>
      </w:r>
      <w:r w:rsidR="0007746C" w:rsidRPr="00CF41FC">
        <w:rPr>
          <w:lang w:val="fr-FR"/>
        </w:rPr>
        <w:t>la typologie des zones humides</w:t>
      </w:r>
      <w:r w:rsidR="0007746C">
        <w:rPr>
          <w:lang w:val="fr-FR"/>
        </w:rPr>
        <w:t xml:space="preserve"> soit utilisée de manière cohérente</w:t>
      </w:r>
      <w:r w:rsidR="0007746C" w:rsidRPr="005C3814">
        <w:rPr>
          <w:lang w:val="fr-FR"/>
        </w:rPr>
        <w:t>.</w:t>
      </w:r>
    </w:p>
    <w:p w14:paraId="744A9A04" w14:textId="77777777" w:rsidR="0007746C" w:rsidRPr="005C3814" w:rsidRDefault="0007746C" w:rsidP="0007746C">
      <w:pPr>
        <w:spacing w:after="0" w:line="240" w:lineRule="auto"/>
        <w:ind w:left="567" w:hanging="567"/>
        <w:rPr>
          <w:lang w:val="fr-FR"/>
        </w:rPr>
      </w:pPr>
    </w:p>
    <w:p w14:paraId="6D0393E5" w14:textId="776ED3D3" w:rsidR="0007746C" w:rsidRPr="005C3814" w:rsidRDefault="00851CC0" w:rsidP="0007746C">
      <w:pPr>
        <w:spacing w:after="0" w:line="240" w:lineRule="auto"/>
        <w:ind w:left="567" w:hanging="567"/>
        <w:rPr>
          <w:lang w:val="fr-FR"/>
        </w:rPr>
      </w:pPr>
      <w:r>
        <w:rPr>
          <w:lang w:val="fr-FR"/>
        </w:rPr>
        <w:lastRenderedPageBreak/>
        <w:t>98</w:t>
      </w:r>
      <w:r w:rsidR="0007746C" w:rsidRPr="005C3814">
        <w:rPr>
          <w:lang w:val="fr-FR"/>
        </w:rPr>
        <w:t>.</w:t>
      </w:r>
      <w:r w:rsidR="0007746C" w:rsidRPr="005C3814">
        <w:rPr>
          <w:lang w:val="fr-FR"/>
        </w:rPr>
        <w:tab/>
      </w:r>
      <w:r w:rsidR="0007746C">
        <w:rPr>
          <w:lang w:val="fr-FR"/>
        </w:rPr>
        <w:t>Le</w:t>
      </w:r>
      <w:r w:rsidR="0007746C" w:rsidRPr="005C3814">
        <w:rPr>
          <w:lang w:val="fr-FR"/>
        </w:rPr>
        <w:t xml:space="preserve"> Secr</w:t>
      </w:r>
      <w:r w:rsidR="0007746C">
        <w:rPr>
          <w:lang w:val="fr-FR"/>
        </w:rPr>
        <w:t>é</w:t>
      </w:r>
      <w:r w:rsidR="0007746C" w:rsidRPr="005C3814">
        <w:rPr>
          <w:lang w:val="fr-FR"/>
        </w:rPr>
        <w:t>tariat</w:t>
      </w:r>
      <w:r w:rsidR="0007746C">
        <w:rPr>
          <w:lang w:val="fr-FR"/>
        </w:rPr>
        <w:t xml:space="preserve"> note que</w:t>
      </w:r>
      <w:r w:rsidR="0007746C" w:rsidRPr="005C3814">
        <w:rPr>
          <w:lang w:val="fr-FR"/>
        </w:rPr>
        <w:t xml:space="preserve"> </w:t>
      </w:r>
      <w:r w:rsidR="0007746C" w:rsidRPr="00CF41FC">
        <w:rPr>
          <w:lang w:val="fr-FR"/>
        </w:rPr>
        <w:t>l</w:t>
      </w:r>
      <w:r w:rsidR="0007746C">
        <w:rPr>
          <w:lang w:val="fr-FR"/>
        </w:rPr>
        <w:t>’</w:t>
      </w:r>
      <w:r w:rsidR="0007746C" w:rsidRPr="00CF41FC">
        <w:rPr>
          <w:lang w:val="fr-FR"/>
        </w:rPr>
        <w:t xml:space="preserve">approche structurée </w:t>
      </w:r>
      <w:r w:rsidR="0007746C">
        <w:rPr>
          <w:lang w:val="fr-FR"/>
        </w:rPr>
        <w:t>relative à</w:t>
      </w:r>
      <w:r w:rsidR="0007746C" w:rsidRPr="00CF41FC">
        <w:rPr>
          <w:lang w:val="fr-FR"/>
        </w:rPr>
        <w:t xml:space="preserve"> l</w:t>
      </w:r>
      <w:r w:rsidR="0007746C">
        <w:rPr>
          <w:lang w:val="fr-FR"/>
        </w:rPr>
        <w:t>’</w:t>
      </w:r>
      <w:r w:rsidR="0007746C" w:rsidRPr="00CF41FC">
        <w:rPr>
          <w:lang w:val="fr-FR"/>
        </w:rPr>
        <w:t xml:space="preserve">appui </w:t>
      </w:r>
      <w:r w:rsidR="0007746C">
        <w:rPr>
          <w:lang w:val="fr-FR"/>
        </w:rPr>
        <w:t xml:space="preserve">aux </w:t>
      </w:r>
      <w:r w:rsidR="0007746C" w:rsidRPr="00CF41FC">
        <w:rPr>
          <w:lang w:val="fr-FR"/>
        </w:rPr>
        <w:t>inventaire</w:t>
      </w:r>
      <w:r w:rsidR="0007746C">
        <w:rPr>
          <w:lang w:val="fr-FR"/>
        </w:rPr>
        <w:t>s</w:t>
      </w:r>
      <w:r w:rsidR="0007746C" w:rsidRPr="00CF41FC">
        <w:rPr>
          <w:lang w:val="fr-FR"/>
        </w:rPr>
        <w:t xml:space="preserve"> des zones humides </w:t>
      </w:r>
      <w:r w:rsidR="0007746C">
        <w:rPr>
          <w:lang w:val="fr-FR"/>
        </w:rPr>
        <w:t xml:space="preserve">figurant </w:t>
      </w:r>
      <w:r w:rsidR="0007746C" w:rsidRPr="00CF41FC">
        <w:rPr>
          <w:lang w:val="fr-FR"/>
        </w:rPr>
        <w:t>au paragraphe</w:t>
      </w:r>
      <w:r w:rsidR="0007746C">
        <w:rPr>
          <w:lang w:val="fr-FR"/>
        </w:rPr>
        <w:t> </w:t>
      </w:r>
      <w:r w:rsidR="0007746C" w:rsidRPr="00CF41FC">
        <w:rPr>
          <w:lang w:val="fr-FR"/>
        </w:rPr>
        <w:t>15 du document SC62</w:t>
      </w:r>
      <w:r w:rsidR="0007746C">
        <w:rPr>
          <w:lang w:val="fr-FR"/>
        </w:rPr>
        <w:t> </w:t>
      </w:r>
      <w:r w:rsidR="0007746C" w:rsidRPr="00CF41FC">
        <w:rPr>
          <w:lang w:val="fr-FR"/>
        </w:rPr>
        <w:t xml:space="preserve">Doc.9 sera modifiée en fonction des suggestions des membres du Comité permanent. </w:t>
      </w:r>
    </w:p>
    <w:p w14:paraId="3D4DAF8D" w14:textId="77777777" w:rsidR="0007746C" w:rsidRPr="005C3814" w:rsidRDefault="0007746C" w:rsidP="0007746C">
      <w:pPr>
        <w:spacing w:after="0" w:line="240" w:lineRule="auto"/>
        <w:ind w:left="567" w:hanging="567"/>
        <w:rPr>
          <w:lang w:val="fr-FR"/>
        </w:rPr>
      </w:pPr>
    </w:p>
    <w:p w14:paraId="68549BB2" w14:textId="5B073ED9" w:rsidR="0007746C" w:rsidRPr="005C3814" w:rsidRDefault="00201B8E" w:rsidP="0007746C">
      <w:pPr>
        <w:spacing w:after="0" w:line="240" w:lineRule="auto"/>
        <w:ind w:left="567" w:hanging="567"/>
        <w:rPr>
          <w:lang w:val="fr-FR"/>
        </w:rPr>
      </w:pPr>
      <w:r>
        <w:rPr>
          <w:lang w:val="fr-FR"/>
        </w:rPr>
        <w:t>9</w:t>
      </w:r>
      <w:r w:rsidR="0007746C" w:rsidRPr="005C3814">
        <w:rPr>
          <w:lang w:val="fr-FR"/>
        </w:rPr>
        <w:t>9.</w:t>
      </w:r>
      <w:r w:rsidR="0007746C" w:rsidRPr="005C3814">
        <w:rPr>
          <w:lang w:val="fr-FR"/>
        </w:rPr>
        <w:tab/>
        <w:t>L</w:t>
      </w:r>
      <w:r w:rsidR="0007746C">
        <w:rPr>
          <w:lang w:val="fr-FR"/>
        </w:rPr>
        <w:t>’</w:t>
      </w:r>
      <w:r w:rsidR="0007746C" w:rsidRPr="005C3814">
        <w:rPr>
          <w:lang w:val="fr-FR"/>
        </w:rPr>
        <w:t>Algérie, l</w:t>
      </w:r>
      <w:r w:rsidR="0007746C">
        <w:rPr>
          <w:lang w:val="fr-FR"/>
        </w:rPr>
        <w:t>’</w:t>
      </w:r>
      <w:r w:rsidR="0007746C" w:rsidRPr="005C3814">
        <w:rPr>
          <w:lang w:val="fr-FR"/>
        </w:rPr>
        <w:t xml:space="preserve">Australie, la Chine, Madagascar pour la </w:t>
      </w:r>
      <w:r w:rsidR="0007746C">
        <w:rPr>
          <w:lang w:val="fr-FR"/>
        </w:rPr>
        <w:t>R</w:t>
      </w:r>
      <w:r w:rsidR="0007746C" w:rsidRPr="005C3814">
        <w:rPr>
          <w:lang w:val="fr-FR"/>
        </w:rPr>
        <w:t xml:space="preserve">égion Afrique, la République de Corée et le Rwanda </w:t>
      </w:r>
      <w:r w:rsidR="0007746C" w:rsidRPr="005C3814">
        <w:rPr>
          <w:bCs/>
          <w:lang w:val="fr-FR"/>
        </w:rPr>
        <w:t>interviennent dans la discussion</w:t>
      </w:r>
      <w:r w:rsidR="0007746C" w:rsidRPr="005C3814">
        <w:rPr>
          <w:lang w:val="fr-FR"/>
        </w:rPr>
        <w:t>.</w:t>
      </w:r>
    </w:p>
    <w:p w14:paraId="10E5F5F3" w14:textId="77777777" w:rsidR="0007746C" w:rsidRPr="005C3814" w:rsidRDefault="0007746C" w:rsidP="0007746C">
      <w:pPr>
        <w:spacing w:after="0" w:line="240" w:lineRule="auto"/>
        <w:ind w:left="720" w:hanging="720"/>
        <w:rPr>
          <w:lang w:val="fr-FR"/>
        </w:rPr>
      </w:pPr>
    </w:p>
    <w:p w14:paraId="61192F89" w14:textId="77777777" w:rsidR="0007746C" w:rsidRPr="005C3814" w:rsidRDefault="0007746C" w:rsidP="0007746C">
      <w:pPr>
        <w:spacing w:after="0" w:line="240" w:lineRule="auto"/>
        <w:contextualSpacing/>
        <w:rPr>
          <w:rFonts w:cstheme="minorHAnsi"/>
          <w:b/>
          <w:lang w:val="fr-FR"/>
        </w:rPr>
      </w:pPr>
      <w:r w:rsidRPr="005C3814">
        <w:rPr>
          <w:rFonts w:cstheme="minorHAnsi"/>
          <w:b/>
          <w:lang w:val="fr-FR"/>
        </w:rPr>
        <w:t xml:space="preserve">Décision SC62-33 : Le Comité permanent prend note </w:t>
      </w:r>
      <w:r>
        <w:rPr>
          <w:rFonts w:cstheme="minorHAnsi"/>
          <w:b/>
          <w:lang w:val="fr-FR"/>
        </w:rPr>
        <w:t xml:space="preserve">des </w:t>
      </w:r>
      <w:r w:rsidRPr="00CF41FC">
        <w:rPr>
          <w:rFonts w:cstheme="minorHAnsi"/>
          <w:b/>
          <w:lang w:val="fr-FR"/>
        </w:rPr>
        <w:t>progrès réalisés par les Parties contractantes dans l</w:t>
      </w:r>
      <w:r>
        <w:rPr>
          <w:rFonts w:cstheme="minorHAnsi"/>
          <w:b/>
          <w:lang w:val="fr-FR"/>
        </w:rPr>
        <w:t>’</w:t>
      </w:r>
      <w:r w:rsidRPr="00CF41FC">
        <w:rPr>
          <w:rFonts w:cstheme="minorHAnsi"/>
          <w:b/>
          <w:lang w:val="fr-FR"/>
        </w:rPr>
        <w:t xml:space="preserve">achèvement des inventaires nationaux des zones humides et </w:t>
      </w:r>
      <w:r>
        <w:rPr>
          <w:rFonts w:cstheme="minorHAnsi"/>
          <w:b/>
          <w:lang w:val="fr-FR"/>
        </w:rPr>
        <w:t>d</w:t>
      </w:r>
      <w:r w:rsidRPr="00CF41FC">
        <w:rPr>
          <w:rFonts w:cstheme="minorHAnsi"/>
          <w:b/>
          <w:lang w:val="fr-FR"/>
        </w:rPr>
        <w:t xml:space="preserve">es </w:t>
      </w:r>
      <w:r>
        <w:rPr>
          <w:rFonts w:cstheme="minorHAnsi"/>
          <w:b/>
          <w:lang w:val="fr-FR"/>
        </w:rPr>
        <w:t>enseignements tirés de l’expérience.</w:t>
      </w:r>
    </w:p>
    <w:p w14:paraId="1E4186D2" w14:textId="77777777" w:rsidR="0007746C" w:rsidRPr="005C3814" w:rsidRDefault="0007746C" w:rsidP="0007746C">
      <w:pPr>
        <w:spacing w:after="0" w:line="240" w:lineRule="auto"/>
        <w:contextualSpacing/>
        <w:rPr>
          <w:rFonts w:cstheme="minorHAnsi"/>
          <w:b/>
          <w:lang w:val="fr-FR"/>
        </w:rPr>
      </w:pPr>
    </w:p>
    <w:p w14:paraId="52DDD6EB" w14:textId="77777777" w:rsidR="0007746C" w:rsidRPr="005C3814" w:rsidRDefault="0007746C" w:rsidP="0007746C">
      <w:pPr>
        <w:spacing w:after="0" w:line="240" w:lineRule="auto"/>
        <w:contextualSpacing/>
        <w:rPr>
          <w:rFonts w:cstheme="minorHAnsi"/>
          <w:b/>
          <w:lang w:val="fr-FR"/>
        </w:rPr>
      </w:pPr>
      <w:r w:rsidRPr="005C3814">
        <w:rPr>
          <w:rFonts w:cstheme="minorHAnsi"/>
          <w:b/>
          <w:lang w:val="fr-FR"/>
        </w:rPr>
        <w:t xml:space="preserve">Décision SC62-34 : Le Comité permanent prend note </w:t>
      </w:r>
      <w:r>
        <w:rPr>
          <w:rFonts w:cstheme="minorHAnsi"/>
          <w:b/>
          <w:lang w:val="fr-FR"/>
        </w:rPr>
        <w:t xml:space="preserve">des </w:t>
      </w:r>
      <w:r w:rsidRPr="00CF41FC">
        <w:rPr>
          <w:rFonts w:cstheme="minorHAnsi"/>
          <w:b/>
          <w:lang w:val="fr-FR"/>
        </w:rPr>
        <w:t xml:space="preserve">prochaines étapes de </w:t>
      </w:r>
      <w:r>
        <w:rPr>
          <w:rFonts w:cstheme="minorHAnsi"/>
          <w:b/>
          <w:lang w:val="fr-FR"/>
        </w:rPr>
        <w:t>l’aide apportée</w:t>
      </w:r>
      <w:r w:rsidRPr="00CF41FC">
        <w:rPr>
          <w:rFonts w:cstheme="minorHAnsi"/>
          <w:b/>
          <w:lang w:val="fr-FR"/>
        </w:rPr>
        <w:t xml:space="preserve"> par le Secrétariat aux Parties contractantes pour ach</w:t>
      </w:r>
      <w:r>
        <w:rPr>
          <w:rFonts w:cstheme="minorHAnsi"/>
          <w:b/>
          <w:lang w:val="fr-FR"/>
        </w:rPr>
        <w:t>ever l</w:t>
      </w:r>
      <w:r w:rsidRPr="00CF41FC">
        <w:rPr>
          <w:rFonts w:cstheme="minorHAnsi"/>
          <w:b/>
          <w:lang w:val="fr-FR"/>
        </w:rPr>
        <w:t>es inventaires nationaux des zones humides</w:t>
      </w:r>
      <w:r>
        <w:rPr>
          <w:rFonts w:cstheme="minorHAnsi"/>
          <w:b/>
          <w:lang w:val="fr-FR"/>
        </w:rPr>
        <w:t xml:space="preserve"> et prend en considération les </w:t>
      </w:r>
      <w:r w:rsidRPr="00CF41FC">
        <w:rPr>
          <w:rFonts w:cstheme="minorHAnsi"/>
          <w:b/>
          <w:lang w:val="fr-FR"/>
        </w:rPr>
        <w:t>amendements proposés.</w:t>
      </w:r>
    </w:p>
    <w:p w14:paraId="238ACACB" w14:textId="77777777" w:rsidR="0007746C" w:rsidRPr="005C3814" w:rsidRDefault="0007746C" w:rsidP="0007746C">
      <w:pPr>
        <w:spacing w:after="0" w:line="240" w:lineRule="auto"/>
        <w:contextualSpacing/>
        <w:rPr>
          <w:rFonts w:cstheme="minorHAnsi"/>
          <w:b/>
          <w:lang w:val="fr-FR"/>
        </w:rPr>
      </w:pPr>
    </w:p>
    <w:p w14:paraId="76CA6B2E" w14:textId="77777777" w:rsidR="0007746C" w:rsidRPr="0089360C" w:rsidRDefault="0007746C" w:rsidP="0007746C">
      <w:pPr>
        <w:keepNext/>
        <w:spacing w:after="0" w:line="240" w:lineRule="auto"/>
        <w:rPr>
          <w:rFonts w:cstheme="minorHAnsi"/>
          <w:b/>
          <w:bCs/>
          <w:lang w:val="fr-FR"/>
        </w:rPr>
      </w:pPr>
      <w:r w:rsidRPr="0089360C">
        <w:rPr>
          <w:rFonts w:cstheme="minorHAnsi"/>
          <w:b/>
          <w:lang w:val="fr-FR"/>
        </w:rPr>
        <w:t xml:space="preserve">15:00 – 18:00 </w:t>
      </w:r>
      <w:r w:rsidRPr="0089360C">
        <w:rPr>
          <w:rFonts w:cstheme="minorHAnsi"/>
          <w:b/>
          <w:lang w:val="fr-FR"/>
        </w:rPr>
        <w:tab/>
      </w:r>
      <w:r w:rsidRPr="00EE162B">
        <w:rPr>
          <w:rFonts w:cstheme="minorHAnsi"/>
          <w:b/>
          <w:lang w:val="fr-CH"/>
        </w:rPr>
        <w:t>Séance plénière du Comité permanent</w:t>
      </w:r>
    </w:p>
    <w:p w14:paraId="4E7EBC58" w14:textId="77777777" w:rsidR="0007746C" w:rsidRPr="0089360C" w:rsidRDefault="0007746C" w:rsidP="0007746C">
      <w:pPr>
        <w:keepNext/>
        <w:spacing w:after="0" w:line="240" w:lineRule="auto"/>
        <w:rPr>
          <w:rFonts w:cstheme="minorHAnsi"/>
          <w:lang w:val="fr-FR"/>
        </w:rPr>
      </w:pPr>
    </w:p>
    <w:p w14:paraId="6F0C66E4" w14:textId="77777777" w:rsidR="0007746C" w:rsidRPr="00F45F01"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lang w:val="fr-CH"/>
        </w:rPr>
      </w:pPr>
      <w:r w:rsidRPr="00EE162B">
        <w:rPr>
          <w:rFonts w:cstheme="minorHAnsi"/>
          <w:bCs/>
          <w:lang w:val="fr-CH"/>
        </w:rPr>
        <w:t xml:space="preserve">Point </w:t>
      </w:r>
      <w:r>
        <w:rPr>
          <w:rFonts w:cstheme="minorHAnsi"/>
          <w:bCs/>
          <w:lang w:val="fr-CH"/>
        </w:rPr>
        <w:t>11</w:t>
      </w:r>
      <w:r w:rsidRPr="00EE162B">
        <w:rPr>
          <w:rFonts w:cstheme="minorHAnsi"/>
          <w:bCs/>
          <w:lang w:val="fr-CH"/>
        </w:rPr>
        <w:t xml:space="preserve"> de l’ordre du jour :</w:t>
      </w:r>
      <w:r w:rsidRPr="00425384">
        <w:rPr>
          <w:rFonts w:cstheme="minorHAnsi"/>
          <w:bCs/>
          <w:lang w:val="fr-FR"/>
        </w:rPr>
        <w:t xml:space="preserve"> </w:t>
      </w:r>
      <w:r w:rsidRPr="000C1AD4">
        <w:rPr>
          <w:lang w:val="fr-FR"/>
        </w:rPr>
        <w:t>Rapport du Secrétariat sur le renforcement institutionnel pour soutenir</w:t>
      </w:r>
      <w:r>
        <w:rPr>
          <w:lang w:val="fr-FR"/>
        </w:rPr>
        <w:t xml:space="preserve"> </w:t>
      </w:r>
      <w:r w:rsidRPr="00F45F01">
        <w:rPr>
          <w:lang w:val="fr-CH"/>
        </w:rPr>
        <w:t>l’application de la Convention</w:t>
      </w:r>
    </w:p>
    <w:p w14:paraId="49D41A62" w14:textId="77777777" w:rsidR="0007746C" w:rsidRPr="00F45F01" w:rsidRDefault="0007746C" w:rsidP="0007746C">
      <w:pPr>
        <w:spacing w:after="0" w:line="240" w:lineRule="auto"/>
        <w:ind w:left="567" w:hanging="567"/>
        <w:rPr>
          <w:rFonts w:eastAsia="Calibri" w:cstheme="minorHAnsi"/>
          <w:bCs/>
          <w:lang w:val="fr-CH"/>
        </w:rPr>
      </w:pPr>
    </w:p>
    <w:p w14:paraId="69050E9F" w14:textId="55B4129F" w:rsidR="0007746C" w:rsidRPr="00F45F01" w:rsidRDefault="0007746C" w:rsidP="0007746C">
      <w:pPr>
        <w:spacing w:after="0" w:line="240" w:lineRule="auto"/>
        <w:ind w:left="567" w:hanging="567"/>
        <w:rPr>
          <w:rFonts w:eastAsia="Calibri" w:cstheme="minorHAnsi"/>
          <w:bCs/>
          <w:lang w:val="fr-CH"/>
        </w:rPr>
      </w:pPr>
      <w:r w:rsidRPr="00F45F01">
        <w:rPr>
          <w:rFonts w:eastAsia="Calibri" w:cstheme="minorHAnsi"/>
          <w:bCs/>
          <w:lang w:val="fr-CH"/>
        </w:rPr>
        <w:t>1</w:t>
      </w:r>
      <w:r w:rsidR="00166BFF">
        <w:rPr>
          <w:rFonts w:eastAsia="Calibri" w:cstheme="minorHAnsi"/>
          <w:bCs/>
          <w:lang w:val="fr-CH"/>
        </w:rPr>
        <w:t>00</w:t>
      </w:r>
      <w:r w:rsidRPr="00F45F01">
        <w:rPr>
          <w:rFonts w:eastAsia="Calibri" w:cstheme="minorHAnsi"/>
          <w:bCs/>
          <w:lang w:val="fr-CH"/>
        </w:rPr>
        <w:t>.</w:t>
      </w:r>
      <w:r w:rsidRPr="00F45F01">
        <w:rPr>
          <w:rFonts w:eastAsia="Calibri" w:cstheme="minorHAnsi"/>
          <w:bCs/>
          <w:lang w:val="fr-CH"/>
        </w:rPr>
        <w:tab/>
      </w:r>
      <w:r>
        <w:rPr>
          <w:rFonts w:eastAsia="Calibri" w:cstheme="minorHAnsi"/>
          <w:bCs/>
          <w:lang w:val="fr-CH"/>
        </w:rPr>
        <w:t>L’Afrique du Sud, qui préside le Groupe de travail</w:t>
      </w:r>
      <w:r w:rsidR="00166BFF" w:rsidRPr="00166BFF">
        <w:rPr>
          <w:lang w:val="fr-FR"/>
        </w:rPr>
        <w:t xml:space="preserve"> </w:t>
      </w:r>
      <w:r w:rsidR="00166BFF" w:rsidRPr="000C1AD4">
        <w:rPr>
          <w:lang w:val="fr-FR"/>
        </w:rPr>
        <w:t>sur le renforcement institutionnel</w:t>
      </w:r>
      <w:r>
        <w:rPr>
          <w:rFonts w:eastAsia="Calibri" w:cstheme="minorHAnsi"/>
          <w:bCs/>
          <w:lang w:val="fr-CH"/>
        </w:rPr>
        <w:t xml:space="preserve">, rend compte à la plénière des délibérations </w:t>
      </w:r>
      <w:r w:rsidR="00166BFF">
        <w:rPr>
          <w:rFonts w:eastAsia="Calibri" w:cstheme="minorHAnsi"/>
          <w:bCs/>
          <w:lang w:val="fr-CH"/>
        </w:rPr>
        <w:t>de ce dernier</w:t>
      </w:r>
      <w:r>
        <w:rPr>
          <w:rFonts w:eastAsia="Calibri" w:cstheme="minorHAnsi"/>
          <w:bCs/>
          <w:lang w:val="fr-CH"/>
        </w:rPr>
        <w:t xml:space="preserve">, notant qu’il est près de finaliser ses travaux sur </w:t>
      </w:r>
      <w:r w:rsidRPr="00C9411A">
        <w:rPr>
          <w:rFonts w:eastAsia="Calibri" w:cstheme="minorHAnsi"/>
          <w:bCs/>
          <w:lang w:val="fr-CH"/>
        </w:rPr>
        <w:t>le cahier des charges du Groupe chargé de piloter le processus visant à assurer le renforcement institutionnel pour soutenir l’application de la Convention.</w:t>
      </w:r>
      <w:r w:rsidRPr="00F45F01">
        <w:rPr>
          <w:rFonts w:eastAsia="Calibri" w:cstheme="minorHAnsi"/>
          <w:bCs/>
          <w:lang w:val="fr-CH"/>
        </w:rPr>
        <w:t xml:space="preserve"> </w:t>
      </w:r>
      <w:r>
        <w:rPr>
          <w:rFonts w:eastAsia="Calibri" w:cstheme="minorHAnsi"/>
          <w:bCs/>
          <w:lang w:val="fr-CH"/>
        </w:rPr>
        <w:t>Après quelques modifications rédactionnelles, le projet de cahier des charges sera soumis pour examen au Comité permanent, le vendredi 8 septembre 2023.</w:t>
      </w:r>
    </w:p>
    <w:p w14:paraId="020ECE9F" w14:textId="77777777" w:rsidR="0007746C" w:rsidRPr="00F45F01" w:rsidRDefault="0007746C" w:rsidP="0007746C">
      <w:pPr>
        <w:keepNext/>
        <w:spacing w:after="0" w:line="240" w:lineRule="auto"/>
        <w:rPr>
          <w:rFonts w:cstheme="minorHAnsi"/>
          <w:lang w:val="fr-CH"/>
        </w:rPr>
      </w:pPr>
    </w:p>
    <w:p w14:paraId="0D19499C" w14:textId="77777777" w:rsidR="0007746C" w:rsidRPr="00F45F01"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F45F01">
        <w:rPr>
          <w:rFonts w:cstheme="minorHAnsi"/>
          <w:bCs/>
          <w:lang w:val="fr-CH"/>
        </w:rPr>
        <w:t xml:space="preserve">Point 8.2 de l’ordre du jour : </w:t>
      </w:r>
      <w:r w:rsidRPr="00F45F01">
        <w:rPr>
          <w:lang w:val="fr-CH"/>
        </w:rPr>
        <w:t>Questions financières et budgétaires</w:t>
      </w:r>
      <w:r w:rsidRPr="00F45F01">
        <w:rPr>
          <w:rFonts w:cstheme="minorHAnsi"/>
          <w:bCs/>
          <w:lang w:val="fr-CH"/>
        </w:rPr>
        <w:t xml:space="preserve"> – </w:t>
      </w:r>
      <w:bookmarkStart w:id="4" w:name="_Hlk144983988"/>
      <w:r w:rsidRPr="00F45F01">
        <w:rPr>
          <w:rFonts w:cstheme="minorHAnsi"/>
          <w:bCs/>
          <w:lang w:val="fr-CH"/>
        </w:rPr>
        <w:t xml:space="preserve">Rapport du </w:t>
      </w:r>
      <w:r w:rsidRPr="00F45F01">
        <w:rPr>
          <w:lang w:val="fr-CH"/>
        </w:rPr>
        <w:t>Sous-groupe sur les finances</w:t>
      </w:r>
      <w:bookmarkEnd w:id="4"/>
      <w:r w:rsidRPr="00F45F01">
        <w:rPr>
          <w:lang w:val="fr-CH"/>
        </w:rPr>
        <w:t xml:space="preserve"> </w:t>
      </w:r>
      <w:r w:rsidRPr="00F45F01">
        <w:rPr>
          <w:rFonts w:cstheme="minorHAnsi"/>
          <w:bCs/>
          <w:lang w:val="fr-CH"/>
        </w:rPr>
        <w:t>:</w:t>
      </w:r>
      <w:r>
        <w:rPr>
          <w:rFonts w:cstheme="minorHAnsi"/>
          <w:bCs/>
          <w:lang w:val="fr-CH"/>
        </w:rPr>
        <w:t xml:space="preserve"> </w:t>
      </w:r>
      <w:r w:rsidRPr="00F45F01">
        <w:rPr>
          <w:lang w:val="fr-CH"/>
        </w:rPr>
        <w:t>État des contributions annuelles</w:t>
      </w:r>
    </w:p>
    <w:p w14:paraId="1E29A0B8" w14:textId="77777777" w:rsidR="0007746C" w:rsidRPr="00F45F01" w:rsidRDefault="0007746C" w:rsidP="0007746C">
      <w:pPr>
        <w:spacing w:after="0" w:line="240" w:lineRule="auto"/>
        <w:ind w:left="720" w:hanging="720"/>
        <w:rPr>
          <w:rFonts w:eastAsia="Calibri" w:cstheme="minorHAnsi"/>
          <w:bCs/>
          <w:lang w:val="fr-CH"/>
        </w:rPr>
      </w:pPr>
    </w:p>
    <w:p w14:paraId="3E078269" w14:textId="05282ED3" w:rsidR="0007746C" w:rsidRPr="00F45F01" w:rsidRDefault="00166BFF" w:rsidP="0007746C">
      <w:pPr>
        <w:spacing w:after="0" w:line="240" w:lineRule="auto"/>
        <w:ind w:left="567" w:hanging="567"/>
        <w:rPr>
          <w:rFonts w:eastAsia="Calibri" w:cstheme="minorHAnsi"/>
          <w:bCs/>
          <w:lang w:val="fr-CH"/>
        </w:rPr>
      </w:pPr>
      <w:r>
        <w:rPr>
          <w:rFonts w:eastAsia="Calibri" w:cstheme="minorHAnsi"/>
          <w:bCs/>
          <w:lang w:val="fr-CH"/>
        </w:rPr>
        <w:t>101</w:t>
      </w:r>
      <w:r w:rsidR="0007746C" w:rsidRPr="00F45F01">
        <w:rPr>
          <w:rFonts w:eastAsia="Calibri" w:cstheme="minorHAnsi"/>
          <w:bCs/>
          <w:lang w:val="fr-CH"/>
        </w:rPr>
        <w:t>.</w:t>
      </w:r>
      <w:r w:rsidR="0007746C" w:rsidRPr="00F45F01">
        <w:rPr>
          <w:rFonts w:eastAsia="Calibri" w:cstheme="minorHAnsi"/>
          <w:bCs/>
          <w:lang w:val="fr-CH"/>
        </w:rPr>
        <w:tab/>
      </w:r>
      <w:r w:rsidR="0007746C">
        <w:rPr>
          <w:rFonts w:eastAsia="Calibri" w:cstheme="minorHAnsi"/>
          <w:bCs/>
          <w:lang w:val="fr-CH"/>
        </w:rPr>
        <w:t>Les États</w:t>
      </w:r>
      <w:r w:rsidR="0007746C">
        <w:rPr>
          <w:rFonts w:eastAsia="Calibri" w:cstheme="minorHAnsi"/>
          <w:bCs/>
          <w:lang w:val="fr-CH"/>
        </w:rPr>
        <w:noBreakHyphen/>
        <w:t xml:space="preserve">Unis d’Amérique, qui président le Sous-groupe sur les finances, présentent les sections du </w:t>
      </w:r>
      <w:r w:rsidR="0007746C" w:rsidRPr="00F45F01">
        <w:rPr>
          <w:rFonts w:eastAsia="Calibri" w:cstheme="minorHAnsi"/>
          <w:bCs/>
          <w:lang w:val="fr-CH"/>
        </w:rPr>
        <w:t>document SC62 Com.1 Rev.2</w:t>
      </w:r>
      <w:r w:rsidR="0007746C">
        <w:rPr>
          <w:rFonts w:eastAsia="Calibri" w:cstheme="minorHAnsi"/>
          <w:bCs/>
          <w:lang w:val="fr-CH"/>
        </w:rPr>
        <w:t>,</w:t>
      </w:r>
      <w:r w:rsidR="0007746C" w:rsidRPr="00F45F01">
        <w:rPr>
          <w:rFonts w:eastAsia="Calibri" w:cstheme="minorHAnsi"/>
          <w:bCs/>
          <w:lang w:val="fr-CH"/>
        </w:rPr>
        <w:t xml:space="preserve"> </w:t>
      </w:r>
      <w:r w:rsidR="0007746C" w:rsidRPr="00F45F01">
        <w:rPr>
          <w:rFonts w:eastAsia="Calibri" w:cstheme="minorHAnsi"/>
          <w:bCs/>
          <w:i/>
          <w:iCs/>
          <w:lang w:val="fr-CH"/>
        </w:rPr>
        <w:t>Rapport du Sous-groupe sur les finances</w:t>
      </w:r>
      <w:r w:rsidR="0007746C">
        <w:rPr>
          <w:rFonts w:eastAsia="Calibri" w:cstheme="minorHAnsi"/>
          <w:bCs/>
          <w:lang w:val="fr-CH"/>
        </w:rPr>
        <w:t>,</w:t>
      </w:r>
      <w:r w:rsidR="0007746C" w:rsidRPr="00F45F01">
        <w:rPr>
          <w:rFonts w:eastAsia="Calibri" w:cstheme="minorHAnsi"/>
          <w:bCs/>
          <w:i/>
          <w:iCs/>
          <w:lang w:val="fr-CH"/>
        </w:rPr>
        <w:t xml:space="preserve"> </w:t>
      </w:r>
      <w:r w:rsidR="0007746C" w:rsidRPr="00F45F01">
        <w:rPr>
          <w:rFonts w:eastAsia="Calibri" w:cstheme="minorHAnsi"/>
          <w:bCs/>
          <w:iCs/>
          <w:lang w:val="fr-CH"/>
        </w:rPr>
        <w:t>co</w:t>
      </w:r>
      <w:r w:rsidR="0007746C">
        <w:rPr>
          <w:rFonts w:eastAsia="Calibri" w:cstheme="minorHAnsi"/>
          <w:bCs/>
          <w:iCs/>
          <w:lang w:val="fr-CH"/>
        </w:rPr>
        <w:t>uvrant l’état des contributions annuelles, et mentionnent les discussions pertinentes du Sous</w:t>
      </w:r>
      <w:r w:rsidR="0007746C">
        <w:rPr>
          <w:rFonts w:eastAsia="Calibri" w:cstheme="minorHAnsi"/>
          <w:bCs/>
          <w:iCs/>
          <w:lang w:val="fr-CH"/>
        </w:rPr>
        <w:noBreakHyphen/>
        <w:t xml:space="preserve">groupe et </w:t>
      </w:r>
      <w:r>
        <w:rPr>
          <w:rFonts w:eastAsia="Calibri" w:cstheme="minorHAnsi"/>
          <w:bCs/>
          <w:iCs/>
          <w:lang w:val="fr-CH"/>
        </w:rPr>
        <w:t>s</w:t>
      </w:r>
      <w:r w:rsidR="0007746C">
        <w:rPr>
          <w:rFonts w:eastAsia="Calibri" w:cstheme="minorHAnsi"/>
          <w:bCs/>
          <w:iCs/>
          <w:lang w:val="fr-CH"/>
        </w:rPr>
        <w:t>es recommandations au Comité permanent.</w:t>
      </w:r>
    </w:p>
    <w:p w14:paraId="4122BCFD" w14:textId="77777777" w:rsidR="0007746C" w:rsidRPr="00F45F01" w:rsidRDefault="0007746C" w:rsidP="0007746C">
      <w:pPr>
        <w:spacing w:after="0" w:line="240" w:lineRule="auto"/>
        <w:ind w:left="567" w:hanging="567"/>
        <w:rPr>
          <w:rFonts w:eastAsia="Calibri" w:cstheme="minorHAnsi"/>
          <w:bCs/>
          <w:lang w:val="fr-CH"/>
        </w:rPr>
      </w:pPr>
    </w:p>
    <w:p w14:paraId="6CB918F7" w14:textId="6E56B0D0" w:rsidR="0007746C" w:rsidRPr="00F45F01" w:rsidRDefault="00166BFF" w:rsidP="0007746C">
      <w:pPr>
        <w:spacing w:after="0" w:line="240" w:lineRule="auto"/>
        <w:ind w:left="567" w:hanging="567"/>
        <w:rPr>
          <w:rFonts w:eastAsia="Calibri" w:cstheme="minorHAnsi"/>
          <w:bCs/>
          <w:lang w:val="fr-CH"/>
        </w:rPr>
      </w:pPr>
      <w:r>
        <w:rPr>
          <w:rFonts w:eastAsia="Calibri" w:cstheme="minorHAnsi"/>
          <w:bCs/>
          <w:lang w:val="fr-CH"/>
        </w:rPr>
        <w:t>102</w:t>
      </w:r>
      <w:r w:rsidR="0007746C" w:rsidRPr="00F45F01">
        <w:rPr>
          <w:rFonts w:eastAsia="Calibri" w:cstheme="minorHAnsi"/>
          <w:bCs/>
          <w:lang w:val="fr-CH"/>
        </w:rPr>
        <w:t>.</w:t>
      </w:r>
      <w:r w:rsidR="0007746C" w:rsidRPr="00F45F01">
        <w:rPr>
          <w:rFonts w:eastAsia="Calibri" w:cstheme="minorHAnsi"/>
          <w:bCs/>
          <w:lang w:val="fr-CH"/>
        </w:rPr>
        <w:tab/>
      </w:r>
      <w:r w:rsidR="0007746C">
        <w:rPr>
          <w:rFonts w:eastAsia="Calibri" w:cstheme="minorHAnsi"/>
          <w:bCs/>
          <w:lang w:val="fr-CH"/>
        </w:rPr>
        <w:t>Deux membres du Comité permanent suggèrent de régler le problème des arriérés de contributions nationales, notant que l’obligation de prévoir une provision dans le budget entrave les progrès d’application de la Convention et proposant que le Sous</w:t>
      </w:r>
      <w:r w:rsidR="0007746C">
        <w:rPr>
          <w:rFonts w:eastAsia="Calibri" w:cstheme="minorHAnsi"/>
          <w:bCs/>
          <w:lang w:val="fr-CH"/>
        </w:rPr>
        <w:noBreakHyphen/>
        <w:t xml:space="preserve">groupe sur les finances ou un nouveau groupe de travail soit chargé d’élaborer un projet de résolution sur la question, pour examen par la </w:t>
      </w:r>
      <w:r w:rsidR="0007746C" w:rsidRPr="00F45F01">
        <w:rPr>
          <w:rFonts w:eastAsia="Calibri" w:cstheme="minorHAnsi"/>
          <w:bCs/>
          <w:lang w:val="fr-CH"/>
        </w:rPr>
        <w:t>COP15.</w:t>
      </w:r>
    </w:p>
    <w:p w14:paraId="13FF9A85" w14:textId="77777777" w:rsidR="0007746C" w:rsidRPr="00F45F01" w:rsidRDefault="0007746C" w:rsidP="0007746C">
      <w:pPr>
        <w:spacing w:after="0" w:line="240" w:lineRule="auto"/>
        <w:ind w:left="567" w:hanging="567"/>
        <w:rPr>
          <w:rFonts w:eastAsia="Calibri" w:cstheme="minorHAnsi"/>
          <w:bCs/>
          <w:lang w:val="fr-CH"/>
        </w:rPr>
      </w:pPr>
    </w:p>
    <w:p w14:paraId="4FD78B40" w14:textId="3C25321C" w:rsidR="0007746C" w:rsidRPr="00F45F01" w:rsidRDefault="00944D92" w:rsidP="0007746C">
      <w:pPr>
        <w:spacing w:after="0" w:line="240" w:lineRule="auto"/>
        <w:ind w:left="567" w:hanging="567"/>
        <w:rPr>
          <w:rFonts w:eastAsia="Calibri" w:cstheme="minorHAnsi"/>
          <w:bCs/>
          <w:lang w:val="fr-CH"/>
        </w:rPr>
      </w:pPr>
      <w:r>
        <w:rPr>
          <w:rFonts w:eastAsia="Calibri" w:cstheme="minorHAnsi"/>
          <w:bCs/>
          <w:lang w:val="fr-CH"/>
        </w:rPr>
        <w:t>103</w:t>
      </w:r>
      <w:r w:rsidR="0007746C" w:rsidRPr="00F45F01">
        <w:rPr>
          <w:rFonts w:eastAsia="Calibri" w:cstheme="minorHAnsi"/>
          <w:bCs/>
          <w:lang w:val="fr-CH"/>
        </w:rPr>
        <w:t>.</w:t>
      </w:r>
      <w:r w:rsidR="0007746C" w:rsidRPr="00F45F01">
        <w:rPr>
          <w:rFonts w:eastAsia="Calibri" w:cstheme="minorHAnsi"/>
          <w:bCs/>
          <w:lang w:val="fr-CH"/>
        </w:rPr>
        <w:tab/>
      </w:r>
      <w:r w:rsidR="0007746C">
        <w:rPr>
          <w:rFonts w:eastAsia="Calibri" w:cstheme="minorHAnsi"/>
          <w:bCs/>
          <w:lang w:val="fr-CH"/>
        </w:rPr>
        <w:t>D’autres membres du Comité permanent notent différentes raisons qui expliquent l’existence d’arriérés, y compris des problèmes administratifs et des sanctions, et s’élèvent contre la prise de mesures punitives qui pourraient décourager l’engagement auprès de la Convention.</w:t>
      </w:r>
    </w:p>
    <w:p w14:paraId="1B05F32A" w14:textId="77777777" w:rsidR="0007746C" w:rsidRPr="00F45F01" w:rsidRDefault="0007746C" w:rsidP="0007746C">
      <w:pPr>
        <w:spacing w:after="0" w:line="240" w:lineRule="auto"/>
        <w:ind w:left="567" w:hanging="567"/>
        <w:rPr>
          <w:rFonts w:eastAsia="Calibri" w:cstheme="minorHAnsi"/>
          <w:bCs/>
          <w:lang w:val="fr-CH"/>
        </w:rPr>
      </w:pPr>
    </w:p>
    <w:p w14:paraId="4E4E4EB9" w14:textId="38F1C064" w:rsidR="0007746C" w:rsidRPr="00F45F01" w:rsidRDefault="00944D92" w:rsidP="0007746C">
      <w:pPr>
        <w:spacing w:after="0" w:line="240" w:lineRule="auto"/>
        <w:ind w:left="567" w:hanging="567"/>
        <w:rPr>
          <w:rFonts w:eastAsia="Calibri" w:cstheme="minorHAnsi"/>
          <w:bCs/>
          <w:lang w:val="fr-CH"/>
        </w:rPr>
      </w:pPr>
      <w:r>
        <w:rPr>
          <w:rFonts w:eastAsia="Calibri" w:cstheme="minorHAnsi"/>
          <w:bCs/>
          <w:lang w:val="fr-CH"/>
        </w:rPr>
        <w:t>104</w:t>
      </w:r>
      <w:r w:rsidR="0007746C" w:rsidRPr="00F45F01">
        <w:rPr>
          <w:rFonts w:eastAsia="Calibri" w:cstheme="minorHAnsi"/>
          <w:bCs/>
          <w:lang w:val="fr-CH"/>
        </w:rPr>
        <w:t>.</w:t>
      </w:r>
      <w:r w:rsidR="0007746C" w:rsidRPr="00F45F01">
        <w:rPr>
          <w:rFonts w:eastAsia="Calibri" w:cstheme="minorHAnsi"/>
          <w:bCs/>
          <w:lang w:val="fr-CH"/>
        </w:rPr>
        <w:tab/>
      </w:r>
      <w:r w:rsidR="0007746C">
        <w:rPr>
          <w:rFonts w:eastAsia="Calibri" w:cstheme="minorHAnsi"/>
          <w:bCs/>
          <w:lang w:val="fr-CH"/>
        </w:rPr>
        <w:t>Le Président du Comité permanent suggère</w:t>
      </w:r>
      <w:r>
        <w:rPr>
          <w:rFonts w:eastAsia="Calibri" w:cstheme="minorHAnsi"/>
          <w:bCs/>
          <w:lang w:val="fr-CH"/>
        </w:rPr>
        <w:t xml:space="preserve"> </w:t>
      </w:r>
      <w:r w:rsidR="0007746C">
        <w:rPr>
          <w:rFonts w:eastAsia="Calibri" w:cstheme="minorHAnsi"/>
          <w:bCs/>
          <w:lang w:val="fr-CH"/>
        </w:rPr>
        <w:t>que la discussion soit reflétée dans le rapport de la Réunion</w:t>
      </w:r>
      <w:r>
        <w:rPr>
          <w:rFonts w:eastAsia="Calibri" w:cstheme="minorHAnsi"/>
          <w:bCs/>
          <w:lang w:val="fr-CH"/>
        </w:rPr>
        <w:t xml:space="preserve"> et les délégués partagent le même avis</w:t>
      </w:r>
      <w:r w:rsidR="0007746C">
        <w:rPr>
          <w:rFonts w:eastAsia="Calibri" w:cstheme="minorHAnsi"/>
          <w:bCs/>
          <w:lang w:val="fr-CH"/>
        </w:rPr>
        <w:t>.</w:t>
      </w:r>
    </w:p>
    <w:p w14:paraId="2D2EFF73" w14:textId="77777777" w:rsidR="0007746C" w:rsidRPr="00F45F01" w:rsidRDefault="0007746C" w:rsidP="0007746C">
      <w:pPr>
        <w:spacing w:after="0" w:line="240" w:lineRule="auto"/>
        <w:ind w:left="567" w:hanging="567"/>
        <w:rPr>
          <w:rFonts w:eastAsia="Calibri" w:cstheme="minorHAnsi"/>
          <w:bCs/>
          <w:lang w:val="fr-CH"/>
        </w:rPr>
      </w:pPr>
    </w:p>
    <w:p w14:paraId="7F0ABC5C" w14:textId="631C1C33" w:rsidR="0007746C" w:rsidRPr="00F45F01" w:rsidRDefault="00944D92" w:rsidP="0007746C">
      <w:pPr>
        <w:spacing w:after="0" w:line="240" w:lineRule="auto"/>
        <w:ind w:left="567" w:hanging="567"/>
        <w:rPr>
          <w:rFonts w:eastAsia="Calibri" w:cstheme="minorHAnsi"/>
          <w:bCs/>
          <w:lang w:val="fr-CH"/>
        </w:rPr>
      </w:pPr>
      <w:r>
        <w:rPr>
          <w:rFonts w:eastAsia="Calibri" w:cstheme="minorHAnsi"/>
          <w:bCs/>
          <w:lang w:val="fr-CH"/>
        </w:rPr>
        <w:t>105</w:t>
      </w:r>
      <w:r w:rsidR="0007746C" w:rsidRPr="00F45F01">
        <w:rPr>
          <w:rFonts w:eastAsia="Calibri" w:cstheme="minorHAnsi"/>
          <w:bCs/>
          <w:lang w:val="fr-CH"/>
        </w:rPr>
        <w:t>.</w:t>
      </w:r>
      <w:r w:rsidR="0007746C" w:rsidRPr="00F45F01">
        <w:rPr>
          <w:rFonts w:eastAsia="Calibri" w:cstheme="minorHAnsi"/>
          <w:bCs/>
          <w:lang w:val="fr-CH"/>
        </w:rPr>
        <w:tab/>
      </w:r>
      <w:r w:rsidR="0007746C">
        <w:rPr>
          <w:rFonts w:eastAsia="Calibri" w:cstheme="minorHAnsi"/>
          <w:bCs/>
          <w:lang w:val="fr-CH"/>
        </w:rPr>
        <w:t>Le Brésil, la Colombie, l’Iran (République islamique d’), le Samoa, la Suède, la Suisse et le Zimbabwe interviennent dans la discussion.</w:t>
      </w:r>
    </w:p>
    <w:p w14:paraId="59E9109A" w14:textId="77777777" w:rsidR="0007746C" w:rsidRPr="00F45F01" w:rsidRDefault="0007746C" w:rsidP="0007746C">
      <w:pPr>
        <w:spacing w:after="0" w:line="240" w:lineRule="auto"/>
        <w:ind w:left="567" w:hanging="567"/>
        <w:rPr>
          <w:rFonts w:eastAsia="Calibri" w:cstheme="minorHAnsi"/>
          <w:bCs/>
          <w:lang w:val="fr-CH"/>
        </w:rPr>
      </w:pPr>
    </w:p>
    <w:p w14:paraId="5D2ED576"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lastRenderedPageBreak/>
        <w:t>Décision SC62-35 : Le Comité permanent prend note de l’état des contributions annuelles.</w:t>
      </w:r>
    </w:p>
    <w:p w14:paraId="68BFF0D2" w14:textId="77777777" w:rsidR="0007746C" w:rsidRPr="00161652" w:rsidRDefault="0007746C" w:rsidP="0007746C">
      <w:pPr>
        <w:spacing w:after="0" w:line="240" w:lineRule="auto"/>
        <w:contextualSpacing/>
        <w:rPr>
          <w:rFonts w:cstheme="minorHAnsi"/>
          <w:b/>
          <w:lang w:val="fr-FR"/>
        </w:rPr>
      </w:pPr>
    </w:p>
    <w:p w14:paraId="2686AA24"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t xml:space="preserve">Décision SC62-36 : Le Comité permanent prend note </w:t>
      </w:r>
      <w:r w:rsidRPr="00161652">
        <w:rPr>
          <w:rFonts w:cstheme="minorHAnsi"/>
          <w:b/>
          <w:lang w:val="fr-CH"/>
        </w:rPr>
        <w:t xml:space="preserve">des mesures énumérées aux paragraphes 12 et 13 du document SC62 Doc.8.2 </w:t>
      </w:r>
      <w:r w:rsidRPr="00161652">
        <w:rPr>
          <w:rFonts w:cstheme="minorHAnsi"/>
          <w:b/>
          <w:bCs/>
          <w:lang w:val="fr-CH"/>
        </w:rPr>
        <w:t>sur l’approche de groupe concernant les arriérés de contributions dans le cadre du processus de vérification</w:t>
      </w:r>
      <w:r w:rsidRPr="00161652">
        <w:rPr>
          <w:rFonts w:cstheme="minorHAnsi"/>
          <w:b/>
          <w:lang w:val="fr-FR"/>
        </w:rPr>
        <w:t>.</w:t>
      </w:r>
    </w:p>
    <w:p w14:paraId="1739F89A" w14:textId="77777777" w:rsidR="0007746C" w:rsidRPr="00161652" w:rsidRDefault="0007746C" w:rsidP="0007746C">
      <w:pPr>
        <w:spacing w:after="0" w:line="240" w:lineRule="auto"/>
        <w:contextualSpacing/>
        <w:rPr>
          <w:rFonts w:cstheme="minorHAnsi"/>
          <w:b/>
          <w:lang w:val="fr-FR"/>
        </w:rPr>
      </w:pPr>
    </w:p>
    <w:p w14:paraId="2602F766"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t xml:space="preserve">Décision SC62-37 : Le Comité permanent prend note des mesures énumérées aux paragraphes 15, 17, 18 et 19 du document SC62 Doc.8.2 en vue de continuer d’encourager le versement des contributions annuelles par les Parties contractantes. </w:t>
      </w:r>
    </w:p>
    <w:p w14:paraId="5AD9DA85" w14:textId="77777777" w:rsidR="0007746C" w:rsidRPr="00161652" w:rsidRDefault="0007746C" w:rsidP="0007746C">
      <w:pPr>
        <w:spacing w:after="0" w:line="240" w:lineRule="auto"/>
        <w:contextualSpacing/>
        <w:rPr>
          <w:rFonts w:cstheme="minorHAnsi"/>
          <w:b/>
          <w:lang w:val="fr-FR"/>
        </w:rPr>
      </w:pPr>
    </w:p>
    <w:p w14:paraId="72A111AE" w14:textId="77777777" w:rsidR="0007746C" w:rsidRPr="00161652" w:rsidRDefault="0007746C" w:rsidP="0007746C">
      <w:pPr>
        <w:spacing w:after="0" w:line="240" w:lineRule="auto"/>
        <w:contextualSpacing/>
        <w:rPr>
          <w:rFonts w:cstheme="minorHAnsi"/>
          <w:b/>
          <w:lang w:val="fr-FR"/>
        </w:rPr>
      </w:pPr>
      <w:r w:rsidRPr="00161652">
        <w:rPr>
          <w:rFonts w:cstheme="minorHAnsi"/>
          <w:b/>
          <w:lang w:val="fr-FR"/>
        </w:rPr>
        <w:t>Décision SC62-38 : Le Comité permanent prend note des changements dans les contributions annuelles à recevoir et dans les provisions annuelles pour les contributions à recevoir.</w:t>
      </w:r>
    </w:p>
    <w:p w14:paraId="28303999" w14:textId="77777777" w:rsidR="0007746C" w:rsidRPr="00161652" w:rsidRDefault="0007746C" w:rsidP="0007746C">
      <w:pPr>
        <w:spacing w:after="0" w:line="240" w:lineRule="auto"/>
        <w:contextualSpacing/>
        <w:rPr>
          <w:rFonts w:cstheme="minorHAnsi"/>
          <w:b/>
          <w:lang w:val="fr-FR"/>
        </w:rPr>
      </w:pPr>
    </w:p>
    <w:p w14:paraId="5D1E5FF2" w14:textId="77777777" w:rsidR="0007746C" w:rsidRPr="000705A3" w:rsidRDefault="0007746C" w:rsidP="0007746C">
      <w:pPr>
        <w:spacing w:after="0" w:line="240" w:lineRule="auto"/>
        <w:rPr>
          <w:b/>
          <w:bCs/>
          <w:lang w:val="fr-FR"/>
        </w:rPr>
      </w:pPr>
      <w:r w:rsidRPr="00161652">
        <w:rPr>
          <w:rFonts w:cstheme="minorHAnsi"/>
          <w:b/>
          <w:lang w:val="fr-FR"/>
        </w:rPr>
        <w:t xml:space="preserve">Décision </w:t>
      </w:r>
      <w:r w:rsidRPr="00161652">
        <w:rPr>
          <w:b/>
          <w:bCs/>
          <w:lang w:val="fr-FR"/>
        </w:rPr>
        <w:t xml:space="preserve">SC62-39 : </w:t>
      </w:r>
      <w:r w:rsidRPr="00161652">
        <w:rPr>
          <w:rFonts w:cstheme="minorHAnsi"/>
          <w:b/>
          <w:lang w:val="fr-FR"/>
        </w:rPr>
        <w:t xml:space="preserve">Le Comité permanent prend note </w:t>
      </w:r>
      <w:r w:rsidRPr="00161652">
        <w:rPr>
          <w:b/>
          <w:bCs/>
          <w:lang w:val="fr-FR"/>
        </w:rPr>
        <w:t>de l’état actuel des contributions volontaires reçues des Parties contractantes de la région Afrique et décrites au paragraphe 22 du document SC62 Doc.8.2.</w:t>
      </w:r>
    </w:p>
    <w:p w14:paraId="7153BE0C" w14:textId="77777777" w:rsidR="0007746C" w:rsidRPr="000705A3" w:rsidRDefault="0007746C" w:rsidP="0007746C">
      <w:pPr>
        <w:spacing w:after="0" w:line="240" w:lineRule="auto"/>
        <w:rPr>
          <w:b/>
          <w:bCs/>
          <w:lang w:val="fr-FR"/>
        </w:rPr>
      </w:pPr>
    </w:p>
    <w:p w14:paraId="34AECB38" w14:textId="77777777" w:rsidR="0007746C" w:rsidRPr="0045049B"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FR"/>
        </w:rPr>
      </w:pPr>
      <w:r w:rsidRPr="0089360C">
        <w:rPr>
          <w:rFonts w:cstheme="minorHAnsi"/>
          <w:bCs/>
          <w:lang w:val="fr-FR"/>
        </w:rPr>
        <w:t>Point 8.</w:t>
      </w:r>
      <w:r>
        <w:rPr>
          <w:rFonts w:cstheme="minorHAnsi"/>
          <w:bCs/>
          <w:lang w:val="fr-FR"/>
        </w:rPr>
        <w:t>1</w:t>
      </w:r>
      <w:r w:rsidRPr="0089360C">
        <w:rPr>
          <w:rFonts w:cstheme="minorHAnsi"/>
          <w:bCs/>
          <w:lang w:val="fr-FR"/>
        </w:rPr>
        <w:t xml:space="preserve"> de l’ordre du jour : </w:t>
      </w:r>
      <w:r w:rsidRPr="0089360C">
        <w:rPr>
          <w:lang w:val="fr-FR"/>
        </w:rPr>
        <w:t>Questions financières et budgétaires</w:t>
      </w:r>
      <w:r w:rsidRPr="0089360C">
        <w:rPr>
          <w:rFonts w:cstheme="minorHAnsi"/>
          <w:bCs/>
          <w:lang w:val="fr-FR"/>
        </w:rPr>
        <w:t xml:space="preserve"> – Ra</w:t>
      </w:r>
      <w:r>
        <w:rPr>
          <w:rFonts w:cstheme="minorHAnsi"/>
          <w:bCs/>
          <w:lang w:val="fr-FR"/>
        </w:rPr>
        <w:t>p</w:t>
      </w:r>
      <w:r w:rsidRPr="0089360C">
        <w:rPr>
          <w:rFonts w:cstheme="minorHAnsi"/>
          <w:bCs/>
          <w:lang w:val="fr-FR"/>
        </w:rPr>
        <w:t xml:space="preserve">port </w:t>
      </w:r>
      <w:r>
        <w:rPr>
          <w:rFonts w:cstheme="minorHAnsi"/>
          <w:bCs/>
          <w:lang w:val="fr-FR"/>
        </w:rPr>
        <w:t>du</w:t>
      </w:r>
      <w:r w:rsidRPr="0089360C">
        <w:rPr>
          <w:rFonts w:cstheme="minorHAnsi"/>
          <w:bCs/>
          <w:lang w:val="fr-FR"/>
        </w:rPr>
        <w:t xml:space="preserve"> </w:t>
      </w:r>
      <w:r w:rsidRPr="0089360C">
        <w:rPr>
          <w:lang w:val="fr-FR"/>
        </w:rPr>
        <w:t xml:space="preserve">Sous-groupe sur les finances </w:t>
      </w:r>
      <w:r w:rsidRPr="0089360C">
        <w:rPr>
          <w:rFonts w:cstheme="minorHAnsi"/>
          <w:bCs/>
          <w:lang w:val="fr-FR"/>
        </w:rPr>
        <w:t>:</w:t>
      </w:r>
      <w:r>
        <w:rPr>
          <w:rFonts w:cstheme="minorHAnsi"/>
          <w:bCs/>
          <w:lang w:val="fr-FR"/>
        </w:rPr>
        <w:t xml:space="preserve"> </w:t>
      </w:r>
      <w:r w:rsidRPr="0045049B">
        <w:rPr>
          <w:lang w:val="fr-FR"/>
        </w:rPr>
        <w:t>Rapport sur les questions financières pour 2022 et 2023</w:t>
      </w:r>
    </w:p>
    <w:p w14:paraId="30B6FCBC" w14:textId="77777777" w:rsidR="0007746C" w:rsidRPr="0045049B" w:rsidRDefault="0007746C" w:rsidP="0007746C">
      <w:pPr>
        <w:spacing w:after="0" w:line="240" w:lineRule="auto"/>
        <w:rPr>
          <w:rFonts w:eastAsia="Calibri" w:cstheme="minorHAnsi"/>
          <w:bCs/>
          <w:lang w:val="fr-FR"/>
        </w:rPr>
      </w:pPr>
    </w:p>
    <w:p w14:paraId="770A8685" w14:textId="05C79445" w:rsidR="0007746C" w:rsidRPr="00CC1971" w:rsidRDefault="00944D92" w:rsidP="0007746C">
      <w:pPr>
        <w:spacing w:after="0" w:line="240" w:lineRule="auto"/>
        <w:ind w:left="567" w:hanging="567"/>
        <w:rPr>
          <w:rFonts w:eastAsia="Calibri" w:cstheme="minorHAnsi"/>
          <w:bCs/>
          <w:lang w:val="fr-CH"/>
        </w:rPr>
      </w:pPr>
      <w:r>
        <w:rPr>
          <w:rFonts w:eastAsia="Calibri" w:cstheme="minorHAnsi"/>
          <w:bCs/>
          <w:lang w:val="fr-CH"/>
        </w:rPr>
        <w:t>106</w:t>
      </w:r>
      <w:r w:rsidR="0007746C" w:rsidRPr="00CC1971">
        <w:rPr>
          <w:rFonts w:eastAsia="Calibri" w:cstheme="minorHAnsi"/>
          <w:bCs/>
          <w:lang w:val="fr-CH"/>
        </w:rPr>
        <w:t>.</w:t>
      </w:r>
      <w:r w:rsidR="0007746C" w:rsidRPr="00CC1971">
        <w:rPr>
          <w:rFonts w:eastAsia="Calibri" w:cstheme="minorHAnsi"/>
          <w:bCs/>
          <w:lang w:val="fr-CH"/>
        </w:rPr>
        <w:tab/>
      </w:r>
      <w:r w:rsidR="0007746C">
        <w:rPr>
          <w:rFonts w:eastAsia="Calibri" w:cstheme="minorHAnsi"/>
          <w:bCs/>
          <w:lang w:val="fr-CH"/>
        </w:rPr>
        <w:t xml:space="preserve">Le Président du Sous-groupe sur les finances présente les sections du document </w:t>
      </w:r>
      <w:r w:rsidR="0007746C" w:rsidRPr="00CC1971">
        <w:rPr>
          <w:rFonts w:eastAsia="Calibri" w:cstheme="minorHAnsi"/>
          <w:bCs/>
          <w:lang w:val="fr-CH"/>
        </w:rPr>
        <w:t xml:space="preserve">SC62 Com.1 Rev.2, </w:t>
      </w:r>
      <w:r w:rsidR="0007746C" w:rsidRPr="00161652">
        <w:rPr>
          <w:rFonts w:cstheme="minorHAnsi"/>
          <w:bCs/>
          <w:i/>
          <w:iCs/>
          <w:lang w:val="fr-CH"/>
        </w:rPr>
        <w:t xml:space="preserve">Rapport du </w:t>
      </w:r>
      <w:r w:rsidR="0007746C" w:rsidRPr="00161652">
        <w:rPr>
          <w:i/>
          <w:iCs/>
          <w:lang w:val="fr-CH"/>
        </w:rPr>
        <w:t>Sous-groupe sur les finances</w:t>
      </w:r>
      <w:r w:rsidR="0007746C" w:rsidRPr="00CC1971">
        <w:rPr>
          <w:i/>
          <w:iCs/>
          <w:lang w:val="fr-CH"/>
        </w:rPr>
        <w:t>,</w:t>
      </w:r>
      <w:r w:rsidR="0007746C" w:rsidRPr="00CC1971">
        <w:rPr>
          <w:rFonts w:eastAsia="Calibri" w:cstheme="minorHAnsi"/>
          <w:bCs/>
          <w:lang w:val="fr-CH"/>
        </w:rPr>
        <w:t xml:space="preserve"> </w:t>
      </w:r>
      <w:r w:rsidR="0007746C">
        <w:rPr>
          <w:rFonts w:eastAsia="Calibri" w:cstheme="minorHAnsi"/>
          <w:bCs/>
          <w:lang w:val="fr-CH"/>
        </w:rPr>
        <w:t>concernant les questions financières pour </w:t>
      </w:r>
      <w:r w:rsidR="0007746C" w:rsidRPr="00CC1971">
        <w:rPr>
          <w:rFonts w:eastAsia="Calibri" w:cstheme="minorHAnsi"/>
          <w:bCs/>
          <w:lang w:val="fr-CH"/>
        </w:rPr>
        <w:t xml:space="preserve">2022 </w:t>
      </w:r>
      <w:r w:rsidR="0007746C">
        <w:rPr>
          <w:rFonts w:eastAsia="Calibri" w:cstheme="minorHAnsi"/>
          <w:bCs/>
          <w:lang w:val="fr-CH"/>
        </w:rPr>
        <w:t>et </w:t>
      </w:r>
      <w:r w:rsidR="0007746C" w:rsidRPr="00CC1971">
        <w:rPr>
          <w:rFonts w:eastAsia="Calibri" w:cstheme="minorHAnsi"/>
          <w:bCs/>
          <w:lang w:val="fr-CH"/>
        </w:rPr>
        <w:t>2023.</w:t>
      </w:r>
    </w:p>
    <w:p w14:paraId="69D78E6E" w14:textId="77777777" w:rsidR="0007746C" w:rsidRPr="00CC1971" w:rsidRDefault="0007746C" w:rsidP="0007746C">
      <w:pPr>
        <w:spacing w:after="0" w:line="240" w:lineRule="auto"/>
        <w:rPr>
          <w:rFonts w:eastAsia="Calibri" w:cstheme="minorHAnsi"/>
          <w:bCs/>
          <w:lang w:val="fr-CH"/>
        </w:rPr>
      </w:pPr>
    </w:p>
    <w:p w14:paraId="0D800461" w14:textId="73611FE6" w:rsidR="0007746C" w:rsidRPr="00CC1971" w:rsidRDefault="00827019" w:rsidP="0007746C">
      <w:pPr>
        <w:spacing w:after="0" w:line="240" w:lineRule="auto"/>
        <w:ind w:left="567" w:hanging="567"/>
        <w:rPr>
          <w:rFonts w:eastAsia="Calibri" w:cstheme="minorHAnsi"/>
          <w:bCs/>
          <w:lang w:val="fr-CH"/>
        </w:rPr>
      </w:pPr>
      <w:r>
        <w:rPr>
          <w:rFonts w:eastAsia="Calibri" w:cstheme="minorHAnsi"/>
          <w:bCs/>
          <w:lang w:val="fr-CH"/>
        </w:rPr>
        <w:t>107</w:t>
      </w:r>
      <w:r w:rsidR="0007746C" w:rsidRPr="00CC1971">
        <w:rPr>
          <w:rFonts w:eastAsia="Calibri" w:cstheme="minorHAnsi"/>
          <w:bCs/>
          <w:lang w:val="fr-CH"/>
        </w:rPr>
        <w:t>.</w:t>
      </w:r>
      <w:r w:rsidR="0007746C" w:rsidRPr="00CC1971">
        <w:rPr>
          <w:rFonts w:eastAsia="Calibri" w:cstheme="minorHAnsi"/>
          <w:bCs/>
          <w:lang w:val="fr-CH"/>
        </w:rPr>
        <w:tab/>
      </w:r>
      <w:r w:rsidR="0007746C">
        <w:rPr>
          <w:rFonts w:eastAsia="Calibri" w:cstheme="minorHAnsi"/>
          <w:bCs/>
          <w:lang w:val="fr-CH"/>
        </w:rPr>
        <w:t xml:space="preserve">Un membre du Comité permanent, au nom d’un groupe régional de Parties contractantes, suggère d’intégrer, dans les rapports sur les questions financières, des représentations graphiques permettant une visualisation facile des catégories budgétaires. Il demande en outre des éclaircissements et un contexte sur : </w:t>
      </w:r>
      <w:r w:rsidR="0007746C" w:rsidRPr="00161652">
        <w:rPr>
          <w:rFonts w:eastAsia="Calibri" w:cstheme="minorHAnsi"/>
          <w:bCs/>
          <w:lang w:val="fr-CH"/>
        </w:rPr>
        <w:t>le coût des services administratifs de l’UICN dans les états vérifiés, à l’Annexe 1, Tableau 1 du document SC62 Doc.8.1 ;</w:t>
      </w:r>
      <w:r w:rsidR="0007746C" w:rsidRPr="00CC1971">
        <w:rPr>
          <w:rFonts w:eastAsia="Calibri" w:cstheme="minorHAnsi"/>
          <w:bCs/>
          <w:lang w:val="fr-CH"/>
        </w:rPr>
        <w:t xml:space="preserve"> </w:t>
      </w:r>
      <w:r w:rsidR="0007746C">
        <w:rPr>
          <w:rFonts w:eastAsia="Calibri" w:cstheme="minorHAnsi"/>
          <w:bCs/>
          <w:lang w:val="fr-CH"/>
        </w:rPr>
        <w:t>une surutilisation et une sous</w:t>
      </w:r>
      <w:r w:rsidR="0007746C">
        <w:rPr>
          <w:rFonts w:eastAsia="Calibri" w:cstheme="minorHAnsi"/>
          <w:bCs/>
          <w:lang w:val="fr-CH"/>
        </w:rPr>
        <w:noBreakHyphen/>
        <w:t>utilisation des fonds par rapport au budget de certains postes budgétaires en 2022</w:t>
      </w:r>
      <w:r>
        <w:rPr>
          <w:rFonts w:eastAsia="Calibri" w:cstheme="minorHAnsi"/>
          <w:bCs/>
          <w:lang w:val="fr-CH"/>
        </w:rPr>
        <w:t xml:space="preserve"> (</w:t>
      </w:r>
      <w:r w:rsidR="0007746C">
        <w:rPr>
          <w:rFonts w:eastAsia="Calibri" w:cstheme="minorHAnsi"/>
          <w:bCs/>
          <w:lang w:val="fr-CH"/>
        </w:rPr>
        <w:t>Annexe 2</w:t>
      </w:r>
      <w:r>
        <w:rPr>
          <w:rFonts w:eastAsia="Calibri" w:cstheme="minorHAnsi"/>
          <w:bCs/>
          <w:lang w:val="fr-CH"/>
        </w:rPr>
        <w:t>)</w:t>
      </w:r>
      <w:r w:rsidR="0007746C">
        <w:rPr>
          <w:rFonts w:eastAsia="Calibri" w:cstheme="minorHAnsi"/>
          <w:bCs/>
          <w:lang w:val="fr-CH"/>
        </w:rPr>
        <w:t> ; et le montant alloué en soutien aux Initiatives régionales Ramsar dans le budget 2023</w:t>
      </w:r>
      <w:r>
        <w:rPr>
          <w:rFonts w:eastAsia="Calibri" w:cstheme="minorHAnsi"/>
          <w:bCs/>
          <w:lang w:val="fr-CH"/>
        </w:rPr>
        <w:t xml:space="preserve"> (</w:t>
      </w:r>
      <w:r w:rsidR="0007746C">
        <w:rPr>
          <w:rFonts w:eastAsia="Calibri" w:cstheme="minorHAnsi"/>
          <w:bCs/>
          <w:lang w:val="fr-CH"/>
        </w:rPr>
        <w:t>Annexe 4</w:t>
      </w:r>
      <w:r>
        <w:rPr>
          <w:rFonts w:eastAsia="Calibri" w:cstheme="minorHAnsi"/>
          <w:bCs/>
          <w:lang w:val="fr-CH"/>
        </w:rPr>
        <w:t>)</w:t>
      </w:r>
      <w:r w:rsidR="0007746C">
        <w:rPr>
          <w:rFonts w:eastAsia="Calibri" w:cstheme="minorHAnsi"/>
          <w:bCs/>
          <w:lang w:val="fr-CH"/>
        </w:rPr>
        <w:t xml:space="preserve">. </w:t>
      </w:r>
    </w:p>
    <w:p w14:paraId="0334BEBB" w14:textId="77777777" w:rsidR="0007746C" w:rsidRPr="00C9411A" w:rsidRDefault="0007746C" w:rsidP="0007746C">
      <w:pPr>
        <w:spacing w:after="0" w:line="240" w:lineRule="auto"/>
        <w:ind w:left="567" w:hanging="567"/>
        <w:rPr>
          <w:rFonts w:eastAsia="Calibri" w:cstheme="minorHAnsi"/>
          <w:bCs/>
          <w:lang w:val="fr-FR"/>
        </w:rPr>
      </w:pPr>
    </w:p>
    <w:p w14:paraId="1985B5F9" w14:textId="7D9C2622" w:rsidR="0007746C" w:rsidRPr="0038073F" w:rsidRDefault="00827019" w:rsidP="0007746C">
      <w:pPr>
        <w:spacing w:after="0" w:line="240" w:lineRule="auto"/>
        <w:ind w:left="567" w:hanging="567"/>
        <w:rPr>
          <w:rFonts w:eastAsia="Calibri" w:cstheme="minorHAnsi"/>
          <w:bCs/>
          <w:lang w:val="fr-FR"/>
        </w:rPr>
      </w:pPr>
      <w:r>
        <w:rPr>
          <w:rFonts w:eastAsia="Calibri" w:cstheme="minorHAnsi"/>
          <w:bCs/>
          <w:lang w:val="fr-FR"/>
        </w:rPr>
        <w:t>108</w:t>
      </w:r>
      <w:r w:rsidR="0007746C" w:rsidRPr="00161652">
        <w:rPr>
          <w:rFonts w:eastAsia="Calibri" w:cstheme="minorHAnsi"/>
          <w:bCs/>
          <w:lang w:val="fr-FR"/>
        </w:rPr>
        <w:t>.</w:t>
      </w:r>
      <w:r w:rsidR="0007746C" w:rsidRPr="00161652">
        <w:rPr>
          <w:rFonts w:eastAsia="Calibri" w:cstheme="minorHAnsi"/>
          <w:bCs/>
          <w:lang w:val="fr-FR"/>
        </w:rPr>
        <w:tab/>
        <w:t xml:space="preserve">Le Président du Sous-groupe sur les finances et le Secrétariat fournissent les éclaircissements requis, </w:t>
      </w:r>
      <w:r w:rsidR="0007746C">
        <w:rPr>
          <w:rFonts w:eastAsia="Calibri" w:cstheme="minorHAnsi"/>
          <w:bCs/>
          <w:lang w:val="fr-FR"/>
        </w:rPr>
        <w:t xml:space="preserve">convenant de </w:t>
      </w:r>
      <w:r w:rsidR="0007746C" w:rsidRPr="00161652">
        <w:rPr>
          <w:rFonts w:eastAsia="Calibri" w:cstheme="minorHAnsi"/>
          <w:bCs/>
          <w:lang w:val="fr-FR"/>
        </w:rPr>
        <w:t>l’utilité des représentations graphiques.</w:t>
      </w:r>
    </w:p>
    <w:p w14:paraId="39A2C11D" w14:textId="77777777" w:rsidR="0007746C" w:rsidRPr="0038073F" w:rsidRDefault="0007746C" w:rsidP="0007746C">
      <w:pPr>
        <w:spacing w:after="0" w:line="240" w:lineRule="auto"/>
        <w:ind w:left="567" w:hanging="567"/>
        <w:rPr>
          <w:rFonts w:eastAsia="Calibri" w:cstheme="minorHAnsi"/>
          <w:bCs/>
          <w:lang w:val="fr-FR"/>
        </w:rPr>
      </w:pPr>
    </w:p>
    <w:p w14:paraId="33D75419" w14:textId="6A6FF0AB" w:rsidR="0007746C" w:rsidRPr="00F12009" w:rsidRDefault="0007746C" w:rsidP="0007746C">
      <w:pPr>
        <w:spacing w:after="0" w:line="240" w:lineRule="auto"/>
        <w:ind w:left="567" w:hanging="567"/>
        <w:rPr>
          <w:rFonts w:eastAsia="Calibri" w:cstheme="minorHAnsi"/>
          <w:bCs/>
          <w:lang w:val="fr-FR"/>
        </w:rPr>
      </w:pPr>
      <w:r w:rsidRPr="00F12009">
        <w:rPr>
          <w:rFonts w:eastAsia="Calibri" w:cstheme="minorHAnsi"/>
          <w:bCs/>
          <w:lang w:val="fr-FR"/>
        </w:rPr>
        <w:t>10</w:t>
      </w:r>
      <w:r w:rsidR="00827019">
        <w:rPr>
          <w:rFonts w:eastAsia="Calibri" w:cstheme="minorHAnsi"/>
          <w:bCs/>
          <w:lang w:val="fr-FR"/>
        </w:rPr>
        <w:t>9</w:t>
      </w:r>
      <w:r w:rsidRPr="00F12009">
        <w:rPr>
          <w:rFonts w:eastAsia="Calibri" w:cstheme="minorHAnsi"/>
          <w:bCs/>
          <w:lang w:val="fr-FR"/>
        </w:rPr>
        <w:t>.</w:t>
      </w:r>
      <w:r w:rsidRPr="00F12009">
        <w:rPr>
          <w:rFonts w:eastAsia="Calibri" w:cstheme="minorHAnsi"/>
          <w:bCs/>
          <w:lang w:val="fr-FR"/>
        </w:rPr>
        <w:tab/>
        <w:t xml:space="preserve">Le Rwanda, au nom de la région Afrique, intervient dans la discussion. </w:t>
      </w:r>
    </w:p>
    <w:p w14:paraId="66C1FF66" w14:textId="77777777" w:rsidR="0007746C" w:rsidRPr="00F12009" w:rsidRDefault="0007746C" w:rsidP="0007746C">
      <w:pPr>
        <w:spacing w:after="0" w:line="240" w:lineRule="auto"/>
        <w:rPr>
          <w:rFonts w:eastAsia="Calibri" w:cstheme="minorHAnsi"/>
          <w:bCs/>
          <w:lang w:val="fr-FR"/>
        </w:rPr>
      </w:pPr>
    </w:p>
    <w:p w14:paraId="3B6FCE5C" w14:textId="77777777" w:rsidR="0007746C" w:rsidRPr="00F12009" w:rsidRDefault="0007746C" w:rsidP="0007746C">
      <w:pPr>
        <w:spacing w:after="0" w:line="240" w:lineRule="auto"/>
        <w:contextualSpacing/>
        <w:rPr>
          <w:rFonts w:cstheme="minorHAnsi"/>
          <w:b/>
          <w:lang w:val="fr-FR"/>
        </w:rPr>
      </w:pPr>
      <w:r w:rsidRPr="00F12009">
        <w:rPr>
          <w:rFonts w:cstheme="minorHAnsi"/>
          <w:b/>
          <w:lang w:val="fr-FR"/>
        </w:rPr>
        <w:t>Décision SC62-40 : Le Comité permanent accepte les états financiers vérifiés de 2022, au 31 décembre 2022.</w:t>
      </w:r>
    </w:p>
    <w:p w14:paraId="4B4C8540" w14:textId="77777777" w:rsidR="0007746C" w:rsidRPr="00F12009" w:rsidRDefault="0007746C" w:rsidP="0007746C">
      <w:pPr>
        <w:spacing w:after="0" w:line="240" w:lineRule="auto"/>
        <w:contextualSpacing/>
        <w:rPr>
          <w:rFonts w:cstheme="minorHAnsi"/>
          <w:b/>
          <w:lang w:val="fr-FR"/>
        </w:rPr>
      </w:pPr>
    </w:p>
    <w:p w14:paraId="51A0BC52" w14:textId="77777777" w:rsidR="0007746C" w:rsidRPr="00F12009" w:rsidRDefault="0007746C" w:rsidP="0007746C">
      <w:pPr>
        <w:spacing w:after="0" w:line="240" w:lineRule="auto"/>
        <w:rPr>
          <w:b/>
          <w:bCs/>
          <w:lang w:val="fr-FR"/>
        </w:rPr>
      </w:pPr>
      <w:r w:rsidRPr="00F12009">
        <w:rPr>
          <w:b/>
          <w:bCs/>
          <w:lang w:val="fr-FR"/>
        </w:rPr>
        <w:t xml:space="preserve">Décision SC62-41 : </w:t>
      </w:r>
      <w:r w:rsidRPr="00F12009">
        <w:rPr>
          <w:rFonts w:cstheme="minorHAnsi"/>
          <w:b/>
          <w:lang w:val="fr-FR"/>
        </w:rPr>
        <w:t>Le Comité permanent prend note des résultats du budget administratif pour</w:t>
      </w:r>
      <w:r w:rsidRPr="00F12009">
        <w:rPr>
          <w:b/>
          <w:bCs/>
          <w:lang w:val="fr-FR"/>
        </w:rPr>
        <w:t> 2022.</w:t>
      </w:r>
    </w:p>
    <w:p w14:paraId="1E6567FD" w14:textId="77777777" w:rsidR="0007746C" w:rsidRPr="00F12009" w:rsidRDefault="0007746C" w:rsidP="0007746C">
      <w:pPr>
        <w:spacing w:after="0" w:line="240" w:lineRule="auto"/>
        <w:rPr>
          <w:b/>
          <w:bCs/>
          <w:lang w:val="fr-FR"/>
        </w:rPr>
      </w:pPr>
    </w:p>
    <w:p w14:paraId="3353125A" w14:textId="77777777" w:rsidR="0007746C" w:rsidRPr="00F12009" w:rsidRDefault="0007746C" w:rsidP="0007746C">
      <w:pPr>
        <w:spacing w:after="0" w:line="240" w:lineRule="auto"/>
        <w:rPr>
          <w:b/>
          <w:bCs/>
          <w:lang w:val="fr-FR"/>
        </w:rPr>
      </w:pPr>
      <w:r w:rsidRPr="00F12009">
        <w:rPr>
          <w:b/>
          <w:bCs/>
          <w:lang w:val="fr-FR"/>
        </w:rPr>
        <w:t xml:space="preserve">Décision SC62-42 : </w:t>
      </w:r>
      <w:r w:rsidRPr="00F12009">
        <w:rPr>
          <w:rFonts w:cstheme="minorHAnsi"/>
          <w:b/>
          <w:lang w:val="fr-FR"/>
        </w:rPr>
        <w:t xml:space="preserve">Le Comité permanent prend note </w:t>
      </w:r>
      <w:r w:rsidRPr="00F12009">
        <w:rPr>
          <w:b/>
          <w:bCs/>
          <w:lang w:val="fr-FR"/>
        </w:rPr>
        <w:t>de l’état des soldes non administratif</w:t>
      </w:r>
      <w:r>
        <w:rPr>
          <w:b/>
          <w:bCs/>
          <w:lang w:val="fr-FR"/>
        </w:rPr>
        <w:t>s</w:t>
      </w:r>
      <w:r w:rsidRPr="00F12009">
        <w:rPr>
          <w:b/>
          <w:bCs/>
          <w:lang w:val="fr-FR"/>
        </w:rPr>
        <w:t xml:space="preserve"> et des contributions volontaires pour 2022.</w:t>
      </w:r>
    </w:p>
    <w:p w14:paraId="14F3DE70" w14:textId="77777777" w:rsidR="0007746C" w:rsidRPr="00F12009" w:rsidRDefault="0007746C" w:rsidP="0007746C">
      <w:pPr>
        <w:spacing w:after="0" w:line="240" w:lineRule="auto"/>
        <w:rPr>
          <w:b/>
          <w:bCs/>
          <w:lang w:val="fr-FR"/>
        </w:rPr>
      </w:pPr>
    </w:p>
    <w:p w14:paraId="6AA93D0F" w14:textId="77777777" w:rsidR="0007746C" w:rsidRPr="00F12009" w:rsidRDefault="0007746C" w:rsidP="0007746C">
      <w:pPr>
        <w:spacing w:after="0" w:line="240" w:lineRule="auto"/>
        <w:rPr>
          <w:b/>
          <w:bCs/>
          <w:lang w:val="fr-FR"/>
        </w:rPr>
      </w:pPr>
      <w:r w:rsidRPr="00F12009">
        <w:rPr>
          <w:b/>
          <w:bCs/>
          <w:lang w:val="fr-FR"/>
        </w:rPr>
        <w:t xml:space="preserve">Décision SC62-43 : </w:t>
      </w:r>
      <w:r w:rsidRPr="00F12009">
        <w:rPr>
          <w:rFonts w:cstheme="minorHAnsi"/>
          <w:b/>
          <w:lang w:val="fr-FR"/>
        </w:rPr>
        <w:t xml:space="preserve">Le Comité permanent </w:t>
      </w:r>
      <w:r w:rsidRPr="00F12009">
        <w:rPr>
          <w:b/>
          <w:bCs/>
          <w:lang w:val="fr-FR"/>
        </w:rPr>
        <w:t xml:space="preserve">approuve le report des fonds préengagés pour un total de 701 000 CHF, de 2022 à 2023, comme indiqué dans la colonne D du tableau de l’Annexe 1 Budget administratif 2023 du document SC62 Doc 8.1. </w:t>
      </w:r>
    </w:p>
    <w:p w14:paraId="79986880" w14:textId="77777777" w:rsidR="0007746C" w:rsidRPr="00F12009" w:rsidRDefault="0007746C" w:rsidP="0007746C">
      <w:pPr>
        <w:spacing w:after="0" w:line="240" w:lineRule="auto"/>
        <w:rPr>
          <w:b/>
          <w:bCs/>
          <w:lang w:val="fr-FR"/>
        </w:rPr>
      </w:pPr>
    </w:p>
    <w:p w14:paraId="66EDE099" w14:textId="77777777" w:rsidR="0007746C" w:rsidRPr="00F12009" w:rsidRDefault="0007746C" w:rsidP="0007746C">
      <w:pPr>
        <w:spacing w:after="0" w:line="240" w:lineRule="auto"/>
        <w:rPr>
          <w:b/>
          <w:bCs/>
          <w:lang w:val="fr-FR"/>
        </w:rPr>
      </w:pPr>
      <w:r w:rsidRPr="00F12009">
        <w:rPr>
          <w:b/>
          <w:bCs/>
          <w:lang w:val="fr-FR"/>
        </w:rPr>
        <w:lastRenderedPageBreak/>
        <w:t xml:space="preserve">Décision SC62-44 : </w:t>
      </w:r>
      <w:r w:rsidRPr="00F12009">
        <w:rPr>
          <w:rFonts w:cstheme="minorHAnsi"/>
          <w:b/>
          <w:lang w:val="fr-FR"/>
        </w:rPr>
        <w:t xml:space="preserve">Le Comité permanent </w:t>
      </w:r>
      <w:r w:rsidRPr="00F12009">
        <w:rPr>
          <w:b/>
          <w:bCs/>
          <w:lang w:val="fr-FR"/>
        </w:rPr>
        <w:t>approuve la réaffectation du solde inutilisé pour les Missions consultatives Ramsar, comme décrit au paragraphe 11 du document SC62 Doc.8.1.</w:t>
      </w:r>
    </w:p>
    <w:p w14:paraId="4ECE2F37" w14:textId="77777777" w:rsidR="0007746C" w:rsidRPr="00F12009" w:rsidRDefault="0007746C" w:rsidP="0007746C">
      <w:pPr>
        <w:spacing w:after="0" w:line="240" w:lineRule="auto"/>
        <w:rPr>
          <w:b/>
          <w:bCs/>
          <w:lang w:val="fr-FR"/>
        </w:rPr>
      </w:pPr>
    </w:p>
    <w:p w14:paraId="56F61E75" w14:textId="77777777" w:rsidR="0007746C" w:rsidRPr="00F12009" w:rsidRDefault="0007746C" w:rsidP="0007746C">
      <w:pPr>
        <w:spacing w:after="0" w:line="240" w:lineRule="auto"/>
        <w:rPr>
          <w:b/>
          <w:bCs/>
          <w:lang w:val="fr-FR"/>
        </w:rPr>
      </w:pPr>
      <w:r w:rsidRPr="00F12009">
        <w:rPr>
          <w:b/>
          <w:bCs/>
          <w:lang w:val="fr-FR"/>
        </w:rPr>
        <w:t xml:space="preserve">Décision SC62-45 : </w:t>
      </w:r>
      <w:r w:rsidRPr="00F12009">
        <w:rPr>
          <w:rFonts w:cstheme="minorHAnsi"/>
          <w:b/>
          <w:lang w:val="fr-FR"/>
        </w:rPr>
        <w:t xml:space="preserve">Le Comité permanent </w:t>
      </w:r>
      <w:r w:rsidRPr="00F12009">
        <w:rPr>
          <w:b/>
          <w:bCs/>
          <w:lang w:val="fr-FR"/>
        </w:rPr>
        <w:t>approuve l’attribution de fonds excédentaires de 2022, d’un montant de 140 000 CHF pour compléter le financement volontaire des frais de déplacement des délégués, comme indiqué au paragraphe 18 du document SC62 Doc.8.1.</w:t>
      </w:r>
    </w:p>
    <w:p w14:paraId="3AFB414D" w14:textId="77777777" w:rsidR="0007746C" w:rsidRPr="00F12009" w:rsidRDefault="0007746C" w:rsidP="0007746C">
      <w:pPr>
        <w:spacing w:after="0" w:line="240" w:lineRule="auto"/>
        <w:rPr>
          <w:b/>
          <w:bCs/>
          <w:lang w:val="fr-FR"/>
        </w:rPr>
      </w:pPr>
    </w:p>
    <w:p w14:paraId="5404F5CC" w14:textId="77777777" w:rsidR="0007746C" w:rsidRPr="00F12009" w:rsidRDefault="0007746C" w:rsidP="0007746C">
      <w:pPr>
        <w:spacing w:after="0" w:line="240" w:lineRule="auto"/>
        <w:rPr>
          <w:b/>
          <w:bCs/>
          <w:iCs/>
          <w:color w:val="000000" w:themeColor="text1"/>
          <w:lang w:val="fr-FR"/>
        </w:rPr>
      </w:pPr>
      <w:r w:rsidRPr="00F12009">
        <w:rPr>
          <w:b/>
          <w:bCs/>
          <w:lang w:val="fr-FR"/>
        </w:rPr>
        <w:t xml:space="preserve">Décision SC62-46 : </w:t>
      </w:r>
      <w:r w:rsidRPr="00F12009">
        <w:rPr>
          <w:rFonts w:cstheme="minorHAnsi"/>
          <w:b/>
          <w:lang w:val="fr-FR"/>
        </w:rPr>
        <w:t xml:space="preserve">Le Comité permanent </w:t>
      </w:r>
      <w:r w:rsidRPr="00F12009">
        <w:rPr>
          <w:b/>
          <w:bCs/>
          <w:lang w:val="fr-FR"/>
        </w:rPr>
        <w:t xml:space="preserve">approuve </w:t>
      </w:r>
      <w:r w:rsidRPr="00F12009">
        <w:rPr>
          <w:b/>
          <w:bCs/>
          <w:iCs/>
          <w:color w:val="000000" w:themeColor="text1"/>
          <w:lang w:val="fr-FR"/>
        </w:rPr>
        <w:t>l’attribution de 30 000 CHF du budget administratif à l’Initiative régionale Ramsar pour l’Afrique australe (SARRI) pour ses activités en 2023, comme décrit au paragraphe 32 du document SC62 Doc.8.1.</w:t>
      </w:r>
    </w:p>
    <w:p w14:paraId="5D56703E" w14:textId="77777777" w:rsidR="0007746C" w:rsidRPr="00F12009" w:rsidRDefault="0007746C" w:rsidP="0007746C">
      <w:pPr>
        <w:spacing w:after="0" w:line="240" w:lineRule="auto"/>
        <w:rPr>
          <w:b/>
          <w:bCs/>
          <w:iCs/>
          <w:color w:val="000000" w:themeColor="text1"/>
          <w:lang w:val="fr-FR"/>
        </w:rPr>
      </w:pPr>
    </w:p>
    <w:p w14:paraId="581CF242" w14:textId="77777777" w:rsidR="0007746C" w:rsidRPr="00F12009" w:rsidRDefault="0007746C" w:rsidP="0007746C">
      <w:pPr>
        <w:keepNext/>
        <w:spacing w:after="0" w:line="240" w:lineRule="auto"/>
        <w:ind w:left="425" w:hanging="425"/>
        <w:contextualSpacing/>
        <w:rPr>
          <w:b/>
          <w:bCs/>
          <w:iCs/>
          <w:color w:val="000000" w:themeColor="text1"/>
          <w:lang w:val="fr-CH"/>
        </w:rPr>
      </w:pPr>
      <w:r w:rsidRPr="00F12009">
        <w:rPr>
          <w:b/>
          <w:bCs/>
          <w:lang w:val="fr-FR"/>
        </w:rPr>
        <w:t xml:space="preserve">Décision SC62-47 : </w:t>
      </w:r>
      <w:r w:rsidRPr="00F12009">
        <w:rPr>
          <w:rFonts w:cstheme="minorHAnsi"/>
          <w:b/>
          <w:lang w:val="fr-FR"/>
        </w:rPr>
        <w:t xml:space="preserve">Le Comité permanent </w:t>
      </w:r>
      <w:r w:rsidRPr="00F12009">
        <w:rPr>
          <w:b/>
          <w:bCs/>
          <w:lang w:val="fr-FR"/>
        </w:rPr>
        <w:t xml:space="preserve">approuve </w:t>
      </w:r>
      <w:r w:rsidRPr="00F12009">
        <w:rPr>
          <w:b/>
          <w:bCs/>
          <w:iCs/>
          <w:color w:val="000000" w:themeColor="text1"/>
          <w:lang w:val="fr-CH"/>
        </w:rPr>
        <w:t xml:space="preserve">l’attribution de fonds excédentaires de 2022 se montant à : </w:t>
      </w:r>
    </w:p>
    <w:p w14:paraId="6986B1DB" w14:textId="77777777" w:rsidR="0007746C" w:rsidRPr="00F12009" w:rsidRDefault="0007746C" w:rsidP="0007746C">
      <w:pPr>
        <w:keepNext/>
        <w:numPr>
          <w:ilvl w:val="0"/>
          <w:numId w:val="51"/>
        </w:numPr>
        <w:spacing w:after="0" w:line="240" w:lineRule="auto"/>
        <w:contextualSpacing/>
        <w:rPr>
          <w:b/>
          <w:bCs/>
          <w:iCs/>
          <w:color w:val="000000" w:themeColor="text1"/>
          <w:lang w:val="fr-CH"/>
        </w:rPr>
      </w:pPr>
      <w:r w:rsidRPr="00F12009">
        <w:rPr>
          <w:b/>
          <w:bCs/>
          <w:iCs/>
          <w:color w:val="000000" w:themeColor="text1"/>
          <w:lang w:val="fr-CH"/>
        </w:rPr>
        <w:t xml:space="preserve">33 000 CHF pour l’examen des Résolutions et Décisions précédentes ;  </w:t>
      </w:r>
    </w:p>
    <w:p w14:paraId="6F61FD44" w14:textId="77777777" w:rsidR="0007746C" w:rsidRPr="00F12009" w:rsidRDefault="0007746C" w:rsidP="0007746C">
      <w:pPr>
        <w:keepNext/>
        <w:numPr>
          <w:ilvl w:val="0"/>
          <w:numId w:val="51"/>
        </w:numPr>
        <w:spacing w:after="0" w:line="240" w:lineRule="auto"/>
        <w:contextualSpacing/>
        <w:rPr>
          <w:b/>
          <w:bCs/>
          <w:iCs/>
          <w:color w:val="000000" w:themeColor="text1"/>
          <w:lang w:val="fr-CH"/>
        </w:rPr>
      </w:pPr>
      <w:r w:rsidRPr="00F12009">
        <w:rPr>
          <w:b/>
          <w:bCs/>
          <w:iCs/>
          <w:color w:val="000000" w:themeColor="text1"/>
          <w:lang w:val="fr-CH"/>
        </w:rPr>
        <w:t xml:space="preserve">7000 CHF pour des approches et des systèmes en ligne visant à améliorer la collaboration entre les Parties contractantes dans la période intersessions ; et  </w:t>
      </w:r>
    </w:p>
    <w:p w14:paraId="1D3E0A53" w14:textId="4A942D73" w:rsidR="0007746C" w:rsidRPr="00F12009" w:rsidRDefault="0007746C" w:rsidP="0007746C">
      <w:pPr>
        <w:keepNext/>
        <w:numPr>
          <w:ilvl w:val="0"/>
          <w:numId w:val="51"/>
        </w:numPr>
        <w:spacing w:after="0" w:line="240" w:lineRule="auto"/>
        <w:contextualSpacing/>
        <w:rPr>
          <w:b/>
          <w:bCs/>
          <w:iCs/>
          <w:color w:val="000000" w:themeColor="text1"/>
          <w:lang w:val="fr-CH"/>
        </w:rPr>
      </w:pPr>
      <w:r w:rsidRPr="00F12009">
        <w:rPr>
          <w:b/>
          <w:bCs/>
          <w:iCs/>
          <w:color w:val="000000" w:themeColor="text1"/>
          <w:lang w:val="fr-CH"/>
        </w:rPr>
        <w:t>90 000 CHF pour l’appui technique durant la période triennale 2023</w:t>
      </w:r>
      <w:r w:rsidRPr="00F12009">
        <w:rPr>
          <w:b/>
          <w:bCs/>
          <w:iCs/>
          <w:color w:val="000000" w:themeColor="text1"/>
          <w:lang w:val="fr-CH"/>
        </w:rPr>
        <w:noBreakHyphen/>
        <w:t>2025 afin de garantir que les données clés soient disponibles dans le Service d’information sur les Sites Ramsar (SISR) pour toutes les zones humides d’importance internationale, en particulier en ce qui concerne les limites des sites, notant que la mise à jour des données sur les sites est principalement une responsabilité qui incombe aux Parties contractantes et devrait être encouragée avant d’utiliser le service.</w:t>
      </w:r>
      <w:r w:rsidR="00672991">
        <w:rPr>
          <w:rStyle w:val="FootnoteReference"/>
          <w:b/>
          <w:bCs/>
          <w:iCs/>
          <w:color w:val="000000" w:themeColor="text1"/>
          <w:lang w:val="fr-CH"/>
        </w:rPr>
        <w:footnoteReference w:id="2"/>
      </w:r>
    </w:p>
    <w:p w14:paraId="701EC5ED" w14:textId="77777777" w:rsidR="0007746C" w:rsidRPr="00356851" w:rsidRDefault="0007746C" w:rsidP="0007746C">
      <w:pPr>
        <w:keepNext/>
        <w:spacing w:after="0" w:line="240" w:lineRule="auto"/>
        <w:rPr>
          <w:rFonts w:cstheme="minorHAnsi"/>
          <w:lang w:val="fr-FR"/>
        </w:rPr>
      </w:pPr>
    </w:p>
    <w:p w14:paraId="679C02A4" w14:textId="77777777" w:rsidR="0007746C" w:rsidRPr="00DD211D"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DD211D">
        <w:rPr>
          <w:rFonts w:cstheme="minorHAnsi"/>
          <w:bCs/>
          <w:lang w:val="fr-CH"/>
        </w:rPr>
        <w:t>Point 26 de l’ordre du jour : Label Ville des Zones Humides accréditée : Mise en place du Comité</w:t>
      </w:r>
      <w:r>
        <w:rPr>
          <w:rFonts w:cstheme="minorHAnsi"/>
          <w:bCs/>
          <w:lang w:val="fr-CH"/>
        </w:rPr>
        <w:t xml:space="preserve"> </w:t>
      </w:r>
      <w:r w:rsidRPr="00DD211D">
        <w:rPr>
          <w:rFonts w:cstheme="minorHAnsi"/>
          <w:bCs/>
          <w:lang w:val="fr-CH"/>
        </w:rPr>
        <w:t>consultatif indépendant</w:t>
      </w:r>
    </w:p>
    <w:p w14:paraId="671E3CFF" w14:textId="77777777" w:rsidR="0007746C" w:rsidRPr="00DD211D" w:rsidRDefault="0007746C" w:rsidP="0007746C">
      <w:pPr>
        <w:spacing w:after="0" w:line="240" w:lineRule="auto"/>
        <w:ind w:left="567" w:hanging="567"/>
        <w:rPr>
          <w:rFonts w:eastAsia="Calibri" w:cstheme="minorHAnsi"/>
          <w:bCs/>
          <w:lang w:val="fr-CH"/>
        </w:rPr>
      </w:pPr>
    </w:p>
    <w:p w14:paraId="0E16E04D" w14:textId="6370B5F2" w:rsidR="0007746C" w:rsidRPr="00DD211D" w:rsidRDefault="0007746C" w:rsidP="0007746C">
      <w:pPr>
        <w:spacing w:after="0" w:line="240" w:lineRule="auto"/>
        <w:ind w:left="567" w:hanging="567"/>
        <w:rPr>
          <w:rFonts w:eastAsia="Calibri" w:cstheme="minorHAnsi"/>
          <w:bCs/>
          <w:lang w:val="fr-CH"/>
        </w:rPr>
      </w:pPr>
      <w:r w:rsidRPr="00DD211D">
        <w:rPr>
          <w:rFonts w:eastAsia="Calibri" w:cstheme="minorHAnsi"/>
          <w:bCs/>
          <w:lang w:val="fr-CH"/>
        </w:rPr>
        <w:t>11</w:t>
      </w:r>
      <w:r w:rsidR="00827019">
        <w:rPr>
          <w:rFonts w:eastAsia="Calibri" w:cstheme="minorHAnsi"/>
          <w:bCs/>
          <w:lang w:val="fr-CH"/>
        </w:rPr>
        <w:t>0</w:t>
      </w:r>
      <w:r w:rsidRPr="00DD211D">
        <w:rPr>
          <w:rFonts w:eastAsia="Calibri" w:cstheme="minorHAnsi"/>
          <w:bCs/>
          <w:lang w:val="fr-CH"/>
        </w:rPr>
        <w:t>.</w:t>
      </w:r>
      <w:r w:rsidRPr="00DD211D">
        <w:rPr>
          <w:rFonts w:eastAsia="Calibri" w:cstheme="minorHAnsi"/>
          <w:bCs/>
          <w:lang w:val="fr-CH"/>
        </w:rPr>
        <w:tab/>
      </w:r>
      <w:r>
        <w:rPr>
          <w:rFonts w:eastAsia="Calibri" w:cstheme="minorHAnsi"/>
          <w:bCs/>
          <w:lang w:val="fr-CH"/>
        </w:rPr>
        <w:t xml:space="preserve">La République de Corée, au nom du Comité consultatif indépendant (CCI), présente le document </w:t>
      </w:r>
      <w:r w:rsidRPr="00DD211D">
        <w:rPr>
          <w:rFonts w:eastAsia="Calibri" w:cstheme="minorHAnsi"/>
          <w:bCs/>
          <w:lang w:val="fr-CH"/>
        </w:rPr>
        <w:t xml:space="preserve">SC62 Doc.26 Rev.1, </w:t>
      </w:r>
      <w:r>
        <w:rPr>
          <w:rFonts w:eastAsia="Calibri" w:cstheme="minorHAnsi"/>
          <w:bCs/>
          <w:lang w:val="fr-CH"/>
        </w:rPr>
        <w:t>énonçant la composition du CCI telle qu’elle apparaît dans le document.</w:t>
      </w:r>
    </w:p>
    <w:p w14:paraId="1EA79F66" w14:textId="77777777" w:rsidR="0007746C" w:rsidRPr="00DD211D" w:rsidRDefault="0007746C" w:rsidP="0007746C">
      <w:pPr>
        <w:spacing w:after="0" w:line="240" w:lineRule="auto"/>
        <w:ind w:left="567" w:hanging="567"/>
        <w:rPr>
          <w:rFonts w:eastAsia="Calibri" w:cstheme="minorHAnsi"/>
          <w:bCs/>
          <w:lang w:val="fr-CH"/>
        </w:rPr>
      </w:pPr>
    </w:p>
    <w:p w14:paraId="1F9AD317" w14:textId="2D1A8820" w:rsidR="0007746C" w:rsidRPr="00DD211D" w:rsidRDefault="0007746C" w:rsidP="0007746C">
      <w:pPr>
        <w:spacing w:after="0" w:line="240" w:lineRule="auto"/>
        <w:ind w:left="567" w:hanging="567"/>
        <w:rPr>
          <w:rFonts w:eastAsia="Calibri" w:cstheme="minorHAnsi"/>
          <w:bCs/>
          <w:lang w:val="fr-CH"/>
        </w:rPr>
      </w:pPr>
      <w:r w:rsidRPr="00DD211D">
        <w:rPr>
          <w:rFonts w:eastAsia="Calibri" w:cstheme="minorHAnsi"/>
          <w:bCs/>
          <w:lang w:val="fr-CH"/>
        </w:rPr>
        <w:t>1</w:t>
      </w:r>
      <w:r w:rsidR="00827019">
        <w:rPr>
          <w:rFonts w:eastAsia="Calibri" w:cstheme="minorHAnsi"/>
          <w:bCs/>
          <w:lang w:val="fr-CH"/>
        </w:rPr>
        <w:t>11</w:t>
      </w:r>
      <w:r w:rsidRPr="00DD211D">
        <w:rPr>
          <w:rFonts w:eastAsia="Calibri" w:cstheme="minorHAnsi"/>
          <w:bCs/>
          <w:lang w:val="fr-CH"/>
        </w:rPr>
        <w:t>.</w:t>
      </w:r>
      <w:r w:rsidRPr="00DD211D">
        <w:rPr>
          <w:rFonts w:eastAsia="Calibri" w:cstheme="minorHAnsi"/>
          <w:bCs/>
          <w:lang w:val="fr-CH"/>
        </w:rPr>
        <w:tab/>
      </w:r>
      <w:r>
        <w:rPr>
          <w:rFonts w:eastAsia="Calibri" w:cstheme="minorHAnsi"/>
          <w:bCs/>
          <w:lang w:val="fr-CH"/>
        </w:rPr>
        <w:t>L’Autriche, qui quitte la présidence du CCI, met en évidence les succès du label Ville des Zones Humides illustrés, notamment</w:t>
      </w:r>
      <w:r w:rsidR="00827019">
        <w:rPr>
          <w:rFonts w:eastAsia="Calibri" w:cstheme="minorHAnsi"/>
          <w:bCs/>
          <w:lang w:val="fr-CH"/>
        </w:rPr>
        <w:t>,</w:t>
      </w:r>
      <w:r>
        <w:rPr>
          <w:rFonts w:eastAsia="Calibri" w:cstheme="minorHAnsi"/>
          <w:bCs/>
          <w:lang w:val="fr-CH"/>
        </w:rPr>
        <w:t xml:space="preserve"> par la Table ronde des maires des Villes des Zones Humides. </w:t>
      </w:r>
    </w:p>
    <w:p w14:paraId="11A0D454" w14:textId="77777777" w:rsidR="0007746C" w:rsidRPr="00DD211D" w:rsidRDefault="0007746C" w:rsidP="0007746C">
      <w:pPr>
        <w:spacing w:after="0" w:line="240" w:lineRule="auto"/>
        <w:ind w:left="567" w:hanging="567"/>
        <w:rPr>
          <w:rFonts w:eastAsia="Calibri" w:cstheme="minorHAnsi"/>
          <w:bCs/>
          <w:lang w:val="fr-CH"/>
        </w:rPr>
      </w:pPr>
    </w:p>
    <w:p w14:paraId="61FE4C1E" w14:textId="77777777" w:rsidR="0007746C" w:rsidRPr="00DD211D" w:rsidRDefault="0007746C" w:rsidP="0007746C">
      <w:pPr>
        <w:pStyle w:val="ColorfulList-Accent11"/>
        <w:ind w:left="0" w:firstLine="0"/>
        <w:rPr>
          <w:rFonts w:cs="Calibri"/>
          <w:lang w:val="fr-CH"/>
        </w:rPr>
      </w:pPr>
      <w:r w:rsidRPr="00DD211D">
        <w:rPr>
          <w:b/>
          <w:bCs/>
          <w:lang w:val="fr-CH"/>
        </w:rPr>
        <w:t xml:space="preserve">Décision SC62-48 : </w:t>
      </w:r>
      <w:r>
        <w:rPr>
          <w:b/>
          <w:bCs/>
          <w:lang w:val="fr-CH"/>
        </w:rPr>
        <w:t xml:space="preserve">Le Comité permanent confirme la composition du Comité consultatif indépendant telle qu’elle est décrite dans le Tableau 1 </w:t>
      </w:r>
      <w:r w:rsidRPr="0058370B">
        <w:rPr>
          <w:b/>
          <w:bCs/>
          <w:lang w:val="fr-CH"/>
        </w:rPr>
        <w:t xml:space="preserve">du </w:t>
      </w:r>
      <w:r w:rsidRPr="0058370B">
        <w:rPr>
          <w:rFonts w:cs="Calibri"/>
          <w:b/>
          <w:bCs/>
          <w:lang w:val="fr-CH"/>
        </w:rPr>
        <w:t>document</w:t>
      </w:r>
      <w:r w:rsidRPr="0058370B">
        <w:rPr>
          <w:rFonts w:cstheme="minorHAnsi"/>
          <w:b/>
          <w:bCs/>
          <w:lang w:val="fr-CH"/>
        </w:rPr>
        <w:t xml:space="preserve"> SC62 Doc.26 Rev.1</w:t>
      </w:r>
      <w:r w:rsidRPr="0058370B">
        <w:rPr>
          <w:rFonts w:cs="Calibri"/>
          <w:b/>
          <w:bCs/>
          <w:lang w:val="fr-CH"/>
        </w:rPr>
        <w:t>, pour la période triennale 2023-2025.</w:t>
      </w:r>
    </w:p>
    <w:p w14:paraId="73BAFE2D" w14:textId="77777777" w:rsidR="0007746C" w:rsidRPr="00DD211D" w:rsidRDefault="0007746C" w:rsidP="0007746C">
      <w:pPr>
        <w:spacing w:after="0" w:line="240" w:lineRule="auto"/>
        <w:rPr>
          <w:rFonts w:eastAsia="Calibri" w:cstheme="minorHAnsi"/>
          <w:bCs/>
          <w:lang w:val="fr-CH"/>
        </w:rPr>
      </w:pPr>
    </w:p>
    <w:p w14:paraId="67B5F809" w14:textId="77777777" w:rsidR="0007746C" w:rsidRPr="00DD211D"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DD211D">
        <w:rPr>
          <w:rFonts w:cstheme="minorHAnsi"/>
          <w:bCs/>
          <w:lang w:val="fr-CH"/>
        </w:rPr>
        <w:t xml:space="preserve">Point 11 de l’ordre du jour : </w:t>
      </w:r>
      <w:r w:rsidRPr="00DD211D">
        <w:rPr>
          <w:lang w:val="fr-CH"/>
        </w:rPr>
        <w:t>Rapport du Secrétariat sur le renforcement institutionnel pour soutenir</w:t>
      </w:r>
      <w:r>
        <w:rPr>
          <w:lang w:val="fr-CH"/>
        </w:rPr>
        <w:t xml:space="preserve"> </w:t>
      </w:r>
      <w:r w:rsidRPr="00DD211D">
        <w:rPr>
          <w:lang w:val="fr-CH"/>
        </w:rPr>
        <w:t xml:space="preserve">l’application de la Convention </w:t>
      </w:r>
      <w:r w:rsidRPr="00DD211D">
        <w:rPr>
          <w:rFonts w:cstheme="minorHAnsi"/>
          <w:bCs/>
          <w:lang w:val="fr-CH"/>
        </w:rPr>
        <w:t>(suite)</w:t>
      </w:r>
    </w:p>
    <w:p w14:paraId="4AF95C7E" w14:textId="77777777" w:rsidR="0007746C" w:rsidRPr="00DD211D" w:rsidRDefault="0007746C" w:rsidP="0007746C">
      <w:pPr>
        <w:spacing w:after="0" w:line="240" w:lineRule="auto"/>
        <w:ind w:left="720" w:hanging="720"/>
        <w:rPr>
          <w:lang w:val="fr-CH"/>
        </w:rPr>
      </w:pPr>
    </w:p>
    <w:p w14:paraId="5B5E24D7" w14:textId="011F8DAE" w:rsidR="0007746C" w:rsidRPr="00DD211D" w:rsidRDefault="0007746C" w:rsidP="0007746C">
      <w:pPr>
        <w:spacing w:after="0" w:line="240" w:lineRule="auto"/>
        <w:ind w:left="567" w:hanging="567"/>
        <w:rPr>
          <w:lang w:val="fr-CH"/>
        </w:rPr>
      </w:pPr>
      <w:r w:rsidRPr="00DD211D">
        <w:rPr>
          <w:lang w:val="fr-CH"/>
        </w:rPr>
        <w:t>1</w:t>
      </w:r>
      <w:r w:rsidR="00827019">
        <w:rPr>
          <w:lang w:val="fr-CH"/>
        </w:rPr>
        <w:t>12</w:t>
      </w:r>
      <w:r w:rsidRPr="00DD211D">
        <w:rPr>
          <w:lang w:val="fr-CH"/>
        </w:rPr>
        <w:t>.</w:t>
      </w:r>
      <w:r w:rsidRPr="00DD211D">
        <w:rPr>
          <w:lang w:val="fr-CH"/>
        </w:rPr>
        <w:tab/>
      </w:r>
      <w:r w:rsidR="00827019">
        <w:rPr>
          <w:lang w:val="fr-CH"/>
        </w:rPr>
        <w:t>Considérant le processus établi de recrutement d’un nouveau Secrétaire général, l</w:t>
      </w:r>
      <w:r>
        <w:rPr>
          <w:lang w:val="fr-CH"/>
        </w:rPr>
        <w:t>e Président du Comité permanent</w:t>
      </w:r>
      <w:r w:rsidR="00827019">
        <w:rPr>
          <w:lang w:val="fr-CH"/>
        </w:rPr>
        <w:t xml:space="preserve"> s’exprimant</w:t>
      </w:r>
      <w:r>
        <w:rPr>
          <w:lang w:val="fr-CH"/>
        </w:rPr>
        <w:t xml:space="preserve"> au nom du Groupe de travail sur la gestion, indique que le Groupe estime qu’un projet de résolution n’est pas nécessaire. Il propose que le Groupe de travail sur la gestion prépare un document décrivant le processus de recrutement d’un nouveau Secrétaire général. </w:t>
      </w:r>
    </w:p>
    <w:p w14:paraId="45B8287E" w14:textId="77777777" w:rsidR="0007746C" w:rsidRPr="00DD211D" w:rsidRDefault="0007746C" w:rsidP="0007746C">
      <w:pPr>
        <w:spacing w:after="0" w:line="240" w:lineRule="auto"/>
        <w:ind w:left="567" w:hanging="567"/>
        <w:rPr>
          <w:lang w:val="fr-CH"/>
        </w:rPr>
      </w:pPr>
    </w:p>
    <w:p w14:paraId="44F64230" w14:textId="04A4FE78" w:rsidR="0007746C" w:rsidRPr="00DD211D" w:rsidRDefault="00827019" w:rsidP="0007746C">
      <w:pPr>
        <w:spacing w:after="0" w:line="240" w:lineRule="auto"/>
        <w:ind w:left="567" w:hanging="567"/>
        <w:rPr>
          <w:lang w:val="fr-CH"/>
        </w:rPr>
      </w:pPr>
      <w:r>
        <w:rPr>
          <w:lang w:val="fr-CH"/>
        </w:rPr>
        <w:t>113</w:t>
      </w:r>
      <w:r w:rsidR="0007746C" w:rsidRPr="00DD211D">
        <w:rPr>
          <w:lang w:val="fr-CH"/>
        </w:rPr>
        <w:t>.</w:t>
      </w:r>
      <w:r w:rsidR="0007746C" w:rsidRPr="00DD211D">
        <w:rPr>
          <w:lang w:val="fr-CH"/>
        </w:rPr>
        <w:tab/>
      </w:r>
      <w:r w:rsidR="0007746C">
        <w:rPr>
          <w:lang w:val="fr-CH"/>
        </w:rPr>
        <w:t xml:space="preserve">Les membres du Comité permanent approuvent la suggestion du Président. </w:t>
      </w:r>
    </w:p>
    <w:p w14:paraId="3656122A" w14:textId="77777777" w:rsidR="0007746C" w:rsidRPr="00DD211D" w:rsidRDefault="0007746C" w:rsidP="0007746C">
      <w:pPr>
        <w:spacing w:after="0" w:line="240" w:lineRule="auto"/>
        <w:ind w:left="567" w:hanging="567"/>
        <w:rPr>
          <w:lang w:val="fr-CH"/>
        </w:rPr>
      </w:pPr>
    </w:p>
    <w:p w14:paraId="1F03B039" w14:textId="77777777" w:rsidR="0007746C" w:rsidRPr="00DD211D" w:rsidRDefault="0007746C" w:rsidP="0007746C">
      <w:pPr>
        <w:pStyle w:val="ColorfulList-Accent11"/>
        <w:ind w:left="0" w:firstLine="0"/>
        <w:rPr>
          <w:b/>
          <w:bCs/>
          <w:lang w:val="fr-CH"/>
        </w:rPr>
      </w:pPr>
      <w:r w:rsidRPr="00DD211D">
        <w:rPr>
          <w:b/>
          <w:bCs/>
          <w:lang w:val="fr-CH"/>
        </w:rPr>
        <w:lastRenderedPageBreak/>
        <w:t xml:space="preserve">Décision SC62-49 : </w:t>
      </w:r>
      <w:r>
        <w:rPr>
          <w:b/>
          <w:bCs/>
          <w:lang w:val="fr-CH"/>
        </w:rPr>
        <w:t>Le Comité permanent demande au Groupe de travail sur la gestion de préparer un document décrivant le processus de recrutement d’un nouveau Secrétaire général, pour examen par le Comité permanent à sa 63</w:t>
      </w:r>
      <w:r w:rsidRPr="00631D00">
        <w:rPr>
          <w:b/>
          <w:bCs/>
          <w:vertAlign w:val="superscript"/>
          <w:lang w:val="fr-CH"/>
        </w:rPr>
        <w:t>e</w:t>
      </w:r>
      <w:r>
        <w:rPr>
          <w:b/>
          <w:bCs/>
          <w:lang w:val="fr-CH"/>
        </w:rPr>
        <w:t xml:space="preserve"> Réunion, notant que la présente Décision remplace la </w:t>
      </w:r>
      <w:r w:rsidRPr="00631D00">
        <w:rPr>
          <w:b/>
          <w:bCs/>
          <w:lang w:val="fr-CH"/>
        </w:rPr>
        <w:t>Décision SC59</w:t>
      </w:r>
      <w:r>
        <w:rPr>
          <w:b/>
          <w:bCs/>
          <w:lang w:val="fr-CH"/>
        </w:rPr>
        <w:noBreakHyphen/>
      </w:r>
      <w:r w:rsidRPr="00631D00">
        <w:rPr>
          <w:b/>
          <w:bCs/>
          <w:lang w:val="fr-CH"/>
        </w:rPr>
        <w:t>40.</w:t>
      </w:r>
    </w:p>
    <w:p w14:paraId="6B8C41D0" w14:textId="77777777" w:rsidR="0007746C" w:rsidRPr="00C9411A" w:rsidRDefault="0007746C" w:rsidP="0007746C">
      <w:pPr>
        <w:pStyle w:val="ColorfulList-Accent11"/>
        <w:ind w:left="0" w:firstLine="0"/>
        <w:rPr>
          <w:rFonts w:cstheme="minorHAnsi"/>
          <w:lang w:val="fr-FR"/>
        </w:rPr>
      </w:pPr>
      <w:r w:rsidRPr="00C9411A">
        <w:rPr>
          <w:b/>
          <w:bCs/>
          <w:i/>
          <w:color w:val="000000" w:themeColor="text1"/>
          <w:lang w:val="fr-FR"/>
        </w:rPr>
        <w:t xml:space="preserve"> </w:t>
      </w:r>
    </w:p>
    <w:p w14:paraId="7EC5B0DC" w14:textId="77777777" w:rsidR="0007746C" w:rsidRPr="00356851"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356851">
        <w:rPr>
          <w:rFonts w:cstheme="minorHAnsi"/>
          <w:bCs/>
          <w:lang w:val="fr-FR"/>
        </w:rPr>
        <w:t xml:space="preserve">Point 19 de l’ordre du jour : </w:t>
      </w:r>
      <w:r w:rsidRPr="00356851">
        <w:rPr>
          <w:lang w:val="fr-FR"/>
        </w:rPr>
        <w:t>Rapport du Président du Groupe d’évaluation scientifique et technique, y</w:t>
      </w:r>
      <w:r>
        <w:rPr>
          <w:lang w:val="fr-FR"/>
        </w:rPr>
        <w:t> </w:t>
      </w:r>
      <w:r w:rsidRPr="00356851">
        <w:rPr>
          <w:lang w:val="fr-FR"/>
        </w:rPr>
        <w:t>compris le plan de travail pour 2023-2025 (</w:t>
      </w:r>
      <w:r>
        <w:rPr>
          <w:lang w:val="fr-FR"/>
        </w:rPr>
        <w:t>suite</w:t>
      </w:r>
      <w:r w:rsidRPr="00356851">
        <w:rPr>
          <w:lang w:val="fr-FR"/>
        </w:rPr>
        <w:t>)</w:t>
      </w:r>
    </w:p>
    <w:p w14:paraId="011EE222" w14:textId="77777777" w:rsidR="0007746C" w:rsidRPr="00356851" w:rsidRDefault="0007746C" w:rsidP="0007746C">
      <w:pPr>
        <w:spacing w:after="0" w:line="240" w:lineRule="auto"/>
        <w:rPr>
          <w:lang w:val="fr-FR"/>
        </w:rPr>
      </w:pPr>
    </w:p>
    <w:p w14:paraId="18D5EFB8" w14:textId="3128AC8A" w:rsidR="0007746C" w:rsidRPr="00A9769E" w:rsidRDefault="0007746C" w:rsidP="0007746C">
      <w:pPr>
        <w:spacing w:after="0" w:line="240" w:lineRule="auto"/>
        <w:ind w:left="567" w:hanging="567"/>
        <w:rPr>
          <w:lang w:val="fr-CH"/>
        </w:rPr>
      </w:pPr>
      <w:r w:rsidRPr="00A9769E">
        <w:rPr>
          <w:lang w:val="fr-CH"/>
        </w:rPr>
        <w:t>1</w:t>
      </w:r>
      <w:r w:rsidR="00827019">
        <w:rPr>
          <w:lang w:val="fr-CH"/>
        </w:rPr>
        <w:t>14</w:t>
      </w:r>
      <w:r w:rsidRPr="00A9769E">
        <w:rPr>
          <w:lang w:val="fr-CH"/>
        </w:rPr>
        <w:t>.</w:t>
      </w:r>
      <w:r w:rsidRPr="00A9769E">
        <w:rPr>
          <w:lang w:val="fr-CH"/>
        </w:rPr>
        <w:tab/>
      </w:r>
      <w:r>
        <w:rPr>
          <w:lang w:val="fr-CH"/>
        </w:rPr>
        <w:t>Un membre du Comité permanent suggère de créer un groupe de travail chargé d’explorer les difficultés que rencontrent les Parties contractantes avec le système actuel de classification des zones humides de la Convention.</w:t>
      </w:r>
    </w:p>
    <w:p w14:paraId="625A369E" w14:textId="77777777" w:rsidR="0007746C" w:rsidRPr="00A9769E" w:rsidRDefault="0007746C" w:rsidP="0007746C">
      <w:pPr>
        <w:spacing w:after="0" w:line="240" w:lineRule="auto"/>
        <w:ind w:left="567" w:hanging="567"/>
        <w:rPr>
          <w:rFonts w:eastAsia="Calibri" w:cstheme="minorHAnsi"/>
          <w:bCs/>
          <w:lang w:val="fr-CH"/>
        </w:rPr>
      </w:pPr>
    </w:p>
    <w:p w14:paraId="39EE2966" w14:textId="7DD6BFDC" w:rsidR="0007746C" w:rsidRPr="00A9769E" w:rsidRDefault="0007746C" w:rsidP="0007746C">
      <w:pPr>
        <w:spacing w:after="0" w:line="240" w:lineRule="auto"/>
        <w:ind w:left="567" w:hanging="567"/>
        <w:rPr>
          <w:rFonts w:cstheme="minorHAnsi"/>
          <w:lang w:val="fr-CH"/>
        </w:rPr>
      </w:pPr>
      <w:r w:rsidRPr="00A9769E">
        <w:rPr>
          <w:lang w:val="fr-CH"/>
        </w:rPr>
        <w:t>1</w:t>
      </w:r>
      <w:r w:rsidR="00827019">
        <w:rPr>
          <w:lang w:val="fr-CH"/>
        </w:rPr>
        <w:t>15</w:t>
      </w:r>
      <w:r w:rsidRPr="00A9769E">
        <w:rPr>
          <w:lang w:val="fr-CH"/>
        </w:rPr>
        <w:t>.</w:t>
      </w:r>
      <w:r w:rsidRPr="00A9769E">
        <w:rPr>
          <w:lang w:val="fr-CH"/>
        </w:rPr>
        <w:tab/>
      </w:r>
      <w:r>
        <w:rPr>
          <w:lang w:val="fr-CH"/>
        </w:rPr>
        <w:t xml:space="preserve">D’autres membres du Comité permanent, notant le fardeau que représentent pour les Parties les trop nombreux groupes de travail intersessions, suggèrent de charger le GEST de cette demande, y compris en consultant les Correspondants nationaux du GEST. </w:t>
      </w:r>
    </w:p>
    <w:p w14:paraId="00B6EFB2" w14:textId="77777777" w:rsidR="0007746C" w:rsidRPr="00A9769E" w:rsidRDefault="0007746C" w:rsidP="0007746C">
      <w:pPr>
        <w:spacing w:after="0" w:line="240" w:lineRule="auto"/>
        <w:ind w:left="567" w:hanging="567"/>
        <w:rPr>
          <w:rFonts w:cstheme="minorHAnsi"/>
          <w:lang w:val="fr-CH"/>
        </w:rPr>
      </w:pPr>
    </w:p>
    <w:p w14:paraId="051637A4" w14:textId="60D60714" w:rsidR="0007746C" w:rsidRPr="00A9769E" w:rsidRDefault="0007746C" w:rsidP="0007746C">
      <w:pPr>
        <w:spacing w:after="0" w:line="240" w:lineRule="auto"/>
        <w:ind w:left="567" w:hanging="567"/>
        <w:rPr>
          <w:rFonts w:cstheme="minorHAnsi"/>
          <w:lang w:val="fr-CH"/>
        </w:rPr>
      </w:pPr>
      <w:r w:rsidRPr="00A9769E">
        <w:rPr>
          <w:rFonts w:cstheme="minorHAnsi"/>
          <w:lang w:val="fr-CH"/>
        </w:rPr>
        <w:t>1</w:t>
      </w:r>
      <w:r w:rsidR="00827019">
        <w:rPr>
          <w:rFonts w:cstheme="minorHAnsi"/>
          <w:lang w:val="fr-CH"/>
        </w:rPr>
        <w:t>16</w:t>
      </w:r>
      <w:r w:rsidRPr="00A9769E">
        <w:rPr>
          <w:rFonts w:cstheme="minorHAnsi"/>
          <w:lang w:val="fr-CH"/>
        </w:rPr>
        <w:t>.</w:t>
      </w:r>
      <w:r w:rsidRPr="00A9769E">
        <w:rPr>
          <w:rFonts w:cstheme="minorHAnsi"/>
          <w:lang w:val="fr-CH"/>
        </w:rPr>
        <w:tab/>
      </w:r>
      <w:r>
        <w:rPr>
          <w:rFonts w:cstheme="minorHAnsi"/>
          <w:lang w:val="fr-CH"/>
        </w:rPr>
        <w:t>Le Président du GEST suggère d’entamer les travaux en discutant de la pertinence et de l’application du système actuel de classification à la 26</w:t>
      </w:r>
      <w:r w:rsidRPr="00CB48FC">
        <w:rPr>
          <w:rFonts w:cstheme="minorHAnsi"/>
          <w:vertAlign w:val="superscript"/>
          <w:lang w:val="fr-CH"/>
        </w:rPr>
        <w:t>e</w:t>
      </w:r>
      <w:r>
        <w:rPr>
          <w:rFonts w:cstheme="minorHAnsi"/>
          <w:lang w:val="fr-CH"/>
        </w:rPr>
        <w:t xml:space="preserve"> réunion du GEST et de </w:t>
      </w:r>
      <w:r w:rsidR="00B075AB">
        <w:rPr>
          <w:rFonts w:cstheme="minorHAnsi"/>
          <w:lang w:val="fr-CH"/>
        </w:rPr>
        <w:t>rendre compte</w:t>
      </w:r>
      <w:r>
        <w:rPr>
          <w:rFonts w:cstheme="minorHAnsi"/>
          <w:lang w:val="fr-CH"/>
        </w:rPr>
        <w:t xml:space="preserve"> à la 63</w:t>
      </w:r>
      <w:r w:rsidRPr="0012683D">
        <w:rPr>
          <w:rFonts w:cstheme="minorHAnsi"/>
          <w:vertAlign w:val="superscript"/>
          <w:lang w:val="fr-CH"/>
        </w:rPr>
        <w:t>e</w:t>
      </w:r>
      <w:r>
        <w:rPr>
          <w:rFonts w:cstheme="minorHAnsi"/>
          <w:lang w:val="fr-CH"/>
        </w:rPr>
        <w:t xml:space="preserve"> Réunion du Comité permanent pour </w:t>
      </w:r>
      <w:r w:rsidR="00827019">
        <w:rPr>
          <w:rFonts w:cstheme="minorHAnsi"/>
          <w:lang w:val="fr-CH"/>
        </w:rPr>
        <w:t>examen</w:t>
      </w:r>
      <w:r>
        <w:rPr>
          <w:rFonts w:cstheme="minorHAnsi"/>
          <w:lang w:val="fr-CH"/>
        </w:rPr>
        <w:t xml:space="preserve"> de</w:t>
      </w:r>
      <w:r w:rsidR="00B075AB">
        <w:rPr>
          <w:rFonts w:cstheme="minorHAnsi"/>
          <w:lang w:val="fr-CH"/>
        </w:rPr>
        <w:t>s</w:t>
      </w:r>
      <w:r>
        <w:rPr>
          <w:rFonts w:cstheme="minorHAnsi"/>
          <w:lang w:val="fr-CH"/>
        </w:rPr>
        <w:t xml:space="preserve"> nouvelles étapes.  </w:t>
      </w:r>
    </w:p>
    <w:p w14:paraId="406135FE" w14:textId="77777777" w:rsidR="0007746C" w:rsidRPr="00A9769E" w:rsidRDefault="0007746C" w:rsidP="0007746C">
      <w:pPr>
        <w:spacing w:after="0" w:line="240" w:lineRule="auto"/>
        <w:ind w:left="567" w:hanging="567"/>
        <w:rPr>
          <w:rFonts w:cstheme="minorHAnsi"/>
          <w:lang w:val="fr-CH"/>
        </w:rPr>
      </w:pPr>
    </w:p>
    <w:p w14:paraId="6C612513" w14:textId="65D27B31" w:rsidR="0007746C" w:rsidRPr="00A9769E" w:rsidRDefault="0007746C" w:rsidP="0007746C">
      <w:pPr>
        <w:spacing w:after="0" w:line="240" w:lineRule="auto"/>
        <w:ind w:left="567" w:hanging="567"/>
        <w:rPr>
          <w:lang w:val="fr-CH"/>
        </w:rPr>
      </w:pPr>
      <w:r w:rsidRPr="00A9769E">
        <w:rPr>
          <w:lang w:val="fr-CH"/>
        </w:rPr>
        <w:t>1</w:t>
      </w:r>
      <w:r w:rsidR="00827019">
        <w:rPr>
          <w:lang w:val="fr-CH"/>
        </w:rPr>
        <w:t>17</w:t>
      </w:r>
      <w:r w:rsidRPr="00A9769E">
        <w:rPr>
          <w:lang w:val="fr-CH"/>
        </w:rPr>
        <w:t>.</w:t>
      </w:r>
      <w:r w:rsidRPr="00A9769E">
        <w:rPr>
          <w:lang w:val="fr-CH"/>
        </w:rPr>
        <w:tab/>
      </w:r>
      <w:r>
        <w:rPr>
          <w:lang w:val="fr-CH"/>
        </w:rPr>
        <w:t xml:space="preserve">D’autres membres du Comité permanent offrent de partager leur expérience au niveau national et les enseignements tirés de la préparation des inventaires des zones humides ; et encouragent à examiner les inventaires nationaux dans d’autres forums, y compris pour veiller à une utilisation cohérente de la typologie des zones humides. </w:t>
      </w:r>
    </w:p>
    <w:p w14:paraId="65D835A6" w14:textId="77777777" w:rsidR="0007746C" w:rsidRPr="00A9769E" w:rsidRDefault="0007746C" w:rsidP="0007746C">
      <w:pPr>
        <w:spacing w:after="0" w:line="240" w:lineRule="auto"/>
        <w:rPr>
          <w:lang w:val="fr-CH"/>
        </w:rPr>
      </w:pPr>
    </w:p>
    <w:p w14:paraId="328F02F0" w14:textId="1AAA35C5" w:rsidR="0007746C" w:rsidRPr="00A9769E" w:rsidRDefault="0007746C" w:rsidP="0007746C">
      <w:pPr>
        <w:spacing w:after="0" w:line="240" w:lineRule="auto"/>
        <w:ind w:left="567" w:hanging="567"/>
        <w:rPr>
          <w:lang w:val="fr-CH"/>
        </w:rPr>
      </w:pPr>
      <w:r w:rsidRPr="00A9769E">
        <w:rPr>
          <w:rFonts w:cstheme="minorHAnsi"/>
          <w:lang w:val="fr-CH"/>
        </w:rPr>
        <w:t>1</w:t>
      </w:r>
      <w:r w:rsidR="00A41184">
        <w:rPr>
          <w:rFonts w:cstheme="minorHAnsi"/>
          <w:lang w:val="fr-CH"/>
        </w:rPr>
        <w:t>18</w:t>
      </w:r>
      <w:r w:rsidRPr="00A9769E">
        <w:rPr>
          <w:rFonts w:cstheme="minorHAnsi"/>
          <w:lang w:val="fr-CH"/>
        </w:rPr>
        <w:t>.</w:t>
      </w:r>
      <w:r w:rsidRPr="00A9769E">
        <w:rPr>
          <w:rFonts w:cstheme="minorHAnsi"/>
          <w:lang w:val="fr-CH"/>
        </w:rPr>
        <w:tab/>
      </w:r>
      <w:r>
        <w:rPr>
          <w:rFonts w:cstheme="minorHAnsi"/>
          <w:lang w:val="fr-CH"/>
        </w:rPr>
        <w:t xml:space="preserve">L’Autriche, le Brésil, la Géorgie et la Suède interviennent dans la discussion. </w:t>
      </w:r>
    </w:p>
    <w:p w14:paraId="33707EAA" w14:textId="77777777" w:rsidR="0007746C" w:rsidRPr="00A9769E" w:rsidRDefault="0007746C" w:rsidP="0007746C">
      <w:pPr>
        <w:spacing w:after="0" w:line="240" w:lineRule="auto"/>
        <w:ind w:left="720" w:hanging="720"/>
        <w:rPr>
          <w:lang w:val="fr-CH"/>
        </w:rPr>
      </w:pPr>
    </w:p>
    <w:p w14:paraId="7DB8128D" w14:textId="77777777" w:rsidR="0007746C" w:rsidRPr="00A9769E" w:rsidRDefault="0007746C" w:rsidP="0007746C">
      <w:pPr>
        <w:spacing w:after="0" w:line="240" w:lineRule="auto"/>
        <w:contextualSpacing/>
        <w:rPr>
          <w:lang w:val="fr-CH"/>
        </w:rPr>
      </w:pPr>
      <w:r w:rsidRPr="00A9769E">
        <w:rPr>
          <w:rFonts w:cstheme="minorHAnsi"/>
          <w:b/>
          <w:lang w:val="fr-CH"/>
        </w:rPr>
        <w:t xml:space="preserve">Décision SC62-50 : </w:t>
      </w:r>
      <w:r>
        <w:rPr>
          <w:rFonts w:cstheme="minorHAnsi"/>
          <w:b/>
          <w:lang w:val="fr-CH"/>
        </w:rPr>
        <w:t>Le Comité permanent demande au Groupe d’évaluation scientifique et technique de débattre de l’application du système actuel de classification des zones humides Ramsar à sa 26</w:t>
      </w:r>
      <w:r w:rsidRPr="00063615">
        <w:rPr>
          <w:rFonts w:cstheme="minorHAnsi"/>
          <w:b/>
          <w:vertAlign w:val="superscript"/>
          <w:lang w:val="fr-CH"/>
        </w:rPr>
        <w:t>e</w:t>
      </w:r>
      <w:r>
        <w:rPr>
          <w:rFonts w:cstheme="minorHAnsi"/>
          <w:b/>
          <w:lang w:val="fr-CH"/>
        </w:rPr>
        <w:t> réunion et de faire rapport à la 63</w:t>
      </w:r>
      <w:r w:rsidRPr="00063615">
        <w:rPr>
          <w:rFonts w:cstheme="minorHAnsi"/>
          <w:b/>
          <w:vertAlign w:val="superscript"/>
          <w:lang w:val="fr-CH"/>
        </w:rPr>
        <w:t>e</w:t>
      </w:r>
      <w:r>
        <w:rPr>
          <w:rFonts w:cstheme="minorHAnsi"/>
          <w:b/>
          <w:lang w:val="fr-CH"/>
        </w:rPr>
        <w:t> Réunion du Comité permanent avec, si nécessaire, une esquisse d’approche proposée pour un examen technique, en consultation avec les Parties contractantes, les Organisations internationales partenaires et d’autres accords multilatéraux sur l’environnement, et demande au GEST d’examiner le recours à une enquête auprès des Correspondants nationaux du GEST pour rassembler des données d’expérience techniques de différentes régions sur le système de classification.</w:t>
      </w:r>
      <w:r w:rsidRPr="00A9769E">
        <w:rPr>
          <w:b/>
          <w:bCs/>
          <w:lang w:val="fr-CH"/>
        </w:rPr>
        <w:t xml:space="preserve"> </w:t>
      </w:r>
      <w:r w:rsidRPr="00A9769E">
        <w:rPr>
          <w:rFonts w:cstheme="minorHAnsi"/>
          <w:b/>
          <w:bCs/>
          <w:lang w:val="fr-CH"/>
        </w:rPr>
        <w:t xml:space="preserve">  </w:t>
      </w:r>
    </w:p>
    <w:p w14:paraId="19ACA06A" w14:textId="77777777" w:rsidR="0007746C" w:rsidRPr="00A9769E" w:rsidRDefault="0007746C" w:rsidP="0007746C">
      <w:pPr>
        <w:spacing w:after="0" w:line="240" w:lineRule="auto"/>
        <w:contextualSpacing/>
        <w:rPr>
          <w:rFonts w:cstheme="minorHAnsi"/>
          <w:b/>
          <w:lang w:val="fr-CH"/>
        </w:rPr>
      </w:pPr>
    </w:p>
    <w:p w14:paraId="0E92B949" w14:textId="77777777" w:rsidR="0007746C" w:rsidRPr="00A9769E" w:rsidRDefault="0007746C" w:rsidP="0007746C">
      <w:pPr>
        <w:spacing w:after="0" w:line="240" w:lineRule="auto"/>
        <w:contextualSpacing/>
        <w:rPr>
          <w:rFonts w:cstheme="minorHAnsi"/>
          <w:b/>
          <w:lang w:val="fr-CH"/>
        </w:rPr>
      </w:pPr>
    </w:p>
    <w:p w14:paraId="15640924" w14:textId="77777777" w:rsidR="0007746C" w:rsidRPr="00665D54" w:rsidRDefault="0007746C" w:rsidP="0007746C">
      <w:pPr>
        <w:keepNext/>
        <w:spacing w:after="0" w:line="240" w:lineRule="auto"/>
        <w:outlineLvl w:val="0"/>
        <w:rPr>
          <w:rFonts w:cstheme="minorHAnsi"/>
          <w:b/>
          <w:lang w:val="fr-FR"/>
        </w:rPr>
      </w:pPr>
      <w:r w:rsidRPr="00665D54">
        <w:rPr>
          <w:rFonts w:cstheme="minorHAnsi"/>
          <w:b/>
          <w:lang w:val="fr-FR"/>
        </w:rPr>
        <w:t>Vendredi 8 septembre 2023</w:t>
      </w:r>
    </w:p>
    <w:p w14:paraId="39BF5E4E" w14:textId="77777777" w:rsidR="0007746C" w:rsidRPr="00665D54" w:rsidRDefault="0007746C" w:rsidP="0007746C">
      <w:pPr>
        <w:keepNext/>
        <w:spacing w:after="0" w:line="240" w:lineRule="auto"/>
        <w:rPr>
          <w:rFonts w:cstheme="minorHAnsi"/>
          <w:b/>
          <w:lang w:val="fr-FR"/>
        </w:rPr>
      </w:pPr>
    </w:p>
    <w:p w14:paraId="7D91A0F6" w14:textId="77777777" w:rsidR="0007746C" w:rsidRPr="00665D54" w:rsidRDefault="0007746C" w:rsidP="0007746C">
      <w:pPr>
        <w:keepNext/>
        <w:spacing w:after="0" w:line="240" w:lineRule="auto"/>
        <w:rPr>
          <w:rFonts w:cstheme="minorHAnsi"/>
          <w:b/>
          <w:bCs/>
          <w:lang w:val="fr-FR"/>
        </w:rPr>
      </w:pPr>
      <w:r w:rsidRPr="00665D54">
        <w:rPr>
          <w:rFonts w:cstheme="minorHAnsi"/>
          <w:b/>
          <w:lang w:val="fr-FR"/>
        </w:rPr>
        <w:t xml:space="preserve">10:00 – 13:00 </w:t>
      </w:r>
      <w:r w:rsidRPr="00665D54">
        <w:rPr>
          <w:rFonts w:cstheme="minorHAnsi"/>
          <w:b/>
          <w:lang w:val="fr-FR"/>
        </w:rPr>
        <w:tab/>
      </w:r>
      <w:r w:rsidRPr="00EE162B">
        <w:rPr>
          <w:rFonts w:cstheme="minorHAnsi"/>
          <w:b/>
          <w:lang w:val="fr-CH"/>
        </w:rPr>
        <w:t>Séance plénière du Comité permanent</w:t>
      </w:r>
    </w:p>
    <w:p w14:paraId="56D8FA46" w14:textId="77777777" w:rsidR="0007746C" w:rsidRPr="00665D54" w:rsidRDefault="0007746C" w:rsidP="0007746C">
      <w:pPr>
        <w:keepNext/>
        <w:spacing w:after="0" w:line="240" w:lineRule="auto"/>
        <w:rPr>
          <w:rFonts w:cstheme="minorHAnsi"/>
          <w:lang w:val="fr-FR"/>
        </w:rPr>
      </w:pPr>
    </w:p>
    <w:p w14:paraId="5D06217A" w14:textId="77777777" w:rsidR="0007746C" w:rsidRPr="00665D54"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bookmarkStart w:id="6" w:name="_Hlk145056792"/>
      <w:r w:rsidRPr="00EE162B">
        <w:rPr>
          <w:rFonts w:cstheme="minorHAnsi"/>
          <w:bCs/>
          <w:lang w:val="fr-CH"/>
        </w:rPr>
        <w:t xml:space="preserve">Point </w:t>
      </w:r>
      <w:r>
        <w:rPr>
          <w:rFonts w:cstheme="minorHAnsi"/>
          <w:bCs/>
          <w:lang w:val="fr-CH"/>
        </w:rPr>
        <w:t>11</w:t>
      </w:r>
      <w:r w:rsidRPr="00EE162B">
        <w:rPr>
          <w:rFonts w:cstheme="minorHAnsi"/>
          <w:bCs/>
          <w:lang w:val="fr-CH"/>
        </w:rPr>
        <w:t xml:space="preserve"> de l’ordre du jour :</w:t>
      </w:r>
      <w:r w:rsidRPr="00425384">
        <w:rPr>
          <w:rFonts w:cstheme="minorHAnsi"/>
          <w:bCs/>
          <w:lang w:val="fr-FR"/>
        </w:rPr>
        <w:t xml:space="preserve"> </w:t>
      </w:r>
      <w:r w:rsidRPr="000C1AD4">
        <w:rPr>
          <w:lang w:val="fr-FR"/>
        </w:rPr>
        <w:t>Rapport du Secrétariat sur le renforcement institutionnel pour soutenir</w:t>
      </w:r>
      <w:r>
        <w:rPr>
          <w:lang w:val="fr-FR"/>
        </w:rPr>
        <w:t xml:space="preserve"> </w:t>
      </w:r>
      <w:r w:rsidRPr="00F45F01">
        <w:rPr>
          <w:lang w:val="fr-CH"/>
        </w:rPr>
        <w:t>l’application de la Convention</w:t>
      </w:r>
      <w:r w:rsidRPr="00665D54">
        <w:rPr>
          <w:lang w:val="fr-FR"/>
        </w:rPr>
        <w:t xml:space="preserve"> (</w:t>
      </w:r>
      <w:r>
        <w:rPr>
          <w:lang w:val="fr-FR"/>
        </w:rPr>
        <w:t>suite</w:t>
      </w:r>
      <w:r w:rsidRPr="00665D54">
        <w:rPr>
          <w:lang w:val="fr-FR"/>
        </w:rPr>
        <w:t>)</w:t>
      </w:r>
    </w:p>
    <w:bookmarkEnd w:id="6"/>
    <w:p w14:paraId="4F3F1B30" w14:textId="77777777" w:rsidR="0007746C" w:rsidRPr="00665D54" w:rsidRDefault="0007746C" w:rsidP="0007746C">
      <w:pPr>
        <w:spacing w:after="0" w:line="240" w:lineRule="auto"/>
        <w:ind w:left="567" w:hanging="567"/>
        <w:rPr>
          <w:rFonts w:eastAsia="Calibri" w:cstheme="minorHAnsi"/>
          <w:bCs/>
          <w:lang w:val="fr-FR"/>
        </w:rPr>
      </w:pPr>
    </w:p>
    <w:p w14:paraId="4302E06C" w14:textId="5DF94958" w:rsidR="0007746C" w:rsidRPr="00677BE0" w:rsidRDefault="0007746C" w:rsidP="0007746C">
      <w:pPr>
        <w:spacing w:after="0" w:line="240" w:lineRule="auto"/>
        <w:ind w:left="567" w:hanging="567"/>
        <w:rPr>
          <w:rFonts w:eastAsia="Calibri" w:cstheme="minorHAnsi"/>
          <w:bCs/>
          <w:lang w:val="fr-CH"/>
        </w:rPr>
      </w:pPr>
      <w:r w:rsidRPr="00922BD7">
        <w:rPr>
          <w:rFonts w:eastAsia="Calibri" w:cstheme="minorHAnsi"/>
          <w:bCs/>
          <w:lang w:val="fr-FR"/>
        </w:rPr>
        <w:t>1</w:t>
      </w:r>
      <w:r w:rsidR="00B075AB">
        <w:rPr>
          <w:rFonts w:eastAsia="Calibri" w:cstheme="minorHAnsi"/>
          <w:bCs/>
          <w:lang w:val="fr-FR"/>
        </w:rPr>
        <w:t>19</w:t>
      </w:r>
      <w:r w:rsidRPr="00922BD7">
        <w:rPr>
          <w:rFonts w:eastAsia="Calibri" w:cstheme="minorHAnsi"/>
          <w:bCs/>
          <w:lang w:val="fr-FR"/>
        </w:rPr>
        <w:t>.</w:t>
      </w:r>
      <w:r w:rsidRPr="00922BD7">
        <w:rPr>
          <w:rFonts w:eastAsia="Calibri" w:cstheme="minorHAnsi"/>
          <w:bCs/>
          <w:lang w:val="fr-FR"/>
        </w:rPr>
        <w:tab/>
      </w:r>
      <w:r w:rsidRPr="00850A02">
        <w:rPr>
          <w:rFonts w:eastAsia="Calibri" w:cstheme="minorHAnsi"/>
          <w:bCs/>
          <w:lang w:val="fr-FR"/>
        </w:rPr>
        <w:t>L’Afrique du Sud, qui préside le Groupe de travail</w:t>
      </w:r>
      <w:r w:rsidR="00B075AB" w:rsidRPr="00B075AB">
        <w:rPr>
          <w:lang w:val="fr-FR"/>
        </w:rPr>
        <w:t xml:space="preserve"> </w:t>
      </w:r>
      <w:r w:rsidR="00B075AB" w:rsidRPr="000C1AD4">
        <w:rPr>
          <w:lang w:val="fr-FR"/>
        </w:rPr>
        <w:t>sur le renforcement institutionnel</w:t>
      </w:r>
      <w:r w:rsidRPr="00850A02">
        <w:rPr>
          <w:rFonts w:eastAsia="Calibri" w:cstheme="minorHAnsi"/>
          <w:bCs/>
          <w:lang w:val="fr-FR"/>
        </w:rPr>
        <w:t>, signale à la plénière que le groupe a terminé sa réflexion et a convenu du cahier des charges du Groupe de travail chargé de piloter le processus visant à assurer le renforcement institutionnel pour soutenir l’application de la Convention. Elle ajoute</w:t>
      </w:r>
      <w:r>
        <w:rPr>
          <w:rFonts w:eastAsia="Calibri" w:cstheme="minorHAnsi"/>
          <w:bCs/>
          <w:lang w:val="fr-FR"/>
        </w:rPr>
        <w:t xml:space="preserve"> que le cahier des charges a été </w:t>
      </w:r>
      <w:r w:rsidR="00B075AB">
        <w:rPr>
          <w:rFonts w:eastAsia="Calibri" w:cstheme="minorHAnsi"/>
          <w:bCs/>
          <w:lang w:val="fr-FR"/>
        </w:rPr>
        <w:t>mis à la disposition du</w:t>
      </w:r>
      <w:r>
        <w:rPr>
          <w:rFonts w:eastAsia="Calibri" w:cstheme="minorHAnsi"/>
          <w:bCs/>
          <w:lang w:val="fr-FR"/>
        </w:rPr>
        <w:t xml:space="preserve"> </w:t>
      </w:r>
      <w:r w:rsidRPr="00CC2268">
        <w:rPr>
          <w:rFonts w:eastAsia="Calibri" w:cstheme="minorHAnsi"/>
          <w:bCs/>
          <w:lang w:val="fr-FR"/>
        </w:rPr>
        <w:t>Comité permanent</w:t>
      </w:r>
      <w:r w:rsidR="00B075AB" w:rsidRPr="00B075AB">
        <w:rPr>
          <w:rFonts w:eastAsia="Calibri" w:cstheme="minorHAnsi"/>
          <w:bCs/>
          <w:lang w:val="fr-FR"/>
        </w:rPr>
        <w:t xml:space="preserve"> </w:t>
      </w:r>
      <w:r w:rsidR="00B075AB">
        <w:rPr>
          <w:rFonts w:eastAsia="Calibri" w:cstheme="minorHAnsi"/>
          <w:bCs/>
          <w:lang w:val="fr-FR"/>
        </w:rPr>
        <w:t>le jeudi 7 septembre 2023</w:t>
      </w:r>
      <w:r>
        <w:rPr>
          <w:rFonts w:eastAsia="Calibri" w:cstheme="minorHAnsi"/>
          <w:bCs/>
          <w:lang w:val="fr-FR"/>
        </w:rPr>
        <w:t>.</w:t>
      </w:r>
    </w:p>
    <w:p w14:paraId="60685CDC" w14:textId="77777777" w:rsidR="0007746C" w:rsidRPr="00677BE0" w:rsidRDefault="0007746C" w:rsidP="0007746C">
      <w:pPr>
        <w:spacing w:after="0" w:line="240" w:lineRule="auto"/>
        <w:ind w:left="567" w:hanging="567"/>
        <w:rPr>
          <w:rFonts w:eastAsia="Calibri" w:cstheme="minorHAnsi"/>
          <w:bCs/>
          <w:lang w:val="fr-CH"/>
        </w:rPr>
      </w:pPr>
    </w:p>
    <w:p w14:paraId="1EBF44A8" w14:textId="64645938"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lastRenderedPageBreak/>
        <w:t>120</w:t>
      </w:r>
      <w:r w:rsidR="0007746C" w:rsidRPr="00677BE0">
        <w:rPr>
          <w:rFonts w:eastAsia="Calibri" w:cstheme="minorHAnsi"/>
          <w:bCs/>
          <w:lang w:val="fr-CH"/>
        </w:rPr>
        <w:t>.</w:t>
      </w:r>
      <w:r w:rsidR="0007746C" w:rsidRPr="00677BE0">
        <w:rPr>
          <w:rFonts w:eastAsia="Calibri" w:cstheme="minorHAnsi"/>
          <w:bCs/>
          <w:lang w:val="fr-CH"/>
        </w:rPr>
        <w:tab/>
      </w:r>
      <w:r w:rsidR="0007746C" w:rsidRPr="00850A02">
        <w:rPr>
          <w:rFonts w:eastAsia="Calibri" w:cstheme="minorHAnsi"/>
          <w:bCs/>
          <w:lang w:val="fr-CH"/>
        </w:rPr>
        <w:t xml:space="preserve">Un membre du Comité permanent suggère de supprimer une référence à la possibilité de faire appel à des outils de collaboration largement utilisés comme SharePoint, et </w:t>
      </w:r>
      <w:r w:rsidR="0007746C">
        <w:rPr>
          <w:rFonts w:eastAsia="Calibri" w:cstheme="minorHAnsi"/>
          <w:bCs/>
          <w:lang w:val="fr-CH"/>
        </w:rPr>
        <w:t xml:space="preserve">de </w:t>
      </w:r>
      <w:r w:rsidR="0007746C" w:rsidRPr="00850A02">
        <w:rPr>
          <w:rFonts w:eastAsia="Calibri" w:cstheme="minorHAnsi"/>
          <w:bCs/>
          <w:lang w:val="fr-CH"/>
        </w:rPr>
        <w:t>proposer une plateforme sur mesure, intégrée et sécurisée</w:t>
      </w:r>
      <w:r w:rsidR="0007746C" w:rsidRPr="00677BE0">
        <w:rPr>
          <w:rFonts w:eastAsia="Calibri" w:cstheme="minorHAnsi"/>
          <w:bCs/>
          <w:lang w:val="fr-CH"/>
        </w:rPr>
        <w:t>.</w:t>
      </w:r>
    </w:p>
    <w:p w14:paraId="2AB9A79E" w14:textId="77777777" w:rsidR="0007746C" w:rsidRPr="00677BE0" w:rsidRDefault="0007746C" w:rsidP="0007746C">
      <w:pPr>
        <w:spacing w:after="0" w:line="240" w:lineRule="auto"/>
        <w:ind w:left="567" w:hanging="567"/>
        <w:rPr>
          <w:rFonts w:eastAsia="Calibri" w:cstheme="minorHAnsi"/>
          <w:bCs/>
          <w:lang w:val="fr-CH"/>
        </w:rPr>
      </w:pPr>
    </w:p>
    <w:p w14:paraId="2F600FEC" w14:textId="5B5262AB" w:rsidR="0007746C" w:rsidRPr="00CC2268" w:rsidRDefault="00B075AB" w:rsidP="0007746C">
      <w:pPr>
        <w:spacing w:after="0" w:line="240" w:lineRule="auto"/>
        <w:ind w:left="567" w:hanging="567"/>
        <w:rPr>
          <w:rFonts w:eastAsia="Calibri" w:cstheme="minorHAnsi"/>
          <w:bCs/>
          <w:lang w:val="fr-CH"/>
        </w:rPr>
      </w:pPr>
      <w:r>
        <w:rPr>
          <w:rFonts w:eastAsia="Calibri" w:cstheme="minorHAnsi"/>
          <w:bCs/>
          <w:lang w:val="fr-CH"/>
        </w:rPr>
        <w:t>121</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Un membre du Comité permanent souligne que, selon la Résolution </w:t>
      </w:r>
      <w:r w:rsidR="0007746C" w:rsidRPr="00677BE0">
        <w:rPr>
          <w:rFonts w:eastAsia="Calibri" w:cstheme="minorHAnsi"/>
          <w:bCs/>
          <w:lang w:val="fr-CH"/>
        </w:rPr>
        <w:t xml:space="preserve">XIV.3, </w:t>
      </w:r>
      <w:r w:rsidR="0007746C">
        <w:rPr>
          <w:rFonts w:eastAsia="Calibri" w:cstheme="minorHAnsi"/>
          <w:bCs/>
          <w:lang w:val="fr-CH"/>
        </w:rPr>
        <w:t xml:space="preserve">le cahier des charges est </w:t>
      </w:r>
      <w:r w:rsidR="0007746C" w:rsidRPr="00CC2268">
        <w:rPr>
          <w:rFonts w:eastAsia="Calibri" w:cstheme="minorHAnsi"/>
          <w:bCs/>
          <w:lang w:val="fr-CH"/>
        </w:rPr>
        <w:t xml:space="preserve">présenté par le Groupe de travail au Comité permanent, soulignant qu’il n’est pas ouvert à plus amples discussions. </w:t>
      </w:r>
    </w:p>
    <w:p w14:paraId="134F9B11" w14:textId="77777777" w:rsidR="0007746C" w:rsidRPr="00677BE0" w:rsidRDefault="0007746C" w:rsidP="0007746C">
      <w:pPr>
        <w:spacing w:after="0" w:line="240" w:lineRule="auto"/>
        <w:ind w:left="567" w:hanging="567"/>
        <w:rPr>
          <w:rFonts w:eastAsia="Calibri" w:cstheme="minorHAnsi"/>
          <w:bCs/>
          <w:lang w:val="fr-CH"/>
        </w:rPr>
      </w:pPr>
    </w:p>
    <w:p w14:paraId="6FFC95D8" w14:textId="5806B43B"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t>122</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Après les débats et l’intervention du Conseiller juridique, le Comité permanent </w:t>
      </w:r>
      <w:r w:rsidR="0007746C" w:rsidRPr="00CC2268">
        <w:rPr>
          <w:rFonts w:eastAsia="Calibri" w:cstheme="minorHAnsi"/>
          <w:bCs/>
          <w:lang w:val="fr-CH"/>
        </w:rPr>
        <w:t xml:space="preserve">prend note du </w:t>
      </w:r>
      <w:r w:rsidR="0007746C">
        <w:rPr>
          <w:rFonts w:eastAsia="Calibri" w:cstheme="minorHAnsi"/>
          <w:bCs/>
          <w:lang w:val="fr-CH"/>
        </w:rPr>
        <w:t xml:space="preserve">cahier des charges présenté par le Groupe de travail, qui se trouve dans le document </w:t>
      </w:r>
      <w:r w:rsidR="0007746C" w:rsidRPr="00677BE0">
        <w:rPr>
          <w:rFonts w:eastAsia="Calibri" w:cstheme="minorHAnsi"/>
          <w:bCs/>
          <w:lang w:val="fr-CH"/>
        </w:rPr>
        <w:t>SC62 Com.2.</w:t>
      </w:r>
    </w:p>
    <w:p w14:paraId="480D61ED" w14:textId="77777777" w:rsidR="0007746C" w:rsidRPr="00677BE0" w:rsidRDefault="0007746C" w:rsidP="0007746C">
      <w:pPr>
        <w:spacing w:after="0" w:line="240" w:lineRule="auto"/>
        <w:ind w:left="567" w:hanging="567"/>
        <w:rPr>
          <w:rFonts w:eastAsia="Calibri" w:cstheme="minorHAnsi"/>
          <w:bCs/>
          <w:lang w:val="fr-CH"/>
        </w:rPr>
      </w:pPr>
    </w:p>
    <w:p w14:paraId="44728EA6" w14:textId="0EF3A97E"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t>123</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La Colombie et la Suède interviennent dans la discussion. </w:t>
      </w:r>
    </w:p>
    <w:p w14:paraId="79D75011" w14:textId="77777777" w:rsidR="0007746C" w:rsidRPr="00850A02" w:rsidRDefault="0007746C" w:rsidP="0007746C">
      <w:pPr>
        <w:spacing w:after="0" w:line="240" w:lineRule="auto"/>
        <w:ind w:left="567" w:hanging="567"/>
        <w:rPr>
          <w:rFonts w:cstheme="minorHAnsi"/>
          <w:lang w:val="fr-FR"/>
        </w:rPr>
      </w:pPr>
    </w:p>
    <w:p w14:paraId="54278D3E" w14:textId="77777777" w:rsidR="0007746C" w:rsidRPr="00850A02" w:rsidRDefault="0007746C" w:rsidP="0007746C">
      <w:pPr>
        <w:spacing w:after="0" w:line="240" w:lineRule="auto"/>
        <w:rPr>
          <w:b/>
          <w:bCs/>
          <w:lang w:val="fr-FR"/>
        </w:rPr>
      </w:pPr>
      <w:r w:rsidRPr="00850A02">
        <w:rPr>
          <w:b/>
          <w:bCs/>
          <w:lang w:val="fr-FR"/>
        </w:rPr>
        <w:t xml:space="preserve">Décision SC62-51 : </w:t>
      </w:r>
      <w:r w:rsidRPr="00850A02">
        <w:rPr>
          <w:rFonts w:cstheme="minorHAnsi"/>
          <w:b/>
          <w:lang w:val="fr-FR"/>
        </w:rPr>
        <w:t>Le Comité permanent prend note du cahier des charges convenu par le Groupe de travail et présenté à la 62</w:t>
      </w:r>
      <w:r w:rsidRPr="00850A02">
        <w:rPr>
          <w:rFonts w:cstheme="minorHAnsi"/>
          <w:b/>
          <w:vertAlign w:val="superscript"/>
          <w:lang w:val="fr-FR"/>
        </w:rPr>
        <w:t>e</w:t>
      </w:r>
      <w:r w:rsidRPr="00850A02">
        <w:rPr>
          <w:rFonts w:cstheme="minorHAnsi"/>
          <w:b/>
          <w:lang w:val="fr-FR"/>
        </w:rPr>
        <w:t xml:space="preserve"> Réunion du Comité permanent dans le</w:t>
      </w:r>
      <w:r w:rsidRPr="00850A02">
        <w:rPr>
          <w:b/>
          <w:bCs/>
          <w:lang w:val="fr-FR"/>
        </w:rPr>
        <w:t xml:space="preserve"> document SC62 Com.2.</w:t>
      </w:r>
    </w:p>
    <w:p w14:paraId="0C62611D" w14:textId="77777777" w:rsidR="0007746C" w:rsidRPr="00850A02" w:rsidRDefault="0007746C" w:rsidP="0007746C">
      <w:pPr>
        <w:spacing w:after="0" w:line="240" w:lineRule="auto"/>
        <w:rPr>
          <w:b/>
          <w:bCs/>
          <w:lang w:val="fr-FR"/>
        </w:rPr>
      </w:pPr>
    </w:p>
    <w:p w14:paraId="353443FE" w14:textId="77777777" w:rsidR="0007746C" w:rsidRPr="00C4110A"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bookmarkStart w:id="7" w:name="_Hlk145068732"/>
      <w:r w:rsidRPr="00EE162B">
        <w:rPr>
          <w:rFonts w:cstheme="minorHAnsi"/>
          <w:bCs/>
          <w:lang w:val="fr-CH"/>
        </w:rPr>
        <w:t xml:space="preserve">Point </w:t>
      </w:r>
      <w:r>
        <w:rPr>
          <w:rFonts w:cstheme="minorHAnsi"/>
          <w:bCs/>
          <w:lang w:val="fr-CH"/>
        </w:rPr>
        <w:t>21</w:t>
      </w:r>
      <w:r w:rsidRPr="00EE162B">
        <w:rPr>
          <w:rFonts w:cstheme="minorHAnsi"/>
          <w:bCs/>
          <w:lang w:val="fr-CH"/>
        </w:rPr>
        <w:t xml:space="preserve"> de l’ordre du jour :</w:t>
      </w:r>
      <w:r w:rsidRPr="00425384">
        <w:rPr>
          <w:rFonts w:cstheme="minorHAnsi"/>
          <w:bCs/>
          <w:lang w:val="fr-FR"/>
        </w:rPr>
        <w:t xml:space="preserve"> </w:t>
      </w:r>
      <w:r w:rsidRPr="00C4110A">
        <w:rPr>
          <w:rFonts w:cstheme="minorHAnsi"/>
          <w:bCs/>
          <w:lang w:val="fr-FR"/>
        </w:rPr>
        <w:t>Rapport national pour la COP15 (</w:t>
      </w:r>
      <w:r>
        <w:rPr>
          <w:rFonts w:cstheme="minorHAnsi"/>
          <w:bCs/>
          <w:lang w:val="fr-FR"/>
        </w:rPr>
        <w:t>suite</w:t>
      </w:r>
      <w:r w:rsidRPr="00C4110A">
        <w:rPr>
          <w:rFonts w:cstheme="minorHAnsi"/>
          <w:bCs/>
          <w:lang w:val="fr-FR"/>
        </w:rPr>
        <w:t>)</w:t>
      </w:r>
    </w:p>
    <w:bookmarkEnd w:id="7"/>
    <w:p w14:paraId="3121326E" w14:textId="77777777" w:rsidR="0007746C" w:rsidRPr="00C4110A" w:rsidRDefault="0007746C" w:rsidP="0007746C">
      <w:pPr>
        <w:keepNext/>
        <w:spacing w:after="0" w:line="240" w:lineRule="auto"/>
        <w:ind w:left="720" w:hanging="720"/>
        <w:rPr>
          <w:rFonts w:eastAsia="Calibri" w:cstheme="minorHAnsi"/>
          <w:bCs/>
          <w:lang w:val="fr-FR"/>
        </w:rPr>
      </w:pPr>
    </w:p>
    <w:p w14:paraId="6198608E" w14:textId="210BFCAA"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t>124</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Le Brésil, qui préside </w:t>
      </w:r>
      <w:r w:rsidR="0007746C" w:rsidRPr="00A41184">
        <w:rPr>
          <w:rFonts w:eastAsia="Calibri" w:cstheme="minorHAnsi"/>
          <w:bCs/>
          <w:lang w:val="fr-CH"/>
        </w:rPr>
        <w:t xml:space="preserve">le </w:t>
      </w:r>
      <w:r w:rsidRPr="00A41184">
        <w:rPr>
          <w:rFonts w:eastAsia="Calibri" w:cstheme="minorHAnsi"/>
          <w:bCs/>
          <w:lang w:val="fr-CH"/>
        </w:rPr>
        <w:t>g</w:t>
      </w:r>
      <w:r w:rsidR="0007746C" w:rsidRPr="00A41184">
        <w:rPr>
          <w:rFonts w:eastAsia="Calibri" w:cstheme="minorHAnsi"/>
          <w:bCs/>
          <w:lang w:val="fr-CH"/>
        </w:rPr>
        <w:t xml:space="preserve">roupe de </w:t>
      </w:r>
      <w:r w:rsidRPr="00A41184">
        <w:rPr>
          <w:rFonts w:eastAsia="Calibri" w:cstheme="minorHAnsi"/>
          <w:bCs/>
          <w:lang w:val="fr-CH"/>
        </w:rPr>
        <w:t>contact</w:t>
      </w:r>
      <w:r w:rsidR="0007746C">
        <w:rPr>
          <w:rFonts w:eastAsia="Calibri" w:cstheme="minorHAnsi"/>
          <w:bCs/>
          <w:lang w:val="fr-CH"/>
        </w:rPr>
        <w:t xml:space="preserve">, rend compte des délibérations du </w:t>
      </w:r>
      <w:r>
        <w:rPr>
          <w:rFonts w:eastAsia="Calibri" w:cstheme="minorHAnsi"/>
          <w:bCs/>
          <w:lang w:val="fr-CH"/>
        </w:rPr>
        <w:t>g</w:t>
      </w:r>
      <w:r w:rsidR="0007746C">
        <w:rPr>
          <w:rFonts w:eastAsia="Calibri" w:cstheme="minorHAnsi"/>
          <w:bCs/>
          <w:lang w:val="fr-CH"/>
        </w:rPr>
        <w:t xml:space="preserve">roupe, notant que les Parties contractantes intéressées, après avoir examiné tous les commentaires et amendements présentés en plénière, ont trouvé un consensus sur un texte tenant compte de toutes les préoccupations qui </w:t>
      </w:r>
      <w:r w:rsidR="0007746C" w:rsidRPr="00CC2268">
        <w:rPr>
          <w:rFonts w:eastAsia="Calibri" w:cstheme="minorHAnsi"/>
          <w:bCs/>
          <w:lang w:val="fr-CH"/>
        </w:rPr>
        <w:t xml:space="preserve">sera présenté au Comité </w:t>
      </w:r>
      <w:r w:rsidR="0007746C">
        <w:rPr>
          <w:rFonts w:eastAsia="Calibri" w:cstheme="minorHAnsi"/>
          <w:bCs/>
          <w:lang w:val="fr-CH"/>
        </w:rPr>
        <w:t xml:space="preserve">permanent. </w:t>
      </w:r>
    </w:p>
    <w:p w14:paraId="2DBD0313" w14:textId="77777777" w:rsidR="0007746C" w:rsidRPr="00677BE0" w:rsidRDefault="0007746C" w:rsidP="0007746C">
      <w:pPr>
        <w:spacing w:after="0" w:line="240" w:lineRule="auto"/>
        <w:ind w:left="567" w:hanging="567"/>
        <w:rPr>
          <w:rFonts w:eastAsia="Calibri" w:cstheme="minorHAnsi"/>
          <w:bCs/>
          <w:lang w:val="fr-CH"/>
        </w:rPr>
      </w:pPr>
    </w:p>
    <w:p w14:paraId="472BC16D" w14:textId="53E56E1F"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t>125</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Le Président </w:t>
      </w:r>
      <w:r>
        <w:rPr>
          <w:rFonts w:eastAsia="Calibri" w:cstheme="minorHAnsi"/>
          <w:bCs/>
          <w:lang w:val="fr-CH"/>
        </w:rPr>
        <w:t xml:space="preserve">du Comité permanent </w:t>
      </w:r>
      <w:r w:rsidR="0007746C">
        <w:rPr>
          <w:rFonts w:eastAsia="Calibri" w:cstheme="minorHAnsi"/>
          <w:bCs/>
          <w:lang w:val="fr-CH"/>
        </w:rPr>
        <w:t xml:space="preserve">suggère que les membres du Comité permanent examinent les amendements inclus dans le </w:t>
      </w:r>
      <w:r w:rsidR="0007746C" w:rsidRPr="00677BE0">
        <w:rPr>
          <w:rFonts w:eastAsia="Calibri" w:cstheme="minorHAnsi"/>
          <w:bCs/>
          <w:lang w:val="fr-CH"/>
        </w:rPr>
        <w:t xml:space="preserve">document SC62 Com.3 </w:t>
      </w:r>
      <w:r w:rsidR="0007746C">
        <w:rPr>
          <w:rFonts w:eastAsia="Calibri" w:cstheme="minorHAnsi"/>
          <w:bCs/>
          <w:lang w:val="fr-CH"/>
        </w:rPr>
        <w:t>avant qu’il ne soit approuvé plus tard durant la réunion</w:t>
      </w:r>
      <w:r w:rsidR="0007746C" w:rsidRPr="00677BE0">
        <w:rPr>
          <w:rFonts w:eastAsia="Calibri" w:cstheme="minorHAnsi"/>
          <w:bCs/>
          <w:lang w:val="fr-CH"/>
        </w:rPr>
        <w:t>.</w:t>
      </w:r>
    </w:p>
    <w:p w14:paraId="74A83E0C" w14:textId="77777777" w:rsidR="0007746C" w:rsidRPr="00677BE0" w:rsidRDefault="0007746C" w:rsidP="0007746C">
      <w:pPr>
        <w:spacing w:after="0" w:line="240" w:lineRule="auto"/>
        <w:rPr>
          <w:b/>
          <w:bCs/>
          <w:lang w:val="fr-CH"/>
        </w:rPr>
      </w:pPr>
    </w:p>
    <w:p w14:paraId="75614F30" w14:textId="77777777" w:rsidR="0007746C" w:rsidRPr="00677BE0"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lang w:val="fr-CH"/>
        </w:rPr>
      </w:pPr>
      <w:r w:rsidRPr="00677BE0">
        <w:rPr>
          <w:rFonts w:cstheme="minorHAnsi"/>
          <w:bCs/>
          <w:lang w:val="fr-CH"/>
        </w:rPr>
        <w:t>Point 22 de l’ordre du jour : Mise à jour sur l’état des sites inscrits sur la Liste des zones humides d’importance internationale</w:t>
      </w:r>
    </w:p>
    <w:p w14:paraId="3127D5F5" w14:textId="77777777" w:rsidR="0007746C" w:rsidRPr="00677BE0" w:rsidRDefault="0007746C" w:rsidP="0007746C">
      <w:pPr>
        <w:spacing w:after="0" w:line="240" w:lineRule="auto"/>
        <w:ind w:left="567" w:hanging="567"/>
        <w:rPr>
          <w:rFonts w:eastAsia="Calibri" w:cstheme="minorHAnsi"/>
          <w:bCs/>
          <w:lang w:val="fr-CH"/>
        </w:rPr>
      </w:pPr>
    </w:p>
    <w:p w14:paraId="6047D2AC" w14:textId="7DF6A86A"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t>126</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Le Secrétariat présente le </w:t>
      </w:r>
      <w:r w:rsidR="0007746C" w:rsidRPr="00677BE0">
        <w:rPr>
          <w:rFonts w:eastAsia="Calibri" w:cstheme="minorHAnsi"/>
          <w:bCs/>
          <w:lang w:val="fr-CH"/>
        </w:rPr>
        <w:t xml:space="preserve">document SC62 Doc.22, </w:t>
      </w:r>
      <w:r w:rsidR="0007746C">
        <w:rPr>
          <w:rFonts w:eastAsia="Calibri" w:cstheme="minorHAnsi"/>
          <w:bCs/>
          <w:lang w:val="fr-CH"/>
        </w:rPr>
        <w:t>mettant en lumière, entre autres choses : les zones humides d’importance internationale nouvellement inscrites et les extensions de « Sites Ramsar » existants ; les sites pour lesquels l’information a été mise à jour ; et l’état des sites qui ont fait l’objet de rapports sur des changements négatifs induits par l’homme dans leurs caractéristiques écologiques. Le Secrétariat note que le document sera mis à jour après la réunion, avec les corrections reçues sur l’état de certains sites.</w:t>
      </w:r>
    </w:p>
    <w:p w14:paraId="3E69F2F1" w14:textId="77777777" w:rsidR="0007746C" w:rsidRPr="00677BE0" w:rsidRDefault="0007746C" w:rsidP="0007746C">
      <w:pPr>
        <w:spacing w:after="0" w:line="240" w:lineRule="auto"/>
        <w:ind w:left="567" w:hanging="567"/>
        <w:rPr>
          <w:rFonts w:eastAsia="Calibri" w:cstheme="minorHAnsi"/>
          <w:bCs/>
          <w:lang w:val="fr-CH"/>
        </w:rPr>
      </w:pPr>
    </w:p>
    <w:p w14:paraId="0199D4F5" w14:textId="70AB65ED"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t>127</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Certains membres du Comité permanent suggèrent : de simplifier la présentation et de faciliter et rationaliser la marche à suivre pour compléter les Fiches descriptives Ramsar (FDR) pour des sites nouveaux </w:t>
      </w:r>
      <w:r>
        <w:rPr>
          <w:rFonts w:eastAsia="Calibri" w:cstheme="minorHAnsi"/>
          <w:bCs/>
          <w:lang w:val="fr-CH"/>
        </w:rPr>
        <w:t>ou</w:t>
      </w:r>
      <w:r w:rsidR="0007746C">
        <w:rPr>
          <w:rFonts w:eastAsia="Calibri" w:cstheme="minorHAnsi"/>
          <w:bCs/>
          <w:lang w:val="fr-CH"/>
        </w:rPr>
        <w:t xml:space="preserve"> mis à jour, en tenant compte de</w:t>
      </w:r>
      <w:r>
        <w:rPr>
          <w:rFonts w:eastAsia="Calibri" w:cstheme="minorHAnsi"/>
          <w:bCs/>
          <w:lang w:val="fr-CH"/>
        </w:rPr>
        <w:t>s</w:t>
      </w:r>
      <w:r w:rsidR="0007746C">
        <w:rPr>
          <w:rFonts w:eastAsia="Calibri" w:cstheme="minorHAnsi"/>
          <w:bCs/>
          <w:lang w:val="fr-CH"/>
        </w:rPr>
        <w:t xml:space="preserve"> contraintes en ressources humaines et financières et du taux de rotation du personnel durant le processus ; d’examiner la fréquence requise des mises à jour des FDR ; d’envoyer des notifications aux Parties possédant des sites pour lesquels une mise à jour est bientôt due ; de donner instruction au Secrétariat de préparer le rapport sur l’état de la </w:t>
      </w:r>
      <w:r w:rsidR="0007746C" w:rsidRPr="00A41184">
        <w:rPr>
          <w:rFonts w:eastAsia="Calibri" w:cstheme="minorHAnsi"/>
          <w:bCs/>
          <w:lang w:val="fr-CH"/>
        </w:rPr>
        <w:t xml:space="preserve">Liste </w:t>
      </w:r>
      <w:r w:rsidRPr="00A41184">
        <w:rPr>
          <w:rFonts w:eastAsia="Calibri" w:cstheme="minorHAnsi"/>
          <w:bCs/>
          <w:lang w:val="fr-CH"/>
        </w:rPr>
        <w:t>des zones humides d’importance internationale</w:t>
      </w:r>
      <w:r w:rsidR="0007746C" w:rsidRPr="00A41184">
        <w:rPr>
          <w:rFonts w:eastAsia="Calibri" w:cstheme="minorHAnsi"/>
          <w:bCs/>
          <w:lang w:val="fr-CH"/>
        </w:rPr>
        <w:t xml:space="preserve"> une fois seulement </w:t>
      </w:r>
      <w:r w:rsidR="0007746C">
        <w:rPr>
          <w:rFonts w:eastAsia="Calibri" w:cstheme="minorHAnsi"/>
          <w:bCs/>
          <w:lang w:val="fr-CH"/>
        </w:rPr>
        <w:t xml:space="preserve">par période triennale, pour présentation à la COP ; et de convoquer une réunion pour toutes les Parties contractantes qui </w:t>
      </w:r>
      <w:r>
        <w:rPr>
          <w:rFonts w:eastAsia="Calibri" w:cstheme="minorHAnsi"/>
          <w:bCs/>
          <w:lang w:val="fr-CH"/>
        </w:rPr>
        <w:t>éprouvent</w:t>
      </w:r>
      <w:r w:rsidR="0007746C">
        <w:rPr>
          <w:rFonts w:eastAsia="Calibri" w:cstheme="minorHAnsi"/>
          <w:bCs/>
          <w:lang w:val="fr-CH"/>
        </w:rPr>
        <w:t xml:space="preserve"> des difficultés pour en discuter, partager l’expérience et envisager des solutions et, éventuellement, préparer un projet de résolution pour examen à la COP15 en vue de promouvoir un financement structuré et le renforcement des capacités à cet égard. </w:t>
      </w:r>
      <w:r w:rsidR="0007746C" w:rsidRPr="00677BE0">
        <w:rPr>
          <w:rFonts w:eastAsia="Calibri" w:cstheme="minorHAnsi"/>
          <w:bCs/>
          <w:lang w:val="fr-CH"/>
        </w:rPr>
        <w:t xml:space="preserve"> </w:t>
      </w:r>
    </w:p>
    <w:p w14:paraId="058B6079" w14:textId="77777777" w:rsidR="0007746C" w:rsidRPr="00677BE0" w:rsidRDefault="0007746C" w:rsidP="0007746C">
      <w:pPr>
        <w:spacing w:after="0" w:line="240" w:lineRule="auto"/>
        <w:ind w:left="567" w:hanging="567"/>
        <w:rPr>
          <w:rFonts w:eastAsia="Calibri" w:cstheme="minorHAnsi"/>
          <w:bCs/>
          <w:lang w:val="fr-CH"/>
        </w:rPr>
      </w:pPr>
    </w:p>
    <w:p w14:paraId="4F00AE8A" w14:textId="7015124E" w:rsidR="0007746C" w:rsidRPr="00677BE0" w:rsidRDefault="00B075AB" w:rsidP="0007746C">
      <w:pPr>
        <w:spacing w:after="0" w:line="240" w:lineRule="auto"/>
        <w:ind w:left="567" w:hanging="567"/>
        <w:rPr>
          <w:rFonts w:eastAsia="Calibri" w:cstheme="minorHAnsi"/>
          <w:bCs/>
          <w:lang w:val="fr-CH"/>
        </w:rPr>
      </w:pPr>
      <w:r>
        <w:rPr>
          <w:rFonts w:eastAsia="Calibri" w:cstheme="minorHAnsi"/>
          <w:bCs/>
          <w:lang w:val="fr-CH"/>
        </w:rPr>
        <w:lastRenderedPageBreak/>
        <w:t>128</w:t>
      </w:r>
      <w:r w:rsidR="0007746C" w:rsidRPr="00677BE0">
        <w:rPr>
          <w:rFonts w:eastAsia="Calibri" w:cstheme="minorHAnsi"/>
          <w:bCs/>
          <w:lang w:val="fr-CH"/>
        </w:rPr>
        <w:t>.</w:t>
      </w:r>
      <w:r w:rsidR="0007746C" w:rsidRPr="00677BE0">
        <w:rPr>
          <w:rFonts w:eastAsia="Calibri" w:cstheme="minorHAnsi"/>
          <w:bCs/>
          <w:lang w:val="fr-CH"/>
        </w:rPr>
        <w:tab/>
      </w:r>
      <w:r w:rsidR="0007746C">
        <w:rPr>
          <w:rFonts w:eastAsia="Calibri" w:cstheme="minorHAnsi"/>
          <w:bCs/>
          <w:lang w:val="fr-CH"/>
        </w:rPr>
        <w:t xml:space="preserve">Deux membres du Comité permanent </w:t>
      </w:r>
      <w:r>
        <w:rPr>
          <w:rFonts w:eastAsia="Calibri" w:cstheme="minorHAnsi"/>
          <w:bCs/>
          <w:lang w:val="fr-CH"/>
        </w:rPr>
        <w:t>expliquent</w:t>
      </w:r>
      <w:r w:rsidR="0007746C">
        <w:rPr>
          <w:rFonts w:eastAsia="Calibri" w:cstheme="minorHAnsi"/>
          <w:bCs/>
          <w:lang w:val="fr-CH"/>
        </w:rPr>
        <w:t xml:space="preserve"> les efforts </w:t>
      </w:r>
      <w:r>
        <w:rPr>
          <w:rFonts w:eastAsia="Calibri" w:cstheme="minorHAnsi"/>
          <w:bCs/>
          <w:lang w:val="fr-CH"/>
        </w:rPr>
        <w:t xml:space="preserve">qu’ils ont </w:t>
      </w:r>
      <w:r w:rsidR="0007746C">
        <w:rPr>
          <w:rFonts w:eastAsia="Calibri" w:cstheme="minorHAnsi"/>
          <w:bCs/>
          <w:lang w:val="fr-CH"/>
        </w:rPr>
        <w:t xml:space="preserve">déployés au niveau national et les enseignements acquis durant le processus de mise à jour des FDR. </w:t>
      </w:r>
      <w:r w:rsidR="0007746C" w:rsidRPr="005F7428">
        <w:rPr>
          <w:rFonts w:eastAsia="Calibri" w:cstheme="minorHAnsi"/>
          <w:bCs/>
          <w:lang w:val="fr-CH"/>
        </w:rPr>
        <w:t>Le Président du GEST propose que le GEST soutienne et conseille le Secrétariat sur cette question,</w:t>
      </w:r>
      <w:r w:rsidR="0007746C">
        <w:rPr>
          <w:rFonts w:eastAsia="Calibri" w:cstheme="minorHAnsi"/>
          <w:bCs/>
          <w:lang w:val="fr-CH"/>
        </w:rPr>
        <w:t xml:space="preserve"> si </w:t>
      </w:r>
      <w:r>
        <w:rPr>
          <w:rFonts w:eastAsia="Calibri" w:cstheme="minorHAnsi"/>
          <w:bCs/>
          <w:lang w:val="fr-CH"/>
        </w:rPr>
        <w:t>nécessaire</w:t>
      </w:r>
      <w:r w:rsidR="0007746C" w:rsidRPr="005F7428">
        <w:rPr>
          <w:rFonts w:eastAsia="Calibri" w:cstheme="minorHAnsi"/>
          <w:bCs/>
          <w:lang w:val="fr-CH"/>
        </w:rPr>
        <w:t>.</w:t>
      </w:r>
    </w:p>
    <w:p w14:paraId="6834CC64" w14:textId="77777777" w:rsidR="0007746C" w:rsidRPr="00677BE0" w:rsidRDefault="0007746C" w:rsidP="0007746C">
      <w:pPr>
        <w:spacing w:after="0" w:line="240" w:lineRule="auto"/>
        <w:ind w:left="567" w:hanging="567"/>
        <w:rPr>
          <w:rFonts w:eastAsia="Calibri" w:cstheme="minorHAnsi"/>
          <w:bCs/>
          <w:lang w:val="fr-CH"/>
        </w:rPr>
      </w:pPr>
    </w:p>
    <w:p w14:paraId="4C91F444" w14:textId="5D251535" w:rsidR="0007746C" w:rsidRPr="00677BE0" w:rsidRDefault="0007746C" w:rsidP="0007746C">
      <w:pPr>
        <w:spacing w:after="0" w:line="240" w:lineRule="auto"/>
        <w:ind w:left="567" w:hanging="567"/>
        <w:rPr>
          <w:rFonts w:eastAsia="Calibri" w:cstheme="minorHAnsi"/>
          <w:bCs/>
          <w:lang w:val="fr-CH"/>
        </w:rPr>
      </w:pPr>
      <w:r w:rsidRPr="00677BE0">
        <w:rPr>
          <w:rFonts w:eastAsia="Calibri" w:cstheme="minorHAnsi"/>
          <w:bCs/>
          <w:lang w:val="fr-CH"/>
        </w:rPr>
        <w:t>1</w:t>
      </w:r>
      <w:r w:rsidR="006B2FBC">
        <w:rPr>
          <w:rFonts w:eastAsia="Calibri" w:cstheme="minorHAnsi"/>
          <w:bCs/>
          <w:lang w:val="fr-CH"/>
        </w:rPr>
        <w:t>29</w:t>
      </w:r>
      <w:r w:rsidRPr="00677BE0">
        <w:rPr>
          <w:rFonts w:eastAsia="Calibri" w:cstheme="minorHAnsi"/>
          <w:bCs/>
          <w:lang w:val="fr-CH"/>
        </w:rPr>
        <w:t>.</w:t>
      </w:r>
      <w:r w:rsidRPr="00677BE0">
        <w:rPr>
          <w:rFonts w:eastAsia="Calibri" w:cstheme="minorHAnsi"/>
          <w:bCs/>
          <w:lang w:val="fr-CH"/>
        </w:rPr>
        <w:tab/>
      </w:r>
      <w:r w:rsidRPr="00CC2268">
        <w:rPr>
          <w:rFonts w:eastAsia="Calibri" w:cstheme="minorHAnsi"/>
          <w:bCs/>
          <w:lang w:val="fr-CH"/>
        </w:rPr>
        <w:t xml:space="preserve">Le Canada, au nom du Mexique, </w:t>
      </w:r>
      <w:r>
        <w:rPr>
          <w:rFonts w:eastAsia="Calibri" w:cstheme="minorHAnsi"/>
          <w:bCs/>
          <w:lang w:val="fr-CH"/>
        </w:rPr>
        <w:t xml:space="preserve">demande une Mission consultative Ramsar pour le Parque Nacional </w:t>
      </w:r>
      <w:r w:rsidRPr="00677BE0">
        <w:rPr>
          <w:rFonts w:eastAsia="Calibri" w:cstheme="minorHAnsi"/>
          <w:bCs/>
          <w:lang w:val="fr-CH"/>
        </w:rPr>
        <w:t xml:space="preserve">Sistema Arrecifal Veracruzano </w:t>
      </w:r>
      <w:r>
        <w:rPr>
          <w:rFonts w:eastAsia="Calibri" w:cstheme="minorHAnsi"/>
          <w:bCs/>
          <w:lang w:val="fr-CH"/>
        </w:rPr>
        <w:t>au</w:t>
      </w:r>
      <w:r w:rsidRPr="00677BE0">
        <w:rPr>
          <w:rFonts w:eastAsia="Calibri" w:cstheme="minorHAnsi"/>
          <w:bCs/>
          <w:lang w:val="fr-CH"/>
        </w:rPr>
        <w:t xml:space="preserve"> Mexi</w:t>
      </w:r>
      <w:r>
        <w:rPr>
          <w:rFonts w:eastAsia="Calibri" w:cstheme="minorHAnsi"/>
          <w:bCs/>
          <w:lang w:val="fr-CH"/>
        </w:rPr>
        <w:t>que</w:t>
      </w:r>
      <w:r w:rsidRPr="00677BE0">
        <w:rPr>
          <w:rFonts w:eastAsia="Calibri" w:cstheme="minorHAnsi"/>
          <w:bCs/>
          <w:lang w:val="fr-CH"/>
        </w:rPr>
        <w:t>.</w:t>
      </w:r>
    </w:p>
    <w:p w14:paraId="1654A9AD" w14:textId="77777777" w:rsidR="0007746C" w:rsidRPr="00677BE0" w:rsidRDefault="0007746C" w:rsidP="0007746C">
      <w:pPr>
        <w:spacing w:after="0" w:line="240" w:lineRule="auto"/>
        <w:ind w:left="567" w:hanging="567"/>
        <w:rPr>
          <w:rFonts w:eastAsia="Calibri" w:cstheme="minorHAnsi"/>
          <w:bCs/>
          <w:lang w:val="fr-CH"/>
        </w:rPr>
      </w:pPr>
    </w:p>
    <w:p w14:paraId="48FE0493" w14:textId="6F2B6AB8" w:rsidR="0007746C" w:rsidRPr="00677BE0" w:rsidRDefault="0007746C" w:rsidP="0007746C">
      <w:pPr>
        <w:spacing w:after="0" w:line="240" w:lineRule="auto"/>
        <w:ind w:left="567" w:hanging="567"/>
        <w:rPr>
          <w:rFonts w:eastAsia="Calibri" w:cstheme="minorHAnsi"/>
          <w:bCs/>
          <w:lang w:val="fr-CH"/>
        </w:rPr>
      </w:pPr>
      <w:r w:rsidRPr="00677BE0">
        <w:rPr>
          <w:rFonts w:eastAsia="Calibri" w:cstheme="minorHAnsi"/>
          <w:bCs/>
          <w:lang w:val="fr-CH"/>
        </w:rPr>
        <w:t>1</w:t>
      </w:r>
      <w:r w:rsidR="006B2FBC">
        <w:rPr>
          <w:rFonts w:eastAsia="Calibri" w:cstheme="minorHAnsi"/>
          <w:bCs/>
          <w:lang w:val="fr-CH"/>
        </w:rPr>
        <w:t>30</w:t>
      </w:r>
      <w:r w:rsidRPr="00677BE0">
        <w:rPr>
          <w:rFonts w:eastAsia="Calibri" w:cstheme="minorHAnsi"/>
          <w:bCs/>
          <w:lang w:val="fr-CH"/>
        </w:rPr>
        <w:t>.</w:t>
      </w:r>
      <w:r w:rsidRPr="00677BE0">
        <w:rPr>
          <w:rFonts w:eastAsia="Calibri" w:cstheme="minorHAnsi"/>
          <w:bCs/>
          <w:lang w:val="fr-CH"/>
        </w:rPr>
        <w:tab/>
      </w:r>
      <w:r>
        <w:rPr>
          <w:rFonts w:eastAsia="Calibri" w:cstheme="minorHAnsi"/>
          <w:bCs/>
          <w:lang w:val="fr-CH"/>
        </w:rPr>
        <w:t xml:space="preserve">L’Afrique du Sud, l’Algérie, l’Australie, la Belgique, le Brésil, le Canada au nom du Mexique, la Chine, la France, la Géorgie, </w:t>
      </w:r>
      <w:r w:rsidRPr="00677BE0">
        <w:rPr>
          <w:rFonts w:eastAsia="Calibri" w:cstheme="minorHAnsi"/>
          <w:bCs/>
          <w:lang w:val="fr-CH"/>
        </w:rPr>
        <w:t>Madagascar</w:t>
      </w:r>
      <w:r>
        <w:rPr>
          <w:rFonts w:eastAsia="Calibri" w:cstheme="minorHAnsi"/>
          <w:bCs/>
          <w:lang w:val="fr-CH"/>
        </w:rPr>
        <w:t xml:space="preserve"> au nom de la région Afrique, la République de Corée, la Suède et le Président du GEST interviennent au cours de la discussion. </w:t>
      </w:r>
      <w:r w:rsidRPr="00677BE0">
        <w:rPr>
          <w:rFonts w:eastAsia="Calibri" w:cstheme="minorHAnsi"/>
          <w:bCs/>
          <w:lang w:val="fr-CH"/>
        </w:rPr>
        <w:t xml:space="preserve"> </w:t>
      </w:r>
    </w:p>
    <w:p w14:paraId="5402541E" w14:textId="77777777" w:rsidR="0007746C" w:rsidRPr="00850A02" w:rsidRDefault="0007746C" w:rsidP="0007746C">
      <w:pPr>
        <w:spacing w:after="0" w:line="240" w:lineRule="auto"/>
        <w:rPr>
          <w:rFonts w:eastAsia="Calibri" w:cstheme="minorHAnsi"/>
          <w:bCs/>
          <w:lang w:val="fr-FR"/>
        </w:rPr>
      </w:pPr>
    </w:p>
    <w:p w14:paraId="7861DF22" w14:textId="77777777" w:rsidR="0007746C" w:rsidRPr="00A5535D" w:rsidRDefault="0007746C" w:rsidP="0007746C">
      <w:pPr>
        <w:spacing w:after="0" w:line="240" w:lineRule="auto"/>
        <w:contextualSpacing/>
        <w:rPr>
          <w:rFonts w:cstheme="minorHAnsi"/>
          <w:b/>
          <w:lang w:val="fr-FR"/>
        </w:rPr>
      </w:pPr>
      <w:r w:rsidRPr="00A5535D">
        <w:rPr>
          <w:rFonts w:cstheme="minorHAnsi"/>
          <w:b/>
          <w:lang w:val="fr-FR"/>
        </w:rPr>
        <w:t>Décision SC62-</w:t>
      </w:r>
      <w:r w:rsidRPr="00CC2268">
        <w:rPr>
          <w:rFonts w:cstheme="minorHAnsi"/>
          <w:b/>
          <w:lang w:val="fr-FR"/>
        </w:rPr>
        <w:t xml:space="preserve">52 </w:t>
      </w:r>
      <w:r w:rsidRPr="00A5535D">
        <w:rPr>
          <w:rFonts w:cstheme="minorHAnsi"/>
          <w:b/>
          <w:lang w:val="fr-FR"/>
        </w:rPr>
        <w:t>: Le Comité permanent prend note du rapport mis à jour sur l’état des sites de la Liste des zones humides d’importance internationale.</w:t>
      </w:r>
    </w:p>
    <w:p w14:paraId="5DBA0C31" w14:textId="77777777" w:rsidR="0007746C" w:rsidRPr="00225A74" w:rsidRDefault="0007746C" w:rsidP="0007746C">
      <w:pPr>
        <w:spacing w:after="0" w:line="240" w:lineRule="auto"/>
        <w:contextualSpacing/>
        <w:rPr>
          <w:rFonts w:cstheme="minorHAnsi"/>
          <w:b/>
          <w:highlight w:val="yellow"/>
          <w:lang w:val="fr-FR"/>
        </w:rPr>
      </w:pPr>
    </w:p>
    <w:p w14:paraId="4572A2EB" w14:textId="77777777" w:rsidR="0007746C" w:rsidRPr="00790965" w:rsidRDefault="0007746C" w:rsidP="0007746C">
      <w:pPr>
        <w:spacing w:after="0" w:line="240" w:lineRule="auto"/>
        <w:contextualSpacing/>
        <w:rPr>
          <w:rFonts w:cstheme="minorHAnsi"/>
          <w:b/>
          <w:lang w:val="fr-FR"/>
        </w:rPr>
      </w:pPr>
      <w:r w:rsidRPr="00790965">
        <w:rPr>
          <w:rFonts w:cstheme="minorHAnsi"/>
          <w:b/>
          <w:lang w:val="fr-FR"/>
        </w:rPr>
        <w:t>Décision SC62-</w:t>
      </w:r>
      <w:r w:rsidRPr="00CC2268">
        <w:rPr>
          <w:rFonts w:cstheme="minorHAnsi"/>
          <w:b/>
          <w:lang w:val="fr-FR"/>
        </w:rPr>
        <w:t>53 :</w:t>
      </w:r>
      <w:r w:rsidRPr="00790965">
        <w:rPr>
          <w:rFonts w:cstheme="minorHAnsi"/>
          <w:b/>
          <w:lang w:val="fr-FR"/>
        </w:rPr>
        <w:t xml:space="preserve"> Le Comité permanent donne instruction au Secrétariat de soumettre à la 63</w:t>
      </w:r>
      <w:r w:rsidRPr="00790965">
        <w:rPr>
          <w:rFonts w:cstheme="minorHAnsi"/>
          <w:b/>
          <w:vertAlign w:val="superscript"/>
          <w:lang w:val="fr-FR"/>
        </w:rPr>
        <w:t>e</w:t>
      </w:r>
      <w:r w:rsidRPr="00790965">
        <w:rPr>
          <w:rFonts w:cstheme="minorHAnsi"/>
          <w:b/>
          <w:lang w:val="fr-FR"/>
        </w:rPr>
        <w:t> Réunion du Comité permanent un rapport sur les difficultés et possibilités relatives à la soumission et à la mise à jour des Fiches descriptives Ramsar, notamment :</w:t>
      </w:r>
    </w:p>
    <w:p w14:paraId="59E0F985" w14:textId="77777777" w:rsidR="0007746C" w:rsidRPr="00790965" w:rsidRDefault="0007746C" w:rsidP="0007746C">
      <w:pPr>
        <w:pStyle w:val="ListParagraph"/>
        <w:numPr>
          <w:ilvl w:val="0"/>
          <w:numId w:val="52"/>
        </w:numPr>
        <w:spacing w:after="0" w:line="240" w:lineRule="auto"/>
        <w:rPr>
          <w:rFonts w:cstheme="minorHAnsi"/>
          <w:b/>
          <w:lang w:val="fr-FR"/>
        </w:rPr>
      </w:pPr>
      <w:r w:rsidRPr="00790965">
        <w:rPr>
          <w:rFonts w:cstheme="minorHAnsi"/>
          <w:b/>
          <w:lang w:val="fr-FR"/>
        </w:rPr>
        <w:t xml:space="preserve">Difficultés et options </w:t>
      </w:r>
      <w:r w:rsidRPr="00CC2268">
        <w:rPr>
          <w:rFonts w:cstheme="minorHAnsi"/>
          <w:b/>
          <w:lang w:val="fr-FR"/>
        </w:rPr>
        <w:t xml:space="preserve">systémiques, liées à </w:t>
      </w:r>
      <w:r w:rsidRPr="00790965">
        <w:rPr>
          <w:rFonts w:cstheme="minorHAnsi"/>
          <w:b/>
          <w:lang w:val="fr-FR"/>
        </w:rPr>
        <w:t>la procédure et d’ordre technique ; et</w:t>
      </w:r>
    </w:p>
    <w:p w14:paraId="26D14F97" w14:textId="77777777" w:rsidR="0007746C" w:rsidRPr="00790965" w:rsidRDefault="0007746C" w:rsidP="0007746C">
      <w:pPr>
        <w:pStyle w:val="ListParagraph"/>
        <w:numPr>
          <w:ilvl w:val="0"/>
          <w:numId w:val="52"/>
        </w:numPr>
        <w:spacing w:after="0" w:line="240" w:lineRule="auto"/>
        <w:rPr>
          <w:rFonts w:cstheme="minorHAnsi"/>
          <w:b/>
          <w:lang w:val="fr-FR"/>
        </w:rPr>
      </w:pPr>
      <w:r w:rsidRPr="00790965">
        <w:rPr>
          <w:rFonts w:cstheme="minorHAnsi"/>
          <w:b/>
          <w:lang w:val="fr-FR"/>
        </w:rPr>
        <w:t>Difficultés financières, besoins et possibilités.</w:t>
      </w:r>
    </w:p>
    <w:p w14:paraId="46E71964" w14:textId="77777777" w:rsidR="0007746C" w:rsidRPr="00B65C6A" w:rsidRDefault="0007746C" w:rsidP="0007746C">
      <w:pPr>
        <w:spacing w:after="0" w:line="240" w:lineRule="auto"/>
        <w:ind w:right="321"/>
        <w:rPr>
          <w:b/>
          <w:bCs/>
          <w:lang w:val="fr-FR"/>
        </w:rPr>
      </w:pPr>
      <w:r w:rsidRPr="00790965">
        <w:rPr>
          <w:b/>
          <w:bCs/>
          <w:lang w:val="fr-FR"/>
        </w:rPr>
        <w:t>Ce faisant, le Secrétariat obtiendra et rassemblera les données, en consultation avec les Parties contractantes, le GEST et d’autres parties prenantes. Le Secrétariat développera l’approche à adopter pour entreprendre cette tâche, en consultation avec les Parties contractantes, dans le cadre de procédures écrites et d’une ou de plusieurs séance(s) en ligne.</w:t>
      </w:r>
    </w:p>
    <w:p w14:paraId="2AC5DA63" w14:textId="77777777" w:rsidR="0007746C" w:rsidRPr="00B65C6A" w:rsidRDefault="0007746C" w:rsidP="0007746C">
      <w:pPr>
        <w:spacing w:after="0" w:line="240" w:lineRule="auto"/>
        <w:ind w:right="321"/>
        <w:rPr>
          <w:rFonts w:cstheme="minorHAnsi"/>
          <w:b/>
          <w:lang w:val="fr-FR"/>
        </w:rPr>
      </w:pPr>
    </w:p>
    <w:p w14:paraId="0357BF44" w14:textId="77777777" w:rsidR="0007746C" w:rsidRPr="002057F8" w:rsidRDefault="0007746C" w:rsidP="0007746C">
      <w:pPr>
        <w:spacing w:after="0" w:line="240" w:lineRule="auto"/>
        <w:ind w:right="321"/>
        <w:rPr>
          <w:b/>
          <w:bCs/>
          <w:lang w:val="fr-CH"/>
        </w:rPr>
      </w:pPr>
      <w:r w:rsidRPr="002057F8">
        <w:rPr>
          <w:rFonts w:cstheme="minorHAnsi"/>
          <w:b/>
          <w:lang w:val="fr-CH"/>
        </w:rPr>
        <w:t>Décision SC62</w:t>
      </w:r>
      <w:r w:rsidRPr="00CC2268">
        <w:rPr>
          <w:rFonts w:cstheme="minorHAnsi"/>
          <w:b/>
          <w:lang w:val="fr-CH"/>
        </w:rPr>
        <w:t xml:space="preserve">-54 </w:t>
      </w:r>
      <w:r w:rsidRPr="002057F8">
        <w:rPr>
          <w:rFonts w:cstheme="minorHAnsi"/>
          <w:b/>
          <w:lang w:val="fr-CH"/>
        </w:rPr>
        <w:t xml:space="preserve">: </w:t>
      </w:r>
      <w:r>
        <w:rPr>
          <w:rFonts w:cstheme="minorHAnsi"/>
          <w:b/>
          <w:lang w:val="fr-CH"/>
        </w:rPr>
        <w:t>Le Comité permanent décide que le Secrétariat ne préparera qu’une seule fois par période triennale</w:t>
      </w:r>
      <w:r w:rsidRPr="00790965">
        <w:rPr>
          <w:rFonts w:cstheme="minorHAnsi"/>
          <w:b/>
          <w:lang w:val="fr-CH"/>
        </w:rPr>
        <w:t xml:space="preserve"> </w:t>
      </w:r>
      <w:r>
        <w:rPr>
          <w:rFonts w:cstheme="minorHAnsi"/>
          <w:b/>
          <w:lang w:val="fr-CH"/>
        </w:rPr>
        <w:t xml:space="preserve">le rapport mondial sur l’état des sites inscrits sur la Liste des zones humides d’importance internationale, pour présentation à la COP, et abroge la Décision </w:t>
      </w:r>
      <w:r w:rsidRPr="002057F8">
        <w:rPr>
          <w:rFonts w:cstheme="minorHAnsi"/>
          <w:b/>
          <w:lang w:val="fr-CH"/>
        </w:rPr>
        <w:t>SC38</w:t>
      </w:r>
      <w:r>
        <w:rPr>
          <w:rFonts w:cstheme="minorHAnsi"/>
          <w:b/>
          <w:lang w:val="fr-CH"/>
        </w:rPr>
        <w:noBreakHyphen/>
      </w:r>
      <w:r w:rsidRPr="002057F8">
        <w:rPr>
          <w:rFonts w:cstheme="minorHAnsi"/>
          <w:b/>
          <w:lang w:val="fr-CH"/>
        </w:rPr>
        <w:t xml:space="preserve">28 </w:t>
      </w:r>
      <w:r>
        <w:rPr>
          <w:rFonts w:cstheme="minorHAnsi"/>
          <w:b/>
          <w:lang w:val="fr-CH"/>
        </w:rPr>
        <w:t>sur cette question.</w:t>
      </w:r>
      <w:r w:rsidRPr="002057F8">
        <w:rPr>
          <w:rFonts w:cstheme="minorHAnsi"/>
          <w:b/>
          <w:lang w:val="fr-CH"/>
        </w:rPr>
        <w:t xml:space="preserve"> </w:t>
      </w:r>
    </w:p>
    <w:p w14:paraId="58514920" w14:textId="77777777" w:rsidR="0007746C" w:rsidRPr="002057F8" w:rsidRDefault="0007746C" w:rsidP="0007746C">
      <w:pPr>
        <w:keepNext/>
        <w:spacing w:after="0" w:line="240" w:lineRule="auto"/>
        <w:rPr>
          <w:rFonts w:cstheme="minorHAnsi"/>
          <w:lang w:val="fr-CH"/>
        </w:rPr>
      </w:pPr>
    </w:p>
    <w:p w14:paraId="416F3E05" w14:textId="77777777" w:rsidR="0007746C" w:rsidRPr="002057F8"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2057F8">
        <w:rPr>
          <w:rFonts w:cstheme="minorHAnsi"/>
          <w:bCs/>
          <w:lang w:val="fr-CH"/>
        </w:rPr>
        <w:t xml:space="preserve">Point 23 de l’ordre du jour : </w:t>
      </w:r>
      <w:r w:rsidRPr="002057F8">
        <w:rPr>
          <w:lang w:val="fr-CH"/>
        </w:rPr>
        <w:t>Rapport sur le processus mis en œuvre par le Secrétariat pour inscrire un site sur la Liste des zones humides d’importance internationale</w:t>
      </w:r>
    </w:p>
    <w:p w14:paraId="63AB2725" w14:textId="77777777" w:rsidR="0007746C" w:rsidRPr="002057F8" w:rsidRDefault="0007746C" w:rsidP="0007746C">
      <w:pPr>
        <w:spacing w:after="0" w:line="240" w:lineRule="auto"/>
        <w:ind w:left="567" w:hanging="567"/>
        <w:rPr>
          <w:rFonts w:eastAsia="Calibri" w:cstheme="minorHAnsi"/>
          <w:bCs/>
          <w:lang w:val="fr-CH"/>
        </w:rPr>
      </w:pPr>
    </w:p>
    <w:p w14:paraId="3809B4C5" w14:textId="009FA5BA" w:rsidR="0007746C" w:rsidRPr="002057F8" w:rsidRDefault="0007746C" w:rsidP="0007746C">
      <w:pPr>
        <w:spacing w:after="0" w:line="240" w:lineRule="auto"/>
        <w:ind w:left="567" w:hanging="567"/>
        <w:rPr>
          <w:rFonts w:eastAsia="Calibri" w:cstheme="minorHAnsi"/>
          <w:bCs/>
          <w:lang w:val="fr-CH"/>
        </w:rPr>
      </w:pPr>
      <w:r w:rsidRPr="002057F8">
        <w:rPr>
          <w:rFonts w:eastAsia="Calibri" w:cstheme="minorHAnsi"/>
          <w:bCs/>
          <w:lang w:val="fr-CH"/>
        </w:rPr>
        <w:t>13</w:t>
      </w:r>
      <w:r w:rsidR="006B2FBC">
        <w:rPr>
          <w:rFonts w:eastAsia="Calibri" w:cstheme="minorHAnsi"/>
          <w:bCs/>
          <w:lang w:val="fr-CH"/>
        </w:rPr>
        <w:t>1</w:t>
      </w:r>
      <w:r w:rsidRPr="002057F8">
        <w:rPr>
          <w:rFonts w:eastAsia="Calibri" w:cstheme="minorHAnsi"/>
          <w:bCs/>
          <w:lang w:val="fr-CH"/>
        </w:rPr>
        <w:t>.</w:t>
      </w:r>
      <w:r w:rsidRPr="002057F8">
        <w:rPr>
          <w:rFonts w:eastAsia="Calibri" w:cstheme="minorHAnsi"/>
          <w:bCs/>
          <w:lang w:val="fr-CH"/>
        </w:rPr>
        <w:tab/>
      </w:r>
      <w:r>
        <w:rPr>
          <w:rFonts w:eastAsia="Calibri" w:cstheme="minorHAnsi"/>
          <w:bCs/>
          <w:lang w:val="fr-CH"/>
        </w:rPr>
        <w:t xml:space="preserve">Le Secrétariat présente le </w:t>
      </w:r>
      <w:r w:rsidRPr="002057F8">
        <w:rPr>
          <w:rFonts w:eastAsia="Calibri" w:cstheme="minorHAnsi"/>
          <w:bCs/>
          <w:lang w:val="fr-CH"/>
        </w:rPr>
        <w:t xml:space="preserve">document SC62 Doc.23, </w:t>
      </w:r>
      <w:r>
        <w:rPr>
          <w:rFonts w:eastAsia="Calibri" w:cstheme="minorHAnsi"/>
          <w:bCs/>
          <w:lang w:val="fr-CH"/>
        </w:rPr>
        <w:t xml:space="preserve">signalant que le document : explique la distinction entre désignation et inscription des zones humides d’importance internationale ; rappelle les responsabilités du Secrétariat en matière d’inscription d’un </w:t>
      </w:r>
      <w:r w:rsidR="006B2FBC">
        <w:rPr>
          <w:rFonts w:eastAsia="Calibri" w:cstheme="minorHAnsi"/>
          <w:bCs/>
          <w:lang w:val="fr-CH"/>
        </w:rPr>
        <w:t>S</w:t>
      </w:r>
      <w:r>
        <w:rPr>
          <w:rFonts w:eastAsia="Calibri" w:cstheme="minorHAnsi"/>
          <w:bCs/>
          <w:lang w:val="fr-CH"/>
        </w:rPr>
        <w:t>ite</w:t>
      </w:r>
      <w:r w:rsidR="006B2FBC">
        <w:rPr>
          <w:rFonts w:eastAsia="Calibri" w:cstheme="minorHAnsi"/>
          <w:bCs/>
          <w:lang w:val="fr-CH"/>
        </w:rPr>
        <w:t xml:space="preserve"> Ramsar</w:t>
      </w:r>
      <w:r>
        <w:rPr>
          <w:rFonts w:eastAsia="Calibri" w:cstheme="minorHAnsi"/>
          <w:bCs/>
          <w:lang w:val="fr-CH"/>
        </w:rPr>
        <w:t xml:space="preserve"> sur la Liste des zones humides d’importance internationale ; rappelle les orientations de la Convention concernant l’identification et la désignation de Sites Ramsar ; et décrit le processus global de désignation d’un site.</w:t>
      </w:r>
    </w:p>
    <w:p w14:paraId="6768CCD8" w14:textId="77777777" w:rsidR="0007746C" w:rsidRPr="002057F8" w:rsidRDefault="0007746C" w:rsidP="0007746C">
      <w:pPr>
        <w:spacing w:after="0" w:line="240" w:lineRule="auto"/>
        <w:ind w:left="567" w:hanging="567"/>
        <w:rPr>
          <w:rFonts w:eastAsia="Calibri" w:cstheme="minorHAnsi"/>
          <w:bCs/>
          <w:lang w:val="fr-CH"/>
        </w:rPr>
      </w:pPr>
    </w:p>
    <w:p w14:paraId="3A876E29" w14:textId="664FF7F9" w:rsidR="0007746C" w:rsidRPr="002057F8" w:rsidRDefault="0007746C" w:rsidP="0007746C">
      <w:pPr>
        <w:spacing w:after="0" w:line="240" w:lineRule="auto"/>
        <w:ind w:left="567" w:hanging="567"/>
        <w:rPr>
          <w:rFonts w:eastAsia="Calibri" w:cstheme="minorHAnsi"/>
          <w:bCs/>
          <w:lang w:val="fr-CH"/>
        </w:rPr>
      </w:pPr>
      <w:r w:rsidRPr="002057F8">
        <w:rPr>
          <w:rFonts w:eastAsia="Calibri" w:cstheme="minorHAnsi"/>
          <w:bCs/>
          <w:lang w:val="fr-CH"/>
        </w:rPr>
        <w:t>1</w:t>
      </w:r>
      <w:r w:rsidR="006B2FBC">
        <w:rPr>
          <w:rFonts w:eastAsia="Calibri" w:cstheme="minorHAnsi"/>
          <w:bCs/>
          <w:lang w:val="fr-CH"/>
        </w:rPr>
        <w:t>32</w:t>
      </w:r>
      <w:r w:rsidRPr="002057F8">
        <w:rPr>
          <w:rFonts w:eastAsia="Calibri" w:cstheme="minorHAnsi"/>
          <w:bCs/>
          <w:lang w:val="fr-CH"/>
        </w:rPr>
        <w:t>.</w:t>
      </w:r>
      <w:r w:rsidRPr="002057F8">
        <w:rPr>
          <w:rFonts w:eastAsia="Calibri" w:cstheme="minorHAnsi"/>
          <w:bCs/>
          <w:lang w:val="fr-CH"/>
        </w:rPr>
        <w:tab/>
      </w:r>
      <w:r>
        <w:rPr>
          <w:rFonts w:eastAsia="Calibri" w:cstheme="minorHAnsi"/>
          <w:bCs/>
          <w:lang w:val="fr-CH"/>
        </w:rPr>
        <w:t xml:space="preserve">Un membre du Comité permanent suggère de simplifier le processus en déléguant aux Conseillers régionaux principaux de la Convention la responsabilité de vérifier et d’approuver les Fiches descriptives Ramsar et les dossiers cartographiques associés. </w:t>
      </w:r>
      <w:r w:rsidRPr="002057F8">
        <w:rPr>
          <w:rFonts w:eastAsia="Calibri" w:cstheme="minorHAnsi"/>
          <w:bCs/>
          <w:lang w:val="fr-CH"/>
        </w:rPr>
        <w:t xml:space="preserve"> </w:t>
      </w:r>
    </w:p>
    <w:p w14:paraId="7899DFC0" w14:textId="77777777" w:rsidR="0007746C" w:rsidRPr="00A41184" w:rsidRDefault="0007746C" w:rsidP="0007746C">
      <w:pPr>
        <w:spacing w:after="0" w:line="240" w:lineRule="auto"/>
        <w:ind w:left="567" w:hanging="567"/>
        <w:rPr>
          <w:rFonts w:eastAsia="Calibri" w:cstheme="minorHAnsi"/>
          <w:bCs/>
          <w:lang w:val="fr-CH"/>
        </w:rPr>
      </w:pPr>
    </w:p>
    <w:p w14:paraId="4229C62E" w14:textId="6C78EBA5" w:rsidR="0007746C" w:rsidRPr="002057F8" w:rsidRDefault="0007746C" w:rsidP="0007746C">
      <w:pPr>
        <w:spacing w:after="0" w:line="240" w:lineRule="auto"/>
        <w:ind w:left="567" w:hanging="567"/>
        <w:rPr>
          <w:rFonts w:eastAsia="Calibri" w:cstheme="minorHAnsi"/>
          <w:bCs/>
          <w:lang w:val="fr-CH"/>
        </w:rPr>
      </w:pPr>
      <w:r w:rsidRPr="00A41184">
        <w:rPr>
          <w:rFonts w:eastAsia="Calibri" w:cstheme="minorHAnsi"/>
          <w:bCs/>
          <w:lang w:val="fr-CH"/>
        </w:rPr>
        <w:t>1</w:t>
      </w:r>
      <w:r w:rsidR="006B2FBC" w:rsidRPr="00A41184">
        <w:rPr>
          <w:rFonts w:eastAsia="Calibri" w:cstheme="minorHAnsi"/>
          <w:bCs/>
          <w:lang w:val="fr-CH"/>
        </w:rPr>
        <w:t>33</w:t>
      </w:r>
      <w:r w:rsidRPr="00A41184">
        <w:rPr>
          <w:rFonts w:eastAsia="Calibri" w:cstheme="minorHAnsi"/>
          <w:bCs/>
          <w:lang w:val="fr-CH"/>
        </w:rPr>
        <w:t>.</w:t>
      </w:r>
      <w:r w:rsidRPr="00A41184">
        <w:rPr>
          <w:rFonts w:eastAsia="Calibri" w:cstheme="minorHAnsi"/>
          <w:bCs/>
          <w:lang w:val="fr-CH"/>
        </w:rPr>
        <w:tab/>
        <w:t>Pour améliorer la transparence, certain</w:t>
      </w:r>
      <w:r w:rsidR="006B2FBC" w:rsidRPr="00A41184">
        <w:rPr>
          <w:rFonts w:eastAsia="Calibri" w:cstheme="minorHAnsi"/>
          <w:bCs/>
          <w:lang w:val="fr-CH"/>
        </w:rPr>
        <w:t>e</w:t>
      </w:r>
      <w:r w:rsidRPr="00A41184">
        <w:rPr>
          <w:rFonts w:eastAsia="Calibri" w:cstheme="minorHAnsi"/>
          <w:bCs/>
          <w:lang w:val="fr-CH"/>
        </w:rPr>
        <w:t xml:space="preserve">s Parties contractantes </w:t>
      </w:r>
      <w:r w:rsidR="006B2FBC" w:rsidRPr="00A41184">
        <w:rPr>
          <w:rFonts w:eastAsia="Calibri" w:cstheme="minorHAnsi"/>
          <w:bCs/>
          <w:lang w:val="fr-CH"/>
        </w:rPr>
        <w:t xml:space="preserve">demandent que toutes les Parties </w:t>
      </w:r>
      <w:r w:rsidRPr="00A41184">
        <w:rPr>
          <w:rFonts w:eastAsia="Calibri" w:cstheme="minorHAnsi"/>
          <w:bCs/>
          <w:lang w:val="fr-CH"/>
        </w:rPr>
        <w:t>puissent suivre le processus de désignation et d’inscription des sites</w:t>
      </w:r>
      <w:r w:rsidR="006B2FBC" w:rsidRPr="00A41184">
        <w:rPr>
          <w:rFonts w:eastAsia="Calibri" w:cstheme="minorHAnsi"/>
          <w:bCs/>
          <w:lang w:val="fr-CH"/>
        </w:rPr>
        <w:t>, sur une plateforme accessible à toutes les Parties</w:t>
      </w:r>
      <w:r w:rsidRPr="00A41184">
        <w:rPr>
          <w:rFonts w:eastAsia="Calibri" w:cstheme="minorHAnsi"/>
          <w:bCs/>
          <w:lang w:val="fr-CH"/>
        </w:rPr>
        <w:t xml:space="preserve">. Un </w:t>
      </w:r>
      <w:r>
        <w:rPr>
          <w:rFonts w:eastAsia="Calibri" w:cstheme="minorHAnsi"/>
          <w:bCs/>
          <w:lang w:val="fr-CH"/>
        </w:rPr>
        <w:t xml:space="preserve">membre du Comité permanent suggère en outre qu’en mettant en place ce type de plateforme et de normes pour le processus, par exemple le protocole à utiliser pour les cartes, on pourrait éviter que les Parties soient mises devant le fait accompli </w:t>
      </w:r>
      <w:r w:rsidR="006B2FBC">
        <w:rPr>
          <w:rFonts w:eastAsia="Calibri" w:cstheme="minorHAnsi"/>
          <w:bCs/>
          <w:lang w:val="fr-CH"/>
        </w:rPr>
        <w:t xml:space="preserve">une fois qu’un site est inscrit sur </w:t>
      </w:r>
      <w:r>
        <w:rPr>
          <w:rFonts w:eastAsia="Calibri" w:cstheme="minorHAnsi"/>
          <w:bCs/>
          <w:lang w:val="fr-CH"/>
        </w:rPr>
        <w:t xml:space="preserve">la Liste </w:t>
      </w:r>
      <w:r w:rsidR="006B2FBC">
        <w:rPr>
          <w:rFonts w:eastAsia="Calibri" w:cstheme="minorHAnsi"/>
          <w:bCs/>
          <w:lang w:val="fr-CH"/>
        </w:rPr>
        <w:t>des zones humides d’importance internationale</w:t>
      </w:r>
      <w:r>
        <w:rPr>
          <w:rFonts w:eastAsia="Calibri" w:cstheme="minorHAnsi"/>
          <w:bCs/>
          <w:lang w:val="fr-CH"/>
        </w:rPr>
        <w:t>.</w:t>
      </w:r>
    </w:p>
    <w:p w14:paraId="57A4AF3F" w14:textId="77777777" w:rsidR="0007746C" w:rsidRPr="002057F8" w:rsidRDefault="0007746C" w:rsidP="0007746C">
      <w:pPr>
        <w:spacing w:after="0" w:line="240" w:lineRule="auto"/>
        <w:ind w:left="567" w:hanging="567"/>
        <w:rPr>
          <w:rFonts w:eastAsia="Calibri" w:cstheme="minorHAnsi"/>
          <w:bCs/>
          <w:lang w:val="fr-CH"/>
        </w:rPr>
      </w:pPr>
    </w:p>
    <w:p w14:paraId="63E3EA3D" w14:textId="70BF3C58" w:rsidR="0007746C" w:rsidRPr="00A41184" w:rsidRDefault="0007746C" w:rsidP="0007746C">
      <w:pPr>
        <w:spacing w:after="0" w:line="240" w:lineRule="auto"/>
        <w:ind w:left="567" w:hanging="567"/>
        <w:rPr>
          <w:rFonts w:eastAsia="Calibri" w:cstheme="minorHAnsi"/>
          <w:bCs/>
          <w:lang w:val="fr-CH"/>
        </w:rPr>
      </w:pPr>
      <w:r w:rsidRPr="002057F8">
        <w:rPr>
          <w:rFonts w:eastAsia="Calibri" w:cstheme="minorHAnsi"/>
          <w:bCs/>
          <w:lang w:val="fr-CH"/>
        </w:rPr>
        <w:t>1</w:t>
      </w:r>
      <w:r w:rsidR="006B2FBC">
        <w:rPr>
          <w:rFonts w:eastAsia="Calibri" w:cstheme="minorHAnsi"/>
          <w:bCs/>
          <w:lang w:val="fr-CH"/>
        </w:rPr>
        <w:t>34</w:t>
      </w:r>
      <w:r w:rsidRPr="002057F8">
        <w:rPr>
          <w:rFonts w:eastAsia="Calibri" w:cstheme="minorHAnsi"/>
          <w:bCs/>
          <w:lang w:val="fr-CH"/>
        </w:rPr>
        <w:t>.</w:t>
      </w:r>
      <w:r w:rsidRPr="002057F8">
        <w:rPr>
          <w:rFonts w:eastAsia="Calibri" w:cstheme="minorHAnsi"/>
          <w:bCs/>
          <w:lang w:val="fr-CH"/>
        </w:rPr>
        <w:tab/>
      </w:r>
      <w:r>
        <w:rPr>
          <w:rFonts w:eastAsia="Calibri" w:cstheme="minorHAnsi"/>
          <w:bCs/>
          <w:lang w:val="fr-CH"/>
        </w:rPr>
        <w:t xml:space="preserve">Le Président du Comité permanent suggère, et les délégués </w:t>
      </w:r>
      <w:r w:rsidR="006B2FBC" w:rsidRPr="00A41184">
        <w:rPr>
          <w:rFonts w:eastAsia="Calibri" w:cstheme="minorHAnsi"/>
          <w:bCs/>
          <w:lang w:val="fr-CH"/>
        </w:rPr>
        <w:t>acceptent sa suggestion</w:t>
      </w:r>
      <w:r w:rsidRPr="00A41184">
        <w:rPr>
          <w:rFonts w:eastAsia="Calibri" w:cstheme="minorHAnsi"/>
          <w:bCs/>
          <w:lang w:val="fr-CH"/>
        </w:rPr>
        <w:t>, que les Parties contractantes soumettent des suggestions pertinentes</w:t>
      </w:r>
      <w:r w:rsidR="006B2FBC" w:rsidRPr="00A41184">
        <w:rPr>
          <w:rFonts w:eastAsia="Calibri" w:cstheme="minorHAnsi"/>
          <w:bCs/>
          <w:lang w:val="fr-CH"/>
        </w:rPr>
        <w:t>, par écrit,</w:t>
      </w:r>
      <w:r w:rsidRPr="00A41184">
        <w:rPr>
          <w:rFonts w:eastAsia="Calibri" w:cstheme="minorHAnsi"/>
          <w:bCs/>
          <w:lang w:val="fr-CH"/>
        </w:rPr>
        <w:t xml:space="preserve"> avant le 30 novembre 2023 pour compilation et discussion complémentaire</w:t>
      </w:r>
      <w:r w:rsidR="006B2FBC" w:rsidRPr="00A41184">
        <w:rPr>
          <w:rFonts w:eastAsia="Calibri" w:cstheme="minorHAnsi"/>
          <w:bCs/>
          <w:lang w:val="fr-CH"/>
        </w:rPr>
        <w:t xml:space="preserve"> </w:t>
      </w:r>
      <w:r w:rsidRPr="00A41184">
        <w:rPr>
          <w:rFonts w:eastAsia="Calibri" w:cstheme="minorHAnsi"/>
          <w:bCs/>
          <w:lang w:val="fr-CH"/>
        </w:rPr>
        <w:t>lors de la 63</w:t>
      </w:r>
      <w:r w:rsidRPr="00A41184">
        <w:rPr>
          <w:rFonts w:eastAsia="Calibri" w:cstheme="minorHAnsi"/>
          <w:bCs/>
          <w:vertAlign w:val="superscript"/>
          <w:lang w:val="fr-CH"/>
        </w:rPr>
        <w:t>e</w:t>
      </w:r>
      <w:r w:rsidRPr="00A41184">
        <w:rPr>
          <w:rFonts w:eastAsia="Calibri" w:cstheme="minorHAnsi"/>
          <w:bCs/>
          <w:lang w:val="fr-CH"/>
        </w:rPr>
        <w:t> Réunion du Comité permanent, après un appel du Secrétariat.</w:t>
      </w:r>
    </w:p>
    <w:p w14:paraId="4C23E408" w14:textId="77777777" w:rsidR="006B2FBC" w:rsidRPr="00A41184" w:rsidRDefault="006B2FBC" w:rsidP="0007746C">
      <w:pPr>
        <w:spacing w:after="0" w:line="240" w:lineRule="auto"/>
        <w:ind w:left="567" w:hanging="567"/>
        <w:rPr>
          <w:rFonts w:eastAsia="Calibri" w:cstheme="minorHAnsi"/>
          <w:bCs/>
          <w:lang w:val="fr-CH"/>
        </w:rPr>
      </w:pPr>
    </w:p>
    <w:p w14:paraId="377D6745" w14:textId="08DD3D1E" w:rsidR="004153DD" w:rsidRPr="00A41184" w:rsidRDefault="006B2FBC" w:rsidP="004153DD">
      <w:pPr>
        <w:spacing w:after="0" w:line="240" w:lineRule="auto"/>
        <w:ind w:left="567" w:hanging="567"/>
        <w:rPr>
          <w:rFonts w:eastAsia="Calibri" w:cstheme="minorHAnsi"/>
          <w:bCs/>
          <w:lang w:val="fr-CH"/>
        </w:rPr>
      </w:pPr>
      <w:r w:rsidRPr="00A41184">
        <w:rPr>
          <w:rFonts w:eastAsia="Calibri" w:cstheme="minorHAnsi"/>
          <w:bCs/>
          <w:lang w:val="fr-CH"/>
        </w:rPr>
        <w:t>135.</w:t>
      </w:r>
      <w:r w:rsidRPr="00A41184">
        <w:rPr>
          <w:rFonts w:eastAsia="Calibri" w:cstheme="minorHAnsi"/>
          <w:bCs/>
          <w:lang w:val="fr-CH"/>
        </w:rPr>
        <w:tab/>
      </w:r>
      <w:r w:rsidR="004153DD" w:rsidRPr="00A41184">
        <w:rPr>
          <w:rFonts w:eastAsia="Calibri" w:cstheme="minorHAnsi"/>
          <w:bCs/>
          <w:lang w:val="fr-CH"/>
        </w:rPr>
        <w:t xml:space="preserve">Quelques Parties contractantes rappellent que toutes les propositions d’amélioration doivent être conformes au texte de la Convention et à l’Annexe 2 de la Résolution XI.8, </w:t>
      </w:r>
      <w:r w:rsidR="00813848" w:rsidRPr="00A41184">
        <w:rPr>
          <w:rFonts w:eastAsia="Calibri" w:cstheme="minorHAnsi"/>
          <w:bCs/>
          <w:i/>
          <w:iCs/>
          <w:lang w:val="fr-FR"/>
        </w:rPr>
        <w:t>Cadre stratégique et lignes directrices pour orienter l’évolution de la Liste des zones humides d’importance internationale de la Convention sur les zones humides</w:t>
      </w:r>
      <w:r w:rsidR="004153DD" w:rsidRPr="00A41184">
        <w:rPr>
          <w:rFonts w:eastAsia="Calibri" w:cstheme="minorHAnsi"/>
          <w:bCs/>
          <w:lang w:val="fr-CH"/>
        </w:rPr>
        <w:t xml:space="preserve">. </w:t>
      </w:r>
      <w:r w:rsidR="00813848" w:rsidRPr="00A41184">
        <w:rPr>
          <w:rFonts w:eastAsia="Calibri" w:cstheme="minorHAnsi"/>
          <w:bCs/>
          <w:lang w:val="fr-CH"/>
        </w:rPr>
        <w:t xml:space="preserve">Une autre note que </w:t>
      </w:r>
      <w:r w:rsidR="00A41184" w:rsidRPr="00A41184">
        <w:rPr>
          <w:rFonts w:eastAsia="Calibri" w:cstheme="minorHAnsi"/>
          <w:bCs/>
          <w:lang w:val="fr-CH"/>
        </w:rPr>
        <w:t>les propositions</w:t>
      </w:r>
      <w:r w:rsidR="00813848" w:rsidRPr="00A41184">
        <w:rPr>
          <w:rFonts w:eastAsia="Calibri" w:cstheme="minorHAnsi"/>
          <w:bCs/>
          <w:lang w:val="fr-CH"/>
        </w:rPr>
        <w:t xml:space="preserve"> devraient être discutées aux prochaines</w:t>
      </w:r>
      <w:r w:rsidR="004153DD" w:rsidRPr="00A41184">
        <w:rPr>
          <w:rFonts w:eastAsia="Calibri" w:cstheme="minorHAnsi"/>
          <w:bCs/>
          <w:lang w:val="fr-CH"/>
        </w:rPr>
        <w:t xml:space="preserve"> </w:t>
      </w:r>
      <w:r w:rsidR="00813848" w:rsidRPr="00A41184">
        <w:rPr>
          <w:rFonts w:eastAsia="Calibri" w:cstheme="minorHAnsi"/>
          <w:bCs/>
          <w:lang w:val="fr-CH"/>
        </w:rPr>
        <w:t xml:space="preserve">réunions du Comité permanent et que toute décision de </w:t>
      </w:r>
      <w:r w:rsidR="00A41184" w:rsidRPr="00A41184">
        <w:rPr>
          <w:rFonts w:eastAsia="Calibri" w:cstheme="minorHAnsi"/>
          <w:bCs/>
          <w:lang w:val="fr-CH"/>
        </w:rPr>
        <w:t>changement du</w:t>
      </w:r>
      <w:r w:rsidR="00813848" w:rsidRPr="00A41184">
        <w:rPr>
          <w:rFonts w:eastAsia="Calibri" w:cstheme="minorHAnsi"/>
          <w:bCs/>
          <w:lang w:val="fr-CH"/>
        </w:rPr>
        <w:t xml:space="preserve"> processus devrait être présentée à la </w:t>
      </w:r>
      <w:r w:rsidR="004153DD" w:rsidRPr="00A41184">
        <w:rPr>
          <w:rFonts w:eastAsia="Calibri" w:cstheme="minorHAnsi"/>
          <w:bCs/>
          <w:lang w:val="fr-CH"/>
        </w:rPr>
        <w:t xml:space="preserve">COP15, </w:t>
      </w:r>
      <w:r w:rsidR="00813848" w:rsidRPr="00A41184">
        <w:rPr>
          <w:rFonts w:eastAsia="Calibri" w:cstheme="minorHAnsi"/>
          <w:bCs/>
          <w:lang w:val="fr-CH"/>
        </w:rPr>
        <w:t>selon la procédure décrite dans la Résolution</w:t>
      </w:r>
      <w:r w:rsidR="004153DD" w:rsidRPr="00A41184">
        <w:rPr>
          <w:rFonts w:eastAsia="Calibri" w:cstheme="minorHAnsi"/>
          <w:bCs/>
          <w:lang w:val="fr-CH"/>
        </w:rPr>
        <w:t xml:space="preserve"> XIV.13.</w:t>
      </w:r>
    </w:p>
    <w:p w14:paraId="60EF9E4D" w14:textId="77777777" w:rsidR="004153DD" w:rsidRPr="00A41184" w:rsidRDefault="004153DD" w:rsidP="004153DD">
      <w:pPr>
        <w:spacing w:after="0" w:line="240" w:lineRule="auto"/>
        <w:ind w:left="567" w:hanging="567"/>
        <w:rPr>
          <w:rFonts w:eastAsia="Calibri" w:cstheme="minorHAnsi"/>
          <w:bCs/>
          <w:lang w:val="fr-CH"/>
        </w:rPr>
      </w:pPr>
    </w:p>
    <w:p w14:paraId="666BA9A1" w14:textId="4F7281CB" w:rsidR="006B2FBC" w:rsidRPr="00A97386" w:rsidRDefault="004153DD" w:rsidP="004153DD">
      <w:pPr>
        <w:spacing w:after="0" w:line="240" w:lineRule="auto"/>
        <w:ind w:left="567" w:hanging="567"/>
        <w:rPr>
          <w:rFonts w:eastAsia="Calibri" w:cstheme="minorHAnsi"/>
          <w:bCs/>
          <w:color w:val="FF0000"/>
          <w:lang w:val="fr-CH"/>
        </w:rPr>
      </w:pPr>
      <w:r w:rsidRPr="00A41184">
        <w:rPr>
          <w:rFonts w:eastAsia="Calibri" w:cstheme="minorHAnsi"/>
          <w:bCs/>
          <w:lang w:val="fr-CH"/>
        </w:rPr>
        <w:t>136.</w:t>
      </w:r>
      <w:r w:rsidRPr="00A41184">
        <w:rPr>
          <w:rFonts w:eastAsia="Calibri" w:cstheme="minorHAnsi"/>
          <w:bCs/>
          <w:lang w:val="fr-CH"/>
        </w:rPr>
        <w:tab/>
      </w:r>
      <w:r w:rsidR="00A97386" w:rsidRPr="00A41184">
        <w:rPr>
          <w:rFonts w:eastAsia="Calibri" w:cstheme="minorHAnsi"/>
          <w:bCs/>
          <w:lang w:val="fr-CH"/>
        </w:rPr>
        <w:t>L’Algérie, la Colombie, l’Iran (République islamique d’), le Maroc, le Royaume-Uni de Grande-Bretagne et d’Irlande du Nord et la Suède interviennent dans la discussion</w:t>
      </w:r>
      <w:r w:rsidR="00A41184">
        <w:rPr>
          <w:rFonts w:eastAsia="Calibri" w:cstheme="minorHAnsi"/>
          <w:bCs/>
          <w:lang w:val="fr-CH"/>
        </w:rPr>
        <w:t>.</w:t>
      </w:r>
    </w:p>
    <w:p w14:paraId="399E04A5" w14:textId="77777777" w:rsidR="0007746C" w:rsidRPr="00A97386" w:rsidRDefault="0007746C" w:rsidP="0007746C">
      <w:pPr>
        <w:spacing w:after="0" w:line="240" w:lineRule="auto"/>
        <w:rPr>
          <w:rFonts w:eastAsia="Calibri" w:cstheme="minorHAnsi"/>
          <w:bCs/>
          <w:lang w:val="fr-CH"/>
        </w:rPr>
      </w:pPr>
    </w:p>
    <w:p w14:paraId="7E2509A6" w14:textId="4811BB94" w:rsidR="0007746C" w:rsidRPr="00A41184" w:rsidRDefault="0007746C" w:rsidP="0007746C">
      <w:pPr>
        <w:pStyle w:val="ColorfulList-Accent11"/>
        <w:ind w:left="0" w:firstLine="0"/>
        <w:rPr>
          <w:b/>
          <w:bCs/>
          <w:lang w:val="fr-CH"/>
        </w:rPr>
      </w:pPr>
      <w:r w:rsidRPr="002057F8">
        <w:rPr>
          <w:b/>
          <w:bCs/>
          <w:lang w:val="fr-CH"/>
        </w:rPr>
        <w:t>Décision SC62-</w:t>
      </w:r>
      <w:r w:rsidRPr="00CC2268">
        <w:rPr>
          <w:b/>
          <w:bCs/>
          <w:lang w:val="fr-CH"/>
        </w:rPr>
        <w:t>55 :</w:t>
      </w:r>
      <w:r w:rsidRPr="002057F8">
        <w:rPr>
          <w:b/>
          <w:bCs/>
          <w:lang w:val="fr-CH"/>
        </w:rPr>
        <w:t xml:space="preserve"> </w:t>
      </w:r>
      <w:r>
        <w:rPr>
          <w:b/>
          <w:bCs/>
          <w:lang w:val="fr-CH"/>
        </w:rPr>
        <w:t xml:space="preserve">Le Comité permanent donne instruction au </w:t>
      </w:r>
      <w:r w:rsidRPr="00A41184">
        <w:rPr>
          <w:b/>
          <w:bCs/>
          <w:lang w:val="fr-CH"/>
        </w:rPr>
        <w:t>Secrétariat d’envoyer une notification aux Correspondants nationaux pour les inviter à soumettre des propositions de renforcement du processus d’inclusion d’un site sur la Liste des zones humides d’importance internationale, et de préparer un rapport compilant les contributions</w:t>
      </w:r>
      <w:r w:rsidR="00A97386" w:rsidRPr="00A41184">
        <w:rPr>
          <w:b/>
          <w:bCs/>
          <w:lang w:val="fr-CH"/>
        </w:rPr>
        <w:t>, accompagné de l’opinion du Conseiller juridique,</w:t>
      </w:r>
      <w:r w:rsidRPr="00A41184">
        <w:rPr>
          <w:b/>
          <w:bCs/>
          <w:lang w:val="fr-CH"/>
        </w:rPr>
        <w:t xml:space="preserve"> pour examen à la 63</w:t>
      </w:r>
      <w:r w:rsidRPr="00A41184">
        <w:rPr>
          <w:b/>
          <w:bCs/>
          <w:vertAlign w:val="superscript"/>
          <w:lang w:val="fr-CH"/>
        </w:rPr>
        <w:t>e</w:t>
      </w:r>
      <w:r w:rsidRPr="00A41184">
        <w:rPr>
          <w:b/>
          <w:bCs/>
          <w:lang w:val="fr-CH"/>
        </w:rPr>
        <w:t> Réunion du Comité permanent.</w:t>
      </w:r>
    </w:p>
    <w:p w14:paraId="6DF03218" w14:textId="77777777" w:rsidR="0007746C" w:rsidRPr="00A41184" w:rsidRDefault="0007746C" w:rsidP="0007746C">
      <w:pPr>
        <w:pStyle w:val="ColorfulList-Accent11"/>
        <w:ind w:left="0" w:firstLine="0"/>
        <w:rPr>
          <w:b/>
          <w:bCs/>
          <w:lang w:val="fr-CH"/>
        </w:rPr>
      </w:pPr>
    </w:p>
    <w:p w14:paraId="32BEA83F" w14:textId="77777777" w:rsidR="0007746C" w:rsidRPr="00C4110A"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EE162B">
        <w:rPr>
          <w:rFonts w:cstheme="minorHAnsi"/>
          <w:bCs/>
          <w:lang w:val="fr-CH"/>
        </w:rPr>
        <w:t xml:space="preserve">Point </w:t>
      </w:r>
      <w:r>
        <w:rPr>
          <w:rFonts w:cstheme="minorHAnsi"/>
          <w:bCs/>
          <w:lang w:val="fr-CH"/>
        </w:rPr>
        <w:t>21</w:t>
      </w:r>
      <w:r w:rsidRPr="00EE162B">
        <w:rPr>
          <w:rFonts w:cstheme="minorHAnsi"/>
          <w:bCs/>
          <w:lang w:val="fr-CH"/>
        </w:rPr>
        <w:t xml:space="preserve"> de l’ordre du jour :</w:t>
      </w:r>
      <w:r w:rsidRPr="00425384">
        <w:rPr>
          <w:rFonts w:cstheme="minorHAnsi"/>
          <w:bCs/>
          <w:lang w:val="fr-FR"/>
        </w:rPr>
        <w:t xml:space="preserve"> </w:t>
      </w:r>
      <w:r w:rsidRPr="00C4110A">
        <w:rPr>
          <w:rFonts w:cstheme="minorHAnsi"/>
          <w:bCs/>
          <w:lang w:val="fr-FR"/>
        </w:rPr>
        <w:t>Rapport national pour la COP15 (</w:t>
      </w:r>
      <w:r>
        <w:rPr>
          <w:rFonts w:cstheme="minorHAnsi"/>
          <w:bCs/>
          <w:lang w:val="fr-FR"/>
        </w:rPr>
        <w:t>suite</w:t>
      </w:r>
      <w:r w:rsidRPr="00C4110A">
        <w:rPr>
          <w:rFonts w:cstheme="minorHAnsi"/>
          <w:bCs/>
          <w:lang w:val="fr-FR"/>
        </w:rPr>
        <w:t>)</w:t>
      </w:r>
    </w:p>
    <w:p w14:paraId="57495785" w14:textId="77777777" w:rsidR="0007746C" w:rsidRPr="00C4110A" w:rsidRDefault="0007746C" w:rsidP="0007746C">
      <w:pPr>
        <w:keepNext/>
        <w:spacing w:after="0" w:line="240" w:lineRule="auto"/>
        <w:ind w:left="720" w:hanging="720"/>
        <w:rPr>
          <w:rFonts w:eastAsia="Calibri" w:cstheme="minorHAnsi"/>
          <w:bCs/>
          <w:lang w:val="fr-FR"/>
        </w:rPr>
      </w:pPr>
    </w:p>
    <w:p w14:paraId="33AF72F7" w14:textId="6B55F448" w:rsidR="0007746C" w:rsidRPr="00CB0FDA" w:rsidRDefault="0007746C" w:rsidP="0007746C">
      <w:pPr>
        <w:keepNext/>
        <w:spacing w:after="0" w:line="240" w:lineRule="auto"/>
        <w:ind w:left="720" w:hanging="720"/>
        <w:rPr>
          <w:rFonts w:eastAsia="Calibri" w:cstheme="minorHAnsi"/>
          <w:bCs/>
          <w:lang w:val="fr-FR"/>
        </w:rPr>
      </w:pPr>
      <w:r w:rsidRPr="00CB0FDA">
        <w:rPr>
          <w:rFonts w:eastAsia="Calibri" w:cstheme="minorHAnsi"/>
          <w:bCs/>
          <w:lang w:val="fr-FR"/>
        </w:rPr>
        <w:t>1</w:t>
      </w:r>
      <w:r w:rsidR="00A97386">
        <w:rPr>
          <w:rFonts w:eastAsia="Calibri" w:cstheme="minorHAnsi"/>
          <w:bCs/>
          <w:lang w:val="fr-FR"/>
        </w:rPr>
        <w:t>3</w:t>
      </w:r>
      <w:r w:rsidRPr="00CB0FDA">
        <w:rPr>
          <w:rFonts w:eastAsia="Calibri" w:cstheme="minorHAnsi"/>
          <w:bCs/>
          <w:lang w:val="fr-FR"/>
        </w:rPr>
        <w:t>7.</w:t>
      </w:r>
      <w:r w:rsidRPr="00CB0FDA">
        <w:rPr>
          <w:rFonts w:eastAsia="Calibri" w:cstheme="minorHAnsi"/>
          <w:bCs/>
          <w:lang w:val="fr-FR"/>
        </w:rPr>
        <w:tab/>
        <w:t>Le Président rappelle la discussion précédente sur ce point de l’ordre du jour.</w:t>
      </w:r>
    </w:p>
    <w:p w14:paraId="6CDA4BEA" w14:textId="77777777" w:rsidR="0007746C" w:rsidRPr="00CB0FDA" w:rsidRDefault="0007746C" w:rsidP="0007746C">
      <w:pPr>
        <w:keepNext/>
        <w:spacing w:after="0" w:line="240" w:lineRule="auto"/>
        <w:ind w:left="720" w:hanging="720"/>
        <w:rPr>
          <w:rFonts w:eastAsia="Calibri" w:cstheme="minorHAnsi"/>
          <w:bCs/>
          <w:lang w:val="fr-FR"/>
        </w:rPr>
      </w:pPr>
    </w:p>
    <w:p w14:paraId="0D9F3637" w14:textId="77777777" w:rsidR="0007746C" w:rsidRPr="00225A74" w:rsidRDefault="0007746C" w:rsidP="0007746C">
      <w:pPr>
        <w:spacing w:after="0" w:line="240" w:lineRule="auto"/>
        <w:rPr>
          <w:b/>
          <w:bCs/>
          <w:lang w:val="fr-FR"/>
        </w:rPr>
      </w:pPr>
      <w:r w:rsidRPr="00CB0FDA">
        <w:rPr>
          <w:b/>
          <w:bCs/>
          <w:lang w:val="fr-FR"/>
        </w:rPr>
        <w:t>Décision SC62-</w:t>
      </w:r>
      <w:r w:rsidRPr="00CC2268">
        <w:rPr>
          <w:b/>
          <w:bCs/>
          <w:lang w:val="fr-FR"/>
        </w:rPr>
        <w:t>56 :</w:t>
      </w:r>
      <w:r w:rsidRPr="00CB0FDA">
        <w:rPr>
          <w:b/>
          <w:bCs/>
          <w:lang w:val="fr-FR"/>
        </w:rPr>
        <w:t xml:space="preserve"> </w:t>
      </w:r>
      <w:r w:rsidRPr="00CB0FDA">
        <w:rPr>
          <w:rFonts w:cstheme="minorHAnsi"/>
          <w:b/>
          <w:lang w:val="fr-FR"/>
        </w:rPr>
        <w:t xml:space="preserve">Le Comité permanent </w:t>
      </w:r>
      <w:r w:rsidRPr="00CB0FDA">
        <w:rPr>
          <w:b/>
          <w:bCs/>
          <w:lang w:val="fr-FR"/>
        </w:rPr>
        <w:t>approuve le modèle de Rapport national pour la COP15 présenté dans le document SC62 Com.3.</w:t>
      </w:r>
    </w:p>
    <w:p w14:paraId="2FEF862B" w14:textId="77777777" w:rsidR="0007746C" w:rsidRPr="00225A74" w:rsidRDefault="0007746C" w:rsidP="0007746C">
      <w:pPr>
        <w:pStyle w:val="ColorfulList-Accent11"/>
        <w:ind w:left="0" w:firstLine="0"/>
        <w:rPr>
          <w:b/>
          <w:bCs/>
          <w:iCs/>
          <w:color w:val="000000" w:themeColor="text1"/>
          <w:lang w:val="fr-FR"/>
        </w:rPr>
      </w:pPr>
    </w:p>
    <w:p w14:paraId="12FADD37" w14:textId="77777777" w:rsidR="0007746C" w:rsidRPr="00C4110A"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EE162B">
        <w:rPr>
          <w:rFonts w:cstheme="minorHAnsi"/>
          <w:bCs/>
          <w:lang w:val="fr-CH"/>
        </w:rPr>
        <w:t xml:space="preserve">Point </w:t>
      </w:r>
      <w:r>
        <w:rPr>
          <w:rFonts w:cstheme="minorHAnsi"/>
          <w:bCs/>
          <w:lang w:val="fr-CH"/>
        </w:rPr>
        <w:t>24</w:t>
      </w:r>
      <w:r w:rsidRPr="00EE162B">
        <w:rPr>
          <w:rFonts w:cstheme="minorHAnsi"/>
          <w:bCs/>
          <w:lang w:val="fr-CH"/>
        </w:rPr>
        <w:t xml:space="preserve"> de l’ordre du jour :</w:t>
      </w:r>
      <w:r w:rsidRPr="00425384">
        <w:rPr>
          <w:rFonts w:cstheme="minorHAnsi"/>
          <w:bCs/>
          <w:lang w:val="fr-FR"/>
        </w:rPr>
        <w:t xml:space="preserve"> </w:t>
      </w:r>
      <w:r w:rsidRPr="00C4110A">
        <w:rPr>
          <w:lang w:val="fr-FR"/>
        </w:rPr>
        <w:t>Mise à jour du Secrétariat sur l’application de la Résolution XIV.20</w:t>
      </w:r>
    </w:p>
    <w:p w14:paraId="3D05464C" w14:textId="77777777" w:rsidR="0007746C" w:rsidRPr="00C4110A" w:rsidRDefault="0007746C" w:rsidP="0007746C">
      <w:pPr>
        <w:spacing w:after="0" w:line="240" w:lineRule="auto"/>
        <w:ind w:left="720" w:hanging="720"/>
        <w:rPr>
          <w:lang w:val="fr-FR"/>
        </w:rPr>
      </w:pPr>
    </w:p>
    <w:p w14:paraId="0E6697BF" w14:textId="2881E33B" w:rsidR="0007746C" w:rsidRPr="00A41184" w:rsidRDefault="0007746C" w:rsidP="0007746C">
      <w:pPr>
        <w:spacing w:after="0" w:line="240" w:lineRule="auto"/>
        <w:ind w:left="567" w:hanging="567"/>
        <w:rPr>
          <w:lang w:val="fr-FR"/>
        </w:rPr>
      </w:pPr>
      <w:r w:rsidRPr="00CB0FDA">
        <w:rPr>
          <w:lang w:val="fr-FR"/>
        </w:rPr>
        <w:t>1</w:t>
      </w:r>
      <w:r w:rsidR="00A97386">
        <w:rPr>
          <w:lang w:val="fr-FR"/>
        </w:rPr>
        <w:t>3</w:t>
      </w:r>
      <w:r w:rsidRPr="00CB0FDA">
        <w:rPr>
          <w:lang w:val="fr-FR"/>
        </w:rPr>
        <w:t>8.</w:t>
      </w:r>
      <w:r w:rsidRPr="006578CA">
        <w:rPr>
          <w:lang w:val="fr-FR"/>
        </w:rPr>
        <w:tab/>
      </w:r>
      <w:r w:rsidRPr="00CB0FDA">
        <w:rPr>
          <w:lang w:val="fr-FR"/>
        </w:rPr>
        <w:t xml:space="preserve">Le Secrétariat présente le document SC62 Doc.24 Rev.1 qui porte sur : une notification de l’Ukraine sur les changements dans les caractéristiques écologiques de 16 zones humides d’importance internationale, et sur des </w:t>
      </w:r>
      <w:r w:rsidRPr="00A41184">
        <w:rPr>
          <w:lang w:val="fr-FR"/>
        </w:rPr>
        <w:t xml:space="preserve">changements potentiels dans les caractéristiques écologiques de 15 autres zones humides ; les activités du Secrétariat en tant que membre du Groupe de coordination interinstitutions sur les évaluations environnementales pour l’Ukraine ; les activités du Secrétariat sous la bannière du Programme des Nations Unies pour l’environnement (PNUE) pour évaluer les impacts sur l’environnement de la </w:t>
      </w:r>
      <w:r w:rsidR="00A97386" w:rsidRPr="00A41184">
        <w:rPr>
          <w:lang w:val="fr-FR"/>
        </w:rPr>
        <w:t>destruction de la centrale</w:t>
      </w:r>
      <w:r w:rsidRPr="00A41184">
        <w:rPr>
          <w:lang w:val="fr-FR"/>
        </w:rPr>
        <w:t xml:space="preserve"> hydroélectrique de Kakhovka</w:t>
      </w:r>
      <w:r w:rsidR="00A97386" w:rsidRPr="00A41184">
        <w:rPr>
          <w:lang w:val="fr-FR"/>
        </w:rPr>
        <w:t xml:space="preserve"> (KHPP)</w:t>
      </w:r>
      <w:r w:rsidRPr="00A41184">
        <w:rPr>
          <w:lang w:val="fr-FR"/>
        </w:rPr>
        <w:t xml:space="preserve"> situé</w:t>
      </w:r>
      <w:r w:rsidR="00A97386" w:rsidRPr="00A41184">
        <w:rPr>
          <w:lang w:val="fr-FR"/>
        </w:rPr>
        <w:t>e</w:t>
      </w:r>
      <w:r w:rsidRPr="00A41184">
        <w:rPr>
          <w:lang w:val="fr-FR"/>
        </w:rPr>
        <w:t xml:space="preserve"> sur le Dniepr, dans l’oblast de Kherson en Ukraine ; un séminaire qui sera organisé par le Groupe de coordination interinstitutions et axé sur l’observation de la Terre et la télédétection ; et les contributions du Secrétariat à l’« Inventaire des évaluations des dommages environnementaux résultant de l’invasion russe de l’Ukraine » dressé sous la direction du Groupe de coordination interinstitutions.</w:t>
      </w:r>
    </w:p>
    <w:p w14:paraId="10D82E77" w14:textId="77777777" w:rsidR="0007746C" w:rsidRPr="00A41184" w:rsidRDefault="0007746C" w:rsidP="0007746C">
      <w:pPr>
        <w:spacing w:after="0" w:line="240" w:lineRule="auto"/>
        <w:ind w:left="567" w:hanging="567"/>
        <w:rPr>
          <w:lang w:val="fr-FR"/>
        </w:rPr>
      </w:pPr>
    </w:p>
    <w:p w14:paraId="507B47EC" w14:textId="43B55FB7" w:rsidR="0007746C" w:rsidRPr="00A41184" w:rsidRDefault="0007746C" w:rsidP="0007746C">
      <w:pPr>
        <w:spacing w:after="0" w:line="240" w:lineRule="auto"/>
        <w:ind w:left="567" w:hanging="567"/>
        <w:rPr>
          <w:lang w:val="fr-CH"/>
        </w:rPr>
      </w:pPr>
      <w:r w:rsidRPr="00A41184">
        <w:rPr>
          <w:lang w:val="fr-CH"/>
        </w:rPr>
        <w:t>1</w:t>
      </w:r>
      <w:r w:rsidR="00A97386" w:rsidRPr="00A41184">
        <w:rPr>
          <w:lang w:val="fr-CH"/>
        </w:rPr>
        <w:t>3</w:t>
      </w:r>
      <w:r w:rsidRPr="00A41184">
        <w:rPr>
          <w:lang w:val="fr-CH"/>
        </w:rPr>
        <w:t>9.</w:t>
      </w:r>
      <w:r w:rsidRPr="00A41184">
        <w:rPr>
          <w:lang w:val="fr-CH"/>
        </w:rPr>
        <w:tab/>
        <w:t>L’Ukraine fait une déclaration au nom de 48 Parties contractantes, jointe au présent rapport en Annexe </w:t>
      </w:r>
      <w:r w:rsidR="00A97386" w:rsidRPr="00A41184">
        <w:rPr>
          <w:lang w:val="fr-CH"/>
        </w:rPr>
        <w:t>1</w:t>
      </w:r>
      <w:r w:rsidRPr="00A41184">
        <w:rPr>
          <w:lang w:val="fr-CH"/>
        </w:rPr>
        <w:t xml:space="preserve">. Le délégué invite d’autres Parties contractantes à s’associer à la déclaration. </w:t>
      </w:r>
    </w:p>
    <w:p w14:paraId="24830785" w14:textId="77777777" w:rsidR="0007746C" w:rsidRPr="00A41184" w:rsidRDefault="0007746C" w:rsidP="0007746C">
      <w:pPr>
        <w:spacing w:after="0" w:line="240" w:lineRule="auto"/>
        <w:ind w:left="567" w:hanging="567"/>
        <w:rPr>
          <w:lang w:val="fr-CH"/>
        </w:rPr>
      </w:pPr>
    </w:p>
    <w:p w14:paraId="51C44A8A" w14:textId="707700AA" w:rsidR="0007746C" w:rsidRPr="0018008F" w:rsidRDefault="00A97386" w:rsidP="0007746C">
      <w:pPr>
        <w:spacing w:after="0" w:line="240" w:lineRule="auto"/>
        <w:ind w:left="567" w:hanging="567"/>
        <w:rPr>
          <w:lang w:val="fr-CH"/>
        </w:rPr>
      </w:pPr>
      <w:r w:rsidRPr="00A41184">
        <w:rPr>
          <w:lang w:val="fr-CH"/>
        </w:rPr>
        <w:t>14</w:t>
      </w:r>
      <w:r w:rsidR="0007746C" w:rsidRPr="00A41184">
        <w:rPr>
          <w:lang w:val="fr-CH"/>
        </w:rPr>
        <w:t>0.</w:t>
      </w:r>
      <w:r w:rsidR="0007746C" w:rsidRPr="00A41184">
        <w:rPr>
          <w:lang w:val="fr-CH"/>
        </w:rPr>
        <w:tab/>
        <w:t xml:space="preserve">Trois membres du Comité permanent expriment leur appréciation </w:t>
      </w:r>
      <w:r w:rsidR="0007746C">
        <w:rPr>
          <w:lang w:val="fr-CH"/>
        </w:rPr>
        <w:t>pour cette mise à jour complète et factuelle, se félicitant de travaux dignes de ce nom grâce à la coopération et la coordination d’institutions des Nations Unies.</w:t>
      </w:r>
    </w:p>
    <w:p w14:paraId="726C6613" w14:textId="77777777" w:rsidR="0007746C" w:rsidRPr="0018008F" w:rsidRDefault="0007746C" w:rsidP="0007746C">
      <w:pPr>
        <w:spacing w:after="0" w:line="240" w:lineRule="auto"/>
        <w:ind w:left="567" w:hanging="567"/>
        <w:rPr>
          <w:lang w:val="fr-CH"/>
        </w:rPr>
      </w:pPr>
    </w:p>
    <w:p w14:paraId="4394CDDB" w14:textId="024901BF" w:rsidR="0007746C" w:rsidRPr="0018008F" w:rsidRDefault="00A97386" w:rsidP="0007746C">
      <w:pPr>
        <w:spacing w:after="0" w:line="240" w:lineRule="auto"/>
        <w:ind w:left="567" w:hanging="567"/>
        <w:rPr>
          <w:lang w:val="fr-CH"/>
        </w:rPr>
      </w:pPr>
      <w:r>
        <w:rPr>
          <w:lang w:val="fr-CH"/>
        </w:rPr>
        <w:t>14</w:t>
      </w:r>
      <w:r w:rsidR="0007746C">
        <w:rPr>
          <w:lang w:val="fr-CH"/>
        </w:rPr>
        <w:t>1</w:t>
      </w:r>
      <w:r w:rsidR="0007746C" w:rsidRPr="0018008F">
        <w:rPr>
          <w:lang w:val="fr-CH"/>
        </w:rPr>
        <w:t>.</w:t>
      </w:r>
      <w:r w:rsidR="0007746C" w:rsidRPr="0018008F">
        <w:rPr>
          <w:lang w:val="fr-CH"/>
        </w:rPr>
        <w:tab/>
      </w:r>
      <w:r w:rsidR="0007746C">
        <w:rPr>
          <w:lang w:val="fr-CH"/>
        </w:rPr>
        <w:t>Les États</w:t>
      </w:r>
      <w:r w:rsidR="0007746C">
        <w:rPr>
          <w:lang w:val="fr-CH"/>
        </w:rPr>
        <w:noBreakHyphen/>
        <w:t xml:space="preserve">Unis d’Amérique rappellent leur contribution volontaire aux travaux du Secrétariat en vue d’appliquer les mesures demandées dans la Résolution </w:t>
      </w:r>
      <w:r w:rsidR="0007746C" w:rsidRPr="0018008F">
        <w:rPr>
          <w:lang w:val="fr-CH"/>
        </w:rPr>
        <w:t xml:space="preserve">XIV.20. </w:t>
      </w:r>
      <w:r w:rsidR="0007746C">
        <w:rPr>
          <w:lang w:val="fr-CH"/>
        </w:rPr>
        <w:t>Ils demandent d’autres informations sur le séminaire consacré à l’observation de la Terre et à la télédétection, informations que le Secrétariat fournit.</w:t>
      </w:r>
    </w:p>
    <w:p w14:paraId="3EAA1437" w14:textId="77777777" w:rsidR="0007746C" w:rsidRPr="0018008F" w:rsidRDefault="0007746C" w:rsidP="0007746C">
      <w:pPr>
        <w:spacing w:after="0" w:line="240" w:lineRule="auto"/>
        <w:ind w:left="567" w:hanging="567"/>
        <w:rPr>
          <w:lang w:val="fr-CH"/>
        </w:rPr>
      </w:pPr>
    </w:p>
    <w:p w14:paraId="1DD64AAA" w14:textId="16E67D4F" w:rsidR="0007746C" w:rsidRPr="0018008F" w:rsidRDefault="00A97386" w:rsidP="0007746C">
      <w:pPr>
        <w:spacing w:after="0" w:line="240" w:lineRule="auto"/>
        <w:ind w:left="567" w:hanging="567"/>
        <w:rPr>
          <w:lang w:val="fr-CH"/>
        </w:rPr>
      </w:pPr>
      <w:r>
        <w:rPr>
          <w:lang w:val="fr-CH"/>
        </w:rPr>
        <w:t>14</w:t>
      </w:r>
      <w:r w:rsidR="0007746C">
        <w:rPr>
          <w:lang w:val="fr-CH"/>
        </w:rPr>
        <w:t>2</w:t>
      </w:r>
      <w:r w:rsidR="0007746C" w:rsidRPr="0018008F">
        <w:rPr>
          <w:lang w:val="fr-CH"/>
        </w:rPr>
        <w:t>.</w:t>
      </w:r>
      <w:r w:rsidR="0007746C" w:rsidRPr="0018008F">
        <w:rPr>
          <w:lang w:val="fr-CH"/>
        </w:rPr>
        <w:tab/>
      </w:r>
      <w:r w:rsidR="0007746C">
        <w:rPr>
          <w:lang w:val="fr-CH"/>
        </w:rPr>
        <w:t>Les États</w:t>
      </w:r>
      <w:r w:rsidR="0007746C">
        <w:rPr>
          <w:lang w:val="fr-CH"/>
        </w:rPr>
        <w:noBreakHyphen/>
        <w:t>Unis d’Amérique, le Royaume-Uni de Grande</w:t>
      </w:r>
      <w:r w:rsidR="0007746C">
        <w:rPr>
          <w:lang w:val="fr-CH"/>
        </w:rPr>
        <w:noBreakHyphen/>
        <w:t>Bretagne et d’Irlande du Nord, la Suisse et l’Ukraine interviennent dans la discussion.</w:t>
      </w:r>
    </w:p>
    <w:p w14:paraId="40FB1694" w14:textId="77777777" w:rsidR="0007746C" w:rsidRPr="00850A02" w:rsidRDefault="0007746C" w:rsidP="0007746C">
      <w:pPr>
        <w:spacing w:after="0" w:line="240" w:lineRule="auto"/>
        <w:ind w:left="567" w:hanging="567"/>
        <w:rPr>
          <w:lang w:val="fr-FR"/>
        </w:rPr>
      </w:pPr>
    </w:p>
    <w:p w14:paraId="7B9DF5CB" w14:textId="77777777" w:rsidR="0007746C" w:rsidRPr="00BF45D1" w:rsidRDefault="0007746C" w:rsidP="0007746C">
      <w:pPr>
        <w:pStyle w:val="ColorfulList-Accent11"/>
        <w:ind w:left="0" w:firstLine="0"/>
        <w:rPr>
          <w:b/>
          <w:bCs/>
          <w:i/>
          <w:iCs/>
          <w:lang w:val="fr-FR"/>
        </w:rPr>
      </w:pPr>
      <w:r w:rsidRPr="00CB0FDA">
        <w:rPr>
          <w:b/>
          <w:bCs/>
          <w:lang w:val="fr-FR"/>
        </w:rPr>
        <w:t>Décision SC62-</w:t>
      </w:r>
      <w:r w:rsidRPr="00B72346">
        <w:rPr>
          <w:b/>
          <w:bCs/>
          <w:lang w:val="fr-FR"/>
        </w:rPr>
        <w:t>57</w:t>
      </w:r>
      <w:r w:rsidRPr="00CB0FDA">
        <w:rPr>
          <w:b/>
          <w:bCs/>
          <w:lang w:val="fr-FR"/>
        </w:rPr>
        <w:t xml:space="preserve"> : </w:t>
      </w:r>
      <w:r w:rsidRPr="00CB0FDA">
        <w:rPr>
          <w:rFonts w:cstheme="minorHAnsi"/>
          <w:b/>
          <w:lang w:val="fr-FR"/>
        </w:rPr>
        <w:t>Le Comité permanent prend note de la mise à jour du</w:t>
      </w:r>
      <w:r w:rsidRPr="00CB0FDA">
        <w:rPr>
          <w:b/>
          <w:bCs/>
          <w:lang w:val="fr-FR"/>
        </w:rPr>
        <w:t xml:space="preserve"> Secrétariat sur l’application de la Résolution XIV.20, </w:t>
      </w:r>
      <w:r w:rsidRPr="00CB0FDA">
        <w:rPr>
          <w:b/>
          <w:bCs/>
          <w:i/>
          <w:iCs/>
          <w:lang w:val="fr-FR"/>
        </w:rPr>
        <w:t>La réponse de la Convention de Ramsar à l’urgence environnementale en Ukraine liée aux dommages causés aux zones humides d’importance internationale du pays (Sites Ramsar) à la suite de l’agression de la Fédération de Russie.</w:t>
      </w:r>
    </w:p>
    <w:p w14:paraId="75EB5844" w14:textId="77777777" w:rsidR="0007746C" w:rsidRPr="00BF45D1" w:rsidRDefault="0007746C" w:rsidP="0007746C">
      <w:pPr>
        <w:pStyle w:val="ColorfulList-Accent11"/>
        <w:ind w:left="0" w:firstLine="0"/>
        <w:rPr>
          <w:b/>
          <w:bCs/>
          <w:lang w:val="fr-FR"/>
        </w:rPr>
      </w:pPr>
    </w:p>
    <w:p w14:paraId="60A61BB7" w14:textId="77777777" w:rsidR="0007746C" w:rsidRPr="00C4110A" w:rsidRDefault="0007746C" w:rsidP="0007746C">
      <w:pPr>
        <w:keepNext/>
        <w:keepLines/>
        <w:pBdr>
          <w:top w:val="single" w:sz="4" w:space="1" w:color="auto"/>
          <w:left w:val="single" w:sz="4" w:space="4" w:color="auto"/>
          <w:bottom w:val="single" w:sz="4" w:space="1" w:color="auto"/>
          <w:right w:val="single" w:sz="4" w:space="4" w:color="auto"/>
        </w:pBdr>
        <w:spacing w:after="0" w:line="240" w:lineRule="auto"/>
        <w:outlineLvl w:val="0"/>
        <w:rPr>
          <w:lang w:val="fr-FR"/>
        </w:rPr>
      </w:pPr>
      <w:r w:rsidRPr="00C4110A">
        <w:rPr>
          <w:rFonts w:cstheme="minorHAnsi"/>
          <w:bCs/>
          <w:lang w:val="fr-FR"/>
        </w:rPr>
        <w:t xml:space="preserve">Point 27 de l’ordre du jour : </w:t>
      </w:r>
      <w:r w:rsidRPr="00C4110A">
        <w:rPr>
          <w:lang w:val="fr-FR"/>
        </w:rPr>
        <w:t>Dates de la 63</w:t>
      </w:r>
      <w:r w:rsidRPr="00C4110A">
        <w:rPr>
          <w:vertAlign w:val="superscript"/>
          <w:lang w:val="fr-FR"/>
        </w:rPr>
        <w:t>e</w:t>
      </w:r>
      <w:r w:rsidRPr="00C4110A">
        <w:rPr>
          <w:lang w:val="fr-FR"/>
        </w:rPr>
        <w:t xml:space="preserve"> </w:t>
      </w:r>
      <w:r>
        <w:rPr>
          <w:lang w:val="fr-FR"/>
        </w:rPr>
        <w:t>R</w:t>
      </w:r>
      <w:r w:rsidRPr="00C4110A">
        <w:rPr>
          <w:lang w:val="fr-FR"/>
        </w:rPr>
        <w:t>éunion du Comité permanent</w:t>
      </w:r>
    </w:p>
    <w:p w14:paraId="5F8234CA" w14:textId="77777777" w:rsidR="0007746C" w:rsidRPr="00C4110A" w:rsidRDefault="0007746C" w:rsidP="0007746C">
      <w:pPr>
        <w:keepNext/>
        <w:keepLines/>
        <w:spacing w:after="0" w:line="240" w:lineRule="auto"/>
        <w:rPr>
          <w:lang w:val="fr-FR"/>
        </w:rPr>
      </w:pPr>
    </w:p>
    <w:p w14:paraId="21300625" w14:textId="3BB295EE" w:rsidR="0007746C" w:rsidRPr="00201B1E" w:rsidRDefault="00A97386" w:rsidP="0007746C">
      <w:pPr>
        <w:keepNext/>
        <w:keepLines/>
        <w:spacing w:after="0" w:line="240" w:lineRule="auto"/>
        <w:ind w:left="567" w:hanging="567"/>
        <w:rPr>
          <w:lang w:val="fr-CH"/>
        </w:rPr>
      </w:pPr>
      <w:r>
        <w:rPr>
          <w:lang w:val="fr-CH"/>
        </w:rPr>
        <w:t>14</w:t>
      </w:r>
      <w:r w:rsidR="0007746C">
        <w:rPr>
          <w:lang w:val="fr-CH"/>
        </w:rPr>
        <w:t>3</w:t>
      </w:r>
      <w:r w:rsidR="0007746C" w:rsidRPr="00201B1E">
        <w:rPr>
          <w:lang w:val="fr-CH"/>
        </w:rPr>
        <w:t>.</w:t>
      </w:r>
      <w:r w:rsidR="0007746C" w:rsidRPr="00201B1E">
        <w:rPr>
          <w:lang w:val="fr-CH"/>
        </w:rPr>
        <w:tab/>
      </w:r>
      <w:r w:rsidR="0007746C">
        <w:rPr>
          <w:lang w:val="fr-CH"/>
        </w:rPr>
        <w:t>Le Secrétariat suggère d’organiser la 63</w:t>
      </w:r>
      <w:r w:rsidR="0007746C" w:rsidRPr="00E423C6">
        <w:rPr>
          <w:vertAlign w:val="superscript"/>
          <w:lang w:val="fr-CH"/>
        </w:rPr>
        <w:t>e</w:t>
      </w:r>
      <w:r w:rsidR="0007746C">
        <w:rPr>
          <w:lang w:val="fr-CH"/>
        </w:rPr>
        <w:t xml:space="preserve"> Réunion du Comité permanent (SC63) du 3 au 7 juin 2024 </w:t>
      </w:r>
      <w:r w:rsidR="0007746C" w:rsidRPr="00B72346">
        <w:rPr>
          <w:lang w:val="fr-CH"/>
        </w:rPr>
        <w:t>puis suggère de tenir la 64</w:t>
      </w:r>
      <w:r w:rsidR="0007746C" w:rsidRPr="00B72346">
        <w:rPr>
          <w:vertAlign w:val="superscript"/>
          <w:lang w:val="fr-CH"/>
        </w:rPr>
        <w:t>e</w:t>
      </w:r>
      <w:r w:rsidR="0007746C" w:rsidRPr="00B72346">
        <w:rPr>
          <w:lang w:val="fr-CH"/>
        </w:rPr>
        <w:t> </w:t>
      </w:r>
      <w:r w:rsidR="0007746C">
        <w:rPr>
          <w:lang w:val="fr-CH"/>
        </w:rPr>
        <w:t>Réunion (SC64) du 20 au 24 janvier 2025.</w:t>
      </w:r>
    </w:p>
    <w:p w14:paraId="4A688E56" w14:textId="77777777" w:rsidR="0007746C" w:rsidRPr="00201B1E" w:rsidRDefault="0007746C" w:rsidP="0007746C">
      <w:pPr>
        <w:spacing w:after="0" w:line="240" w:lineRule="auto"/>
        <w:ind w:left="567" w:hanging="567"/>
        <w:rPr>
          <w:rFonts w:eastAsia="Calibri" w:cstheme="minorHAnsi"/>
          <w:bCs/>
          <w:lang w:val="fr-CH"/>
        </w:rPr>
      </w:pPr>
    </w:p>
    <w:p w14:paraId="28294B5E" w14:textId="5A797F15" w:rsidR="0007746C" w:rsidRPr="00201B1E" w:rsidRDefault="00A97386" w:rsidP="0007746C">
      <w:pPr>
        <w:spacing w:after="0" w:line="240" w:lineRule="auto"/>
        <w:ind w:left="567" w:hanging="567"/>
        <w:rPr>
          <w:rFonts w:cstheme="minorHAnsi"/>
          <w:lang w:val="fr-CH"/>
        </w:rPr>
      </w:pPr>
      <w:r>
        <w:rPr>
          <w:lang w:val="fr-CH"/>
        </w:rPr>
        <w:t>14</w:t>
      </w:r>
      <w:r w:rsidR="0007746C">
        <w:rPr>
          <w:lang w:val="fr-CH"/>
        </w:rPr>
        <w:t>4</w:t>
      </w:r>
      <w:r w:rsidR="0007746C" w:rsidRPr="00201B1E">
        <w:rPr>
          <w:lang w:val="fr-CH"/>
        </w:rPr>
        <w:t>.</w:t>
      </w:r>
      <w:r w:rsidR="0007746C" w:rsidRPr="00201B1E">
        <w:rPr>
          <w:lang w:val="fr-CH"/>
        </w:rPr>
        <w:tab/>
      </w:r>
      <w:r w:rsidR="0007746C">
        <w:rPr>
          <w:lang w:val="fr-CH"/>
        </w:rPr>
        <w:t>Deux membres du Comité permanent suggèrent de décider, à la 63</w:t>
      </w:r>
      <w:r w:rsidR="0007746C" w:rsidRPr="00E423C6">
        <w:rPr>
          <w:vertAlign w:val="superscript"/>
          <w:lang w:val="fr-CH"/>
        </w:rPr>
        <w:t>e</w:t>
      </w:r>
      <w:r w:rsidR="0007746C">
        <w:rPr>
          <w:lang w:val="fr-CH"/>
        </w:rPr>
        <w:t> Réunion du Comité permanent, des dates de la 64</w:t>
      </w:r>
      <w:r w:rsidR="0007746C" w:rsidRPr="00E423C6">
        <w:rPr>
          <w:vertAlign w:val="superscript"/>
          <w:lang w:val="fr-CH"/>
        </w:rPr>
        <w:t>e</w:t>
      </w:r>
      <w:r w:rsidR="0007746C">
        <w:rPr>
          <w:lang w:val="fr-CH"/>
        </w:rPr>
        <w:t> Réunion, tandis qu’un autre propose une discussion intersessions pour finaliser les dates de la 64</w:t>
      </w:r>
      <w:r w:rsidR="0007746C" w:rsidRPr="00E423C6">
        <w:rPr>
          <w:vertAlign w:val="superscript"/>
          <w:lang w:val="fr-CH"/>
        </w:rPr>
        <w:t>e</w:t>
      </w:r>
      <w:r w:rsidR="0007746C">
        <w:rPr>
          <w:lang w:val="fr-CH"/>
        </w:rPr>
        <w:t> Réunion du Comité permanent, dès que possible.</w:t>
      </w:r>
    </w:p>
    <w:p w14:paraId="533D0B9F" w14:textId="77777777" w:rsidR="0007746C" w:rsidRPr="00201B1E" w:rsidRDefault="0007746C" w:rsidP="0007746C">
      <w:pPr>
        <w:spacing w:after="0" w:line="240" w:lineRule="auto"/>
        <w:ind w:left="567" w:hanging="567"/>
        <w:rPr>
          <w:rFonts w:cstheme="minorHAnsi"/>
          <w:lang w:val="fr-CH"/>
        </w:rPr>
      </w:pPr>
    </w:p>
    <w:p w14:paraId="67F3AE9F" w14:textId="39B4C42E" w:rsidR="0007746C" w:rsidRPr="00201B1E" w:rsidRDefault="00A97386" w:rsidP="0007746C">
      <w:pPr>
        <w:spacing w:after="0" w:line="240" w:lineRule="auto"/>
        <w:ind w:left="567" w:hanging="567"/>
        <w:rPr>
          <w:lang w:val="fr-CH"/>
        </w:rPr>
      </w:pPr>
      <w:r>
        <w:rPr>
          <w:lang w:val="fr-CH"/>
        </w:rPr>
        <w:t>14</w:t>
      </w:r>
      <w:r w:rsidR="0007746C">
        <w:rPr>
          <w:lang w:val="fr-CH"/>
        </w:rPr>
        <w:t>5</w:t>
      </w:r>
      <w:r w:rsidR="0007746C" w:rsidRPr="00201B1E">
        <w:rPr>
          <w:lang w:val="fr-CH"/>
        </w:rPr>
        <w:t>.</w:t>
      </w:r>
      <w:r w:rsidR="0007746C" w:rsidRPr="00201B1E">
        <w:rPr>
          <w:lang w:val="fr-CH"/>
        </w:rPr>
        <w:tab/>
      </w:r>
      <w:r w:rsidR="0007746C">
        <w:rPr>
          <w:lang w:val="fr-CH"/>
        </w:rPr>
        <w:t xml:space="preserve">Le Président du Comité permanent suggère, et les délégués </w:t>
      </w:r>
      <w:r w:rsidR="0007746C" w:rsidRPr="00E31FE3">
        <w:rPr>
          <w:lang w:val="fr-CH"/>
        </w:rPr>
        <w:t xml:space="preserve">abondent </w:t>
      </w:r>
      <w:r w:rsidR="0007746C">
        <w:rPr>
          <w:lang w:val="fr-CH"/>
        </w:rPr>
        <w:t>en</w:t>
      </w:r>
      <w:r w:rsidR="0007746C" w:rsidRPr="00E31FE3">
        <w:rPr>
          <w:lang w:val="fr-CH"/>
        </w:rPr>
        <w:t xml:space="preserve"> son sens</w:t>
      </w:r>
      <w:r w:rsidR="0007746C">
        <w:rPr>
          <w:lang w:val="fr-CH"/>
        </w:rPr>
        <w:t>, de finaliser les dates de la 63</w:t>
      </w:r>
      <w:r w:rsidR="0007746C" w:rsidRPr="00E423C6">
        <w:rPr>
          <w:vertAlign w:val="superscript"/>
          <w:lang w:val="fr-CH"/>
        </w:rPr>
        <w:t>e</w:t>
      </w:r>
      <w:r w:rsidR="0007746C">
        <w:rPr>
          <w:lang w:val="fr-CH"/>
        </w:rPr>
        <w:t xml:space="preserve"> Réunion du Comité permanent </w:t>
      </w:r>
      <w:r w:rsidR="0007746C" w:rsidRPr="00B72346">
        <w:rPr>
          <w:lang w:val="fr-CH"/>
        </w:rPr>
        <w:t>et de décider, à la 63</w:t>
      </w:r>
      <w:r w:rsidR="0007746C" w:rsidRPr="00B72346">
        <w:rPr>
          <w:vertAlign w:val="superscript"/>
          <w:lang w:val="fr-CH"/>
        </w:rPr>
        <w:t>e</w:t>
      </w:r>
      <w:r w:rsidR="0007746C" w:rsidRPr="00B72346">
        <w:rPr>
          <w:lang w:val="fr-CH"/>
        </w:rPr>
        <w:t xml:space="preserve"> session, des dates </w:t>
      </w:r>
      <w:r w:rsidR="0007746C">
        <w:rPr>
          <w:lang w:val="fr-CH"/>
        </w:rPr>
        <w:t>de la 64</w:t>
      </w:r>
      <w:r w:rsidR="0007746C" w:rsidRPr="00E423C6">
        <w:rPr>
          <w:vertAlign w:val="superscript"/>
          <w:lang w:val="fr-CH"/>
        </w:rPr>
        <w:t>e</w:t>
      </w:r>
      <w:r w:rsidR="0007746C">
        <w:rPr>
          <w:lang w:val="fr-CH"/>
        </w:rPr>
        <w:t>.</w:t>
      </w:r>
    </w:p>
    <w:p w14:paraId="0A7EFE21" w14:textId="77777777" w:rsidR="0007746C" w:rsidRPr="00201B1E" w:rsidRDefault="0007746C" w:rsidP="0007746C">
      <w:pPr>
        <w:spacing w:after="0" w:line="240" w:lineRule="auto"/>
        <w:rPr>
          <w:lang w:val="fr-CH"/>
        </w:rPr>
      </w:pPr>
    </w:p>
    <w:p w14:paraId="44E7EED6" w14:textId="79F13158" w:rsidR="0007746C" w:rsidRPr="00201B1E" w:rsidRDefault="00A97386" w:rsidP="0007746C">
      <w:pPr>
        <w:spacing w:after="0" w:line="240" w:lineRule="auto"/>
        <w:ind w:left="567" w:hanging="567"/>
        <w:rPr>
          <w:lang w:val="fr-CH"/>
        </w:rPr>
      </w:pPr>
      <w:r>
        <w:rPr>
          <w:rFonts w:cstheme="minorHAnsi"/>
          <w:lang w:val="fr-CH"/>
        </w:rPr>
        <w:t>14</w:t>
      </w:r>
      <w:r w:rsidR="0007746C">
        <w:rPr>
          <w:rFonts w:cstheme="minorHAnsi"/>
          <w:lang w:val="fr-CH"/>
        </w:rPr>
        <w:t>6</w:t>
      </w:r>
      <w:r w:rsidR="0007746C" w:rsidRPr="00201B1E">
        <w:rPr>
          <w:rFonts w:cstheme="minorHAnsi"/>
          <w:lang w:val="fr-CH"/>
        </w:rPr>
        <w:t>.</w:t>
      </w:r>
      <w:r w:rsidR="0007746C" w:rsidRPr="00201B1E">
        <w:rPr>
          <w:rFonts w:cstheme="minorHAnsi"/>
          <w:lang w:val="fr-CH"/>
        </w:rPr>
        <w:tab/>
      </w:r>
      <w:r w:rsidR="0007746C">
        <w:rPr>
          <w:lang w:val="fr-CH"/>
        </w:rPr>
        <w:t>La Chine, l’Iran (République islamique d’) et la Suède interviennent dans la discussion.</w:t>
      </w:r>
      <w:r w:rsidR="0007746C" w:rsidRPr="00201B1E">
        <w:rPr>
          <w:lang w:val="fr-CH"/>
        </w:rPr>
        <w:t xml:space="preserve"> </w:t>
      </w:r>
    </w:p>
    <w:p w14:paraId="10C26016" w14:textId="77777777" w:rsidR="0007746C" w:rsidRPr="00201B1E" w:rsidRDefault="0007746C" w:rsidP="0007746C">
      <w:pPr>
        <w:spacing w:after="0" w:line="240" w:lineRule="auto"/>
        <w:ind w:left="720" w:hanging="720"/>
        <w:rPr>
          <w:lang w:val="fr-CH"/>
        </w:rPr>
      </w:pPr>
    </w:p>
    <w:p w14:paraId="0BECE564" w14:textId="77777777" w:rsidR="0007746C" w:rsidRPr="00201B1E" w:rsidRDefault="0007746C" w:rsidP="0007746C">
      <w:pPr>
        <w:spacing w:after="0" w:line="240" w:lineRule="auto"/>
        <w:contextualSpacing/>
        <w:rPr>
          <w:rFonts w:cstheme="minorHAnsi"/>
          <w:b/>
          <w:lang w:val="fr-CH"/>
        </w:rPr>
      </w:pPr>
      <w:r w:rsidRPr="00E31FE3">
        <w:rPr>
          <w:rFonts w:cstheme="minorHAnsi"/>
          <w:b/>
          <w:lang w:val="fr-CH"/>
        </w:rPr>
        <w:t>Décision SC62</w:t>
      </w:r>
      <w:r w:rsidRPr="00B72346">
        <w:rPr>
          <w:rFonts w:cstheme="minorHAnsi"/>
          <w:b/>
          <w:lang w:val="fr-CH"/>
        </w:rPr>
        <w:t xml:space="preserve">-58 </w:t>
      </w:r>
      <w:r w:rsidRPr="00E31FE3">
        <w:rPr>
          <w:rFonts w:cstheme="minorHAnsi"/>
          <w:b/>
          <w:lang w:val="fr-CH"/>
        </w:rPr>
        <w:t>: Le Comité permanent décide que la 63</w:t>
      </w:r>
      <w:r w:rsidRPr="00E31FE3">
        <w:rPr>
          <w:rFonts w:cstheme="minorHAnsi"/>
          <w:b/>
          <w:vertAlign w:val="superscript"/>
          <w:lang w:val="fr-CH"/>
        </w:rPr>
        <w:t>e</w:t>
      </w:r>
      <w:r w:rsidRPr="00E31FE3">
        <w:rPr>
          <w:rFonts w:cstheme="minorHAnsi"/>
          <w:b/>
          <w:lang w:val="fr-CH"/>
        </w:rPr>
        <w:t xml:space="preserve"> Réunion du Comité permanent aura lieu du 3 au 7 juin 2024 et note que les dates de la 64</w:t>
      </w:r>
      <w:r w:rsidRPr="00E31FE3">
        <w:rPr>
          <w:rFonts w:cstheme="minorHAnsi"/>
          <w:b/>
          <w:vertAlign w:val="superscript"/>
          <w:lang w:val="fr-CH"/>
        </w:rPr>
        <w:t>e</w:t>
      </w:r>
      <w:r w:rsidRPr="00E31FE3">
        <w:rPr>
          <w:rFonts w:cstheme="minorHAnsi"/>
          <w:b/>
          <w:lang w:val="fr-CH"/>
        </w:rPr>
        <w:t xml:space="preserve"> Réunion seront arrêtées à la 63</w:t>
      </w:r>
      <w:r w:rsidRPr="00E31FE3">
        <w:rPr>
          <w:rFonts w:cstheme="minorHAnsi"/>
          <w:b/>
          <w:vertAlign w:val="superscript"/>
          <w:lang w:val="fr-CH"/>
        </w:rPr>
        <w:t>e</w:t>
      </w:r>
      <w:r w:rsidRPr="00E31FE3">
        <w:rPr>
          <w:rFonts w:cstheme="minorHAnsi"/>
          <w:b/>
          <w:lang w:val="fr-CH"/>
        </w:rPr>
        <w:t xml:space="preserve"> Réunion.</w:t>
      </w:r>
      <w:r w:rsidRPr="00201B1E">
        <w:rPr>
          <w:rFonts w:cstheme="minorHAnsi"/>
          <w:b/>
          <w:lang w:val="fr-CH"/>
        </w:rPr>
        <w:t xml:space="preserve"> </w:t>
      </w:r>
    </w:p>
    <w:p w14:paraId="1A28E60D" w14:textId="77777777" w:rsidR="0007746C" w:rsidRPr="00201B1E" w:rsidRDefault="0007746C" w:rsidP="0007746C">
      <w:pPr>
        <w:spacing w:after="0" w:line="240" w:lineRule="auto"/>
        <w:contextualSpacing/>
        <w:rPr>
          <w:lang w:val="fr-CH"/>
        </w:rPr>
      </w:pPr>
      <w:bookmarkStart w:id="8" w:name="_Hlk145080568"/>
    </w:p>
    <w:p w14:paraId="2E0E4775" w14:textId="77777777" w:rsidR="0007746C" w:rsidRPr="00201B1E"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201B1E">
        <w:rPr>
          <w:rFonts w:cstheme="minorHAnsi"/>
          <w:bCs/>
          <w:lang w:val="fr-CH"/>
        </w:rPr>
        <w:t xml:space="preserve">Point 28 de l’ordre du jour : </w:t>
      </w:r>
      <w:r w:rsidRPr="00201B1E">
        <w:rPr>
          <w:lang w:val="fr-CH"/>
        </w:rPr>
        <w:t>Adoption du rapport de la réunion</w:t>
      </w:r>
    </w:p>
    <w:p w14:paraId="74D818F6" w14:textId="77777777" w:rsidR="0007746C" w:rsidRPr="00201B1E" w:rsidRDefault="0007746C" w:rsidP="0007746C">
      <w:pPr>
        <w:spacing w:after="0" w:line="240" w:lineRule="auto"/>
        <w:rPr>
          <w:lang w:val="fr-CH"/>
        </w:rPr>
      </w:pPr>
    </w:p>
    <w:p w14:paraId="21427DD2" w14:textId="6FCA2BB6" w:rsidR="0007746C" w:rsidRPr="00201B1E" w:rsidRDefault="00A97386" w:rsidP="0007746C">
      <w:pPr>
        <w:spacing w:after="0" w:line="240" w:lineRule="auto"/>
        <w:ind w:left="567" w:hanging="567"/>
        <w:rPr>
          <w:lang w:val="fr-CH"/>
        </w:rPr>
      </w:pPr>
      <w:r>
        <w:rPr>
          <w:lang w:val="fr-CH"/>
        </w:rPr>
        <w:t>147</w:t>
      </w:r>
      <w:r w:rsidR="0007746C" w:rsidRPr="00201B1E">
        <w:rPr>
          <w:lang w:val="fr-CH"/>
        </w:rPr>
        <w:t>.</w:t>
      </w:r>
      <w:r w:rsidR="0007746C" w:rsidRPr="00201B1E">
        <w:rPr>
          <w:lang w:val="fr-CH"/>
        </w:rPr>
        <w:tab/>
      </w:r>
      <w:r w:rsidR="0007746C">
        <w:rPr>
          <w:lang w:val="fr-CH"/>
        </w:rPr>
        <w:t>Le Président du Comité permanent note que les projets de rapports des séances du mardi 5 au jeudi 7 septembre 2023 (</w:t>
      </w:r>
      <w:r w:rsidR="0007746C" w:rsidRPr="00201B1E">
        <w:rPr>
          <w:lang w:val="fr-CH"/>
        </w:rPr>
        <w:t xml:space="preserve">documents SC62 Rep.1 </w:t>
      </w:r>
      <w:r w:rsidR="0007746C">
        <w:rPr>
          <w:lang w:val="fr-CH"/>
        </w:rPr>
        <w:t>à</w:t>
      </w:r>
      <w:r w:rsidR="0007746C" w:rsidRPr="00201B1E">
        <w:rPr>
          <w:lang w:val="fr-CH"/>
        </w:rPr>
        <w:t xml:space="preserve"> SC62 Rep.6) </w:t>
      </w:r>
      <w:r w:rsidR="0007746C">
        <w:rPr>
          <w:lang w:val="fr-CH"/>
        </w:rPr>
        <w:t>ont été téléchargés de manière que les délégués puissent les réviser.</w:t>
      </w:r>
    </w:p>
    <w:bookmarkEnd w:id="8"/>
    <w:p w14:paraId="0EE19CDC" w14:textId="77777777" w:rsidR="0007746C" w:rsidRPr="00201B1E" w:rsidRDefault="0007746C" w:rsidP="0007746C">
      <w:pPr>
        <w:spacing w:after="0" w:line="240" w:lineRule="auto"/>
        <w:ind w:left="567" w:hanging="567"/>
        <w:rPr>
          <w:lang w:val="fr-CH"/>
        </w:rPr>
      </w:pPr>
    </w:p>
    <w:p w14:paraId="004B66E9" w14:textId="4A70CEA7" w:rsidR="0007746C" w:rsidRPr="00201B1E" w:rsidRDefault="00A97386" w:rsidP="0007746C">
      <w:pPr>
        <w:spacing w:after="0" w:line="240" w:lineRule="auto"/>
        <w:ind w:left="567" w:hanging="567"/>
        <w:rPr>
          <w:lang w:val="fr-CH"/>
        </w:rPr>
      </w:pPr>
      <w:r>
        <w:rPr>
          <w:lang w:val="fr-CH"/>
        </w:rPr>
        <w:t>14</w:t>
      </w:r>
      <w:r w:rsidR="0007746C">
        <w:rPr>
          <w:lang w:val="fr-CH"/>
        </w:rPr>
        <w:t>8</w:t>
      </w:r>
      <w:r w:rsidR="0007746C" w:rsidRPr="00201B1E">
        <w:rPr>
          <w:lang w:val="fr-CH"/>
        </w:rPr>
        <w:t>.</w:t>
      </w:r>
      <w:r w:rsidR="0007746C" w:rsidRPr="00201B1E">
        <w:rPr>
          <w:lang w:val="fr-CH"/>
        </w:rPr>
        <w:tab/>
      </w:r>
      <w:r w:rsidR="0007746C">
        <w:rPr>
          <w:lang w:val="fr-CH"/>
        </w:rPr>
        <w:t xml:space="preserve">Les membres du Comité permanent proposent des amendements aux documents </w:t>
      </w:r>
      <w:r w:rsidR="0007746C" w:rsidRPr="00201B1E">
        <w:rPr>
          <w:lang w:val="fr-CH"/>
        </w:rPr>
        <w:t xml:space="preserve">SC62 Rep.2, SC62 Rep.3, SC62 Rep.5 </w:t>
      </w:r>
      <w:r w:rsidR="0007746C">
        <w:rPr>
          <w:lang w:val="fr-CH"/>
        </w:rPr>
        <w:t>et</w:t>
      </w:r>
      <w:r w:rsidR="0007746C" w:rsidRPr="00201B1E">
        <w:rPr>
          <w:lang w:val="fr-CH"/>
        </w:rPr>
        <w:t xml:space="preserve"> SC62 Rep.6.</w:t>
      </w:r>
    </w:p>
    <w:p w14:paraId="67B7BAF4" w14:textId="77777777" w:rsidR="0007746C" w:rsidRPr="00201B1E" w:rsidRDefault="0007746C" w:rsidP="0007746C">
      <w:pPr>
        <w:spacing w:after="0" w:line="240" w:lineRule="auto"/>
        <w:ind w:left="567" w:hanging="567"/>
        <w:rPr>
          <w:lang w:val="fr-CH"/>
        </w:rPr>
      </w:pPr>
    </w:p>
    <w:p w14:paraId="0E8C1955" w14:textId="7C0A7A8F" w:rsidR="0007746C" w:rsidRPr="00201B1E" w:rsidRDefault="00A97386" w:rsidP="0007746C">
      <w:pPr>
        <w:spacing w:after="0" w:line="240" w:lineRule="auto"/>
        <w:ind w:left="567" w:hanging="567"/>
        <w:rPr>
          <w:lang w:val="fr-CH"/>
        </w:rPr>
      </w:pPr>
      <w:r>
        <w:rPr>
          <w:lang w:val="fr-CH"/>
        </w:rPr>
        <w:t>14</w:t>
      </w:r>
      <w:r w:rsidR="0007746C">
        <w:rPr>
          <w:lang w:val="fr-CH"/>
        </w:rPr>
        <w:t>9</w:t>
      </w:r>
      <w:r w:rsidR="0007746C" w:rsidRPr="00201B1E">
        <w:rPr>
          <w:lang w:val="fr-CH"/>
        </w:rPr>
        <w:t>.</w:t>
      </w:r>
      <w:r w:rsidR="0007746C" w:rsidRPr="00201B1E">
        <w:rPr>
          <w:lang w:val="fr-CH"/>
        </w:rPr>
        <w:tab/>
      </w:r>
      <w:r w:rsidR="0007746C">
        <w:rPr>
          <w:lang w:val="fr-CH"/>
        </w:rPr>
        <w:t>Le Président du Comité permanent note que le Secrétariat préparera le rapport final avec les commentaires et les amendements soumis par les Parties contractantes sur les projets de rapports de la réunion. Il précise que le projet de rapport de la séance plénière du vendredi 8 septembre sera disponible le lundi 11 septembre pour examen par les membres du Comité permanent avant le vendredi 15 septembre.</w:t>
      </w:r>
    </w:p>
    <w:p w14:paraId="2FB488F4" w14:textId="77777777" w:rsidR="0007746C" w:rsidRPr="00201B1E" w:rsidRDefault="0007746C" w:rsidP="0007746C">
      <w:pPr>
        <w:spacing w:after="0" w:line="240" w:lineRule="auto"/>
        <w:ind w:left="567" w:hanging="567"/>
        <w:rPr>
          <w:lang w:val="fr-CH"/>
        </w:rPr>
      </w:pPr>
    </w:p>
    <w:p w14:paraId="3BF6BF86" w14:textId="487E9BA6" w:rsidR="0007746C" w:rsidRPr="00201B1E" w:rsidRDefault="00A97386" w:rsidP="0007746C">
      <w:pPr>
        <w:spacing w:after="0" w:line="240" w:lineRule="auto"/>
        <w:ind w:left="567" w:hanging="567"/>
        <w:rPr>
          <w:lang w:val="fr-CH"/>
        </w:rPr>
      </w:pPr>
      <w:r>
        <w:rPr>
          <w:lang w:val="fr-CH"/>
        </w:rPr>
        <w:t>15</w:t>
      </w:r>
      <w:r w:rsidR="0007746C">
        <w:rPr>
          <w:lang w:val="fr-CH"/>
        </w:rPr>
        <w:t>0</w:t>
      </w:r>
      <w:r w:rsidR="0007746C" w:rsidRPr="00201B1E">
        <w:rPr>
          <w:lang w:val="fr-CH"/>
        </w:rPr>
        <w:t>.</w:t>
      </w:r>
      <w:r w:rsidR="0007746C" w:rsidRPr="00201B1E">
        <w:rPr>
          <w:lang w:val="fr-CH"/>
        </w:rPr>
        <w:tab/>
      </w:r>
      <w:r w:rsidR="0007746C">
        <w:rPr>
          <w:lang w:val="fr-CH"/>
        </w:rPr>
        <w:t>L’Argentine, le Brésil, le Canada, le</w:t>
      </w:r>
      <w:r w:rsidR="0007746C" w:rsidRPr="00201B1E">
        <w:rPr>
          <w:lang w:val="fr-CH"/>
        </w:rPr>
        <w:t xml:space="preserve"> Costa Rica, </w:t>
      </w:r>
      <w:r w:rsidR="0007746C">
        <w:rPr>
          <w:lang w:val="fr-CH"/>
        </w:rPr>
        <w:t>les États</w:t>
      </w:r>
      <w:r w:rsidR="0007746C">
        <w:rPr>
          <w:lang w:val="fr-CH"/>
        </w:rPr>
        <w:noBreakHyphen/>
        <w:t>Unis d’Amérique, l’</w:t>
      </w:r>
      <w:r w:rsidR="0007746C" w:rsidRPr="00201B1E">
        <w:rPr>
          <w:lang w:val="fr-CH"/>
        </w:rPr>
        <w:t>Iran</w:t>
      </w:r>
      <w:r w:rsidR="0007746C">
        <w:rPr>
          <w:lang w:val="fr-CH"/>
        </w:rPr>
        <w:t xml:space="preserve"> (République islamique d’)</w:t>
      </w:r>
      <w:r w:rsidR="0007746C" w:rsidRPr="00201B1E">
        <w:rPr>
          <w:lang w:val="fr-CH"/>
        </w:rPr>
        <w:t xml:space="preserve">, </w:t>
      </w:r>
      <w:r w:rsidR="0007746C">
        <w:rPr>
          <w:lang w:val="fr-CH"/>
        </w:rPr>
        <w:t xml:space="preserve">le </w:t>
      </w:r>
      <w:r w:rsidR="0007746C" w:rsidRPr="00201B1E">
        <w:rPr>
          <w:lang w:val="fr-CH"/>
        </w:rPr>
        <w:t xml:space="preserve">Panama, </w:t>
      </w:r>
      <w:r w:rsidR="0007746C">
        <w:rPr>
          <w:lang w:val="fr-CH"/>
        </w:rPr>
        <w:t xml:space="preserve">le </w:t>
      </w:r>
      <w:r w:rsidR="0007746C" w:rsidRPr="00201B1E">
        <w:rPr>
          <w:lang w:val="fr-CH"/>
        </w:rPr>
        <w:t xml:space="preserve">Rwanda, </w:t>
      </w:r>
      <w:r w:rsidR="0007746C">
        <w:rPr>
          <w:lang w:val="fr-CH"/>
        </w:rPr>
        <w:t>la Suède, l’</w:t>
      </w:r>
      <w:r w:rsidR="0007746C" w:rsidRPr="00201B1E">
        <w:rPr>
          <w:lang w:val="fr-CH"/>
        </w:rPr>
        <w:t xml:space="preserve">Ukraine </w:t>
      </w:r>
      <w:r w:rsidR="0007746C">
        <w:rPr>
          <w:lang w:val="fr-CH"/>
        </w:rPr>
        <w:t>et le Président du GEST interviennent dans la discussion.</w:t>
      </w:r>
    </w:p>
    <w:p w14:paraId="041E4B14" w14:textId="77777777" w:rsidR="0007746C" w:rsidRPr="00201B1E" w:rsidRDefault="0007746C" w:rsidP="0007746C">
      <w:pPr>
        <w:spacing w:after="0" w:line="240" w:lineRule="auto"/>
        <w:contextualSpacing/>
        <w:rPr>
          <w:lang w:val="fr-CH"/>
        </w:rPr>
      </w:pPr>
    </w:p>
    <w:p w14:paraId="1932F81D" w14:textId="77777777" w:rsidR="0007746C" w:rsidRPr="00201B1E"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201B1E">
        <w:rPr>
          <w:rFonts w:cstheme="minorHAnsi"/>
          <w:bCs/>
          <w:lang w:val="fr-CH"/>
        </w:rPr>
        <w:t xml:space="preserve">Point 29 de l’ordre du jour : </w:t>
      </w:r>
      <w:r w:rsidRPr="00201B1E">
        <w:rPr>
          <w:lang w:val="fr-CH"/>
        </w:rPr>
        <w:t>Divers</w:t>
      </w:r>
    </w:p>
    <w:p w14:paraId="53652CB4" w14:textId="77777777" w:rsidR="0007746C" w:rsidRPr="00A41184" w:rsidRDefault="0007746C" w:rsidP="0007746C">
      <w:pPr>
        <w:spacing w:after="0" w:line="240" w:lineRule="auto"/>
        <w:rPr>
          <w:lang w:val="fr-CH"/>
        </w:rPr>
      </w:pPr>
    </w:p>
    <w:p w14:paraId="6B70C9C2" w14:textId="2991FD98" w:rsidR="0007746C" w:rsidRPr="00A41184" w:rsidRDefault="00A97386" w:rsidP="0007746C">
      <w:pPr>
        <w:spacing w:after="0" w:line="240" w:lineRule="auto"/>
        <w:ind w:left="567" w:hanging="567"/>
        <w:rPr>
          <w:lang w:val="fr-CH"/>
        </w:rPr>
      </w:pPr>
      <w:r w:rsidRPr="00A41184">
        <w:rPr>
          <w:lang w:val="fr-CH"/>
        </w:rPr>
        <w:t>15</w:t>
      </w:r>
      <w:r w:rsidR="0007746C" w:rsidRPr="00A41184">
        <w:rPr>
          <w:lang w:val="fr-CH"/>
        </w:rPr>
        <w:t>1.</w:t>
      </w:r>
      <w:r w:rsidR="0007746C" w:rsidRPr="00A41184">
        <w:rPr>
          <w:lang w:val="fr-CH"/>
        </w:rPr>
        <w:tab/>
        <w:t>L’Argentine et le Royaume-Uni de Grande-Bretagne et d’Irlande du Nord lisent des déclarations à haute voix</w:t>
      </w:r>
      <w:r w:rsidRPr="00A41184">
        <w:rPr>
          <w:lang w:val="fr-CH"/>
        </w:rPr>
        <w:t xml:space="preserve"> concernant des sites inclus par le </w:t>
      </w:r>
      <w:r w:rsidR="00072B46" w:rsidRPr="00A41184">
        <w:rPr>
          <w:lang w:val="fr-CH"/>
        </w:rPr>
        <w:t>Royaume-Uni dans la Liste des zones humides d’importance internationale</w:t>
      </w:r>
      <w:r w:rsidR="0007746C" w:rsidRPr="00A41184">
        <w:rPr>
          <w:lang w:val="fr-CH"/>
        </w:rPr>
        <w:t>, demandant qu’elles figurent dans le rapport de la réunion. Celles</w:t>
      </w:r>
      <w:r w:rsidR="0007746C" w:rsidRPr="00A41184">
        <w:rPr>
          <w:lang w:val="fr-CH"/>
        </w:rPr>
        <w:noBreakHyphen/>
        <w:t>ci sont annexées au présent rapport en tant qu’Annexe </w:t>
      </w:r>
      <w:r w:rsidR="00072B46" w:rsidRPr="00A41184">
        <w:rPr>
          <w:lang w:val="fr-CH"/>
        </w:rPr>
        <w:t>2</w:t>
      </w:r>
      <w:r w:rsidR="0007746C" w:rsidRPr="00A41184">
        <w:rPr>
          <w:lang w:val="fr-CH"/>
        </w:rPr>
        <w:t xml:space="preserve"> et Annexe </w:t>
      </w:r>
      <w:r w:rsidR="00072B46" w:rsidRPr="00A41184">
        <w:rPr>
          <w:lang w:val="fr-CH"/>
        </w:rPr>
        <w:t>3</w:t>
      </w:r>
      <w:r w:rsidR="0007746C" w:rsidRPr="00A41184">
        <w:rPr>
          <w:lang w:val="fr-CH"/>
        </w:rPr>
        <w:t>.</w:t>
      </w:r>
    </w:p>
    <w:p w14:paraId="60F9058B" w14:textId="77777777" w:rsidR="0007746C" w:rsidRPr="0021014C" w:rsidRDefault="0007746C" w:rsidP="0007746C">
      <w:pPr>
        <w:spacing w:after="0" w:line="240" w:lineRule="auto"/>
        <w:ind w:left="567" w:hanging="567"/>
        <w:rPr>
          <w:lang w:val="fr-CH"/>
        </w:rPr>
      </w:pPr>
    </w:p>
    <w:p w14:paraId="4C569F41" w14:textId="77777777" w:rsidR="0007746C" w:rsidRPr="00201B1E" w:rsidRDefault="0007746C" w:rsidP="0007746C">
      <w:pPr>
        <w:keepNext/>
        <w:pBdr>
          <w:top w:val="single" w:sz="4" w:space="1" w:color="auto"/>
          <w:left w:val="single" w:sz="4" w:space="4" w:color="auto"/>
          <w:bottom w:val="single" w:sz="4" w:space="1" w:color="auto"/>
          <w:right w:val="single" w:sz="4" w:space="4" w:color="auto"/>
        </w:pBdr>
        <w:spacing w:after="0" w:line="240" w:lineRule="auto"/>
        <w:outlineLvl w:val="0"/>
        <w:rPr>
          <w:lang w:val="fr-CH"/>
        </w:rPr>
      </w:pPr>
      <w:r w:rsidRPr="00201B1E">
        <w:rPr>
          <w:rFonts w:cstheme="minorHAnsi"/>
          <w:bCs/>
          <w:lang w:val="fr-CH"/>
        </w:rPr>
        <w:t>Point 30 de l’ordre du jour : Remarques de clôture</w:t>
      </w:r>
    </w:p>
    <w:p w14:paraId="322860D3" w14:textId="77777777" w:rsidR="0007746C" w:rsidRPr="00201B1E" w:rsidRDefault="0007746C" w:rsidP="0007746C">
      <w:pPr>
        <w:spacing w:after="0" w:line="240" w:lineRule="auto"/>
        <w:rPr>
          <w:lang w:val="fr-CH"/>
        </w:rPr>
      </w:pPr>
    </w:p>
    <w:p w14:paraId="52173AD2" w14:textId="6F5AF226" w:rsidR="0007746C" w:rsidRPr="00201B1E" w:rsidRDefault="00E13E6E" w:rsidP="0007746C">
      <w:pPr>
        <w:spacing w:after="0" w:line="240" w:lineRule="auto"/>
        <w:ind w:left="567" w:hanging="567"/>
        <w:rPr>
          <w:lang w:val="fr-CH"/>
        </w:rPr>
      </w:pPr>
      <w:r>
        <w:rPr>
          <w:lang w:val="fr-CH"/>
        </w:rPr>
        <w:t>152</w:t>
      </w:r>
      <w:r w:rsidR="0007746C" w:rsidRPr="00201B1E">
        <w:rPr>
          <w:lang w:val="fr-CH"/>
        </w:rPr>
        <w:t>.</w:t>
      </w:r>
      <w:r w:rsidR="0007746C" w:rsidRPr="00201B1E">
        <w:rPr>
          <w:lang w:val="fr-CH"/>
        </w:rPr>
        <w:tab/>
      </w:r>
      <w:r w:rsidR="0007746C">
        <w:rPr>
          <w:lang w:val="fr-CH"/>
        </w:rPr>
        <w:t>Le Président du Comité permanent souligne « qu’il est temps d’agir », rappelant aux délégués, au moment de prononcer la clôture de la 62</w:t>
      </w:r>
      <w:r w:rsidR="0007746C" w:rsidRPr="00B03A92">
        <w:rPr>
          <w:vertAlign w:val="superscript"/>
          <w:lang w:val="fr-CH"/>
        </w:rPr>
        <w:t>e</w:t>
      </w:r>
      <w:r w:rsidR="0007746C">
        <w:rPr>
          <w:lang w:val="fr-CH"/>
        </w:rPr>
        <w:t> Réunion du Comité permanent, qu’il reste encore de nombreuses tâches et beaucoup de travail à accomplir. Il les encourage à transmettre à toutes les parties prenantes le message que le consensus a été atteint à la 62</w:t>
      </w:r>
      <w:r w:rsidR="0007746C" w:rsidRPr="00F51A6C">
        <w:rPr>
          <w:vertAlign w:val="superscript"/>
          <w:lang w:val="fr-CH"/>
        </w:rPr>
        <w:t>e</w:t>
      </w:r>
      <w:r w:rsidR="0007746C">
        <w:rPr>
          <w:lang w:val="fr-CH"/>
        </w:rPr>
        <w:t> Réunion du Comité permanent et à leur dire que la communauté de la Convention sur les zones humides est prête à agir. Il remercie tous les participants pour leur appui, leur bienveillance et leur indulgence et se réjouit de les retrouver en juin, pour la 63</w:t>
      </w:r>
      <w:r w:rsidR="0007746C" w:rsidRPr="00F51A6C">
        <w:rPr>
          <w:vertAlign w:val="superscript"/>
          <w:lang w:val="fr-CH"/>
        </w:rPr>
        <w:t>e</w:t>
      </w:r>
      <w:r w:rsidR="0007746C">
        <w:rPr>
          <w:lang w:val="fr-CH"/>
        </w:rPr>
        <w:t xml:space="preserve"> Réunion du Comité permanent. </w:t>
      </w:r>
    </w:p>
    <w:p w14:paraId="60385EA8" w14:textId="77777777" w:rsidR="0007746C" w:rsidRPr="00201B1E" w:rsidRDefault="0007746C" w:rsidP="0007746C">
      <w:pPr>
        <w:spacing w:after="0" w:line="240" w:lineRule="auto"/>
        <w:ind w:left="567" w:hanging="567"/>
        <w:rPr>
          <w:lang w:val="fr-CH"/>
        </w:rPr>
      </w:pPr>
    </w:p>
    <w:p w14:paraId="6D944119" w14:textId="34EF8A07" w:rsidR="0007746C" w:rsidRPr="00201B1E" w:rsidRDefault="00E13E6E" w:rsidP="0007746C">
      <w:pPr>
        <w:spacing w:after="0" w:line="240" w:lineRule="auto"/>
        <w:ind w:left="567" w:hanging="567"/>
        <w:rPr>
          <w:lang w:val="fr-CH"/>
        </w:rPr>
      </w:pPr>
      <w:r>
        <w:rPr>
          <w:lang w:val="fr-CH"/>
        </w:rPr>
        <w:t>15</w:t>
      </w:r>
      <w:r w:rsidR="0007746C">
        <w:rPr>
          <w:lang w:val="fr-CH"/>
        </w:rPr>
        <w:t>3</w:t>
      </w:r>
      <w:r w:rsidR="0007746C" w:rsidRPr="00201B1E">
        <w:rPr>
          <w:lang w:val="fr-CH"/>
        </w:rPr>
        <w:t>.</w:t>
      </w:r>
      <w:r w:rsidR="0007746C" w:rsidRPr="00201B1E">
        <w:rPr>
          <w:lang w:val="fr-CH"/>
        </w:rPr>
        <w:tab/>
      </w:r>
      <w:r w:rsidR="0007746C">
        <w:rPr>
          <w:lang w:val="fr-CH"/>
        </w:rPr>
        <w:t xml:space="preserve">La Secrétaire générale remercie tous les participants pour leur engagement, leur dévouement, leur soutien et leur confiance ; le Secrétariat pour son travail inlassable ; l’UICN et la Suisse pour leur appui ; et le Président pour sa direction éclairée. </w:t>
      </w:r>
    </w:p>
    <w:p w14:paraId="6B9255C3" w14:textId="77777777" w:rsidR="0007746C" w:rsidRDefault="0007746C" w:rsidP="0007746C">
      <w:pPr>
        <w:rPr>
          <w:lang w:val="fr-FR"/>
        </w:rPr>
      </w:pPr>
      <w:r>
        <w:rPr>
          <w:lang w:val="fr-FR"/>
        </w:rPr>
        <w:br w:type="page"/>
      </w:r>
    </w:p>
    <w:p w14:paraId="079D8436" w14:textId="717084C5" w:rsidR="00321E55" w:rsidRDefault="00321E55" w:rsidP="00321E55">
      <w:pPr>
        <w:rPr>
          <w:rFonts w:eastAsia="Osnova MFA Cyrillic" w:cstheme="minorHAnsi"/>
          <w:b/>
          <w:i/>
          <w:sz w:val="24"/>
          <w:szCs w:val="24"/>
          <w:lang w:val="fr-FR"/>
        </w:rPr>
      </w:pPr>
      <w:r w:rsidRPr="00CC2268">
        <w:rPr>
          <w:rFonts w:eastAsia="Osnova MFA Cyrillic" w:cstheme="minorHAnsi"/>
          <w:b/>
          <w:sz w:val="24"/>
          <w:szCs w:val="24"/>
          <w:lang w:val="fr-FR"/>
        </w:rPr>
        <w:lastRenderedPageBreak/>
        <w:t xml:space="preserve">Annexe </w:t>
      </w:r>
      <w:r w:rsidR="002C1AAA">
        <w:rPr>
          <w:rFonts w:eastAsia="Osnova MFA Cyrillic" w:cstheme="minorHAnsi"/>
          <w:b/>
          <w:sz w:val="24"/>
          <w:szCs w:val="24"/>
          <w:lang w:val="fr-FR"/>
        </w:rPr>
        <w:t>1</w:t>
      </w:r>
      <w:r w:rsidRPr="00CC2268">
        <w:rPr>
          <w:rFonts w:eastAsia="Osnova MFA Cyrillic" w:cstheme="minorHAnsi"/>
          <w:b/>
          <w:sz w:val="24"/>
          <w:szCs w:val="24"/>
          <w:lang w:val="fr-FR"/>
        </w:rPr>
        <w:t xml:space="preserve"> : Déclaration conjointe sous le </w:t>
      </w:r>
      <w:r>
        <w:rPr>
          <w:rFonts w:eastAsia="Osnova MFA Cyrillic" w:cstheme="minorHAnsi"/>
          <w:b/>
          <w:sz w:val="24"/>
          <w:szCs w:val="24"/>
          <w:lang w:val="fr-FR"/>
        </w:rPr>
        <w:t xml:space="preserve">point 24 de l’ordre du jour : </w:t>
      </w:r>
      <w:r w:rsidRPr="00CC2268">
        <w:rPr>
          <w:rFonts w:eastAsia="Osnova MFA Cyrillic" w:cstheme="minorHAnsi"/>
          <w:b/>
          <w:i/>
          <w:sz w:val="24"/>
          <w:szCs w:val="24"/>
          <w:lang w:val="fr-FR"/>
        </w:rPr>
        <w:t>Mise à jour du Secrétariat sur l’application de la Résolution XIV.20</w:t>
      </w:r>
    </w:p>
    <w:p w14:paraId="64BC73A0" w14:textId="1CE2FF17" w:rsidR="002C1AAA" w:rsidRPr="002C1AAA" w:rsidRDefault="002C1AAA" w:rsidP="00321E55">
      <w:pPr>
        <w:rPr>
          <w:rFonts w:eastAsia="Osnova MFA Cyrillic" w:cstheme="minorHAnsi"/>
          <w:bCs/>
          <w:iCs/>
          <w:sz w:val="24"/>
          <w:szCs w:val="24"/>
          <w:lang w:val="fr-FR"/>
        </w:rPr>
      </w:pPr>
      <w:r w:rsidRPr="002C1AAA">
        <w:rPr>
          <w:rFonts w:eastAsia="Osnova MFA Cyrillic" w:cstheme="minorHAnsi"/>
          <w:bCs/>
          <w:iCs/>
          <w:sz w:val="24"/>
          <w:szCs w:val="24"/>
          <w:lang w:val="fr-FR"/>
        </w:rPr>
        <w:t>(Texte non officiel, traduit par les soins du Secrétariat)</w:t>
      </w:r>
    </w:p>
    <w:p w14:paraId="40E5B26E" w14:textId="77777777" w:rsidR="00321E55" w:rsidRPr="00CC2268" w:rsidRDefault="00321E55" w:rsidP="00321E55">
      <w:pPr>
        <w:spacing w:after="0" w:line="240" w:lineRule="auto"/>
        <w:rPr>
          <w:rFonts w:eastAsia="Osnova MFA Cyrillic" w:cstheme="minorHAnsi"/>
          <w:b/>
          <w:lang w:val="fr-FR"/>
        </w:rPr>
      </w:pPr>
    </w:p>
    <w:p w14:paraId="46FB033F" w14:textId="77777777" w:rsidR="00321E55" w:rsidRPr="00540BCA" w:rsidRDefault="00321E55" w:rsidP="00321E55">
      <w:pPr>
        <w:spacing w:after="0" w:line="240" w:lineRule="auto"/>
        <w:rPr>
          <w:rFonts w:eastAsia="Osnova MFA Cyrillic" w:cstheme="minorHAnsi"/>
          <w:b/>
          <w:lang w:val="fr-CH"/>
        </w:rPr>
      </w:pPr>
      <w:r w:rsidRPr="00540BCA">
        <w:rPr>
          <w:rFonts w:eastAsia="Osnova MFA Cyrillic" w:cstheme="minorHAnsi"/>
          <w:b/>
          <w:lang w:val="fr-CH"/>
        </w:rPr>
        <w:t>Déclaration conjointe</w:t>
      </w:r>
    </w:p>
    <w:p w14:paraId="26B86733" w14:textId="77777777" w:rsidR="00321E55" w:rsidRPr="00540BCA" w:rsidRDefault="00321E55" w:rsidP="00321E55">
      <w:pPr>
        <w:spacing w:after="0" w:line="240" w:lineRule="auto"/>
        <w:rPr>
          <w:rFonts w:eastAsia="Osnova MFA Cyrillic" w:cstheme="minorHAnsi"/>
          <w:b/>
          <w:lang w:val="fr-CH"/>
        </w:rPr>
      </w:pPr>
      <w:r w:rsidRPr="00540BCA">
        <w:rPr>
          <w:rFonts w:eastAsia="Osnova MFA Cyrillic" w:cstheme="minorHAnsi"/>
          <w:b/>
          <w:lang w:val="fr-CH"/>
        </w:rPr>
        <w:t>Comité permanent de la Convention de Ramsar sur les zones humides</w:t>
      </w:r>
    </w:p>
    <w:p w14:paraId="0B5BC4CE" w14:textId="77777777" w:rsidR="00321E55" w:rsidRPr="00540BCA" w:rsidRDefault="00321E55" w:rsidP="00321E55">
      <w:pPr>
        <w:spacing w:after="0" w:line="240" w:lineRule="auto"/>
        <w:rPr>
          <w:rFonts w:eastAsia="Osnova MFA Cyrillic" w:cstheme="minorHAnsi"/>
          <w:lang w:val="fr-CH"/>
        </w:rPr>
      </w:pPr>
    </w:p>
    <w:p w14:paraId="5A99CBEE" w14:textId="77777777" w:rsidR="00321E55" w:rsidRPr="00540BCA" w:rsidRDefault="00321E55" w:rsidP="00321E55">
      <w:pPr>
        <w:spacing w:after="0" w:line="240" w:lineRule="auto"/>
        <w:rPr>
          <w:rFonts w:eastAsia="Osnova MFA Cyrillic" w:cstheme="minorHAnsi"/>
          <w:lang w:val="fr-CH"/>
        </w:rPr>
      </w:pPr>
    </w:p>
    <w:p w14:paraId="59315309" w14:textId="77777777" w:rsidR="00321E55" w:rsidRPr="00540BCA" w:rsidRDefault="00321E55" w:rsidP="00321E55">
      <w:pPr>
        <w:spacing w:after="0" w:line="240" w:lineRule="auto"/>
        <w:rPr>
          <w:rFonts w:eastAsia="Osnova MFA Cyrillic" w:cstheme="minorHAnsi"/>
          <w:b/>
          <w:lang w:val="fr-CH"/>
        </w:rPr>
      </w:pPr>
      <w:r w:rsidRPr="00540BCA">
        <w:rPr>
          <w:rFonts w:eastAsia="Osnova MFA Cyrillic" w:cstheme="minorHAnsi"/>
          <w:b/>
          <w:lang w:val="fr-CH"/>
        </w:rPr>
        <w:t>Monsieur le Président,</w:t>
      </w:r>
    </w:p>
    <w:p w14:paraId="544B577C" w14:textId="77777777" w:rsidR="00321E55" w:rsidRPr="00540BCA" w:rsidRDefault="00321E55" w:rsidP="00321E55">
      <w:pPr>
        <w:spacing w:after="0" w:line="240" w:lineRule="auto"/>
        <w:rPr>
          <w:rFonts w:eastAsia="Osnova MFA Cyrillic" w:cstheme="minorHAnsi"/>
          <w:lang w:val="fr-CH"/>
        </w:rPr>
      </w:pPr>
    </w:p>
    <w:p w14:paraId="69681A5E" w14:textId="77777777" w:rsidR="00321E55" w:rsidRPr="00540BCA" w:rsidRDefault="00321E55" w:rsidP="00321E55">
      <w:pPr>
        <w:spacing w:after="0" w:line="240" w:lineRule="auto"/>
        <w:rPr>
          <w:rFonts w:eastAsia="Osnova MFA Cyrillic" w:cstheme="minorHAnsi"/>
          <w:lang w:val="fr-CH"/>
        </w:rPr>
      </w:pPr>
      <w:r>
        <w:rPr>
          <w:rFonts w:eastAsia="Osnova MFA Cyrillic" w:cstheme="minorHAnsi"/>
          <w:lang w:val="fr-CH"/>
        </w:rPr>
        <w:t>Cette déclaration est faite au nom de 48 pays, dont 14 membres et membres suppléants du Comité permanent, à savoir : Australie, Autriche, Belgique, Canada, Costa Rica, Géorgie, Guatemala, Japon, Monténégro, République de Corée, Slovaquie, Slovénie, Suède, Tchéquie, ainsi que d’autres Parties contractantes : Albanie, Allemagne, Andorre, Bulgarie, Chili, Croatie, Danemark, Espagne, Estonie, États</w:t>
      </w:r>
      <w:r>
        <w:rPr>
          <w:rFonts w:eastAsia="Osnova MFA Cyrillic" w:cstheme="minorHAnsi"/>
          <w:lang w:val="fr-CH"/>
        </w:rPr>
        <w:noBreakHyphen/>
        <w:t>Unis d’Amérique, Finlande, France, Grèce, Irlande, Islande, Italie, Lettonie, Lituanie, Luxembourg, Macédoine du Nord, Malte, Moldova, Monaco, Norvège, Nouvelle</w:t>
      </w:r>
      <w:r>
        <w:rPr>
          <w:rFonts w:eastAsia="Osnova MFA Cyrillic" w:cstheme="minorHAnsi"/>
          <w:lang w:val="fr-CH"/>
        </w:rPr>
        <w:noBreakHyphen/>
        <w:t>Zélande, Pays</w:t>
      </w:r>
      <w:r>
        <w:rPr>
          <w:rFonts w:eastAsia="Osnova MFA Cyrillic" w:cstheme="minorHAnsi"/>
          <w:lang w:val="fr-CH"/>
        </w:rPr>
        <w:noBreakHyphen/>
        <w:t>Bas, Pérou, Pologne, Portugal, Roumanie, Royaume-Uni de Grande-Bretagne et d’Irlande du Nord, Suisse, Uruguay et mon propre pays, l’Ukraine.</w:t>
      </w:r>
    </w:p>
    <w:p w14:paraId="59C87EAF" w14:textId="77777777" w:rsidR="00321E55" w:rsidRPr="00540BCA" w:rsidRDefault="00321E55" w:rsidP="00321E55">
      <w:pPr>
        <w:spacing w:after="0" w:line="240" w:lineRule="auto"/>
        <w:rPr>
          <w:rFonts w:eastAsia="Osnova MFA Cyrillic" w:cstheme="minorHAnsi"/>
          <w:lang w:val="fr-CH"/>
        </w:rPr>
      </w:pPr>
    </w:p>
    <w:p w14:paraId="7BB0E70C" w14:textId="23D6D895" w:rsidR="00321E55" w:rsidRPr="00540BCA" w:rsidRDefault="00664841" w:rsidP="00321E55">
      <w:pPr>
        <w:spacing w:after="0" w:line="240" w:lineRule="auto"/>
        <w:rPr>
          <w:rFonts w:eastAsia="Osnova MFA Cyrillic" w:cstheme="minorHAnsi"/>
          <w:lang w:val="fr-CH"/>
        </w:rPr>
      </w:pPr>
      <w:r w:rsidRPr="00664841">
        <w:rPr>
          <w:rFonts w:eastAsia="Osnova MFA Cyrillic" w:cstheme="minorHAnsi"/>
          <w:lang w:val="fr-CH"/>
        </w:rPr>
        <w:t>Toutes les Parties peuvent s’associer à c</w:t>
      </w:r>
      <w:r w:rsidR="00321E55" w:rsidRPr="00664841">
        <w:rPr>
          <w:rFonts w:eastAsia="Osnova MFA Cyrillic" w:cstheme="minorHAnsi"/>
          <w:lang w:val="fr-CH"/>
        </w:rPr>
        <w:t>ette déclaration.</w:t>
      </w:r>
    </w:p>
    <w:p w14:paraId="4C9CB1A4" w14:textId="77777777" w:rsidR="00321E55" w:rsidRPr="00540BCA" w:rsidRDefault="00321E55" w:rsidP="00321E55">
      <w:pPr>
        <w:spacing w:after="0" w:line="240" w:lineRule="auto"/>
        <w:rPr>
          <w:rFonts w:eastAsia="Osnova MFA Cyrillic" w:cstheme="minorHAnsi"/>
          <w:lang w:val="fr-CH"/>
        </w:rPr>
      </w:pPr>
    </w:p>
    <w:p w14:paraId="3257CB34" w14:textId="77777777" w:rsidR="00321E55" w:rsidRPr="00540BCA" w:rsidRDefault="00321E55" w:rsidP="00321E55">
      <w:pPr>
        <w:spacing w:after="0" w:line="240" w:lineRule="auto"/>
        <w:rPr>
          <w:rFonts w:eastAsia="Osnova MFA Cyrillic" w:cstheme="minorHAnsi"/>
          <w:b/>
          <w:lang w:val="fr-CH"/>
        </w:rPr>
      </w:pPr>
      <w:r>
        <w:rPr>
          <w:rFonts w:eastAsia="Osnova MFA Cyrillic" w:cstheme="minorHAnsi"/>
          <w:b/>
          <w:lang w:val="fr-CH"/>
        </w:rPr>
        <w:t xml:space="preserve">Distingués délégués, </w:t>
      </w:r>
    </w:p>
    <w:p w14:paraId="6D1B4F92" w14:textId="77777777" w:rsidR="00321E55" w:rsidRPr="00540BCA" w:rsidRDefault="00321E55" w:rsidP="00321E55">
      <w:pPr>
        <w:spacing w:after="0" w:line="240" w:lineRule="auto"/>
        <w:rPr>
          <w:rFonts w:eastAsia="Osnova MFA Cyrillic" w:cstheme="minorHAnsi"/>
          <w:b/>
          <w:lang w:val="fr-CH"/>
        </w:rPr>
      </w:pPr>
    </w:p>
    <w:p w14:paraId="4BC89165" w14:textId="77777777" w:rsidR="00321E55" w:rsidRPr="00540BCA" w:rsidRDefault="00321E55" w:rsidP="00321E55">
      <w:pPr>
        <w:spacing w:after="0" w:line="240" w:lineRule="auto"/>
        <w:rPr>
          <w:rFonts w:eastAsia="Osnova MFA Cyrillic" w:cstheme="minorHAnsi"/>
          <w:color w:val="000000"/>
          <w:lang w:val="fr-CH"/>
        </w:rPr>
      </w:pPr>
    </w:p>
    <w:p w14:paraId="687EA52F" w14:textId="77777777"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 xml:space="preserve">Nous nous félicitons du rapport factuel de mise à jour du Secrétariat, comme demandé par la COP, sur la mise en œuvre de la Résolution XIV.20, et nous invitons le Comité permanent à prendre note de ce rapport de mise à jour. Ce rapport démontre les travaux constants entrepris par le Secrétariat pour mettre en œuvre une évaluation indépendante des impacts de la guerre de la Russie sur les zones humides d’importance internationale de l’Ukraine. </w:t>
      </w:r>
    </w:p>
    <w:p w14:paraId="5D93DF94" w14:textId="77777777" w:rsidR="00321E55" w:rsidRPr="00540BCA" w:rsidRDefault="00321E55" w:rsidP="00321E55">
      <w:pPr>
        <w:spacing w:after="0" w:line="240" w:lineRule="auto"/>
        <w:rPr>
          <w:rFonts w:eastAsia="Osnova MFA Cyrillic" w:cstheme="minorHAnsi"/>
          <w:color w:val="000000"/>
          <w:lang w:val="fr-CH"/>
        </w:rPr>
      </w:pPr>
    </w:p>
    <w:p w14:paraId="0CF51300" w14:textId="77777777"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L’année dernière, à l’occasion de la 14</w:t>
      </w:r>
      <w:r w:rsidRPr="00486D44">
        <w:rPr>
          <w:rFonts w:eastAsia="Osnova MFA Cyrillic" w:cstheme="minorHAnsi"/>
          <w:color w:val="000000"/>
          <w:vertAlign w:val="superscript"/>
          <w:lang w:val="fr-CH"/>
        </w:rPr>
        <w:t>e</w:t>
      </w:r>
      <w:r>
        <w:rPr>
          <w:rFonts w:eastAsia="Osnova MFA Cyrillic" w:cstheme="minorHAnsi"/>
          <w:color w:val="000000"/>
          <w:lang w:val="fr-CH"/>
        </w:rPr>
        <w:t> Session de la Conférence des Parties contractantes à la Convention de Ramsar, nous avons adopté la Résolution XIV.20, réaffirmant ainsi notre engagement envers les principes et objectifs de la Convention de Ramsar et illustrant la capacité de réaction de la Convention à une situation d’urgence.</w:t>
      </w:r>
    </w:p>
    <w:p w14:paraId="30E69F7F" w14:textId="77777777" w:rsidR="00321E55" w:rsidRPr="00540BCA" w:rsidRDefault="00321E55" w:rsidP="00321E55">
      <w:pPr>
        <w:spacing w:after="0" w:line="240" w:lineRule="auto"/>
        <w:rPr>
          <w:rFonts w:eastAsia="Osnova MFA Cyrillic" w:cstheme="minorHAnsi"/>
          <w:color w:val="000000"/>
          <w:lang w:val="fr-CH"/>
        </w:rPr>
      </w:pPr>
    </w:p>
    <w:p w14:paraId="1A81A354" w14:textId="77777777" w:rsidR="00321E55" w:rsidRPr="00A41184" w:rsidRDefault="00321E55" w:rsidP="00321E55">
      <w:pPr>
        <w:spacing w:after="0" w:line="240" w:lineRule="auto"/>
        <w:rPr>
          <w:rFonts w:eastAsia="Osnova MFA Cyrillic" w:cstheme="minorHAnsi"/>
          <w:lang w:val="fr-CH"/>
        </w:rPr>
      </w:pPr>
      <w:r>
        <w:rPr>
          <w:rFonts w:eastAsia="Osnova MFA Cyrillic" w:cstheme="minorHAnsi"/>
          <w:color w:val="000000"/>
          <w:lang w:val="fr-CH"/>
        </w:rPr>
        <w:t xml:space="preserve">Nous sommes très sensibles aux efforts déployés à la COP14 par les Parties contractantes et le Secrétariat pour reconnaître les effets dévastateurs de l’agression de la Fédération de Russie sur le milieu naturel de l’Ukraine, notamment la perturbation de l’état écologique de 16 zones humides d’importance internationale (Sites Ramsar) et les dommages possibles causés à 15 autres Sites Ramsar.  </w:t>
      </w:r>
    </w:p>
    <w:p w14:paraId="7A639F56" w14:textId="77777777" w:rsidR="00321E55" w:rsidRPr="00A41184" w:rsidRDefault="00321E55" w:rsidP="00321E55">
      <w:pPr>
        <w:spacing w:after="0" w:line="240" w:lineRule="auto"/>
        <w:rPr>
          <w:rFonts w:eastAsia="Osnova MFA Cyrillic" w:cstheme="minorHAnsi"/>
          <w:lang w:val="fr-CH"/>
        </w:rPr>
      </w:pPr>
    </w:p>
    <w:p w14:paraId="5AE48D91" w14:textId="4B43E044" w:rsidR="00321E55" w:rsidRPr="00540BCA" w:rsidRDefault="00321E55" w:rsidP="00321E55">
      <w:pPr>
        <w:spacing w:after="0" w:line="240" w:lineRule="auto"/>
        <w:rPr>
          <w:rFonts w:eastAsia="Osnova MFA Cyrillic" w:cstheme="minorHAnsi"/>
          <w:color w:val="000000"/>
          <w:lang w:val="fr-CH"/>
        </w:rPr>
      </w:pPr>
      <w:r w:rsidRPr="00A41184">
        <w:rPr>
          <w:rFonts w:eastAsia="Osnova MFA Cyrillic" w:cstheme="minorHAnsi"/>
          <w:lang w:val="fr-CH"/>
        </w:rPr>
        <w:t xml:space="preserve">L’agression de la Russie a entraîné des dégâts écologiques considérables sur le territoire de l’Ukraine. La destruction </w:t>
      </w:r>
      <w:r w:rsidR="00664841" w:rsidRPr="00A41184">
        <w:rPr>
          <w:rFonts w:eastAsia="Osnova MFA Cyrillic" w:cstheme="minorHAnsi"/>
          <w:lang w:val="fr-CH"/>
        </w:rPr>
        <w:t>de la centrale hydroélectrique</w:t>
      </w:r>
      <w:r w:rsidRPr="00A41184">
        <w:rPr>
          <w:rFonts w:eastAsia="Osnova MFA Cyrillic" w:cstheme="minorHAnsi"/>
          <w:lang w:val="fr-CH"/>
        </w:rPr>
        <w:t xml:space="preserve"> de Kakhovka </w:t>
      </w:r>
      <w:r w:rsidR="00664841" w:rsidRPr="00A41184">
        <w:rPr>
          <w:rFonts w:eastAsia="Osnova MFA Cyrillic" w:cstheme="minorHAnsi"/>
          <w:lang w:val="fr-CH"/>
        </w:rPr>
        <w:t xml:space="preserve">(KHPP) </w:t>
      </w:r>
      <w:r w:rsidRPr="00A41184">
        <w:rPr>
          <w:rFonts w:eastAsia="Osnova MFA Cyrillic" w:cstheme="minorHAnsi"/>
          <w:lang w:val="fr-CH"/>
        </w:rPr>
        <w:t xml:space="preserve">est une catastrophe environnementale majeure pour l’Europe et a eu de graves impacts sur le </w:t>
      </w:r>
      <w:r w:rsidR="00664841" w:rsidRPr="00A41184">
        <w:rPr>
          <w:rFonts w:eastAsia="Osnova MFA Cyrillic" w:cstheme="minorHAnsi"/>
          <w:lang w:val="fr-CH"/>
        </w:rPr>
        <w:t>r</w:t>
      </w:r>
      <w:r w:rsidRPr="00A41184">
        <w:rPr>
          <w:rFonts w:eastAsia="Osnova MFA Cyrillic" w:cstheme="minorHAnsi"/>
          <w:lang w:val="fr-CH"/>
        </w:rPr>
        <w:t xml:space="preserve">éservoir de Kakhovka désormais asséché, menaçant 2,9 millions d’hectares du Réseau Émeraude. Il s’agit de territoires d’intérêt spécial pour la conservation de la nature dont la valeur écologique est considérable et qui servent d’habitats à des populations d’oiseaux d’eau </w:t>
      </w:r>
      <w:r>
        <w:rPr>
          <w:rFonts w:eastAsia="Osnova MFA Cyrillic" w:cstheme="minorHAnsi"/>
          <w:color w:val="000000"/>
          <w:lang w:val="fr-CH"/>
        </w:rPr>
        <w:t>d’importance internationale.</w:t>
      </w:r>
    </w:p>
    <w:p w14:paraId="0D17E01A" w14:textId="77777777" w:rsidR="00321E55" w:rsidRPr="00540BCA" w:rsidRDefault="00321E55" w:rsidP="00321E55">
      <w:pPr>
        <w:spacing w:after="0" w:line="240" w:lineRule="auto"/>
        <w:rPr>
          <w:rFonts w:eastAsia="Osnova MFA Cyrillic" w:cstheme="minorHAnsi"/>
          <w:color w:val="000000"/>
          <w:lang w:val="fr-CH"/>
        </w:rPr>
      </w:pPr>
    </w:p>
    <w:p w14:paraId="67FCF28D" w14:textId="4E5031E4"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 xml:space="preserve">La destruction du barrage et la descente brutale d’importants volumes d’eau du </w:t>
      </w:r>
      <w:r w:rsidR="00664841">
        <w:rPr>
          <w:rFonts w:eastAsia="Osnova MFA Cyrillic" w:cstheme="minorHAnsi"/>
          <w:color w:val="000000"/>
          <w:lang w:val="fr-CH"/>
        </w:rPr>
        <w:t>r</w:t>
      </w:r>
      <w:r>
        <w:rPr>
          <w:rFonts w:eastAsia="Osnova MFA Cyrillic" w:cstheme="minorHAnsi"/>
          <w:color w:val="000000"/>
          <w:lang w:val="fr-CH"/>
        </w:rPr>
        <w:t xml:space="preserve">éservoir de Kakhovka ont probablement provoqué un changement dans les caractéristiques écologiques de trois </w:t>
      </w:r>
      <w:r>
        <w:rPr>
          <w:rFonts w:eastAsia="Osnova MFA Cyrillic" w:cstheme="minorHAnsi"/>
          <w:color w:val="000000"/>
          <w:lang w:val="fr-CH"/>
        </w:rPr>
        <w:lastRenderedPageBreak/>
        <w:t xml:space="preserve">Sites Ramsar : l’inondation du « delta du Dniepr », entraînant la mort de mammifères et d’autres animaux ainsi que d’oiseaux nicheurs ; un changement brusque du régime hydrologique et l’assèchement de « l’archipel Velyki et Mali Kuchugury » et de la « plaine d’inondation Sim Maiakiv ». La situation menace aussi de désalinisation les zones d’eau marine adjacentes, ce qui pourrait entraîner des changements dans les caractéristiques écologiques des deux Sites Ramsar de la « baie de Yagorlytska » et </w:t>
      </w:r>
      <w:r w:rsidR="00FA4496">
        <w:rPr>
          <w:rFonts w:eastAsia="Osnova MFA Cyrillic" w:cstheme="minorHAnsi"/>
          <w:color w:val="000000"/>
          <w:lang w:val="fr-CH"/>
        </w:rPr>
        <w:t xml:space="preserve">de </w:t>
      </w:r>
      <w:r>
        <w:rPr>
          <w:rFonts w:eastAsia="Osnova MFA Cyrillic" w:cstheme="minorHAnsi"/>
          <w:color w:val="000000"/>
          <w:lang w:val="fr-CH"/>
        </w:rPr>
        <w:t xml:space="preserve">la « baie de Tendrivska ». </w:t>
      </w:r>
    </w:p>
    <w:p w14:paraId="6DF1F265" w14:textId="77777777" w:rsidR="00321E55" w:rsidRPr="00540BCA" w:rsidRDefault="00321E55" w:rsidP="00321E55">
      <w:pPr>
        <w:spacing w:after="0" w:line="240" w:lineRule="auto"/>
        <w:rPr>
          <w:rFonts w:eastAsia="Osnova MFA Cyrillic" w:cstheme="minorHAnsi"/>
          <w:color w:val="000000"/>
          <w:lang w:val="fr-CH"/>
        </w:rPr>
      </w:pPr>
    </w:p>
    <w:p w14:paraId="75ED1176" w14:textId="77777777"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 xml:space="preserve">Par ailleurs, trois grandes voies de migration d’oiseaux d’eau traversent l’Ukraine. En raison des explosions constantes et de l’impossibilité de se reproduire, les voies de migration se déplacent et les populations d’oiseaux n’ont pas le temps de se reposer après de très longs vols. Il y aura inévitablement des séquelles pour la biodiversité de l’Europe mais aussi pour le continent africain. </w:t>
      </w:r>
    </w:p>
    <w:p w14:paraId="22C3D6FA" w14:textId="77777777" w:rsidR="00321E55" w:rsidRPr="00540BCA" w:rsidRDefault="00321E55" w:rsidP="00321E55">
      <w:pPr>
        <w:spacing w:after="0" w:line="240" w:lineRule="auto"/>
        <w:rPr>
          <w:rFonts w:eastAsia="Osnova MFA Cyrillic" w:cstheme="minorHAnsi"/>
          <w:color w:val="000000"/>
          <w:lang w:val="fr-CH"/>
        </w:rPr>
      </w:pPr>
    </w:p>
    <w:p w14:paraId="4E1AF914" w14:textId="77777777"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Sachant cela, nous saluons les mesures prises par les Parties contractantes et les organisations internationales pour soutenir l’évaluation indépendante et l’avis qui en découle sur la restauration des zones humides ukrainiennes d’importance internationale. Nous affirmons notre soutien à la reconstruction en Ukraine, y compris en apportant une aide à la restauration de ses zones humides d’importance internationale.</w:t>
      </w:r>
    </w:p>
    <w:p w14:paraId="7BD2604F" w14:textId="77777777" w:rsidR="00321E55" w:rsidRPr="00540BCA" w:rsidRDefault="00321E55" w:rsidP="00321E55">
      <w:pPr>
        <w:spacing w:after="0" w:line="240" w:lineRule="auto"/>
        <w:rPr>
          <w:rFonts w:eastAsia="Osnova MFA Cyrillic" w:cstheme="minorHAnsi"/>
          <w:color w:val="000000"/>
          <w:lang w:val="fr-CH"/>
        </w:rPr>
      </w:pPr>
    </w:p>
    <w:p w14:paraId="50C5B40E" w14:textId="77777777" w:rsidR="00321E55" w:rsidRPr="00540BCA" w:rsidRDefault="00321E55" w:rsidP="00321E55">
      <w:pPr>
        <w:spacing w:after="0" w:line="240" w:lineRule="auto"/>
        <w:rPr>
          <w:rFonts w:eastAsia="Osnova MFA Cyrillic" w:cstheme="minorHAnsi"/>
          <w:lang w:val="fr-CH"/>
        </w:rPr>
      </w:pPr>
      <w:r>
        <w:rPr>
          <w:rFonts w:eastAsia="Osnova MFA Cyrillic" w:cstheme="minorHAnsi"/>
          <w:lang w:val="fr-CH"/>
        </w:rPr>
        <w:t xml:space="preserve">Depuis cinq décennies, la Convention de Ramsar sur les zones humides est un instrument juridique international vital, porte-parole de la conservation et de l’utilisation rationnelle des zones humides. Ramsar représente un forum international essentiel pour la compilation et le partage de connaissances sur la gestion durable des zones humides avec l’immense potentiel d’améliorer encore la sécurité environnementale. </w:t>
      </w:r>
    </w:p>
    <w:p w14:paraId="4B995294" w14:textId="77777777" w:rsidR="00321E55" w:rsidRPr="00540BCA" w:rsidRDefault="00321E55" w:rsidP="00321E55">
      <w:pPr>
        <w:spacing w:after="0" w:line="240" w:lineRule="auto"/>
        <w:rPr>
          <w:rFonts w:eastAsia="Osnova MFA Cyrillic" w:cstheme="minorHAnsi"/>
          <w:color w:val="000000"/>
          <w:lang w:val="fr-CH"/>
        </w:rPr>
      </w:pPr>
    </w:p>
    <w:p w14:paraId="5401DB45" w14:textId="5836067D"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 xml:space="preserve">Réaffirmant notre engagement à l’application de la Convention de Ramsar, nous réitérons notre demande à la Fédération de Russie de cesser son agression et de retirer ses troupes de l’ensemble du territoire de l’Ukraine, restaurant ainsi le droit souverain de l’Ukraine à protéger, restaurer et utiliser de manière rationnelle ses Sites Ramsar </w:t>
      </w:r>
      <w:r w:rsidR="00FA4496">
        <w:rPr>
          <w:rFonts w:eastAsia="Osnova MFA Cyrillic" w:cstheme="minorHAnsi"/>
          <w:color w:val="000000"/>
          <w:lang w:val="fr-CH"/>
        </w:rPr>
        <w:t>à l’intérieur de</w:t>
      </w:r>
      <w:r>
        <w:rPr>
          <w:rFonts w:eastAsia="Osnova MFA Cyrillic" w:cstheme="minorHAnsi"/>
          <w:color w:val="000000"/>
          <w:lang w:val="fr-CH"/>
        </w:rPr>
        <w:t xml:space="preserve"> </w:t>
      </w:r>
      <w:r w:rsidR="00FA4496">
        <w:rPr>
          <w:rFonts w:eastAsia="Osnova MFA Cyrillic" w:cstheme="minorHAnsi"/>
          <w:color w:val="000000"/>
          <w:lang w:val="fr-CH"/>
        </w:rPr>
        <w:t>ses</w:t>
      </w:r>
      <w:r>
        <w:rPr>
          <w:rFonts w:eastAsia="Osnova MFA Cyrillic" w:cstheme="minorHAnsi"/>
          <w:color w:val="000000"/>
          <w:lang w:val="fr-CH"/>
        </w:rPr>
        <w:t xml:space="preserve"> frontières internationales reconnues.</w:t>
      </w:r>
    </w:p>
    <w:p w14:paraId="6645C84C" w14:textId="77777777" w:rsidR="00321E55" w:rsidRPr="00540BCA" w:rsidRDefault="00321E55" w:rsidP="00321E55">
      <w:pPr>
        <w:spacing w:after="0" w:line="240" w:lineRule="auto"/>
        <w:rPr>
          <w:rFonts w:eastAsia="Osnova MFA Cyrillic" w:cstheme="minorHAnsi"/>
          <w:color w:val="000000"/>
          <w:lang w:val="fr-CH"/>
        </w:rPr>
      </w:pPr>
    </w:p>
    <w:p w14:paraId="1E21EA79" w14:textId="77777777"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 xml:space="preserve">Nous souhaitons que cette déclaration figure dans le rapport de la réunion. </w:t>
      </w:r>
    </w:p>
    <w:p w14:paraId="162CD5CA" w14:textId="77777777" w:rsidR="00321E55" w:rsidRPr="00540BCA" w:rsidRDefault="00321E55" w:rsidP="00321E55">
      <w:pPr>
        <w:spacing w:after="0" w:line="240" w:lineRule="auto"/>
        <w:rPr>
          <w:rFonts w:eastAsia="Osnova MFA Cyrillic" w:cstheme="minorHAnsi"/>
          <w:color w:val="000000"/>
          <w:lang w:val="fr-CH"/>
        </w:rPr>
      </w:pPr>
    </w:p>
    <w:p w14:paraId="511251D7" w14:textId="54AB33D4" w:rsidR="00321E55" w:rsidRPr="00540BCA" w:rsidRDefault="00321E55" w:rsidP="00321E55">
      <w:pPr>
        <w:spacing w:after="0" w:line="240" w:lineRule="auto"/>
        <w:rPr>
          <w:rFonts w:eastAsia="Osnova MFA Cyrillic" w:cstheme="minorHAnsi"/>
          <w:color w:val="000000"/>
          <w:lang w:val="fr-CH"/>
        </w:rPr>
      </w:pPr>
      <w:r>
        <w:rPr>
          <w:rFonts w:eastAsia="Osnova MFA Cyrillic" w:cstheme="minorHAnsi"/>
          <w:color w:val="000000"/>
          <w:lang w:val="fr-CH"/>
        </w:rPr>
        <w:t>Merci.</w:t>
      </w:r>
    </w:p>
    <w:p w14:paraId="0CABFACE" w14:textId="424FB9F3" w:rsidR="0007746C" w:rsidRPr="00D16603" w:rsidRDefault="0007746C" w:rsidP="0007746C">
      <w:pPr>
        <w:spacing w:after="0" w:line="240" w:lineRule="auto"/>
        <w:rPr>
          <w:rFonts w:eastAsia="Osnova MFA Cyrillic" w:cstheme="minorHAnsi"/>
          <w:color w:val="000000"/>
          <w:lang w:val="fr-FR"/>
        </w:rPr>
      </w:pPr>
      <w:r w:rsidRPr="00D16603">
        <w:rPr>
          <w:rFonts w:eastAsia="Osnova MFA Cyrillic" w:cstheme="minorHAnsi"/>
          <w:color w:val="000000"/>
          <w:lang w:val="fr-FR"/>
        </w:rPr>
        <w:br w:type="page"/>
      </w:r>
    </w:p>
    <w:p w14:paraId="13C72D3A" w14:textId="27EB52E1" w:rsidR="00321E55" w:rsidRPr="00522199" w:rsidRDefault="00321E55" w:rsidP="00321E55">
      <w:pPr>
        <w:spacing w:after="0" w:line="240" w:lineRule="auto"/>
        <w:rPr>
          <w:rFonts w:eastAsia="Osnova MFA Cyrillic" w:cstheme="minorHAnsi"/>
          <w:b/>
          <w:color w:val="000000"/>
          <w:sz w:val="24"/>
          <w:szCs w:val="24"/>
          <w:lang w:val="fr-CH"/>
        </w:rPr>
      </w:pPr>
      <w:r w:rsidRPr="00522199">
        <w:rPr>
          <w:rFonts w:eastAsia="Osnova MFA Cyrillic" w:cstheme="minorHAnsi"/>
          <w:b/>
          <w:color w:val="000000"/>
          <w:sz w:val="24"/>
          <w:szCs w:val="24"/>
          <w:lang w:val="fr-CH"/>
        </w:rPr>
        <w:lastRenderedPageBreak/>
        <w:t>Annex</w:t>
      </w:r>
      <w:r>
        <w:rPr>
          <w:rFonts w:eastAsia="Osnova MFA Cyrillic" w:cstheme="minorHAnsi"/>
          <w:b/>
          <w:color w:val="000000"/>
          <w:sz w:val="24"/>
          <w:szCs w:val="24"/>
          <w:lang w:val="fr-CH"/>
        </w:rPr>
        <w:t>e</w:t>
      </w:r>
      <w:r w:rsidRPr="00522199">
        <w:rPr>
          <w:rFonts w:eastAsia="Osnova MFA Cyrillic" w:cstheme="minorHAnsi"/>
          <w:b/>
          <w:color w:val="000000"/>
          <w:sz w:val="24"/>
          <w:szCs w:val="24"/>
          <w:lang w:val="fr-CH"/>
        </w:rPr>
        <w:t xml:space="preserve"> </w:t>
      </w:r>
      <w:r w:rsidR="00664841">
        <w:rPr>
          <w:rFonts w:eastAsia="Osnova MFA Cyrillic" w:cstheme="minorHAnsi"/>
          <w:b/>
          <w:color w:val="000000"/>
          <w:sz w:val="24"/>
          <w:szCs w:val="24"/>
          <w:lang w:val="fr-CH"/>
        </w:rPr>
        <w:t>2</w:t>
      </w:r>
      <w:r w:rsidRPr="00522199">
        <w:rPr>
          <w:rFonts w:eastAsia="Osnova MFA Cyrillic" w:cstheme="minorHAnsi"/>
          <w:b/>
          <w:color w:val="000000"/>
          <w:sz w:val="24"/>
          <w:szCs w:val="24"/>
          <w:lang w:val="fr-CH"/>
        </w:rPr>
        <w:t xml:space="preserve"> </w:t>
      </w:r>
    </w:p>
    <w:p w14:paraId="5B1EB7ED" w14:textId="77777777" w:rsidR="00321E55" w:rsidRPr="00522199" w:rsidRDefault="00321E55" w:rsidP="00321E55">
      <w:pPr>
        <w:spacing w:after="0" w:line="240" w:lineRule="auto"/>
        <w:rPr>
          <w:rFonts w:eastAsia="Osnova MFA Cyrillic" w:cstheme="minorHAnsi"/>
          <w:b/>
          <w:color w:val="000000"/>
          <w:sz w:val="24"/>
          <w:szCs w:val="24"/>
          <w:lang w:val="fr-CH"/>
        </w:rPr>
      </w:pPr>
      <w:r>
        <w:rPr>
          <w:rFonts w:eastAsia="Osnova MFA Cyrillic" w:cstheme="minorHAnsi"/>
          <w:b/>
          <w:color w:val="000000"/>
          <w:sz w:val="24"/>
          <w:szCs w:val="24"/>
          <w:lang w:val="fr-CH"/>
        </w:rPr>
        <w:t xml:space="preserve">Déclarations de l’Argentine sous le point 29 de l’ordre du jour : </w:t>
      </w:r>
      <w:r>
        <w:rPr>
          <w:rFonts w:eastAsia="Osnova MFA Cyrillic" w:cstheme="minorHAnsi"/>
          <w:b/>
          <w:i/>
          <w:color w:val="000000"/>
          <w:sz w:val="24"/>
          <w:szCs w:val="24"/>
          <w:lang w:val="fr-CH"/>
        </w:rPr>
        <w:t>Divers</w:t>
      </w:r>
    </w:p>
    <w:p w14:paraId="1A3C8C03" w14:textId="77777777" w:rsidR="00664841" w:rsidRPr="002C1AAA" w:rsidRDefault="00664841" w:rsidP="00664841">
      <w:pPr>
        <w:rPr>
          <w:rFonts w:eastAsia="Osnova MFA Cyrillic" w:cstheme="minorHAnsi"/>
          <w:bCs/>
          <w:iCs/>
          <w:sz w:val="24"/>
          <w:szCs w:val="24"/>
          <w:lang w:val="fr-FR"/>
        </w:rPr>
      </w:pPr>
      <w:r w:rsidRPr="002C1AAA">
        <w:rPr>
          <w:rFonts w:eastAsia="Osnova MFA Cyrillic" w:cstheme="minorHAnsi"/>
          <w:bCs/>
          <w:iCs/>
          <w:sz w:val="24"/>
          <w:szCs w:val="24"/>
          <w:lang w:val="fr-FR"/>
        </w:rPr>
        <w:t>(Texte non officiel, traduit par les soins du Secrétariat)</w:t>
      </w:r>
    </w:p>
    <w:p w14:paraId="4482DF3B" w14:textId="77777777" w:rsidR="00321E55" w:rsidRPr="00664841" w:rsidRDefault="00321E55" w:rsidP="00321E55">
      <w:pPr>
        <w:spacing w:after="0" w:line="240" w:lineRule="auto"/>
        <w:rPr>
          <w:rFonts w:eastAsia="Osnova MFA Cyrillic" w:cstheme="minorHAnsi"/>
          <w:b/>
          <w:color w:val="000000"/>
          <w:sz w:val="24"/>
          <w:szCs w:val="24"/>
          <w:lang w:val="fr-FR"/>
        </w:rPr>
      </w:pPr>
    </w:p>
    <w:p w14:paraId="6BBAB5FE" w14:textId="77777777" w:rsidR="00321E55" w:rsidRPr="00522199" w:rsidRDefault="00321E55" w:rsidP="00321E55">
      <w:pPr>
        <w:spacing w:after="0" w:line="240" w:lineRule="auto"/>
        <w:rPr>
          <w:rFonts w:eastAsia="Osnova MFA Cyrillic" w:cstheme="minorHAnsi"/>
          <w:color w:val="000000"/>
          <w:lang w:val="fr-CH"/>
        </w:rPr>
      </w:pPr>
      <w:r w:rsidRPr="00522199">
        <w:rPr>
          <w:rFonts w:eastAsia="Osnova MFA Cyrillic" w:cstheme="minorHAnsi"/>
          <w:color w:val="000000"/>
          <w:lang w:val="fr-CH"/>
        </w:rPr>
        <w:t>1.</w:t>
      </w:r>
    </w:p>
    <w:p w14:paraId="74E4D020" w14:textId="174B61F1" w:rsidR="00321E55" w:rsidRPr="00522199" w:rsidRDefault="00321E55" w:rsidP="00321E55">
      <w:pPr>
        <w:spacing w:after="0" w:line="240" w:lineRule="auto"/>
        <w:rPr>
          <w:rFonts w:cstheme="minorHAnsi"/>
          <w:lang w:val="fr-CH"/>
        </w:rPr>
      </w:pPr>
      <w:r>
        <w:rPr>
          <w:rStyle w:val="size"/>
          <w:rFonts w:cstheme="minorHAnsi"/>
          <w:color w:val="000000"/>
          <w:shd w:val="clear" w:color="auto" w:fill="FFFFFF"/>
          <w:lang w:val="fr-CH"/>
        </w:rPr>
        <w:t xml:space="preserve">L’Argentine fait référence aux zones humides déclarées par le Royaume-Uni dans les îles Malvinas, réitère </w:t>
      </w:r>
      <w:r w:rsidR="00FA4496">
        <w:rPr>
          <w:rStyle w:val="size"/>
          <w:rFonts w:cstheme="minorHAnsi"/>
          <w:color w:val="000000"/>
          <w:shd w:val="clear" w:color="auto" w:fill="FFFFFF"/>
          <w:lang w:val="fr-CH"/>
        </w:rPr>
        <w:t>son</w:t>
      </w:r>
      <w:r>
        <w:rPr>
          <w:rStyle w:val="size"/>
          <w:rFonts w:cstheme="minorHAnsi"/>
          <w:color w:val="000000"/>
          <w:shd w:val="clear" w:color="auto" w:fill="FFFFFF"/>
          <w:lang w:val="fr-CH"/>
        </w:rPr>
        <w:t xml:space="preserve"> objection à leur inclusion sur la Liste et demande au Secrétariat de corriger les omissions et les erreurs, en particulier la zone humide </w:t>
      </w:r>
      <w:r w:rsidRPr="00522199">
        <w:rPr>
          <w:rStyle w:val="size"/>
          <w:rFonts w:cstheme="minorHAnsi"/>
          <w:color w:val="000000"/>
          <w:shd w:val="clear" w:color="auto" w:fill="FFFFFF"/>
          <w:lang w:val="fr-CH"/>
        </w:rPr>
        <w:t>Isla de los Leones (</w:t>
      </w:r>
      <w:r>
        <w:rPr>
          <w:rStyle w:val="size"/>
          <w:rFonts w:cstheme="minorHAnsi"/>
          <w:color w:val="000000"/>
          <w:shd w:val="clear" w:color="auto" w:fill="FFFFFF"/>
          <w:lang w:val="fr-CH"/>
        </w:rPr>
        <w:t>« </w:t>
      </w:r>
      <w:r w:rsidRPr="00522199">
        <w:rPr>
          <w:rStyle w:val="size"/>
          <w:rFonts w:cstheme="minorHAnsi"/>
          <w:color w:val="000000"/>
          <w:shd w:val="clear" w:color="auto" w:fill="FFFFFF"/>
          <w:lang w:val="fr-CH"/>
        </w:rPr>
        <w:t>Sea Lion Island</w:t>
      </w:r>
      <w:r>
        <w:rPr>
          <w:rStyle w:val="size"/>
          <w:rFonts w:cstheme="minorHAnsi"/>
          <w:color w:val="000000"/>
          <w:shd w:val="clear" w:color="auto" w:fill="FFFFFF"/>
          <w:lang w:val="fr-CH"/>
        </w:rPr>
        <w:t xml:space="preserve"> » dans le </w:t>
      </w:r>
      <w:r w:rsidRPr="00522199">
        <w:rPr>
          <w:rStyle w:val="size"/>
          <w:rFonts w:cstheme="minorHAnsi"/>
          <w:color w:val="000000"/>
          <w:shd w:val="clear" w:color="auto" w:fill="FFFFFF"/>
          <w:lang w:val="fr-CH"/>
        </w:rPr>
        <w:t xml:space="preserve">document) </w:t>
      </w:r>
      <w:r>
        <w:rPr>
          <w:rStyle w:val="size"/>
          <w:rFonts w:cstheme="minorHAnsi"/>
          <w:color w:val="000000"/>
          <w:shd w:val="clear" w:color="auto" w:fill="FFFFFF"/>
          <w:lang w:val="fr-CH"/>
        </w:rPr>
        <w:t xml:space="preserve">et celle qui est située près de </w:t>
      </w:r>
      <w:r w:rsidRPr="00522199">
        <w:rPr>
          <w:rStyle w:val="size"/>
          <w:rFonts w:cstheme="minorHAnsi"/>
          <w:color w:val="000000"/>
          <w:shd w:val="clear" w:color="auto" w:fill="FFFFFF"/>
          <w:lang w:val="fr-CH"/>
        </w:rPr>
        <w:t>Punta Fox (</w:t>
      </w:r>
      <w:r>
        <w:rPr>
          <w:rStyle w:val="size"/>
          <w:rFonts w:cstheme="minorHAnsi"/>
          <w:color w:val="000000"/>
          <w:shd w:val="clear" w:color="auto" w:fill="FFFFFF"/>
          <w:lang w:val="fr-CH"/>
        </w:rPr>
        <w:t>« </w:t>
      </w:r>
      <w:r w:rsidRPr="00522199">
        <w:rPr>
          <w:rStyle w:val="size"/>
          <w:rFonts w:cstheme="minorHAnsi"/>
          <w:color w:val="000000"/>
          <w:shd w:val="clear" w:color="auto" w:fill="FFFFFF"/>
          <w:lang w:val="fr-CH"/>
        </w:rPr>
        <w:t xml:space="preserve">Bertha's </w:t>
      </w:r>
      <w:r>
        <w:rPr>
          <w:rStyle w:val="size"/>
          <w:rFonts w:cstheme="minorHAnsi"/>
          <w:color w:val="000000"/>
          <w:shd w:val="clear" w:color="auto" w:fill="FFFFFF"/>
          <w:lang w:val="fr-CH"/>
        </w:rPr>
        <w:t>B</w:t>
      </w:r>
      <w:r w:rsidRPr="00522199">
        <w:rPr>
          <w:rStyle w:val="size"/>
          <w:rFonts w:cstheme="minorHAnsi"/>
          <w:color w:val="000000"/>
          <w:shd w:val="clear" w:color="auto" w:fill="FFFFFF"/>
          <w:lang w:val="fr-CH"/>
        </w:rPr>
        <w:t>each</w:t>
      </w:r>
      <w:r>
        <w:rPr>
          <w:rStyle w:val="size"/>
          <w:rFonts w:cstheme="minorHAnsi"/>
          <w:color w:val="000000"/>
          <w:shd w:val="clear" w:color="auto" w:fill="FFFFFF"/>
          <w:lang w:val="fr-CH"/>
        </w:rPr>
        <w:t> »</w:t>
      </w:r>
      <w:r w:rsidRPr="00522199">
        <w:rPr>
          <w:rStyle w:val="size"/>
          <w:rFonts w:cstheme="minorHAnsi"/>
          <w:color w:val="000000"/>
          <w:shd w:val="clear" w:color="auto" w:fill="FFFFFF"/>
          <w:lang w:val="fr-CH"/>
        </w:rPr>
        <w:t xml:space="preserve"> </w:t>
      </w:r>
      <w:r>
        <w:rPr>
          <w:rStyle w:val="size"/>
          <w:rFonts w:cstheme="minorHAnsi"/>
          <w:color w:val="000000"/>
          <w:shd w:val="clear" w:color="auto" w:fill="FFFFFF"/>
          <w:lang w:val="fr-CH"/>
        </w:rPr>
        <w:t xml:space="preserve">dans le </w:t>
      </w:r>
      <w:r w:rsidRPr="00522199">
        <w:rPr>
          <w:rStyle w:val="size"/>
          <w:rFonts w:cstheme="minorHAnsi"/>
          <w:color w:val="000000"/>
          <w:shd w:val="clear" w:color="auto" w:fill="FFFFFF"/>
          <w:lang w:val="fr-CH"/>
        </w:rPr>
        <w:t xml:space="preserve">document), </w:t>
      </w:r>
      <w:r>
        <w:rPr>
          <w:rStyle w:val="size"/>
          <w:rFonts w:cstheme="minorHAnsi"/>
          <w:color w:val="000000"/>
          <w:shd w:val="clear" w:color="auto" w:fill="FFFFFF"/>
          <w:lang w:val="fr-CH"/>
        </w:rPr>
        <w:t xml:space="preserve">toutes deux situées dans les îles Malvinas. Elle demande en outre qu’une double nomenclature (espagnole et anglaise) soit utilisée pour faire référence aux îles Malvinas ainsi qu’une note de bas de page reflétant de manière adéquate l’existence du différend entre l’Argentine et le Royaume-Uni de Grande-Bretagne et d’Irlande du Nord, concernant la souveraineté sur les îles Malvinas, conformément aux dispositions de la Directive de rédaction et d’édition des Nations Unies </w:t>
      </w:r>
      <w:r w:rsidRPr="00522199">
        <w:rPr>
          <w:rStyle w:val="size"/>
          <w:rFonts w:cstheme="minorHAnsi"/>
          <w:color w:val="000000"/>
          <w:shd w:val="clear" w:color="auto" w:fill="FFFFFF"/>
          <w:lang w:val="fr-CH"/>
        </w:rPr>
        <w:t>ST/CS/SER.</w:t>
      </w:r>
      <w:r>
        <w:rPr>
          <w:rStyle w:val="size"/>
          <w:rFonts w:cstheme="minorHAnsi"/>
          <w:color w:val="000000"/>
          <w:shd w:val="clear" w:color="auto" w:fill="FFFFFF"/>
          <w:lang w:val="fr-CH"/>
        </w:rPr>
        <w:t>A</w:t>
      </w:r>
      <w:r w:rsidRPr="00522199">
        <w:rPr>
          <w:rStyle w:val="size"/>
          <w:rFonts w:cstheme="minorHAnsi"/>
          <w:color w:val="000000"/>
          <w:shd w:val="clear" w:color="auto" w:fill="FFFFFF"/>
          <w:lang w:val="fr-CH"/>
        </w:rPr>
        <w:t>/42.</w:t>
      </w:r>
    </w:p>
    <w:p w14:paraId="09114966" w14:textId="77777777" w:rsidR="00321E55" w:rsidRPr="00522199" w:rsidRDefault="00321E55" w:rsidP="00321E55">
      <w:pPr>
        <w:spacing w:after="0" w:line="240" w:lineRule="auto"/>
        <w:rPr>
          <w:rFonts w:eastAsia="Osnova MFA Cyrillic" w:cstheme="minorHAnsi"/>
          <w:color w:val="000000"/>
          <w:lang w:val="fr-CH"/>
        </w:rPr>
      </w:pPr>
    </w:p>
    <w:p w14:paraId="77398593" w14:textId="77777777" w:rsidR="00321E55" w:rsidRPr="00522199" w:rsidRDefault="00321E55" w:rsidP="00321E55">
      <w:pPr>
        <w:spacing w:after="0" w:line="240" w:lineRule="auto"/>
        <w:rPr>
          <w:rStyle w:val="size"/>
          <w:rFonts w:cstheme="minorHAnsi"/>
          <w:color w:val="000000"/>
          <w:shd w:val="clear" w:color="auto" w:fill="FFFFFF"/>
          <w:lang w:val="fr-CH"/>
        </w:rPr>
      </w:pPr>
      <w:r w:rsidRPr="00522199">
        <w:rPr>
          <w:rStyle w:val="size"/>
          <w:rFonts w:cstheme="minorHAnsi"/>
          <w:color w:val="000000"/>
          <w:shd w:val="clear" w:color="auto" w:fill="FFFFFF"/>
          <w:lang w:val="fr-CH"/>
        </w:rPr>
        <w:t>2.</w:t>
      </w:r>
    </w:p>
    <w:p w14:paraId="74C64917" w14:textId="77777777" w:rsidR="00321E55" w:rsidRPr="00522199" w:rsidRDefault="00321E55" w:rsidP="00321E55">
      <w:pPr>
        <w:spacing w:after="0" w:line="240" w:lineRule="auto"/>
        <w:rPr>
          <w:rStyle w:val="size"/>
          <w:rFonts w:cstheme="minorHAnsi"/>
          <w:color w:val="000000"/>
          <w:shd w:val="clear" w:color="auto" w:fill="FFFFFF"/>
          <w:lang w:val="fr-CH"/>
        </w:rPr>
      </w:pPr>
      <w:r>
        <w:rPr>
          <w:rStyle w:val="size"/>
          <w:rFonts w:cstheme="minorHAnsi"/>
          <w:color w:val="000000"/>
          <w:shd w:val="clear" w:color="auto" w:fill="FFFFFF"/>
          <w:lang w:val="fr-CH"/>
        </w:rPr>
        <w:t>L’Argentine répond que l’existence du différend entre l’Argentine et le Royaume-Uni de Grande-Bretagne et d’Irlande du Nord</w:t>
      </w:r>
      <w:r w:rsidRPr="00522199">
        <w:rPr>
          <w:rStyle w:val="size"/>
          <w:rFonts w:cstheme="minorHAnsi"/>
          <w:color w:val="000000"/>
          <w:shd w:val="clear" w:color="auto" w:fill="FFFFFF"/>
          <w:lang w:val="fr-CH"/>
        </w:rPr>
        <w:t xml:space="preserve"> </w:t>
      </w:r>
      <w:r>
        <w:rPr>
          <w:rStyle w:val="size"/>
          <w:rFonts w:cstheme="minorHAnsi"/>
          <w:color w:val="000000"/>
          <w:shd w:val="clear" w:color="auto" w:fill="FFFFFF"/>
          <w:lang w:val="fr-CH"/>
        </w:rPr>
        <w:t>est indéniable comme le reconnaissent la Résolution </w:t>
      </w:r>
      <w:r w:rsidRPr="00664841">
        <w:rPr>
          <w:rStyle w:val="size"/>
          <w:rFonts w:cstheme="minorHAnsi"/>
          <w:color w:val="000000"/>
          <w:shd w:val="clear" w:color="auto" w:fill="FFFFFF"/>
          <w:lang w:val="fr-CH"/>
        </w:rPr>
        <w:t>2065 (XX)</w:t>
      </w:r>
      <w:r w:rsidRPr="00522199">
        <w:rPr>
          <w:rStyle w:val="size"/>
          <w:rFonts w:cstheme="minorHAnsi"/>
          <w:color w:val="000000"/>
          <w:shd w:val="clear" w:color="auto" w:fill="FFFFFF"/>
          <w:lang w:val="fr-CH"/>
        </w:rPr>
        <w:t xml:space="preserve"> </w:t>
      </w:r>
      <w:r>
        <w:rPr>
          <w:rStyle w:val="size"/>
          <w:rFonts w:cstheme="minorHAnsi"/>
          <w:color w:val="000000"/>
          <w:shd w:val="clear" w:color="auto" w:fill="FFFFFF"/>
          <w:lang w:val="fr-CH"/>
        </w:rPr>
        <w:t>et des résolutions subséquentes de l’Assemblée générale des Nations Unies, les résolutions du Comité spécial de la décolonisation et le Royaume-Uni lui</w:t>
      </w:r>
      <w:r>
        <w:rPr>
          <w:rStyle w:val="size"/>
          <w:rFonts w:cstheme="minorHAnsi"/>
          <w:color w:val="000000"/>
          <w:shd w:val="clear" w:color="auto" w:fill="FFFFFF"/>
          <w:lang w:val="fr-CH"/>
        </w:rPr>
        <w:noBreakHyphen/>
        <w:t xml:space="preserve">même. </w:t>
      </w:r>
    </w:p>
    <w:p w14:paraId="75EEFEBF" w14:textId="77777777" w:rsidR="00321E55" w:rsidRPr="00522199" w:rsidRDefault="00321E55" w:rsidP="00321E55">
      <w:pPr>
        <w:spacing w:after="0" w:line="240" w:lineRule="auto"/>
        <w:rPr>
          <w:rStyle w:val="size"/>
          <w:rFonts w:cstheme="minorHAnsi"/>
          <w:color w:val="000000"/>
          <w:shd w:val="clear" w:color="auto" w:fill="FFFFFF"/>
          <w:lang w:val="fr-CH"/>
        </w:rPr>
      </w:pPr>
    </w:p>
    <w:p w14:paraId="6CAFEE47" w14:textId="77777777" w:rsidR="00321E55" w:rsidRPr="00522199" w:rsidRDefault="00321E55" w:rsidP="00321E55">
      <w:pPr>
        <w:spacing w:after="0" w:line="240" w:lineRule="auto"/>
        <w:rPr>
          <w:rStyle w:val="size"/>
          <w:rFonts w:cstheme="minorHAnsi"/>
          <w:color w:val="000000"/>
          <w:shd w:val="clear" w:color="auto" w:fill="FFFFFF"/>
          <w:lang w:val="fr-CH"/>
        </w:rPr>
      </w:pPr>
      <w:r w:rsidRPr="00522199">
        <w:rPr>
          <w:rStyle w:val="size"/>
          <w:rFonts w:cstheme="minorHAnsi"/>
          <w:color w:val="000000"/>
          <w:shd w:val="clear" w:color="auto" w:fill="FFFFFF"/>
          <w:lang w:val="fr-CH"/>
        </w:rPr>
        <w:t>3.</w:t>
      </w:r>
    </w:p>
    <w:p w14:paraId="0BE95FE6" w14:textId="77777777" w:rsidR="00FA4496" w:rsidRDefault="00321E55" w:rsidP="00321E55">
      <w:pPr>
        <w:spacing w:after="0" w:line="240" w:lineRule="auto"/>
        <w:rPr>
          <w:rStyle w:val="size"/>
          <w:rFonts w:cstheme="minorHAnsi"/>
          <w:color w:val="000000"/>
          <w:shd w:val="clear" w:color="auto" w:fill="FFFFFF"/>
          <w:lang w:val="fr-CH"/>
        </w:rPr>
      </w:pPr>
      <w:r>
        <w:rPr>
          <w:rStyle w:val="size"/>
          <w:rFonts w:cstheme="minorHAnsi"/>
          <w:color w:val="000000"/>
          <w:shd w:val="clear" w:color="auto" w:fill="FFFFFF"/>
          <w:lang w:val="fr-CH"/>
        </w:rPr>
        <w:t>L’Argentine répond que le principe d’autodétermination des peuples, élément sur lequel le Royaume-Uni base son refus de reprendre les négociations sur la souveraineté, n’est pas applicable au différend entre les deux pays sur la souveraineté des îles Malvinas, de la Géorgie du Sud et des îles Sandwich du Sud, ainsi que des zones maritimes environnantes, conformément aux résolutions de l’Assemblée générale et du Comité spécial de la décolonisation.</w:t>
      </w:r>
    </w:p>
    <w:p w14:paraId="245DAAFA" w14:textId="77777777" w:rsidR="0007746C" w:rsidRPr="00D16603" w:rsidRDefault="0007746C" w:rsidP="0007746C">
      <w:pPr>
        <w:rPr>
          <w:rStyle w:val="size"/>
          <w:rFonts w:cstheme="minorHAnsi"/>
          <w:noProof/>
          <w:color w:val="000000"/>
          <w:shd w:val="clear" w:color="auto" w:fill="FFFFFF"/>
          <w:lang w:val="fr-FR"/>
        </w:rPr>
      </w:pPr>
      <w:r w:rsidRPr="00D16603">
        <w:rPr>
          <w:rStyle w:val="size"/>
          <w:rFonts w:cstheme="minorHAnsi"/>
          <w:noProof/>
          <w:color w:val="000000"/>
          <w:shd w:val="clear" w:color="auto" w:fill="FFFFFF"/>
          <w:lang w:val="fr-FR"/>
        </w:rPr>
        <w:br w:type="page"/>
      </w:r>
    </w:p>
    <w:p w14:paraId="057ECEA9" w14:textId="14E99376" w:rsidR="00321E55" w:rsidRPr="008A6EBA" w:rsidRDefault="00321E55" w:rsidP="00321E55">
      <w:pPr>
        <w:spacing w:after="0" w:line="240" w:lineRule="auto"/>
        <w:rPr>
          <w:rFonts w:eastAsia="Osnova MFA Cyrillic" w:cstheme="minorHAnsi"/>
          <w:b/>
          <w:color w:val="000000"/>
          <w:sz w:val="24"/>
          <w:szCs w:val="24"/>
          <w:lang w:val="fr-CH"/>
        </w:rPr>
      </w:pPr>
      <w:r w:rsidRPr="008A6EBA">
        <w:rPr>
          <w:rFonts w:eastAsia="Osnova MFA Cyrillic" w:cstheme="minorHAnsi"/>
          <w:b/>
          <w:color w:val="000000"/>
          <w:sz w:val="24"/>
          <w:szCs w:val="24"/>
          <w:lang w:val="fr-CH"/>
        </w:rPr>
        <w:lastRenderedPageBreak/>
        <w:t>Annex</w:t>
      </w:r>
      <w:r>
        <w:rPr>
          <w:rFonts w:eastAsia="Osnova MFA Cyrillic" w:cstheme="minorHAnsi"/>
          <w:b/>
          <w:color w:val="000000"/>
          <w:sz w:val="24"/>
          <w:szCs w:val="24"/>
          <w:lang w:val="fr-CH"/>
        </w:rPr>
        <w:t>e</w:t>
      </w:r>
      <w:r w:rsidRPr="008A6EBA">
        <w:rPr>
          <w:rFonts w:eastAsia="Osnova MFA Cyrillic" w:cstheme="minorHAnsi"/>
          <w:b/>
          <w:color w:val="000000"/>
          <w:sz w:val="24"/>
          <w:szCs w:val="24"/>
          <w:lang w:val="fr-CH"/>
        </w:rPr>
        <w:t xml:space="preserve"> </w:t>
      </w:r>
      <w:r w:rsidR="00664841">
        <w:rPr>
          <w:rFonts w:eastAsia="Osnova MFA Cyrillic" w:cstheme="minorHAnsi"/>
          <w:b/>
          <w:color w:val="000000"/>
          <w:sz w:val="24"/>
          <w:szCs w:val="24"/>
          <w:lang w:val="fr-CH"/>
        </w:rPr>
        <w:t>3</w:t>
      </w:r>
    </w:p>
    <w:p w14:paraId="6CCACBC9" w14:textId="77777777" w:rsidR="00321E55" w:rsidRPr="008A6EBA" w:rsidRDefault="00321E55" w:rsidP="00321E55">
      <w:pPr>
        <w:spacing w:after="0" w:line="240" w:lineRule="auto"/>
        <w:rPr>
          <w:rFonts w:eastAsia="Osnova MFA Cyrillic" w:cstheme="minorHAnsi"/>
          <w:b/>
          <w:color w:val="000000"/>
          <w:sz w:val="24"/>
          <w:szCs w:val="24"/>
          <w:lang w:val="fr-CH"/>
        </w:rPr>
      </w:pPr>
      <w:r w:rsidRPr="008A6EBA">
        <w:rPr>
          <w:rFonts w:eastAsia="Osnova MFA Cyrillic" w:cstheme="minorHAnsi"/>
          <w:b/>
          <w:color w:val="000000"/>
          <w:sz w:val="24"/>
          <w:szCs w:val="24"/>
          <w:lang w:val="fr-CH"/>
        </w:rPr>
        <w:t xml:space="preserve">Déclarations du </w:t>
      </w:r>
      <w:r w:rsidRPr="008A6EBA">
        <w:rPr>
          <w:rFonts w:eastAsia="Osnova MFA Cyrillic"/>
          <w:b/>
          <w:sz w:val="24"/>
          <w:szCs w:val="24"/>
          <w:lang w:val="fr-CH"/>
        </w:rPr>
        <w:t>Royaume-Uni de Grande-Bretagne et d’Irlande du Nord</w:t>
      </w:r>
      <w:r w:rsidRPr="008A6EBA">
        <w:rPr>
          <w:rFonts w:eastAsia="Osnova MFA Cyrillic" w:cstheme="minorHAnsi"/>
          <w:b/>
          <w:color w:val="000000"/>
          <w:sz w:val="24"/>
          <w:szCs w:val="24"/>
          <w:lang w:val="fr-CH"/>
        </w:rPr>
        <w:t xml:space="preserve"> sous le point 29 de l’ordre du jour : </w:t>
      </w:r>
      <w:r>
        <w:rPr>
          <w:rFonts w:eastAsia="Osnova MFA Cyrillic" w:cstheme="minorHAnsi"/>
          <w:b/>
          <w:i/>
          <w:color w:val="000000"/>
          <w:sz w:val="24"/>
          <w:szCs w:val="24"/>
          <w:lang w:val="fr-CH"/>
        </w:rPr>
        <w:t>Divers</w:t>
      </w:r>
    </w:p>
    <w:p w14:paraId="33F7BE4F" w14:textId="77777777" w:rsidR="00664841" w:rsidRPr="002C1AAA" w:rsidRDefault="00664841" w:rsidP="00664841">
      <w:pPr>
        <w:rPr>
          <w:rFonts w:eastAsia="Osnova MFA Cyrillic" w:cstheme="minorHAnsi"/>
          <w:bCs/>
          <w:iCs/>
          <w:sz w:val="24"/>
          <w:szCs w:val="24"/>
          <w:lang w:val="fr-FR"/>
        </w:rPr>
      </w:pPr>
      <w:r w:rsidRPr="002C1AAA">
        <w:rPr>
          <w:rFonts w:eastAsia="Osnova MFA Cyrillic" w:cstheme="minorHAnsi"/>
          <w:bCs/>
          <w:iCs/>
          <w:sz w:val="24"/>
          <w:szCs w:val="24"/>
          <w:lang w:val="fr-FR"/>
        </w:rPr>
        <w:t>(Texte non officiel, traduit par les soins du Secrétariat)</w:t>
      </w:r>
    </w:p>
    <w:p w14:paraId="3AF8C62C" w14:textId="77777777" w:rsidR="00321E55" w:rsidRPr="00664841" w:rsidRDefault="00321E55" w:rsidP="00321E55">
      <w:pPr>
        <w:spacing w:after="0" w:line="240" w:lineRule="auto"/>
        <w:rPr>
          <w:rFonts w:eastAsia="Osnova MFA Cyrillic" w:cstheme="minorHAnsi"/>
          <w:color w:val="000000"/>
          <w:lang w:val="fr-FR"/>
        </w:rPr>
      </w:pPr>
    </w:p>
    <w:p w14:paraId="74D74C0A" w14:textId="77777777" w:rsidR="00321E55" w:rsidRPr="008A6EBA" w:rsidRDefault="00321E55" w:rsidP="00321E55">
      <w:pPr>
        <w:spacing w:after="0" w:line="240" w:lineRule="auto"/>
        <w:rPr>
          <w:lang w:val="fr-CH"/>
        </w:rPr>
      </w:pPr>
      <w:r w:rsidRPr="008A6EBA">
        <w:rPr>
          <w:lang w:val="fr-CH"/>
        </w:rPr>
        <w:t>1.</w:t>
      </w:r>
    </w:p>
    <w:p w14:paraId="028D1578" w14:textId="77777777" w:rsidR="00321E55" w:rsidRPr="008A6EBA" w:rsidRDefault="00321E55" w:rsidP="00321E55">
      <w:pPr>
        <w:spacing w:after="0" w:line="240" w:lineRule="auto"/>
        <w:rPr>
          <w:rFonts w:ascii="Times New Roman" w:hAnsi="Times New Roman" w:cs="Times New Roman"/>
          <w:lang w:val="fr-CH"/>
        </w:rPr>
      </w:pPr>
      <w:r>
        <w:rPr>
          <w:lang w:val="fr-CH"/>
        </w:rPr>
        <w:t xml:space="preserve">Le Royaume-Uni intervient en réponse à la proposition de l’Argentine : </w:t>
      </w:r>
    </w:p>
    <w:p w14:paraId="797D5D8E" w14:textId="77777777" w:rsidR="00321E55" w:rsidRPr="008A6EBA" w:rsidRDefault="00321E55" w:rsidP="00321E55">
      <w:pPr>
        <w:spacing w:after="0" w:line="240" w:lineRule="auto"/>
        <w:rPr>
          <w:rFonts w:ascii="Calibri" w:hAnsi="Calibri" w:cs="Calibri"/>
          <w:color w:val="000000"/>
          <w:lang w:val="fr-CH"/>
        </w:rPr>
      </w:pPr>
      <w:r>
        <w:rPr>
          <w:lang w:val="fr-CH"/>
        </w:rPr>
        <w:t>Je suis déçu de répondre sur cette question dans ce forum mais je répondrai quand même brièvement à l’intervention de l’Argentine.</w:t>
      </w:r>
    </w:p>
    <w:p w14:paraId="597AFCEF" w14:textId="77777777" w:rsidR="00321E55" w:rsidRPr="008A6EBA" w:rsidRDefault="00321E55" w:rsidP="00321E55">
      <w:pPr>
        <w:spacing w:after="0" w:line="240" w:lineRule="auto"/>
        <w:rPr>
          <w:color w:val="000000"/>
          <w:lang w:val="fr-CH"/>
        </w:rPr>
      </w:pPr>
    </w:p>
    <w:p w14:paraId="5E464067" w14:textId="77777777" w:rsidR="00321E55" w:rsidRPr="008A6EBA" w:rsidRDefault="00321E55" w:rsidP="00321E55">
      <w:pPr>
        <w:spacing w:after="0" w:line="240" w:lineRule="auto"/>
        <w:rPr>
          <w:color w:val="000000"/>
          <w:lang w:val="fr-CH"/>
        </w:rPr>
      </w:pPr>
      <w:r>
        <w:rPr>
          <w:color w:val="000000"/>
          <w:lang w:val="fr-CH"/>
        </w:rPr>
        <w:t xml:space="preserve">Dans tous les forums, le Royaume-Uni continuera d’insister sur l’utilisation des noms que les insulaires reconnaissent et souhaitent utiliser : les îles </w:t>
      </w:r>
      <w:r w:rsidRPr="008A6EBA">
        <w:rPr>
          <w:color w:val="000000"/>
          <w:lang w:val="fr-CH"/>
        </w:rPr>
        <w:t xml:space="preserve">Falkland, Sea Lion Island </w:t>
      </w:r>
      <w:r>
        <w:rPr>
          <w:color w:val="000000"/>
          <w:lang w:val="fr-CH"/>
        </w:rPr>
        <w:t>et</w:t>
      </w:r>
      <w:r w:rsidRPr="008A6EBA">
        <w:rPr>
          <w:color w:val="000000"/>
          <w:lang w:val="fr-CH"/>
        </w:rPr>
        <w:t xml:space="preserve"> Bertha’s Beach. </w:t>
      </w:r>
    </w:p>
    <w:p w14:paraId="4821989E" w14:textId="77777777" w:rsidR="00321E55" w:rsidRPr="008A6EBA" w:rsidRDefault="00321E55" w:rsidP="00321E55">
      <w:pPr>
        <w:spacing w:after="0" w:line="240" w:lineRule="auto"/>
        <w:rPr>
          <w:color w:val="000000"/>
          <w:lang w:val="fr-CH"/>
        </w:rPr>
      </w:pPr>
    </w:p>
    <w:p w14:paraId="4BE8C023" w14:textId="77777777" w:rsidR="00321E55" w:rsidRPr="008A6EBA" w:rsidRDefault="00321E55" w:rsidP="00321E55">
      <w:pPr>
        <w:spacing w:after="0" w:line="240" w:lineRule="auto"/>
        <w:rPr>
          <w:lang w:val="fr-CH"/>
        </w:rPr>
      </w:pPr>
      <w:r>
        <w:rPr>
          <w:color w:val="000000"/>
          <w:lang w:val="fr-CH"/>
        </w:rPr>
        <w:t xml:space="preserve">La directive des Nations Unies n’oblige à utiliser une nomenclature double et la note de bas de page pertinente que dans la documentation publiée par les Nations Unies. </w:t>
      </w:r>
    </w:p>
    <w:p w14:paraId="3B1FD748" w14:textId="77777777" w:rsidR="00321E55" w:rsidRPr="008A6EBA" w:rsidRDefault="00321E55" w:rsidP="00321E55">
      <w:pPr>
        <w:spacing w:after="0" w:line="240" w:lineRule="auto"/>
        <w:rPr>
          <w:lang w:val="fr-CH"/>
        </w:rPr>
      </w:pPr>
    </w:p>
    <w:p w14:paraId="4F92B375" w14:textId="77777777" w:rsidR="00321E55" w:rsidRPr="008A6EBA" w:rsidRDefault="00321E55" w:rsidP="00321E55">
      <w:pPr>
        <w:spacing w:after="0" w:line="240" w:lineRule="auto"/>
        <w:rPr>
          <w:lang w:val="fr-CH"/>
        </w:rPr>
      </w:pPr>
      <w:r>
        <w:rPr>
          <w:lang w:val="fr-CH"/>
        </w:rPr>
        <w:t xml:space="preserve">En conséquence, le Royaume-Uni s’oppose à la proposition de l’Argentine d’adopter une double nomenclature sur tout document ou carte fourni au Secrétariat Ramsar ou par lui, ou dans tout document officiel de la Convention lorsqu’il est fait référence aux îles Falkland. </w:t>
      </w:r>
    </w:p>
    <w:p w14:paraId="49FB6239" w14:textId="77777777" w:rsidR="00321E55" w:rsidRPr="008A6EBA" w:rsidRDefault="00321E55" w:rsidP="00321E55">
      <w:pPr>
        <w:spacing w:after="0" w:line="240" w:lineRule="auto"/>
        <w:rPr>
          <w:lang w:val="fr-CH"/>
        </w:rPr>
      </w:pPr>
    </w:p>
    <w:p w14:paraId="4BF412ED" w14:textId="77777777" w:rsidR="00321E55" w:rsidRPr="008A6EBA" w:rsidRDefault="00321E55" w:rsidP="00321E55">
      <w:pPr>
        <w:spacing w:after="0" w:line="240" w:lineRule="auto"/>
        <w:rPr>
          <w:lang w:val="fr-CH"/>
        </w:rPr>
      </w:pPr>
      <w:r>
        <w:rPr>
          <w:lang w:val="fr-CH"/>
        </w:rPr>
        <w:t>La double</w:t>
      </w:r>
      <w:r w:rsidRPr="008A6EBA">
        <w:rPr>
          <w:lang w:val="fr-CH"/>
        </w:rPr>
        <w:t xml:space="preserve"> nomenclature </w:t>
      </w:r>
      <w:r>
        <w:rPr>
          <w:lang w:val="fr-CH"/>
        </w:rPr>
        <w:t>n’est appliquée que dans la documentation des Nations Unies et il n’est donc pas à propos de l’appliquer ici.</w:t>
      </w:r>
      <w:r w:rsidRPr="008A6EBA">
        <w:rPr>
          <w:lang w:val="fr-CH"/>
        </w:rPr>
        <w:t xml:space="preserve">  </w:t>
      </w:r>
    </w:p>
    <w:p w14:paraId="6D86EF5A" w14:textId="77777777" w:rsidR="00321E55" w:rsidRPr="008A6EBA" w:rsidRDefault="00321E55" w:rsidP="00321E55">
      <w:pPr>
        <w:spacing w:after="0" w:line="240" w:lineRule="auto"/>
        <w:rPr>
          <w:lang w:val="fr-CH"/>
        </w:rPr>
      </w:pPr>
    </w:p>
    <w:p w14:paraId="6C99470E" w14:textId="77777777" w:rsidR="00321E55" w:rsidRPr="008A6EBA" w:rsidRDefault="00321E55" w:rsidP="00321E55">
      <w:pPr>
        <w:spacing w:after="0" w:line="240" w:lineRule="auto"/>
        <w:rPr>
          <w:color w:val="000000"/>
          <w:lang w:val="fr-CH"/>
        </w:rPr>
      </w:pPr>
      <w:r>
        <w:rPr>
          <w:lang w:val="fr-CH"/>
        </w:rPr>
        <w:t xml:space="preserve">Nous avons déjà une approche préexistante sur cette question dans la Liste de Ramsar qui a été acceptée avec l’Argentine, et je souhaiterais poursuivre avec cette approche. </w:t>
      </w:r>
    </w:p>
    <w:p w14:paraId="4F47CB90" w14:textId="77777777" w:rsidR="00321E55" w:rsidRPr="008A6EBA" w:rsidRDefault="00321E55" w:rsidP="00321E55">
      <w:pPr>
        <w:spacing w:after="0" w:line="240" w:lineRule="auto"/>
        <w:rPr>
          <w:color w:val="000000"/>
          <w:lang w:val="fr-CH"/>
        </w:rPr>
      </w:pPr>
    </w:p>
    <w:p w14:paraId="1059274F" w14:textId="77777777" w:rsidR="00321E55" w:rsidRPr="008A6EBA" w:rsidRDefault="00321E55" w:rsidP="00321E55">
      <w:pPr>
        <w:spacing w:after="0" w:line="240" w:lineRule="auto"/>
        <w:rPr>
          <w:color w:val="000000"/>
          <w:lang w:val="fr-CH"/>
        </w:rPr>
      </w:pPr>
      <w:r w:rsidRPr="008A6EBA">
        <w:rPr>
          <w:color w:val="000000"/>
          <w:lang w:val="fr-CH"/>
        </w:rPr>
        <w:t>2.</w:t>
      </w:r>
    </w:p>
    <w:p w14:paraId="4745CCED" w14:textId="56C17D84" w:rsidR="00321E55" w:rsidRPr="008A6EBA" w:rsidRDefault="00321E55" w:rsidP="00321E55">
      <w:pPr>
        <w:spacing w:after="0" w:line="240" w:lineRule="auto"/>
        <w:rPr>
          <w:color w:val="000000"/>
          <w:lang w:val="fr-CH"/>
        </w:rPr>
      </w:pPr>
      <w:r>
        <w:rPr>
          <w:color w:val="000000"/>
          <w:lang w:val="fr-CH"/>
        </w:rPr>
        <w:t xml:space="preserve">Le Royaume-Uni intervient </w:t>
      </w:r>
      <w:r w:rsidR="00945ECB">
        <w:rPr>
          <w:color w:val="000000"/>
          <w:lang w:val="fr-CH"/>
        </w:rPr>
        <w:t>à nouveau,</w:t>
      </w:r>
      <w:r>
        <w:rPr>
          <w:color w:val="000000"/>
          <w:lang w:val="fr-CH"/>
        </w:rPr>
        <w:t xml:space="preserve"> en réponse à la réponse de l’Argentine : </w:t>
      </w:r>
    </w:p>
    <w:p w14:paraId="5BD38806" w14:textId="77777777" w:rsidR="00321E55" w:rsidRPr="008A6EBA" w:rsidRDefault="00321E55" w:rsidP="00321E55">
      <w:pPr>
        <w:spacing w:after="0" w:line="240" w:lineRule="auto"/>
        <w:rPr>
          <w:color w:val="000000"/>
          <w:lang w:val="fr-CH"/>
        </w:rPr>
      </w:pPr>
    </w:p>
    <w:p w14:paraId="5D16258B" w14:textId="77777777" w:rsidR="00321E55" w:rsidRPr="008A6EBA" w:rsidRDefault="00321E55" w:rsidP="00321E55">
      <w:pPr>
        <w:spacing w:after="0" w:line="240" w:lineRule="auto"/>
        <w:rPr>
          <w:color w:val="000000"/>
          <w:lang w:val="fr-CH"/>
        </w:rPr>
      </w:pPr>
      <w:r>
        <w:rPr>
          <w:color w:val="000000"/>
          <w:lang w:val="fr-CH"/>
        </w:rPr>
        <w:t>Le Royaume-Uni n’a aucun doute sur sa souveraineté sur les îles Falkland et les zones maritimes qui les entourent.</w:t>
      </w:r>
      <w:r w:rsidRPr="008A6EBA">
        <w:rPr>
          <w:color w:val="000000"/>
          <w:lang w:val="fr-CH"/>
        </w:rPr>
        <w:t xml:space="preserve"> </w:t>
      </w:r>
    </w:p>
    <w:p w14:paraId="35AB3DC2" w14:textId="77777777" w:rsidR="00321E55" w:rsidRPr="008A6EBA" w:rsidRDefault="00321E55" w:rsidP="00321E55">
      <w:pPr>
        <w:spacing w:after="0" w:line="240" w:lineRule="auto"/>
        <w:rPr>
          <w:color w:val="000000"/>
          <w:lang w:val="fr-CH"/>
        </w:rPr>
      </w:pPr>
    </w:p>
    <w:p w14:paraId="056D0369" w14:textId="070144CD" w:rsidR="00321E55" w:rsidRPr="008A6EBA" w:rsidRDefault="00321E55" w:rsidP="00321E55">
      <w:pPr>
        <w:spacing w:after="0" w:line="240" w:lineRule="auto"/>
        <w:rPr>
          <w:color w:val="000000"/>
          <w:lang w:val="fr-CH"/>
        </w:rPr>
      </w:pPr>
      <w:r>
        <w:rPr>
          <w:color w:val="000000"/>
          <w:lang w:val="fr-CH"/>
        </w:rPr>
        <w:t xml:space="preserve">Le Royaume-Uni est constant dans son appui au droit d’autodétermination des insulaires des Falkland. Ce droit est inscrit dans la Charte des Nations Unies et dans l’article </w:t>
      </w:r>
      <w:r w:rsidR="007E33B4">
        <w:rPr>
          <w:color w:val="000000"/>
          <w:lang w:val="fr-CH"/>
        </w:rPr>
        <w:t xml:space="preserve">premier </w:t>
      </w:r>
      <w:r>
        <w:rPr>
          <w:color w:val="000000"/>
          <w:lang w:val="fr-CH"/>
        </w:rPr>
        <w:t>des deux conventions des Nations Unies relatives aux droits de l’homme. Les Nations Unies n’ont jamais fait de déclarations ou adopté de résolutions déniant au peuple des îles Falkland le droit de déterminer par qui il souhaite être gouverné – un droit inscrit dans la Charte des Nations Unies. Notre position concernant le soutien à l’autodétermination des insulaires des Falkland s’appuie sur la Charte des Nations Unies qui est contraignante pour tous les Membres de l’Organisation des Nations Unies.</w:t>
      </w:r>
      <w:r w:rsidRPr="008A6EBA">
        <w:rPr>
          <w:color w:val="000000"/>
          <w:lang w:val="fr-CH"/>
        </w:rPr>
        <w:t xml:space="preserve">  </w:t>
      </w:r>
    </w:p>
    <w:p w14:paraId="42289502" w14:textId="77777777" w:rsidR="00321E55" w:rsidRPr="008A6EBA" w:rsidRDefault="00321E55" w:rsidP="00321E55">
      <w:pPr>
        <w:spacing w:after="0" w:line="240" w:lineRule="auto"/>
        <w:rPr>
          <w:color w:val="000000"/>
          <w:lang w:val="fr-CH"/>
        </w:rPr>
      </w:pPr>
    </w:p>
    <w:p w14:paraId="29E93A9B" w14:textId="77777777" w:rsidR="00321E55" w:rsidRPr="008A6EBA" w:rsidRDefault="00321E55" w:rsidP="00321E55">
      <w:pPr>
        <w:spacing w:after="0" w:line="240" w:lineRule="auto"/>
        <w:rPr>
          <w:lang w:val="fr-CH"/>
        </w:rPr>
      </w:pPr>
      <w:r>
        <w:rPr>
          <w:lang w:val="fr-CH"/>
        </w:rPr>
        <w:t xml:space="preserve">Les insulaires des </w:t>
      </w:r>
      <w:r w:rsidRPr="008A6EBA">
        <w:rPr>
          <w:lang w:val="fr-CH"/>
        </w:rPr>
        <w:t xml:space="preserve">Falkland </w:t>
      </w:r>
      <w:r>
        <w:rPr>
          <w:lang w:val="fr-CH"/>
        </w:rPr>
        <w:t xml:space="preserve">ont autant le droit de déterminer leur statut politique et de rechercher librement leur développement économique, social et culturel que n’importe quel autre peuple. </w:t>
      </w:r>
    </w:p>
    <w:p w14:paraId="6BA14A70" w14:textId="3E03965C" w:rsidR="0007746C" w:rsidRPr="00321E55" w:rsidRDefault="0007746C" w:rsidP="00E64244">
      <w:pPr>
        <w:spacing w:after="0" w:line="240" w:lineRule="auto"/>
        <w:contextualSpacing/>
        <w:rPr>
          <w:rFonts w:cstheme="minorHAnsi"/>
          <w:b/>
          <w:i/>
          <w:lang w:val="fr-FR"/>
        </w:rPr>
      </w:pPr>
    </w:p>
    <w:sectPr w:rsidR="0007746C" w:rsidRPr="00321E55" w:rsidSect="00545238">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4736F" w14:textId="77777777" w:rsidR="00C1525D" w:rsidRDefault="00C1525D" w:rsidP="0021462B">
      <w:pPr>
        <w:spacing w:after="0" w:line="240" w:lineRule="auto"/>
      </w:pPr>
      <w:r>
        <w:separator/>
      </w:r>
    </w:p>
  </w:endnote>
  <w:endnote w:type="continuationSeparator" w:id="0">
    <w:p w14:paraId="4A8C1CF7" w14:textId="77777777" w:rsidR="00C1525D" w:rsidRDefault="00C1525D" w:rsidP="0021462B">
      <w:pPr>
        <w:spacing w:after="0" w:line="240" w:lineRule="auto"/>
      </w:pPr>
      <w:r>
        <w:continuationSeparator/>
      </w:r>
    </w:p>
  </w:endnote>
  <w:endnote w:type="continuationNotice" w:id="1">
    <w:p w14:paraId="41A78199" w14:textId="77777777" w:rsidR="00C1525D" w:rsidRDefault="00C15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Osnova MFA Cyrillic">
    <w:altName w:val="Times New Roman"/>
    <w:charset w:val="CC"/>
    <w:family w:val="auto"/>
    <w:pitch w:val="variable"/>
    <w:sig w:usb0="80000203" w:usb1="0000000A"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EB8E" w14:textId="3E79A4FE" w:rsidR="0007746C" w:rsidRPr="0021462B" w:rsidRDefault="0007746C">
    <w:pPr>
      <w:pStyle w:val="Footer"/>
      <w:rPr>
        <w:sz w:val="20"/>
        <w:szCs w:val="20"/>
      </w:rPr>
    </w:pPr>
    <w:r>
      <w:rPr>
        <w:sz w:val="20"/>
        <w:szCs w:val="20"/>
      </w:rPr>
      <w:t xml:space="preserve">SC62 </w:t>
    </w:r>
    <w:r w:rsidR="00985CF2">
      <w:rPr>
        <w:sz w:val="20"/>
        <w:szCs w:val="20"/>
      </w:rPr>
      <w:t xml:space="preserve">Rapport et </w:t>
    </w:r>
    <w:r w:rsidR="00985CF2" w:rsidRPr="002555E6">
      <w:rPr>
        <w:sz w:val="20"/>
        <w:szCs w:val="20"/>
        <w:lang w:val="fr-FR"/>
      </w:rPr>
      <w:t>Décisions</w:t>
    </w:r>
    <w:r w:rsidRPr="0021462B">
      <w:rPr>
        <w:sz w:val="20"/>
        <w:szCs w:val="20"/>
      </w:rPr>
      <w:tab/>
    </w:r>
    <w:r w:rsidRPr="0021462B">
      <w:rPr>
        <w:sz w:val="20"/>
        <w:szCs w:val="20"/>
      </w:rPr>
      <w:tab/>
    </w:r>
    <w:r>
      <w:fldChar w:fldCharType="begin"/>
    </w:r>
    <w:r>
      <w:instrText xml:space="preserve"> PAGE   \* MERGEFORMAT </w:instrText>
    </w:r>
    <w:r>
      <w:fldChar w:fldCharType="separate"/>
    </w:r>
    <w:r w:rsidR="00FB3E90" w:rsidRPr="00FB3E90">
      <w:rPr>
        <w:noProof/>
        <w:sz w:val="20"/>
        <w:szCs w:val="20"/>
      </w:rPr>
      <w:t>21</w: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D278" w14:textId="77777777" w:rsidR="00C1525D" w:rsidRDefault="00C1525D" w:rsidP="0021462B">
      <w:pPr>
        <w:spacing w:after="0" w:line="240" w:lineRule="auto"/>
      </w:pPr>
      <w:r>
        <w:separator/>
      </w:r>
    </w:p>
  </w:footnote>
  <w:footnote w:type="continuationSeparator" w:id="0">
    <w:p w14:paraId="776F77B6" w14:textId="77777777" w:rsidR="00C1525D" w:rsidRDefault="00C1525D" w:rsidP="0021462B">
      <w:pPr>
        <w:spacing w:after="0" w:line="240" w:lineRule="auto"/>
      </w:pPr>
      <w:r>
        <w:continuationSeparator/>
      </w:r>
    </w:p>
  </w:footnote>
  <w:footnote w:type="continuationNotice" w:id="1">
    <w:p w14:paraId="4E724D78" w14:textId="77777777" w:rsidR="00C1525D" w:rsidRDefault="00C1525D">
      <w:pPr>
        <w:spacing w:after="0" w:line="240" w:lineRule="auto"/>
      </w:pPr>
    </w:p>
  </w:footnote>
  <w:footnote w:id="2">
    <w:p w14:paraId="31A0652D" w14:textId="569A163B" w:rsidR="00672991" w:rsidRPr="00672991" w:rsidRDefault="00672991">
      <w:pPr>
        <w:pStyle w:val="FootnoteText"/>
        <w:rPr>
          <w:lang w:val="fr-FR"/>
        </w:rPr>
      </w:pPr>
      <w:bookmarkStart w:id="5" w:name="_GoBack"/>
      <w:r>
        <w:rPr>
          <w:rStyle w:val="FootnoteReference"/>
        </w:rPr>
        <w:footnoteRef/>
      </w:r>
      <w:r w:rsidRPr="00672991">
        <w:rPr>
          <w:lang w:val="fr-FR"/>
        </w:rPr>
        <w:t xml:space="preserve"> Voir le budget administratif pour 2023 qui en résulte à l'Annexe 1 du </w:t>
      </w:r>
      <w:hyperlink r:id="rId1" w:history="1">
        <w:r w:rsidRPr="00672991">
          <w:rPr>
            <w:rStyle w:val="Hyperlink"/>
            <w:lang w:val="fr-FR"/>
          </w:rPr>
          <w:t>document SC62 Com.1 Rev.2 Rapport du Sous-groupe sur les finances, 4 septembre 2023</w:t>
        </w:r>
      </w:hyperlink>
      <w:r>
        <w:rPr>
          <w:lang w:val="fr-FR"/>
        </w:rPr>
        <w:t>.</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07"/>
    <w:multiLevelType w:val="hybridMultilevel"/>
    <w:tmpl w:val="9904D6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49D1F51"/>
    <w:multiLevelType w:val="hybridMultilevel"/>
    <w:tmpl w:val="470A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D00C4"/>
    <w:multiLevelType w:val="hybridMultilevel"/>
    <w:tmpl w:val="1110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F234D"/>
    <w:multiLevelType w:val="hybridMultilevel"/>
    <w:tmpl w:val="D23A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51E5F"/>
    <w:multiLevelType w:val="hybridMultilevel"/>
    <w:tmpl w:val="ADC6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C364D7"/>
    <w:multiLevelType w:val="hybridMultilevel"/>
    <w:tmpl w:val="2B5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5563A"/>
    <w:multiLevelType w:val="hybridMultilevel"/>
    <w:tmpl w:val="78C48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9B4DAF"/>
    <w:multiLevelType w:val="hybridMultilevel"/>
    <w:tmpl w:val="F806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50769"/>
    <w:multiLevelType w:val="hybridMultilevel"/>
    <w:tmpl w:val="CDBEA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88562E"/>
    <w:multiLevelType w:val="hybridMultilevel"/>
    <w:tmpl w:val="B8A2C9F2"/>
    <w:lvl w:ilvl="0" w:tplc="22D222B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BD7CD6"/>
    <w:multiLevelType w:val="hybridMultilevel"/>
    <w:tmpl w:val="25DA9FBA"/>
    <w:lvl w:ilvl="0" w:tplc="A2EE119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3140CC0"/>
    <w:multiLevelType w:val="hybridMultilevel"/>
    <w:tmpl w:val="B98A610E"/>
    <w:lvl w:ilvl="0" w:tplc="C96CE294">
      <w:numFmt w:val="bullet"/>
      <w:lvlText w:val="-"/>
      <w:lvlJc w:val="left"/>
      <w:pPr>
        <w:ind w:left="720" w:hanging="360"/>
      </w:pPr>
      <w:rPr>
        <w:rFonts w:ascii="Calibri" w:eastAsiaTheme="minorHAnsi" w:hAnsi="Calibri" w:cs="Calibri" w:hint="default"/>
      </w:rPr>
    </w:lvl>
    <w:lvl w:ilvl="1" w:tplc="C96CE2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6AB8"/>
    <w:multiLevelType w:val="hybridMultilevel"/>
    <w:tmpl w:val="64EADCE6"/>
    <w:lvl w:ilvl="0" w:tplc="F2BCC0FE">
      <w:start w:val="1"/>
      <w:numFmt w:val="lowerRoman"/>
      <w:lvlText w:val="%1)"/>
      <w:lvlJc w:val="left"/>
      <w:pPr>
        <w:ind w:left="1287" w:hanging="720"/>
      </w:pPr>
      <w:rPr>
        <w:rFonts w:cs="Garamond"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B4A0D87"/>
    <w:multiLevelType w:val="hybridMultilevel"/>
    <w:tmpl w:val="3340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372F92"/>
    <w:multiLevelType w:val="hybridMultilevel"/>
    <w:tmpl w:val="82CE9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F263800"/>
    <w:multiLevelType w:val="multilevel"/>
    <w:tmpl w:val="07EA01E0"/>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222B14F3"/>
    <w:multiLevelType w:val="hybridMultilevel"/>
    <w:tmpl w:val="5AA4D6D6"/>
    <w:lvl w:ilvl="0" w:tplc="6C8CD786">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03549B"/>
    <w:multiLevelType w:val="multilevel"/>
    <w:tmpl w:val="B2169226"/>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232D204B"/>
    <w:multiLevelType w:val="multilevel"/>
    <w:tmpl w:val="4AE49D18"/>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BE3FE4"/>
    <w:multiLevelType w:val="multilevel"/>
    <w:tmpl w:val="3CDA08FE"/>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6A96D56"/>
    <w:multiLevelType w:val="hybridMultilevel"/>
    <w:tmpl w:val="BB60C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8640E"/>
    <w:multiLevelType w:val="hybridMultilevel"/>
    <w:tmpl w:val="D1D0A64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4" w15:restartNumberingAfterBreak="0">
    <w:nsid w:val="2A56685D"/>
    <w:multiLevelType w:val="hybridMultilevel"/>
    <w:tmpl w:val="E44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2716D"/>
    <w:multiLevelType w:val="hybridMultilevel"/>
    <w:tmpl w:val="2FFC386E"/>
    <w:lvl w:ilvl="0" w:tplc="3D881EA8">
      <w:start w:val="1"/>
      <w:numFmt w:val="lowerRoman"/>
      <w:lvlText w:val="%1."/>
      <w:lvlJc w:val="left"/>
      <w:pPr>
        <w:ind w:left="1428"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FB3115D"/>
    <w:multiLevelType w:val="hybridMultilevel"/>
    <w:tmpl w:val="8B3C1808"/>
    <w:lvl w:ilvl="0" w:tplc="7234ABEE">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7277AB"/>
    <w:multiLevelType w:val="hybridMultilevel"/>
    <w:tmpl w:val="5C6C0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15:restartNumberingAfterBreak="0">
    <w:nsid w:val="43960673"/>
    <w:multiLevelType w:val="multilevel"/>
    <w:tmpl w:val="2806D0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43C7849"/>
    <w:multiLevelType w:val="hybridMultilevel"/>
    <w:tmpl w:val="EEFCB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40162C"/>
    <w:multiLevelType w:val="multilevel"/>
    <w:tmpl w:val="8F32EE4A"/>
    <w:numStyleLink w:val="Style1"/>
  </w:abstractNum>
  <w:abstractNum w:abstractNumId="33" w15:restartNumberingAfterBreak="0">
    <w:nsid w:val="5324424E"/>
    <w:multiLevelType w:val="multilevel"/>
    <w:tmpl w:val="F6ACC8A2"/>
    <w:lvl w:ilvl="0">
      <w:start w:val="1"/>
      <w:numFmt w:val="decimal"/>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5D460E"/>
    <w:multiLevelType w:val="hybridMultilevel"/>
    <w:tmpl w:val="AE14E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80443"/>
    <w:multiLevelType w:val="hybridMultilevel"/>
    <w:tmpl w:val="5C64E3AE"/>
    <w:lvl w:ilvl="0" w:tplc="E84070E4">
      <w:start w:val="1"/>
      <w:numFmt w:val="bullet"/>
      <w:lvlText w:val=""/>
      <w:lvlJc w:val="left"/>
      <w:pPr>
        <w:tabs>
          <w:tab w:val="num" w:pos="2268"/>
        </w:tabs>
        <w:ind w:left="2268" w:hanging="567"/>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0C65BE8"/>
    <w:multiLevelType w:val="hybridMultilevel"/>
    <w:tmpl w:val="42C2A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3A503E6"/>
    <w:multiLevelType w:val="hybridMultilevel"/>
    <w:tmpl w:val="9BACA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4457B4"/>
    <w:multiLevelType w:val="hybridMultilevel"/>
    <w:tmpl w:val="93AC931A"/>
    <w:lvl w:ilvl="0" w:tplc="4286943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F7510"/>
    <w:multiLevelType w:val="hybridMultilevel"/>
    <w:tmpl w:val="2B801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2F08D0"/>
    <w:multiLevelType w:val="multilevel"/>
    <w:tmpl w:val="2F0674DE"/>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abstractNum w:abstractNumId="44" w15:restartNumberingAfterBreak="0">
    <w:nsid w:val="717F6808"/>
    <w:multiLevelType w:val="hybridMultilevel"/>
    <w:tmpl w:val="BFFA8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012DB"/>
    <w:multiLevelType w:val="hybridMultilevel"/>
    <w:tmpl w:val="453C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3121A"/>
    <w:multiLevelType w:val="hybridMultilevel"/>
    <w:tmpl w:val="1380905A"/>
    <w:lvl w:ilvl="0" w:tplc="78A84DD0">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44294"/>
    <w:multiLevelType w:val="hybridMultilevel"/>
    <w:tmpl w:val="FF0CFD80"/>
    <w:lvl w:ilvl="0" w:tplc="E2324394">
      <w:start w:val="1"/>
      <w:numFmt w:val="bullet"/>
      <w:lvlText w:val=""/>
      <w:lvlJc w:val="left"/>
      <w:pPr>
        <w:ind w:left="720" w:hanging="360"/>
      </w:pPr>
      <w:rPr>
        <w:rFonts w:ascii="Wingdings" w:eastAsia="Batang" w:hAnsi="Wingdings"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142C1"/>
    <w:multiLevelType w:val="multilevel"/>
    <w:tmpl w:val="4D007754"/>
    <w:lvl w:ilvl="0">
      <w:start w:val="1"/>
      <w:numFmt w:val="bullet"/>
      <w:lvlText w:val=""/>
      <w:lvlJc w:val="left"/>
      <w:pPr>
        <w:ind w:left="1080" w:hanging="360"/>
      </w:pPr>
      <w:rPr>
        <w:rFonts w:ascii="Symbol" w:hAnsi="Symbol"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7CF63621"/>
    <w:multiLevelType w:val="hybridMultilevel"/>
    <w:tmpl w:val="815AECD8"/>
    <w:lvl w:ilvl="0" w:tplc="7CE271C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7D784798"/>
    <w:multiLevelType w:val="hybridMultilevel"/>
    <w:tmpl w:val="8B8AC346"/>
    <w:lvl w:ilvl="0" w:tplc="0FD260FC">
      <w:start w:val="1"/>
      <w:numFmt w:val="lowerRoman"/>
      <w:lvlText w:val="%1."/>
      <w:lvlJc w:val="left"/>
      <w:pPr>
        <w:ind w:left="1571"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E525F14"/>
    <w:multiLevelType w:val="multilevel"/>
    <w:tmpl w:val="C5945B90"/>
    <w:lvl w:ilvl="0">
      <w:start w:val="1"/>
      <w:numFmt w:val="decimal"/>
      <w:lvlText w:val="%1."/>
      <w:lvlJc w:val="left"/>
      <w:pPr>
        <w:ind w:left="422" w:hanging="360"/>
      </w:pPr>
      <w:rPr>
        <w:rFonts w:hint="default"/>
      </w:rPr>
    </w:lvl>
    <w:lvl w:ilvl="1">
      <w:start w:val="1"/>
      <w:numFmt w:val="lowerRoman"/>
      <w:lvlText w:val="%2."/>
      <w:lvlJc w:val="left"/>
      <w:pPr>
        <w:ind w:left="1142" w:hanging="360"/>
      </w:pPr>
      <w:rPr>
        <w:rFonts w:hint="default"/>
      </w:rPr>
    </w:lvl>
    <w:lvl w:ilvl="2">
      <w:start w:val="1"/>
      <w:numFmt w:val="lowerLetter"/>
      <w:lvlText w:val="%3."/>
      <w:lvlJc w:val="right"/>
      <w:pPr>
        <w:ind w:left="1862" w:hanging="180"/>
      </w:pPr>
      <w:rPr>
        <w:rFonts w:hint="default"/>
      </w:rPr>
    </w:lvl>
    <w:lvl w:ilvl="3">
      <w:start w:val="1"/>
      <w:numFmt w:val="decimal"/>
      <w:lvlText w:val="%4."/>
      <w:lvlJc w:val="left"/>
      <w:pPr>
        <w:ind w:left="2582" w:hanging="360"/>
      </w:pPr>
      <w:rPr>
        <w:rFonts w:hint="default"/>
      </w:rPr>
    </w:lvl>
    <w:lvl w:ilvl="4">
      <w:start w:val="1"/>
      <w:numFmt w:val="lowerLetter"/>
      <w:lvlText w:val="%5."/>
      <w:lvlJc w:val="left"/>
      <w:pPr>
        <w:ind w:left="3302" w:hanging="360"/>
      </w:pPr>
      <w:rPr>
        <w:rFonts w:hint="default"/>
      </w:rPr>
    </w:lvl>
    <w:lvl w:ilvl="5">
      <w:start w:val="1"/>
      <w:numFmt w:val="lowerRoman"/>
      <w:lvlText w:val="%6."/>
      <w:lvlJc w:val="right"/>
      <w:pPr>
        <w:ind w:left="4022" w:hanging="180"/>
      </w:pPr>
      <w:rPr>
        <w:rFonts w:hint="default"/>
      </w:rPr>
    </w:lvl>
    <w:lvl w:ilvl="6">
      <w:start w:val="1"/>
      <w:numFmt w:val="decimal"/>
      <w:lvlText w:val="%7."/>
      <w:lvlJc w:val="left"/>
      <w:pPr>
        <w:ind w:left="4742" w:hanging="360"/>
      </w:pPr>
      <w:rPr>
        <w:rFonts w:hint="default"/>
      </w:rPr>
    </w:lvl>
    <w:lvl w:ilvl="7">
      <w:start w:val="1"/>
      <w:numFmt w:val="lowerLetter"/>
      <w:lvlText w:val="%8."/>
      <w:lvlJc w:val="left"/>
      <w:pPr>
        <w:ind w:left="5462" w:hanging="360"/>
      </w:pPr>
      <w:rPr>
        <w:rFonts w:hint="default"/>
      </w:rPr>
    </w:lvl>
    <w:lvl w:ilvl="8">
      <w:start w:val="1"/>
      <w:numFmt w:val="lowerRoman"/>
      <w:lvlText w:val="%9."/>
      <w:lvlJc w:val="right"/>
      <w:pPr>
        <w:ind w:left="6182" w:hanging="180"/>
      </w:pPr>
      <w:rPr>
        <w:rFonts w:hint="default"/>
      </w:rPr>
    </w:lvl>
  </w:abstractNum>
  <w:num w:numId="1">
    <w:abstractNumId w:val="34"/>
  </w:num>
  <w:num w:numId="2">
    <w:abstractNumId w:val="27"/>
  </w:num>
  <w:num w:numId="3">
    <w:abstractNumId w:val="3"/>
  </w:num>
  <w:num w:numId="4">
    <w:abstractNumId w:val="31"/>
  </w:num>
  <w:num w:numId="5">
    <w:abstractNumId w:val="8"/>
  </w:num>
  <w:num w:numId="6">
    <w:abstractNumId w:val="35"/>
  </w:num>
  <w:num w:numId="7">
    <w:abstractNumId w:val="42"/>
  </w:num>
  <w:num w:numId="8">
    <w:abstractNumId w:val="7"/>
  </w:num>
  <w:num w:numId="9">
    <w:abstractNumId w:val="29"/>
  </w:num>
  <w:num w:numId="10">
    <w:abstractNumId w:val="20"/>
  </w:num>
  <w:num w:numId="11">
    <w:abstractNumId w:val="38"/>
  </w:num>
  <w:num w:numId="12">
    <w:abstractNumId w:val="4"/>
  </w:num>
  <w:num w:numId="13">
    <w:abstractNumId w:val="28"/>
  </w:num>
  <w:num w:numId="14">
    <w:abstractNumId w:val="12"/>
  </w:num>
  <w:num w:numId="15">
    <w:abstractNumId w:val="50"/>
  </w:num>
  <w:num w:numId="16">
    <w:abstractNumId w:val="30"/>
  </w:num>
  <w:num w:numId="17">
    <w:abstractNumId w:val="46"/>
  </w:num>
  <w:num w:numId="18">
    <w:abstractNumId w:val="49"/>
  </w:num>
  <w:num w:numId="19">
    <w:abstractNumId w:val="1"/>
  </w:num>
  <w:num w:numId="20">
    <w:abstractNumId w:val="25"/>
  </w:num>
  <w:num w:numId="21">
    <w:abstractNumId w:val="2"/>
  </w:num>
  <w:num w:numId="22">
    <w:abstractNumId w:val="10"/>
  </w:num>
  <w:num w:numId="23">
    <w:abstractNumId w:val="9"/>
  </w:num>
  <w:num w:numId="24">
    <w:abstractNumId w:val="15"/>
  </w:num>
  <w:num w:numId="25">
    <w:abstractNumId w:val="24"/>
  </w:num>
  <w:num w:numId="26">
    <w:abstractNumId w:val="32"/>
  </w:num>
  <w:num w:numId="27">
    <w:abstractNumId w:val="23"/>
  </w:num>
  <w:num w:numId="28">
    <w:abstractNumId w:val="5"/>
  </w:num>
  <w:num w:numId="29">
    <w:abstractNumId w:val="21"/>
  </w:num>
  <w:num w:numId="30">
    <w:abstractNumId w:val="51"/>
  </w:num>
  <w:num w:numId="31">
    <w:abstractNumId w:val="33"/>
  </w:num>
  <w:num w:numId="32">
    <w:abstractNumId w:val="19"/>
  </w:num>
  <w:num w:numId="33">
    <w:abstractNumId w:val="16"/>
  </w:num>
  <w:num w:numId="34">
    <w:abstractNumId w:val="18"/>
  </w:num>
  <w:num w:numId="35">
    <w:abstractNumId w:val="43"/>
  </w:num>
  <w:num w:numId="36">
    <w:abstractNumId w:val="48"/>
  </w:num>
  <w:num w:numId="37">
    <w:abstractNumId w:val="0"/>
  </w:num>
  <w:num w:numId="38">
    <w:abstractNumId w:val="3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7"/>
  </w:num>
  <w:num w:numId="48">
    <w:abstractNumId w:val="26"/>
  </w:num>
  <w:num w:numId="49">
    <w:abstractNumId w:val="41"/>
  </w:num>
  <w:num w:numId="50">
    <w:abstractNumId w:val="6"/>
  </w:num>
  <w:num w:numId="51">
    <w:abstractNumId w:val="36"/>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11710"/>
    <w:rsid w:val="00015DBE"/>
    <w:rsid w:val="00035341"/>
    <w:rsid w:val="00037E1E"/>
    <w:rsid w:val="00040BFC"/>
    <w:rsid w:val="00051460"/>
    <w:rsid w:val="00052163"/>
    <w:rsid w:val="00052A2A"/>
    <w:rsid w:val="000571AD"/>
    <w:rsid w:val="00065D01"/>
    <w:rsid w:val="00071F08"/>
    <w:rsid w:val="00072B46"/>
    <w:rsid w:val="0007746C"/>
    <w:rsid w:val="0008003D"/>
    <w:rsid w:val="00081ED3"/>
    <w:rsid w:val="0008257D"/>
    <w:rsid w:val="00094BD4"/>
    <w:rsid w:val="00096C8C"/>
    <w:rsid w:val="0009708B"/>
    <w:rsid w:val="000A5B19"/>
    <w:rsid w:val="000A739B"/>
    <w:rsid w:val="000B4F99"/>
    <w:rsid w:val="000B5097"/>
    <w:rsid w:val="000C31CF"/>
    <w:rsid w:val="000C7AAC"/>
    <w:rsid w:val="000D6619"/>
    <w:rsid w:val="000E08CF"/>
    <w:rsid w:val="000E0D43"/>
    <w:rsid w:val="000E1B66"/>
    <w:rsid w:val="000E1F64"/>
    <w:rsid w:val="000E621C"/>
    <w:rsid w:val="000F08CF"/>
    <w:rsid w:val="000F0DA6"/>
    <w:rsid w:val="000F6A3D"/>
    <w:rsid w:val="000F768E"/>
    <w:rsid w:val="001032CA"/>
    <w:rsid w:val="001048C0"/>
    <w:rsid w:val="00105953"/>
    <w:rsid w:val="00105BBF"/>
    <w:rsid w:val="00111E9F"/>
    <w:rsid w:val="0011266F"/>
    <w:rsid w:val="0011286D"/>
    <w:rsid w:val="00113818"/>
    <w:rsid w:val="00121C24"/>
    <w:rsid w:val="001266DB"/>
    <w:rsid w:val="00130E47"/>
    <w:rsid w:val="00131D19"/>
    <w:rsid w:val="001340A2"/>
    <w:rsid w:val="00135706"/>
    <w:rsid w:val="00135C9D"/>
    <w:rsid w:val="00141FBB"/>
    <w:rsid w:val="001436BD"/>
    <w:rsid w:val="00152DA6"/>
    <w:rsid w:val="00166BFF"/>
    <w:rsid w:val="0017223F"/>
    <w:rsid w:val="0017411A"/>
    <w:rsid w:val="001833DC"/>
    <w:rsid w:val="00185088"/>
    <w:rsid w:val="00194C41"/>
    <w:rsid w:val="00197D9D"/>
    <w:rsid w:val="001A1A5D"/>
    <w:rsid w:val="001B1CCF"/>
    <w:rsid w:val="001C643C"/>
    <w:rsid w:val="001C70EF"/>
    <w:rsid w:val="001D6C4B"/>
    <w:rsid w:val="001E31B7"/>
    <w:rsid w:val="001E7082"/>
    <w:rsid w:val="001E7F06"/>
    <w:rsid w:val="001F6CDE"/>
    <w:rsid w:val="00201B8E"/>
    <w:rsid w:val="002035A8"/>
    <w:rsid w:val="00204321"/>
    <w:rsid w:val="0020647A"/>
    <w:rsid w:val="00211A0E"/>
    <w:rsid w:val="00212BA9"/>
    <w:rsid w:val="00213A8D"/>
    <w:rsid w:val="0021462B"/>
    <w:rsid w:val="00214C25"/>
    <w:rsid w:val="00234A2B"/>
    <w:rsid w:val="00242978"/>
    <w:rsid w:val="0024341A"/>
    <w:rsid w:val="00247BDA"/>
    <w:rsid w:val="00250708"/>
    <w:rsid w:val="00251713"/>
    <w:rsid w:val="002549C8"/>
    <w:rsid w:val="002555E6"/>
    <w:rsid w:val="002566E0"/>
    <w:rsid w:val="002620FA"/>
    <w:rsid w:val="002676BB"/>
    <w:rsid w:val="00277224"/>
    <w:rsid w:val="00284EA9"/>
    <w:rsid w:val="00294A7E"/>
    <w:rsid w:val="002B1C9D"/>
    <w:rsid w:val="002B333B"/>
    <w:rsid w:val="002B506E"/>
    <w:rsid w:val="002B5D8A"/>
    <w:rsid w:val="002C18F1"/>
    <w:rsid w:val="002C1AAA"/>
    <w:rsid w:val="002C1D8B"/>
    <w:rsid w:val="002C46E8"/>
    <w:rsid w:val="002D1A0A"/>
    <w:rsid w:val="002D3C07"/>
    <w:rsid w:val="002D70BA"/>
    <w:rsid w:val="002E3F8A"/>
    <w:rsid w:val="002E7E09"/>
    <w:rsid w:val="00300945"/>
    <w:rsid w:val="00307696"/>
    <w:rsid w:val="00310F8B"/>
    <w:rsid w:val="00311EA4"/>
    <w:rsid w:val="00316FB0"/>
    <w:rsid w:val="00321E55"/>
    <w:rsid w:val="00322898"/>
    <w:rsid w:val="0032300E"/>
    <w:rsid w:val="00324094"/>
    <w:rsid w:val="00327A64"/>
    <w:rsid w:val="003323C2"/>
    <w:rsid w:val="003365A5"/>
    <w:rsid w:val="003370DB"/>
    <w:rsid w:val="0034026E"/>
    <w:rsid w:val="003441C9"/>
    <w:rsid w:val="00347B02"/>
    <w:rsid w:val="0035175C"/>
    <w:rsid w:val="00360D78"/>
    <w:rsid w:val="00367A4B"/>
    <w:rsid w:val="00370B73"/>
    <w:rsid w:val="003713EF"/>
    <w:rsid w:val="0037435C"/>
    <w:rsid w:val="00374368"/>
    <w:rsid w:val="00376AEA"/>
    <w:rsid w:val="00393E41"/>
    <w:rsid w:val="00397BD3"/>
    <w:rsid w:val="003A7503"/>
    <w:rsid w:val="003B2460"/>
    <w:rsid w:val="003B5404"/>
    <w:rsid w:val="003B6C18"/>
    <w:rsid w:val="003C0E3F"/>
    <w:rsid w:val="003C32B7"/>
    <w:rsid w:val="003C4862"/>
    <w:rsid w:val="003D63A4"/>
    <w:rsid w:val="003F6F4D"/>
    <w:rsid w:val="00400D96"/>
    <w:rsid w:val="00403150"/>
    <w:rsid w:val="00403D87"/>
    <w:rsid w:val="0041000E"/>
    <w:rsid w:val="00411E32"/>
    <w:rsid w:val="004153DD"/>
    <w:rsid w:val="00416BFE"/>
    <w:rsid w:val="00434D8C"/>
    <w:rsid w:val="00440B38"/>
    <w:rsid w:val="00452F29"/>
    <w:rsid w:val="0045457C"/>
    <w:rsid w:val="00456B09"/>
    <w:rsid w:val="004608D6"/>
    <w:rsid w:val="00460E83"/>
    <w:rsid w:val="0046529B"/>
    <w:rsid w:val="0046661F"/>
    <w:rsid w:val="00480A12"/>
    <w:rsid w:val="00486AD0"/>
    <w:rsid w:val="004872A3"/>
    <w:rsid w:val="00495680"/>
    <w:rsid w:val="004A3EEF"/>
    <w:rsid w:val="004A6E99"/>
    <w:rsid w:val="004A701D"/>
    <w:rsid w:val="004B16FF"/>
    <w:rsid w:val="004C2E9B"/>
    <w:rsid w:val="004D20C6"/>
    <w:rsid w:val="004D36C2"/>
    <w:rsid w:val="004E28BD"/>
    <w:rsid w:val="004E7B4B"/>
    <w:rsid w:val="004F2321"/>
    <w:rsid w:val="005323FC"/>
    <w:rsid w:val="0053592E"/>
    <w:rsid w:val="00541DD8"/>
    <w:rsid w:val="00543BF9"/>
    <w:rsid w:val="00545238"/>
    <w:rsid w:val="0054557E"/>
    <w:rsid w:val="0054722F"/>
    <w:rsid w:val="005502D7"/>
    <w:rsid w:val="00550CBA"/>
    <w:rsid w:val="00554312"/>
    <w:rsid w:val="00554838"/>
    <w:rsid w:val="00555C54"/>
    <w:rsid w:val="00583A38"/>
    <w:rsid w:val="00584154"/>
    <w:rsid w:val="00584301"/>
    <w:rsid w:val="00584D51"/>
    <w:rsid w:val="005936F1"/>
    <w:rsid w:val="005A3D2D"/>
    <w:rsid w:val="005A4B27"/>
    <w:rsid w:val="005B417C"/>
    <w:rsid w:val="005B4766"/>
    <w:rsid w:val="005C32B7"/>
    <w:rsid w:val="005C3E7C"/>
    <w:rsid w:val="005C4477"/>
    <w:rsid w:val="005D1FDD"/>
    <w:rsid w:val="005D2F71"/>
    <w:rsid w:val="005D5335"/>
    <w:rsid w:val="005D5974"/>
    <w:rsid w:val="005E33B1"/>
    <w:rsid w:val="005E38DF"/>
    <w:rsid w:val="005E529E"/>
    <w:rsid w:val="005E61C6"/>
    <w:rsid w:val="005F4C17"/>
    <w:rsid w:val="00601B54"/>
    <w:rsid w:val="0061113C"/>
    <w:rsid w:val="006208DD"/>
    <w:rsid w:val="006211E5"/>
    <w:rsid w:val="00624F00"/>
    <w:rsid w:val="00630910"/>
    <w:rsid w:val="00633E8E"/>
    <w:rsid w:val="00635768"/>
    <w:rsid w:val="0064056B"/>
    <w:rsid w:val="006523E7"/>
    <w:rsid w:val="00655353"/>
    <w:rsid w:val="0065637A"/>
    <w:rsid w:val="00664841"/>
    <w:rsid w:val="0066515D"/>
    <w:rsid w:val="006666D2"/>
    <w:rsid w:val="00666C2B"/>
    <w:rsid w:val="00667D01"/>
    <w:rsid w:val="00672991"/>
    <w:rsid w:val="00675BFB"/>
    <w:rsid w:val="0068291E"/>
    <w:rsid w:val="00682DEC"/>
    <w:rsid w:val="00683D21"/>
    <w:rsid w:val="00694026"/>
    <w:rsid w:val="0069487C"/>
    <w:rsid w:val="00696420"/>
    <w:rsid w:val="006A020D"/>
    <w:rsid w:val="006A157B"/>
    <w:rsid w:val="006A46EA"/>
    <w:rsid w:val="006A7A89"/>
    <w:rsid w:val="006B2FBC"/>
    <w:rsid w:val="006B3DD2"/>
    <w:rsid w:val="006B761D"/>
    <w:rsid w:val="006C022D"/>
    <w:rsid w:val="006C132D"/>
    <w:rsid w:val="006E1938"/>
    <w:rsid w:val="006F28D9"/>
    <w:rsid w:val="006F5E92"/>
    <w:rsid w:val="0072363D"/>
    <w:rsid w:val="00725E3E"/>
    <w:rsid w:val="007275D7"/>
    <w:rsid w:val="00727C91"/>
    <w:rsid w:val="0073058F"/>
    <w:rsid w:val="007439FE"/>
    <w:rsid w:val="007460D1"/>
    <w:rsid w:val="00747705"/>
    <w:rsid w:val="00753EB2"/>
    <w:rsid w:val="007546F8"/>
    <w:rsid w:val="00755B88"/>
    <w:rsid w:val="007563D8"/>
    <w:rsid w:val="007564EF"/>
    <w:rsid w:val="0076043D"/>
    <w:rsid w:val="0076130E"/>
    <w:rsid w:val="00764A77"/>
    <w:rsid w:val="00764D6F"/>
    <w:rsid w:val="00781BED"/>
    <w:rsid w:val="00783E5D"/>
    <w:rsid w:val="0078588B"/>
    <w:rsid w:val="0079208E"/>
    <w:rsid w:val="00793277"/>
    <w:rsid w:val="00793C93"/>
    <w:rsid w:val="0079631C"/>
    <w:rsid w:val="007A0A3F"/>
    <w:rsid w:val="007A4532"/>
    <w:rsid w:val="007A6FBF"/>
    <w:rsid w:val="007B277C"/>
    <w:rsid w:val="007C7939"/>
    <w:rsid w:val="007D1682"/>
    <w:rsid w:val="007D30A0"/>
    <w:rsid w:val="007E33B4"/>
    <w:rsid w:val="00813848"/>
    <w:rsid w:val="0081547F"/>
    <w:rsid w:val="008156F0"/>
    <w:rsid w:val="0081602C"/>
    <w:rsid w:val="008179A1"/>
    <w:rsid w:val="00827019"/>
    <w:rsid w:val="00831663"/>
    <w:rsid w:val="00833202"/>
    <w:rsid w:val="0083600D"/>
    <w:rsid w:val="008410FE"/>
    <w:rsid w:val="0085174C"/>
    <w:rsid w:val="00851CC0"/>
    <w:rsid w:val="008615C1"/>
    <w:rsid w:val="008804A8"/>
    <w:rsid w:val="00881410"/>
    <w:rsid w:val="00882E05"/>
    <w:rsid w:val="00887882"/>
    <w:rsid w:val="00890A37"/>
    <w:rsid w:val="0089482D"/>
    <w:rsid w:val="00895030"/>
    <w:rsid w:val="008A2242"/>
    <w:rsid w:val="008B6CF3"/>
    <w:rsid w:val="008B7CE3"/>
    <w:rsid w:val="008C1127"/>
    <w:rsid w:val="008C2486"/>
    <w:rsid w:val="008C50AB"/>
    <w:rsid w:val="008D116B"/>
    <w:rsid w:val="008D5B1B"/>
    <w:rsid w:val="008E2CB2"/>
    <w:rsid w:val="008E35E3"/>
    <w:rsid w:val="008E546A"/>
    <w:rsid w:val="008E6CC8"/>
    <w:rsid w:val="00902FB2"/>
    <w:rsid w:val="00906E1C"/>
    <w:rsid w:val="00921422"/>
    <w:rsid w:val="00925E93"/>
    <w:rsid w:val="00933D94"/>
    <w:rsid w:val="0094347C"/>
    <w:rsid w:val="00944D92"/>
    <w:rsid w:val="00945ECB"/>
    <w:rsid w:val="009549BE"/>
    <w:rsid w:val="00955177"/>
    <w:rsid w:val="00956EFE"/>
    <w:rsid w:val="009571A0"/>
    <w:rsid w:val="0095766D"/>
    <w:rsid w:val="009643B7"/>
    <w:rsid w:val="00965639"/>
    <w:rsid w:val="00976B31"/>
    <w:rsid w:val="00985CF2"/>
    <w:rsid w:val="00987BD7"/>
    <w:rsid w:val="009A0A9D"/>
    <w:rsid w:val="009A6EDB"/>
    <w:rsid w:val="009B0705"/>
    <w:rsid w:val="009C33E8"/>
    <w:rsid w:val="009C5EC5"/>
    <w:rsid w:val="009C6DA8"/>
    <w:rsid w:val="009D41B6"/>
    <w:rsid w:val="009F11C2"/>
    <w:rsid w:val="00A143F1"/>
    <w:rsid w:val="00A21C0C"/>
    <w:rsid w:val="00A250BF"/>
    <w:rsid w:val="00A304EB"/>
    <w:rsid w:val="00A35D1B"/>
    <w:rsid w:val="00A41184"/>
    <w:rsid w:val="00A47A1A"/>
    <w:rsid w:val="00A54897"/>
    <w:rsid w:val="00A56B91"/>
    <w:rsid w:val="00A86EA6"/>
    <w:rsid w:val="00A900FF"/>
    <w:rsid w:val="00A93866"/>
    <w:rsid w:val="00A97386"/>
    <w:rsid w:val="00A97DC2"/>
    <w:rsid w:val="00AB1DEB"/>
    <w:rsid w:val="00AB525F"/>
    <w:rsid w:val="00AB5C7C"/>
    <w:rsid w:val="00AC363F"/>
    <w:rsid w:val="00AD14BC"/>
    <w:rsid w:val="00AD3D63"/>
    <w:rsid w:val="00AD793E"/>
    <w:rsid w:val="00AE707B"/>
    <w:rsid w:val="00B075AB"/>
    <w:rsid w:val="00B27D50"/>
    <w:rsid w:val="00B31A7A"/>
    <w:rsid w:val="00B3294C"/>
    <w:rsid w:val="00B3611F"/>
    <w:rsid w:val="00B475AA"/>
    <w:rsid w:val="00B47721"/>
    <w:rsid w:val="00B52919"/>
    <w:rsid w:val="00B60302"/>
    <w:rsid w:val="00B62467"/>
    <w:rsid w:val="00B70D29"/>
    <w:rsid w:val="00B76D18"/>
    <w:rsid w:val="00B77951"/>
    <w:rsid w:val="00B80455"/>
    <w:rsid w:val="00B83816"/>
    <w:rsid w:val="00B90D2C"/>
    <w:rsid w:val="00B97795"/>
    <w:rsid w:val="00BA0294"/>
    <w:rsid w:val="00BA7AAC"/>
    <w:rsid w:val="00BB05D5"/>
    <w:rsid w:val="00BB135B"/>
    <w:rsid w:val="00BB542E"/>
    <w:rsid w:val="00BC304E"/>
    <w:rsid w:val="00BC5FF3"/>
    <w:rsid w:val="00BD300C"/>
    <w:rsid w:val="00BE2067"/>
    <w:rsid w:val="00BE2ABC"/>
    <w:rsid w:val="00BE59A4"/>
    <w:rsid w:val="00BF06D5"/>
    <w:rsid w:val="00BF73AC"/>
    <w:rsid w:val="00C03FA9"/>
    <w:rsid w:val="00C04BED"/>
    <w:rsid w:val="00C05D05"/>
    <w:rsid w:val="00C115B5"/>
    <w:rsid w:val="00C1221D"/>
    <w:rsid w:val="00C1525D"/>
    <w:rsid w:val="00C21FDF"/>
    <w:rsid w:val="00C27F80"/>
    <w:rsid w:val="00C56683"/>
    <w:rsid w:val="00C602BE"/>
    <w:rsid w:val="00C611B3"/>
    <w:rsid w:val="00C64C2B"/>
    <w:rsid w:val="00C73282"/>
    <w:rsid w:val="00C92D16"/>
    <w:rsid w:val="00CA2333"/>
    <w:rsid w:val="00CA36D1"/>
    <w:rsid w:val="00CA3BDB"/>
    <w:rsid w:val="00CB5A76"/>
    <w:rsid w:val="00CC1A43"/>
    <w:rsid w:val="00CC30D5"/>
    <w:rsid w:val="00CC3C70"/>
    <w:rsid w:val="00CC6DB5"/>
    <w:rsid w:val="00CE3C87"/>
    <w:rsid w:val="00CF0FE8"/>
    <w:rsid w:val="00CF30CB"/>
    <w:rsid w:val="00CF44E4"/>
    <w:rsid w:val="00D1200F"/>
    <w:rsid w:val="00D15407"/>
    <w:rsid w:val="00D163CF"/>
    <w:rsid w:val="00D16603"/>
    <w:rsid w:val="00D20B2A"/>
    <w:rsid w:val="00D315D4"/>
    <w:rsid w:val="00D349A5"/>
    <w:rsid w:val="00D358A4"/>
    <w:rsid w:val="00D35B8B"/>
    <w:rsid w:val="00D4704A"/>
    <w:rsid w:val="00D47231"/>
    <w:rsid w:val="00D62485"/>
    <w:rsid w:val="00D6398B"/>
    <w:rsid w:val="00D66AE8"/>
    <w:rsid w:val="00D71B9D"/>
    <w:rsid w:val="00D72801"/>
    <w:rsid w:val="00D7656B"/>
    <w:rsid w:val="00D77582"/>
    <w:rsid w:val="00D84F77"/>
    <w:rsid w:val="00D8796B"/>
    <w:rsid w:val="00D93E9F"/>
    <w:rsid w:val="00DA2204"/>
    <w:rsid w:val="00DA3496"/>
    <w:rsid w:val="00DA7386"/>
    <w:rsid w:val="00DB5E67"/>
    <w:rsid w:val="00DC1755"/>
    <w:rsid w:val="00DC6E49"/>
    <w:rsid w:val="00DE0587"/>
    <w:rsid w:val="00DE252E"/>
    <w:rsid w:val="00DE3186"/>
    <w:rsid w:val="00DE6B77"/>
    <w:rsid w:val="00DF7D6D"/>
    <w:rsid w:val="00E02F47"/>
    <w:rsid w:val="00E0533F"/>
    <w:rsid w:val="00E061E4"/>
    <w:rsid w:val="00E13E6E"/>
    <w:rsid w:val="00E21EC0"/>
    <w:rsid w:val="00E22DAF"/>
    <w:rsid w:val="00E2616F"/>
    <w:rsid w:val="00E2797C"/>
    <w:rsid w:val="00E378D8"/>
    <w:rsid w:val="00E37D85"/>
    <w:rsid w:val="00E42DCB"/>
    <w:rsid w:val="00E460D8"/>
    <w:rsid w:val="00E57C18"/>
    <w:rsid w:val="00E64244"/>
    <w:rsid w:val="00E6583E"/>
    <w:rsid w:val="00E70BFC"/>
    <w:rsid w:val="00E74514"/>
    <w:rsid w:val="00E76DCA"/>
    <w:rsid w:val="00E828ED"/>
    <w:rsid w:val="00E8665D"/>
    <w:rsid w:val="00E875D4"/>
    <w:rsid w:val="00EA0885"/>
    <w:rsid w:val="00EB42C7"/>
    <w:rsid w:val="00EB5383"/>
    <w:rsid w:val="00EB67D8"/>
    <w:rsid w:val="00EC300B"/>
    <w:rsid w:val="00EC46D8"/>
    <w:rsid w:val="00EC551F"/>
    <w:rsid w:val="00ED22B7"/>
    <w:rsid w:val="00EE7105"/>
    <w:rsid w:val="00F00092"/>
    <w:rsid w:val="00F16FDD"/>
    <w:rsid w:val="00F20BB8"/>
    <w:rsid w:val="00F22DC9"/>
    <w:rsid w:val="00F30066"/>
    <w:rsid w:val="00F43279"/>
    <w:rsid w:val="00F4437B"/>
    <w:rsid w:val="00F530AD"/>
    <w:rsid w:val="00F565FC"/>
    <w:rsid w:val="00F708A3"/>
    <w:rsid w:val="00F73806"/>
    <w:rsid w:val="00F822F6"/>
    <w:rsid w:val="00F85AA4"/>
    <w:rsid w:val="00F92602"/>
    <w:rsid w:val="00F945BA"/>
    <w:rsid w:val="00FA4496"/>
    <w:rsid w:val="00FA6993"/>
    <w:rsid w:val="00FB3E90"/>
    <w:rsid w:val="00FC0A33"/>
    <w:rsid w:val="00FC0D43"/>
    <w:rsid w:val="00FC75A4"/>
    <w:rsid w:val="00FD3CC4"/>
    <w:rsid w:val="00FD6179"/>
    <w:rsid w:val="00FD74FD"/>
    <w:rsid w:val="00FD7646"/>
    <w:rsid w:val="00FE2FC8"/>
    <w:rsid w:val="00FE4641"/>
    <w:rsid w:val="00FE4B20"/>
    <w:rsid w:val="00FF01DB"/>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Dot pt,Párrafo de lista1,List Paragraph12,MAIN CONTENT,List Paragraph2,List Paragraph1,Recommendation,List Paragraph11,F5 List Paragraph,List Paragraph Char Char Char,Indicator Text"/>
    <w:basedOn w:val="Normal"/>
    <w:link w:val="ListParagraphChar"/>
    <w:uiPriority w:val="34"/>
    <w:qFormat/>
    <w:rsid w:val="00933D94"/>
    <w:pPr>
      <w:ind w:left="720"/>
      <w:contextualSpacing/>
    </w:pPr>
  </w:style>
  <w:style w:type="paragraph" w:customStyle="1" w:styleId="Default">
    <w:name w:val="Default"/>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rPr>
      <w:lang w:val="en-US"/>
    </w:r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10"/>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Dot pt Char,Párrafo de lista1 Char,List Paragraph12 Char,MAIN CONTENT Char,List Paragraph2 Char,List Paragraph1 Char,Recommendation Char,List Paragraph11 Char,F5 List Paragraph Char,List Paragraph Char Char Char Char"/>
    <w:link w:val="ListParagraph"/>
    <w:uiPriority w:val="34"/>
    <w:qFormat/>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E460D8"/>
    <w:pPr>
      <w:widowControl w:val="0"/>
      <w:spacing w:after="200" w:line="288" w:lineRule="auto"/>
      <w:ind w:left="3" w:hanging="440"/>
    </w:pPr>
    <w:rPr>
      <w:rFonts w:eastAsiaTheme="minorEastAsia"/>
      <w:sz w:val="21"/>
      <w:szCs w:val="21"/>
      <w:lang w:val="en-US"/>
    </w:rPr>
  </w:style>
  <w:style w:type="character" w:customStyle="1" w:styleId="BodyTextChar">
    <w:name w:val="Body Text Char"/>
    <w:basedOn w:val="DefaultParagraphFont"/>
    <w:link w:val="BodyText"/>
    <w:uiPriority w:val="99"/>
    <w:semiHidden/>
    <w:rsid w:val="00E460D8"/>
    <w:rPr>
      <w:rFonts w:eastAsiaTheme="minorEastAsia"/>
      <w:sz w:val="21"/>
      <w:szCs w:val="21"/>
      <w:lang w:val="en-U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lang w:val="en-US"/>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lang w:val="en-US"/>
    </w:rPr>
  </w:style>
  <w:style w:type="paragraph" w:styleId="TOC1">
    <w:name w:val="toc 1"/>
    <w:basedOn w:val="Normal"/>
    <w:next w:val="Normal"/>
    <w:autoRedefine/>
    <w:uiPriority w:val="99"/>
    <w:unhideWhenUsed/>
    <w:rsid w:val="00E460D8"/>
    <w:pPr>
      <w:spacing w:after="100"/>
    </w:pPr>
    <w:rPr>
      <w:rFonts w:eastAsiaTheme="minorEastAsia"/>
      <w:sz w:val="21"/>
      <w:szCs w:val="21"/>
      <w:lang w:val="en-US"/>
    </w:rPr>
  </w:style>
  <w:style w:type="paragraph" w:styleId="TOC3">
    <w:name w:val="toc 3"/>
    <w:basedOn w:val="Normal"/>
    <w:next w:val="Normal"/>
    <w:autoRedefine/>
    <w:uiPriority w:val="39"/>
    <w:unhideWhenUsed/>
    <w:rsid w:val="00E460D8"/>
    <w:pPr>
      <w:spacing w:after="100"/>
      <w:ind w:left="440"/>
    </w:pPr>
    <w:rPr>
      <w:rFonts w:eastAsiaTheme="minorEastAsia"/>
      <w:sz w:val="21"/>
      <w:szCs w:val="21"/>
      <w:lang w:val="en-US"/>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lang w:val="en-US"/>
    </w:rPr>
  </w:style>
  <w:style w:type="character" w:customStyle="1" w:styleId="actiongtChar">
    <w:name w:val="actiongt Char"/>
    <w:link w:val="actiongt"/>
    <w:rsid w:val="003C32B7"/>
    <w:rPr>
      <w:rFonts w:ascii="Garamond" w:eastAsia="Batang" w:hAnsi="Garamond" w:cs="Garamond"/>
      <w:noProof/>
      <w:shd w:val="clear" w:color="auto" w:fill="E6E6E6"/>
      <w:lang w:val="en-U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lang w:val="en-US"/>
    </w:rPr>
  </w:style>
  <w:style w:type="character" w:customStyle="1" w:styleId="actionnogtChar">
    <w:name w:val="actionnogt Char"/>
    <w:link w:val="actionnogt"/>
    <w:rsid w:val="003C32B7"/>
    <w:rPr>
      <w:rFonts w:ascii="Garamond" w:eastAsia="Batang" w:hAnsi="Garamond" w:cs="Garamond"/>
      <w:noProof/>
      <w:lang w:val="en-U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lang w:val="en-US"/>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lang w:val="en-US"/>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n-U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n-U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n-U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lang w:val="en-US"/>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n-U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lang w:val="en-US"/>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lang w:val="en-US"/>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lang w:val="en-US"/>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lang w:val="en-US"/>
    </w:rPr>
  </w:style>
  <w:style w:type="paragraph" w:styleId="ListBullet">
    <w:name w:val="List Bullet"/>
    <w:basedOn w:val="Normal"/>
    <w:uiPriority w:val="99"/>
    <w:rsid w:val="003C32B7"/>
    <w:pPr>
      <w:numPr>
        <w:numId w:val="37"/>
      </w:numPr>
      <w:spacing w:after="0" w:line="240" w:lineRule="auto"/>
      <w:contextualSpacing/>
    </w:pPr>
    <w:rPr>
      <w:rFonts w:ascii="Garamond" w:eastAsia="Batang" w:hAnsi="Garamond" w:cs="Garamond"/>
      <w:sz w:val="24"/>
      <w:szCs w:val="24"/>
      <w:lang w:val="en-US"/>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lang w:val="en-US"/>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n-U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lang w:val="en-US"/>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n-US"/>
    </w:rPr>
  </w:style>
  <w:style w:type="character" w:customStyle="1" w:styleId="EmphasisblockChar">
    <w:name w:val="Emphasis block Char"/>
    <w:link w:val="Emphasisblock"/>
    <w:rsid w:val="003C32B7"/>
    <w:rPr>
      <w:rFonts w:ascii="Calibri" w:eastAsia="Batang" w:hAnsi="Calibri" w:cs="Garamond"/>
      <w:b/>
      <w:i/>
      <w:sz w:val="24"/>
      <w:szCs w:val="24"/>
      <w:lang w:val="en-U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lang w:val="en-US"/>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38"/>
      </w:numPr>
      <w:tabs>
        <w:tab w:val="left" w:pos="567"/>
      </w:tabs>
      <w:spacing w:before="120" w:after="80" w:line="240" w:lineRule="auto"/>
      <w:ind w:left="357" w:hanging="357"/>
    </w:pPr>
    <w:rPr>
      <w:rFonts w:ascii="Garamond" w:eastAsia="Times New Roman" w:hAnsi="Garamond" w:cs="Times New Roman"/>
      <w:b/>
      <w:color w:val="000000"/>
      <w:sz w:val="28"/>
      <w:szCs w:val="28"/>
      <w:lang w:val="en-US"/>
    </w:rPr>
  </w:style>
  <w:style w:type="paragraph" w:customStyle="1" w:styleId="NRFTitle2">
    <w:name w:val="NRF Title2"/>
    <w:basedOn w:val="Normal"/>
    <w:next w:val="Normal"/>
    <w:uiPriority w:val="99"/>
    <w:rsid w:val="003C32B7"/>
    <w:pPr>
      <w:numPr>
        <w:ilvl w:val="1"/>
        <w:numId w:val="38"/>
      </w:numPr>
      <w:tabs>
        <w:tab w:val="left" w:pos="567"/>
      </w:tabs>
      <w:spacing w:before="120" w:after="80" w:line="240" w:lineRule="auto"/>
    </w:pPr>
    <w:rPr>
      <w:rFonts w:ascii="Garamond" w:eastAsia="Times New Roman" w:hAnsi="Garamond" w:cs="Times New Roman"/>
      <w:b/>
      <w:snapToGrid w:val="0"/>
      <w:color w:val="000000"/>
      <w:sz w:val="24"/>
      <w:szCs w:val="24"/>
      <w:lang w:val="en-US"/>
    </w:rPr>
  </w:style>
  <w:style w:type="paragraph" w:customStyle="1" w:styleId="NRFTitle3">
    <w:name w:val="NRF Title3"/>
    <w:basedOn w:val="Normal"/>
    <w:next w:val="Normal"/>
    <w:uiPriority w:val="99"/>
    <w:rsid w:val="003C32B7"/>
    <w:pPr>
      <w:numPr>
        <w:ilvl w:val="2"/>
        <w:numId w:val="38"/>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lang w:val="en-US"/>
    </w:rPr>
  </w:style>
  <w:style w:type="character" w:customStyle="1" w:styleId="size">
    <w:name w:val="size"/>
    <w:basedOn w:val="DefaultParagraphFont"/>
    <w:rsid w:val="0007746C"/>
  </w:style>
  <w:style w:type="character" w:styleId="UnresolvedMention">
    <w:name w:val="Unresolved Mention"/>
    <w:basedOn w:val="DefaultParagraphFont"/>
    <w:uiPriority w:val="99"/>
    <w:semiHidden/>
    <w:unhideWhenUsed/>
    <w:rsid w:val="0067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2944967">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sites/default/files/2023-09/SC62_com1_rev2_Report_Subgroup_on_finance_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5" ma:contentTypeDescription="Create a new document." ma:contentTypeScope="" ma:versionID="edb5a81cb33a773fd150dd174133c22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3d13f0ae6bc4881104d4d0908c0caaea"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7866-C018-4382-B8A4-529785C9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B1341-9A43-4D56-A22D-27730D8BDC44}">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8c0b6b05-eb82-4bda-97e8-cd82d0d6b453"/>
    <ds:schemaRef ds:uri="http://schemas.microsoft.com/office/2006/metadata/properties"/>
    <ds:schemaRef ds:uri="http://schemas.microsoft.com/office/infopath/2007/PartnerControls"/>
    <ds:schemaRef ds:uri="aedd258d-19a7-41ba-8260-b0918f25313d"/>
    <ds:schemaRef ds:uri="http://www.w3.org/XML/1998/namespace"/>
  </ds:schemaRefs>
</ds:datastoreItem>
</file>

<file path=customXml/itemProps3.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4.xml><?xml version="1.0" encoding="utf-8"?>
<ds:datastoreItem xmlns:ds="http://schemas.openxmlformats.org/officeDocument/2006/customXml" ds:itemID="{0AAAD989-2A84-4E28-929F-88A42DE7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12223</Words>
  <Characters>69672</Characters>
  <Application>Microsoft Office Word</Application>
  <DocSecurity>0</DocSecurity>
  <Lines>580</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81732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cp:lastPrinted>2019-06-25T19:33:00Z</cp:lastPrinted>
  <dcterms:created xsi:type="dcterms:W3CDTF">2023-09-25T14:11:00Z</dcterms:created>
  <dcterms:modified xsi:type="dcterms:W3CDTF">2023-10-19T15:31:00Z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