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E53" w14:textId="25CDAF9A" w:rsidR="00135706" w:rsidRPr="00427FB6" w:rsidRDefault="00AD5297" w:rsidP="009849E4">
      <w:pPr>
        <w:pBdr>
          <w:top w:val="single" w:sz="12" w:space="0" w:color="auto" w:shadow="1"/>
          <w:left w:val="single" w:sz="12" w:space="4" w:color="auto" w:shadow="1"/>
          <w:bottom w:val="single" w:sz="12" w:space="1" w:color="auto" w:shadow="1"/>
          <w:right w:val="single" w:sz="12" w:space="0" w:color="auto" w:shadow="1"/>
        </w:pBdr>
        <w:spacing w:after="0" w:line="240" w:lineRule="auto"/>
        <w:ind w:right="4348"/>
        <w:jc w:val="both"/>
        <w:rPr>
          <w:rFonts w:cstheme="minorHAnsi"/>
          <w:bCs/>
          <w:noProof/>
          <w:lang w:val="es-ES"/>
        </w:rPr>
      </w:pPr>
      <w:r w:rsidRPr="00427FB6">
        <w:rPr>
          <w:rFonts w:cstheme="minorHAnsi"/>
          <w:bCs/>
          <w:noProof/>
          <w:lang w:val="es-ES"/>
        </w:rPr>
        <w:t>LA CONVENCIÓN SOBRE LOS HUMEDALES</w:t>
      </w:r>
    </w:p>
    <w:p w14:paraId="4293AE14" w14:textId="216BC50A" w:rsidR="00135706" w:rsidRPr="00427FB6" w:rsidRDefault="00214C25" w:rsidP="009849E4">
      <w:pPr>
        <w:pBdr>
          <w:top w:val="single" w:sz="12" w:space="0" w:color="auto" w:shadow="1"/>
          <w:left w:val="single" w:sz="12" w:space="4" w:color="auto" w:shadow="1"/>
          <w:bottom w:val="single" w:sz="12" w:space="1" w:color="auto" w:shadow="1"/>
          <w:right w:val="single" w:sz="12" w:space="0" w:color="auto" w:shadow="1"/>
        </w:pBdr>
        <w:spacing w:after="0" w:line="240" w:lineRule="auto"/>
        <w:ind w:right="4348"/>
        <w:jc w:val="both"/>
        <w:rPr>
          <w:rFonts w:cstheme="minorHAnsi"/>
          <w:bCs/>
          <w:noProof/>
          <w:lang w:val="es-ES"/>
        </w:rPr>
      </w:pPr>
      <w:r w:rsidRPr="00427FB6">
        <w:rPr>
          <w:rFonts w:cstheme="minorHAnsi"/>
          <w:bCs/>
          <w:noProof/>
          <w:lang w:val="es-ES"/>
        </w:rPr>
        <w:t>62</w:t>
      </w:r>
      <w:r w:rsidR="00AD5297" w:rsidRPr="00427FB6">
        <w:rPr>
          <w:rFonts w:cstheme="minorHAnsi"/>
          <w:bCs/>
          <w:noProof/>
          <w:color w:val="000000" w:themeColor="text1"/>
          <w:lang w:val="es-ES"/>
        </w:rPr>
        <w:t>ª</w:t>
      </w:r>
      <w:r w:rsidR="00AD5297" w:rsidRPr="00427FB6" w:rsidDel="00AD5297">
        <w:rPr>
          <w:rFonts w:cstheme="minorHAnsi"/>
          <w:bCs/>
          <w:noProof/>
          <w:lang w:val="es-ES"/>
        </w:rPr>
        <w:t xml:space="preserve"> </w:t>
      </w:r>
      <w:r w:rsidR="00AD5297" w:rsidRPr="00427FB6">
        <w:rPr>
          <w:rFonts w:cstheme="minorHAnsi"/>
          <w:bCs/>
          <w:noProof/>
          <w:lang w:val="es-ES"/>
        </w:rPr>
        <w:t>reunión del Comité Permanente</w:t>
      </w:r>
    </w:p>
    <w:p w14:paraId="368A0CB5" w14:textId="6687930A" w:rsidR="00135706" w:rsidRPr="00427FB6" w:rsidRDefault="00135706" w:rsidP="009849E4">
      <w:pPr>
        <w:pBdr>
          <w:top w:val="single" w:sz="12" w:space="0" w:color="auto" w:shadow="1"/>
          <w:left w:val="single" w:sz="12" w:space="4" w:color="auto" w:shadow="1"/>
          <w:bottom w:val="single" w:sz="12" w:space="1" w:color="auto" w:shadow="1"/>
          <w:right w:val="single" w:sz="12" w:space="0" w:color="auto" w:shadow="1"/>
        </w:pBdr>
        <w:spacing w:after="0" w:line="240" w:lineRule="auto"/>
        <w:ind w:right="4348"/>
        <w:jc w:val="both"/>
        <w:rPr>
          <w:rFonts w:cstheme="minorHAnsi"/>
          <w:bCs/>
          <w:noProof/>
          <w:lang w:val="es-ES"/>
        </w:rPr>
      </w:pPr>
      <w:r w:rsidRPr="00427FB6">
        <w:rPr>
          <w:rFonts w:cstheme="minorHAnsi"/>
          <w:bCs/>
          <w:noProof/>
          <w:lang w:val="es-ES"/>
        </w:rPr>
        <w:t xml:space="preserve">Gland, </w:t>
      </w:r>
      <w:r w:rsidR="00AD5297" w:rsidRPr="00427FB6">
        <w:rPr>
          <w:rFonts w:cstheme="minorHAnsi"/>
          <w:bCs/>
          <w:noProof/>
          <w:lang w:val="es-ES"/>
        </w:rPr>
        <w:t>Suiza</w:t>
      </w:r>
      <w:r w:rsidRPr="00427FB6">
        <w:rPr>
          <w:rFonts w:cstheme="minorHAnsi"/>
          <w:bCs/>
          <w:noProof/>
          <w:lang w:val="es-ES"/>
        </w:rPr>
        <w:t xml:space="preserve">, </w:t>
      </w:r>
      <w:r w:rsidR="00214C25" w:rsidRPr="00427FB6">
        <w:rPr>
          <w:rFonts w:cstheme="minorHAnsi"/>
          <w:bCs/>
          <w:noProof/>
          <w:lang w:val="es-ES"/>
        </w:rPr>
        <w:t>4</w:t>
      </w:r>
      <w:r w:rsidRPr="00427FB6">
        <w:rPr>
          <w:rFonts w:cstheme="minorHAnsi"/>
          <w:bCs/>
          <w:noProof/>
          <w:lang w:val="es-ES"/>
        </w:rPr>
        <w:t xml:space="preserve"> </w:t>
      </w:r>
      <w:r w:rsidR="00AD5297" w:rsidRPr="00427FB6">
        <w:rPr>
          <w:rFonts w:cstheme="minorHAnsi"/>
          <w:bCs/>
          <w:noProof/>
          <w:lang w:val="es-ES"/>
        </w:rPr>
        <w:t xml:space="preserve">a </w:t>
      </w:r>
      <w:r w:rsidR="00214C25" w:rsidRPr="00427FB6">
        <w:rPr>
          <w:rFonts w:cstheme="minorHAnsi"/>
          <w:bCs/>
          <w:noProof/>
          <w:lang w:val="es-ES"/>
        </w:rPr>
        <w:t xml:space="preserve">8 </w:t>
      </w:r>
      <w:r w:rsidR="00AD5297" w:rsidRPr="00427FB6">
        <w:rPr>
          <w:rFonts w:cstheme="minorHAnsi"/>
          <w:bCs/>
          <w:noProof/>
          <w:lang w:val="es-ES"/>
        </w:rPr>
        <w:t xml:space="preserve">de septiembre de </w:t>
      </w:r>
      <w:r w:rsidR="00D84F77" w:rsidRPr="00427FB6">
        <w:rPr>
          <w:rFonts w:cstheme="minorHAnsi"/>
          <w:bCs/>
          <w:noProof/>
          <w:lang w:val="es-ES"/>
        </w:rPr>
        <w:t>20</w:t>
      </w:r>
      <w:r w:rsidR="00EB5383" w:rsidRPr="00427FB6">
        <w:rPr>
          <w:rFonts w:cstheme="minorHAnsi"/>
          <w:bCs/>
          <w:noProof/>
          <w:lang w:val="es-ES"/>
        </w:rPr>
        <w:t>2</w:t>
      </w:r>
      <w:r w:rsidR="00214C25" w:rsidRPr="00427FB6">
        <w:rPr>
          <w:rFonts w:cstheme="minorHAnsi"/>
          <w:bCs/>
          <w:noProof/>
          <w:lang w:val="es-ES"/>
        </w:rPr>
        <w:t>3</w:t>
      </w:r>
    </w:p>
    <w:p w14:paraId="18B91B93" w14:textId="77777777" w:rsidR="00135706" w:rsidRPr="00427FB6" w:rsidRDefault="00135706" w:rsidP="009849E4">
      <w:pPr>
        <w:spacing w:after="0" w:line="240" w:lineRule="auto"/>
        <w:rPr>
          <w:rFonts w:cstheme="minorHAnsi"/>
          <w:b/>
          <w:noProof/>
          <w:sz w:val="28"/>
          <w:szCs w:val="28"/>
          <w:lang w:val="es-ES"/>
        </w:rPr>
      </w:pPr>
    </w:p>
    <w:p w14:paraId="6095F09B" w14:textId="77777777" w:rsidR="00584301" w:rsidRPr="00427FB6" w:rsidRDefault="00584301" w:rsidP="009849E4">
      <w:pPr>
        <w:spacing w:after="0" w:line="240" w:lineRule="auto"/>
        <w:jc w:val="center"/>
        <w:rPr>
          <w:rFonts w:cstheme="minorHAnsi"/>
          <w:b/>
          <w:noProof/>
          <w:sz w:val="28"/>
          <w:szCs w:val="28"/>
          <w:lang w:val="es-ES"/>
        </w:rPr>
      </w:pPr>
    </w:p>
    <w:p w14:paraId="5257FC83" w14:textId="238BC2D5" w:rsidR="00AD5297" w:rsidRPr="00427FB6" w:rsidRDefault="003E31F6" w:rsidP="009849E4">
      <w:pPr>
        <w:spacing w:after="0" w:line="240" w:lineRule="auto"/>
        <w:jc w:val="center"/>
        <w:rPr>
          <w:rFonts w:cstheme="minorHAnsi"/>
          <w:b/>
          <w:noProof/>
          <w:sz w:val="28"/>
          <w:szCs w:val="28"/>
          <w:lang w:val="es-ES"/>
        </w:rPr>
      </w:pPr>
      <w:r>
        <w:rPr>
          <w:rFonts w:cstheme="minorHAnsi"/>
          <w:b/>
          <w:noProof/>
          <w:sz w:val="28"/>
          <w:szCs w:val="28"/>
          <w:lang w:val="es-ES"/>
        </w:rPr>
        <w:t>D</w:t>
      </w:r>
      <w:r w:rsidR="00AD5297" w:rsidRPr="00427FB6">
        <w:rPr>
          <w:rFonts w:cstheme="minorHAnsi"/>
          <w:b/>
          <w:noProof/>
          <w:sz w:val="28"/>
          <w:szCs w:val="28"/>
          <w:lang w:val="es-ES"/>
        </w:rPr>
        <w:t>ecisiones de la 62ª reunión del Comité Permanente</w:t>
      </w:r>
    </w:p>
    <w:p w14:paraId="50D567FE" w14:textId="77777777" w:rsidR="00135706" w:rsidRPr="00427FB6" w:rsidRDefault="00135706" w:rsidP="009849E4">
      <w:pPr>
        <w:spacing w:after="0" w:line="240" w:lineRule="auto"/>
        <w:outlineLvl w:val="0"/>
        <w:rPr>
          <w:rFonts w:cstheme="minorHAnsi"/>
          <w:b/>
          <w:noProof/>
          <w:lang w:val="es-ES"/>
        </w:rPr>
      </w:pPr>
    </w:p>
    <w:p w14:paraId="1443B404" w14:textId="15903A70" w:rsidR="00D84F77" w:rsidRDefault="00D84F77" w:rsidP="009849E4">
      <w:pPr>
        <w:spacing w:after="0" w:line="240" w:lineRule="auto"/>
        <w:rPr>
          <w:rFonts w:cstheme="minorHAnsi"/>
          <w:b/>
          <w:noProof/>
          <w:lang w:val="es-ES"/>
        </w:rPr>
      </w:pPr>
    </w:p>
    <w:p w14:paraId="5AEF11C4" w14:textId="0B0C5A27" w:rsidR="005D5335" w:rsidRPr="00144393"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2 del orden del día: </w:t>
      </w:r>
      <w:r w:rsidR="00A7411C" w:rsidRPr="00427FB6">
        <w:rPr>
          <w:rFonts w:cstheme="minorHAnsi"/>
          <w:bCs/>
          <w:noProof/>
          <w:lang w:val="es-ES"/>
        </w:rPr>
        <w:t>Aprobación del orden del día provisional</w:t>
      </w:r>
    </w:p>
    <w:p w14:paraId="23106B31" w14:textId="77777777" w:rsidR="00144393" w:rsidRPr="00427FB6" w:rsidRDefault="00144393" w:rsidP="009849E4">
      <w:pPr>
        <w:spacing w:after="0" w:line="240" w:lineRule="auto"/>
        <w:ind w:left="567" w:hanging="567"/>
        <w:rPr>
          <w:rFonts w:cstheme="minorHAnsi"/>
          <w:noProof/>
          <w:lang w:val="es-ES"/>
        </w:rPr>
      </w:pPr>
    </w:p>
    <w:p w14:paraId="26F26CC8" w14:textId="67EFBA09" w:rsidR="005F4C17" w:rsidRPr="00427FB6" w:rsidRDefault="0017411A" w:rsidP="009849E4">
      <w:pPr>
        <w:spacing w:after="0" w:line="240" w:lineRule="auto"/>
        <w:rPr>
          <w:noProof/>
          <w:lang w:val="es-ES"/>
        </w:rPr>
      </w:pPr>
      <w:r w:rsidRPr="00427FB6">
        <w:rPr>
          <w:rFonts w:cstheme="minorHAnsi"/>
          <w:b/>
          <w:noProof/>
          <w:lang w:val="es-ES"/>
        </w:rPr>
        <w:t>Decisi</w:t>
      </w:r>
      <w:r w:rsidR="004D350D" w:rsidRPr="00427FB6">
        <w:rPr>
          <w:rFonts w:cstheme="minorHAnsi"/>
          <w:b/>
          <w:noProof/>
          <w:lang w:val="es-ES"/>
        </w:rPr>
        <w:t>ó</w:t>
      </w:r>
      <w:r w:rsidRPr="00427FB6">
        <w:rPr>
          <w:rFonts w:cstheme="minorHAnsi"/>
          <w:b/>
          <w:noProof/>
          <w:lang w:val="es-ES"/>
        </w:rPr>
        <w:t>n SC</w:t>
      </w:r>
      <w:r w:rsidR="0035175C" w:rsidRPr="00427FB6">
        <w:rPr>
          <w:rFonts w:cstheme="minorHAnsi"/>
          <w:b/>
          <w:noProof/>
          <w:lang w:val="es-ES"/>
        </w:rPr>
        <w:t>62</w:t>
      </w:r>
      <w:r w:rsidRPr="00427FB6">
        <w:rPr>
          <w:rFonts w:cstheme="minorHAnsi"/>
          <w:b/>
          <w:noProof/>
          <w:lang w:val="es-ES"/>
        </w:rPr>
        <w:t xml:space="preserve">-01: </w:t>
      </w:r>
      <w:r w:rsidR="004D350D" w:rsidRPr="00427FB6">
        <w:rPr>
          <w:rFonts w:cstheme="minorHAnsi"/>
          <w:b/>
          <w:noProof/>
          <w:lang w:val="es-ES"/>
        </w:rPr>
        <w:t xml:space="preserve">El Comité Permanente aprobó </w:t>
      </w:r>
      <w:r w:rsidR="00295795" w:rsidRPr="00427FB6">
        <w:rPr>
          <w:rFonts w:cstheme="minorHAnsi"/>
          <w:b/>
          <w:noProof/>
          <w:lang w:val="es-ES"/>
        </w:rPr>
        <w:t>el orden del día provisional</w:t>
      </w:r>
      <w:r w:rsidR="004D350D" w:rsidRPr="00427FB6">
        <w:rPr>
          <w:rFonts w:cstheme="minorHAnsi"/>
          <w:b/>
          <w:noProof/>
          <w:lang w:val="es-ES"/>
        </w:rPr>
        <w:t xml:space="preserve"> que figura en el documento </w:t>
      </w:r>
      <w:r w:rsidR="005F4C17" w:rsidRPr="00427FB6">
        <w:rPr>
          <w:rFonts w:cstheme="minorHAnsi"/>
          <w:b/>
          <w:noProof/>
          <w:lang w:val="es-ES"/>
        </w:rPr>
        <w:t>SC</w:t>
      </w:r>
      <w:r w:rsidR="0035175C" w:rsidRPr="00427FB6">
        <w:rPr>
          <w:rFonts w:cstheme="minorHAnsi"/>
          <w:b/>
          <w:noProof/>
          <w:lang w:val="es-ES"/>
        </w:rPr>
        <w:t>62</w:t>
      </w:r>
      <w:r w:rsidR="005F4C17" w:rsidRPr="00427FB6">
        <w:rPr>
          <w:rFonts w:cstheme="minorHAnsi"/>
          <w:b/>
          <w:noProof/>
          <w:lang w:val="es-ES"/>
        </w:rPr>
        <w:t xml:space="preserve"> Doc.2 Rev.1</w:t>
      </w:r>
      <w:r w:rsidR="0035175C" w:rsidRPr="00427FB6">
        <w:rPr>
          <w:rFonts w:cstheme="minorHAnsi"/>
          <w:b/>
          <w:noProof/>
          <w:lang w:val="es-ES"/>
        </w:rPr>
        <w:t>.</w:t>
      </w:r>
    </w:p>
    <w:p w14:paraId="12FD1027" w14:textId="77777777" w:rsidR="0017411A" w:rsidRPr="00427FB6" w:rsidRDefault="0017411A" w:rsidP="009849E4">
      <w:pPr>
        <w:tabs>
          <w:tab w:val="left" w:pos="720"/>
          <w:tab w:val="center" w:pos="4680"/>
        </w:tabs>
        <w:spacing w:after="0" w:line="240" w:lineRule="auto"/>
        <w:contextualSpacing/>
        <w:rPr>
          <w:rFonts w:cstheme="minorHAnsi"/>
          <w:noProof/>
          <w:lang w:val="es-ES"/>
        </w:rPr>
      </w:pPr>
    </w:p>
    <w:p w14:paraId="1161549B" w14:textId="6D869918" w:rsidR="0024341A"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3 del orden del día: </w:t>
      </w:r>
      <w:r w:rsidR="00A7411C" w:rsidRPr="00427FB6">
        <w:rPr>
          <w:rFonts w:cstheme="minorHAnsi"/>
          <w:bCs/>
          <w:noProof/>
          <w:lang w:val="es-ES"/>
        </w:rPr>
        <w:t>Aprobación del programa de trabajo provisional</w:t>
      </w:r>
    </w:p>
    <w:p w14:paraId="608C2DF1" w14:textId="77777777" w:rsidR="005F4C17" w:rsidRPr="00427FB6" w:rsidRDefault="005F4C17" w:rsidP="009849E4">
      <w:pPr>
        <w:spacing w:after="0" w:line="240" w:lineRule="auto"/>
        <w:rPr>
          <w:noProof/>
          <w:lang w:val="es-ES"/>
        </w:rPr>
      </w:pPr>
    </w:p>
    <w:p w14:paraId="289110D7" w14:textId="566E2897" w:rsidR="005F4C17" w:rsidRPr="00427FB6" w:rsidRDefault="005F4C17" w:rsidP="009849E4">
      <w:pPr>
        <w:spacing w:after="0" w:line="240" w:lineRule="auto"/>
        <w:rPr>
          <w:noProof/>
          <w:lang w:val="es-ES"/>
        </w:rPr>
      </w:pPr>
      <w:r w:rsidRPr="00427FB6">
        <w:rPr>
          <w:rFonts w:cstheme="minorHAnsi"/>
          <w:b/>
          <w:noProof/>
          <w:lang w:val="es-ES"/>
        </w:rPr>
        <w:t>Decisi</w:t>
      </w:r>
      <w:r w:rsidR="004D350D" w:rsidRPr="00427FB6">
        <w:rPr>
          <w:rFonts w:cstheme="minorHAnsi"/>
          <w:b/>
          <w:noProof/>
          <w:lang w:val="es-ES"/>
        </w:rPr>
        <w:t>ó</w:t>
      </w:r>
      <w:r w:rsidRPr="00427FB6">
        <w:rPr>
          <w:rFonts w:cstheme="minorHAnsi"/>
          <w:b/>
          <w:noProof/>
          <w:lang w:val="es-ES"/>
        </w:rPr>
        <w:t>n SC</w:t>
      </w:r>
      <w:r w:rsidR="0035175C" w:rsidRPr="00427FB6">
        <w:rPr>
          <w:rFonts w:cstheme="minorHAnsi"/>
          <w:b/>
          <w:noProof/>
          <w:lang w:val="es-ES"/>
        </w:rPr>
        <w:t>62</w:t>
      </w:r>
      <w:r w:rsidRPr="00427FB6">
        <w:rPr>
          <w:rFonts w:cstheme="minorHAnsi"/>
          <w:b/>
          <w:noProof/>
          <w:lang w:val="es-ES"/>
        </w:rPr>
        <w:t xml:space="preserve">-02: </w:t>
      </w:r>
      <w:r w:rsidR="004D350D" w:rsidRPr="00427FB6">
        <w:rPr>
          <w:rFonts w:cstheme="minorHAnsi"/>
          <w:b/>
          <w:noProof/>
          <w:lang w:val="es-ES"/>
        </w:rPr>
        <w:t xml:space="preserve">El Comité Permanente aprobó </w:t>
      </w:r>
      <w:r w:rsidR="004D350D" w:rsidRPr="00427FB6">
        <w:rPr>
          <w:rFonts w:eastAsia="Calibri" w:cstheme="minorHAnsi"/>
          <w:b/>
          <w:noProof/>
          <w:lang w:val="es-ES"/>
        </w:rPr>
        <w:t>el programa de trabajo provisional</w:t>
      </w:r>
      <w:r w:rsidR="004D350D" w:rsidRPr="00427FB6">
        <w:rPr>
          <w:rFonts w:eastAsia="Calibri" w:cstheme="minorHAnsi"/>
          <w:bCs/>
          <w:noProof/>
          <w:lang w:val="es-ES"/>
        </w:rPr>
        <w:t xml:space="preserve"> </w:t>
      </w:r>
      <w:r w:rsidR="004D350D" w:rsidRPr="00427FB6">
        <w:rPr>
          <w:rFonts w:cstheme="minorHAnsi"/>
          <w:b/>
          <w:noProof/>
          <w:lang w:val="es-ES"/>
        </w:rPr>
        <w:t>que figura en el</w:t>
      </w:r>
      <w:r w:rsidRPr="00427FB6">
        <w:rPr>
          <w:rFonts w:cstheme="minorHAnsi"/>
          <w:b/>
          <w:noProof/>
          <w:lang w:val="es-ES"/>
        </w:rPr>
        <w:t xml:space="preserve"> document</w:t>
      </w:r>
      <w:r w:rsidR="004D350D" w:rsidRPr="00427FB6">
        <w:rPr>
          <w:rFonts w:cstheme="minorHAnsi"/>
          <w:b/>
          <w:noProof/>
          <w:lang w:val="es-ES"/>
        </w:rPr>
        <w:t>o</w:t>
      </w:r>
      <w:r w:rsidRPr="00427FB6">
        <w:rPr>
          <w:rFonts w:cstheme="minorHAnsi"/>
          <w:b/>
          <w:noProof/>
          <w:lang w:val="es-ES"/>
        </w:rPr>
        <w:t xml:space="preserve"> SC</w:t>
      </w:r>
      <w:r w:rsidR="0035175C" w:rsidRPr="00427FB6">
        <w:rPr>
          <w:rFonts w:cstheme="minorHAnsi"/>
          <w:b/>
          <w:noProof/>
          <w:lang w:val="es-ES"/>
        </w:rPr>
        <w:t>62</w:t>
      </w:r>
      <w:r w:rsidRPr="00427FB6">
        <w:rPr>
          <w:rFonts w:cstheme="minorHAnsi"/>
          <w:b/>
          <w:noProof/>
          <w:lang w:val="es-ES"/>
        </w:rPr>
        <w:t xml:space="preserve"> Doc.3</w:t>
      </w:r>
      <w:r w:rsidR="0035175C" w:rsidRPr="00427FB6">
        <w:rPr>
          <w:rFonts w:cstheme="minorHAnsi"/>
          <w:b/>
          <w:noProof/>
          <w:lang w:val="es-ES"/>
        </w:rPr>
        <w:t>.</w:t>
      </w:r>
    </w:p>
    <w:p w14:paraId="088BBE94" w14:textId="77777777" w:rsidR="0024341A" w:rsidRPr="00427FB6" w:rsidRDefault="0024341A" w:rsidP="009849E4">
      <w:pPr>
        <w:tabs>
          <w:tab w:val="left" w:pos="720"/>
          <w:tab w:val="center" w:pos="4680"/>
        </w:tabs>
        <w:spacing w:after="0" w:line="240" w:lineRule="auto"/>
        <w:rPr>
          <w:rFonts w:cstheme="minorHAnsi"/>
          <w:bCs/>
          <w:noProof/>
          <w:lang w:val="es-ES"/>
        </w:rPr>
      </w:pPr>
    </w:p>
    <w:p w14:paraId="741AECEF" w14:textId="477EE68C" w:rsidR="0024341A"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4 del orden del día: </w:t>
      </w:r>
      <w:r w:rsidR="00A7411C" w:rsidRPr="00427FB6">
        <w:rPr>
          <w:rFonts w:cstheme="minorHAnsi"/>
          <w:bCs/>
          <w:noProof/>
          <w:lang w:val="es-ES"/>
        </w:rPr>
        <w:t>Admisión de observadores</w:t>
      </w:r>
    </w:p>
    <w:p w14:paraId="573CBF66" w14:textId="77777777" w:rsidR="00460E83" w:rsidRPr="00427FB6" w:rsidRDefault="00460E83" w:rsidP="009849E4">
      <w:pPr>
        <w:spacing w:after="0" w:line="240" w:lineRule="auto"/>
        <w:ind w:left="567" w:hanging="567"/>
        <w:rPr>
          <w:rFonts w:eastAsia="Calibri" w:cstheme="minorHAnsi"/>
          <w:bCs/>
          <w:noProof/>
          <w:lang w:val="es-ES"/>
        </w:rPr>
      </w:pPr>
    </w:p>
    <w:p w14:paraId="6861CE23" w14:textId="4E30B106" w:rsidR="00D20B2A" w:rsidRPr="00427FB6" w:rsidRDefault="00D20B2A" w:rsidP="009849E4">
      <w:pPr>
        <w:spacing w:after="0" w:line="240" w:lineRule="auto"/>
        <w:contextualSpacing/>
        <w:rPr>
          <w:rFonts w:cstheme="minorHAnsi"/>
          <w:b/>
          <w:noProof/>
          <w:lang w:val="es-ES"/>
        </w:rPr>
      </w:pPr>
      <w:r w:rsidRPr="00427FB6">
        <w:rPr>
          <w:rFonts w:cstheme="minorHAnsi"/>
          <w:b/>
          <w:noProof/>
          <w:lang w:val="es-ES"/>
        </w:rPr>
        <w:t>Decisi</w:t>
      </w:r>
      <w:r w:rsidR="004A6574" w:rsidRPr="00427FB6">
        <w:rPr>
          <w:rFonts w:cstheme="minorHAnsi"/>
          <w:b/>
          <w:noProof/>
          <w:lang w:val="es-ES"/>
        </w:rPr>
        <w:t>ó</w:t>
      </w:r>
      <w:r w:rsidRPr="00427FB6">
        <w:rPr>
          <w:rFonts w:cstheme="minorHAnsi"/>
          <w:b/>
          <w:noProof/>
          <w:lang w:val="es-ES"/>
        </w:rPr>
        <w:t>n SC</w:t>
      </w:r>
      <w:r w:rsidR="0035175C" w:rsidRPr="00427FB6">
        <w:rPr>
          <w:rFonts w:cstheme="minorHAnsi"/>
          <w:b/>
          <w:noProof/>
          <w:lang w:val="es-ES"/>
        </w:rPr>
        <w:t>62</w:t>
      </w:r>
      <w:r w:rsidRPr="00427FB6">
        <w:rPr>
          <w:rFonts w:cstheme="minorHAnsi"/>
          <w:b/>
          <w:noProof/>
          <w:lang w:val="es-ES"/>
        </w:rPr>
        <w:t>-0</w:t>
      </w:r>
      <w:r w:rsidR="00545238" w:rsidRPr="00427FB6">
        <w:rPr>
          <w:rFonts w:cstheme="minorHAnsi"/>
          <w:b/>
          <w:noProof/>
          <w:lang w:val="es-ES"/>
        </w:rPr>
        <w:t>3</w:t>
      </w:r>
      <w:r w:rsidRPr="00427FB6">
        <w:rPr>
          <w:rFonts w:cstheme="minorHAnsi"/>
          <w:b/>
          <w:noProof/>
          <w:lang w:val="es-ES"/>
        </w:rPr>
        <w:t xml:space="preserve">: </w:t>
      </w:r>
      <w:r w:rsidR="004A6574" w:rsidRPr="00427FB6">
        <w:rPr>
          <w:rFonts w:cstheme="minorHAnsi"/>
          <w:b/>
          <w:noProof/>
          <w:lang w:val="es-ES"/>
        </w:rPr>
        <w:t xml:space="preserve">El Comité Permanente admitió a los observadores que figuran en el documento </w:t>
      </w:r>
      <w:r w:rsidR="00294A7E" w:rsidRPr="00427FB6">
        <w:rPr>
          <w:rFonts w:cstheme="minorHAnsi"/>
          <w:b/>
          <w:noProof/>
          <w:lang w:val="es-ES"/>
        </w:rPr>
        <w:t>SC</w:t>
      </w:r>
      <w:r w:rsidR="0035175C" w:rsidRPr="00427FB6">
        <w:rPr>
          <w:rFonts w:cstheme="minorHAnsi"/>
          <w:b/>
          <w:noProof/>
          <w:lang w:val="es-ES"/>
        </w:rPr>
        <w:t>62</w:t>
      </w:r>
      <w:r w:rsidR="00294A7E" w:rsidRPr="00427FB6">
        <w:rPr>
          <w:rFonts w:cstheme="minorHAnsi"/>
          <w:b/>
          <w:noProof/>
          <w:lang w:val="es-ES"/>
        </w:rPr>
        <w:t xml:space="preserve"> Doc.</w:t>
      </w:r>
      <w:r w:rsidRPr="00427FB6">
        <w:rPr>
          <w:rFonts w:cstheme="minorHAnsi"/>
          <w:b/>
          <w:noProof/>
          <w:lang w:val="es-ES"/>
        </w:rPr>
        <w:t>4.</w:t>
      </w:r>
    </w:p>
    <w:p w14:paraId="415E741D" w14:textId="550642DB" w:rsidR="0078588B" w:rsidRPr="00427FB6" w:rsidRDefault="0078588B" w:rsidP="009849E4">
      <w:pPr>
        <w:spacing w:after="0" w:line="240" w:lineRule="auto"/>
        <w:rPr>
          <w:rFonts w:cstheme="minorHAnsi"/>
          <w:noProof/>
          <w:lang w:val="es-ES"/>
        </w:rPr>
      </w:pPr>
    </w:p>
    <w:p w14:paraId="1A8123AF" w14:textId="34FEC3A3" w:rsidR="0078588B"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5 del orden del día: </w:t>
      </w:r>
      <w:r w:rsidR="00A7411C" w:rsidRPr="00427FB6">
        <w:rPr>
          <w:rFonts w:cstheme="minorHAnsi"/>
          <w:bCs/>
          <w:noProof/>
          <w:lang w:val="es-ES"/>
        </w:rPr>
        <w:t>Informe del Equipo Ejecutivo y de la Presidencia del Comité Permanente</w:t>
      </w:r>
    </w:p>
    <w:p w14:paraId="2DBC0488" w14:textId="3112C536" w:rsidR="00545238" w:rsidRPr="00427FB6" w:rsidRDefault="00545238" w:rsidP="009849E4">
      <w:pPr>
        <w:spacing w:after="0" w:line="240" w:lineRule="auto"/>
        <w:rPr>
          <w:rFonts w:cstheme="minorHAnsi"/>
          <w:noProof/>
          <w:lang w:val="es-ES"/>
        </w:rPr>
      </w:pPr>
    </w:p>
    <w:p w14:paraId="6B758071" w14:textId="0B685938" w:rsidR="009A0A9D" w:rsidRPr="00427FB6" w:rsidRDefault="009A0A9D" w:rsidP="009849E4">
      <w:pPr>
        <w:spacing w:after="0" w:line="240" w:lineRule="auto"/>
        <w:contextualSpacing/>
        <w:rPr>
          <w:rFonts w:cstheme="minorHAnsi"/>
          <w:b/>
          <w:noProof/>
          <w:lang w:val="es-ES"/>
        </w:rPr>
      </w:pPr>
      <w:r w:rsidRPr="00427FB6">
        <w:rPr>
          <w:rFonts w:cstheme="minorHAnsi"/>
          <w:b/>
          <w:noProof/>
          <w:lang w:val="es-ES"/>
        </w:rPr>
        <w:t>Decisi</w:t>
      </w:r>
      <w:r w:rsidR="00662EAF" w:rsidRPr="00427FB6">
        <w:rPr>
          <w:rFonts w:cstheme="minorHAnsi"/>
          <w:b/>
          <w:noProof/>
          <w:lang w:val="es-ES"/>
        </w:rPr>
        <w:t>ó</w:t>
      </w:r>
      <w:r w:rsidRPr="00427FB6">
        <w:rPr>
          <w:rFonts w:cstheme="minorHAnsi"/>
          <w:b/>
          <w:noProof/>
          <w:lang w:val="es-ES"/>
        </w:rPr>
        <w:t>n SC</w:t>
      </w:r>
      <w:r w:rsidR="0009708B" w:rsidRPr="00427FB6">
        <w:rPr>
          <w:rFonts w:cstheme="minorHAnsi"/>
          <w:b/>
          <w:noProof/>
          <w:lang w:val="es-ES"/>
        </w:rPr>
        <w:t>62</w:t>
      </w:r>
      <w:r w:rsidRPr="00427FB6">
        <w:rPr>
          <w:rFonts w:cstheme="minorHAnsi"/>
          <w:b/>
          <w:noProof/>
          <w:lang w:val="es-ES"/>
        </w:rPr>
        <w:t>-</w:t>
      </w:r>
      <w:r w:rsidR="00CA3BDB" w:rsidRPr="00427FB6">
        <w:rPr>
          <w:rFonts w:cstheme="minorHAnsi"/>
          <w:b/>
          <w:noProof/>
          <w:lang w:val="es-ES"/>
        </w:rPr>
        <w:t>04</w:t>
      </w:r>
      <w:r w:rsidRPr="00427FB6">
        <w:rPr>
          <w:rFonts w:cstheme="minorHAnsi"/>
          <w:b/>
          <w:noProof/>
          <w:lang w:val="es-ES"/>
        </w:rPr>
        <w:t xml:space="preserve">: </w:t>
      </w:r>
      <w:r w:rsidR="00662EAF" w:rsidRPr="00427FB6">
        <w:rPr>
          <w:rFonts w:cstheme="minorHAnsi"/>
          <w:b/>
          <w:noProof/>
          <w:lang w:val="es-ES"/>
        </w:rPr>
        <w:t>El Comité Permanente tomó nota del Informe del Equipo Ejecutivo y de la Presidencia del Comité Permanente, publicado como</w:t>
      </w:r>
      <w:r w:rsidR="00662EAF" w:rsidRPr="00427FB6">
        <w:rPr>
          <w:rFonts w:cstheme="minorHAnsi"/>
          <w:bCs/>
          <w:noProof/>
          <w:lang w:val="es-ES"/>
        </w:rPr>
        <w:t xml:space="preserve"> </w:t>
      </w:r>
      <w:r w:rsidR="0009708B" w:rsidRPr="00427FB6">
        <w:rPr>
          <w:rFonts w:cstheme="minorHAnsi"/>
          <w:b/>
          <w:noProof/>
          <w:lang w:val="es-ES"/>
        </w:rPr>
        <w:t>document</w:t>
      </w:r>
      <w:r w:rsidR="00662EAF" w:rsidRPr="00427FB6">
        <w:rPr>
          <w:rFonts w:cstheme="minorHAnsi"/>
          <w:b/>
          <w:noProof/>
          <w:lang w:val="es-ES"/>
        </w:rPr>
        <w:t>o</w:t>
      </w:r>
      <w:r w:rsidR="0009708B" w:rsidRPr="00427FB6">
        <w:rPr>
          <w:rFonts w:cstheme="minorHAnsi"/>
          <w:b/>
          <w:noProof/>
          <w:lang w:val="es-ES"/>
        </w:rPr>
        <w:t xml:space="preserve"> SC62 Doc.5</w:t>
      </w:r>
      <w:r w:rsidR="001032CA" w:rsidRPr="00427FB6">
        <w:rPr>
          <w:rFonts w:cstheme="minorHAnsi"/>
          <w:b/>
          <w:noProof/>
          <w:lang w:val="es-ES"/>
        </w:rPr>
        <w:t>.</w:t>
      </w:r>
    </w:p>
    <w:p w14:paraId="2F44542B" w14:textId="77777777" w:rsidR="0079631C" w:rsidRPr="00427FB6" w:rsidRDefault="0079631C" w:rsidP="009849E4">
      <w:pPr>
        <w:spacing w:after="0" w:line="240" w:lineRule="auto"/>
        <w:rPr>
          <w:rFonts w:cstheme="minorHAnsi"/>
          <w:noProof/>
          <w:lang w:val="es-ES"/>
        </w:rPr>
      </w:pPr>
    </w:p>
    <w:p w14:paraId="6B5DC3D8" w14:textId="2F80A82A" w:rsidR="0079631C"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6 del orden del día: </w:t>
      </w:r>
      <w:r w:rsidR="00A7411C" w:rsidRPr="00427FB6">
        <w:rPr>
          <w:rFonts w:cstheme="minorHAnsi"/>
          <w:bCs/>
          <w:noProof/>
          <w:lang w:val="es-ES"/>
        </w:rPr>
        <w:t>Informe de la Secretaria General</w:t>
      </w:r>
    </w:p>
    <w:p w14:paraId="12902BEA" w14:textId="77777777" w:rsidR="0079631C" w:rsidRPr="00427FB6" w:rsidRDefault="0079631C" w:rsidP="009849E4">
      <w:pPr>
        <w:spacing w:after="0" w:line="240" w:lineRule="auto"/>
        <w:ind w:left="567" w:hanging="567"/>
        <w:rPr>
          <w:rFonts w:eastAsia="Calibri" w:cstheme="minorHAnsi"/>
          <w:bCs/>
          <w:noProof/>
          <w:lang w:val="es-ES"/>
        </w:rPr>
      </w:pPr>
    </w:p>
    <w:p w14:paraId="3FF16B20" w14:textId="7BB866C7" w:rsidR="0079631C" w:rsidRPr="00427FB6" w:rsidRDefault="0079631C" w:rsidP="009849E4">
      <w:pPr>
        <w:spacing w:after="0" w:line="240" w:lineRule="auto"/>
        <w:contextualSpacing/>
        <w:rPr>
          <w:rFonts w:cstheme="minorHAnsi"/>
          <w:b/>
          <w:noProof/>
          <w:lang w:val="es-ES"/>
        </w:rPr>
      </w:pPr>
      <w:r w:rsidRPr="00427FB6">
        <w:rPr>
          <w:rFonts w:cstheme="minorHAnsi"/>
          <w:b/>
          <w:noProof/>
          <w:lang w:val="es-ES"/>
        </w:rPr>
        <w:t>Decisi</w:t>
      </w:r>
      <w:r w:rsidR="00662EAF" w:rsidRPr="00427FB6">
        <w:rPr>
          <w:rFonts w:cstheme="minorHAnsi"/>
          <w:b/>
          <w:noProof/>
          <w:lang w:val="es-ES"/>
        </w:rPr>
        <w:t>ó</w:t>
      </w:r>
      <w:r w:rsidRPr="00427FB6">
        <w:rPr>
          <w:rFonts w:cstheme="minorHAnsi"/>
          <w:b/>
          <w:noProof/>
          <w:lang w:val="es-ES"/>
        </w:rPr>
        <w:t>n SC</w:t>
      </w:r>
      <w:r w:rsidR="0009708B" w:rsidRPr="00427FB6">
        <w:rPr>
          <w:rFonts w:cstheme="minorHAnsi"/>
          <w:b/>
          <w:noProof/>
          <w:lang w:val="es-ES"/>
        </w:rPr>
        <w:t>62</w:t>
      </w:r>
      <w:r w:rsidRPr="00427FB6">
        <w:rPr>
          <w:rFonts w:cstheme="minorHAnsi"/>
          <w:b/>
          <w:noProof/>
          <w:lang w:val="es-ES"/>
        </w:rPr>
        <w:t>-</w:t>
      </w:r>
      <w:r w:rsidR="00CA3BDB" w:rsidRPr="00427FB6">
        <w:rPr>
          <w:rFonts w:cstheme="minorHAnsi"/>
          <w:b/>
          <w:noProof/>
          <w:lang w:val="es-ES"/>
        </w:rPr>
        <w:t>0</w:t>
      </w:r>
      <w:r w:rsidR="0009708B" w:rsidRPr="00427FB6">
        <w:rPr>
          <w:rFonts w:cstheme="minorHAnsi"/>
          <w:b/>
          <w:noProof/>
          <w:lang w:val="es-ES"/>
        </w:rPr>
        <w:t>5</w:t>
      </w:r>
      <w:r w:rsidRPr="00427FB6">
        <w:rPr>
          <w:rFonts w:cstheme="minorHAnsi"/>
          <w:b/>
          <w:noProof/>
          <w:lang w:val="es-ES"/>
        </w:rPr>
        <w:t xml:space="preserve">: </w:t>
      </w:r>
      <w:r w:rsidR="00662EAF" w:rsidRPr="00427FB6">
        <w:rPr>
          <w:rFonts w:cstheme="minorHAnsi"/>
          <w:b/>
          <w:noProof/>
          <w:lang w:val="es-ES"/>
        </w:rPr>
        <w:t xml:space="preserve">El Comité Permanente acogió con </w:t>
      </w:r>
      <w:r w:rsidR="00295795" w:rsidRPr="00427FB6">
        <w:rPr>
          <w:rFonts w:cstheme="minorHAnsi"/>
          <w:b/>
          <w:noProof/>
          <w:lang w:val="es-ES"/>
        </w:rPr>
        <w:t>beneplácito</w:t>
      </w:r>
      <w:r w:rsidR="00662EAF" w:rsidRPr="00427FB6">
        <w:rPr>
          <w:rFonts w:cstheme="minorHAnsi"/>
          <w:b/>
          <w:noProof/>
          <w:lang w:val="es-ES"/>
        </w:rPr>
        <w:t xml:space="preserve"> el Informe de la Secretaria General publicado como documento SC62 Doc.6.</w:t>
      </w:r>
    </w:p>
    <w:p w14:paraId="2C7FC2D8" w14:textId="4151CAB1" w:rsidR="0078588B" w:rsidRPr="00427FB6" w:rsidRDefault="0078588B" w:rsidP="009849E4">
      <w:pPr>
        <w:spacing w:after="0" w:line="240" w:lineRule="auto"/>
        <w:rPr>
          <w:rFonts w:cstheme="minorHAnsi"/>
          <w:noProof/>
          <w:lang w:val="es-ES"/>
        </w:rPr>
      </w:pPr>
    </w:p>
    <w:p w14:paraId="30FC3C31" w14:textId="366C617F" w:rsidR="0078588B"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427FB6">
        <w:rPr>
          <w:rFonts w:cstheme="minorHAnsi"/>
          <w:bCs/>
          <w:noProof/>
          <w:lang w:val="es-ES"/>
        </w:rPr>
        <w:t xml:space="preserve">Punto 7 del orden del día: </w:t>
      </w:r>
      <w:r w:rsidR="00A7411C" w:rsidRPr="00427FB6">
        <w:rPr>
          <w:rFonts w:cstheme="minorHAnsi"/>
          <w:bCs/>
          <w:noProof/>
          <w:lang w:val="es-ES"/>
        </w:rPr>
        <w:t xml:space="preserve">Informe del Grupo de </w:t>
      </w:r>
      <w:r w:rsidR="00A7411C" w:rsidRPr="00427FB6">
        <w:rPr>
          <w:rFonts w:cstheme="minorHAnsi"/>
          <w:bCs/>
          <w:noProof/>
          <w:color w:val="000000" w:themeColor="text1"/>
          <w:lang w:val="es-ES"/>
        </w:rPr>
        <w:t xml:space="preserve">Trabajo </w:t>
      </w:r>
      <w:r w:rsidR="00A7411C" w:rsidRPr="00427FB6">
        <w:rPr>
          <w:rFonts w:cstheme="minorHAnsi"/>
          <w:bCs/>
          <w:noProof/>
          <w:lang w:val="es-ES"/>
        </w:rPr>
        <w:t>Administrativo</w:t>
      </w:r>
    </w:p>
    <w:p w14:paraId="4CDBE421" w14:textId="77777777" w:rsidR="002566E0" w:rsidRPr="00427FB6" w:rsidRDefault="002566E0" w:rsidP="009849E4">
      <w:pPr>
        <w:spacing w:after="0" w:line="240" w:lineRule="auto"/>
        <w:rPr>
          <w:rFonts w:cstheme="minorHAnsi"/>
          <w:noProof/>
          <w:lang w:val="es-ES"/>
        </w:rPr>
      </w:pPr>
    </w:p>
    <w:p w14:paraId="18367A7F" w14:textId="24BF770A" w:rsidR="000D3142" w:rsidRPr="00427FB6" w:rsidRDefault="003323C2" w:rsidP="009849E4">
      <w:pPr>
        <w:spacing w:after="0" w:line="240" w:lineRule="auto"/>
        <w:contextualSpacing/>
        <w:rPr>
          <w:rFonts w:cstheme="minorHAnsi"/>
          <w:b/>
          <w:noProof/>
          <w:lang w:val="es-ES"/>
        </w:rPr>
      </w:pPr>
      <w:r w:rsidRPr="00427FB6">
        <w:rPr>
          <w:rFonts w:cstheme="minorHAnsi"/>
          <w:b/>
          <w:noProof/>
          <w:lang w:val="es-ES"/>
        </w:rPr>
        <w:t>Decisi</w:t>
      </w:r>
      <w:r w:rsidR="000D3142" w:rsidRPr="00427FB6">
        <w:rPr>
          <w:rFonts w:cstheme="minorHAnsi"/>
          <w:b/>
          <w:noProof/>
          <w:lang w:val="es-ES"/>
        </w:rPr>
        <w:t>ó</w:t>
      </w:r>
      <w:r w:rsidRPr="00427FB6">
        <w:rPr>
          <w:rFonts w:cstheme="minorHAnsi"/>
          <w:b/>
          <w:noProof/>
          <w:lang w:val="es-ES"/>
        </w:rPr>
        <w:t>n SC</w:t>
      </w:r>
      <w:r w:rsidR="00635768" w:rsidRPr="00427FB6">
        <w:rPr>
          <w:rFonts w:cstheme="minorHAnsi"/>
          <w:b/>
          <w:noProof/>
          <w:lang w:val="es-ES"/>
        </w:rPr>
        <w:t>62</w:t>
      </w:r>
      <w:r w:rsidRPr="00427FB6">
        <w:rPr>
          <w:rFonts w:cstheme="minorHAnsi"/>
          <w:b/>
          <w:noProof/>
          <w:lang w:val="es-ES"/>
        </w:rPr>
        <w:t>-</w:t>
      </w:r>
      <w:r w:rsidR="00CA3BDB" w:rsidRPr="00427FB6">
        <w:rPr>
          <w:rFonts w:cstheme="minorHAnsi"/>
          <w:b/>
          <w:noProof/>
          <w:lang w:val="es-ES"/>
        </w:rPr>
        <w:t>0</w:t>
      </w:r>
      <w:r w:rsidR="00635768" w:rsidRPr="00427FB6">
        <w:rPr>
          <w:rFonts w:cstheme="minorHAnsi"/>
          <w:b/>
          <w:noProof/>
          <w:lang w:val="es-ES"/>
        </w:rPr>
        <w:t>6</w:t>
      </w:r>
      <w:r w:rsidRPr="00427FB6">
        <w:rPr>
          <w:rFonts w:cstheme="minorHAnsi"/>
          <w:b/>
          <w:noProof/>
          <w:lang w:val="es-ES"/>
        </w:rPr>
        <w:t xml:space="preserve">: </w:t>
      </w:r>
      <w:r w:rsidR="000D3142" w:rsidRPr="00427FB6">
        <w:rPr>
          <w:rFonts w:cstheme="minorHAnsi"/>
          <w:b/>
          <w:noProof/>
          <w:lang w:val="es-ES"/>
        </w:rPr>
        <w:t>El Comité Permanente tomó nota del informe del Grupo de Trabajo Administrativo.</w:t>
      </w:r>
    </w:p>
    <w:p w14:paraId="2D9254A5" w14:textId="4FE69DE9" w:rsidR="00C611B3" w:rsidRPr="00427FB6" w:rsidRDefault="00C611B3" w:rsidP="009849E4">
      <w:pPr>
        <w:spacing w:after="0" w:line="240" w:lineRule="auto"/>
        <w:rPr>
          <w:rFonts w:cstheme="minorHAnsi"/>
          <w:noProof/>
          <w:lang w:val="es-ES"/>
        </w:rPr>
      </w:pPr>
    </w:p>
    <w:p w14:paraId="41133F16" w14:textId="01879B67" w:rsidR="0078588B"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427FB6">
        <w:rPr>
          <w:rFonts w:cstheme="minorHAnsi"/>
          <w:bCs/>
          <w:noProof/>
          <w:lang w:val="es-ES"/>
        </w:rPr>
        <w:t xml:space="preserve">Punto 20 del orden del día: </w:t>
      </w:r>
      <w:r w:rsidR="00A7411C" w:rsidRPr="00427FB6">
        <w:rPr>
          <w:rFonts w:cstheme="minorHAnsi"/>
          <w:bCs/>
          <w:noProof/>
          <w:lang w:val="es-ES"/>
        </w:rPr>
        <w:t>Preparación de la 15ª reunión de la Conferencia de las Partes Contratantes (COP15)</w:t>
      </w:r>
    </w:p>
    <w:p w14:paraId="5D37E815" w14:textId="77777777" w:rsidR="00367A4B" w:rsidRPr="00427FB6" w:rsidRDefault="00367A4B" w:rsidP="009849E4">
      <w:pPr>
        <w:spacing w:after="0" w:line="240" w:lineRule="auto"/>
        <w:ind w:left="567" w:hanging="567"/>
        <w:rPr>
          <w:noProof/>
          <w:lang w:val="es-ES"/>
        </w:rPr>
      </w:pPr>
    </w:p>
    <w:p w14:paraId="141DD26D" w14:textId="043C304E" w:rsidR="002B1C9D" w:rsidRPr="00427FB6" w:rsidRDefault="00E64244" w:rsidP="009849E4">
      <w:pPr>
        <w:spacing w:after="0" w:line="240" w:lineRule="auto"/>
        <w:contextualSpacing/>
        <w:rPr>
          <w:rFonts w:cstheme="minorHAnsi"/>
          <w:b/>
          <w:noProof/>
          <w:lang w:val="es-ES"/>
        </w:rPr>
      </w:pPr>
      <w:r w:rsidRPr="00427FB6">
        <w:rPr>
          <w:rFonts w:cstheme="minorHAnsi"/>
          <w:b/>
          <w:noProof/>
          <w:lang w:val="es-ES"/>
        </w:rPr>
        <w:t>Decisi</w:t>
      </w:r>
      <w:r w:rsidR="009C490D" w:rsidRPr="00427FB6">
        <w:rPr>
          <w:rFonts w:cstheme="minorHAnsi"/>
          <w:b/>
          <w:noProof/>
          <w:lang w:val="es-ES"/>
        </w:rPr>
        <w:t>ó</w:t>
      </w:r>
      <w:r w:rsidRPr="00427FB6">
        <w:rPr>
          <w:rFonts w:cstheme="minorHAnsi"/>
          <w:b/>
          <w:noProof/>
          <w:lang w:val="es-ES"/>
        </w:rPr>
        <w:t>n SC</w:t>
      </w:r>
      <w:r w:rsidR="0046529B" w:rsidRPr="00427FB6">
        <w:rPr>
          <w:rFonts w:cstheme="minorHAnsi"/>
          <w:b/>
          <w:noProof/>
          <w:lang w:val="es-ES"/>
        </w:rPr>
        <w:t>62</w:t>
      </w:r>
      <w:r w:rsidRPr="00427FB6">
        <w:rPr>
          <w:rFonts w:cstheme="minorHAnsi"/>
          <w:b/>
          <w:noProof/>
          <w:lang w:val="es-ES"/>
        </w:rPr>
        <w:t>-</w:t>
      </w:r>
      <w:r w:rsidR="00E74514" w:rsidRPr="00427FB6">
        <w:rPr>
          <w:rFonts w:cstheme="minorHAnsi"/>
          <w:b/>
          <w:noProof/>
          <w:lang w:val="es-ES"/>
        </w:rPr>
        <w:t>07</w:t>
      </w:r>
      <w:r w:rsidRPr="00427FB6">
        <w:rPr>
          <w:rFonts w:cstheme="minorHAnsi"/>
          <w:b/>
          <w:noProof/>
          <w:lang w:val="es-ES"/>
        </w:rPr>
        <w:t xml:space="preserve">: </w:t>
      </w:r>
      <w:r w:rsidR="009C490D" w:rsidRPr="00427FB6">
        <w:rPr>
          <w:rFonts w:cstheme="minorHAnsi"/>
          <w:b/>
          <w:noProof/>
          <w:lang w:val="es-ES"/>
        </w:rPr>
        <w:t xml:space="preserve">El Comité Permanente tomó nota del Informe de la </w:t>
      </w:r>
      <w:r w:rsidR="002D403A" w:rsidRPr="00427FB6">
        <w:rPr>
          <w:rFonts w:cstheme="minorHAnsi"/>
          <w:b/>
          <w:noProof/>
          <w:lang w:val="es-ES"/>
        </w:rPr>
        <w:t xml:space="preserve">Secretaría sobre la </w:t>
      </w:r>
      <w:r w:rsidR="0046529B" w:rsidRPr="00427FB6">
        <w:rPr>
          <w:rFonts w:cstheme="minorHAnsi"/>
          <w:b/>
          <w:noProof/>
          <w:lang w:val="es-ES"/>
        </w:rPr>
        <w:t xml:space="preserve">COP15. </w:t>
      </w:r>
    </w:p>
    <w:p w14:paraId="6D31507D" w14:textId="77777777" w:rsidR="0046529B" w:rsidRPr="00427FB6" w:rsidRDefault="0046529B" w:rsidP="009849E4">
      <w:pPr>
        <w:spacing w:after="0" w:line="240" w:lineRule="auto"/>
        <w:contextualSpacing/>
        <w:rPr>
          <w:rFonts w:cstheme="minorHAnsi"/>
          <w:b/>
          <w:noProof/>
          <w:lang w:val="es-ES"/>
        </w:rPr>
      </w:pPr>
    </w:p>
    <w:p w14:paraId="5E3F3F54" w14:textId="1415E007" w:rsidR="002D403A" w:rsidRPr="00427FB6" w:rsidRDefault="0046529B" w:rsidP="009849E4">
      <w:pPr>
        <w:spacing w:after="0" w:line="240" w:lineRule="auto"/>
        <w:contextualSpacing/>
        <w:rPr>
          <w:rFonts w:cstheme="minorHAnsi"/>
          <w:b/>
          <w:noProof/>
          <w:lang w:val="es-ES"/>
        </w:rPr>
      </w:pPr>
      <w:r w:rsidRPr="00427FB6">
        <w:rPr>
          <w:rFonts w:cstheme="minorHAnsi"/>
          <w:b/>
          <w:noProof/>
          <w:lang w:val="es-ES"/>
        </w:rPr>
        <w:t>Decisi</w:t>
      </w:r>
      <w:r w:rsidR="002D403A" w:rsidRPr="00427FB6">
        <w:rPr>
          <w:rFonts w:cstheme="minorHAnsi"/>
          <w:b/>
          <w:noProof/>
          <w:lang w:val="es-ES"/>
        </w:rPr>
        <w:t>ó</w:t>
      </w:r>
      <w:r w:rsidRPr="00427FB6">
        <w:rPr>
          <w:rFonts w:cstheme="minorHAnsi"/>
          <w:b/>
          <w:noProof/>
          <w:lang w:val="es-ES"/>
        </w:rPr>
        <w:t>n SC62-</w:t>
      </w:r>
      <w:r w:rsidR="00E74514" w:rsidRPr="00427FB6">
        <w:rPr>
          <w:rFonts w:cstheme="minorHAnsi"/>
          <w:b/>
          <w:noProof/>
          <w:lang w:val="es-ES"/>
        </w:rPr>
        <w:t>08</w:t>
      </w:r>
      <w:r w:rsidRPr="00427FB6">
        <w:rPr>
          <w:rFonts w:cstheme="minorHAnsi"/>
          <w:b/>
          <w:noProof/>
          <w:lang w:val="es-ES"/>
        </w:rPr>
        <w:t xml:space="preserve">: </w:t>
      </w:r>
      <w:r w:rsidR="002D403A" w:rsidRPr="00427FB6">
        <w:rPr>
          <w:rFonts w:cstheme="minorHAnsi"/>
          <w:b/>
          <w:noProof/>
          <w:lang w:val="es-ES"/>
        </w:rPr>
        <w:t>El Comité Permanente aceptó las fechas propuestas para celebrar la COP15, del 23 al 31 de julio de 2025.</w:t>
      </w:r>
    </w:p>
    <w:p w14:paraId="093A0963" w14:textId="77777777" w:rsidR="0046529B" w:rsidRPr="00427FB6" w:rsidRDefault="0046529B" w:rsidP="009849E4">
      <w:pPr>
        <w:spacing w:after="0" w:line="240" w:lineRule="auto"/>
        <w:contextualSpacing/>
        <w:rPr>
          <w:rFonts w:cstheme="minorHAnsi"/>
          <w:b/>
          <w:noProof/>
          <w:lang w:val="es-ES"/>
        </w:rPr>
      </w:pPr>
    </w:p>
    <w:p w14:paraId="7CBB878A" w14:textId="5D9A6651" w:rsidR="002D403A" w:rsidRPr="00427FB6" w:rsidRDefault="0046529B" w:rsidP="009849E4">
      <w:pPr>
        <w:spacing w:after="0" w:line="240" w:lineRule="auto"/>
        <w:contextualSpacing/>
        <w:rPr>
          <w:rFonts w:cstheme="minorHAnsi"/>
          <w:b/>
          <w:noProof/>
          <w:lang w:val="es-ES"/>
        </w:rPr>
      </w:pPr>
      <w:r w:rsidRPr="00427FB6">
        <w:rPr>
          <w:rFonts w:cstheme="minorHAnsi"/>
          <w:b/>
          <w:noProof/>
          <w:lang w:val="es-ES"/>
        </w:rPr>
        <w:t>Decisi</w:t>
      </w:r>
      <w:r w:rsidR="002D403A" w:rsidRPr="00427FB6">
        <w:rPr>
          <w:rFonts w:cstheme="minorHAnsi"/>
          <w:b/>
          <w:noProof/>
          <w:lang w:val="es-ES"/>
        </w:rPr>
        <w:t>ó</w:t>
      </w:r>
      <w:r w:rsidRPr="00427FB6">
        <w:rPr>
          <w:rFonts w:cstheme="minorHAnsi"/>
          <w:b/>
          <w:noProof/>
          <w:lang w:val="es-ES"/>
        </w:rPr>
        <w:t>n SC62-</w:t>
      </w:r>
      <w:r w:rsidR="00E74514" w:rsidRPr="00427FB6">
        <w:rPr>
          <w:rFonts w:cstheme="minorHAnsi"/>
          <w:b/>
          <w:noProof/>
          <w:lang w:val="es-ES"/>
        </w:rPr>
        <w:t>09</w:t>
      </w:r>
      <w:r w:rsidRPr="00427FB6">
        <w:rPr>
          <w:rFonts w:cstheme="minorHAnsi"/>
          <w:b/>
          <w:noProof/>
          <w:lang w:val="es-ES"/>
        </w:rPr>
        <w:t xml:space="preserve">: </w:t>
      </w:r>
      <w:r w:rsidR="002D403A" w:rsidRPr="00427FB6">
        <w:rPr>
          <w:rFonts w:cstheme="minorHAnsi"/>
          <w:b/>
          <w:noProof/>
          <w:lang w:val="es-ES"/>
        </w:rPr>
        <w:t>El Comité Permanente aprobó el orden del día provisional para la COP15, con la añadidura de la acreditación de Ciudad de Humedal como punto del orden del día.</w:t>
      </w:r>
    </w:p>
    <w:p w14:paraId="2AD6CFF8" w14:textId="77777777" w:rsidR="006E1938" w:rsidRPr="00427FB6" w:rsidRDefault="006E1938" w:rsidP="009849E4">
      <w:pPr>
        <w:spacing w:after="0" w:line="240" w:lineRule="auto"/>
        <w:contextualSpacing/>
        <w:rPr>
          <w:rFonts w:cstheme="minorHAnsi"/>
          <w:b/>
          <w:noProof/>
          <w:lang w:val="es-ES"/>
        </w:rPr>
      </w:pPr>
    </w:p>
    <w:p w14:paraId="6D1C75DB" w14:textId="3AD74727" w:rsidR="002D403A" w:rsidRPr="00427FB6" w:rsidRDefault="006E1938" w:rsidP="009849E4">
      <w:pPr>
        <w:spacing w:after="0" w:line="240" w:lineRule="auto"/>
        <w:contextualSpacing/>
        <w:rPr>
          <w:rFonts w:cstheme="minorHAnsi"/>
          <w:b/>
          <w:noProof/>
          <w:lang w:val="es-ES"/>
        </w:rPr>
      </w:pPr>
      <w:r w:rsidRPr="00427FB6">
        <w:rPr>
          <w:rFonts w:cstheme="minorHAnsi"/>
          <w:b/>
          <w:noProof/>
          <w:lang w:val="es-ES"/>
        </w:rPr>
        <w:lastRenderedPageBreak/>
        <w:t>Decisi</w:t>
      </w:r>
      <w:r w:rsidR="002D403A" w:rsidRPr="00427FB6">
        <w:rPr>
          <w:rFonts w:cstheme="minorHAnsi"/>
          <w:b/>
          <w:noProof/>
          <w:lang w:val="es-ES"/>
        </w:rPr>
        <w:t>ó</w:t>
      </w:r>
      <w:r w:rsidRPr="00427FB6">
        <w:rPr>
          <w:rFonts w:cstheme="minorHAnsi"/>
          <w:b/>
          <w:noProof/>
          <w:lang w:val="es-ES"/>
        </w:rPr>
        <w:t>n SC62-</w:t>
      </w:r>
      <w:r w:rsidR="00E74514" w:rsidRPr="00427FB6">
        <w:rPr>
          <w:rFonts w:cstheme="minorHAnsi"/>
          <w:b/>
          <w:noProof/>
          <w:lang w:val="es-ES"/>
        </w:rPr>
        <w:t>10:</w:t>
      </w:r>
      <w:r w:rsidRPr="00427FB6">
        <w:rPr>
          <w:rFonts w:cstheme="minorHAnsi"/>
          <w:b/>
          <w:noProof/>
          <w:lang w:val="es-ES"/>
        </w:rPr>
        <w:t xml:space="preserve"> </w:t>
      </w:r>
      <w:r w:rsidR="002D403A" w:rsidRPr="00427FB6">
        <w:rPr>
          <w:rFonts w:cstheme="minorHAnsi"/>
          <w:b/>
          <w:noProof/>
          <w:lang w:val="es-ES"/>
        </w:rPr>
        <w:t>El Comité Permanente aprobó la composición del Subgrupo sobre la COP15.</w:t>
      </w:r>
    </w:p>
    <w:p w14:paraId="37D44F5F" w14:textId="77777777" w:rsidR="009F11C2" w:rsidRPr="00427FB6" w:rsidRDefault="009F11C2" w:rsidP="009849E4">
      <w:pPr>
        <w:spacing w:after="0" w:line="240" w:lineRule="auto"/>
        <w:rPr>
          <w:rFonts w:cstheme="minorHAnsi"/>
          <w:noProof/>
          <w:lang w:val="es-ES"/>
        </w:rPr>
      </w:pPr>
    </w:p>
    <w:p w14:paraId="66F5AE4D" w14:textId="51FE575D" w:rsidR="009F11C2" w:rsidRPr="00427FB6" w:rsidRDefault="00AD5297"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427FB6">
        <w:rPr>
          <w:rFonts w:cstheme="minorHAnsi"/>
          <w:bCs/>
          <w:noProof/>
          <w:lang w:val="es-ES"/>
        </w:rPr>
        <w:t xml:space="preserve">Punto 10 del orden del día: </w:t>
      </w:r>
      <w:r w:rsidR="00A7411C" w:rsidRPr="00427FB6">
        <w:rPr>
          <w:rFonts w:cstheme="minorHAnsi"/>
          <w:noProof/>
          <w:lang w:val="es-ES"/>
        </w:rPr>
        <w:t>Informe del Grupo de trabajo sobre el Plan Estratégico</w:t>
      </w:r>
      <w:r w:rsidR="00A7411C" w:rsidRPr="00427FB6" w:rsidDel="00AD5297">
        <w:rPr>
          <w:rFonts w:cstheme="minorHAnsi"/>
          <w:bCs/>
          <w:noProof/>
          <w:lang w:val="es-ES"/>
        </w:rPr>
        <w:t xml:space="preserve"> </w:t>
      </w:r>
    </w:p>
    <w:p w14:paraId="57829AAA" w14:textId="77777777" w:rsidR="004F2321" w:rsidRPr="00427FB6" w:rsidRDefault="004F2321" w:rsidP="009849E4">
      <w:pPr>
        <w:spacing w:after="0" w:line="240" w:lineRule="auto"/>
        <w:rPr>
          <w:noProof/>
          <w:lang w:val="es-ES"/>
        </w:rPr>
      </w:pPr>
    </w:p>
    <w:p w14:paraId="3F73CEF1" w14:textId="64469A05" w:rsidR="006E1938" w:rsidRPr="00427FB6" w:rsidRDefault="004F2321" w:rsidP="009849E4">
      <w:pPr>
        <w:spacing w:after="0" w:line="240" w:lineRule="auto"/>
        <w:rPr>
          <w:rFonts w:cstheme="minorHAnsi"/>
          <w:b/>
          <w:i/>
          <w:noProof/>
          <w:lang w:val="es-ES"/>
        </w:rPr>
      </w:pPr>
      <w:r w:rsidRPr="00427FB6">
        <w:rPr>
          <w:rFonts w:cstheme="minorHAnsi"/>
          <w:b/>
          <w:noProof/>
          <w:lang w:val="es-ES"/>
        </w:rPr>
        <w:t>Decisi</w:t>
      </w:r>
      <w:r w:rsidR="00525F03" w:rsidRPr="00427FB6">
        <w:rPr>
          <w:rFonts w:cstheme="minorHAnsi"/>
          <w:b/>
          <w:noProof/>
          <w:lang w:val="es-ES"/>
        </w:rPr>
        <w:t>ó</w:t>
      </w:r>
      <w:r w:rsidRPr="00427FB6">
        <w:rPr>
          <w:rFonts w:cstheme="minorHAnsi"/>
          <w:b/>
          <w:noProof/>
          <w:lang w:val="es-ES"/>
        </w:rPr>
        <w:t>n SC62-</w:t>
      </w:r>
      <w:r w:rsidR="00E74514" w:rsidRPr="00427FB6">
        <w:rPr>
          <w:rFonts w:cstheme="minorHAnsi"/>
          <w:b/>
          <w:noProof/>
          <w:lang w:val="es-ES"/>
        </w:rPr>
        <w:t>11</w:t>
      </w:r>
      <w:r w:rsidRPr="00427FB6">
        <w:rPr>
          <w:rFonts w:cstheme="minorHAnsi"/>
          <w:b/>
          <w:noProof/>
          <w:lang w:val="es-ES"/>
        </w:rPr>
        <w:t xml:space="preserve">: </w:t>
      </w:r>
      <w:r w:rsidR="00525F03" w:rsidRPr="00427FB6">
        <w:rPr>
          <w:rFonts w:cstheme="minorHAnsi"/>
          <w:b/>
          <w:noProof/>
          <w:lang w:val="es-ES"/>
        </w:rPr>
        <w:t>El Comité Permanente tomó nota del Informe del Grupo de trabajo sobre el Plan Estratégico.</w:t>
      </w:r>
      <w:r w:rsidR="009F11C2" w:rsidRPr="00427FB6">
        <w:rPr>
          <w:rFonts w:cstheme="minorHAnsi"/>
          <w:b/>
          <w:noProof/>
          <w:lang w:val="es-ES"/>
        </w:rPr>
        <w:t xml:space="preserve"> </w:t>
      </w:r>
    </w:p>
    <w:p w14:paraId="34AC4CBD" w14:textId="77777777" w:rsidR="008160EC" w:rsidRPr="00427FB6" w:rsidRDefault="008160EC" w:rsidP="009849E4">
      <w:pPr>
        <w:keepNext/>
        <w:spacing w:after="0" w:line="240" w:lineRule="auto"/>
        <w:rPr>
          <w:rFonts w:cstheme="minorHAnsi"/>
          <w:noProof/>
          <w:lang w:val="es-ES"/>
        </w:rPr>
      </w:pPr>
    </w:p>
    <w:p w14:paraId="5108AF53"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Punto 25 del orden del día: Informe de la Secretaría sobre las Iniciativas Regionales de Ramsar</w:t>
      </w:r>
    </w:p>
    <w:p w14:paraId="1683C2F2" w14:textId="77777777" w:rsidR="008160EC" w:rsidRPr="00427FB6" w:rsidRDefault="008160EC" w:rsidP="009849E4">
      <w:pPr>
        <w:spacing w:after="0" w:line="240" w:lineRule="auto"/>
        <w:rPr>
          <w:noProof/>
          <w:lang w:val="es-ES"/>
        </w:rPr>
      </w:pPr>
    </w:p>
    <w:p w14:paraId="57DA68FF" w14:textId="77777777" w:rsidR="008160EC" w:rsidRPr="00427FB6" w:rsidRDefault="008160EC" w:rsidP="009849E4">
      <w:pPr>
        <w:spacing w:after="0" w:line="240" w:lineRule="auto"/>
        <w:rPr>
          <w:rFonts w:cstheme="minorHAnsi"/>
          <w:b/>
          <w:i/>
          <w:noProof/>
          <w:lang w:val="es-ES"/>
        </w:rPr>
      </w:pPr>
      <w:r w:rsidRPr="00427FB6">
        <w:rPr>
          <w:rFonts w:cstheme="minorHAnsi"/>
          <w:b/>
          <w:noProof/>
          <w:lang w:val="es-ES"/>
        </w:rPr>
        <w:t>Decisión SC62-12:</w:t>
      </w:r>
      <w:r w:rsidRPr="00427FB6">
        <w:rPr>
          <w:rFonts w:cstheme="minorHAnsi"/>
          <w:b/>
          <w:iCs/>
          <w:noProof/>
          <w:lang w:val="es-ES"/>
        </w:rPr>
        <w:t xml:space="preserve"> El Comité Permanente tomó nota de los informes anuales presentados por las iniciativas regionales de Ramsar (IRR) para 2022 con arreglo a la Resolución XIV.7, </w:t>
      </w:r>
      <w:r w:rsidRPr="00427FB6">
        <w:rPr>
          <w:rFonts w:cstheme="minorHAnsi"/>
          <w:b/>
          <w:i/>
          <w:noProof/>
          <w:lang w:val="es-ES"/>
        </w:rPr>
        <w:t>Iniciativas regionales de Ramsar.</w:t>
      </w:r>
    </w:p>
    <w:p w14:paraId="70FAE97B" w14:textId="77777777" w:rsidR="008160EC" w:rsidRPr="00427FB6" w:rsidRDefault="008160EC" w:rsidP="009849E4">
      <w:pPr>
        <w:pStyle w:val="ColorfulList-Accent11"/>
        <w:ind w:left="0"/>
        <w:rPr>
          <w:rFonts w:cs="Calibri"/>
          <w:b/>
          <w:noProof/>
          <w:lang w:val="es-ES"/>
        </w:rPr>
      </w:pPr>
    </w:p>
    <w:p w14:paraId="64DC14A2" w14:textId="77777777" w:rsidR="008160EC" w:rsidRPr="00427FB6" w:rsidRDefault="008160EC" w:rsidP="009849E4">
      <w:pPr>
        <w:spacing w:after="0" w:line="240" w:lineRule="auto"/>
        <w:rPr>
          <w:rFonts w:cstheme="minorHAnsi"/>
          <w:b/>
          <w:iCs/>
          <w:noProof/>
          <w:lang w:val="es-ES"/>
        </w:rPr>
      </w:pPr>
      <w:r w:rsidRPr="00427FB6">
        <w:rPr>
          <w:rFonts w:cstheme="minorHAnsi"/>
          <w:b/>
          <w:noProof/>
          <w:lang w:val="es-ES"/>
        </w:rPr>
        <w:t>Decisión SC62-13:</w:t>
      </w:r>
      <w:r w:rsidRPr="00427FB6">
        <w:rPr>
          <w:rFonts w:cstheme="minorHAnsi"/>
          <w:b/>
          <w:iCs/>
          <w:noProof/>
          <w:lang w:val="es-ES"/>
        </w:rPr>
        <w:t xml:space="preserve"> El Comité Permanente tomó nota de la asignación de fondos con cargo a la partida presupuestaria D, </w:t>
      </w:r>
      <w:r w:rsidRPr="00427FB6">
        <w:rPr>
          <w:rFonts w:cstheme="minorHAnsi"/>
          <w:b/>
          <w:noProof/>
          <w:lang w:val="es-ES"/>
        </w:rPr>
        <w:t>“Apoyo a las iniciativas regionales”,</w:t>
      </w:r>
      <w:r w:rsidRPr="00427FB6">
        <w:rPr>
          <w:rFonts w:cstheme="minorHAnsi"/>
          <w:b/>
          <w:iCs/>
          <w:noProof/>
          <w:lang w:val="es-ES"/>
        </w:rPr>
        <w:t xml:space="preserve"> propuesta en el documento </w:t>
      </w:r>
      <w:r w:rsidRPr="00427FB6">
        <w:rPr>
          <w:rFonts w:cs="Calibri"/>
          <w:b/>
          <w:noProof/>
          <w:lang w:val="es-ES"/>
        </w:rPr>
        <w:t>SC62 Doc.8.1 con el fin de proporcionar financiación inicial por un monto de 30 000 francos suizos a la iniciativa regional de Ramsar de África Meridional.</w:t>
      </w:r>
    </w:p>
    <w:p w14:paraId="648B97A4" w14:textId="77777777" w:rsidR="008160EC" w:rsidRPr="00427FB6" w:rsidRDefault="008160EC" w:rsidP="009849E4">
      <w:pPr>
        <w:keepNext/>
        <w:spacing w:after="0" w:line="240" w:lineRule="auto"/>
        <w:rPr>
          <w:rFonts w:cstheme="minorHAnsi"/>
          <w:noProof/>
          <w:lang w:val="es-ES"/>
        </w:rPr>
      </w:pPr>
    </w:p>
    <w:p w14:paraId="5A456231"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Punto 13 del orden del día: Plan de trabajo de la Secretaría para 2023-2025</w:t>
      </w:r>
    </w:p>
    <w:p w14:paraId="7DD27BE0" w14:textId="77777777" w:rsidR="008160EC" w:rsidRPr="00427FB6" w:rsidRDefault="008160EC" w:rsidP="009849E4">
      <w:pPr>
        <w:spacing w:after="0" w:line="240" w:lineRule="auto"/>
        <w:rPr>
          <w:rFonts w:eastAsia="Calibri" w:cstheme="minorHAnsi"/>
          <w:bCs/>
          <w:noProof/>
          <w:lang w:val="es-ES"/>
        </w:rPr>
      </w:pPr>
    </w:p>
    <w:p w14:paraId="0EE73FD5"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SC62-14: El Comité Permanente tomó nota de los planes integrados de la Secretaría: el Plan de trabajo para 2023 y el Plan trienal para 2023-2025, a reserva de las adiciones propuestas por la Presidencia del GECT.</w:t>
      </w:r>
    </w:p>
    <w:p w14:paraId="2D6BFA12" w14:textId="77777777" w:rsidR="008160EC" w:rsidRPr="00427FB6" w:rsidRDefault="008160EC" w:rsidP="009849E4">
      <w:pPr>
        <w:keepNext/>
        <w:spacing w:after="0" w:line="240" w:lineRule="auto"/>
        <w:rPr>
          <w:rFonts w:cstheme="minorHAnsi"/>
          <w:noProof/>
          <w:lang w:val="es-ES"/>
        </w:rPr>
      </w:pPr>
    </w:p>
    <w:p w14:paraId="22655E88"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11 del orden del día: Informe de la </w:t>
      </w:r>
      <w:r w:rsidRPr="00427FB6">
        <w:rPr>
          <w:noProof/>
          <w:lang w:val="es-ES"/>
        </w:rPr>
        <w:t>Secretaría sobre el fortalecimiento institucional para apoyar la aplicación de la Convención</w:t>
      </w:r>
    </w:p>
    <w:p w14:paraId="3B7056B0" w14:textId="77777777" w:rsidR="008160EC" w:rsidRPr="00427FB6" w:rsidRDefault="008160EC" w:rsidP="009849E4">
      <w:pPr>
        <w:spacing w:after="0" w:line="240" w:lineRule="auto"/>
        <w:ind w:left="567" w:hanging="567"/>
        <w:rPr>
          <w:noProof/>
          <w:lang w:val="es-ES"/>
        </w:rPr>
      </w:pPr>
    </w:p>
    <w:p w14:paraId="5FBA6DCF" w14:textId="77777777" w:rsidR="008160EC" w:rsidRPr="00427FB6" w:rsidRDefault="008160EC" w:rsidP="009849E4">
      <w:pPr>
        <w:spacing w:after="0" w:line="240" w:lineRule="auto"/>
        <w:contextualSpacing/>
        <w:rPr>
          <w:b/>
          <w:noProof/>
          <w:lang w:val="es-ES"/>
        </w:rPr>
      </w:pPr>
      <w:r w:rsidRPr="00427FB6">
        <w:rPr>
          <w:rFonts w:cstheme="minorHAnsi"/>
          <w:b/>
          <w:noProof/>
          <w:lang w:val="es-ES"/>
        </w:rPr>
        <w:t xml:space="preserve">Decisión SC62-15: El Comité Permanente tomó nota del informe de la Secretaría sobre el fortalecimiento institucional </w:t>
      </w:r>
      <w:r w:rsidRPr="00427FB6">
        <w:rPr>
          <w:b/>
          <w:noProof/>
          <w:lang w:val="es-ES"/>
        </w:rPr>
        <w:t>para apoyar la aplicación de la Convención en respuesta al párrafo 22 de la Resolución XIV.6.</w:t>
      </w:r>
    </w:p>
    <w:p w14:paraId="0E13902B" w14:textId="77777777" w:rsidR="008160EC" w:rsidRPr="00427FB6" w:rsidRDefault="008160EC" w:rsidP="009849E4">
      <w:pPr>
        <w:spacing w:after="0" w:line="240" w:lineRule="auto"/>
        <w:contextualSpacing/>
        <w:rPr>
          <w:b/>
          <w:noProof/>
          <w:lang w:val="es-ES"/>
        </w:rPr>
      </w:pPr>
    </w:p>
    <w:p w14:paraId="1F8E7FAA" w14:textId="77777777" w:rsidR="008160EC" w:rsidRPr="00427FB6" w:rsidRDefault="008160EC" w:rsidP="009849E4">
      <w:pPr>
        <w:spacing w:after="0" w:line="240" w:lineRule="auto"/>
        <w:contextualSpacing/>
        <w:rPr>
          <w:rFonts w:eastAsia="Calibri" w:cstheme="minorHAnsi"/>
          <w:bCs/>
          <w:noProof/>
          <w:lang w:val="es-ES"/>
        </w:rPr>
      </w:pPr>
      <w:r w:rsidRPr="00427FB6">
        <w:rPr>
          <w:rFonts w:cstheme="minorHAnsi"/>
          <w:b/>
          <w:noProof/>
          <w:lang w:val="es-ES"/>
        </w:rPr>
        <w:t>Decisión SC62-16: El Comité Permanente tomó nota de las recomendaciones de las Partes Contratantes interesadas y la Secretaría reflejadas en el Anexo 2 del informe.</w:t>
      </w:r>
    </w:p>
    <w:p w14:paraId="38C45F85" w14:textId="77777777" w:rsidR="008160EC" w:rsidRPr="00427FB6" w:rsidRDefault="008160EC" w:rsidP="009849E4">
      <w:pPr>
        <w:spacing w:after="0" w:line="240" w:lineRule="auto"/>
        <w:contextualSpacing/>
        <w:rPr>
          <w:rFonts w:eastAsia="Calibri" w:cstheme="minorHAnsi"/>
          <w:bCs/>
          <w:noProof/>
          <w:lang w:val="es-ES"/>
        </w:rPr>
      </w:pPr>
    </w:p>
    <w:p w14:paraId="60914516" w14:textId="77777777" w:rsidR="008160EC" w:rsidRPr="00427FB6" w:rsidRDefault="008160EC" w:rsidP="009849E4">
      <w:pPr>
        <w:spacing w:after="0" w:line="240" w:lineRule="auto"/>
        <w:contextualSpacing/>
        <w:rPr>
          <w:rFonts w:eastAsia="Calibri" w:cstheme="minorHAnsi"/>
          <w:bCs/>
          <w:noProof/>
          <w:lang w:val="es-ES"/>
        </w:rPr>
      </w:pPr>
      <w:r w:rsidRPr="00427FB6">
        <w:rPr>
          <w:rFonts w:cstheme="minorHAnsi"/>
          <w:b/>
          <w:noProof/>
          <w:lang w:val="es-ES"/>
        </w:rPr>
        <w:t xml:space="preserve">Decisión SC62-17: El Comité Permanente estableció un grupo de trabajo para dirigir </w:t>
      </w:r>
      <w:r w:rsidRPr="00427FB6">
        <w:rPr>
          <w:b/>
          <w:noProof/>
          <w:lang w:val="es-ES"/>
        </w:rPr>
        <w:t xml:space="preserve">el proceso encaminado a lograr una solidez organizativa que apoye la aplicación </w:t>
      </w:r>
      <w:r w:rsidRPr="00427FB6">
        <w:rPr>
          <w:rFonts w:cstheme="minorHAnsi"/>
          <w:b/>
          <w:noProof/>
          <w:lang w:val="es-ES"/>
        </w:rPr>
        <w:t>de la Convención, entre otras cosas mediante la preparación de un proyecto de resolución que será examinado por el Comité Permanente en su 63ª reunión.</w:t>
      </w:r>
    </w:p>
    <w:p w14:paraId="401439AE" w14:textId="77777777" w:rsidR="008160EC" w:rsidRPr="00427FB6" w:rsidRDefault="008160EC" w:rsidP="009849E4">
      <w:pPr>
        <w:spacing w:after="0" w:line="240" w:lineRule="auto"/>
        <w:rPr>
          <w:rFonts w:eastAsia="Calibri" w:cstheme="minorHAnsi"/>
          <w:bCs/>
          <w:noProof/>
          <w:lang w:val="es-ES"/>
        </w:rPr>
      </w:pPr>
    </w:p>
    <w:p w14:paraId="62F59622"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Punto 12 del orden del día: Informe de la Secretaría sobre la mejora de la eficacia y la eficiencia de la Convención</w:t>
      </w:r>
    </w:p>
    <w:p w14:paraId="7790C693" w14:textId="77777777" w:rsidR="008160EC" w:rsidRPr="00427FB6" w:rsidRDefault="008160EC" w:rsidP="009849E4">
      <w:pPr>
        <w:tabs>
          <w:tab w:val="left" w:pos="6539"/>
        </w:tabs>
        <w:spacing w:after="0" w:line="240" w:lineRule="auto"/>
        <w:ind w:left="567" w:hanging="567"/>
        <w:rPr>
          <w:rFonts w:eastAsia="Calibri" w:cstheme="minorHAnsi"/>
          <w:bCs/>
          <w:noProof/>
          <w:lang w:val="es-ES"/>
        </w:rPr>
      </w:pPr>
      <w:r w:rsidRPr="00427FB6">
        <w:rPr>
          <w:rFonts w:eastAsia="Calibri" w:cstheme="minorHAnsi"/>
          <w:bCs/>
          <w:noProof/>
          <w:lang w:val="es-ES"/>
        </w:rPr>
        <w:tab/>
      </w:r>
    </w:p>
    <w:p w14:paraId="081EF6E2" w14:textId="1E03C9AC" w:rsidR="008160EC" w:rsidRPr="00427FB6" w:rsidRDefault="008160EC" w:rsidP="009849E4">
      <w:pPr>
        <w:spacing w:after="0" w:line="240" w:lineRule="auto"/>
        <w:contextualSpacing/>
        <w:rPr>
          <w:rFonts w:eastAsia="Calibri" w:cstheme="minorHAnsi"/>
          <w:bCs/>
          <w:noProof/>
          <w:lang w:val="es-ES"/>
        </w:rPr>
      </w:pPr>
      <w:bookmarkStart w:id="0" w:name="_Hlk144886658"/>
      <w:r w:rsidRPr="00427FB6">
        <w:rPr>
          <w:rFonts w:cstheme="minorHAnsi"/>
          <w:b/>
          <w:noProof/>
          <w:lang w:val="es-ES"/>
        </w:rPr>
        <w:t xml:space="preserve">Decisión SC62-18: El Comité Permanente encargó a la Secretaría que siguiera la opción 1, definida en el documento SC62 Doc.12, utilizando las herramientas existentes para preparar un plan con el fin de presentarlo a la 63ª reunión del Comité Permanente, </w:t>
      </w:r>
      <w:r w:rsidR="007631E4" w:rsidRPr="00427FB6">
        <w:rPr>
          <w:rFonts w:cstheme="minorHAnsi"/>
          <w:b/>
          <w:noProof/>
          <w:lang w:val="es-ES"/>
        </w:rPr>
        <w:t xml:space="preserve">reconociendo que la aplicación de este tipo de herramientas no sustituiría las negociaciones en persona y observando que el proceso se perfeccionaría </w:t>
      </w:r>
      <w:r w:rsidR="00073695" w:rsidRPr="00427FB6">
        <w:rPr>
          <w:rFonts w:cstheme="minorHAnsi"/>
          <w:b/>
          <w:noProof/>
          <w:lang w:val="es-ES"/>
        </w:rPr>
        <w:t>en</w:t>
      </w:r>
      <w:r w:rsidR="007631E4" w:rsidRPr="00427FB6">
        <w:rPr>
          <w:rFonts w:cstheme="minorHAnsi"/>
          <w:b/>
          <w:noProof/>
          <w:lang w:val="es-ES"/>
        </w:rPr>
        <w:t xml:space="preserve"> </w:t>
      </w:r>
      <w:r w:rsidRPr="00427FB6">
        <w:rPr>
          <w:rFonts w:cstheme="minorHAnsi"/>
          <w:b/>
          <w:noProof/>
          <w:lang w:val="es-ES"/>
        </w:rPr>
        <w:t xml:space="preserve">deliberaciones </w:t>
      </w:r>
      <w:r w:rsidR="007631E4" w:rsidRPr="00427FB6">
        <w:rPr>
          <w:rFonts w:cstheme="minorHAnsi"/>
          <w:b/>
          <w:noProof/>
          <w:lang w:val="es-ES"/>
        </w:rPr>
        <w:t>adicionales</w:t>
      </w:r>
      <w:r w:rsidRPr="00427FB6">
        <w:rPr>
          <w:rFonts w:cstheme="minorHAnsi"/>
          <w:b/>
          <w:noProof/>
          <w:lang w:val="es-ES"/>
        </w:rPr>
        <w:t>.</w:t>
      </w:r>
    </w:p>
    <w:bookmarkEnd w:id="0"/>
    <w:p w14:paraId="26F1EAC9" w14:textId="77777777" w:rsidR="008160EC" w:rsidRPr="00427FB6" w:rsidRDefault="008160EC" w:rsidP="009849E4">
      <w:pPr>
        <w:keepNext/>
        <w:spacing w:after="0" w:line="240" w:lineRule="auto"/>
        <w:rPr>
          <w:rFonts w:cstheme="minorHAnsi"/>
          <w:noProof/>
          <w:lang w:val="es-ES"/>
        </w:rPr>
      </w:pPr>
    </w:p>
    <w:p w14:paraId="29C8DAB7"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Punto 14 del orden del día: Mejora de la visibilidad de la Convención y de las sinergias en colaboración con acuerdos multilaterales sobre el medio ambiente y otras instituciones internacionales</w:t>
      </w:r>
    </w:p>
    <w:p w14:paraId="6CA3E974" w14:textId="77777777" w:rsidR="008160EC" w:rsidRPr="00427FB6" w:rsidRDefault="008160EC" w:rsidP="009849E4">
      <w:pPr>
        <w:spacing w:after="0" w:line="240" w:lineRule="auto"/>
        <w:ind w:left="720" w:hanging="720"/>
        <w:rPr>
          <w:rFonts w:cstheme="minorHAnsi"/>
          <w:b/>
          <w:noProof/>
          <w:lang w:val="es-ES"/>
        </w:rPr>
      </w:pPr>
    </w:p>
    <w:p w14:paraId="674006E4" w14:textId="77777777" w:rsidR="008160EC" w:rsidRPr="00427FB6" w:rsidRDefault="008160EC" w:rsidP="009849E4">
      <w:pPr>
        <w:spacing w:after="0" w:line="240" w:lineRule="auto"/>
        <w:contextualSpacing/>
        <w:rPr>
          <w:rFonts w:eastAsia="Calibri" w:cstheme="minorHAnsi"/>
          <w:bCs/>
          <w:noProof/>
          <w:lang w:val="es-ES"/>
        </w:rPr>
      </w:pPr>
      <w:r w:rsidRPr="00427FB6">
        <w:rPr>
          <w:rFonts w:cstheme="minorHAnsi"/>
          <w:b/>
          <w:noProof/>
          <w:lang w:val="es-ES"/>
        </w:rPr>
        <w:t>Decisión SC62-19: El Comité Permanente tomó nota de los progresos realizados en la aplicación de las resoluciones XIV.6 y XIII.7 sobre la mejora de la visibilidad de la Convención y de las sinergias en colaboración con acuerdos multilaterales sobre el medio ambiente y otras instituciones internacionales.</w:t>
      </w:r>
    </w:p>
    <w:p w14:paraId="1E554D7E" w14:textId="77777777" w:rsidR="008160EC" w:rsidRPr="00427FB6" w:rsidRDefault="008160EC" w:rsidP="009849E4">
      <w:pPr>
        <w:keepNext/>
        <w:spacing w:after="0" w:line="240" w:lineRule="auto"/>
        <w:rPr>
          <w:rFonts w:cstheme="minorHAnsi"/>
          <w:noProof/>
          <w:lang w:val="es-ES"/>
        </w:rPr>
      </w:pPr>
    </w:p>
    <w:p w14:paraId="498AAD7E"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15 del orden del día: </w:t>
      </w:r>
      <w:r w:rsidRPr="00427FB6">
        <w:rPr>
          <w:noProof/>
          <w:lang w:val="es-ES"/>
        </w:rPr>
        <w:t>Examen y consolidación de las resoluciones en vigor</w:t>
      </w:r>
    </w:p>
    <w:p w14:paraId="1CA2AB3B" w14:textId="77777777" w:rsidR="008160EC" w:rsidRPr="00427FB6" w:rsidRDefault="008160EC" w:rsidP="009849E4">
      <w:pPr>
        <w:spacing w:after="0" w:line="240" w:lineRule="auto"/>
        <w:ind w:left="720" w:hanging="720"/>
        <w:rPr>
          <w:noProof/>
          <w:lang w:val="es-ES"/>
        </w:rPr>
      </w:pPr>
    </w:p>
    <w:p w14:paraId="278FC543"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SC62-20: El Comité Permanente tomó nota de las acciones realizadas por la Secretaría y descritas en el documento SC62 Doc.15.</w:t>
      </w:r>
    </w:p>
    <w:p w14:paraId="518F521D" w14:textId="77777777" w:rsidR="008160EC" w:rsidRPr="00427FB6" w:rsidRDefault="008160EC" w:rsidP="009849E4">
      <w:pPr>
        <w:spacing w:after="0" w:line="240" w:lineRule="auto"/>
        <w:contextualSpacing/>
        <w:rPr>
          <w:rFonts w:cstheme="minorHAnsi"/>
          <w:b/>
          <w:noProof/>
          <w:lang w:val="es-ES"/>
        </w:rPr>
      </w:pPr>
    </w:p>
    <w:p w14:paraId="389D870E" w14:textId="09B95B08"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SC62-21: El Comité Permanente aprobó el proceso de tres pasos indicado en el párrafo 23</w:t>
      </w:r>
      <w:r w:rsidR="00073695" w:rsidRPr="00427FB6">
        <w:rPr>
          <w:rFonts w:cstheme="minorHAnsi"/>
          <w:b/>
          <w:noProof/>
          <w:lang w:val="es-ES"/>
        </w:rPr>
        <w:t xml:space="preserve"> del documento SC62 Doc.15</w:t>
      </w:r>
      <w:r w:rsidRPr="00427FB6">
        <w:rPr>
          <w:rFonts w:cstheme="minorHAnsi"/>
          <w:b/>
          <w:noProof/>
          <w:lang w:val="es-ES"/>
        </w:rPr>
        <w:t xml:space="preserve"> para el mantenimiento de la lista de decisiones en vigor del Comité Permanente, con la salvedad de que no se considere que las decisiones más antiguas que estén excluidas de la lista no son aplicables sino que estén accesibles en el sitio web de la Convención y puedan ser incluidas en la lista si se observa que aún están en vigor. </w:t>
      </w:r>
    </w:p>
    <w:p w14:paraId="5D5A156A" w14:textId="77777777" w:rsidR="00073695" w:rsidRPr="00427FB6" w:rsidRDefault="00073695" w:rsidP="009849E4">
      <w:pPr>
        <w:keepNext/>
        <w:spacing w:after="0" w:line="240" w:lineRule="auto"/>
        <w:rPr>
          <w:rFonts w:cstheme="minorHAnsi"/>
          <w:b/>
          <w:noProof/>
          <w:lang w:val="es-ES"/>
        </w:rPr>
      </w:pPr>
    </w:p>
    <w:p w14:paraId="2B041F3A"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Punto 25 del orden del día: Informe de la Secretaría sobre las Iniciativas Regionales de Ramsar (continuación)</w:t>
      </w:r>
    </w:p>
    <w:p w14:paraId="4EC19CFE" w14:textId="77777777" w:rsidR="008160EC" w:rsidRPr="00427FB6" w:rsidRDefault="008160EC" w:rsidP="009849E4">
      <w:pPr>
        <w:spacing w:after="0" w:line="240" w:lineRule="auto"/>
        <w:ind w:left="567" w:hanging="567"/>
        <w:rPr>
          <w:rFonts w:eastAsia="Calibri" w:cstheme="minorHAnsi"/>
          <w:bCs/>
          <w:noProof/>
          <w:lang w:val="es-ES"/>
        </w:rPr>
      </w:pPr>
    </w:p>
    <w:p w14:paraId="74B0AA44" w14:textId="76D2845A" w:rsidR="008160EC" w:rsidRPr="00427FB6" w:rsidRDefault="008160EC" w:rsidP="009849E4">
      <w:pPr>
        <w:spacing w:after="0" w:line="240" w:lineRule="auto"/>
        <w:rPr>
          <w:rFonts w:cstheme="minorHAnsi"/>
          <w:b/>
          <w:noProof/>
          <w:lang w:val="es-ES"/>
        </w:rPr>
      </w:pPr>
      <w:r w:rsidRPr="00427FB6">
        <w:rPr>
          <w:rFonts w:cstheme="minorHAnsi"/>
          <w:b/>
          <w:noProof/>
          <w:lang w:val="es-ES"/>
        </w:rPr>
        <w:t xml:space="preserve">Decisión SC62-22: El Comité Permanente aprobó el Centro Internacional del Manglar como nueva iniciativa regional de Ramsar en el marco de la Convención. </w:t>
      </w:r>
      <w:r w:rsidR="0099500D" w:rsidRPr="0099500D">
        <w:rPr>
          <w:rFonts w:cstheme="minorHAnsi"/>
          <w:b/>
          <w:noProof/>
          <w:lang w:val="es-ES"/>
        </w:rPr>
        <w:t xml:space="preserve">Sus términos de referencia figuran </w:t>
      </w:r>
      <w:r w:rsidRPr="00427FB6">
        <w:rPr>
          <w:rFonts w:cstheme="minorHAnsi"/>
          <w:b/>
          <w:noProof/>
          <w:lang w:val="es-ES"/>
        </w:rPr>
        <w:t xml:space="preserve">en el Apéndice 1 del Anexo 2 del documento </w:t>
      </w:r>
      <w:r w:rsidRPr="00427FB6">
        <w:rPr>
          <w:b/>
          <w:noProof/>
          <w:lang w:val="es-ES"/>
        </w:rPr>
        <w:t>SC62 Doc.25 Rev.2.</w:t>
      </w:r>
    </w:p>
    <w:p w14:paraId="3880E56B" w14:textId="77777777" w:rsidR="008160EC" w:rsidRPr="00427FB6" w:rsidRDefault="008160EC" w:rsidP="009849E4">
      <w:pPr>
        <w:spacing w:after="0" w:line="240" w:lineRule="auto"/>
        <w:ind w:left="567" w:hanging="567"/>
        <w:rPr>
          <w:noProof/>
          <w:lang w:val="es-ES"/>
        </w:rPr>
      </w:pPr>
    </w:p>
    <w:p w14:paraId="43EE174F" w14:textId="77777777" w:rsidR="008160EC" w:rsidRPr="00427FB6" w:rsidRDefault="008160EC" w:rsidP="009849E4">
      <w:pPr>
        <w:spacing w:after="0" w:line="240" w:lineRule="auto"/>
        <w:rPr>
          <w:rFonts w:cstheme="minorHAnsi"/>
          <w:b/>
          <w:noProof/>
          <w:lang w:val="es-ES"/>
        </w:rPr>
      </w:pPr>
      <w:r w:rsidRPr="00427FB6">
        <w:rPr>
          <w:rFonts w:cstheme="minorHAnsi"/>
          <w:b/>
          <w:noProof/>
          <w:lang w:val="es-ES"/>
        </w:rPr>
        <w:t xml:space="preserve">Decisión SC62-23: El Comité Permanente tomó nota de que se había hecho una convocatoria de propuestas para nuevas iniciativas regionales de Ramsar con arreglo a la Resolución XIV.7, que la fecha límite para remitir respuestas era el 30 de septiembre de 2023, y que en la reunión SC63 la Secretaría informaría al Comité Permanente sobre el resultado de la convocatoria. </w:t>
      </w:r>
    </w:p>
    <w:p w14:paraId="2000F895" w14:textId="77777777" w:rsidR="008160EC" w:rsidRPr="00427FB6" w:rsidRDefault="008160EC" w:rsidP="009849E4">
      <w:pPr>
        <w:spacing w:after="0" w:line="240" w:lineRule="auto"/>
        <w:rPr>
          <w:rFonts w:cstheme="minorHAnsi"/>
          <w:b/>
          <w:noProof/>
          <w:lang w:val="es-ES"/>
        </w:rPr>
      </w:pPr>
    </w:p>
    <w:p w14:paraId="604D3F86"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15 del orden del día: Examen y consolidación de las resoluciones en vigor </w:t>
      </w:r>
      <w:r w:rsidRPr="00427FB6">
        <w:rPr>
          <w:noProof/>
          <w:lang w:val="es-ES"/>
        </w:rPr>
        <w:t>(continuación)</w:t>
      </w:r>
    </w:p>
    <w:p w14:paraId="461E6802" w14:textId="77777777" w:rsidR="008160EC" w:rsidRPr="00427FB6" w:rsidRDefault="008160EC" w:rsidP="009849E4">
      <w:pPr>
        <w:spacing w:after="0" w:line="240" w:lineRule="auto"/>
        <w:rPr>
          <w:noProof/>
          <w:lang w:val="es-ES"/>
        </w:rPr>
      </w:pPr>
    </w:p>
    <w:p w14:paraId="1788DC96" w14:textId="77777777" w:rsidR="008160EC" w:rsidRPr="00427FB6" w:rsidRDefault="008160EC" w:rsidP="009849E4">
      <w:pPr>
        <w:spacing w:after="0" w:line="240" w:lineRule="auto"/>
        <w:rPr>
          <w:rFonts w:cstheme="minorHAnsi"/>
          <w:b/>
          <w:noProof/>
          <w:lang w:val="es-ES"/>
        </w:rPr>
      </w:pPr>
      <w:r w:rsidRPr="00427FB6">
        <w:rPr>
          <w:rFonts w:cstheme="minorHAnsi"/>
          <w:b/>
          <w:noProof/>
          <w:lang w:val="es-ES"/>
        </w:rPr>
        <w:t>Decisión SC62-24: El Comité Permanente acordó la asignación de 33 000 francos suizos del excedente de fondos a fin de sufragar consultorías para apoyar el proceso de consolidación y examen de las resoluciones.</w:t>
      </w:r>
    </w:p>
    <w:p w14:paraId="78832162" w14:textId="77777777" w:rsidR="008160EC" w:rsidRPr="00427FB6" w:rsidRDefault="008160EC" w:rsidP="009849E4">
      <w:pPr>
        <w:spacing w:after="0" w:line="240" w:lineRule="auto"/>
        <w:rPr>
          <w:rFonts w:cstheme="minorHAnsi"/>
          <w:b/>
          <w:noProof/>
          <w:lang w:val="es-ES"/>
        </w:rPr>
      </w:pPr>
    </w:p>
    <w:p w14:paraId="59A4A3F6" w14:textId="77777777" w:rsidR="008160EC" w:rsidRPr="00427FB6" w:rsidRDefault="008160EC" w:rsidP="009849E4">
      <w:pPr>
        <w:spacing w:after="0" w:line="240" w:lineRule="auto"/>
        <w:rPr>
          <w:b/>
          <w:noProof/>
          <w:lang w:val="es-ES"/>
        </w:rPr>
      </w:pPr>
      <w:r w:rsidRPr="00427FB6">
        <w:rPr>
          <w:rFonts w:cstheme="minorHAnsi"/>
          <w:b/>
          <w:noProof/>
          <w:lang w:val="es-ES"/>
        </w:rPr>
        <w:t>Decisión SC62-25: El Comité Permanente seleccionó las categorías “Inventarios”, “CECoP”, “Agua, recursos hídricos y gestión de recursos hídricos</w:t>
      </w:r>
      <w:r w:rsidRPr="00427FB6">
        <w:rPr>
          <w:b/>
          <w:noProof/>
          <w:lang w:val="es-ES"/>
        </w:rPr>
        <w:t xml:space="preserve">” y “Evaluación de los valores y servicios de los humedales”, para las que se elaborarían proyectos de consolidación que se examinarían en la reunión SC63. </w:t>
      </w:r>
    </w:p>
    <w:p w14:paraId="1C32FBD8" w14:textId="77777777" w:rsidR="008160EC" w:rsidRPr="00427FB6" w:rsidRDefault="008160EC" w:rsidP="009849E4">
      <w:pPr>
        <w:keepNext/>
        <w:spacing w:after="0" w:line="240" w:lineRule="auto"/>
        <w:rPr>
          <w:rFonts w:cstheme="minorHAnsi"/>
          <w:noProof/>
          <w:lang w:val="es-ES"/>
        </w:rPr>
      </w:pPr>
    </w:p>
    <w:p w14:paraId="6AF46163"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16.1 del orden del día: </w:t>
      </w:r>
      <w:r w:rsidRPr="00427FB6">
        <w:rPr>
          <w:rFonts w:cstheme="minorHAnsi"/>
          <w:noProof/>
          <w:lang w:val="es-ES"/>
        </w:rPr>
        <w:t xml:space="preserve">Comunicación, </w:t>
      </w:r>
      <w:r w:rsidRPr="00427FB6">
        <w:rPr>
          <w:noProof/>
          <w:lang w:val="es-ES"/>
        </w:rPr>
        <w:t xml:space="preserve">fomento de capacidad, </w:t>
      </w:r>
      <w:r w:rsidRPr="00427FB6">
        <w:rPr>
          <w:rFonts w:cstheme="minorHAnsi"/>
          <w:noProof/>
          <w:lang w:val="es-ES"/>
        </w:rPr>
        <w:t xml:space="preserve">educación, concienciación y participación (CECoP): Informe </w:t>
      </w:r>
      <w:r w:rsidRPr="00427FB6">
        <w:rPr>
          <w:rFonts w:cstheme="minorHAnsi"/>
          <w:bCs/>
          <w:noProof/>
          <w:spacing w:val="-2"/>
          <w:lang w:val="es-ES"/>
        </w:rPr>
        <w:t xml:space="preserve">de la Presidencia </w:t>
      </w:r>
      <w:r w:rsidRPr="00427FB6">
        <w:rPr>
          <w:rFonts w:cstheme="minorHAnsi"/>
          <w:noProof/>
          <w:lang w:val="es-ES"/>
        </w:rPr>
        <w:t>del Grupo de supervisión de las actividades de CECoP</w:t>
      </w:r>
    </w:p>
    <w:p w14:paraId="333C17FF" w14:textId="77777777" w:rsidR="008160EC" w:rsidRPr="00427FB6" w:rsidRDefault="008160EC" w:rsidP="009849E4">
      <w:pPr>
        <w:spacing w:after="0" w:line="240" w:lineRule="auto"/>
        <w:rPr>
          <w:noProof/>
          <w:lang w:val="es-ES"/>
        </w:rPr>
      </w:pPr>
    </w:p>
    <w:p w14:paraId="237162F0" w14:textId="77777777" w:rsidR="008160EC" w:rsidRPr="00427FB6" w:rsidRDefault="008160EC" w:rsidP="009849E4">
      <w:pPr>
        <w:spacing w:after="0" w:line="240" w:lineRule="auto"/>
        <w:rPr>
          <w:rFonts w:cstheme="minorHAnsi"/>
          <w:b/>
          <w:bCs/>
          <w:noProof/>
          <w:lang w:val="es-ES"/>
        </w:rPr>
      </w:pPr>
      <w:r w:rsidRPr="00427FB6">
        <w:rPr>
          <w:rFonts w:cstheme="minorHAnsi"/>
          <w:b/>
          <w:noProof/>
          <w:lang w:val="es-ES"/>
        </w:rPr>
        <w:t xml:space="preserve">Decisión SC62-26: El Comité Permanente tomó nota del informe del </w:t>
      </w:r>
      <w:r w:rsidRPr="00427FB6">
        <w:rPr>
          <w:rFonts w:cstheme="minorHAnsi"/>
          <w:b/>
          <w:bCs/>
          <w:noProof/>
          <w:lang w:val="es-ES"/>
        </w:rPr>
        <w:t xml:space="preserve">Grupo de supervisión de las actividades de CECoP que figura en el documento </w:t>
      </w:r>
      <w:r w:rsidRPr="00427FB6">
        <w:rPr>
          <w:rFonts w:cstheme="minorHAnsi"/>
          <w:b/>
          <w:noProof/>
          <w:lang w:val="es-ES"/>
        </w:rPr>
        <w:t xml:space="preserve">SC62 Doc.16.1. </w:t>
      </w:r>
    </w:p>
    <w:p w14:paraId="4FED47BC" w14:textId="77777777" w:rsidR="008160EC" w:rsidRPr="00427FB6" w:rsidRDefault="008160EC" w:rsidP="009849E4">
      <w:pPr>
        <w:spacing w:after="0" w:line="240" w:lineRule="auto"/>
        <w:ind w:left="720" w:hanging="720"/>
        <w:rPr>
          <w:rFonts w:cstheme="minorHAnsi"/>
          <w:b/>
          <w:noProof/>
          <w:lang w:val="es-ES"/>
        </w:rPr>
      </w:pPr>
    </w:p>
    <w:p w14:paraId="5CE5DA20"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16.2 del orden del día: </w:t>
      </w:r>
      <w:r w:rsidRPr="00427FB6">
        <w:rPr>
          <w:rFonts w:cstheme="minorHAnsi"/>
          <w:noProof/>
          <w:lang w:val="es-ES"/>
        </w:rPr>
        <w:t xml:space="preserve">Comunicación, </w:t>
      </w:r>
      <w:r w:rsidRPr="00427FB6">
        <w:rPr>
          <w:noProof/>
          <w:lang w:val="es-ES"/>
        </w:rPr>
        <w:t xml:space="preserve">fomento de capacidad, </w:t>
      </w:r>
      <w:r w:rsidRPr="00427FB6">
        <w:rPr>
          <w:rFonts w:cstheme="minorHAnsi"/>
          <w:noProof/>
          <w:lang w:val="es-ES"/>
        </w:rPr>
        <w:t>educación, concienciación y participación (CECoP):</w:t>
      </w:r>
      <w:r w:rsidRPr="00427FB6">
        <w:rPr>
          <w:noProof/>
          <w:lang w:val="es-ES"/>
        </w:rPr>
        <w:t xml:space="preserve"> </w:t>
      </w:r>
      <w:r w:rsidRPr="00427FB6">
        <w:rPr>
          <w:rFonts w:cstheme="minorHAnsi"/>
          <w:noProof/>
          <w:lang w:val="es-ES"/>
        </w:rPr>
        <w:t>Plan de trabajo del Grupo de supervisión de las actividades de CECoP, 2023-2025</w:t>
      </w:r>
    </w:p>
    <w:p w14:paraId="0AB40D13" w14:textId="77777777" w:rsidR="008160EC" w:rsidRPr="00427FB6" w:rsidRDefault="008160EC" w:rsidP="009849E4">
      <w:pPr>
        <w:spacing w:after="0" w:line="240" w:lineRule="auto"/>
        <w:rPr>
          <w:noProof/>
          <w:lang w:val="es-ES"/>
        </w:rPr>
      </w:pPr>
    </w:p>
    <w:p w14:paraId="38664767" w14:textId="77777777" w:rsidR="008160EC" w:rsidRPr="00427FB6" w:rsidRDefault="008160EC" w:rsidP="009849E4">
      <w:pPr>
        <w:spacing w:after="0" w:line="240" w:lineRule="auto"/>
        <w:rPr>
          <w:rFonts w:cstheme="minorHAnsi"/>
          <w:b/>
          <w:bCs/>
          <w:noProof/>
          <w:lang w:val="es-ES"/>
        </w:rPr>
      </w:pPr>
      <w:r w:rsidRPr="00427FB6">
        <w:rPr>
          <w:rFonts w:cstheme="minorHAnsi"/>
          <w:b/>
          <w:noProof/>
          <w:lang w:val="es-ES"/>
        </w:rPr>
        <w:t xml:space="preserve">Decisión SC62-27: El Comité Permanente tomó nota del Plan de trabajo para 2023-2025 del </w:t>
      </w:r>
      <w:r w:rsidRPr="00427FB6">
        <w:rPr>
          <w:rFonts w:cstheme="minorHAnsi"/>
          <w:b/>
          <w:bCs/>
          <w:noProof/>
          <w:lang w:val="es-ES"/>
        </w:rPr>
        <w:t xml:space="preserve">Grupo de supervisión de las actividades de CECoP que figura en el documento </w:t>
      </w:r>
      <w:r w:rsidRPr="00427FB6">
        <w:rPr>
          <w:rFonts w:cstheme="minorHAnsi"/>
          <w:b/>
          <w:noProof/>
          <w:lang w:val="es-ES"/>
        </w:rPr>
        <w:t xml:space="preserve">SC62 Doc.16.2. </w:t>
      </w:r>
    </w:p>
    <w:p w14:paraId="46CE086B" w14:textId="77777777" w:rsidR="008160EC" w:rsidRPr="00427FB6" w:rsidRDefault="008160EC" w:rsidP="009849E4">
      <w:pPr>
        <w:spacing w:after="0" w:line="240" w:lineRule="auto"/>
        <w:ind w:left="720" w:hanging="720"/>
        <w:rPr>
          <w:noProof/>
          <w:lang w:val="es-ES"/>
        </w:rPr>
      </w:pPr>
    </w:p>
    <w:p w14:paraId="6925CE14"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16.3 del orden del día: </w:t>
      </w:r>
      <w:r w:rsidRPr="00427FB6">
        <w:rPr>
          <w:rFonts w:cstheme="minorHAnsi"/>
          <w:noProof/>
          <w:lang w:val="es-ES"/>
        </w:rPr>
        <w:t xml:space="preserve">Comunicación, </w:t>
      </w:r>
      <w:r w:rsidRPr="00427FB6">
        <w:rPr>
          <w:noProof/>
          <w:lang w:val="es-ES"/>
        </w:rPr>
        <w:t xml:space="preserve">fomento de capacidad, </w:t>
      </w:r>
      <w:r w:rsidRPr="00427FB6">
        <w:rPr>
          <w:rFonts w:cstheme="minorHAnsi"/>
          <w:noProof/>
          <w:lang w:val="es-ES"/>
        </w:rPr>
        <w:t>educación, concienciación y participación (CECoP):</w:t>
      </w:r>
      <w:r w:rsidRPr="00427FB6">
        <w:rPr>
          <w:noProof/>
          <w:lang w:val="es-ES"/>
        </w:rPr>
        <w:t xml:space="preserve"> </w:t>
      </w:r>
      <w:r w:rsidRPr="00427FB6">
        <w:rPr>
          <w:rFonts w:cstheme="minorHAnsi"/>
          <w:bCs/>
          <w:noProof/>
          <w:lang w:val="es-ES"/>
        </w:rPr>
        <w:t>Informe de la Secretaría sobre el Día Mundial de los Humedales</w:t>
      </w:r>
    </w:p>
    <w:p w14:paraId="63FCF96E" w14:textId="77777777" w:rsidR="008160EC" w:rsidRPr="00427FB6" w:rsidRDefault="008160EC" w:rsidP="009849E4">
      <w:pPr>
        <w:spacing w:after="0" w:line="240" w:lineRule="auto"/>
        <w:rPr>
          <w:rFonts w:eastAsia="Calibri" w:cstheme="minorHAnsi"/>
          <w:bCs/>
          <w:noProof/>
          <w:lang w:val="es-ES"/>
        </w:rPr>
      </w:pPr>
    </w:p>
    <w:p w14:paraId="7AF9EDDD"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SC62-28: El Comité Permanente tomó nota del informe de la Secretaría sobre el Día Mundial de los Humedales 2023.</w:t>
      </w:r>
    </w:p>
    <w:p w14:paraId="61272F9E" w14:textId="77777777" w:rsidR="008160EC" w:rsidRPr="00427FB6" w:rsidRDefault="008160EC" w:rsidP="009849E4">
      <w:pPr>
        <w:keepNext/>
        <w:spacing w:after="0" w:line="240" w:lineRule="auto"/>
        <w:rPr>
          <w:rFonts w:cstheme="minorHAnsi"/>
          <w:noProof/>
          <w:lang w:val="es-ES"/>
        </w:rPr>
      </w:pPr>
    </w:p>
    <w:p w14:paraId="375AB5D0"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17 del orden del día: Informe del Grupo de trabajo sobre la juventud</w:t>
      </w:r>
    </w:p>
    <w:p w14:paraId="1246A501" w14:textId="77777777" w:rsidR="008160EC" w:rsidRPr="00427FB6" w:rsidRDefault="008160EC" w:rsidP="009849E4">
      <w:pPr>
        <w:spacing w:after="0" w:line="240" w:lineRule="auto"/>
        <w:contextualSpacing/>
        <w:rPr>
          <w:rFonts w:cstheme="minorHAnsi"/>
          <w:b/>
          <w:noProof/>
          <w:lang w:val="es-ES"/>
        </w:rPr>
      </w:pPr>
    </w:p>
    <w:p w14:paraId="3B34E298"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 xml:space="preserve">Decisión SC62-29: El Comité Permanente tomó nota del informe del Grupo de trabajo sobre la juventud que figura en el documento </w:t>
      </w:r>
      <w:r w:rsidRPr="00427FB6">
        <w:rPr>
          <w:rFonts w:cstheme="minorHAnsi"/>
          <w:b/>
          <w:bCs/>
          <w:noProof/>
          <w:lang w:val="es-ES"/>
        </w:rPr>
        <w:t>SC62 Doc.17.</w:t>
      </w:r>
    </w:p>
    <w:p w14:paraId="76E5A2C7" w14:textId="77777777" w:rsidR="008160EC" w:rsidRPr="00427FB6" w:rsidRDefault="008160EC" w:rsidP="009849E4">
      <w:pPr>
        <w:keepNext/>
        <w:spacing w:after="0" w:line="240" w:lineRule="auto"/>
        <w:rPr>
          <w:rFonts w:cstheme="minorHAnsi"/>
          <w:noProof/>
          <w:lang w:val="es-ES"/>
        </w:rPr>
      </w:pPr>
    </w:p>
    <w:p w14:paraId="62A2AA05"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18 del orden del día: Plan de trabajo sobre la movilización de recursos 2023-2025</w:t>
      </w:r>
    </w:p>
    <w:p w14:paraId="1263768B" w14:textId="77777777" w:rsidR="008160EC" w:rsidRPr="00427FB6" w:rsidRDefault="008160EC" w:rsidP="009849E4">
      <w:pPr>
        <w:spacing w:after="0" w:line="240" w:lineRule="auto"/>
        <w:contextualSpacing/>
        <w:rPr>
          <w:rFonts w:cstheme="minorHAnsi"/>
          <w:b/>
          <w:noProof/>
          <w:lang w:val="es-ES"/>
        </w:rPr>
      </w:pPr>
    </w:p>
    <w:p w14:paraId="0CC762FA" w14:textId="77777777" w:rsidR="008160EC" w:rsidRPr="00427FB6" w:rsidRDefault="008160EC" w:rsidP="009849E4">
      <w:pPr>
        <w:spacing w:after="0" w:line="240" w:lineRule="auto"/>
        <w:rPr>
          <w:rFonts w:cstheme="minorHAnsi"/>
          <w:b/>
          <w:noProof/>
          <w:lang w:val="es-ES"/>
        </w:rPr>
      </w:pPr>
      <w:r w:rsidRPr="00427FB6">
        <w:rPr>
          <w:rFonts w:cstheme="minorHAnsi"/>
          <w:b/>
          <w:noProof/>
          <w:lang w:val="es-ES"/>
        </w:rPr>
        <w:t xml:space="preserve">Decisión SC62-30: El Comité Permanente aprobó el Plan de trabajo sobre la movilización de recursos 2023-2025 que figura en el documento </w:t>
      </w:r>
      <w:r w:rsidRPr="00427FB6">
        <w:rPr>
          <w:rFonts w:cstheme="minorHAnsi"/>
          <w:b/>
          <w:bCs/>
          <w:noProof/>
          <w:lang w:val="es-ES"/>
        </w:rPr>
        <w:t>SC62 Doc.18.</w:t>
      </w:r>
    </w:p>
    <w:p w14:paraId="7304621F" w14:textId="77777777" w:rsidR="008160EC" w:rsidRPr="00427FB6" w:rsidRDefault="008160EC" w:rsidP="009849E4">
      <w:pPr>
        <w:keepNext/>
        <w:spacing w:after="0" w:line="240" w:lineRule="auto"/>
        <w:rPr>
          <w:rFonts w:cstheme="minorHAnsi"/>
          <w:noProof/>
          <w:lang w:val="es-ES"/>
        </w:rPr>
      </w:pPr>
    </w:p>
    <w:p w14:paraId="0A353D85"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 xml:space="preserve">Punto 19 del orden del día: </w:t>
      </w:r>
      <w:r w:rsidRPr="00427FB6">
        <w:rPr>
          <w:rFonts w:cstheme="minorHAnsi"/>
          <w:bCs/>
          <w:noProof/>
          <w:spacing w:val="-2"/>
          <w:lang w:val="es-ES"/>
        </w:rPr>
        <w:t>Informe de la Presidencia del Grupo de Examen Científico y Técnico</w:t>
      </w:r>
      <w:r w:rsidRPr="00427FB6">
        <w:rPr>
          <w:rFonts w:cstheme="minorHAnsi"/>
          <w:noProof/>
          <w:lang w:val="es-ES"/>
        </w:rPr>
        <w:t>, incluido el plan de trabajo para el trienio 2023-2025</w:t>
      </w:r>
    </w:p>
    <w:p w14:paraId="4C7ECAA9" w14:textId="77777777" w:rsidR="008160EC" w:rsidRPr="00427FB6" w:rsidRDefault="008160EC" w:rsidP="009849E4">
      <w:pPr>
        <w:spacing w:after="0" w:line="240" w:lineRule="auto"/>
        <w:contextualSpacing/>
        <w:rPr>
          <w:rFonts w:cstheme="minorHAnsi"/>
          <w:b/>
          <w:noProof/>
          <w:lang w:val="es-ES"/>
        </w:rPr>
      </w:pPr>
    </w:p>
    <w:p w14:paraId="37319647"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SC62-31: El Comité Permanente tomó nota del informe de la Presidencia del GECT.</w:t>
      </w:r>
    </w:p>
    <w:p w14:paraId="045EF651" w14:textId="77777777" w:rsidR="008160EC" w:rsidRPr="00427FB6" w:rsidRDefault="008160EC" w:rsidP="009849E4">
      <w:pPr>
        <w:spacing w:after="0" w:line="240" w:lineRule="auto"/>
        <w:contextualSpacing/>
        <w:rPr>
          <w:rFonts w:cstheme="minorHAnsi"/>
          <w:b/>
          <w:noProof/>
          <w:lang w:val="es-ES"/>
        </w:rPr>
      </w:pPr>
    </w:p>
    <w:p w14:paraId="4A1C30B5"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SC62-32: El Comité Permanente tomó nota del plan de trabajo del GECT para 2023-2025 que figura en el Anexo 1 del documento SC62 Doc.19 Rev.1.</w:t>
      </w:r>
    </w:p>
    <w:p w14:paraId="493F9BE2" w14:textId="1AD2DFD4" w:rsidR="008160EC" w:rsidRPr="00427FB6" w:rsidRDefault="008160EC" w:rsidP="009849E4">
      <w:pPr>
        <w:keepNext/>
        <w:spacing w:after="0" w:line="240" w:lineRule="auto"/>
        <w:rPr>
          <w:rFonts w:cstheme="minorHAnsi"/>
          <w:noProof/>
          <w:lang w:val="es-ES"/>
        </w:rPr>
      </w:pPr>
    </w:p>
    <w:p w14:paraId="284BF735"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Punto 9 del orden del día: Retos urgentes en materia de uso racional de los humedales que merecen mayor atención: información actualizada sobre los inventarios de humedales</w:t>
      </w:r>
    </w:p>
    <w:p w14:paraId="50644A13" w14:textId="77777777" w:rsidR="008160EC" w:rsidRPr="00427FB6" w:rsidRDefault="008160EC" w:rsidP="009849E4">
      <w:pPr>
        <w:spacing w:after="0" w:line="240" w:lineRule="auto"/>
        <w:ind w:left="720" w:hanging="720"/>
        <w:rPr>
          <w:noProof/>
          <w:lang w:val="es-ES"/>
        </w:rPr>
      </w:pPr>
    </w:p>
    <w:p w14:paraId="327AAA9F"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SC62-33: El Comité Permanente tomó nota de los progresos de las Partes Contratantes en la realización de inventarios nacionales de humedales y las lecciones aprendidas.</w:t>
      </w:r>
    </w:p>
    <w:p w14:paraId="26F068EF" w14:textId="77777777" w:rsidR="008160EC" w:rsidRPr="00427FB6" w:rsidRDefault="008160EC" w:rsidP="009849E4">
      <w:pPr>
        <w:spacing w:after="0" w:line="240" w:lineRule="auto"/>
        <w:contextualSpacing/>
        <w:rPr>
          <w:rFonts w:cstheme="minorHAnsi"/>
          <w:b/>
          <w:noProof/>
          <w:lang w:val="es-ES"/>
        </w:rPr>
      </w:pPr>
    </w:p>
    <w:p w14:paraId="6FF66420"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SC62-34: El Comité Permanente tomó nota de los próximos pasos en el apoyo de la Secretaría a las Partes Contratantes acerca de la realización de los inventarios nacionales de humedales, teniendo en cuenta las enmiendas propuestas.</w:t>
      </w:r>
    </w:p>
    <w:p w14:paraId="39686707" w14:textId="5FCDA3FC" w:rsidR="008160EC" w:rsidRPr="00427FB6" w:rsidRDefault="008160EC" w:rsidP="009849E4">
      <w:pPr>
        <w:keepNext/>
        <w:spacing w:after="0" w:line="240" w:lineRule="auto"/>
        <w:rPr>
          <w:rFonts w:cstheme="minorHAnsi"/>
          <w:noProof/>
          <w:lang w:val="es-ES"/>
        </w:rPr>
      </w:pPr>
    </w:p>
    <w:p w14:paraId="75454ED5"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8.2 del orden del día: Cuestiones financieras y presupuestarias: Informe del Subgrupo de Finanzas: Estado de las contribuciones anuales</w:t>
      </w:r>
    </w:p>
    <w:p w14:paraId="6FED986E" w14:textId="77777777" w:rsidR="008160EC" w:rsidRPr="00427FB6" w:rsidRDefault="008160EC" w:rsidP="009849E4">
      <w:pPr>
        <w:spacing w:after="0" w:line="240" w:lineRule="auto"/>
        <w:ind w:left="567" w:hanging="567"/>
        <w:rPr>
          <w:rFonts w:eastAsia="Calibri" w:cstheme="minorHAnsi"/>
          <w:bCs/>
          <w:noProof/>
          <w:lang w:val="es-ES"/>
        </w:rPr>
      </w:pPr>
    </w:p>
    <w:p w14:paraId="08FDA362"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 xml:space="preserve">Decisión SC62-35: El Comité Permanente tomó nota de la situación de las contribuciones anuales. </w:t>
      </w:r>
    </w:p>
    <w:p w14:paraId="05719DFA" w14:textId="77777777" w:rsidR="008160EC" w:rsidRPr="00427FB6" w:rsidRDefault="008160EC" w:rsidP="009849E4">
      <w:pPr>
        <w:spacing w:after="0" w:line="240" w:lineRule="auto"/>
        <w:contextualSpacing/>
        <w:rPr>
          <w:rFonts w:cstheme="minorHAnsi"/>
          <w:b/>
          <w:noProof/>
          <w:lang w:val="es-ES"/>
        </w:rPr>
      </w:pPr>
    </w:p>
    <w:p w14:paraId="72C63C36"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SC62-36: El Comité Permanente tomó nota de las medidas enumeradas en los párrafos 12 y 13 del documento SC62 Doc.8.2 sobre la confirmación de los grupos sobre las contribuciones pendientes como parte del proceso de auditoría.</w:t>
      </w:r>
    </w:p>
    <w:p w14:paraId="3A00CCE4" w14:textId="77777777" w:rsidR="008160EC" w:rsidRPr="00427FB6" w:rsidRDefault="008160EC" w:rsidP="009849E4">
      <w:pPr>
        <w:spacing w:after="0" w:line="240" w:lineRule="auto"/>
        <w:contextualSpacing/>
        <w:rPr>
          <w:rFonts w:cstheme="minorHAnsi"/>
          <w:b/>
          <w:noProof/>
          <w:lang w:val="es-ES"/>
        </w:rPr>
      </w:pPr>
    </w:p>
    <w:p w14:paraId="4BC1289C"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SC62-37: El Comité Permanente tomó nota de las medidas enumeradas en los párrafos 15, 17, 18 y 19 del documento SC62 Doc.8.2 para seguir fomentando el pago de las contribuciones anuales por la Partes Contratantes.</w:t>
      </w:r>
    </w:p>
    <w:p w14:paraId="4C3FC415" w14:textId="77777777" w:rsidR="008160EC" w:rsidRPr="00427FB6" w:rsidRDefault="008160EC" w:rsidP="009849E4">
      <w:pPr>
        <w:spacing w:after="0" w:line="240" w:lineRule="auto"/>
        <w:contextualSpacing/>
        <w:rPr>
          <w:rFonts w:cstheme="minorHAnsi"/>
          <w:b/>
          <w:noProof/>
          <w:lang w:val="es-ES"/>
        </w:rPr>
      </w:pPr>
    </w:p>
    <w:p w14:paraId="45524A8C"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SC62-38: El Comité Permanente tomó nota de los cambios en las contribuciones anuales por cobrar y en la provisión anual para contribuciones no recibidas.</w:t>
      </w:r>
    </w:p>
    <w:p w14:paraId="0102AC70" w14:textId="77777777" w:rsidR="008160EC" w:rsidRPr="00427FB6" w:rsidRDefault="008160EC" w:rsidP="009849E4">
      <w:pPr>
        <w:spacing w:after="0" w:line="240" w:lineRule="auto"/>
        <w:contextualSpacing/>
        <w:rPr>
          <w:rFonts w:cstheme="minorHAnsi"/>
          <w:b/>
          <w:noProof/>
          <w:lang w:val="es-ES"/>
        </w:rPr>
      </w:pPr>
    </w:p>
    <w:p w14:paraId="5E9DF46A" w14:textId="77777777" w:rsidR="008160EC" w:rsidRPr="00427FB6" w:rsidRDefault="008160EC" w:rsidP="009849E4">
      <w:pPr>
        <w:spacing w:after="0" w:line="240" w:lineRule="auto"/>
        <w:rPr>
          <w:b/>
          <w:bCs/>
          <w:noProof/>
          <w:lang w:val="es-ES"/>
        </w:rPr>
      </w:pPr>
      <w:r w:rsidRPr="00427FB6">
        <w:rPr>
          <w:b/>
          <w:bCs/>
          <w:noProof/>
          <w:lang w:val="es-ES"/>
        </w:rPr>
        <w:t>Decisión SC62-39: El Comité Permanente tomó nota de las contribuciones voluntarias recibidas de las Partes Contratantes de la región de África, resumidas en el párrafo 22 del documento SC62 Doc.8.2.</w:t>
      </w:r>
    </w:p>
    <w:p w14:paraId="6CB67B65" w14:textId="77777777" w:rsidR="008160EC" w:rsidRPr="00427FB6" w:rsidRDefault="008160EC" w:rsidP="009849E4">
      <w:pPr>
        <w:spacing w:after="0" w:line="240" w:lineRule="auto"/>
        <w:rPr>
          <w:b/>
          <w:bCs/>
          <w:noProof/>
          <w:lang w:val="es-ES"/>
        </w:rPr>
      </w:pPr>
    </w:p>
    <w:p w14:paraId="2FA8C4C8"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8.1 del orden del día: Cuestiones financieras y presupuestarias: Informe del Subgrupo de Finanzas:</w:t>
      </w:r>
      <w:r w:rsidRPr="00427FB6">
        <w:rPr>
          <w:noProof/>
          <w:lang w:val="es-ES"/>
        </w:rPr>
        <w:t xml:space="preserve"> </w:t>
      </w:r>
      <w:r w:rsidRPr="00427FB6">
        <w:rPr>
          <w:rFonts w:cstheme="minorHAnsi"/>
          <w:bCs/>
          <w:noProof/>
          <w:lang w:val="es-ES"/>
        </w:rPr>
        <w:t>Informe sobre cuestiones financieras para 2022 y 2023</w:t>
      </w:r>
    </w:p>
    <w:p w14:paraId="10AC829C" w14:textId="77777777" w:rsidR="008160EC" w:rsidRPr="00427FB6" w:rsidRDefault="008160EC" w:rsidP="009849E4">
      <w:pPr>
        <w:spacing w:after="0" w:line="240" w:lineRule="auto"/>
        <w:rPr>
          <w:rFonts w:eastAsia="Calibri" w:cstheme="minorHAnsi"/>
          <w:bCs/>
          <w:noProof/>
          <w:lang w:val="es-ES"/>
        </w:rPr>
      </w:pPr>
    </w:p>
    <w:p w14:paraId="451B429C"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SC62-40: El Comité Permanente aceptó los estados financieros auditados a 31 de diciembre de 2022.</w:t>
      </w:r>
    </w:p>
    <w:p w14:paraId="41D72D65" w14:textId="77777777" w:rsidR="008160EC" w:rsidRPr="00427FB6" w:rsidRDefault="008160EC" w:rsidP="009849E4">
      <w:pPr>
        <w:spacing w:after="0" w:line="240" w:lineRule="auto"/>
        <w:contextualSpacing/>
        <w:rPr>
          <w:rFonts w:cstheme="minorHAnsi"/>
          <w:b/>
          <w:noProof/>
          <w:lang w:val="es-ES"/>
        </w:rPr>
      </w:pPr>
    </w:p>
    <w:p w14:paraId="76F5438B" w14:textId="77777777" w:rsidR="008160EC" w:rsidRPr="00427FB6" w:rsidRDefault="008160EC" w:rsidP="009849E4">
      <w:pPr>
        <w:spacing w:after="0" w:line="240" w:lineRule="auto"/>
        <w:rPr>
          <w:b/>
          <w:bCs/>
          <w:noProof/>
          <w:lang w:val="es-ES"/>
        </w:rPr>
      </w:pPr>
      <w:r w:rsidRPr="00427FB6">
        <w:rPr>
          <w:b/>
          <w:bCs/>
          <w:noProof/>
          <w:lang w:val="es-ES"/>
        </w:rPr>
        <w:t xml:space="preserve">Decisión SC62-41: </w:t>
      </w:r>
      <w:r w:rsidRPr="00427FB6">
        <w:rPr>
          <w:rFonts w:cstheme="minorHAnsi"/>
          <w:b/>
          <w:noProof/>
          <w:lang w:val="es-ES"/>
        </w:rPr>
        <w:t xml:space="preserve">El Comité Permanente tomó nota de los resultados del presupuesto básico para </w:t>
      </w:r>
      <w:r w:rsidRPr="00427FB6">
        <w:rPr>
          <w:b/>
          <w:bCs/>
          <w:noProof/>
          <w:lang w:val="es-ES"/>
        </w:rPr>
        <w:t>2022.</w:t>
      </w:r>
    </w:p>
    <w:p w14:paraId="3A2D331E" w14:textId="77777777" w:rsidR="008160EC" w:rsidRPr="00427FB6" w:rsidRDefault="008160EC" w:rsidP="009849E4">
      <w:pPr>
        <w:spacing w:after="0" w:line="240" w:lineRule="auto"/>
        <w:rPr>
          <w:b/>
          <w:bCs/>
          <w:noProof/>
          <w:lang w:val="es-ES"/>
        </w:rPr>
      </w:pPr>
    </w:p>
    <w:p w14:paraId="730ED70B" w14:textId="77777777" w:rsidR="008160EC" w:rsidRPr="00427FB6" w:rsidRDefault="008160EC" w:rsidP="009849E4">
      <w:pPr>
        <w:spacing w:after="0" w:line="240" w:lineRule="auto"/>
        <w:rPr>
          <w:rFonts w:cstheme="minorHAnsi"/>
          <w:b/>
          <w:noProof/>
          <w:lang w:val="es-ES"/>
        </w:rPr>
      </w:pPr>
      <w:r w:rsidRPr="00427FB6">
        <w:rPr>
          <w:b/>
          <w:bCs/>
          <w:noProof/>
          <w:lang w:val="es-ES"/>
        </w:rPr>
        <w:t xml:space="preserve">Decisión SC62-42: </w:t>
      </w:r>
      <w:r w:rsidRPr="00427FB6">
        <w:rPr>
          <w:rFonts w:cstheme="minorHAnsi"/>
          <w:b/>
          <w:noProof/>
          <w:lang w:val="es-ES"/>
        </w:rPr>
        <w:t xml:space="preserve">El Comité Permanente tomó nota del estado de los saldos complementarios y las contribuciones voluntarias para </w:t>
      </w:r>
      <w:r w:rsidRPr="00427FB6">
        <w:rPr>
          <w:b/>
          <w:bCs/>
          <w:noProof/>
          <w:lang w:val="es-ES"/>
        </w:rPr>
        <w:t>2022.</w:t>
      </w:r>
    </w:p>
    <w:p w14:paraId="1B5CB656" w14:textId="77777777" w:rsidR="008160EC" w:rsidRPr="00427FB6" w:rsidRDefault="008160EC" w:rsidP="009849E4">
      <w:pPr>
        <w:spacing w:after="0" w:line="240" w:lineRule="auto"/>
        <w:rPr>
          <w:b/>
          <w:bCs/>
          <w:noProof/>
          <w:lang w:val="es-ES"/>
        </w:rPr>
      </w:pPr>
    </w:p>
    <w:p w14:paraId="4ECBC61A" w14:textId="77777777" w:rsidR="008160EC" w:rsidRPr="00427FB6" w:rsidRDefault="008160EC" w:rsidP="009849E4">
      <w:pPr>
        <w:spacing w:after="0" w:line="240" w:lineRule="auto"/>
        <w:rPr>
          <w:b/>
          <w:bCs/>
          <w:noProof/>
          <w:lang w:val="es-ES"/>
        </w:rPr>
      </w:pPr>
      <w:r w:rsidRPr="00427FB6">
        <w:rPr>
          <w:b/>
          <w:bCs/>
          <w:noProof/>
          <w:lang w:val="es-ES"/>
        </w:rPr>
        <w:t>Decisión SC62-43: El Comité Permanente aprobó el traspaso de los fondos comprometidos previamente por un total de 701 000 francos suizos de 2022 a 2023, tal como figura en la columna D del cuadro del Anexo 1, Presupuesto básico 2023, documento SC62 Doc.8.1.</w:t>
      </w:r>
    </w:p>
    <w:p w14:paraId="7A7BAA82" w14:textId="77777777" w:rsidR="008160EC" w:rsidRPr="00427FB6" w:rsidRDefault="008160EC" w:rsidP="009849E4">
      <w:pPr>
        <w:spacing w:after="0" w:line="240" w:lineRule="auto"/>
        <w:rPr>
          <w:b/>
          <w:bCs/>
          <w:noProof/>
          <w:lang w:val="es-ES"/>
        </w:rPr>
      </w:pPr>
    </w:p>
    <w:p w14:paraId="75493FF9" w14:textId="77777777" w:rsidR="008160EC" w:rsidRPr="00427FB6" w:rsidRDefault="008160EC" w:rsidP="009849E4">
      <w:pPr>
        <w:spacing w:after="0" w:line="240" w:lineRule="auto"/>
        <w:rPr>
          <w:b/>
          <w:bCs/>
          <w:noProof/>
          <w:lang w:val="es-ES"/>
        </w:rPr>
      </w:pPr>
      <w:r w:rsidRPr="00427FB6">
        <w:rPr>
          <w:b/>
          <w:bCs/>
          <w:noProof/>
          <w:lang w:val="es-ES"/>
        </w:rPr>
        <w:t>Decisión SC62-44: El Comité Permanente aprobó la reasignación del saldo no utilizado para las Misiones Ramsar de Asesoramiento, como se describe en el párrafo 11 del documento SC62 Doc.8.1.</w:t>
      </w:r>
    </w:p>
    <w:p w14:paraId="16283250" w14:textId="77777777" w:rsidR="008160EC" w:rsidRPr="00427FB6" w:rsidRDefault="008160EC" w:rsidP="009849E4">
      <w:pPr>
        <w:spacing w:after="0" w:line="240" w:lineRule="auto"/>
        <w:rPr>
          <w:b/>
          <w:bCs/>
          <w:noProof/>
          <w:lang w:val="es-ES"/>
        </w:rPr>
      </w:pPr>
    </w:p>
    <w:p w14:paraId="1F1EEE79" w14:textId="77777777" w:rsidR="008160EC" w:rsidRPr="00427FB6" w:rsidRDefault="008160EC" w:rsidP="009849E4">
      <w:pPr>
        <w:spacing w:after="0" w:line="240" w:lineRule="auto"/>
        <w:rPr>
          <w:b/>
          <w:bCs/>
          <w:noProof/>
          <w:lang w:val="es-ES"/>
        </w:rPr>
      </w:pPr>
      <w:r w:rsidRPr="00427FB6">
        <w:rPr>
          <w:b/>
          <w:bCs/>
          <w:noProof/>
          <w:lang w:val="es-ES"/>
        </w:rPr>
        <w:t>Decisión SC62-45: El Comité Permanente aprobó la asignación del excedente de 2022 de 140 000 francos suizos para complementar la financiación voluntaria de los viajes de los delegados a la COP14, como se describe en el párrafo 18 del documento SC62 Doc.8.1.</w:t>
      </w:r>
    </w:p>
    <w:p w14:paraId="00AF4F68" w14:textId="77777777" w:rsidR="008160EC" w:rsidRPr="00427FB6" w:rsidRDefault="008160EC" w:rsidP="009849E4">
      <w:pPr>
        <w:spacing w:after="0" w:line="240" w:lineRule="auto"/>
        <w:rPr>
          <w:b/>
          <w:bCs/>
          <w:noProof/>
          <w:lang w:val="es-ES"/>
        </w:rPr>
      </w:pPr>
    </w:p>
    <w:p w14:paraId="60860C24" w14:textId="77777777" w:rsidR="008160EC" w:rsidRPr="00427FB6" w:rsidRDefault="008160EC" w:rsidP="009849E4">
      <w:pPr>
        <w:spacing w:after="0" w:line="240" w:lineRule="auto"/>
        <w:rPr>
          <w:b/>
          <w:bCs/>
          <w:noProof/>
          <w:lang w:val="es-ES"/>
        </w:rPr>
      </w:pPr>
      <w:r w:rsidRPr="00427FB6">
        <w:rPr>
          <w:b/>
          <w:bCs/>
          <w:noProof/>
          <w:lang w:val="es-ES"/>
        </w:rPr>
        <w:t>Decisión SC62-46: El Comité Permanente aprobó la asignación de 30 000 francos suizos del presupuesto básico a la Iniciativa Regional de Ramsar de África Meridional (SARRI) para actividades a realizarse en 2023, como se describe en el párrafo 32 del documento SC62 Doc.8.1.</w:t>
      </w:r>
    </w:p>
    <w:p w14:paraId="118CA63C" w14:textId="77777777" w:rsidR="008160EC" w:rsidRPr="00427FB6" w:rsidRDefault="008160EC" w:rsidP="009849E4">
      <w:pPr>
        <w:spacing w:after="0" w:line="240" w:lineRule="auto"/>
        <w:rPr>
          <w:b/>
          <w:bCs/>
          <w:iCs/>
          <w:noProof/>
          <w:color w:val="000000" w:themeColor="text1"/>
          <w:lang w:val="es-ES"/>
        </w:rPr>
      </w:pPr>
    </w:p>
    <w:p w14:paraId="5BD212FA" w14:textId="77777777" w:rsidR="008160EC" w:rsidRPr="00427FB6" w:rsidRDefault="008160EC" w:rsidP="009849E4">
      <w:pPr>
        <w:spacing w:after="0" w:line="240" w:lineRule="auto"/>
        <w:rPr>
          <w:b/>
          <w:bCs/>
          <w:noProof/>
          <w:lang w:val="es-ES"/>
        </w:rPr>
      </w:pPr>
      <w:r w:rsidRPr="00427FB6">
        <w:rPr>
          <w:b/>
          <w:bCs/>
          <w:noProof/>
          <w:lang w:val="es-ES"/>
        </w:rPr>
        <w:t xml:space="preserve">Decisión SC62-47: El Comité Permanente aprobó la </w:t>
      </w:r>
      <w:r w:rsidRPr="00427FB6">
        <w:rPr>
          <w:b/>
          <w:bCs/>
          <w:i/>
          <w:iCs/>
          <w:noProof/>
          <w:lang w:val="es-ES"/>
        </w:rPr>
        <w:t>asignación del excedente de 2022</w:t>
      </w:r>
      <w:r w:rsidRPr="00427FB6">
        <w:rPr>
          <w:b/>
          <w:bCs/>
          <w:noProof/>
          <w:lang w:val="es-ES"/>
        </w:rPr>
        <w:t xml:space="preserve"> por las sumas siguientes:</w:t>
      </w:r>
    </w:p>
    <w:p w14:paraId="252EF017" w14:textId="77777777" w:rsidR="008160EC" w:rsidRPr="00427FB6" w:rsidRDefault="008160EC" w:rsidP="009849E4">
      <w:pPr>
        <w:pStyle w:val="ListParagraph"/>
        <w:keepNext/>
        <w:numPr>
          <w:ilvl w:val="0"/>
          <w:numId w:val="53"/>
        </w:numPr>
        <w:autoSpaceDE w:val="0"/>
        <w:autoSpaceDN w:val="0"/>
        <w:spacing w:after="0" w:line="240" w:lineRule="auto"/>
        <w:ind w:left="567" w:hanging="567"/>
        <w:rPr>
          <w:b/>
          <w:bCs/>
          <w:noProof/>
          <w:color w:val="000000" w:themeColor="text1"/>
          <w:lang w:val="es-ES"/>
        </w:rPr>
      </w:pPr>
      <w:r w:rsidRPr="00427FB6">
        <w:rPr>
          <w:b/>
          <w:bCs/>
          <w:noProof/>
          <w:color w:val="000000" w:themeColor="text1"/>
          <w:lang w:val="es-ES"/>
        </w:rPr>
        <w:t xml:space="preserve">33 000 francos suizos para el examen de las resoluciones y decisiones anteriores; </w:t>
      </w:r>
    </w:p>
    <w:p w14:paraId="14BD7215" w14:textId="77777777" w:rsidR="008160EC" w:rsidRPr="00427FB6" w:rsidRDefault="008160EC" w:rsidP="009849E4">
      <w:pPr>
        <w:pStyle w:val="ListParagraph"/>
        <w:keepNext/>
        <w:numPr>
          <w:ilvl w:val="0"/>
          <w:numId w:val="53"/>
        </w:numPr>
        <w:autoSpaceDE w:val="0"/>
        <w:autoSpaceDN w:val="0"/>
        <w:spacing w:after="0" w:line="240" w:lineRule="auto"/>
        <w:ind w:left="567" w:hanging="567"/>
        <w:rPr>
          <w:b/>
          <w:bCs/>
          <w:noProof/>
          <w:color w:val="000000" w:themeColor="text1"/>
          <w:lang w:val="es-ES"/>
        </w:rPr>
      </w:pPr>
      <w:r w:rsidRPr="00427FB6">
        <w:rPr>
          <w:b/>
          <w:bCs/>
          <w:noProof/>
          <w:color w:val="000000" w:themeColor="text1"/>
          <w:lang w:val="es-ES"/>
        </w:rPr>
        <w:t xml:space="preserve">7 000 francos suizos para métodos y sistemas en línea a fin de mejorar la colaboración entre las Partes Contratantes en períodos entre sesiones; y </w:t>
      </w:r>
    </w:p>
    <w:p w14:paraId="42CE4D4C" w14:textId="5E8E0B77" w:rsidR="008160EC" w:rsidRPr="00427FB6" w:rsidRDefault="008160EC" w:rsidP="009849E4">
      <w:pPr>
        <w:pStyle w:val="ListParagraph"/>
        <w:keepNext/>
        <w:numPr>
          <w:ilvl w:val="0"/>
          <w:numId w:val="53"/>
        </w:numPr>
        <w:autoSpaceDE w:val="0"/>
        <w:autoSpaceDN w:val="0"/>
        <w:spacing w:after="0" w:line="240" w:lineRule="auto"/>
        <w:ind w:left="567" w:hanging="567"/>
        <w:rPr>
          <w:b/>
          <w:bCs/>
          <w:noProof/>
          <w:color w:val="000000" w:themeColor="text1"/>
          <w:lang w:val="es-ES"/>
        </w:rPr>
      </w:pPr>
      <w:r w:rsidRPr="00427FB6">
        <w:rPr>
          <w:b/>
          <w:bCs/>
          <w:noProof/>
          <w:color w:val="000000" w:themeColor="text1"/>
          <w:lang w:val="es-ES"/>
        </w:rPr>
        <w:t xml:space="preserve">90 000 francos suizos para apoyo técnico durante el trienio 2023-2025 a fin de garantizar que la información clave se pueda consultar en el Servicio de Información sobre Sitios Ramsar (SISR) para los Humedales de Importancia Internacional en todas las regiones, en especial en lo que respecta a los límites de los sitios, haciendo énfasis en que la actualización de la información sobre los Humedales de Importancia Internacional es </w:t>
      </w:r>
      <w:r w:rsidRPr="00427FB6">
        <w:rPr>
          <w:b/>
          <w:bCs/>
          <w:noProof/>
          <w:color w:val="000000" w:themeColor="text1"/>
          <w:lang w:val="es-ES"/>
        </w:rPr>
        <w:lastRenderedPageBreak/>
        <w:t>principalmente responsabilidad de las Partes Contratantes y debería recomendarse antes de utilizar el servicio.</w:t>
      </w:r>
      <w:r w:rsidR="00AE6B71">
        <w:rPr>
          <w:rStyle w:val="FootnoteReference"/>
          <w:b/>
          <w:bCs/>
          <w:noProof/>
          <w:color w:val="000000" w:themeColor="text1"/>
          <w:lang w:val="es-ES"/>
        </w:rPr>
        <w:footnoteReference w:id="2"/>
      </w:r>
    </w:p>
    <w:p w14:paraId="7F7822E3" w14:textId="77777777" w:rsidR="008160EC" w:rsidRPr="00427FB6" w:rsidRDefault="008160EC" w:rsidP="009849E4">
      <w:pPr>
        <w:keepNext/>
        <w:spacing w:after="0" w:line="240" w:lineRule="auto"/>
        <w:rPr>
          <w:rFonts w:cstheme="minorHAnsi"/>
          <w:noProof/>
          <w:lang w:val="es-ES"/>
        </w:rPr>
      </w:pPr>
    </w:p>
    <w:p w14:paraId="3EDF6D34"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26 del orden del día: Acreditación de Ciudad de Humedal: </w:t>
      </w:r>
      <w:r w:rsidRPr="00427FB6">
        <w:rPr>
          <w:noProof/>
          <w:lang w:val="es-ES"/>
        </w:rPr>
        <w:t>Establecimiento</w:t>
      </w:r>
      <w:r w:rsidRPr="00427FB6" w:rsidDel="001D6D2E">
        <w:rPr>
          <w:rFonts w:cstheme="minorHAnsi"/>
          <w:bCs/>
          <w:noProof/>
          <w:lang w:val="es-ES"/>
        </w:rPr>
        <w:t xml:space="preserve"> </w:t>
      </w:r>
      <w:r w:rsidRPr="00427FB6">
        <w:rPr>
          <w:rFonts w:cstheme="minorHAnsi"/>
          <w:bCs/>
          <w:noProof/>
          <w:lang w:val="es-ES"/>
        </w:rPr>
        <w:t>del Comité Asesor Independiente (CAI)</w:t>
      </w:r>
    </w:p>
    <w:p w14:paraId="4305B888" w14:textId="77777777" w:rsidR="008160EC" w:rsidRPr="00427FB6" w:rsidRDefault="008160EC" w:rsidP="009849E4">
      <w:pPr>
        <w:spacing w:after="0" w:line="240" w:lineRule="auto"/>
        <w:ind w:left="567" w:hanging="567"/>
        <w:rPr>
          <w:rFonts w:eastAsia="Calibri" w:cstheme="minorHAnsi"/>
          <w:bCs/>
          <w:noProof/>
          <w:lang w:val="es-ES"/>
        </w:rPr>
      </w:pPr>
    </w:p>
    <w:p w14:paraId="4D8517D1" w14:textId="77777777" w:rsidR="008160EC" w:rsidRPr="00427FB6" w:rsidRDefault="008160EC" w:rsidP="009849E4">
      <w:pPr>
        <w:pStyle w:val="ColorfulList-Accent11"/>
        <w:ind w:left="0" w:firstLine="0"/>
        <w:rPr>
          <w:b/>
          <w:bCs/>
          <w:noProof/>
          <w:lang w:val="es-ES"/>
        </w:rPr>
      </w:pPr>
      <w:r w:rsidRPr="00427FB6">
        <w:rPr>
          <w:b/>
          <w:bCs/>
          <w:noProof/>
          <w:lang w:val="es-ES"/>
        </w:rPr>
        <w:t>Decisión SC62-48: El Comité Permanente confirmó la composición del Comité Asesor Independiente para el trienio 2023-2025, tal como se describe en el Cuadro 1 del documento SC62 Doc.26 Rev.1.</w:t>
      </w:r>
    </w:p>
    <w:p w14:paraId="05EF81AC" w14:textId="77777777" w:rsidR="008160EC" w:rsidRPr="00427FB6" w:rsidRDefault="008160EC" w:rsidP="009849E4">
      <w:pPr>
        <w:spacing w:after="0" w:line="240" w:lineRule="auto"/>
        <w:rPr>
          <w:rFonts w:eastAsia="Calibri" w:cstheme="minorHAnsi"/>
          <w:bCs/>
          <w:noProof/>
          <w:lang w:val="es-ES"/>
        </w:rPr>
      </w:pPr>
    </w:p>
    <w:p w14:paraId="504E67AB"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 xml:space="preserve">Punto 11 del orden del día: </w:t>
      </w:r>
      <w:r w:rsidRPr="00427FB6">
        <w:rPr>
          <w:rFonts w:cstheme="minorHAnsi"/>
          <w:noProof/>
          <w:lang w:val="es-ES"/>
        </w:rPr>
        <w:t>Informe de la Secretaría sobre el fortalecimiento institucional para apoyar la aplicación de la Convención</w:t>
      </w:r>
      <w:r w:rsidRPr="00427FB6">
        <w:rPr>
          <w:rFonts w:cstheme="minorHAnsi"/>
          <w:bCs/>
          <w:noProof/>
          <w:lang w:val="es-ES"/>
        </w:rPr>
        <w:t xml:space="preserve"> (continuación)</w:t>
      </w:r>
    </w:p>
    <w:p w14:paraId="600A46C1" w14:textId="77777777" w:rsidR="008160EC" w:rsidRPr="00427FB6" w:rsidRDefault="008160EC" w:rsidP="009849E4">
      <w:pPr>
        <w:spacing w:after="0" w:line="240" w:lineRule="auto"/>
        <w:ind w:left="567" w:hanging="567"/>
        <w:rPr>
          <w:noProof/>
          <w:lang w:val="es-ES"/>
        </w:rPr>
      </w:pPr>
    </w:p>
    <w:p w14:paraId="0549329C" w14:textId="23F8750C" w:rsidR="008160EC" w:rsidRPr="00427FB6" w:rsidRDefault="008160EC" w:rsidP="009849E4">
      <w:pPr>
        <w:pStyle w:val="ColorfulList-Accent11"/>
        <w:ind w:left="0" w:firstLine="0"/>
        <w:rPr>
          <w:b/>
          <w:bCs/>
          <w:noProof/>
          <w:lang w:val="es-ES"/>
        </w:rPr>
      </w:pPr>
      <w:r w:rsidRPr="00427FB6">
        <w:rPr>
          <w:b/>
          <w:bCs/>
          <w:noProof/>
          <w:lang w:val="es-ES"/>
        </w:rPr>
        <w:t>Decisión SC62-49: El Comité Permanente solicit</w:t>
      </w:r>
      <w:r w:rsidR="00A231C3" w:rsidRPr="00427FB6">
        <w:rPr>
          <w:b/>
          <w:bCs/>
          <w:noProof/>
          <w:lang w:val="es-ES"/>
        </w:rPr>
        <w:t>ó</w:t>
      </w:r>
      <w:r w:rsidRPr="00427FB6">
        <w:rPr>
          <w:b/>
          <w:bCs/>
          <w:noProof/>
          <w:lang w:val="es-ES"/>
        </w:rPr>
        <w:t xml:space="preserve"> al Grupo de Trabajo Administrativo que elabor</w:t>
      </w:r>
      <w:r w:rsidR="00A231C3" w:rsidRPr="00427FB6">
        <w:rPr>
          <w:b/>
          <w:bCs/>
          <w:noProof/>
          <w:lang w:val="es-ES"/>
        </w:rPr>
        <w:t>ara</w:t>
      </w:r>
      <w:r w:rsidRPr="00427FB6">
        <w:rPr>
          <w:b/>
          <w:bCs/>
          <w:noProof/>
          <w:lang w:val="es-ES"/>
        </w:rPr>
        <w:t xml:space="preserve"> un documento en el que se </w:t>
      </w:r>
      <w:r w:rsidR="00A231C3" w:rsidRPr="00427FB6">
        <w:rPr>
          <w:b/>
          <w:bCs/>
          <w:noProof/>
          <w:lang w:val="es-ES"/>
        </w:rPr>
        <w:t>identificara</w:t>
      </w:r>
      <w:r w:rsidRPr="00427FB6">
        <w:rPr>
          <w:b/>
          <w:bCs/>
          <w:noProof/>
          <w:lang w:val="es-ES"/>
        </w:rPr>
        <w:t xml:space="preserve"> el proceso de contratación de un nuevo Secretario General, para someterlo a la consideración del Comité Permanente en su 63ª reunión, advirtiendo que esta Decisión sustituye la Decisión SC59-40.</w:t>
      </w:r>
    </w:p>
    <w:p w14:paraId="64272BA3" w14:textId="77777777" w:rsidR="008160EC" w:rsidRPr="00427FB6" w:rsidRDefault="008160EC" w:rsidP="009849E4">
      <w:pPr>
        <w:pStyle w:val="ColorfulList-Accent11"/>
        <w:ind w:left="0" w:firstLine="0"/>
        <w:rPr>
          <w:rFonts w:cstheme="minorHAnsi"/>
          <w:noProof/>
          <w:lang w:val="es-ES"/>
        </w:rPr>
      </w:pPr>
      <w:r w:rsidRPr="00427FB6">
        <w:rPr>
          <w:b/>
          <w:bCs/>
          <w:i/>
          <w:noProof/>
          <w:color w:val="000000" w:themeColor="text1"/>
          <w:lang w:val="es-ES"/>
        </w:rPr>
        <w:t xml:space="preserve"> </w:t>
      </w:r>
    </w:p>
    <w:p w14:paraId="4DC2096B"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427FB6">
        <w:rPr>
          <w:rFonts w:cstheme="minorHAnsi"/>
          <w:bCs/>
          <w:noProof/>
          <w:lang w:val="es-ES"/>
        </w:rPr>
        <w:t xml:space="preserve">Punto 19 del orden del día: </w:t>
      </w:r>
      <w:r w:rsidRPr="00427FB6">
        <w:rPr>
          <w:rFonts w:cstheme="minorHAnsi"/>
          <w:bCs/>
          <w:noProof/>
          <w:spacing w:val="-2"/>
          <w:lang w:val="es-ES"/>
        </w:rPr>
        <w:t>Informe de la Presidencia del Grupo de Examen Científico y Técnico</w:t>
      </w:r>
      <w:r w:rsidRPr="00427FB6">
        <w:rPr>
          <w:rFonts w:cstheme="minorHAnsi"/>
          <w:noProof/>
          <w:lang w:val="es-ES"/>
        </w:rPr>
        <w:t>, incluido el plan de trabajo para el trienio 2023-2025 (continuación)</w:t>
      </w:r>
    </w:p>
    <w:p w14:paraId="553FB103" w14:textId="77777777" w:rsidR="008160EC" w:rsidRPr="00427FB6" w:rsidRDefault="008160EC" w:rsidP="009849E4">
      <w:pPr>
        <w:spacing w:after="0" w:line="240" w:lineRule="auto"/>
        <w:ind w:left="720" w:hanging="720"/>
        <w:rPr>
          <w:noProof/>
          <w:lang w:val="es-ES"/>
        </w:rPr>
      </w:pPr>
    </w:p>
    <w:p w14:paraId="0776A28D" w14:textId="0BCB7873"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SC62-50: El Comité Permanente solicitó al Grupo de Examen Científico y Técnico que en su 26ª reunión analizara la aplicación del actual sistema de clasificación de humedales de Ramsar, y que luego informara a la 63ª reunión del Comité Permanente, y que incluyera, si fuera necesario, una descripción de un enfoque propuesto para realizar un examen técnico en consulta con las Partes Contratantes, las Organizaciones Internacionales Asociadas y otros acuerdos multilaterales sobre el medio ambiente. Asimismo, solicitó al GECT que consider</w:t>
      </w:r>
      <w:r w:rsidR="00A231C3" w:rsidRPr="00427FB6">
        <w:rPr>
          <w:rFonts w:cstheme="minorHAnsi"/>
          <w:b/>
          <w:noProof/>
          <w:lang w:val="es-ES"/>
        </w:rPr>
        <w:t>ara</w:t>
      </w:r>
      <w:r w:rsidRPr="00427FB6">
        <w:rPr>
          <w:rFonts w:cstheme="minorHAnsi"/>
          <w:b/>
          <w:noProof/>
          <w:lang w:val="es-ES"/>
        </w:rPr>
        <w:t xml:space="preserve"> el uso de una encuesta de los coordinadores nacionales del GECT </w:t>
      </w:r>
      <w:r w:rsidR="00A231C3" w:rsidRPr="00427FB6">
        <w:rPr>
          <w:rFonts w:cstheme="minorHAnsi"/>
          <w:b/>
          <w:noProof/>
          <w:lang w:val="es-ES"/>
        </w:rPr>
        <w:t>y que de esa manera</w:t>
      </w:r>
      <w:r w:rsidRPr="00427FB6">
        <w:rPr>
          <w:rFonts w:cstheme="minorHAnsi"/>
          <w:b/>
          <w:noProof/>
          <w:lang w:val="es-ES"/>
        </w:rPr>
        <w:t xml:space="preserve"> recopilar</w:t>
      </w:r>
      <w:r w:rsidR="00A231C3" w:rsidRPr="00427FB6">
        <w:rPr>
          <w:rFonts w:cstheme="minorHAnsi"/>
          <w:b/>
          <w:noProof/>
          <w:lang w:val="es-ES"/>
        </w:rPr>
        <w:t>a</w:t>
      </w:r>
      <w:r w:rsidRPr="00427FB6">
        <w:rPr>
          <w:rFonts w:cstheme="minorHAnsi"/>
          <w:b/>
          <w:noProof/>
          <w:lang w:val="es-ES"/>
        </w:rPr>
        <w:t xml:space="preserve"> información técnica sobre el sistema de clasificación de las diferentes regiones. </w:t>
      </w:r>
    </w:p>
    <w:p w14:paraId="51E4D3D4" w14:textId="77777777" w:rsidR="008160EC" w:rsidRPr="00427FB6" w:rsidRDefault="008160EC" w:rsidP="009849E4">
      <w:pPr>
        <w:keepNext/>
        <w:spacing w:after="0" w:line="240" w:lineRule="auto"/>
        <w:rPr>
          <w:rFonts w:cstheme="minorHAnsi"/>
          <w:noProof/>
          <w:lang w:val="es-ES"/>
        </w:rPr>
      </w:pPr>
    </w:p>
    <w:p w14:paraId="529F4614"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bookmarkStart w:id="2" w:name="_Hlk145056792"/>
      <w:r w:rsidRPr="00427FB6">
        <w:rPr>
          <w:rFonts w:cstheme="minorHAnsi"/>
          <w:bCs/>
          <w:noProof/>
          <w:lang w:val="es-ES"/>
        </w:rPr>
        <w:t xml:space="preserve">Punto 11 del orden del día: </w:t>
      </w:r>
      <w:r w:rsidRPr="00427FB6">
        <w:rPr>
          <w:rFonts w:cstheme="minorHAnsi"/>
          <w:noProof/>
          <w:lang w:val="es-ES"/>
        </w:rPr>
        <w:t>Informe de la Secretaría sobre el fortalecimiento institucional para apoyar la aplicación de la Convención</w:t>
      </w:r>
      <w:r w:rsidRPr="00427FB6">
        <w:rPr>
          <w:noProof/>
          <w:lang w:val="es-ES"/>
        </w:rPr>
        <w:t xml:space="preserve"> (continuación)</w:t>
      </w:r>
    </w:p>
    <w:bookmarkEnd w:id="2"/>
    <w:p w14:paraId="150C63C5" w14:textId="77777777" w:rsidR="008160EC" w:rsidRPr="00427FB6" w:rsidRDefault="008160EC" w:rsidP="009849E4">
      <w:pPr>
        <w:spacing w:after="0" w:line="240" w:lineRule="auto"/>
        <w:ind w:left="567" w:hanging="567"/>
        <w:rPr>
          <w:rFonts w:cstheme="minorHAnsi"/>
          <w:noProof/>
          <w:lang w:val="es-ES"/>
        </w:rPr>
      </w:pPr>
    </w:p>
    <w:p w14:paraId="7D95EF58" w14:textId="77777777" w:rsidR="0099500D" w:rsidRPr="00ED1EC1" w:rsidRDefault="008160EC" w:rsidP="0099500D">
      <w:pPr>
        <w:spacing w:after="0" w:line="240" w:lineRule="auto"/>
        <w:rPr>
          <w:b/>
          <w:bCs/>
          <w:noProof/>
          <w:lang w:val="es-ES"/>
        </w:rPr>
      </w:pPr>
      <w:r w:rsidRPr="00427FB6">
        <w:rPr>
          <w:b/>
          <w:bCs/>
          <w:noProof/>
          <w:lang w:val="es-ES"/>
        </w:rPr>
        <w:t xml:space="preserve">Decisión SC62-51: </w:t>
      </w:r>
      <w:r w:rsidR="0099500D" w:rsidRPr="00ED1EC1">
        <w:rPr>
          <w:b/>
          <w:bCs/>
          <w:noProof/>
          <w:lang w:val="es-ES"/>
        </w:rPr>
        <w:t xml:space="preserve">El Comité Permanente tomó nota </w:t>
      </w:r>
      <w:r w:rsidR="0099500D">
        <w:rPr>
          <w:b/>
          <w:bCs/>
          <w:noProof/>
          <w:lang w:val="es-ES"/>
        </w:rPr>
        <w:t>de los términos de referencia</w:t>
      </w:r>
      <w:r w:rsidR="0099500D" w:rsidRPr="00ED1EC1">
        <w:rPr>
          <w:b/>
          <w:bCs/>
          <w:noProof/>
          <w:lang w:val="es-ES"/>
        </w:rPr>
        <w:t xml:space="preserve"> </w:t>
      </w:r>
      <w:r w:rsidR="0099500D">
        <w:rPr>
          <w:b/>
          <w:bCs/>
          <w:noProof/>
          <w:lang w:val="es-ES"/>
        </w:rPr>
        <w:t xml:space="preserve">que el Grupo de trabajo acordó y presentó </w:t>
      </w:r>
      <w:r w:rsidR="0099500D" w:rsidRPr="00ED1EC1">
        <w:rPr>
          <w:b/>
          <w:bCs/>
          <w:noProof/>
          <w:lang w:val="es-ES"/>
        </w:rPr>
        <w:t>a la reunión SC62</w:t>
      </w:r>
      <w:r w:rsidR="0099500D">
        <w:rPr>
          <w:b/>
          <w:bCs/>
          <w:noProof/>
          <w:lang w:val="es-ES"/>
        </w:rPr>
        <w:t>, y que figuran</w:t>
      </w:r>
      <w:r w:rsidR="0099500D" w:rsidRPr="00ED1EC1">
        <w:rPr>
          <w:b/>
          <w:bCs/>
          <w:noProof/>
          <w:lang w:val="es-ES"/>
        </w:rPr>
        <w:t xml:space="preserve"> en el documento SC62 Com.2.</w:t>
      </w:r>
    </w:p>
    <w:p w14:paraId="30CE5214" w14:textId="3B9927BA" w:rsidR="008160EC" w:rsidRPr="00427FB6" w:rsidRDefault="008160EC" w:rsidP="009849E4">
      <w:pPr>
        <w:spacing w:after="0" w:line="240" w:lineRule="auto"/>
        <w:rPr>
          <w:b/>
          <w:bCs/>
          <w:noProof/>
          <w:lang w:val="es-ES"/>
        </w:rPr>
      </w:pPr>
    </w:p>
    <w:p w14:paraId="762FA01B"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427FB6">
        <w:rPr>
          <w:rFonts w:cstheme="minorHAnsi"/>
          <w:bCs/>
          <w:noProof/>
          <w:lang w:val="es-ES"/>
        </w:rPr>
        <w:t>Punto 22 del orden del día: Información actualizada sobre el estado de los sitios inscritos en la Lista de Humedales de Importancia Internacional</w:t>
      </w:r>
    </w:p>
    <w:p w14:paraId="0804A5D0" w14:textId="77777777" w:rsidR="008160EC" w:rsidRPr="00427FB6" w:rsidRDefault="008160EC" w:rsidP="009849E4">
      <w:pPr>
        <w:spacing w:after="0" w:line="240" w:lineRule="auto"/>
        <w:rPr>
          <w:rFonts w:eastAsia="Calibri" w:cstheme="minorHAnsi"/>
          <w:bCs/>
          <w:noProof/>
          <w:lang w:val="es-ES"/>
        </w:rPr>
      </w:pPr>
    </w:p>
    <w:p w14:paraId="3559E282"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SC62-52: El Comité Permanente tomó nota del informe actualizado sobre el estado de los sitios incluidos en la Lista de Humedales de Importancia Internacional.</w:t>
      </w:r>
    </w:p>
    <w:p w14:paraId="5453716D" w14:textId="77777777" w:rsidR="008160EC" w:rsidRPr="00427FB6" w:rsidRDefault="008160EC" w:rsidP="009849E4">
      <w:pPr>
        <w:spacing w:after="0" w:line="240" w:lineRule="auto"/>
        <w:contextualSpacing/>
        <w:rPr>
          <w:rFonts w:cstheme="minorHAnsi"/>
          <w:b/>
          <w:noProof/>
          <w:lang w:val="es-ES"/>
        </w:rPr>
      </w:pPr>
    </w:p>
    <w:p w14:paraId="20333CC7" w14:textId="77777777" w:rsidR="008160EC" w:rsidRPr="00427FB6" w:rsidRDefault="008160EC" w:rsidP="009849E4">
      <w:pPr>
        <w:spacing w:after="0" w:line="240" w:lineRule="auto"/>
        <w:contextualSpacing/>
        <w:rPr>
          <w:rFonts w:cstheme="minorHAnsi"/>
          <w:b/>
          <w:noProof/>
          <w:lang w:val="es-ES"/>
        </w:rPr>
      </w:pPr>
      <w:r w:rsidRPr="00427FB6">
        <w:rPr>
          <w:rFonts w:cstheme="minorHAnsi"/>
          <w:b/>
          <w:noProof/>
          <w:lang w:val="es-ES"/>
        </w:rPr>
        <w:t>Decisión SC62-53: El Comité Permanente encargó a la Secretaría que presentara un informe a la reunión SC63 sobre las oportunidades y los retos relacionados con la presentación y actualización de las Fichas Informativas de Ramsar, incluido lo siguiente:</w:t>
      </w:r>
    </w:p>
    <w:p w14:paraId="68AF55BD" w14:textId="77777777" w:rsidR="008160EC" w:rsidRPr="00427FB6" w:rsidRDefault="008160EC" w:rsidP="00FA450E">
      <w:pPr>
        <w:pStyle w:val="ListParagraph"/>
        <w:numPr>
          <w:ilvl w:val="0"/>
          <w:numId w:val="54"/>
        </w:numPr>
        <w:spacing w:after="0" w:line="240" w:lineRule="auto"/>
        <w:ind w:left="567" w:hanging="567"/>
        <w:rPr>
          <w:rFonts w:cstheme="minorHAnsi"/>
          <w:b/>
          <w:noProof/>
          <w:lang w:val="es-ES"/>
        </w:rPr>
      </w:pPr>
      <w:r w:rsidRPr="00427FB6">
        <w:rPr>
          <w:rFonts w:cstheme="minorHAnsi"/>
          <w:b/>
          <w:noProof/>
          <w:lang w:val="es-ES"/>
        </w:rPr>
        <w:t xml:space="preserve">retos y opciones sistémicos, de procedimiento y otros aspectos técnicos; y </w:t>
      </w:r>
    </w:p>
    <w:p w14:paraId="29791D63" w14:textId="77777777" w:rsidR="008160EC" w:rsidRPr="00427FB6" w:rsidRDefault="008160EC" w:rsidP="00FA450E">
      <w:pPr>
        <w:pStyle w:val="ListParagraph"/>
        <w:numPr>
          <w:ilvl w:val="0"/>
          <w:numId w:val="54"/>
        </w:numPr>
        <w:spacing w:after="0" w:line="240" w:lineRule="auto"/>
        <w:ind w:left="567" w:hanging="567"/>
        <w:rPr>
          <w:rFonts w:cstheme="minorHAnsi"/>
          <w:b/>
          <w:noProof/>
          <w:lang w:val="es-ES"/>
        </w:rPr>
      </w:pPr>
      <w:r w:rsidRPr="00427FB6">
        <w:rPr>
          <w:rFonts w:cstheme="minorHAnsi"/>
          <w:b/>
          <w:noProof/>
          <w:lang w:val="es-ES"/>
        </w:rPr>
        <w:t>retos, necesidades y oportunidades en materia financiera.</w:t>
      </w:r>
    </w:p>
    <w:p w14:paraId="26691DC2" w14:textId="77777777" w:rsidR="008160EC" w:rsidRPr="00427FB6" w:rsidRDefault="008160EC" w:rsidP="009849E4">
      <w:pPr>
        <w:spacing w:after="0" w:line="240" w:lineRule="auto"/>
        <w:ind w:right="321"/>
        <w:rPr>
          <w:b/>
          <w:bCs/>
          <w:noProof/>
          <w:lang w:val="es-ES"/>
        </w:rPr>
      </w:pPr>
      <w:r w:rsidRPr="00427FB6">
        <w:rPr>
          <w:b/>
          <w:bCs/>
          <w:noProof/>
          <w:lang w:val="es-ES"/>
        </w:rPr>
        <w:lastRenderedPageBreak/>
        <w:t>Para ello, la Secretaría recibirá y cotejará las aportaciones, en consulta con las Partes Contratantes, el GECT y otras partes interesadas. La Secretaría establecerá el método para llevar a cabo la tarea, en consulta con las Partes Contratantes, mediante procedimientos escritos y una o varias sesiones en línea.</w:t>
      </w:r>
    </w:p>
    <w:p w14:paraId="29A75732" w14:textId="77777777" w:rsidR="008160EC" w:rsidRPr="00427FB6" w:rsidRDefault="008160EC" w:rsidP="009849E4">
      <w:pPr>
        <w:spacing w:after="0" w:line="240" w:lineRule="auto"/>
        <w:ind w:right="321"/>
        <w:rPr>
          <w:rFonts w:cstheme="minorHAnsi"/>
          <w:b/>
          <w:noProof/>
          <w:lang w:val="es-ES"/>
        </w:rPr>
      </w:pPr>
    </w:p>
    <w:p w14:paraId="13C8EA17" w14:textId="77777777" w:rsidR="008160EC" w:rsidRPr="00427FB6" w:rsidRDefault="008160EC" w:rsidP="009849E4">
      <w:pPr>
        <w:spacing w:after="0" w:line="240" w:lineRule="auto"/>
        <w:ind w:right="321"/>
        <w:rPr>
          <w:rFonts w:cstheme="minorHAnsi"/>
          <w:b/>
          <w:noProof/>
          <w:lang w:val="es-ES"/>
        </w:rPr>
      </w:pPr>
      <w:r w:rsidRPr="00427FB6">
        <w:rPr>
          <w:rFonts w:cstheme="minorHAnsi"/>
          <w:b/>
          <w:noProof/>
          <w:lang w:val="es-ES"/>
        </w:rPr>
        <w:t>Decisión SC62-54: El Comité Permanente decidió que el informe mundial sobre el estado de la Lista de Humedales de Importancia Internacional lo elaboraría la Secretaría tan solo una vez cada trienio, para su presentación a la COP, y derogó la Decisión SC35-28 sobre el mismo tema.</w:t>
      </w:r>
    </w:p>
    <w:p w14:paraId="1DC92E6D" w14:textId="77777777" w:rsidR="008160EC" w:rsidRPr="00427FB6" w:rsidRDefault="008160EC" w:rsidP="009849E4">
      <w:pPr>
        <w:keepNext/>
        <w:spacing w:after="0" w:line="240" w:lineRule="auto"/>
        <w:rPr>
          <w:rFonts w:cstheme="minorHAnsi"/>
          <w:noProof/>
          <w:lang w:val="es-ES"/>
        </w:rPr>
      </w:pPr>
    </w:p>
    <w:p w14:paraId="4A06DCAB"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23 del orden del día: Informe sobre el proceso que la Secretaría realiza para inscribir sitios en la Lista de Humedales de Importancia Internacional</w:t>
      </w:r>
    </w:p>
    <w:p w14:paraId="681268BD" w14:textId="77777777" w:rsidR="008160EC" w:rsidRPr="00427FB6" w:rsidRDefault="008160EC" w:rsidP="009849E4">
      <w:pPr>
        <w:spacing w:after="0" w:line="240" w:lineRule="auto"/>
        <w:rPr>
          <w:rFonts w:eastAsia="Calibri" w:cstheme="minorHAnsi"/>
          <w:bCs/>
          <w:noProof/>
          <w:lang w:val="es-ES"/>
        </w:rPr>
      </w:pPr>
    </w:p>
    <w:p w14:paraId="25490822" w14:textId="01ABD58D" w:rsidR="008160EC" w:rsidRPr="00427FB6" w:rsidRDefault="008160EC" w:rsidP="009849E4">
      <w:pPr>
        <w:pStyle w:val="ColorfulList-Accent11"/>
        <w:ind w:left="0" w:firstLine="0"/>
        <w:rPr>
          <w:b/>
          <w:bCs/>
          <w:noProof/>
          <w:lang w:val="es-ES"/>
        </w:rPr>
      </w:pPr>
      <w:r w:rsidRPr="00427FB6">
        <w:rPr>
          <w:b/>
          <w:bCs/>
          <w:noProof/>
          <w:lang w:val="es-ES"/>
        </w:rPr>
        <w:t xml:space="preserve">Decisión SC62-55: El Comité Permanente encargó a la Secretaría que enviara una notificación a los coordinadores nacionales, solicitando la presentación de propuestas sobre el fortalecimiento del proceso para inscribir sitios en la Lista de Humedales de Importancia Internacional. Asimismo, le encargó que elaborara un informe </w:t>
      </w:r>
      <w:r w:rsidR="00D65BDC" w:rsidRPr="00427FB6">
        <w:rPr>
          <w:b/>
          <w:bCs/>
          <w:noProof/>
          <w:lang w:val="es-ES"/>
        </w:rPr>
        <w:t>de compilación de</w:t>
      </w:r>
      <w:r w:rsidRPr="00427FB6">
        <w:rPr>
          <w:b/>
          <w:bCs/>
          <w:noProof/>
          <w:lang w:val="es-ES"/>
        </w:rPr>
        <w:t xml:space="preserve"> las propuestas</w:t>
      </w:r>
      <w:r w:rsidR="00D65BDC" w:rsidRPr="00427FB6">
        <w:rPr>
          <w:b/>
          <w:bCs/>
          <w:noProof/>
          <w:lang w:val="es-ES"/>
        </w:rPr>
        <w:t xml:space="preserve"> y lo sometiera </w:t>
      </w:r>
      <w:r w:rsidRPr="00427FB6">
        <w:rPr>
          <w:b/>
          <w:bCs/>
          <w:noProof/>
          <w:lang w:val="es-ES"/>
        </w:rPr>
        <w:t>a la consideración de la reunión SC63</w:t>
      </w:r>
      <w:r w:rsidR="00D65BDC" w:rsidRPr="00427FB6">
        <w:rPr>
          <w:b/>
          <w:bCs/>
          <w:noProof/>
          <w:lang w:val="es-ES"/>
        </w:rPr>
        <w:t xml:space="preserve"> junto con la opinión del Asesor Jurídico</w:t>
      </w:r>
      <w:r w:rsidRPr="00427FB6">
        <w:rPr>
          <w:b/>
          <w:bCs/>
          <w:noProof/>
          <w:lang w:val="es-ES"/>
        </w:rPr>
        <w:t>.</w:t>
      </w:r>
    </w:p>
    <w:p w14:paraId="7DC9C249" w14:textId="77777777" w:rsidR="008160EC" w:rsidRPr="00427FB6" w:rsidRDefault="008160EC" w:rsidP="009849E4">
      <w:pPr>
        <w:pStyle w:val="ColorfulList-Accent11"/>
        <w:ind w:left="0" w:firstLine="0"/>
        <w:rPr>
          <w:b/>
          <w:bCs/>
          <w:noProof/>
          <w:lang w:val="es-ES"/>
        </w:rPr>
      </w:pPr>
    </w:p>
    <w:p w14:paraId="402F64BA"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21 del orden del día:  Informe nacional para la COP15</w:t>
      </w:r>
      <w:r w:rsidRPr="00427FB6" w:rsidDel="0090109C">
        <w:rPr>
          <w:rFonts w:cstheme="minorHAnsi"/>
          <w:bCs/>
          <w:noProof/>
          <w:lang w:val="es-ES"/>
        </w:rPr>
        <w:t xml:space="preserve"> </w:t>
      </w:r>
      <w:r w:rsidRPr="00427FB6">
        <w:rPr>
          <w:rFonts w:cstheme="minorHAnsi"/>
          <w:bCs/>
          <w:noProof/>
          <w:lang w:val="es-ES"/>
        </w:rPr>
        <w:t>(continuación)</w:t>
      </w:r>
    </w:p>
    <w:p w14:paraId="2B633309" w14:textId="77777777" w:rsidR="008160EC" w:rsidRPr="00427FB6" w:rsidRDefault="008160EC" w:rsidP="009849E4">
      <w:pPr>
        <w:keepNext/>
        <w:spacing w:after="0" w:line="240" w:lineRule="auto"/>
        <w:ind w:left="720" w:hanging="720"/>
        <w:rPr>
          <w:rFonts w:eastAsia="Calibri" w:cstheme="minorHAnsi"/>
          <w:bCs/>
          <w:noProof/>
          <w:lang w:val="es-ES"/>
        </w:rPr>
      </w:pPr>
    </w:p>
    <w:p w14:paraId="17A9A129" w14:textId="77777777" w:rsidR="008160EC" w:rsidRPr="00427FB6" w:rsidRDefault="008160EC" w:rsidP="009849E4">
      <w:pPr>
        <w:spacing w:after="0" w:line="240" w:lineRule="auto"/>
        <w:rPr>
          <w:b/>
          <w:bCs/>
          <w:noProof/>
          <w:lang w:val="es-ES"/>
        </w:rPr>
      </w:pPr>
      <w:r w:rsidRPr="00427FB6">
        <w:rPr>
          <w:b/>
          <w:bCs/>
          <w:noProof/>
          <w:lang w:val="es-ES"/>
        </w:rPr>
        <w:t>Decisión SC62-56: El Comité Permanente aprobó el formulario de Informe nacional para la COP15 que figura en el documento SC62 Com.3.</w:t>
      </w:r>
    </w:p>
    <w:p w14:paraId="619860E8" w14:textId="77777777" w:rsidR="008160EC" w:rsidRPr="00427FB6" w:rsidRDefault="008160EC" w:rsidP="009849E4">
      <w:pPr>
        <w:pStyle w:val="ColorfulList-Accent11"/>
        <w:ind w:left="0" w:firstLine="0"/>
        <w:rPr>
          <w:b/>
          <w:bCs/>
          <w:iCs/>
          <w:noProof/>
          <w:color w:val="000000" w:themeColor="text1"/>
          <w:lang w:val="es-ES"/>
        </w:rPr>
      </w:pPr>
    </w:p>
    <w:p w14:paraId="2DCA9B45"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24 del orden del día: Información actualizada de la Secretaría sobre la aplicación de la Resolución XIV.20</w:t>
      </w:r>
    </w:p>
    <w:p w14:paraId="28C18B74" w14:textId="77777777" w:rsidR="008160EC" w:rsidRPr="00427FB6" w:rsidRDefault="008160EC" w:rsidP="009849E4">
      <w:pPr>
        <w:spacing w:after="0" w:line="240" w:lineRule="auto"/>
        <w:rPr>
          <w:noProof/>
          <w:lang w:val="es-ES"/>
        </w:rPr>
      </w:pPr>
    </w:p>
    <w:p w14:paraId="240FA926" w14:textId="77777777" w:rsidR="008160EC" w:rsidRPr="00427FB6" w:rsidRDefault="008160EC" w:rsidP="009849E4">
      <w:pPr>
        <w:pStyle w:val="ColorfulList-Accent11"/>
        <w:ind w:left="0" w:firstLine="0"/>
        <w:rPr>
          <w:b/>
          <w:i/>
          <w:iCs/>
          <w:noProof/>
          <w:lang w:val="es-ES"/>
        </w:rPr>
      </w:pPr>
      <w:r w:rsidRPr="00427FB6">
        <w:rPr>
          <w:b/>
          <w:bCs/>
          <w:noProof/>
          <w:lang w:val="es-ES"/>
        </w:rPr>
        <w:t xml:space="preserve">Decisión SC62-57: El Comité Permanente tomó nota de la información actualizada que la Secretaría proporcionó acerca de la aplicación de la Resolución XIV.20, </w:t>
      </w:r>
      <w:r w:rsidRPr="00427FB6">
        <w:rPr>
          <w:b/>
          <w:i/>
          <w:iCs/>
          <w:noProof/>
          <w:lang w:val="es-ES"/>
        </w:rPr>
        <w:t>Respuesta de la Convención de Ramsar a la emergencia ambiental en Ucrania por los daños causados a sus Humedales de Importancia Internacional (sitios Ramsar) a raíz de la agresión de la Federación de Rusia.</w:t>
      </w:r>
    </w:p>
    <w:p w14:paraId="07D8DFA4" w14:textId="77777777" w:rsidR="008160EC" w:rsidRPr="00427FB6" w:rsidRDefault="008160EC" w:rsidP="009849E4">
      <w:pPr>
        <w:pStyle w:val="ColorfulList-Accent11"/>
        <w:ind w:left="0" w:firstLine="0"/>
        <w:rPr>
          <w:b/>
          <w:bCs/>
          <w:noProof/>
          <w:lang w:val="es-ES"/>
        </w:rPr>
      </w:pPr>
    </w:p>
    <w:p w14:paraId="260838F9" w14:textId="77777777" w:rsidR="008160EC" w:rsidRPr="00427FB6" w:rsidRDefault="008160EC" w:rsidP="009849E4">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427FB6">
        <w:rPr>
          <w:rFonts w:cstheme="minorHAnsi"/>
          <w:bCs/>
          <w:noProof/>
          <w:lang w:val="es-ES"/>
        </w:rPr>
        <w:t>Punto 27 del orden del día: Fechas de la 63ª reunión del Comité Permanente</w:t>
      </w:r>
    </w:p>
    <w:p w14:paraId="137AB132" w14:textId="77777777" w:rsidR="008160EC" w:rsidRPr="00427FB6" w:rsidRDefault="008160EC" w:rsidP="009849E4">
      <w:pPr>
        <w:spacing w:after="0" w:line="240" w:lineRule="auto"/>
        <w:ind w:left="720" w:hanging="720"/>
        <w:rPr>
          <w:noProof/>
          <w:lang w:val="es-ES"/>
        </w:rPr>
      </w:pPr>
    </w:p>
    <w:p w14:paraId="64EC8F0C" w14:textId="139C3DF0" w:rsidR="00D00F35" w:rsidRPr="00427FB6" w:rsidRDefault="008160EC" w:rsidP="00D00F35">
      <w:pPr>
        <w:spacing w:after="0" w:line="240" w:lineRule="auto"/>
        <w:contextualSpacing/>
        <w:rPr>
          <w:noProof/>
          <w:color w:val="000000"/>
          <w:lang w:val="es-ES"/>
        </w:rPr>
      </w:pPr>
      <w:r w:rsidRPr="00427FB6">
        <w:rPr>
          <w:rFonts w:cstheme="minorHAnsi"/>
          <w:b/>
          <w:noProof/>
          <w:lang w:val="es-ES"/>
        </w:rPr>
        <w:t>Decisión SC62-58: El Comité Permanente decidió que la 63ª reunión del Comité Permanente se celebraría del 3 al 7 de junio de 2024, advirtiendo que las fechas de la 64ª reunión del Comité Permanente se decidirían en la reunión SC63.</w:t>
      </w:r>
    </w:p>
    <w:p w14:paraId="5DFDB3CA" w14:textId="1CAFA835" w:rsidR="008160EC" w:rsidRPr="00427FB6" w:rsidRDefault="008160EC" w:rsidP="009849E4">
      <w:pPr>
        <w:spacing w:after="0" w:line="240" w:lineRule="auto"/>
        <w:rPr>
          <w:noProof/>
          <w:color w:val="000000"/>
          <w:lang w:val="es-ES"/>
        </w:rPr>
      </w:pPr>
    </w:p>
    <w:sectPr w:rsidR="008160EC" w:rsidRPr="00427FB6" w:rsidSect="0054523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461C" w14:textId="77777777" w:rsidR="00E7101B" w:rsidRDefault="00E7101B" w:rsidP="0021462B">
      <w:pPr>
        <w:spacing w:after="0" w:line="240" w:lineRule="auto"/>
      </w:pPr>
      <w:r>
        <w:separator/>
      </w:r>
    </w:p>
  </w:endnote>
  <w:endnote w:type="continuationSeparator" w:id="0">
    <w:p w14:paraId="500F7178" w14:textId="77777777" w:rsidR="00E7101B" w:rsidRDefault="00E7101B" w:rsidP="0021462B">
      <w:pPr>
        <w:spacing w:after="0" w:line="240" w:lineRule="auto"/>
      </w:pPr>
      <w:r>
        <w:continuationSeparator/>
      </w:r>
    </w:p>
  </w:endnote>
  <w:endnote w:type="continuationNotice" w:id="1">
    <w:p w14:paraId="1A2551E1" w14:textId="77777777" w:rsidR="00E7101B" w:rsidRDefault="00E71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EB8E" w14:textId="74026342" w:rsidR="008160EC" w:rsidRPr="0021462B" w:rsidRDefault="008160EC">
    <w:pPr>
      <w:pStyle w:val="Footer"/>
      <w:rPr>
        <w:sz w:val="20"/>
        <w:szCs w:val="20"/>
      </w:rPr>
    </w:pPr>
    <w:r>
      <w:rPr>
        <w:sz w:val="20"/>
        <w:szCs w:val="20"/>
      </w:rPr>
      <w:t xml:space="preserve">SC62 </w:t>
    </w:r>
    <w:r w:rsidR="00144393">
      <w:rPr>
        <w:sz w:val="20"/>
        <w:szCs w:val="20"/>
      </w:rPr>
      <w:t>D</w:t>
    </w:r>
    <w:r w:rsidR="00073695" w:rsidRPr="00073695">
      <w:rPr>
        <w:noProof/>
        <w:sz w:val="20"/>
        <w:szCs w:val="20"/>
        <w:lang w:val="es-ES"/>
      </w:rPr>
      <w:t>ecisiones</w:t>
    </w:r>
    <w:r w:rsidRPr="0021462B">
      <w:rPr>
        <w:sz w:val="20"/>
        <w:szCs w:val="20"/>
      </w:rPr>
      <w:tab/>
    </w:r>
    <w:r w:rsidRPr="0021462B">
      <w:rPr>
        <w:sz w:val="20"/>
        <w:szCs w:val="20"/>
      </w:rPr>
      <w:tab/>
    </w:r>
    <w:r>
      <w:fldChar w:fldCharType="begin"/>
    </w:r>
    <w:r>
      <w:instrText xml:space="preserve"> PAGE   \* MERGEFORMAT </w:instrText>
    </w:r>
    <w:r>
      <w:fldChar w:fldCharType="separate"/>
    </w:r>
    <w:r w:rsidR="00D00F35" w:rsidRPr="00D00F35">
      <w:rPr>
        <w:noProof/>
        <w:sz w:val="20"/>
        <w:szCs w:val="20"/>
      </w:rPr>
      <w:t>7</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838C5" w14:textId="77777777" w:rsidR="00E7101B" w:rsidRDefault="00E7101B" w:rsidP="0021462B">
      <w:pPr>
        <w:spacing w:after="0" w:line="240" w:lineRule="auto"/>
      </w:pPr>
      <w:r>
        <w:separator/>
      </w:r>
    </w:p>
  </w:footnote>
  <w:footnote w:type="continuationSeparator" w:id="0">
    <w:p w14:paraId="6951C659" w14:textId="77777777" w:rsidR="00E7101B" w:rsidRDefault="00E7101B" w:rsidP="0021462B">
      <w:pPr>
        <w:spacing w:after="0" w:line="240" w:lineRule="auto"/>
      </w:pPr>
      <w:r>
        <w:continuationSeparator/>
      </w:r>
    </w:p>
  </w:footnote>
  <w:footnote w:type="continuationNotice" w:id="1">
    <w:p w14:paraId="2352760D" w14:textId="77777777" w:rsidR="00E7101B" w:rsidRDefault="00E7101B">
      <w:pPr>
        <w:spacing w:after="0" w:line="240" w:lineRule="auto"/>
      </w:pPr>
    </w:p>
  </w:footnote>
  <w:footnote w:id="2">
    <w:p w14:paraId="0A5ABABC" w14:textId="38E55EBB" w:rsidR="00AE6B71" w:rsidRPr="00AE6B71" w:rsidRDefault="00AE6B71">
      <w:pPr>
        <w:pStyle w:val="FootnoteText"/>
        <w:rPr>
          <w:lang w:val="es-ES"/>
        </w:rPr>
      </w:pPr>
      <w:r>
        <w:rPr>
          <w:rStyle w:val="FootnoteReference"/>
        </w:rPr>
        <w:footnoteRef/>
      </w:r>
      <w:r w:rsidRPr="00AE6B71">
        <w:rPr>
          <w:lang w:val="es-ES"/>
        </w:rPr>
        <w:t xml:space="preserve"> </w:t>
      </w:r>
      <w:r w:rsidRPr="00721BBE">
        <w:rPr>
          <w:lang w:val="es-ES"/>
        </w:rPr>
        <w:t xml:space="preserve">Véase el presupuesto básico resultante para 2023 en el Anexo 1 del </w:t>
      </w:r>
      <w:hyperlink r:id="rId1" w:history="1">
        <w:r w:rsidRPr="00721BBE">
          <w:rPr>
            <w:rStyle w:val="Hyperlink"/>
            <w:lang w:val="es-ES"/>
          </w:rPr>
          <w:t xml:space="preserve">documento SC62 Com.1 Rev.2 </w:t>
        </w:r>
        <w:r w:rsidRPr="00721BBE">
          <w:rPr>
            <w:rStyle w:val="Hyperlink"/>
            <w:i/>
            <w:lang w:val="es-ES"/>
          </w:rPr>
          <w:t>Informe del Subgrupo</w:t>
        </w:r>
        <w:bookmarkStart w:id="1" w:name="_GoBack"/>
        <w:bookmarkEnd w:id="1"/>
        <w:r w:rsidRPr="00721BBE">
          <w:rPr>
            <w:rStyle w:val="Hyperlink"/>
            <w:i/>
            <w:lang w:val="es-ES"/>
          </w:rPr>
          <w:t xml:space="preserve"> de Finanzas, 4 de septiembre de 2023</w:t>
        </w:r>
      </w:hyperlink>
      <w:r w:rsidRPr="00721BBE">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07"/>
    <w:multiLevelType w:val="hybridMultilevel"/>
    <w:tmpl w:val="9904D6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9D1F51"/>
    <w:multiLevelType w:val="hybridMultilevel"/>
    <w:tmpl w:val="470A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00C4"/>
    <w:multiLevelType w:val="hybridMultilevel"/>
    <w:tmpl w:val="111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234D"/>
    <w:multiLevelType w:val="hybridMultilevel"/>
    <w:tmpl w:val="D23A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E5F"/>
    <w:multiLevelType w:val="hybridMultilevel"/>
    <w:tmpl w:val="ADC6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63A"/>
    <w:multiLevelType w:val="hybridMultilevel"/>
    <w:tmpl w:val="78C48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B4DAF"/>
    <w:multiLevelType w:val="hybridMultilevel"/>
    <w:tmpl w:val="F8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B40AB1"/>
    <w:multiLevelType w:val="hybridMultilevel"/>
    <w:tmpl w:val="B6045F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3140CC0"/>
    <w:multiLevelType w:val="hybridMultilevel"/>
    <w:tmpl w:val="B98A610E"/>
    <w:lvl w:ilvl="0" w:tplc="C96CE294">
      <w:numFmt w:val="bullet"/>
      <w:lvlText w:val="-"/>
      <w:lvlJc w:val="left"/>
      <w:pPr>
        <w:ind w:left="720" w:hanging="360"/>
      </w:pPr>
      <w:rPr>
        <w:rFonts w:ascii="Calibri" w:eastAsiaTheme="minorHAnsi" w:hAnsi="Calibri" w:cs="Calibri" w:hint="default"/>
      </w:rPr>
    </w:lvl>
    <w:lvl w:ilvl="1" w:tplc="C96CE2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263800"/>
    <w:multiLevelType w:val="multilevel"/>
    <w:tmpl w:val="07EA01E0"/>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03549B"/>
    <w:multiLevelType w:val="multilevel"/>
    <w:tmpl w:val="B2169226"/>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32D204B"/>
    <w:multiLevelType w:val="multilevel"/>
    <w:tmpl w:val="4AE49D1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BE3FE4"/>
    <w:multiLevelType w:val="multilevel"/>
    <w:tmpl w:val="3CDA08FE"/>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8640E"/>
    <w:multiLevelType w:val="hybridMultilevel"/>
    <w:tmpl w:val="D1D0A64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5"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2716D"/>
    <w:multiLevelType w:val="hybridMultilevel"/>
    <w:tmpl w:val="2FFC386E"/>
    <w:lvl w:ilvl="0" w:tplc="3D881EA8">
      <w:start w:val="1"/>
      <w:numFmt w:val="lowerRoman"/>
      <w:lvlText w:val="%1."/>
      <w:lvlJc w:val="left"/>
      <w:pPr>
        <w:ind w:left="1428"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7277AB"/>
    <w:multiLevelType w:val="hybridMultilevel"/>
    <w:tmpl w:val="5C6C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1" w15:restartNumberingAfterBreak="0">
    <w:nsid w:val="43960673"/>
    <w:multiLevelType w:val="multilevel"/>
    <w:tmpl w:val="2806D0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43C7849"/>
    <w:multiLevelType w:val="hybridMultilevel"/>
    <w:tmpl w:val="EEFC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40162C"/>
    <w:multiLevelType w:val="multilevel"/>
    <w:tmpl w:val="8F32EE4A"/>
    <w:numStyleLink w:val="Style1"/>
  </w:abstractNum>
  <w:abstractNum w:abstractNumId="34" w15:restartNumberingAfterBreak="0">
    <w:nsid w:val="5324424E"/>
    <w:multiLevelType w:val="multilevel"/>
    <w:tmpl w:val="F6ACC8A2"/>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5D460E"/>
    <w:multiLevelType w:val="hybridMultilevel"/>
    <w:tmpl w:val="AE14E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30AE9"/>
    <w:multiLevelType w:val="hybridMultilevel"/>
    <w:tmpl w:val="79A0827C"/>
    <w:lvl w:ilvl="0" w:tplc="040A0001">
      <w:start w:val="1"/>
      <w:numFmt w:val="bullet"/>
      <w:lvlText w:val=""/>
      <w:lvlJc w:val="left"/>
      <w:pPr>
        <w:ind w:left="1288" w:hanging="360"/>
      </w:pPr>
      <w:rPr>
        <w:rFonts w:ascii="Symbol" w:hAnsi="Symbol" w:hint="default"/>
      </w:rPr>
    </w:lvl>
    <w:lvl w:ilvl="1" w:tplc="040A0003" w:tentative="1">
      <w:start w:val="1"/>
      <w:numFmt w:val="bullet"/>
      <w:lvlText w:val="o"/>
      <w:lvlJc w:val="left"/>
      <w:pPr>
        <w:ind w:left="2008" w:hanging="360"/>
      </w:pPr>
      <w:rPr>
        <w:rFonts w:ascii="Courier New" w:hAnsi="Courier New" w:cs="Courier New" w:hint="default"/>
      </w:rPr>
    </w:lvl>
    <w:lvl w:ilvl="2" w:tplc="040A0005" w:tentative="1">
      <w:start w:val="1"/>
      <w:numFmt w:val="bullet"/>
      <w:lvlText w:val=""/>
      <w:lvlJc w:val="left"/>
      <w:pPr>
        <w:ind w:left="2728" w:hanging="360"/>
      </w:pPr>
      <w:rPr>
        <w:rFonts w:ascii="Wingdings" w:hAnsi="Wingdings" w:hint="default"/>
      </w:rPr>
    </w:lvl>
    <w:lvl w:ilvl="3" w:tplc="040A0001" w:tentative="1">
      <w:start w:val="1"/>
      <w:numFmt w:val="bullet"/>
      <w:lvlText w:val=""/>
      <w:lvlJc w:val="left"/>
      <w:pPr>
        <w:ind w:left="3448" w:hanging="360"/>
      </w:pPr>
      <w:rPr>
        <w:rFonts w:ascii="Symbol" w:hAnsi="Symbol" w:hint="default"/>
      </w:rPr>
    </w:lvl>
    <w:lvl w:ilvl="4" w:tplc="040A0003" w:tentative="1">
      <w:start w:val="1"/>
      <w:numFmt w:val="bullet"/>
      <w:lvlText w:val="o"/>
      <w:lvlJc w:val="left"/>
      <w:pPr>
        <w:ind w:left="4168" w:hanging="360"/>
      </w:pPr>
      <w:rPr>
        <w:rFonts w:ascii="Courier New" w:hAnsi="Courier New" w:cs="Courier New" w:hint="default"/>
      </w:rPr>
    </w:lvl>
    <w:lvl w:ilvl="5" w:tplc="040A0005" w:tentative="1">
      <w:start w:val="1"/>
      <w:numFmt w:val="bullet"/>
      <w:lvlText w:val=""/>
      <w:lvlJc w:val="left"/>
      <w:pPr>
        <w:ind w:left="4888" w:hanging="360"/>
      </w:pPr>
      <w:rPr>
        <w:rFonts w:ascii="Wingdings" w:hAnsi="Wingdings" w:hint="default"/>
      </w:rPr>
    </w:lvl>
    <w:lvl w:ilvl="6" w:tplc="040A0001" w:tentative="1">
      <w:start w:val="1"/>
      <w:numFmt w:val="bullet"/>
      <w:lvlText w:val=""/>
      <w:lvlJc w:val="left"/>
      <w:pPr>
        <w:ind w:left="5608" w:hanging="360"/>
      </w:pPr>
      <w:rPr>
        <w:rFonts w:ascii="Symbol" w:hAnsi="Symbol" w:hint="default"/>
      </w:rPr>
    </w:lvl>
    <w:lvl w:ilvl="7" w:tplc="040A0003" w:tentative="1">
      <w:start w:val="1"/>
      <w:numFmt w:val="bullet"/>
      <w:lvlText w:val="o"/>
      <w:lvlJc w:val="left"/>
      <w:pPr>
        <w:ind w:left="6328" w:hanging="360"/>
      </w:pPr>
      <w:rPr>
        <w:rFonts w:ascii="Courier New" w:hAnsi="Courier New" w:cs="Courier New" w:hint="default"/>
      </w:rPr>
    </w:lvl>
    <w:lvl w:ilvl="8" w:tplc="040A0005" w:tentative="1">
      <w:start w:val="1"/>
      <w:numFmt w:val="bullet"/>
      <w:lvlText w:val=""/>
      <w:lvlJc w:val="left"/>
      <w:pPr>
        <w:ind w:left="7048" w:hanging="360"/>
      </w:pPr>
      <w:rPr>
        <w:rFonts w:ascii="Wingdings" w:hAnsi="Wingdings" w:hint="default"/>
      </w:rPr>
    </w:lvl>
  </w:abstractNum>
  <w:abstractNum w:abstractNumId="39"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60C65BE8"/>
    <w:multiLevelType w:val="hybridMultilevel"/>
    <w:tmpl w:val="42C2A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3A503E6"/>
    <w:multiLevelType w:val="hybridMultilevel"/>
    <w:tmpl w:val="9B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4F7510"/>
    <w:multiLevelType w:val="hybridMultilevel"/>
    <w:tmpl w:val="2B80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2F08D0"/>
    <w:multiLevelType w:val="multilevel"/>
    <w:tmpl w:val="2F0674DE"/>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abstractNum w:abstractNumId="46"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F012DB"/>
    <w:multiLevelType w:val="hybridMultilevel"/>
    <w:tmpl w:val="453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73121A"/>
    <w:multiLevelType w:val="hybridMultilevel"/>
    <w:tmpl w:val="1380905A"/>
    <w:lvl w:ilvl="0" w:tplc="78A84DD0">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1142C1"/>
    <w:multiLevelType w:val="multilevel"/>
    <w:tmpl w:val="4D007754"/>
    <w:lvl w:ilvl="0">
      <w:start w:val="1"/>
      <w:numFmt w:val="bullet"/>
      <w:lvlText w:val=""/>
      <w:lvlJc w:val="left"/>
      <w:pPr>
        <w:ind w:left="1080" w:hanging="360"/>
      </w:pPr>
      <w:rPr>
        <w:rFonts w:ascii="Symbol" w:hAnsi="Symbol"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7CF63621"/>
    <w:multiLevelType w:val="hybridMultilevel"/>
    <w:tmpl w:val="815AECD8"/>
    <w:lvl w:ilvl="0" w:tplc="7CE271C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2" w15:restartNumberingAfterBreak="0">
    <w:nsid w:val="7D784798"/>
    <w:multiLevelType w:val="hybridMultilevel"/>
    <w:tmpl w:val="8B8AC346"/>
    <w:lvl w:ilvl="0" w:tplc="0FD260FC">
      <w:start w:val="1"/>
      <w:numFmt w:val="lowerRoman"/>
      <w:lvlText w:val="%1."/>
      <w:lvlJc w:val="left"/>
      <w:pPr>
        <w:ind w:left="1571"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E525F14"/>
    <w:multiLevelType w:val="multilevel"/>
    <w:tmpl w:val="C5945B90"/>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num w:numId="1">
    <w:abstractNumId w:val="35"/>
  </w:num>
  <w:num w:numId="2">
    <w:abstractNumId w:val="28"/>
  </w:num>
  <w:num w:numId="3">
    <w:abstractNumId w:val="3"/>
  </w:num>
  <w:num w:numId="4">
    <w:abstractNumId w:val="32"/>
  </w:num>
  <w:num w:numId="5">
    <w:abstractNumId w:val="8"/>
  </w:num>
  <w:num w:numId="6">
    <w:abstractNumId w:val="36"/>
  </w:num>
  <w:num w:numId="7">
    <w:abstractNumId w:val="44"/>
  </w:num>
  <w:num w:numId="8">
    <w:abstractNumId w:val="7"/>
  </w:num>
  <w:num w:numId="9">
    <w:abstractNumId w:val="30"/>
  </w:num>
  <w:num w:numId="10">
    <w:abstractNumId w:val="21"/>
  </w:num>
  <w:num w:numId="11">
    <w:abstractNumId w:val="40"/>
  </w:num>
  <w:num w:numId="12">
    <w:abstractNumId w:val="4"/>
  </w:num>
  <w:num w:numId="13">
    <w:abstractNumId w:val="29"/>
  </w:num>
  <w:num w:numId="14">
    <w:abstractNumId w:val="13"/>
  </w:num>
  <w:num w:numId="15">
    <w:abstractNumId w:val="52"/>
  </w:num>
  <w:num w:numId="16">
    <w:abstractNumId w:val="31"/>
  </w:num>
  <w:num w:numId="17">
    <w:abstractNumId w:val="48"/>
  </w:num>
  <w:num w:numId="18">
    <w:abstractNumId w:val="51"/>
  </w:num>
  <w:num w:numId="19">
    <w:abstractNumId w:val="1"/>
  </w:num>
  <w:num w:numId="20">
    <w:abstractNumId w:val="26"/>
  </w:num>
  <w:num w:numId="21">
    <w:abstractNumId w:val="2"/>
  </w:num>
  <w:num w:numId="22">
    <w:abstractNumId w:val="11"/>
  </w:num>
  <w:num w:numId="23">
    <w:abstractNumId w:val="10"/>
  </w:num>
  <w:num w:numId="24">
    <w:abstractNumId w:val="16"/>
  </w:num>
  <w:num w:numId="25">
    <w:abstractNumId w:val="25"/>
  </w:num>
  <w:num w:numId="26">
    <w:abstractNumId w:val="33"/>
  </w:num>
  <w:num w:numId="27">
    <w:abstractNumId w:val="24"/>
  </w:num>
  <w:num w:numId="28">
    <w:abstractNumId w:val="5"/>
  </w:num>
  <w:num w:numId="29">
    <w:abstractNumId w:val="22"/>
  </w:num>
  <w:num w:numId="30">
    <w:abstractNumId w:val="53"/>
  </w:num>
  <w:num w:numId="31">
    <w:abstractNumId w:val="34"/>
  </w:num>
  <w:num w:numId="32">
    <w:abstractNumId w:val="20"/>
  </w:num>
  <w:num w:numId="33">
    <w:abstractNumId w:val="17"/>
  </w:num>
  <w:num w:numId="34">
    <w:abstractNumId w:val="19"/>
  </w:num>
  <w:num w:numId="35">
    <w:abstractNumId w:val="45"/>
  </w:num>
  <w:num w:numId="36">
    <w:abstractNumId w:val="50"/>
  </w:num>
  <w:num w:numId="37">
    <w:abstractNumId w:val="0"/>
  </w:num>
  <w:num w:numId="38">
    <w:abstractNumId w:val="4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9"/>
  </w:num>
  <w:num w:numId="48">
    <w:abstractNumId w:val="27"/>
  </w:num>
  <w:num w:numId="49">
    <w:abstractNumId w:val="43"/>
  </w:num>
  <w:num w:numId="50">
    <w:abstractNumId w:val="6"/>
  </w:num>
  <w:num w:numId="51">
    <w:abstractNumId w:val="9"/>
  </w:num>
  <w:num w:numId="52">
    <w:abstractNumId w:val="38"/>
  </w:num>
  <w:num w:numId="53">
    <w:abstractNumId w:val="37"/>
  </w:num>
  <w:num w:numId="5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11710"/>
    <w:rsid w:val="00015DBE"/>
    <w:rsid w:val="00035341"/>
    <w:rsid w:val="00037E1E"/>
    <w:rsid w:val="00040BFC"/>
    <w:rsid w:val="00051460"/>
    <w:rsid w:val="00052163"/>
    <w:rsid w:val="00052A2A"/>
    <w:rsid w:val="00065D01"/>
    <w:rsid w:val="00071F08"/>
    <w:rsid w:val="00072762"/>
    <w:rsid w:val="00073695"/>
    <w:rsid w:val="0008003D"/>
    <w:rsid w:val="0008257D"/>
    <w:rsid w:val="0008639D"/>
    <w:rsid w:val="00094BD4"/>
    <w:rsid w:val="00096C8C"/>
    <w:rsid w:val="0009708B"/>
    <w:rsid w:val="000A5B19"/>
    <w:rsid w:val="000A739B"/>
    <w:rsid w:val="000B5097"/>
    <w:rsid w:val="000C31CF"/>
    <w:rsid w:val="000D3142"/>
    <w:rsid w:val="000D6619"/>
    <w:rsid w:val="000D677D"/>
    <w:rsid w:val="000E0D43"/>
    <w:rsid w:val="000E1B66"/>
    <w:rsid w:val="000E1F64"/>
    <w:rsid w:val="000E621C"/>
    <w:rsid w:val="000F08CF"/>
    <w:rsid w:val="000F0DA6"/>
    <w:rsid w:val="000F6A3D"/>
    <w:rsid w:val="000F768E"/>
    <w:rsid w:val="001032CA"/>
    <w:rsid w:val="001048C0"/>
    <w:rsid w:val="00105953"/>
    <w:rsid w:val="00111E9F"/>
    <w:rsid w:val="0011266F"/>
    <w:rsid w:val="00113818"/>
    <w:rsid w:val="00121C24"/>
    <w:rsid w:val="001266DB"/>
    <w:rsid w:val="00130E47"/>
    <w:rsid w:val="00131D19"/>
    <w:rsid w:val="001340A2"/>
    <w:rsid w:val="00135706"/>
    <w:rsid w:val="00135C9D"/>
    <w:rsid w:val="00141FBB"/>
    <w:rsid w:val="001436BD"/>
    <w:rsid w:val="00144393"/>
    <w:rsid w:val="00152DA6"/>
    <w:rsid w:val="0017223F"/>
    <w:rsid w:val="0017411A"/>
    <w:rsid w:val="001833DC"/>
    <w:rsid w:val="00185088"/>
    <w:rsid w:val="00197D9D"/>
    <w:rsid w:val="001A1A5D"/>
    <w:rsid w:val="001B1CCF"/>
    <w:rsid w:val="001C643C"/>
    <w:rsid w:val="001C70EF"/>
    <w:rsid w:val="001E31B7"/>
    <w:rsid w:val="001E7082"/>
    <w:rsid w:val="001E7F06"/>
    <w:rsid w:val="002035A8"/>
    <w:rsid w:val="00204321"/>
    <w:rsid w:val="0020647A"/>
    <w:rsid w:val="00211A0E"/>
    <w:rsid w:val="00212BA9"/>
    <w:rsid w:val="00213A8D"/>
    <w:rsid w:val="0021462B"/>
    <w:rsid w:val="00214C25"/>
    <w:rsid w:val="00234A2B"/>
    <w:rsid w:val="00242978"/>
    <w:rsid w:val="0024341A"/>
    <w:rsid w:val="00250708"/>
    <w:rsid w:val="002566E0"/>
    <w:rsid w:val="002620FA"/>
    <w:rsid w:val="002676BB"/>
    <w:rsid w:val="00277224"/>
    <w:rsid w:val="00294A7E"/>
    <w:rsid w:val="00295795"/>
    <w:rsid w:val="002B1C9D"/>
    <w:rsid w:val="002B333B"/>
    <w:rsid w:val="002B506E"/>
    <w:rsid w:val="002B5D8A"/>
    <w:rsid w:val="002C18F1"/>
    <w:rsid w:val="002C1D8B"/>
    <w:rsid w:val="002C46E8"/>
    <w:rsid w:val="002D1A0A"/>
    <w:rsid w:val="002D3C07"/>
    <w:rsid w:val="002D403A"/>
    <w:rsid w:val="002D70BA"/>
    <w:rsid w:val="002E3F8A"/>
    <w:rsid w:val="002E7E09"/>
    <w:rsid w:val="002F7CFD"/>
    <w:rsid w:val="00300945"/>
    <w:rsid w:val="00307696"/>
    <w:rsid w:val="00310F8B"/>
    <w:rsid w:val="00311EA4"/>
    <w:rsid w:val="00316FB0"/>
    <w:rsid w:val="00322898"/>
    <w:rsid w:val="0032300E"/>
    <w:rsid w:val="00324094"/>
    <w:rsid w:val="003323C2"/>
    <w:rsid w:val="003365A5"/>
    <w:rsid w:val="003370DB"/>
    <w:rsid w:val="0034026E"/>
    <w:rsid w:val="00344ACE"/>
    <w:rsid w:val="00347B02"/>
    <w:rsid w:val="0035175C"/>
    <w:rsid w:val="00360D78"/>
    <w:rsid w:val="00367A4B"/>
    <w:rsid w:val="00370B73"/>
    <w:rsid w:val="003713EF"/>
    <w:rsid w:val="0037435C"/>
    <w:rsid w:val="00374368"/>
    <w:rsid w:val="00376AEA"/>
    <w:rsid w:val="00393E41"/>
    <w:rsid w:val="003B2460"/>
    <w:rsid w:val="003B6C18"/>
    <w:rsid w:val="003C0E3F"/>
    <w:rsid w:val="003C32B7"/>
    <w:rsid w:val="003C4862"/>
    <w:rsid w:val="003E31F6"/>
    <w:rsid w:val="003F6F4D"/>
    <w:rsid w:val="004002B2"/>
    <w:rsid w:val="00400D96"/>
    <w:rsid w:val="00403150"/>
    <w:rsid w:val="00403D87"/>
    <w:rsid w:val="0041000E"/>
    <w:rsid w:val="00416BFE"/>
    <w:rsid w:val="00427FB6"/>
    <w:rsid w:val="00434D8C"/>
    <w:rsid w:val="00440B38"/>
    <w:rsid w:val="0045457C"/>
    <w:rsid w:val="00456B09"/>
    <w:rsid w:val="004608D6"/>
    <w:rsid w:val="00460E83"/>
    <w:rsid w:val="0046529B"/>
    <w:rsid w:val="0046661F"/>
    <w:rsid w:val="00480A12"/>
    <w:rsid w:val="00486AD0"/>
    <w:rsid w:val="004872A3"/>
    <w:rsid w:val="004A3EEF"/>
    <w:rsid w:val="004A6574"/>
    <w:rsid w:val="004A6E99"/>
    <w:rsid w:val="004A701D"/>
    <w:rsid w:val="004B16FF"/>
    <w:rsid w:val="004C2E9B"/>
    <w:rsid w:val="004C724C"/>
    <w:rsid w:val="004D20C6"/>
    <w:rsid w:val="004D350D"/>
    <w:rsid w:val="004E28BD"/>
    <w:rsid w:val="004E7B4B"/>
    <w:rsid w:val="004F2321"/>
    <w:rsid w:val="0051344A"/>
    <w:rsid w:val="00525F03"/>
    <w:rsid w:val="0053592E"/>
    <w:rsid w:val="00541DD8"/>
    <w:rsid w:val="005424D7"/>
    <w:rsid w:val="00543BF9"/>
    <w:rsid w:val="00545238"/>
    <w:rsid w:val="0054557E"/>
    <w:rsid w:val="0054722F"/>
    <w:rsid w:val="005502D7"/>
    <w:rsid w:val="00550CBA"/>
    <w:rsid w:val="00554312"/>
    <w:rsid w:val="00554838"/>
    <w:rsid w:val="00583A38"/>
    <w:rsid w:val="00584154"/>
    <w:rsid w:val="00584301"/>
    <w:rsid w:val="005936F1"/>
    <w:rsid w:val="00597A50"/>
    <w:rsid w:val="005A3D2D"/>
    <w:rsid w:val="005A4B27"/>
    <w:rsid w:val="005B417C"/>
    <w:rsid w:val="005B4766"/>
    <w:rsid w:val="005C32B7"/>
    <w:rsid w:val="005C3E7C"/>
    <w:rsid w:val="005C4477"/>
    <w:rsid w:val="005D1FDD"/>
    <w:rsid w:val="005D5335"/>
    <w:rsid w:val="005D5974"/>
    <w:rsid w:val="005E0C8B"/>
    <w:rsid w:val="005E33B1"/>
    <w:rsid w:val="005E38DF"/>
    <w:rsid w:val="005E529E"/>
    <w:rsid w:val="005E61C6"/>
    <w:rsid w:val="005F4C17"/>
    <w:rsid w:val="00601B54"/>
    <w:rsid w:val="0061113C"/>
    <w:rsid w:val="006208DD"/>
    <w:rsid w:val="006211E5"/>
    <w:rsid w:val="00624F00"/>
    <w:rsid w:val="00630910"/>
    <w:rsid w:val="00633E8E"/>
    <w:rsid w:val="00635768"/>
    <w:rsid w:val="0064056B"/>
    <w:rsid w:val="006523E7"/>
    <w:rsid w:val="00655353"/>
    <w:rsid w:val="006560E7"/>
    <w:rsid w:val="0065637A"/>
    <w:rsid w:val="00662EAF"/>
    <w:rsid w:val="0066515D"/>
    <w:rsid w:val="006666D2"/>
    <w:rsid w:val="00666C2B"/>
    <w:rsid w:val="00667D01"/>
    <w:rsid w:val="00674F73"/>
    <w:rsid w:val="00675BFB"/>
    <w:rsid w:val="0068291E"/>
    <w:rsid w:val="00683D21"/>
    <w:rsid w:val="00694026"/>
    <w:rsid w:val="00696420"/>
    <w:rsid w:val="006A020D"/>
    <w:rsid w:val="006A157B"/>
    <w:rsid w:val="006A46EA"/>
    <w:rsid w:val="006A7A89"/>
    <w:rsid w:val="006B3DD2"/>
    <w:rsid w:val="006B6D8C"/>
    <w:rsid w:val="006B761D"/>
    <w:rsid w:val="006C022D"/>
    <w:rsid w:val="006D2E7E"/>
    <w:rsid w:val="006E1938"/>
    <w:rsid w:val="006F28D9"/>
    <w:rsid w:val="006F5E92"/>
    <w:rsid w:val="0072363D"/>
    <w:rsid w:val="00727C91"/>
    <w:rsid w:val="007407AE"/>
    <w:rsid w:val="007439FE"/>
    <w:rsid w:val="007460D1"/>
    <w:rsid w:val="00747705"/>
    <w:rsid w:val="00753EB2"/>
    <w:rsid w:val="007546F8"/>
    <w:rsid w:val="007564EF"/>
    <w:rsid w:val="0076043D"/>
    <w:rsid w:val="0076130E"/>
    <w:rsid w:val="007631E4"/>
    <w:rsid w:val="00764A77"/>
    <w:rsid w:val="00764D6F"/>
    <w:rsid w:val="00781BED"/>
    <w:rsid w:val="00783E5D"/>
    <w:rsid w:val="0078588B"/>
    <w:rsid w:val="0079208E"/>
    <w:rsid w:val="00793277"/>
    <w:rsid w:val="00793C93"/>
    <w:rsid w:val="0079631C"/>
    <w:rsid w:val="007A0A3F"/>
    <w:rsid w:val="007A1EDA"/>
    <w:rsid w:val="007A4532"/>
    <w:rsid w:val="007A6FBF"/>
    <w:rsid w:val="007B277C"/>
    <w:rsid w:val="007C7939"/>
    <w:rsid w:val="007D30A0"/>
    <w:rsid w:val="0081547F"/>
    <w:rsid w:val="008156F0"/>
    <w:rsid w:val="008160EC"/>
    <w:rsid w:val="008179A1"/>
    <w:rsid w:val="00831663"/>
    <w:rsid w:val="0083600D"/>
    <w:rsid w:val="008410FE"/>
    <w:rsid w:val="008435BF"/>
    <w:rsid w:val="008615C1"/>
    <w:rsid w:val="008804A8"/>
    <w:rsid w:val="00881410"/>
    <w:rsid w:val="00882E05"/>
    <w:rsid w:val="00887882"/>
    <w:rsid w:val="00890A37"/>
    <w:rsid w:val="0089482D"/>
    <w:rsid w:val="00895030"/>
    <w:rsid w:val="008A2242"/>
    <w:rsid w:val="008B6CF3"/>
    <w:rsid w:val="008C1127"/>
    <w:rsid w:val="008C2486"/>
    <w:rsid w:val="008D116B"/>
    <w:rsid w:val="008D5B1B"/>
    <w:rsid w:val="008E2CB2"/>
    <w:rsid w:val="008E35E3"/>
    <w:rsid w:val="008E4551"/>
    <w:rsid w:val="008E546A"/>
    <w:rsid w:val="0090426E"/>
    <w:rsid w:val="00906E1C"/>
    <w:rsid w:val="00921422"/>
    <w:rsid w:val="00925E93"/>
    <w:rsid w:val="00933D94"/>
    <w:rsid w:val="0094347C"/>
    <w:rsid w:val="009549BE"/>
    <w:rsid w:val="00955177"/>
    <w:rsid w:val="00956EFE"/>
    <w:rsid w:val="009643B7"/>
    <w:rsid w:val="00965639"/>
    <w:rsid w:val="00976B31"/>
    <w:rsid w:val="009849E4"/>
    <w:rsid w:val="00987BD7"/>
    <w:rsid w:val="0099500D"/>
    <w:rsid w:val="009A0A9D"/>
    <w:rsid w:val="009A6EDB"/>
    <w:rsid w:val="009B0705"/>
    <w:rsid w:val="009C33E8"/>
    <w:rsid w:val="009C490D"/>
    <w:rsid w:val="009C5EC5"/>
    <w:rsid w:val="009C6DA8"/>
    <w:rsid w:val="009D41B6"/>
    <w:rsid w:val="009F11C2"/>
    <w:rsid w:val="00A143F1"/>
    <w:rsid w:val="00A21C0C"/>
    <w:rsid w:val="00A231C3"/>
    <w:rsid w:val="00A250BF"/>
    <w:rsid w:val="00A304EB"/>
    <w:rsid w:val="00A35D1B"/>
    <w:rsid w:val="00A47A1A"/>
    <w:rsid w:val="00A54897"/>
    <w:rsid w:val="00A56B91"/>
    <w:rsid w:val="00A660AF"/>
    <w:rsid w:val="00A7411C"/>
    <w:rsid w:val="00A77A64"/>
    <w:rsid w:val="00A86EA6"/>
    <w:rsid w:val="00A900FF"/>
    <w:rsid w:val="00A92370"/>
    <w:rsid w:val="00A93866"/>
    <w:rsid w:val="00A97DC2"/>
    <w:rsid w:val="00AB026C"/>
    <w:rsid w:val="00AB1DEB"/>
    <w:rsid w:val="00AB525F"/>
    <w:rsid w:val="00AB5C7C"/>
    <w:rsid w:val="00AC363F"/>
    <w:rsid w:val="00AD14BC"/>
    <w:rsid w:val="00AD3D63"/>
    <w:rsid w:val="00AD5297"/>
    <w:rsid w:val="00AD793E"/>
    <w:rsid w:val="00AE6B71"/>
    <w:rsid w:val="00AE707B"/>
    <w:rsid w:val="00B23B55"/>
    <w:rsid w:val="00B24E86"/>
    <w:rsid w:val="00B27D50"/>
    <w:rsid w:val="00B3294C"/>
    <w:rsid w:val="00B3611F"/>
    <w:rsid w:val="00B475AA"/>
    <w:rsid w:val="00B47721"/>
    <w:rsid w:val="00B52919"/>
    <w:rsid w:val="00B60302"/>
    <w:rsid w:val="00B62467"/>
    <w:rsid w:val="00B70D29"/>
    <w:rsid w:val="00B76D18"/>
    <w:rsid w:val="00B77951"/>
    <w:rsid w:val="00B80455"/>
    <w:rsid w:val="00B83816"/>
    <w:rsid w:val="00B97795"/>
    <w:rsid w:val="00BA0294"/>
    <w:rsid w:val="00BA7AAC"/>
    <w:rsid w:val="00BB135B"/>
    <w:rsid w:val="00BB3F11"/>
    <w:rsid w:val="00BB542E"/>
    <w:rsid w:val="00BC304E"/>
    <w:rsid w:val="00BC5FF3"/>
    <w:rsid w:val="00BD300C"/>
    <w:rsid w:val="00BE2067"/>
    <w:rsid w:val="00BE2ABC"/>
    <w:rsid w:val="00BE59A4"/>
    <w:rsid w:val="00BF06D5"/>
    <w:rsid w:val="00BF73AC"/>
    <w:rsid w:val="00C03FA9"/>
    <w:rsid w:val="00C04BED"/>
    <w:rsid w:val="00C05D05"/>
    <w:rsid w:val="00C115B5"/>
    <w:rsid w:val="00C1221D"/>
    <w:rsid w:val="00C21FDF"/>
    <w:rsid w:val="00C27F80"/>
    <w:rsid w:val="00C56683"/>
    <w:rsid w:val="00C602BE"/>
    <w:rsid w:val="00C611B3"/>
    <w:rsid w:val="00C64C2B"/>
    <w:rsid w:val="00C73282"/>
    <w:rsid w:val="00C86237"/>
    <w:rsid w:val="00C92D16"/>
    <w:rsid w:val="00CA2333"/>
    <w:rsid w:val="00CA36D1"/>
    <w:rsid w:val="00CA3BDB"/>
    <w:rsid w:val="00CB5A76"/>
    <w:rsid w:val="00CC30D5"/>
    <w:rsid w:val="00CC3C70"/>
    <w:rsid w:val="00CC6DB5"/>
    <w:rsid w:val="00CE3C87"/>
    <w:rsid w:val="00CF0FE8"/>
    <w:rsid w:val="00CF30CB"/>
    <w:rsid w:val="00D00F35"/>
    <w:rsid w:val="00D1200F"/>
    <w:rsid w:val="00D163CF"/>
    <w:rsid w:val="00D203A8"/>
    <w:rsid w:val="00D20B2A"/>
    <w:rsid w:val="00D315D4"/>
    <w:rsid w:val="00D349A5"/>
    <w:rsid w:val="00D35B8B"/>
    <w:rsid w:val="00D4704A"/>
    <w:rsid w:val="00D47231"/>
    <w:rsid w:val="00D5402E"/>
    <w:rsid w:val="00D54DD1"/>
    <w:rsid w:val="00D55D3D"/>
    <w:rsid w:val="00D62485"/>
    <w:rsid w:val="00D6398B"/>
    <w:rsid w:val="00D65221"/>
    <w:rsid w:val="00D65BDC"/>
    <w:rsid w:val="00D66AE8"/>
    <w:rsid w:val="00D71B9D"/>
    <w:rsid w:val="00D72801"/>
    <w:rsid w:val="00D7656B"/>
    <w:rsid w:val="00D77582"/>
    <w:rsid w:val="00D80F4F"/>
    <w:rsid w:val="00D84F77"/>
    <w:rsid w:val="00D93E9F"/>
    <w:rsid w:val="00D963EE"/>
    <w:rsid w:val="00DA2204"/>
    <w:rsid w:val="00DA3496"/>
    <w:rsid w:val="00DA7386"/>
    <w:rsid w:val="00DB5E67"/>
    <w:rsid w:val="00DC6E49"/>
    <w:rsid w:val="00DD472F"/>
    <w:rsid w:val="00DE0587"/>
    <w:rsid w:val="00DE252E"/>
    <w:rsid w:val="00DE3186"/>
    <w:rsid w:val="00DF7D6D"/>
    <w:rsid w:val="00E02F47"/>
    <w:rsid w:val="00E21EC0"/>
    <w:rsid w:val="00E22DAF"/>
    <w:rsid w:val="00E2616F"/>
    <w:rsid w:val="00E378D8"/>
    <w:rsid w:val="00E37D85"/>
    <w:rsid w:val="00E460D8"/>
    <w:rsid w:val="00E57C18"/>
    <w:rsid w:val="00E64244"/>
    <w:rsid w:val="00E6583E"/>
    <w:rsid w:val="00E70BFC"/>
    <w:rsid w:val="00E7101B"/>
    <w:rsid w:val="00E74514"/>
    <w:rsid w:val="00E76DCA"/>
    <w:rsid w:val="00E828ED"/>
    <w:rsid w:val="00E8665D"/>
    <w:rsid w:val="00E875D4"/>
    <w:rsid w:val="00EA0885"/>
    <w:rsid w:val="00EB290B"/>
    <w:rsid w:val="00EB42C7"/>
    <w:rsid w:val="00EB5383"/>
    <w:rsid w:val="00EB67D8"/>
    <w:rsid w:val="00EC300B"/>
    <w:rsid w:val="00EC46D8"/>
    <w:rsid w:val="00ED22B7"/>
    <w:rsid w:val="00EE7105"/>
    <w:rsid w:val="00F00092"/>
    <w:rsid w:val="00F20BB8"/>
    <w:rsid w:val="00F22DC9"/>
    <w:rsid w:val="00F43279"/>
    <w:rsid w:val="00F4437B"/>
    <w:rsid w:val="00F530AD"/>
    <w:rsid w:val="00F565FC"/>
    <w:rsid w:val="00F708A3"/>
    <w:rsid w:val="00F73806"/>
    <w:rsid w:val="00F822F6"/>
    <w:rsid w:val="00F85AA4"/>
    <w:rsid w:val="00F92602"/>
    <w:rsid w:val="00F945BA"/>
    <w:rsid w:val="00FA450E"/>
    <w:rsid w:val="00FA6993"/>
    <w:rsid w:val="00FC0A33"/>
    <w:rsid w:val="00FC0D43"/>
    <w:rsid w:val="00FC75A4"/>
    <w:rsid w:val="00FD3CC4"/>
    <w:rsid w:val="00FD6179"/>
    <w:rsid w:val="00FD74FD"/>
    <w:rsid w:val="00FD7646"/>
    <w:rsid w:val="00FE2FC8"/>
    <w:rsid w:val="00FE4641"/>
    <w:rsid w:val="00FE4B20"/>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933D94"/>
    <w:pPr>
      <w:ind w:left="720"/>
      <w:contextualSpacing/>
    </w:pPr>
  </w:style>
  <w:style w:type="paragraph" w:customStyle="1" w:styleId="Default">
    <w:name w:val="Default"/>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10"/>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99"/>
    <w:semiHidden/>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uiPriority w:val="20"/>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37"/>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38"/>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38"/>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3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size">
    <w:name w:val="size"/>
    <w:basedOn w:val="DefaultParagraphFont"/>
    <w:rsid w:val="0081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2944967">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9/SC62_com1_rev2_Report_Subgroup_on_finance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257D7866-C018-4382-B8A4-529785C9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1341-9A43-4D56-A22D-27730D8BDC44}">
  <ds:schemaRefs>
    <ds:schemaRef ds:uri="http://purl.org/dc/terms/"/>
    <ds:schemaRef ds:uri="8c0b6b05-eb82-4bda-97e8-cd82d0d6b45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aedd258d-19a7-41ba-8260-b0918f25313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FB1800-B68C-4DD7-8DBE-9B945012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2663</Words>
  <Characters>15180</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17808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2019-06-25T19:33:00Z</cp:lastPrinted>
  <dcterms:created xsi:type="dcterms:W3CDTF">2023-09-28T14:25:00Z</dcterms:created>
  <dcterms:modified xsi:type="dcterms:W3CDTF">2023-10-19T15:36:00Z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