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24E53" w14:textId="76B45EA6" w:rsidR="00135706" w:rsidRPr="00135706" w:rsidRDefault="00BE59A4" w:rsidP="00844F22">
      <w:pPr>
        <w:pBdr>
          <w:top w:val="single" w:sz="12" w:space="0" w:color="auto" w:shadow="1"/>
          <w:left w:val="single" w:sz="12" w:space="4" w:color="auto" w:shadow="1"/>
          <w:bottom w:val="single" w:sz="12" w:space="1" w:color="auto" w:shadow="1"/>
          <w:right w:val="single" w:sz="12" w:space="0" w:color="auto" w:shadow="1"/>
        </w:pBdr>
        <w:spacing w:after="0" w:line="240" w:lineRule="auto"/>
        <w:ind w:right="4490"/>
        <w:jc w:val="both"/>
        <w:rPr>
          <w:rFonts w:cstheme="minorHAnsi"/>
          <w:bCs/>
        </w:rPr>
      </w:pPr>
      <w:r>
        <w:rPr>
          <w:rFonts w:cstheme="minorHAnsi"/>
          <w:bCs/>
        </w:rPr>
        <w:t>THE</w:t>
      </w:r>
      <w:r w:rsidRPr="00135706">
        <w:rPr>
          <w:rFonts w:cstheme="minorHAnsi"/>
          <w:bCs/>
        </w:rPr>
        <w:t xml:space="preserve"> </w:t>
      </w:r>
      <w:r w:rsidR="00135706" w:rsidRPr="00135706">
        <w:rPr>
          <w:rFonts w:cstheme="minorHAnsi"/>
          <w:bCs/>
        </w:rPr>
        <w:t>CONVENTION ON WETLANDS</w:t>
      </w:r>
    </w:p>
    <w:p w14:paraId="4293AE14" w14:textId="009FF56D" w:rsidR="00135706" w:rsidRPr="00135706" w:rsidRDefault="00214C25" w:rsidP="00844F22">
      <w:pPr>
        <w:pBdr>
          <w:top w:val="single" w:sz="12" w:space="0" w:color="auto" w:shadow="1"/>
          <w:left w:val="single" w:sz="12" w:space="4" w:color="auto" w:shadow="1"/>
          <w:bottom w:val="single" w:sz="12" w:space="1" w:color="auto" w:shadow="1"/>
          <w:right w:val="single" w:sz="12" w:space="0" w:color="auto" w:shadow="1"/>
        </w:pBdr>
        <w:spacing w:after="0" w:line="240" w:lineRule="auto"/>
        <w:ind w:right="4490"/>
        <w:jc w:val="both"/>
        <w:rPr>
          <w:rFonts w:cstheme="minorHAnsi"/>
          <w:bCs/>
        </w:rPr>
      </w:pPr>
      <w:r>
        <w:rPr>
          <w:rFonts w:cstheme="minorHAnsi"/>
          <w:bCs/>
        </w:rPr>
        <w:t>62nd</w:t>
      </w:r>
      <w:r w:rsidR="00135706" w:rsidRPr="00135706">
        <w:rPr>
          <w:rFonts w:cstheme="minorHAnsi"/>
          <w:bCs/>
        </w:rPr>
        <w:t xml:space="preserve"> </w:t>
      </w:r>
      <w:r w:rsidR="00BE59A4">
        <w:rPr>
          <w:rFonts w:cstheme="minorHAnsi"/>
          <w:bCs/>
        </w:rPr>
        <w:t>m</w:t>
      </w:r>
      <w:r w:rsidR="00BE59A4" w:rsidRPr="00135706">
        <w:rPr>
          <w:rFonts w:cstheme="minorHAnsi"/>
          <w:bCs/>
        </w:rPr>
        <w:t xml:space="preserve">eeting </w:t>
      </w:r>
      <w:r w:rsidR="00135706" w:rsidRPr="00135706">
        <w:rPr>
          <w:rFonts w:cstheme="minorHAnsi"/>
          <w:bCs/>
        </w:rPr>
        <w:t>of the Standing Committee</w:t>
      </w:r>
    </w:p>
    <w:p w14:paraId="368A0CB5" w14:textId="19408A69" w:rsidR="00135706" w:rsidRPr="00135706" w:rsidRDefault="00135706" w:rsidP="00844F22">
      <w:pPr>
        <w:pBdr>
          <w:top w:val="single" w:sz="12" w:space="0" w:color="auto" w:shadow="1"/>
          <w:left w:val="single" w:sz="12" w:space="4" w:color="auto" w:shadow="1"/>
          <w:bottom w:val="single" w:sz="12" w:space="1" w:color="auto" w:shadow="1"/>
          <w:right w:val="single" w:sz="12" w:space="0" w:color="auto" w:shadow="1"/>
        </w:pBdr>
        <w:spacing w:after="0" w:line="240" w:lineRule="auto"/>
        <w:ind w:right="4490"/>
        <w:jc w:val="both"/>
        <w:rPr>
          <w:rFonts w:cstheme="minorHAnsi"/>
          <w:bCs/>
        </w:rPr>
      </w:pPr>
      <w:r w:rsidRPr="00135706">
        <w:rPr>
          <w:rFonts w:cstheme="minorHAnsi"/>
          <w:bCs/>
        </w:rPr>
        <w:t xml:space="preserve">Gland, Switzerland, </w:t>
      </w:r>
      <w:r w:rsidR="00214C25">
        <w:rPr>
          <w:rFonts w:cstheme="minorHAnsi"/>
          <w:bCs/>
        </w:rPr>
        <w:t>4</w:t>
      </w:r>
      <w:r w:rsidRPr="00135706">
        <w:rPr>
          <w:rFonts w:cstheme="minorHAnsi"/>
          <w:bCs/>
        </w:rPr>
        <w:t xml:space="preserve"> – </w:t>
      </w:r>
      <w:r w:rsidR="00214C25">
        <w:rPr>
          <w:rFonts w:cstheme="minorHAnsi"/>
          <w:bCs/>
        </w:rPr>
        <w:t>8 September</w:t>
      </w:r>
      <w:r w:rsidRPr="00135706">
        <w:rPr>
          <w:rFonts w:cstheme="minorHAnsi"/>
          <w:bCs/>
        </w:rPr>
        <w:t xml:space="preserve"> </w:t>
      </w:r>
      <w:r w:rsidR="00D84F77">
        <w:rPr>
          <w:rFonts w:cstheme="minorHAnsi"/>
          <w:bCs/>
        </w:rPr>
        <w:t>20</w:t>
      </w:r>
      <w:r w:rsidR="00EB5383">
        <w:rPr>
          <w:rFonts w:cstheme="minorHAnsi"/>
          <w:bCs/>
        </w:rPr>
        <w:t>2</w:t>
      </w:r>
      <w:r w:rsidR="00214C25">
        <w:rPr>
          <w:rFonts w:cstheme="minorHAnsi"/>
          <w:bCs/>
        </w:rPr>
        <w:t>3</w:t>
      </w:r>
    </w:p>
    <w:p w14:paraId="18B91B93" w14:textId="77777777" w:rsidR="00135706" w:rsidRPr="00135706" w:rsidRDefault="00135706" w:rsidP="00D47231">
      <w:pPr>
        <w:spacing w:after="0" w:line="240" w:lineRule="auto"/>
        <w:rPr>
          <w:rFonts w:cstheme="minorHAnsi"/>
          <w:b/>
          <w:sz w:val="28"/>
          <w:szCs w:val="28"/>
        </w:rPr>
      </w:pPr>
    </w:p>
    <w:p w14:paraId="6095F09B" w14:textId="77777777" w:rsidR="00584301" w:rsidRDefault="00584301" w:rsidP="00D47231">
      <w:pPr>
        <w:spacing w:after="0" w:line="240" w:lineRule="auto"/>
        <w:jc w:val="center"/>
        <w:rPr>
          <w:rFonts w:cstheme="minorHAnsi"/>
          <w:b/>
          <w:sz w:val="28"/>
          <w:szCs w:val="28"/>
        </w:rPr>
      </w:pPr>
    </w:p>
    <w:p w14:paraId="106398A4" w14:textId="6F19E07F" w:rsidR="00135706" w:rsidRDefault="00135706" w:rsidP="00D47231">
      <w:pPr>
        <w:spacing w:after="0" w:line="240" w:lineRule="auto"/>
        <w:jc w:val="center"/>
        <w:rPr>
          <w:rFonts w:cstheme="minorHAnsi"/>
          <w:b/>
          <w:sz w:val="28"/>
          <w:szCs w:val="28"/>
        </w:rPr>
      </w:pPr>
      <w:r w:rsidRPr="001340A2">
        <w:rPr>
          <w:rFonts w:cstheme="minorHAnsi"/>
          <w:b/>
          <w:sz w:val="28"/>
          <w:szCs w:val="28"/>
        </w:rPr>
        <w:t xml:space="preserve">Decisions of the </w:t>
      </w:r>
      <w:r w:rsidR="00214C25" w:rsidRPr="001340A2">
        <w:rPr>
          <w:rFonts w:cstheme="minorHAnsi"/>
          <w:b/>
          <w:sz w:val="28"/>
          <w:szCs w:val="28"/>
        </w:rPr>
        <w:t>62nd</w:t>
      </w:r>
      <w:r w:rsidRPr="001340A2">
        <w:rPr>
          <w:rFonts w:cstheme="minorHAnsi"/>
          <w:b/>
          <w:sz w:val="28"/>
          <w:szCs w:val="28"/>
        </w:rPr>
        <w:t xml:space="preserve"> </w:t>
      </w:r>
      <w:r w:rsidR="007D3569">
        <w:rPr>
          <w:rFonts w:cstheme="minorHAnsi"/>
          <w:b/>
          <w:sz w:val="28"/>
          <w:szCs w:val="28"/>
        </w:rPr>
        <w:t>m</w:t>
      </w:r>
      <w:r w:rsidRPr="001340A2">
        <w:rPr>
          <w:rFonts w:cstheme="minorHAnsi"/>
          <w:b/>
          <w:sz w:val="28"/>
          <w:szCs w:val="28"/>
        </w:rPr>
        <w:t>eeting of</w:t>
      </w:r>
      <w:r w:rsidR="001436BD" w:rsidRPr="001340A2">
        <w:rPr>
          <w:rFonts w:cstheme="minorHAnsi"/>
          <w:b/>
          <w:sz w:val="28"/>
          <w:szCs w:val="28"/>
        </w:rPr>
        <w:t xml:space="preserve"> </w:t>
      </w:r>
      <w:r w:rsidRPr="001340A2">
        <w:rPr>
          <w:rFonts w:cstheme="minorHAnsi"/>
          <w:b/>
          <w:sz w:val="28"/>
          <w:szCs w:val="28"/>
        </w:rPr>
        <w:t>the Standing Committee</w:t>
      </w:r>
    </w:p>
    <w:p w14:paraId="3AFDCEE0" w14:textId="77777777" w:rsidR="001E4709" w:rsidRDefault="001E4709" w:rsidP="00D47231">
      <w:pPr>
        <w:spacing w:after="0" w:line="240" w:lineRule="auto"/>
        <w:jc w:val="center"/>
        <w:rPr>
          <w:rFonts w:cstheme="minorHAnsi"/>
          <w:b/>
          <w:sz w:val="28"/>
          <w:szCs w:val="28"/>
        </w:rPr>
      </w:pPr>
    </w:p>
    <w:p w14:paraId="1443B404" w14:textId="77777777" w:rsidR="00D84F77" w:rsidRPr="001340A2" w:rsidRDefault="00D84F77" w:rsidP="00D47231">
      <w:pPr>
        <w:spacing w:after="0" w:line="240" w:lineRule="auto"/>
        <w:rPr>
          <w:rFonts w:cstheme="minorHAnsi"/>
        </w:rPr>
      </w:pPr>
    </w:p>
    <w:p w14:paraId="045DB966" w14:textId="77777777" w:rsidR="005A4B27" w:rsidRPr="001340A2" w:rsidRDefault="005A4B27" w:rsidP="00370B73">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40A2">
        <w:rPr>
          <w:rFonts w:cstheme="minorHAnsi"/>
          <w:bCs/>
        </w:rPr>
        <w:t>Agenda item 2: Adoption of the provisional agenda</w:t>
      </w:r>
    </w:p>
    <w:p w14:paraId="5AEF11C4" w14:textId="13BAE479" w:rsidR="005D5335" w:rsidRPr="001340A2" w:rsidRDefault="005D5335" w:rsidP="00A21C0C">
      <w:pPr>
        <w:spacing w:after="0" w:line="240" w:lineRule="auto"/>
        <w:ind w:left="567" w:hanging="567"/>
        <w:rPr>
          <w:rFonts w:cstheme="minorHAnsi"/>
        </w:rPr>
      </w:pPr>
    </w:p>
    <w:p w14:paraId="26F26CC8" w14:textId="2B94D324" w:rsidR="005F4C17" w:rsidRPr="001340A2" w:rsidRDefault="0017411A" w:rsidP="005F4C17">
      <w:pPr>
        <w:spacing w:after="0" w:line="240" w:lineRule="auto"/>
      </w:pPr>
      <w:r w:rsidRPr="001340A2">
        <w:rPr>
          <w:rFonts w:cstheme="minorHAnsi"/>
          <w:b/>
        </w:rPr>
        <w:t>Decision SC</w:t>
      </w:r>
      <w:r w:rsidR="0035175C" w:rsidRPr="001340A2">
        <w:rPr>
          <w:rFonts w:cstheme="minorHAnsi"/>
          <w:b/>
        </w:rPr>
        <w:t>62</w:t>
      </w:r>
      <w:r w:rsidRPr="001340A2">
        <w:rPr>
          <w:rFonts w:cstheme="minorHAnsi"/>
          <w:b/>
        </w:rPr>
        <w:t xml:space="preserve">-01: </w:t>
      </w:r>
      <w:r w:rsidR="005F4C17" w:rsidRPr="001340A2">
        <w:rPr>
          <w:rFonts w:cstheme="minorHAnsi"/>
          <w:b/>
        </w:rPr>
        <w:t>The Standing Committee adopted the provisional agenda in document SC</w:t>
      </w:r>
      <w:r w:rsidR="0035175C" w:rsidRPr="001340A2">
        <w:rPr>
          <w:rFonts w:cstheme="minorHAnsi"/>
          <w:b/>
        </w:rPr>
        <w:t>62</w:t>
      </w:r>
      <w:r w:rsidR="005F4C17" w:rsidRPr="001340A2">
        <w:rPr>
          <w:rFonts w:cstheme="minorHAnsi"/>
          <w:b/>
        </w:rPr>
        <w:t xml:space="preserve"> Doc.2 Rev.1</w:t>
      </w:r>
      <w:r w:rsidR="0035175C" w:rsidRPr="001340A2">
        <w:rPr>
          <w:rFonts w:cstheme="minorHAnsi"/>
          <w:b/>
        </w:rPr>
        <w:t>.</w:t>
      </w:r>
    </w:p>
    <w:p w14:paraId="12FD1027" w14:textId="77777777" w:rsidR="0017411A" w:rsidRPr="001340A2" w:rsidRDefault="0017411A" w:rsidP="00D47231">
      <w:pPr>
        <w:tabs>
          <w:tab w:val="left" w:pos="720"/>
          <w:tab w:val="center" w:pos="4680"/>
        </w:tabs>
        <w:spacing w:after="0" w:line="240" w:lineRule="auto"/>
        <w:contextualSpacing/>
        <w:rPr>
          <w:rFonts w:cstheme="minorHAnsi"/>
        </w:rPr>
      </w:pPr>
    </w:p>
    <w:p w14:paraId="1161549B" w14:textId="77777777" w:rsidR="0024341A" w:rsidRPr="001340A2" w:rsidRDefault="0024341A" w:rsidP="00370B73">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40A2">
        <w:rPr>
          <w:rFonts w:cstheme="minorHAnsi"/>
          <w:bCs/>
        </w:rPr>
        <w:t>Agenda item 3: Adoption of the provisional working programme</w:t>
      </w:r>
    </w:p>
    <w:p w14:paraId="608C2DF1" w14:textId="77777777" w:rsidR="005F4C17" w:rsidRPr="001340A2" w:rsidRDefault="005F4C17" w:rsidP="0035175C">
      <w:pPr>
        <w:spacing w:after="0" w:line="240" w:lineRule="auto"/>
      </w:pPr>
    </w:p>
    <w:p w14:paraId="289110D7" w14:textId="0A8B44C8" w:rsidR="005F4C17" w:rsidRPr="001340A2" w:rsidRDefault="005F4C17" w:rsidP="005F4C17">
      <w:pPr>
        <w:spacing w:after="0" w:line="240" w:lineRule="auto"/>
      </w:pPr>
      <w:r w:rsidRPr="001340A2">
        <w:rPr>
          <w:rFonts w:cstheme="minorHAnsi"/>
          <w:b/>
        </w:rPr>
        <w:t>Decision SC</w:t>
      </w:r>
      <w:r w:rsidR="0035175C" w:rsidRPr="001340A2">
        <w:rPr>
          <w:rFonts w:cstheme="minorHAnsi"/>
          <w:b/>
        </w:rPr>
        <w:t>62</w:t>
      </w:r>
      <w:r w:rsidRPr="001340A2">
        <w:rPr>
          <w:rFonts w:cstheme="minorHAnsi"/>
          <w:b/>
        </w:rPr>
        <w:t>-02: The Standing Committee adopted the provisional working programme in document SC</w:t>
      </w:r>
      <w:r w:rsidR="0035175C" w:rsidRPr="001340A2">
        <w:rPr>
          <w:rFonts w:cstheme="minorHAnsi"/>
          <w:b/>
        </w:rPr>
        <w:t>62</w:t>
      </w:r>
      <w:r w:rsidRPr="001340A2">
        <w:rPr>
          <w:rFonts w:cstheme="minorHAnsi"/>
          <w:b/>
        </w:rPr>
        <w:t xml:space="preserve"> Doc.3</w:t>
      </w:r>
      <w:r w:rsidR="0035175C" w:rsidRPr="001340A2">
        <w:rPr>
          <w:rFonts w:cstheme="minorHAnsi"/>
          <w:b/>
        </w:rPr>
        <w:t>.</w:t>
      </w:r>
    </w:p>
    <w:p w14:paraId="088BBE94" w14:textId="77777777" w:rsidR="0024341A" w:rsidRPr="001340A2" w:rsidRDefault="0024341A" w:rsidP="00D47231">
      <w:pPr>
        <w:tabs>
          <w:tab w:val="left" w:pos="720"/>
          <w:tab w:val="center" w:pos="4680"/>
        </w:tabs>
        <w:spacing w:after="0" w:line="240" w:lineRule="auto"/>
        <w:rPr>
          <w:rFonts w:cstheme="minorHAnsi"/>
          <w:bCs/>
        </w:rPr>
      </w:pPr>
    </w:p>
    <w:p w14:paraId="741AECEF" w14:textId="77777777" w:rsidR="0024341A" w:rsidRPr="001340A2" w:rsidRDefault="0024341A" w:rsidP="00370B73">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40A2">
        <w:rPr>
          <w:rFonts w:cstheme="minorHAnsi"/>
          <w:bCs/>
        </w:rPr>
        <w:t>Agenda item 4: Admission of observers</w:t>
      </w:r>
    </w:p>
    <w:p w14:paraId="573CBF66" w14:textId="77777777" w:rsidR="00460E83" w:rsidRPr="00BD21D8" w:rsidRDefault="00460E83" w:rsidP="00460E83">
      <w:pPr>
        <w:spacing w:after="0" w:line="240" w:lineRule="auto"/>
        <w:ind w:left="567" w:hanging="567"/>
        <w:rPr>
          <w:rFonts w:eastAsia="Calibri" w:cstheme="minorHAnsi"/>
          <w:bCs/>
        </w:rPr>
      </w:pPr>
    </w:p>
    <w:p w14:paraId="6861CE23" w14:textId="21FAE336" w:rsidR="00D20B2A" w:rsidRDefault="00D20B2A" w:rsidP="00D47231">
      <w:pPr>
        <w:spacing w:after="0" w:line="240" w:lineRule="auto"/>
        <w:contextualSpacing/>
        <w:rPr>
          <w:rFonts w:cstheme="minorHAnsi"/>
          <w:b/>
        </w:rPr>
      </w:pPr>
      <w:r w:rsidRPr="001340A2">
        <w:rPr>
          <w:rFonts w:cstheme="minorHAnsi"/>
          <w:b/>
        </w:rPr>
        <w:t>Decision SC</w:t>
      </w:r>
      <w:r w:rsidR="0035175C" w:rsidRPr="001340A2">
        <w:rPr>
          <w:rFonts w:cstheme="minorHAnsi"/>
          <w:b/>
        </w:rPr>
        <w:t>62</w:t>
      </w:r>
      <w:r w:rsidRPr="001340A2">
        <w:rPr>
          <w:rFonts w:cstheme="minorHAnsi"/>
          <w:b/>
        </w:rPr>
        <w:t>-0</w:t>
      </w:r>
      <w:r w:rsidR="00545238" w:rsidRPr="001340A2">
        <w:rPr>
          <w:rFonts w:cstheme="minorHAnsi"/>
          <w:b/>
        </w:rPr>
        <w:t>3</w:t>
      </w:r>
      <w:r w:rsidRPr="001340A2">
        <w:rPr>
          <w:rFonts w:cstheme="minorHAnsi"/>
          <w:b/>
        </w:rPr>
        <w:t xml:space="preserve">: The Standing Committee admitted the observers listed in </w:t>
      </w:r>
      <w:r w:rsidR="00294A7E" w:rsidRPr="001340A2">
        <w:rPr>
          <w:rFonts w:cstheme="minorHAnsi"/>
          <w:b/>
        </w:rPr>
        <w:t>document SC</w:t>
      </w:r>
      <w:r w:rsidR="0035175C" w:rsidRPr="001340A2">
        <w:rPr>
          <w:rFonts w:cstheme="minorHAnsi"/>
          <w:b/>
        </w:rPr>
        <w:t>62</w:t>
      </w:r>
      <w:r w:rsidR="00294A7E" w:rsidRPr="001340A2">
        <w:rPr>
          <w:rFonts w:cstheme="minorHAnsi"/>
          <w:b/>
        </w:rPr>
        <w:t xml:space="preserve"> Doc.</w:t>
      </w:r>
      <w:r w:rsidRPr="001340A2">
        <w:rPr>
          <w:rFonts w:cstheme="minorHAnsi"/>
          <w:b/>
        </w:rPr>
        <w:t>4.</w:t>
      </w:r>
    </w:p>
    <w:p w14:paraId="415E741D" w14:textId="550642DB" w:rsidR="0078588B" w:rsidRDefault="0078588B" w:rsidP="0078588B">
      <w:pPr>
        <w:spacing w:after="0" w:line="240" w:lineRule="auto"/>
        <w:rPr>
          <w:rFonts w:cstheme="minorHAnsi"/>
        </w:rPr>
      </w:pPr>
    </w:p>
    <w:p w14:paraId="1A8123AF" w14:textId="64890F6D" w:rsidR="0078588B" w:rsidRPr="00294A7E" w:rsidRDefault="00071F08" w:rsidP="0078588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5: Report of the </w:t>
      </w:r>
      <w:r>
        <w:rPr>
          <w:rFonts w:cstheme="minorHAnsi"/>
          <w:bCs/>
        </w:rPr>
        <w:t xml:space="preserve">Executive Team </w:t>
      </w:r>
      <w:r>
        <w:t>and Chair of the Standing Committee</w:t>
      </w:r>
    </w:p>
    <w:p w14:paraId="2DBC0488" w14:textId="3112C536" w:rsidR="00545238" w:rsidRPr="00545238" w:rsidRDefault="00545238" w:rsidP="00D277FA">
      <w:pPr>
        <w:spacing w:after="0" w:line="240" w:lineRule="auto"/>
        <w:ind w:left="567" w:hanging="567"/>
        <w:rPr>
          <w:rFonts w:cstheme="minorHAnsi"/>
        </w:rPr>
      </w:pPr>
    </w:p>
    <w:p w14:paraId="6B758071" w14:textId="3D827140" w:rsidR="009A0A9D" w:rsidRDefault="009A0A9D" w:rsidP="0009708B">
      <w:pPr>
        <w:spacing w:after="0" w:line="240" w:lineRule="auto"/>
        <w:contextualSpacing/>
        <w:rPr>
          <w:rFonts w:cstheme="minorHAnsi"/>
          <w:b/>
        </w:rPr>
      </w:pPr>
      <w:r w:rsidRPr="00294A7E">
        <w:rPr>
          <w:rFonts w:cstheme="minorHAnsi"/>
          <w:b/>
        </w:rPr>
        <w:t>Decision SC</w:t>
      </w:r>
      <w:r w:rsidR="0009708B">
        <w:rPr>
          <w:rFonts w:cstheme="minorHAnsi"/>
          <w:b/>
        </w:rPr>
        <w:t>62</w:t>
      </w:r>
      <w:r w:rsidRPr="00294A7E">
        <w:rPr>
          <w:rFonts w:cstheme="minorHAnsi"/>
          <w:b/>
        </w:rPr>
        <w:t>-</w:t>
      </w:r>
      <w:r w:rsidR="00CA3BDB">
        <w:rPr>
          <w:rFonts w:cstheme="minorHAnsi"/>
          <w:b/>
        </w:rPr>
        <w:t>04</w:t>
      </w:r>
      <w:r w:rsidRPr="00294A7E">
        <w:rPr>
          <w:rFonts w:cstheme="minorHAnsi"/>
          <w:b/>
        </w:rPr>
        <w:t xml:space="preserve">: </w:t>
      </w:r>
      <w:r w:rsidR="0009708B" w:rsidRPr="0009708B">
        <w:rPr>
          <w:rFonts w:cstheme="minorHAnsi"/>
          <w:b/>
        </w:rPr>
        <w:t>The Standing Committee</w:t>
      </w:r>
      <w:r w:rsidR="001032CA">
        <w:rPr>
          <w:rFonts w:cstheme="minorHAnsi"/>
          <w:b/>
        </w:rPr>
        <w:t xml:space="preserve"> took</w:t>
      </w:r>
      <w:r w:rsidR="0009708B" w:rsidRPr="0009708B">
        <w:rPr>
          <w:rFonts w:cstheme="minorHAnsi"/>
          <w:b/>
        </w:rPr>
        <w:t xml:space="preserve"> note the Report of the Executive Team and Chair of</w:t>
      </w:r>
      <w:r w:rsidR="001032CA">
        <w:rPr>
          <w:rFonts w:cstheme="minorHAnsi"/>
          <w:b/>
        </w:rPr>
        <w:t xml:space="preserve"> </w:t>
      </w:r>
      <w:r w:rsidR="0009708B" w:rsidRPr="0009708B">
        <w:rPr>
          <w:rFonts w:cstheme="minorHAnsi"/>
          <w:b/>
        </w:rPr>
        <w:t>the Standing Committee published as document SC</w:t>
      </w:r>
      <w:r w:rsidR="0009708B">
        <w:rPr>
          <w:rFonts w:cstheme="minorHAnsi"/>
          <w:b/>
        </w:rPr>
        <w:t>62</w:t>
      </w:r>
      <w:r w:rsidR="0009708B" w:rsidRPr="0009708B">
        <w:rPr>
          <w:rFonts w:cstheme="minorHAnsi"/>
          <w:b/>
        </w:rPr>
        <w:t xml:space="preserve"> Doc.5</w:t>
      </w:r>
      <w:r w:rsidR="001032CA">
        <w:rPr>
          <w:rFonts w:cstheme="minorHAnsi"/>
          <w:b/>
        </w:rPr>
        <w:t>.</w:t>
      </w:r>
    </w:p>
    <w:p w14:paraId="2F44542B" w14:textId="77777777" w:rsidR="0079631C" w:rsidRPr="00294A7E" w:rsidRDefault="0079631C" w:rsidP="0079631C">
      <w:pPr>
        <w:spacing w:after="0" w:line="240" w:lineRule="auto"/>
        <w:rPr>
          <w:rFonts w:cstheme="minorHAnsi"/>
        </w:rPr>
      </w:pPr>
    </w:p>
    <w:p w14:paraId="6B5DC3D8" w14:textId="0119F5B5" w:rsidR="0079631C" w:rsidRPr="00294A7E" w:rsidRDefault="00071F08" w:rsidP="0079631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071F08">
        <w:rPr>
          <w:rFonts w:cstheme="minorHAnsi"/>
          <w:bCs/>
        </w:rPr>
        <w:t xml:space="preserve">Agenda item </w:t>
      </w:r>
      <w:r w:rsidR="0009708B">
        <w:rPr>
          <w:rFonts w:cstheme="minorHAnsi"/>
          <w:bCs/>
        </w:rPr>
        <w:t>6</w:t>
      </w:r>
      <w:r w:rsidRPr="00071F08">
        <w:rPr>
          <w:rFonts w:cstheme="minorHAnsi"/>
          <w:bCs/>
        </w:rPr>
        <w:t xml:space="preserve">: Report of the </w:t>
      </w:r>
      <w:r w:rsidR="0009708B">
        <w:rPr>
          <w:rFonts w:cstheme="minorHAnsi"/>
          <w:bCs/>
        </w:rPr>
        <w:t>Secretary General</w:t>
      </w:r>
    </w:p>
    <w:p w14:paraId="12902BEA" w14:textId="77777777" w:rsidR="0079631C" w:rsidRPr="00666C2B" w:rsidRDefault="0079631C" w:rsidP="0079631C">
      <w:pPr>
        <w:spacing w:after="0" w:line="240" w:lineRule="auto"/>
        <w:ind w:left="567" w:hanging="567"/>
        <w:rPr>
          <w:rFonts w:eastAsia="Calibri" w:cstheme="minorHAnsi"/>
          <w:bCs/>
        </w:rPr>
      </w:pPr>
    </w:p>
    <w:p w14:paraId="3FF16B20" w14:textId="0C9B00B7" w:rsidR="0079631C" w:rsidRPr="00F565FC" w:rsidRDefault="0079631C" w:rsidP="0079631C">
      <w:pPr>
        <w:spacing w:after="0" w:line="240" w:lineRule="auto"/>
        <w:contextualSpacing/>
        <w:rPr>
          <w:rFonts w:cstheme="minorHAnsi"/>
          <w:b/>
        </w:rPr>
      </w:pPr>
      <w:r w:rsidRPr="00294A7E">
        <w:rPr>
          <w:rFonts w:cstheme="minorHAnsi"/>
          <w:b/>
        </w:rPr>
        <w:t>Decision SC</w:t>
      </w:r>
      <w:r w:rsidR="0009708B">
        <w:rPr>
          <w:rFonts w:cstheme="minorHAnsi"/>
          <w:b/>
        </w:rPr>
        <w:t>62</w:t>
      </w:r>
      <w:r w:rsidRPr="00294A7E">
        <w:rPr>
          <w:rFonts w:cstheme="minorHAnsi"/>
          <w:b/>
        </w:rPr>
        <w:t>-</w:t>
      </w:r>
      <w:r w:rsidR="00CA3BDB">
        <w:rPr>
          <w:rFonts w:cstheme="minorHAnsi"/>
          <w:b/>
        </w:rPr>
        <w:t>0</w:t>
      </w:r>
      <w:r w:rsidR="0009708B">
        <w:rPr>
          <w:rFonts w:cstheme="minorHAnsi"/>
          <w:b/>
        </w:rPr>
        <w:t>5</w:t>
      </w:r>
      <w:r w:rsidRPr="00294A7E">
        <w:rPr>
          <w:rFonts w:cstheme="minorHAnsi"/>
          <w:b/>
        </w:rPr>
        <w:t xml:space="preserve">: </w:t>
      </w:r>
      <w:r w:rsidRPr="00F565FC">
        <w:rPr>
          <w:rFonts w:cstheme="minorHAnsi"/>
          <w:b/>
        </w:rPr>
        <w:t xml:space="preserve">The Standing Committee </w:t>
      </w:r>
      <w:r w:rsidR="0009708B">
        <w:rPr>
          <w:rFonts w:cstheme="minorHAnsi"/>
          <w:b/>
        </w:rPr>
        <w:t>welcomed</w:t>
      </w:r>
      <w:r w:rsidRPr="00F565FC">
        <w:rPr>
          <w:rFonts w:cstheme="minorHAnsi"/>
          <w:b/>
        </w:rPr>
        <w:t xml:space="preserve"> the </w:t>
      </w:r>
      <w:r>
        <w:rPr>
          <w:rFonts w:cstheme="minorHAnsi"/>
          <w:b/>
        </w:rPr>
        <w:t>R</w:t>
      </w:r>
      <w:r w:rsidRPr="00F565FC">
        <w:rPr>
          <w:rFonts w:cstheme="minorHAnsi"/>
          <w:b/>
        </w:rPr>
        <w:t xml:space="preserve">eport of the </w:t>
      </w:r>
      <w:r w:rsidR="0009708B">
        <w:rPr>
          <w:rFonts w:cstheme="minorHAnsi"/>
          <w:b/>
        </w:rPr>
        <w:t>Secretary General</w:t>
      </w:r>
      <w:r>
        <w:rPr>
          <w:rFonts w:cstheme="minorHAnsi"/>
          <w:b/>
        </w:rPr>
        <w:t xml:space="preserve"> published as document SC</w:t>
      </w:r>
      <w:r w:rsidR="0009708B">
        <w:rPr>
          <w:rFonts w:cstheme="minorHAnsi"/>
          <w:b/>
        </w:rPr>
        <w:t>62</w:t>
      </w:r>
      <w:r>
        <w:rPr>
          <w:rFonts w:cstheme="minorHAnsi"/>
          <w:b/>
        </w:rPr>
        <w:t xml:space="preserve"> Doc.</w:t>
      </w:r>
      <w:r w:rsidR="0009708B">
        <w:rPr>
          <w:rFonts w:cstheme="minorHAnsi"/>
          <w:b/>
        </w:rPr>
        <w:t>6.</w:t>
      </w:r>
    </w:p>
    <w:p w14:paraId="2C7FC2D8" w14:textId="4151CAB1" w:rsidR="0078588B" w:rsidRDefault="0078588B" w:rsidP="0078588B">
      <w:pPr>
        <w:spacing w:after="0" w:line="240" w:lineRule="auto"/>
        <w:rPr>
          <w:rFonts w:cstheme="minorHAnsi"/>
        </w:rPr>
      </w:pPr>
    </w:p>
    <w:p w14:paraId="30FC3C31" w14:textId="72367DC2" w:rsidR="0078588B" w:rsidRDefault="0078588B" w:rsidP="0078588B">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294A7E">
        <w:rPr>
          <w:rFonts w:cstheme="minorHAnsi"/>
          <w:bCs/>
        </w:rPr>
        <w:t xml:space="preserve">Agenda item </w:t>
      </w:r>
      <w:r w:rsidR="0009708B">
        <w:rPr>
          <w:rFonts w:cstheme="minorHAnsi"/>
          <w:bCs/>
        </w:rPr>
        <w:t>7</w:t>
      </w:r>
      <w:r w:rsidRPr="00294A7E">
        <w:rPr>
          <w:rFonts w:cstheme="minorHAnsi"/>
          <w:bCs/>
        </w:rPr>
        <w:t xml:space="preserve">: </w:t>
      </w:r>
      <w:r>
        <w:t xml:space="preserve">Report of the </w:t>
      </w:r>
      <w:r w:rsidR="0009708B">
        <w:t>Management Working Group</w:t>
      </w:r>
    </w:p>
    <w:p w14:paraId="4CDBE421" w14:textId="77777777" w:rsidR="002566E0" w:rsidRDefault="002566E0" w:rsidP="00635768">
      <w:pPr>
        <w:spacing w:after="0" w:line="240" w:lineRule="auto"/>
        <w:rPr>
          <w:rFonts w:cstheme="minorHAnsi"/>
        </w:rPr>
      </w:pPr>
    </w:p>
    <w:p w14:paraId="79138978" w14:textId="7F4F0F7A" w:rsidR="003323C2" w:rsidRPr="003323C2" w:rsidRDefault="003323C2" w:rsidP="003323C2">
      <w:pPr>
        <w:spacing w:after="0" w:line="240" w:lineRule="auto"/>
        <w:contextualSpacing/>
        <w:rPr>
          <w:b/>
        </w:rPr>
      </w:pPr>
      <w:r w:rsidRPr="003323C2">
        <w:rPr>
          <w:rFonts w:cstheme="minorHAnsi"/>
          <w:b/>
        </w:rPr>
        <w:t>Decision SC</w:t>
      </w:r>
      <w:r w:rsidR="00635768">
        <w:rPr>
          <w:rFonts w:cstheme="minorHAnsi"/>
          <w:b/>
        </w:rPr>
        <w:t>62</w:t>
      </w:r>
      <w:r w:rsidRPr="003323C2">
        <w:rPr>
          <w:rFonts w:cstheme="minorHAnsi"/>
          <w:b/>
        </w:rPr>
        <w:t>-</w:t>
      </w:r>
      <w:r w:rsidR="00CA3BDB">
        <w:rPr>
          <w:rFonts w:cstheme="minorHAnsi"/>
          <w:b/>
        </w:rPr>
        <w:t>0</w:t>
      </w:r>
      <w:r w:rsidR="00635768">
        <w:rPr>
          <w:rFonts w:cstheme="minorHAnsi"/>
          <w:b/>
        </w:rPr>
        <w:t>6</w:t>
      </w:r>
      <w:r w:rsidRPr="003323C2">
        <w:rPr>
          <w:rFonts w:cstheme="minorHAnsi"/>
          <w:b/>
        </w:rPr>
        <w:t xml:space="preserve">: The Standing Committee took note </w:t>
      </w:r>
      <w:r w:rsidRPr="003323C2">
        <w:rPr>
          <w:b/>
        </w:rPr>
        <w:t>of the</w:t>
      </w:r>
      <w:r w:rsidR="003365A5">
        <w:rPr>
          <w:b/>
        </w:rPr>
        <w:t xml:space="preserve"> Report of the</w:t>
      </w:r>
      <w:r w:rsidRPr="003323C2">
        <w:rPr>
          <w:b/>
        </w:rPr>
        <w:t xml:space="preserve"> </w:t>
      </w:r>
      <w:r w:rsidR="00635768">
        <w:rPr>
          <w:b/>
        </w:rPr>
        <w:t>Management Working Group</w:t>
      </w:r>
      <w:r w:rsidR="001340A2">
        <w:rPr>
          <w:b/>
        </w:rPr>
        <w:t>.</w:t>
      </w:r>
    </w:p>
    <w:p w14:paraId="2D9254A5" w14:textId="4FE69DE9" w:rsidR="00C611B3" w:rsidRPr="00C611B3" w:rsidRDefault="00C611B3" w:rsidP="00367A4B">
      <w:pPr>
        <w:spacing w:after="0" w:line="240" w:lineRule="auto"/>
        <w:rPr>
          <w:rFonts w:cstheme="minorHAnsi"/>
        </w:rPr>
      </w:pPr>
    </w:p>
    <w:p w14:paraId="41133F16" w14:textId="3A1F1CE1" w:rsidR="0078588B" w:rsidRDefault="0078588B" w:rsidP="0078588B">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294A7E">
        <w:rPr>
          <w:rFonts w:cstheme="minorHAnsi"/>
          <w:bCs/>
        </w:rPr>
        <w:t xml:space="preserve">Agenda item </w:t>
      </w:r>
      <w:r w:rsidR="001340A2">
        <w:rPr>
          <w:rFonts w:cstheme="minorHAnsi"/>
          <w:bCs/>
        </w:rPr>
        <w:t>20</w:t>
      </w:r>
      <w:r w:rsidRPr="00294A7E">
        <w:rPr>
          <w:rFonts w:cstheme="minorHAnsi"/>
          <w:bCs/>
        </w:rPr>
        <w:t xml:space="preserve">: </w:t>
      </w:r>
      <w:r w:rsidR="001340A2" w:rsidRPr="001340A2">
        <w:t>Preparation of the 15th meeting of the Conference of the Contracting Parties (COP15)</w:t>
      </w:r>
    </w:p>
    <w:p w14:paraId="5D37E815" w14:textId="77777777" w:rsidR="00367A4B" w:rsidRDefault="00367A4B" w:rsidP="00367A4B">
      <w:pPr>
        <w:spacing w:after="0" w:line="240" w:lineRule="auto"/>
        <w:ind w:left="567" w:hanging="567"/>
      </w:pPr>
    </w:p>
    <w:p w14:paraId="141DD26D" w14:textId="34606625" w:rsidR="002B1C9D" w:rsidRDefault="00E64244" w:rsidP="00E64244">
      <w:pPr>
        <w:spacing w:after="0" w:line="240" w:lineRule="auto"/>
        <w:contextualSpacing/>
        <w:rPr>
          <w:rFonts w:cstheme="minorHAnsi"/>
          <w:b/>
        </w:rPr>
      </w:pPr>
      <w:r w:rsidRPr="00294A7E">
        <w:rPr>
          <w:rFonts w:cstheme="minorHAnsi"/>
          <w:b/>
        </w:rPr>
        <w:t>Decision SC</w:t>
      </w:r>
      <w:r w:rsidR="0046529B">
        <w:rPr>
          <w:rFonts w:cstheme="minorHAnsi"/>
          <w:b/>
        </w:rPr>
        <w:t>62</w:t>
      </w:r>
      <w:r w:rsidRPr="00294A7E">
        <w:rPr>
          <w:rFonts w:cstheme="minorHAnsi"/>
          <w:b/>
        </w:rPr>
        <w:t>-</w:t>
      </w:r>
      <w:r w:rsidR="00E74514">
        <w:rPr>
          <w:rFonts w:cstheme="minorHAnsi"/>
          <w:b/>
        </w:rPr>
        <w:t>07</w:t>
      </w:r>
      <w:r w:rsidRPr="00294A7E">
        <w:rPr>
          <w:rFonts w:cstheme="minorHAnsi"/>
          <w:b/>
        </w:rPr>
        <w:t xml:space="preserve">: </w:t>
      </w:r>
      <w:r w:rsidR="00367A4B" w:rsidRPr="00E64244">
        <w:rPr>
          <w:rFonts w:cstheme="minorHAnsi"/>
          <w:b/>
        </w:rPr>
        <w:t xml:space="preserve">The Standing Committee </w:t>
      </w:r>
      <w:r w:rsidRPr="00E64244">
        <w:rPr>
          <w:rFonts w:cstheme="minorHAnsi"/>
          <w:b/>
        </w:rPr>
        <w:t>t</w:t>
      </w:r>
      <w:r>
        <w:rPr>
          <w:rFonts w:cstheme="minorHAnsi"/>
          <w:b/>
        </w:rPr>
        <w:t>ook</w:t>
      </w:r>
      <w:r w:rsidRPr="00E64244">
        <w:rPr>
          <w:rFonts w:cstheme="minorHAnsi"/>
          <w:b/>
        </w:rPr>
        <w:t xml:space="preserve"> note of </w:t>
      </w:r>
      <w:r w:rsidR="0046529B">
        <w:rPr>
          <w:rFonts w:cstheme="minorHAnsi"/>
          <w:b/>
        </w:rPr>
        <w:t xml:space="preserve">the Report of the Secretariat on COP15. </w:t>
      </w:r>
    </w:p>
    <w:p w14:paraId="6D31507D" w14:textId="77777777" w:rsidR="0046529B" w:rsidRDefault="0046529B" w:rsidP="00E64244">
      <w:pPr>
        <w:spacing w:after="0" w:line="240" w:lineRule="auto"/>
        <w:contextualSpacing/>
        <w:rPr>
          <w:rFonts w:cstheme="minorHAnsi"/>
          <w:b/>
        </w:rPr>
      </w:pPr>
    </w:p>
    <w:p w14:paraId="7BAE8063" w14:textId="713B5C33" w:rsidR="0046529B" w:rsidRDefault="0046529B" w:rsidP="00E64244">
      <w:pPr>
        <w:spacing w:after="0" w:line="240" w:lineRule="auto"/>
        <w:contextualSpacing/>
        <w:rPr>
          <w:rFonts w:cstheme="minorHAnsi"/>
          <w:b/>
        </w:rPr>
      </w:pPr>
      <w:r w:rsidRPr="00294A7E">
        <w:rPr>
          <w:rFonts w:cstheme="minorHAnsi"/>
          <w:b/>
        </w:rPr>
        <w:t>Decision SC</w:t>
      </w:r>
      <w:r>
        <w:rPr>
          <w:rFonts w:cstheme="minorHAnsi"/>
          <w:b/>
        </w:rPr>
        <w:t>62</w:t>
      </w:r>
      <w:r w:rsidRPr="00294A7E">
        <w:rPr>
          <w:rFonts w:cstheme="minorHAnsi"/>
          <w:b/>
        </w:rPr>
        <w:t>-</w:t>
      </w:r>
      <w:r w:rsidR="00E74514">
        <w:rPr>
          <w:rFonts w:cstheme="minorHAnsi"/>
          <w:b/>
        </w:rPr>
        <w:t>08</w:t>
      </w:r>
      <w:r w:rsidRPr="00294A7E">
        <w:rPr>
          <w:rFonts w:cstheme="minorHAnsi"/>
          <w:b/>
        </w:rPr>
        <w:t xml:space="preserve">: </w:t>
      </w:r>
      <w:r w:rsidRPr="00E64244">
        <w:rPr>
          <w:rFonts w:cstheme="minorHAnsi"/>
          <w:b/>
        </w:rPr>
        <w:t xml:space="preserve">The Standing Committee </w:t>
      </w:r>
      <w:r w:rsidR="006E1938">
        <w:rPr>
          <w:rFonts w:cstheme="minorHAnsi"/>
          <w:b/>
        </w:rPr>
        <w:t>accept</w:t>
      </w:r>
      <w:r>
        <w:rPr>
          <w:rFonts w:cstheme="minorHAnsi"/>
          <w:b/>
        </w:rPr>
        <w:t>ed the pro</w:t>
      </w:r>
      <w:r w:rsidR="006E1938">
        <w:rPr>
          <w:rFonts w:cstheme="minorHAnsi"/>
          <w:b/>
        </w:rPr>
        <w:t xml:space="preserve">posed dates 23-31 July 2025 for COP15. </w:t>
      </w:r>
    </w:p>
    <w:p w14:paraId="093A0963" w14:textId="77777777" w:rsidR="0046529B" w:rsidRDefault="0046529B" w:rsidP="00E64244">
      <w:pPr>
        <w:spacing w:after="0" w:line="240" w:lineRule="auto"/>
        <w:contextualSpacing/>
        <w:rPr>
          <w:rFonts w:cstheme="minorHAnsi"/>
          <w:b/>
        </w:rPr>
      </w:pPr>
    </w:p>
    <w:p w14:paraId="2307B947" w14:textId="5F9ED23B" w:rsidR="0046529B" w:rsidRDefault="0046529B" w:rsidP="0046529B">
      <w:pPr>
        <w:spacing w:after="0" w:line="240" w:lineRule="auto"/>
        <w:contextualSpacing/>
        <w:rPr>
          <w:rFonts w:cstheme="minorHAnsi"/>
          <w:b/>
        </w:rPr>
      </w:pPr>
      <w:r w:rsidRPr="00294A7E">
        <w:rPr>
          <w:rFonts w:cstheme="minorHAnsi"/>
          <w:b/>
        </w:rPr>
        <w:t>Decision SC</w:t>
      </w:r>
      <w:r>
        <w:rPr>
          <w:rFonts w:cstheme="minorHAnsi"/>
          <w:b/>
        </w:rPr>
        <w:t>62</w:t>
      </w:r>
      <w:r w:rsidRPr="00294A7E">
        <w:rPr>
          <w:rFonts w:cstheme="minorHAnsi"/>
          <w:b/>
        </w:rPr>
        <w:t>-</w:t>
      </w:r>
      <w:r w:rsidR="00E74514">
        <w:rPr>
          <w:rFonts w:cstheme="minorHAnsi"/>
          <w:b/>
        </w:rPr>
        <w:t>09</w:t>
      </w:r>
      <w:r w:rsidRPr="00294A7E">
        <w:rPr>
          <w:rFonts w:cstheme="minorHAnsi"/>
          <w:b/>
        </w:rPr>
        <w:t xml:space="preserve">: </w:t>
      </w:r>
      <w:r w:rsidRPr="00E64244">
        <w:rPr>
          <w:rFonts w:cstheme="minorHAnsi"/>
          <w:b/>
        </w:rPr>
        <w:t xml:space="preserve">The Standing Committee </w:t>
      </w:r>
      <w:r>
        <w:rPr>
          <w:rFonts w:cstheme="minorHAnsi"/>
          <w:b/>
        </w:rPr>
        <w:t xml:space="preserve">approved the provisional agenda for COP15 with the addition of </w:t>
      </w:r>
      <w:r w:rsidRPr="0046529B">
        <w:rPr>
          <w:rFonts w:cstheme="minorHAnsi"/>
          <w:b/>
        </w:rPr>
        <w:t>Wetland City Accreditation</w:t>
      </w:r>
      <w:r w:rsidR="00887882">
        <w:rPr>
          <w:rFonts w:cstheme="minorHAnsi"/>
          <w:b/>
        </w:rPr>
        <w:t xml:space="preserve"> as an agenda item</w:t>
      </w:r>
      <w:r>
        <w:rPr>
          <w:rFonts w:cstheme="minorHAnsi"/>
          <w:b/>
        </w:rPr>
        <w:t>.</w:t>
      </w:r>
    </w:p>
    <w:p w14:paraId="2AD6CFF8" w14:textId="77777777" w:rsidR="006E1938" w:rsidRDefault="006E1938" w:rsidP="0046529B">
      <w:pPr>
        <w:spacing w:after="0" w:line="240" w:lineRule="auto"/>
        <w:contextualSpacing/>
        <w:rPr>
          <w:rFonts w:cstheme="minorHAnsi"/>
          <w:b/>
        </w:rPr>
      </w:pPr>
    </w:p>
    <w:p w14:paraId="55066FC1" w14:textId="2D491A9C" w:rsidR="009F11C2" w:rsidRDefault="006E1938" w:rsidP="006E1938">
      <w:pPr>
        <w:spacing w:after="0" w:line="240" w:lineRule="auto"/>
        <w:contextualSpacing/>
        <w:rPr>
          <w:rFonts w:cstheme="minorHAnsi"/>
          <w:b/>
        </w:rPr>
      </w:pPr>
      <w:r w:rsidRPr="00294A7E">
        <w:rPr>
          <w:rFonts w:cstheme="minorHAnsi"/>
          <w:b/>
        </w:rPr>
        <w:lastRenderedPageBreak/>
        <w:t>Decision SC</w:t>
      </w:r>
      <w:r>
        <w:rPr>
          <w:rFonts w:cstheme="minorHAnsi"/>
          <w:b/>
        </w:rPr>
        <w:t>62</w:t>
      </w:r>
      <w:r w:rsidRPr="00294A7E">
        <w:rPr>
          <w:rFonts w:cstheme="minorHAnsi"/>
          <w:b/>
        </w:rPr>
        <w:t>-</w:t>
      </w:r>
      <w:r w:rsidR="00E74514">
        <w:rPr>
          <w:rFonts w:cstheme="minorHAnsi"/>
          <w:b/>
        </w:rPr>
        <w:t>10:</w:t>
      </w:r>
      <w:r w:rsidRPr="00294A7E">
        <w:rPr>
          <w:rFonts w:cstheme="minorHAnsi"/>
          <w:b/>
        </w:rPr>
        <w:t xml:space="preserve"> </w:t>
      </w:r>
      <w:r w:rsidRPr="00E64244">
        <w:rPr>
          <w:rFonts w:cstheme="minorHAnsi"/>
          <w:b/>
        </w:rPr>
        <w:t xml:space="preserve">The Standing Committee </w:t>
      </w:r>
      <w:r>
        <w:rPr>
          <w:rFonts w:cstheme="minorHAnsi"/>
          <w:b/>
        </w:rPr>
        <w:t>approved the</w:t>
      </w:r>
      <w:r w:rsidR="009F11C2">
        <w:rPr>
          <w:rFonts w:cstheme="minorHAnsi"/>
          <w:b/>
        </w:rPr>
        <w:t xml:space="preserve"> composition of the Subgroup on COP15.</w:t>
      </w:r>
    </w:p>
    <w:p w14:paraId="37D44F5F" w14:textId="77777777" w:rsidR="009F11C2" w:rsidRPr="00C611B3" w:rsidRDefault="009F11C2" w:rsidP="009F11C2">
      <w:pPr>
        <w:spacing w:after="0" w:line="240" w:lineRule="auto"/>
        <w:rPr>
          <w:rFonts w:cstheme="minorHAnsi"/>
        </w:rPr>
      </w:pPr>
    </w:p>
    <w:p w14:paraId="66F5AE4D" w14:textId="3A54F707" w:rsidR="009F11C2" w:rsidRDefault="009F11C2" w:rsidP="009F11C2">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294A7E">
        <w:rPr>
          <w:rFonts w:cstheme="minorHAnsi"/>
          <w:bCs/>
        </w:rPr>
        <w:t xml:space="preserve">Agenda item </w:t>
      </w:r>
      <w:r>
        <w:rPr>
          <w:rFonts w:cstheme="minorHAnsi"/>
          <w:bCs/>
        </w:rPr>
        <w:t>10</w:t>
      </w:r>
      <w:r w:rsidRPr="00294A7E">
        <w:rPr>
          <w:rFonts w:cstheme="minorHAnsi"/>
          <w:bCs/>
        </w:rPr>
        <w:t xml:space="preserve">: </w:t>
      </w:r>
      <w:r w:rsidR="004F2321">
        <w:t>Report of the Strategic Plan Working Group</w:t>
      </w:r>
    </w:p>
    <w:p w14:paraId="57829AAA" w14:textId="77777777" w:rsidR="004F2321" w:rsidRDefault="004F2321" w:rsidP="009F11C2">
      <w:pPr>
        <w:spacing w:after="0" w:line="240" w:lineRule="auto"/>
        <w:ind w:left="567" w:hanging="567"/>
      </w:pPr>
    </w:p>
    <w:p w14:paraId="2B2D5575" w14:textId="0911B110" w:rsidR="004F2321" w:rsidRDefault="004F2321" w:rsidP="004F2321">
      <w:pPr>
        <w:spacing w:after="0" w:line="240" w:lineRule="auto"/>
        <w:contextualSpacing/>
        <w:rPr>
          <w:rFonts w:cstheme="minorHAnsi"/>
          <w:b/>
        </w:rPr>
      </w:pPr>
      <w:r w:rsidRPr="00294A7E">
        <w:rPr>
          <w:rFonts w:cstheme="minorHAnsi"/>
          <w:b/>
        </w:rPr>
        <w:t>Decision SC</w:t>
      </w:r>
      <w:r>
        <w:rPr>
          <w:rFonts w:cstheme="minorHAnsi"/>
          <w:b/>
        </w:rPr>
        <w:t>62</w:t>
      </w:r>
      <w:r w:rsidRPr="00294A7E">
        <w:rPr>
          <w:rFonts w:cstheme="minorHAnsi"/>
          <w:b/>
        </w:rPr>
        <w:t>-</w:t>
      </w:r>
      <w:r w:rsidR="00E74514">
        <w:rPr>
          <w:rFonts w:cstheme="minorHAnsi"/>
          <w:b/>
        </w:rPr>
        <w:t>11</w:t>
      </w:r>
      <w:r w:rsidRPr="00294A7E">
        <w:rPr>
          <w:rFonts w:cstheme="minorHAnsi"/>
          <w:b/>
        </w:rPr>
        <w:t xml:space="preserve">: </w:t>
      </w:r>
      <w:r w:rsidRPr="00E64244">
        <w:rPr>
          <w:rFonts w:cstheme="minorHAnsi"/>
          <w:b/>
        </w:rPr>
        <w:t>The Standing Committee t</w:t>
      </w:r>
      <w:r>
        <w:rPr>
          <w:rFonts w:cstheme="minorHAnsi"/>
          <w:b/>
        </w:rPr>
        <w:t>ook</w:t>
      </w:r>
      <w:r w:rsidRPr="00E64244">
        <w:rPr>
          <w:rFonts w:cstheme="minorHAnsi"/>
          <w:b/>
        </w:rPr>
        <w:t xml:space="preserve"> note of </w:t>
      </w:r>
      <w:r>
        <w:rPr>
          <w:rFonts w:cstheme="minorHAnsi"/>
          <w:b/>
        </w:rPr>
        <w:t xml:space="preserve">the Report of the </w:t>
      </w:r>
      <w:r w:rsidR="008D5B1B">
        <w:rPr>
          <w:rFonts w:cstheme="minorHAnsi"/>
          <w:b/>
        </w:rPr>
        <w:t xml:space="preserve">Strategic Plan Working Group. </w:t>
      </w:r>
    </w:p>
    <w:p w14:paraId="305DBBF2" w14:textId="77777777" w:rsidR="00F73DE1" w:rsidRPr="001340A2" w:rsidRDefault="00F73DE1" w:rsidP="00F73DE1">
      <w:pPr>
        <w:keepNext/>
        <w:spacing w:after="0" w:line="240" w:lineRule="auto"/>
        <w:rPr>
          <w:rFonts w:cstheme="minorHAnsi"/>
        </w:rPr>
      </w:pPr>
    </w:p>
    <w:p w14:paraId="16FFF90D" w14:textId="77777777" w:rsidR="00F73DE1" w:rsidRPr="001340A2" w:rsidRDefault="00F73DE1" w:rsidP="00F73DE1">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40A2">
        <w:rPr>
          <w:rFonts w:cstheme="minorHAnsi"/>
          <w:bCs/>
        </w:rPr>
        <w:t xml:space="preserve">Agenda item </w:t>
      </w:r>
      <w:r>
        <w:rPr>
          <w:rFonts w:cstheme="minorHAnsi"/>
          <w:bCs/>
        </w:rPr>
        <w:t>25</w:t>
      </w:r>
      <w:r w:rsidRPr="001340A2">
        <w:rPr>
          <w:rFonts w:cstheme="minorHAnsi"/>
          <w:bCs/>
        </w:rPr>
        <w:t xml:space="preserve">: </w:t>
      </w:r>
      <w:r w:rsidRPr="004665AA">
        <w:t>Report of the Secretariat on the Ramsar Regional Initiatives</w:t>
      </w:r>
    </w:p>
    <w:p w14:paraId="59747703" w14:textId="77777777" w:rsidR="00F73DE1" w:rsidRDefault="00F73DE1" w:rsidP="00F73DE1">
      <w:pPr>
        <w:spacing w:after="0" w:line="240" w:lineRule="auto"/>
        <w:ind w:left="567" w:hanging="567"/>
      </w:pPr>
    </w:p>
    <w:p w14:paraId="640698A3" w14:textId="77777777" w:rsidR="00F73DE1" w:rsidRDefault="00F73DE1" w:rsidP="00DB549D">
      <w:pPr>
        <w:pStyle w:val="ColorfulList-Accent11"/>
        <w:ind w:left="0" w:firstLine="0"/>
        <w:rPr>
          <w:rFonts w:cs="Calibri"/>
          <w:b/>
        </w:rPr>
      </w:pPr>
      <w:r w:rsidRPr="001340A2">
        <w:rPr>
          <w:rFonts w:cstheme="minorHAnsi"/>
          <w:b/>
        </w:rPr>
        <w:t>Decision SC62-</w:t>
      </w:r>
      <w:r>
        <w:rPr>
          <w:rFonts w:cstheme="minorHAnsi"/>
          <w:b/>
        </w:rPr>
        <w:t>12</w:t>
      </w:r>
      <w:r w:rsidRPr="001340A2">
        <w:rPr>
          <w:rFonts w:cstheme="minorHAnsi"/>
          <w:b/>
        </w:rPr>
        <w:t>:</w:t>
      </w:r>
      <w:r>
        <w:rPr>
          <w:rFonts w:asciiTheme="minorHAnsi" w:hAnsiTheme="minorHAnsi" w:cstheme="minorHAnsi"/>
          <w:b/>
          <w:iCs/>
        </w:rPr>
        <w:t xml:space="preserve"> </w:t>
      </w:r>
      <w:r w:rsidRPr="00A66336">
        <w:rPr>
          <w:rFonts w:asciiTheme="minorHAnsi" w:hAnsiTheme="minorHAnsi" w:cstheme="minorHAnsi"/>
          <w:b/>
          <w:iCs/>
        </w:rPr>
        <w:t xml:space="preserve">The Standing Committee </w:t>
      </w:r>
      <w:r>
        <w:rPr>
          <w:rFonts w:cs="Calibri"/>
          <w:b/>
        </w:rPr>
        <w:t xml:space="preserve">took </w:t>
      </w:r>
      <w:r w:rsidRPr="00A66336">
        <w:rPr>
          <w:rFonts w:cs="Calibri"/>
          <w:b/>
        </w:rPr>
        <w:t xml:space="preserve">note of the annual reports submitted by the Ramsar Regional Initiatives (RRIs) for 2022 in accordance with Resolution XIV.7 on </w:t>
      </w:r>
      <w:r w:rsidRPr="00A66336">
        <w:rPr>
          <w:rFonts w:cs="Calibri"/>
          <w:b/>
          <w:i/>
        </w:rPr>
        <w:t>Ramsar Regional Initiatives</w:t>
      </w:r>
      <w:r>
        <w:rPr>
          <w:rFonts w:cs="Calibri"/>
          <w:b/>
        </w:rPr>
        <w:t>.</w:t>
      </w:r>
    </w:p>
    <w:p w14:paraId="6C1A8A4A" w14:textId="77777777" w:rsidR="00F73DE1" w:rsidRDefault="00F73DE1" w:rsidP="00DB549D">
      <w:pPr>
        <w:pStyle w:val="ColorfulList-Accent11"/>
        <w:ind w:left="0" w:firstLine="0"/>
        <w:rPr>
          <w:rFonts w:cs="Calibri"/>
          <w:b/>
        </w:rPr>
      </w:pPr>
    </w:p>
    <w:p w14:paraId="51383A5C" w14:textId="77777777" w:rsidR="00F73DE1" w:rsidRDefault="00F73DE1" w:rsidP="00DB549D">
      <w:pPr>
        <w:pStyle w:val="ColorfulList-Accent11"/>
        <w:ind w:left="0" w:firstLine="0"/>
        <w:rPr>
          <w:rFonts w:cs="Calibri"/>
          <w:b/>
        </w:rPr>
      </w:pPr>
      <w:r w:rsidRPr="001340A2">
        <w:rPr>
          <w:rFonts w:cstheme="minorHAnsi"/>
          <w:b/>
        </w:rPr>
        <w:t>Decision SC62-</w:t>
      </w:r>
      <w:r>
        <w:rPr>
          <w:rFonts w:cstheme="minorHAnsi"/>
          <w:b/>
        </w:rPr>
        <w:t>13</w:t>
      </w:r>
      <w:r w:rsidRPr="001340A2">
        <w:rPr>
          <w:rFonts w:cstheme="minorHAnsi"/>
          <w:b/>
        </w:rPr>
        <w:t>:</w:t>
      </w:r>
      <w:r>
        <w:rPr>
          <w:rFonts w:asciiTheme="minorHAnsi" w:hAnsiTheme="minorHAnsi" w:cstheme="minorHAnsi"/>
          <w:b/>
          <w:iCs/>
        </w:rPr>
        <w:t xml:space="preserve"> </w:t>
      </w:r>
      <w:r w:rsidRPr="00A66336">
        <w:rPr>
          <w:rFonts w:asciiTheme="minorHAnsi" w:hAnsiTheme="minorHAnsi" w:cstheme="minorHAnsi"/>
          <w:b/>
          <w:iCs/>
        </w:rPr>
        <w:t>The Standing Committee</w:t>
      </w:r>
      <w:r w:rsidRPr="00A66336">
        <w:rPr>
          <w:rFonts w:cs="Calibri"/>
          <w:b/>
        </w:rPr>
        <w:t xml:space="preserve"> note</w:t>
      </w:r>
      <w:r>
        <w:rPr>
          <w:rFonts w:cs="Calibri"/>
          <w:b/>
        </w:rPr>
        <w:t>d</w:t>
      </w:r>
      <w:r w:rsidRPr="00A66336">
        <w:rPr>
          <w:rFonts w:cs="Calibri"/>
          <w:b/>
        </w:rPr>
        <w:t xml:space="preserve"> the allocation of funds from the 2023 Ramsar core </w:t>
      </w:r>
      <w:r w:rsidRPr="00A66336">
        <w:rPr>
          <w:rFonts w:cs="Calibri"/>
          <w:b/>
          <w:color w:val="000000" w:themeColor="text1"/>
        </w:rPr>
        <w:t xml:space="preserve">budget line D “Support </w:t>
      </w:r>
      <w:r w:rsidRPr="00A66336">
        <w:rPr>
          <w:rFonts w:cs="Calibri"/>
          <w:b/>
        </w:rPr>
        <w:t xml:space="preserve">to Regional Initiatives” proposed in document SC62 Doc.8.1, to provide start-up funding of CHF 30,000 to the Southern African Ramsar Regional Initiative. </w:t>
      </w:r>
    </w:p>
    <w:p w14:paraId="74C46996" w14:textId="77777777" w:rsidR="00F73DE1" w:rsidRPr="001340A2" w:rsidRDefault="00F73DE1" w:rsidP="00F73DE1">
      <w:pPr>
        <w:keepNext/>
        <w:spacing w:after="0" w:line="240" w:lineRule="auto"/>
        <w:rPr>
          <w:rFonts w:cstheme="minorHAnsi"/>
        </w:rPr>
      </w:pPr>
    </w:p>
    <w:p w14:paraId="2E13A3AB" w14:textId="77777777" w:rsidR="00F73DE1" w:rsidRPr="001340A2" w:rsidRDefault="00F73DE1" w:rsidP="00F73DE1">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40A2">
        <w:rPr>
          <w:rFonts w:cstheme="minorHAnsi"/>
          <w:bCs/>
        </w:rPr>
        <w:t xml:space="preserve">Agenda item </w:t>
      </w:r>
      <w:r>
        <w:rPr>
          <w:rFonts w:cstheme="minorHAnsi"/>
          <w:bCs/>
        </w:rPr>
        <w:t>13</w:t>
      </w:r>
      <w:r w:rsidRPr="001340A2">
        <w:rPr>
          <w:rFonts w:cstheme="minorHAnsi"/>
          <w:bCs/>
        </w:rPr>
        <w:t xml:space="preserve">: </w:t>
      </w:r>
      <w:r>
        <w:t>Work plan of the Secretariat for 2023-2025</w:t>
      </w:r>
    </w:p>
    <w:p w14:paraId="28F83EB5" w14:textId="77777777" w:rsidR="00F73DE1" w:rsidRDefault="00F73DE1" w:rsidP="00F73DE1">
      <w:pPr>
        <w:spacing w:after="0" w:line="240" w:lineRule="auto"/>
        <w:ind w:left="567" w:hanging="567"/>
        <w:rPr>
          <w:rFonts w:eastAsia="Calibri" w:cstheme="minorHAnsi"/>
          <w:bCs/>
        </w:rPr>
      </w:pPr>
    </w:p>
    <w:p w14:paraId="568A72B5" w14:textId="0C0C76E8" w:rsidR="00F73DE1" w:rsidRDefault="00F73DE1" w:rsidP="00F73DE1">
      <w:pPr>
        <w:spacing w:after="0" w:line="240" w:lineRule="auto"/>
        <w:contextualSpacing/>
        <w:rPr>
          <w:rFonts w:eastAsia="Calibri" w:cstheme="minorHAnsi"/>
          <w:b/>
          <w:bCs/>
        </w:rPr>
      </w:pPr>
      <w:r w:rsidRPr="003323C2">
        <w:rPr>
          <w:rFonts w:cstheme="minorHAnsi"/>
          <w:b/>
        </w:rPr>
        <w:t>Decision SC</w:t>
      </w:r>
      <w:r>
        <w:rPr>
          <w:rFonts w:cstheme="minorHAnsi"/>
          <w:b/>
        </w:rPr>
        <w:t>62</w:t>
      </w:r>
      <w:r w:rsidRPr="003323C2">
        <w:rPr>
          <w:rFonts w:cstheme="minorHAnsi"/>
          <w:b/>
        </w:rPr>
        <w:t>-</w:t>
      </w:r>
      <w:r>
        <w:rPr>
          <w:rFonts w:cstheme="minorHAnsi"/>
          <w:b/>
        </w:rPr>
        <w:t>14</w:t>
      </w:r>
      <w:r w:rsidRPr="003323C2">
        <w:rPr>
          <w:rFonts w:cstheme="minorHAnsi"/>
          <w:b/>
        </w:rPr>
        <w:t xml:space="preserve">: The Standing Committee took note </w:t>
      </w:r>
      <w:r w:rsidRPr="003323C2">
        <w:rPr>
          <w:b/>
        </w:rPr>
        <w:t xml:space="preserve">of </w:t>
      </w:r>
      <w:r>
        <w:rPr>
          <w:b/>
        </w:rPr>
        <w:t xml:space="preserve">and approved the </w:t>
      </w:r>
      <w:r w:rsidRPr="005348AA">
        <w:rPr>
          <w:rFonts w:eastAsia="Calibri" w:cstheme="minorHAnsi"/>
          <w:b/>
          <w:bCs/>
        </w:rPr>
        <w:t>Secretariat’s integrated Annual Plan for 2023 and Triennial Plan for 2023-2025</w:t>
      </w:r>
      <w:r>
        <w:rPr>
          <w:rFonts w:eastAsia="Calibri" w:cstheme="minorHAnsi"/>
          <w:b/>
          <w:bCs/>
        </w:rPr>
        <w:t>, subject to the additions proposed by the STRP Chair.</w:t>
      </w:r>
    </w:p>
    <w:p w14:paraId="32B47D20" w14:textId="77777777" w:rsidR="00F73DE1" w:rsidRPr="001340A2" w:rsidRDefault="00F73DE1" w:rsidP="00F73DE1">
      <w:pPr>
        <w:keepNext/>
        <w:spacing w:after="0" w:line="240" w:lineRule="auto"/>
        <w:rPr>
          <w:rFonts w:cstheme="minorHAnsi"/>
        </w:rPr>
      </w:pPr>
    </w:p>
    <w:p w14:paraId="5130F30A" w14:textId="77777777" w:rsidR="00F73DE1" w:rsidRPr="001340A2" w:rsidRDefault="00F73DE1" w:rsidP="00F73DE1">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40A2">
        <w:rPr>
          <w:rFonts w:cstheme="minorHAnsi"/>
          <w:bCs/>
        </w:rPr>
        <w:t xml:space="preserve">Agenda item </w:t>
      </w:r>
      <w:r>
        <w:rPr>
          <w:rFonts w:cstheme="minorHAnsi"/>
          <w:bCs/>
        </w:rPr>
        <w:t>11</w:t>
      </w:r>
      <w:r w:rsidRPr="001340A2">
        <w:rPr>
          <w:rFonts w:cstheme="minorHAnsi"/>
          <w:bCs/>
        </w:rPr>
        <w:t xml:space="preserve">: </w:t>
      </w:r>
      <w:r w:rsidRPr="00512E29">
        <w:t>Secretariat report on institutional strengthening to support the implementation of the Convention</w:t>
      </w:r>
    </w:p>
    <w:p w14:paraId="4A4672AC" w14:textId="77777777" w:rsidR="00F73DE1" w:rsidRPr="00620118" w:rsidRDefault="00F73DE1" w:rsidP="00F73DE1">
      <w:pPr>
        <w:spacing w:after="0" w:line="240" w:lineRule="auto"/>
        <w:ind w:left="567" w:hanging="567"/>
      </w:pPr>
    </w:p>
    <w:p w14:paraId="0BAA1318" w14:textId="77777777" w:rsidR="00F73DE1" w:rsidRDefault="00F73DE1" w:rsidP="00F73DE1">
      <w:pPr>
        <w:spacing w:after="0" w:line="240" w:lineRule="auto"/>
        <w:contextualSpacing/>
        <w:rPr>
          <w:b/>
        </w:rPr>
      </w:pPr>
      <w:r w:rsidRPr="003323C2">
        <w:rPr>
          <w:rFonts w:cstheme="minorHAnsi"/>
          <w:b/>
        </w:rPr>
        <w:t>Decision SC</w:t>
      </w:r>
      <w:r>
        <w:rPr>
          <w:rFonts w:cstheme="minorHAnsi"/>
          <w:b/>
        </w:rPr>
        <w:t>62</w:t>
      </w:r>
      <w:r w:rsidRPr="003323C2">
        <w:rPr>
          <w:rFonts w:cstheme="minorHAnsi"/>
          <w:b/>
        </w:rPr>
        <w:t>-</w:t>
      </w:r>
      <w:r>
        <w:rPr>
          <w:rFonts w:cstheme="minorHAnsi"/>
          <w:b/>
        </w:rPr>
        <w:t>15</w:t>
      </w:r>
      <w:r w:rsidRPr="003323C2">
        <w:rPr>
          <w:rFonts w:cstheme="minorHAnsi"/>
          <w:b/>
        </w:rPr>
        <w:t xml:space="preserve">: The Standing Committee took note </w:t>
      </w:r>
      <w:r w:rsidRPr="00C219CF">
        <w:rPr>
          <w:b/>
        </w:rPr>
        <w:t>of the Secretariat’s report on institutional strengthening to support the implementation of the Convention in response to Resolution XIV.6, paragraph 22</w:t>
      </w:r>
      <w:r>
        <w:rPr>
          <w:b/>
        </w:rPr>
        <w:t>.</w:t>
      </w:r>
    </w:p>
    <w:p w14:paraId="16AB34B2" w14:textId="77777777" w:rsidR="00F73DE1" w:rsidRDefault="00F73DE1" w:rsidP="00F73DE1">
      <w:pPr>
        <w:spacing w:after="0" w:line="240" w:lineRule="auto"/>
        <w:contextualSpacing/>
        <w:rPr>
          <w:b/>
        </w:rPr>
      </w:pPr>
    </w:p>
    <w:p w14:paraId="41115440" w14:textId="77777777" w:rsidR="00F73DE1" w:rsidRDefault="00F73DE1" w:rsidP="00F73DE1">
      <w:pPr>
        <w:spacing w:after="0" w:line="240" w:lineRule="auto"/>
        <w:contextualSpacing/>
        <w:rPr>
          <w:rFonts w:eastAsia="Calibri" w:cstheme="minorHAnsi"/>
          <w:bCs/>
        </w:rPr>
      </w:pPr>
      <w:r w:rsidRPr="003323C2">
        <w:rPr>
          <w:rFonts w:cstheme="minorHAnsi"/>
          <w:b/>
        </w:rPr>
        <w:t>Decision SC</w:t>
      </w:r>
      <w:r>
        <w:rPr>
          <w:rFonts w:cstheme="minorHAnsi"/>
          <w:b/>
        </w:rPr>
        <w:t>62</w:t>
      </w:r>
      <w:r w:rsidRPr="003323C2">
        <w:rPr>
          <w:rFonts w:cstheme="minorHAnsi"/>
          <w:b/>
        </w:rPr>
        <w:t>-</w:t>
      </w:r>
      <w:r>
        <w:rPr>
          <w:rFonts w:cstheme="minorHAnsi"/>
          <w:b/>
        </w:rPr>
        <w:t>16</w:t>
      </w:r>
      <w:r w:rsidRPr="003323C2">
        <w:rPr>
          <w:rFonts w:cstheme="minorHAnsi"/>
          <w:b/>
        </w:rPr>
        <w:t xml:space="preserve">: The Standing Committee </w:t>
      </w:r>
      <w:r>
        <w:rPr>
          <w:rFonts w:cstheme="minorHAnsi"/>
          <w:b/>
        </w:rPr>
        <w:t>took</w:t>
      </w:r>
      <w:r w:rsidRPr="00C219CF">
        <w:rPr>
          <w:rFonts w:cstheme="minorHAnsi"/>
          <w:b/>
        </w:rPr>
        <w:t xml:space="preserve"> note of the recommendations of the interested Contracting Parties and the Secretariat reflected in Annex 2 of the report</w:t>
      </w:r>
      <w:r>
        <w:rPr>
          <w:rFonts w:cstheme="minorHAnsi"/>
          <w:b/>
        </w:rPr>
        <w:t>.</w:t>
      </w:r>
    </w:p>
    <w:p w14:paraId="50D9EEF2" w14:textId="77777777" w:rsidR="00F73DE1" w:rsidRDefault="00F73DE1" w:rsidP="00F73DE1">
      <w:pPr>
        <w:spacing w:after="0" w:line="240" w:lineRule="auto"/>
        <w:contextualSpacing/>
        <w:rPr>
          <w:rFonts w:eastAsia="Calibri" w:cstheme="minorHAnsi"/>
          <w:bCs/>
        </w:rPr>
      </w:pPr>
    </w:p>
    <w:p w14:paraId="53B08FA2" w14:textId="77777777" w:rsidR="00F73DE1" w:rsidRDefault="00F73DE1" w:rsidP="00F73DE1">
      <w:pPr>
        <w:spacing w:after="0" w:line="240" w:lineRule="auto"/>
        <w:contextualSpacing/>
        <w:rPr>
          <w:rFonts w:eastAsia="Calibri" w:cstheme="minorHAnsi"/>
          <w:bCs/>
        </w:rPr>
      </w:pPr>
      <w:r w:rsidRPr="003323C2">
        <w:rPr>
          <w:rFonts w:cstheme="minorHAnsi"/>
          <w:b/>
        </w:rPr>
        <w:t>Decision SC</w:t>
      </w:r>
      <w:r>
        <w:rPr>
          <w:rFonts w:cstheme="minorHAnsi"/>
          <w:b/>
        </w:rPr>
        <w:t>62</w:t>
      </w:r>
      <w:r w:rsidRPr="003323C2">
        <w:rPr>
          <w:rFonts w:cstheme="minorHAnsi"/>
          <w:b/>
        </w:rPr>
        <w:t>-</w:t>
      </w:r>
      <w:r>
        <w:rPr>
          <w:rFonts w:cstheme="minorHAnsi"/>
          <w:b/>
        </w:rPr>
        <w:t>17</w:t>
      </w:r>
      <w:r w:rsidRPr="003323C2">
        <w:rPr>
          <w:rFonts w:cstheme="minorHAnsi"/>
          <w:b/>
        </w:rPr>
        <w:t xml:space="preserve">: The Standing Committee </w:t>
      </w:r>
      <w:r>
        <w:rPr>
          <w:rFonts w:cstheme="minorHAnsi"/>
          <w:b/>
        </w:rPr>
        <w:t>e</w:t>
      </w:r>
      <w:r w:rsidRPr="00C219CF">
        <w:rPr>
          <w:rFonts w:cstheme="minorHAnsi"/>
          <w:b/>
        </w:rPr>
        <w:t>stablish</w:t>
      </w:r>
      <w:r>
        <w:rPr>
          <w:rFonts w:cstheme="minorHAnsi"/>
          <w:b/>
        </w:rPr>
        <w:t>ed</w:t>
      </w:r>
      <w:r w:rsidRPr="00C219CF">
        <w:rPr>
          <w:rFonts w:cstheme="minorHAnsi"/>
          <w:b/>
        </w:rPr>
        <w:t xml:space="preserve"> a Working Group to lead the process to achieve organizational robustness to support the implementation of the Convention, including </w:t>
      </w:r>
      <w:r>
        <w:rPr>
          <w:rFonts w:cstheme="minorHAnsi"/>
          <w:b/>
        </w:rPr>
        <w:t xml:space="preserve">through </w:t>
      </w:r>
      <w:r w:rsidRPr="00C219CF">
        <w:rPr>
          <w:rFonts w:cstheme="minorHAnsi"/>
          <w:b/>
        </w:rPr>
        <w:t>the preparation of a draft resolution for the consideration of the Standing Committee at its 63rd meeting</w:t>
      </w:r>
      <w:r>
        <w:rPr>
          <w:rFonts w:cstheme="minorHAnsi"/>
          <w:b/>
        </w:rPr>
        <w:t>.</w:t>
      </w:r>
    </w:p>
    <w:p w14:paraId="37830BE6" w14:textId="77777777" w:rsidR="00F73DE1" w:rsidRDefault="00F73DE1" w:rsidP="00F73DE1">
      <w:pPr>
        <w:spacing w:after="0" w:line="240" w:lineRule="auto"/>
        <w:rPr>
          <w:rFonts w:eastAsia="Calibri" w:cstheme="minorHAnsi"/>
          <w:bCs/>
        </w:rPr>
      </w:pPr>
    </w:p>
    <w:p w14:paraId="396C4C6C" w14:textId="77777777" w:rsidR="00F73DE1" w:rsidRPr="001340A2" w:rsidRDefault="00F73DE1" w:rsidP="00F73DE1">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40A2">
        <w:rPr>
          <w:rFonts w:cstheme="minorHAnsi"/>
          <w:bCs/>
        </w:rPr>
        <w:t xml:space="preserve">Agenda item </w:t>
      </w:r>
      <w:r>
        <w:rPr>
          <w:rFonts w:cstheme="minorHAnsi"/>
          <w:bCs/>
        </w:rPr>
        <w:t>12</w:t>
      </w:r>
      <w:r w:rsidRPr="001340A2">
        <w:rPr>
          <w:rFonts w:cstheme="minorHAnsi"/>
          <w:bCs/>
        </w:rPr>
        <w:t xml:space="preserve">: </w:t>
      </w:r>
      <w:r w:rsidRPr="00E360F3">
        <w:t>Report of the Secretariat on enhancing the effectiveness and efficiency of the Convention</w:t>
      </w:r>
    </w:p>
    <w:p w14:paraId="1550FA8E" w14:textId="77777777" w:rsidR="00F73DE1" w:rsidRDefault="00F73DE1" w:rsidP="00F73DE1">
      <w:pPr>
        <w:spacing w:after="0" w:line="240" w:lineRule="auto"/>
        <w:ind w:left="567" w:hanging="567"/>
        <w:rPr>
          <w:rFonts w:eastAsia="Calibri" w:cstheme="minorHAnsi"/>
          <w:bCs/>
        </w:rPr>
      </w:pPr>
    </w:p>
    <w:p w14:paraId="5EA8D381" w14:textId="444F80E6" w:rsidR="00F73DE1" w:rsidRDefault="00F73DE1" w:rsidP="00F73DE1">
      <w:pPr>
        <w:spacing w:after="0" w:line="240" w:lineRule="auto"/>
        <w:contextualSpacing/>
        <w:rPr>
          <w:rFonts w:eastAsia="Calibri" w:cstheme="minorHAnsi"/>
          <w:bCs/>
        </w:rPr>
      </w:pPr>
      <w:bookmarkStart w:id="0" w:name="_Hlk144886658"/>
      <w:r w:rsidRPr="003323C2">
        <w:rPr>
          <w:rFonts w:cstheme="minorHAnsi"/>
          <w:b/>
        </w:rPr>
        <w:t>Decision SC</w:t>
      </w:r>
      <w:r>
        <w:rPr>
          <w:rFonts w:cstheme="minorHAnsi"/>
          <w:b/>
        </w:rPr>
        <w:t>62</w:t>
      </w:r>
      <w:r w:rsidRPr="003323C2">
        <w:rPr>
          <w:rFonts w:cstheme="minorHAnsi"/>
          <w:b/>
        </w:rPr>
        <w:t>-</w:t>
      </w:r>
      <w:r>
        <w:rPr>
          <w:rFonts w:cstheme="minorHAnsi"/>
          <w:b/>
        </w:rPr>
        <w:t>18</w:t>
      </w:r>
      <w:r w:rsidRPr="003323C2">
        <w:rPr>
          <w:rFonts w:cstheme="minorHAnsi"/>
          <w:b/>
        </w:rPr>
        <w:t xml:space="preserve">: </w:t>
      </w:r>
      <w:r w:rsidRPr="00043BD7">
        <w:rPr>
          <w:rFonts w:cstheme="minorHAnsi"/>
          <w:b/>
        </w:rPr>
        <w:t xml:space="preserve">The Standing Committee </w:t>
      </w:r>
      <w:r>
        <w:rPr>
          <w:rFonts w:cstheme="minorHAnsi"/>
          <w:b/>
        </w:rPr>
        <w:t>instructed</w:t>
      </w:r>
      <w:r w:rsidRPr="00043BD7">
        <w:rPr>
          <w:rFonts w:cstheme="minorHAnsi"/>
          <w:b/>
        </w:rPr>
        <w:t xml:space="preserve"> the Secretariat to </w:t>
      </w:r>
      <w:r>
        <w:rPr>
          <w:rFonts w:cstheme="minorHAnsi"/>
          <w:b/>
        </w:rPr>
        <w:t>follow</w:t>
      </w:r>
      <w:r w:rsidRPr="00043BD7">
        <w:rPr>
          <w:rFonts w:cstheme="minorHAnsi"/>
          <w:b/>
        </w:rPr>
        <w:t xml:space="preserve"> approach 1</w:t>
      </w:r>
      <w:r>
        <w:rPr>
          <w:rFonts w:cstheme="minorHAnsi"/>
          <w:b/>
        </w:rPr>
        <w:t xml:space="preserve"> as defined in document SC62 Doc.12, </w:t>
      </w:r>
      <w:r w:rsidRPr="00043BD7">
        <w:rPr>
          <w:rFonts w:cstheme="minorHAnsi"/>
          <w:b/>
        </w:rPr>
        <w:t xml:space="preserve">using </w:t>
      </w:r>
      <w:r>
        <w:rPr>
          <w:rFonts w:cstheme="minorHAnsi"/>
          <w:b/>
        </w:rPr>
        <w:t>existing tools</w:t>
      </w:r>
      <w:r w:rsidRPr="00043BD7">
        <w:rPr>
          <w:rFonts w:cstheme="minorHAnsi"/>
          <w:b/>
        </w:rPr>
        <w:t xml:space="preserve"> in preparing a plan to be presented to the 63rd meeting of the Standing Committee, </w:t>
      </w:r>
      <w:r w:rsidR="0081338C">
        <w:rPr>
          <w:rFonts w:cstheme="minorHAnsi"/>
          <w:b/>
        </w:rPr>
        <w:t>recognizing that the implementation of those tools should not replace in</w:t>
      </w:r>
      <w:r w:rsidR="00BB77DA">
        <w:rPr>
          <w:rFonts w:cstheme="minorHAnsi"/>
          <w:b/>
        </w:rPr>
        <w:t>-</w:t>
      </w:r>
      <w:r w:rsidR="0081338C">
        <w:rPr>
          <w:rFonts w:cstheme="minorHAnsi"/>
          <w:b/>
        </w:rPr>
        <w:t>person negotiations, and</w:t>
      </w:r>
      <w:r w:rsidR="0081338C" w:rsidRPr="00043BD7">
        <w:rPr>
          <w:rFonts w:cstheme="minorHAnsi"/>
          <w:b/>
        </w:rPr>
        <w:t xml:space="preserve"> </w:t>
      </w:r>
      <w:r w:rsidRPr="00043BD7">
        <w:rPr>
          <w:rFonts w:cstheme="minorHAnsi"/>
          <w:b/>
        </w:rPr>
        <w:t xml:space="preserve">noting that </w:t>
      </w:r>
      <w:r w:rsidR="001D3F3C">
        <w:rPr>
          <w:rFonts w:cstheme="minorHAnsi"/>
          <w:b/>
        </w:rPr>
        <w:t xml:space="preserve"> </w:t>
      </w:r>
      <w:r w:rsidRPr="00043BD7">
        <w:rPr>
          <w:rFonts w:cstheme="minorHAnsi"/>
          <w:b/>
        </w:rPr>
        <w:t xml:space="preserve">further discussions to </w:t>
      </w:r>
      <w:r>
        <w:rPr>
          <w:rFonts w:cstheme="minorHAnsi"/>
          <w:b/>
        </w:rPr>
        <w:t>refine</w:t>
      </w:r>
      <w:r w:rsidRPr="00043BD7">
        <w:rPr>
          <w:rFonts w:cstheme="minorHAnsi"/>
          <w:b/>
        </w:rPr>
        <w:t xml:space="preserve"> the </w:t>
      </w:r>
      <w:r>
        <w:rPr>
          <w:rFonts w:cstheme="minorHAnsi"/>
          <w:b/>
        </w:rPr>
        <w:t xml:space="preserve">process </w:t>
      </w:r>
      <w:r w:rsidRPr="00043BD7">
        <w:rPr>
          <w:rFonts w:cstheme="minorHAnsi"/>
          <w:b/>
        </w:rPr>
        <w:t>will be held.</w:t>
      </w:r>
    </w:p>
    <w:bookmarkEnd w:id="0"/>
    <w:p w14:paraId="0DC6E55E" w14:textId="77777777" w:rsidR="00F73DE1" w:rsidRPr="001340A2" w:rsidRDefault="00F73DE1" w:rsidP="00F73DE1">
      <w:pPr>
        <w:keepNext/>
        <w:spacing w:after="0" w:line="240" w:lineRule="auto"/>
        <w:rPr>
          <w:rFonts w:cstheme="minorHAnsi"/>
        </w:rPr>
      </w:pPr>
    </w:p>
    <w:p w14:paraId="2259F109" w14:textId="77777777" w:rsidR="00F73DE1" w:rsidRPr="001340A2" w:rsidRDefault="00F73DE1" w:rsidP="001E4709">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40A2">
        <w:rPr>
          <w:rFonts w:cstheme="minorHAnsi"/>
          <w:bCs/>
        </w:rPr>
        <w:t xml:space="preserve">Agenda item </w:t>
      </w:r>
      <w:r>
        <w:rPr>
          <w:rFonts w:cstheme="minorHAnsi"/>
          <w:bCs/>
        </w:rPr>
        <w:t>14</w:t>
      </w:r>
      <w:r w:rsidRPr="001340A2">
        <w:rPr>
          <w:rFonts w:cstheme="minorHAnsi"/>
          <w:bCs/>
        </w:rPr>
        <w:t xml:space="preserve">: </w:t>
      </w:r>
      <w:r w:rsidRPr="0018220D">
        <w:t>Enhancing the Convention’s visibility and synergies in partnership with multilateral environmental agreements and other international institutions</w:t>
      </w:r>
    </w:p>
    <w:p w14:paraId="3DDA86F4" w14:textId="77777777" w:rsidR="00F73DE1" w:rsidRDefault="00F73DE1" w:rsidP="001E4709">
      <w:pPr>
        <w:keepNext/>
        <w:spacing w:after="0" w:line="240" w:lineRule="auto"/>
        <w:ind w:left="720" w:hanging="720"/>
        <w:rPr>
          <w:rFonts w:cstheme="minorHAnsi"/>
          <w:b/>
        </w:rPr>
      </w:pPr>
    </w:p>
    <w:p w14:paraId="037812DD" w14:textId="77777777" w:rsidR="00F73DE1" w:rsidRDefault="00F73DE1" w:rsidP="00F73DE1">
      <w:pPr>
        <w:spacing w:after="0" w:line="240" w:lineRule="auto"/>
        <w:contextualSpacing/>
        <w:rPr>
          <w:rFonts w:eastAsia="Calibri" w:cstheme="minorHAnsi"/>
          <w:bCs/>
        </w:rPr>
      </w:pPr>
      <w:r w:rsidRPr="003323C2">
        <w:rPr>
          <w:rFonts w:cstheme="minorHAnsi"/>
          <w:b/>
        </w:rPr>
        <w:t>Decision SC</w:t>
      </w:r>
      <w:r>
        <w:rPr>
          <w:rFonts w:cstheme="minorHAnsi"/>
          <w:b/>
        </w:rPr>
        <w:t>62</w:t>
      </w:r>
      <w:r w:rsidRPr="003323C2">
        <w:rPr>
          <w:rFonts w:cstheme="minorHAnsi"/>
          <w:b/>
        </w:rPr>
        <w:t>-</w:t>
      </w:r>
      <w:r>
        <w:rPr>
          <w:rFonts w:cstheme="minorHAnsi"/>
          <w:b/>
        </w:rPr>
        <w:t>19</w:t>
      </w:r>
      <w:r w:rsidRPr="003323C2">
        <w:rPr>
          <w:rFonts w:cstheme="minorHAnsi"/>
          <w:b/>
        </w:rPr>
        <w:t xml:space="preserve">: </w:t>
      </w:r>
      <w:r w:rsidRPr="00043BD7">
        <w:rPr>
          <w:rFonts w:cstheme="minorHAnsi"/>
          <w:b/>
        </w:rPr>
        <w:t>The Standing</w:t>
      </w:r>
      <w:r>
        <w:rPr>
          <w:rFonts w:cstheme="minorHAnsi"/>
          <w:b/>
        </w:rPr>
        <w:t xml:space="preserve"> Committee </w:t>
      </w:r>
      <w:r w:rsidRPr="000B2EC5">
        <w:rPr>
          <w:rFonts w:cstheme="minorHAnsi"/>
          <w:b/>
        </w:rPr>
        <w:t>t</w:t>
      </w:r>
      <w:r>
        <w:rPr>
          <w:rFonts w:cstheme="minorHAnsi"/>
          <w:b/>
        </w:rPr>
        <w:t>ook</w:t>
      </w:r>
      <w:r w:rsidRPr="000B2EC5">
        <w:rPr>
          <w:rFonts w:cstheme="minorHAnsi"/>
          <w:b/>
        </w:rPr>
        <w:t xml:space="preserve"> note of the progress in implementing Resolutions</w:t>
      </w:r>
      <w:r>
        <w:rPr>
          <w:rFonts w:cstheme="minorHAnsi"/>
          <w:b/>
        </w:rPr>
        <w:t xml:space="preserve"> </w:t>
      </w:r>
      <w:r w:rsidRPr="000B2EC5">
        <w:rPr>
          <w:rFonts w:cstheme="minorHAnsi"/>
          <w:b/>
        </w:rPr>
        <w:t xml:space="preserve">XIV.6 and XIII.7 on </w:t>
      </w:r>
      <w:r>
        <w:rPr>
          <w:rFonts w:cstheme="minorHAnsi"/>
          <w:b/>
        </w:rPr>
        <w:t>e</w:t>
      </w:r>
      <w:r w:rsidRPr="000B2EC5">
        <w:rPr>
          <w:rFonts w:cstheme="minorHAnsi"/>
          <w:b/>
        </w:rPr>
        <w:t>nhancing the Convention´s visibility and synergies with other multilateral environmental agreements and other international institutions.</w:t>
      </w:r>
    </w:p>
    <w:p w14:paraId="3078620E" w14:textId="77777777" w:rsidR="00F73DE1" w:rsidRPr="001340A2" w:rsidRDefault="00F73DE1" w:rsidP="00F73DE1">
      <w:pPr>
        <w:keepNext/>
        <w:spacing w:after="0" w:line="240" w:lineRule="auto"/>
        <w:rPr>
          <w:rFonts w:cstheme="minorHAnsi"/>
        </w:rPr>
      </w:pPr>
    </w:p>
    <w:p w14:paraId="15568EA7" w14:textId="77777777" w:rsidR="00F73DE1" w:rsidRPr="001340A2" w:rsidRDefault="00F73DE1" w:rsidP="00F73DE1">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40A2">
        <w:rPr>
          <w:rFonts w:cstheme="minorHAnsi"/>
          <w:bCs/>
        </w:rPr>
        <w:t xml:space="preserve">Agenda item </w:t>
      </w:r>
      <w:r>
        <w:rPr>
          <w:rFonts w:cstheme="minorHAnsi"/>
          <w:bCs/>
        </w:rPr>
        <w:t>15</w:t>
      </w:r>
      <w:r w:rsidRPr="001340A2">
        <w:rPr>
          <w:rFonts w:cstheme="minorHAnsi"/>
          <w:bCs/>
        </w:rPr>
        <w:t xml:space="preserve">: </w:t>
      </w:r>
      <w:r w:rsidRPr="00C65B50">
        <w:t>Review and consolidation of current Resolutions</w:t>
      </w:r>
    </w:p>
    <w:p w14:paraId="69EA2A92" w14:textId="77777777" w:rsidR="00F73DE1" w:rsidRDefault="00F73DE1" w:rsidP="00F73DE1">
      <w:pPr>
        <w:spacing w:after="0" w:line="240" w:lineRule="auto"/>
        <w:ind w:left="720" w:hanging="720"/>
      </w:pPr>
    </w:p>
    <w:p w14:paraId="57701574" w14:textId="77777777" w:rsidR="00F73DE1" w:rsidRDefault="00F73DE1" w:rsidP="00F73DE1">
      <w:pPr>
        <w:spacing w:after="0" w:line="240" w:lineRule="auto"/>
        <w:contextualSpacing/>
        <w:rPr>
          <w:rFonts w:cstheme="minorHAnsi"/>
          <w:b/>
        </w:rPr>
      </w:pPr>
      <w:r w:rsidRPr="003323C2">
        <w:rPr>
          <w:rFonts w:cstheme="minorHAnsi"/>
          <w:b/>
        </w:rPr>
        <w:t>Decision SC</w:t>
      </w:r>
      <w:r>
        <w:rPr>
          <w:rFonts w:cstheme="minorHAnsi"/>
          <w:b/>
        </w:rPr>
        <w:t>62</w:t>
      </w:r>
      <w:r w:rsidRPr="003323C2">
        <w:rPr>
          <w:rFonts w:cstheme="minorHAnsi"/>
          <w:b/>
        </w:rPr>
        <w:t>-</w:t>
      </w:r>
      <w:r>
        <w:rPr>
          <w:rFonts w:cstheme="minorHAnsi"/>
          <w:b/>
        </w:rPr>
        <w:t>20</w:t>
      </w:r>
      <w:r w:rsidRPr="003323C2">
        <w:rPr>
          <w:rFonts w:cstheme="minorHAnsi"/>
          <w:b/>
        </w:rPr>
        <w:t xml:space="preserve">: </w:t>
      </w:r>
      <w:r w:rsidRPr="00043BD7">
        <w:rPr>
          <w:rFonts w:cstheme="minorHAnsi"/>
          <w:b/>
        </w:rPr>
        <w:t>The Standing</w:t>
      </w:r>
      <w:r>
        <w:rPr>
          <w:rFonts w:cstheme="minorHAnsi"/>
          <w:b/>
        </w:rPr>
        <w:t xml:space="preserve"> Committee took note of the action taken by the Secretariat as reported in document </w:t>
      </w:r>
      <w:r w:rsidRPr="000B2EC5">
        <w:rPr>
          <w:rFonts w:cstheme="minorHAnsi"/>
          <w:b/>
        </w:rPr>
        <w:t>SC62 Doc.15</w:t>
      </w:r>
      <w:r>
        <w:rPr>
          <w:rFonts w:cstheme="minorHAnsi"/>
          <w:b/>
        </w:rPr>
        <w:t>.</w:t>
      </w:r>
    </w:p>
    <w:p w14:paraId="01F3EAFF" w14:textId="77777777" w:rsidR="00F73DE1" w:rsidRDefault="00F73DE1" w:rsidP="00F73DE1">
      <w:pPr>
        <w:spacing w:after="0" w:line="240" w:lineRule="auto"/>
        <w:contextualSpacing/>
        <w:rPr>
          <w:rFonts w:cstheme="minorHAnsi"/>
          <w:b/>
        </w:rPr>
      </w:pPr>
    </w:p>
    <w:p w14:paraId="058AE2AD" w14:textId="2B2F53B2" w:rsidR="00F73DE1" w:rsidRDefault="00F73DE1" w:rsidP="00F73DE1">
      <w:pPr>
        <w:spacing w:after="0" w:line="240" w:lineRule="auto"/>
        <w:contextualSpacing/>
        <w:rPr>
          <w:rFonts w:cstheme="minorHAnsi"/>
          <w:b/>
        </w:rPr>
      </w:pPr>
      <w:r w:rsidRPr="003323C2">
        <w:rPr>
          <w:rFonts w:cstheme="minorHAnsi"/>
          <w:b/>
        </w:rPr>
        <w:t>Decision SC</w:t>
      </w:r>
      <w:r>
        <w:rPr>
          <w:rFonts w:cstheme="minorHAnsi"/>
          <w:b/>
        </w:rPr>
        <w:t>62</w:t>
      </w:r>
      <w:r w:rsidRPr="003323C2">
        <w:rPr>
          <w:rFonts w:cstheme="minorHAnsi"/>
          <w:b/>
        </w:rPr>
        <w:t>-</w:t>
      </w:r>
      <w:r>
        <w:rPr>
          <w:rFonts w:cstheme="minorHAnsi"/>
          <w:b/>
        </w:rPr>
        <w:t>21</w:t>
      </w:r>
      <w:r w:rsidRPr="003323C2">
        <w:rPr>
          <w:rFonts w:cstheme="minorHAnsi"/>
          <w:b/>
        </w:rPr>
        <w:t xml:space="preserve">: </w:t>
      </w:r>
      <w:r w:rsidRPr="00043BD7">
        <w:rPr>
          <w:rFonts w:cstheme="minorHAnsi"/>
          <w:b/>
        </w:rPr>
        <w:t>The Standing</w:t>
      </w:r>
      <w:r>
        <w:rPr>
          <w:rFonts w:cstheme="minorHAnsi"/>
          <w:b/>
        </w:rPr>
        <w:t xml:space="preserve"> </w:t>
      </w:r>
      <w:r w:rsidRPr="0061485E">
        <w:rPr>
          <w:rFonts w:cstheme="minorHAnsi"/>
          <w:b/>
        </w:rPr>
        <w:t>Committee agree</w:t>
      </w:r>
      <w:r>
        <w:rPr>
          <w:rFonts w:cstheme="minorHAnsi"/>
          <w:b/>
        </w:rPr>
        <w:t>d</w:t>
      </w:r>
      <w:r w:rsidRPr="0061485E">
        <w:rPr>
          <w:rFonts w:cstheme="minorHAnsi"/>
          <w:b/>
        </w:rPr>
        <w:t xml:space="preserve"> </w:t>
      </w:r>
      <w:r>
        <w:rPr>
          <w:rFonts w:cstheme="minorHAnsi"/>
          <w:b/>
        </w:rPr>
        <w:t xml:space="preserve">to the three-step process outlined in paragraph 23 </w:t>
      </w:r>
      <w:r w:rsidR="00E24F80">
        <w:rPr>
          <w:rFonts w:cstheme="minorHAnsi"/>
          <w:b/>
        </w:rPr>
        <w:t xml:space="preserve">of document </w:t>
      </w:r>
      <w:r w:rsidR="00E24F80" w:rsidRPr="000B2EC5">
        <w:rPr>
          <w:rFonts w:cstheme="minorHAnsi"/>
          <w:b/>
        </w:rPr>
        <w:t>SC62 Doc.15</w:t>
      </w:r>
      <w:r w:rsidR="00E24F80">
        <w:rPr>
          <w:rFonts w:cstheme="minorHAnsi"/>
          <w:b/>
        </w:rPr>
        <w:t xml:space="preserve"> </w:t>
      </w:r>
      <w:r>
        <w:rPr>
          <w:rFonts w:cstheme="minorHAnsi"/>
          <w:b/>
        </w:rPr>
        <w:t xml:space="preserve">for maintaining the list of current Decisions of the Standing Committee, with the proviso that older Decisions which are excluded from the list do not become defunct, but remain accessible on the Convention website and can be included in the list if they are identified as still current. </w:t>
      </w:r>
    </w:p>
    <w:p w14:paraId="050F5A1E" w14:textId="77777777" w:rsidR="00F73DE1" w:rsidRPr="001340A2" w:rsidRDefault="00F73DE1" w:rsidP="00F73DE1">
      <w:pPr>
        <w:keepNext/>
        <w:spacing w:after="0" w:line="240" w:lineRule="auto"/>
        <w:rPr>
          <w:rFonts w:cstheme="minorHAnsi"/>
        </w:rPr>
      </w:pPr>
    </w:p>
    <w:p w14:paraId="3900F60F" w14:textId="77777777" w:rsidR="00F73DE1" w:rsidRPr="001A5EA8" w:rsidRDefault="00F73DE1" w:rsidP="00F73DE1">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A5EA8">
        <w:rPr>
          <w:rFonts w:cstheme="minorHAnsi"/>
          <w:bCs/>
        </w:rPr>
        <w:t xml:space="preserve">Agenda item 25: </w:t>
      </w:r>
      <w:r w:rsidRPr="001A5EA8">
        <w:t>Report of the Secretariat on the Ramsar Regional Initiatives (continued)</w:t>
      </w:r>
    </w:p>
    <w:p w14:paraId="0CFC17E8" w14:textId="77777777" w:rsidR="00F73DE1" w:rsidRDefault="00F73DE1" w:rsidP="00F73DE1">
      <w:pPr>
        <w:spacing w:after="0" w:line="240" w:lineRule="auto"/>
        <w:ind w:left="567" w:hanging="567"/>
        <w:rPr>
          <w:rFonts w:eastAsia="Calibri" w:cstheme="minorHAnsi"/>
          <w:bCs/>
        </w:rPr>
      </w:pPr>
    </w:p>
    <w:p w14:paraId="3E2DD096" w14:textId="77777777" w:rsidR="00F73DE1" w:rsidRPr="0024245C" w:rsidRDefault="00F73DE1" w:rsidP="00F73DE1">
      <w:pPr>
        <w:spacing w:after="0" w:line="240" w:lineRule="auto"/>
        <w:rPr>
          <w:b/>
        </w:rPr>
      </w:pPr>
      <w:r w:rsidRPr="0024245C">
        <w:rPr>
          <w:rFonts w:cstheme="minorHAnsi"/>
          <w:b/>
        </w:rPr>
        <w:t>Decision SC62-2</w:t>
      </w:r>
      <w:r>
        <w:rPr>
          <w:rFonts w:cstheme="minorHAnsi"/>
          <w:b/>
        </w:rPr>
        <w:t>2</w:t>
      </w:r>
      <w:r w:rsidRPr="0024245C">
        <w:rPr>
          <w:rFonts w:cstheme="minorHAnsi"/>
          <w:b/>
        </w:rPr>
        <w:t xml:space="preserve">: </w:t>
      </w:r>
      <w:r w:rsidRPr="0024245C">
        <w:rPr>
          <w:b/>
        </w:rPr>
        <w:t xml:space="preserve">The Standing Committee endorsed the International Mangrove Centre as a new Ramsar Regional Initiative within the framework of the Convention, </w:t>
      </w:r>
      <w:r>
        <w:rPr>
          <w:b/>
        </w:rPr>
        <w:t xml:space="preserve">with the terms of reference in Attachment 1 to Annex 2 of document </w:t>
      </w:r>
      <w:r w:rsidRPr="0024245C">
        <w:rPr>
          <w:b/>
        </w:rPr>
        <w:t xml:space="preserve">SC62 </w:t>
      </w:r>
      <w:r>
        <w:rPr>
          <w:b/>
        </w:rPr>
        <w:t>D</w:t>
      </w:r>
      <w:r w:rsidRPr="0024245C">
        <w:rPr>
          <w:b/>
        </w:rPr>
        <w:t>oc.25 Rev.2.</w:t>
      </w:r>
    </w:p>
    <w:p w14:paraId="7EA7D1E5" w14:textId="77777777" w:rsidR="00F73DE1" w:rsidRDefault="00F73DE1" w:rsidP="00F73DE1">
      <w:pPr>
        <w:spacing w:after="0" w:line="240" w:lineRule="auto"/>
        <w:ind w:left="567" w:hanging="567"/>
      </w:pPr>
    </w:p>
    <w:p w14:paraId="072C425E" w14:textId="77777777" w:rsidR="00F73DE1" w:rsidRPr="0024245C" w:rsidRDefault="00F73DE1" w:rsidP="00F73DE1">
      <w:pPr>
        <w:spacing w:after="0" w:line="240" w:lineRule="auto"/>
        <w:rPr>
          <w:b/>
        </w:rPr>
      </w:pPr>
      <w:r w:rsidRPr="0024245C">
        <w:rPr>
          <w:rFonts w:cstheme="minorHAnsi"/>
          <w:b/>
        </w:rPr>
        <w:t>Decision SC62-2</w:t>
      </w:r>
      <w:r>
        <w:rPr>
          <w:rFonts w:cstheme="minorHAnsi"/>
          <w:b/>
        </w:rPr>
        <w:t>3</w:t>
      </w:r>
      <w:r w:rsidRPr="0024245C">
        <w:rPr>
          <w:rFonts w:cstheme="minorHAnsi"/>
          <w:b/>
        </w:rPr>
        <w:t xml:space="preserve">: </w:t>
      </w:r>
      <w:r w:rsidRPr="0024245C">
        <w:rPr>
          <w:b/>
        </w:rPr>
        <w:t xml:space="preserve">The Standing Committee took note that a call for proposals for new Ramsar Regional Initiatives had been made in accordance with Resolution XIV.7, with a deadline for responses of 30 September 2023; and that the Secretariat will report the result of the call to the Standing committee at its 63rd meeting. </w:t>
      </w:r>
    </w:p>
    <w:p w14:paraId="47FAD382" w14:textId="77777777" w:rsidR="00F73DE1" w:rsidRDefault="00F73DE1" w:rsidP="00F73DE1">
      <w:pPr>
        <w:spacing w:after="0" w:line="240" w:lineRule="auto"/>
      </w:pPr>
    </w:p>
    <w:p w14:paraId="7C910760" w14:textId="77777777" w:rsidR="00F73DE1" w:rsidRPr="004E15BB" w:rsidRDefault="00F73DE1" w:rsidP="00F73DE1">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4E15BB">
        <w:rPr>
          <w:rFonts w:cstheme="minorHAnsi"/>
          <w:bCs/>
        </w:rPr>
        <w:t>Agenda item 15: Review and consolidation of current Resolutions</w:t>
      </w:r>
      <w:r>
        <w:rPr>
          <w:rFonts w:cstheme="minorHAnsi"/>
          <w:bCs/>
        </w:rPr>
        <w:t xml:space="preserve"> </w:t>
      </w:r>
      <w:r w:rsidRPr="000C39E4">
        <w:t>(continued)</w:t>
      </w:r>
    </w:p>
    <w:p w14:paraId="09F89E6D" w14:textId="77777777" w:rsidR="00F73DE1" w:rsidRDefault="00F73DE1" w:rsidP="00F73DE1">
      <w:pPr>
        <w:spacing w:after="0" w:line="240" w:lineRule="auto"/>
        <w:ind w:left="720" w:hanging="720"/>
      </w:pPr>
    </w:p>
    <w:p w14:paraId="21E26230" w14:textId="77777777" w:rsidR="00F73DE1" w:rsidRDefault="00F73DE1" w:rsidP="00F73DE1">
      <w:pPr>
        <w:spacing w:after="0" w:line="240" w:lineRule="auto"/>
        <w:rPr>
          <w:rFonts w:cstheme="minorHAnsi"/>
          <w:b/>
        </w:rPr>
      </w:pPr>
      <w:r>
        <w:rPr>
          <w:rFonts w:cstheme="minorHAnsi"/>
          <w:b/>
        </w:rPr>
        <w:t>Decision SC62-24: The Standing Committee agreed to the allocation of CHF 33,000 of surplus funds for consultancies to support the process of consolidation and revision of Resolutions.</w:t>
      </w:r>
    </w:p>
    <w:p w14:paraId="04DD93D2" w14:textId="77777777" w:rsidR="00F73DE1" w:rsidRDefault="00F73DE1" w:rsidP="00F73DE1">
      <w:pPr>
        <w:spacing w:after="0" w:line="240" w:lineRule="auto"/>
        <w:rPr>
          <w:rFonts w:cstheme="minorHAnsi"/>
          <w:b/>
        </w:rPr>
      </w:pPr>
    </w:p>
    <w:p w14:paraId="437CA499" w14:textId="77777777" w:rsidR="00F73DE1" w:rsidRDefault="00F73DE1" w:rsidP="00F73DE1">
      <w:pPr>
        <w:spacing w:after="0" w:line="240" w:lineRule="auto"/>
        <w:rPr>
          <w:rFonts w:cs="Calibri"/>
          <w:b/>
        </w:rPr>
      </w:pPr>
      <w:r>
        <w:rPr>
          <w:rFonts w:cstheme="minorHAnsi"/>
          <w:b/>
        </w:rPr>
        <w:t>Decision SC62-25: The Standing Committee selected “Inventories”, “CEPA”, “</w:t>
      </w:r>
      <w:r>
        <w:rPr>
          <w:b/>
        </w:rPr>
        <w:t>Water, water-related, and water-management-related” and “Assessment of wetland values and services” as categories for which draft consolidations will be prepared for consideration at SC63.</w:t>
      </w:r>
    </w:p>
    <w:p w14:paraId="1FC35C19" w14:textId="77777777" w:rsidR="00F73DE1" w:rsidRPr="001340A2" w:rsidRDefault="00F73DE1" w:rsidP="00F73DE1">
      <w:pPr>
        <w:keepNext/>
        <w:spacing w:after="0" w:line="240" w:lineRule="auto"/>
        <w:rPr>
          <w:rFonts w:cstheme="minorHAnsi"/>
        </w:rPr>
      </w:pPr>
    </w:p>
    <w:p w14:paraId="24B0EEBF" w14:textId="77777777" w:rsidR="00F73DE1" w:rsidRPr="000961AA" w:rsidRDefault="00F73DE1" w:rsidP="00F73DE1">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0961AA">
        <w:rPr>
          <w:rFonts w:cstheme="minorHAnsi"/>
          <w:bCs/>
        </w:rPr>
        <w:t>Agenda item 16</w:t>
      </w:r>
      <w:r>
        <w:rPr>
          <w:rFonts w:cstheme="minorHAnsi"/>
          <w:bCs/>
        </w:rPr>
        <w:t>.1</w:t>
      </w:r>
      <w:r w:rsidRPr="000961AA">
        <w:rPr>
          <w:rFonts w:cstheme="minorHAnsi"/>
          <w:bCs/>
        </w:rPr>
        <w:t xml:space="preserve">: </w:t>
      </w:r>
      <w:r w:rsidRPr="000961AA">
        <w:t xml:space="preserve">Communication, capacity building, education, participation and awareness (CEPA): </w:t>
      </w:r>
      <w:r w:rsidRPr="000961AA">
        <w:rPr>
          <w:rFonts w:eastAsia="Calibri" w:cstheme="minorHAnsi"/>
          <w:bCs/>
          <w:iCs/>
        </w:rPr>
        <w:t>Report of the Chair of the CEPA Oversight Panel</w:t>
      </w:r>
    </w:p>
    <w:p w14:paraId="27C1F831" w14:textId="77777777" w:rsidR="00F73DE1" w:rsidRDefault="00F73DE1" w:rsidP="00F73DE1">
      <w:pPr>
        <w:spacing w:after="0" w:line="240" w:lineRule="auto"/>
      </w:pPr>
    </w:p>
    <w:p w14:paraId="575B4225" w14:textId="77777777" w:rsidR="00F73DE1" w:rsidRDefault="00F73DE1" w:rsidP="00F73DE1">
      <w:pPr>
        <w:spacing w:after="0" w:line="240" w:lineRule="auto"/>
        <w:rPr>
          <w:rFonts w:cstheme="minorHAnsi"/>
          <w:b/>
        </w:rPr>
      </w:pPr>
      <w:r>
        <w:rPr>
          <w:rFonts w:cstheme="minorHAnsi"/>
          <w:b/>
        </w:rPr>
        <w:t xml:space="preserve">Decision SC62-26: The Standing Committee took note of the report </w:t>
      </w:r>
      <w:r w:rsidRPr="001E723D">
        <w:rPr>
          <w:rFonts w:cstheme="minorHAnsi"/>
          <w:b/>
        </w:rPr>
        <w:t xml:space="preserve">of the CEPA Oversight Panel </w:t>
      </w:r>
      <w:r>
        <w:rPr>
          <w:rFonts w:cstheme="minorHAnsi"/>
          <w:b/>
        </w:rPr>
        <w:t xml:space="preserve">presented in document SC62 Doc.16.1. </w:t>
      </w:r>
    </w:p>
    <w:p w14:paraId="6305772E" w14:textId="77777777" w:rsidR="00F73DE1" w:rsidRDefault="00F73DE1" w:rsidP="00F73DE1">
      <w:pPr>
        <w:spacing w:after="0" w:line="240" w:lineRule="auto"/>
        <w:ind w:left="720" w:hanging="720"/>
        <w:rPr>
          <w:rFonts w:cstheme="minorHAnsi"/>
          <w:b/>
        </w:rPr>
      </w:pPr>
    </w:p>
    <w:p w14:paraId="63BA1592" w14:textId="77777777" w:rsidR="00F73DE1" w:rsidRPr="000961AA" w:rsidRDefault="00F73DE1" w:rsidP="00F73DE1">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0961AA">
        <w:rPr>
          <w:rFonts w:cstheme="minorHAnsi"/>
          <w:bCs/>
        </w:rPr>
        <w:t xml:space="preserve">Agenda item </w:t>
      </w:r>
      <w:r>
        <w:rPr>
          <w:rFonts w:cstheme="minorHAnsi"/>
          <w:bCs/>
        </w:rPr>
        <w:t>16.2</w:t>
      </w:r>
      <w:r w:rsidRPr="000961AA">
        <w:rPr>
          <w:rFonts w:cstheme="minorHAnsi"/>
          <w:bCs/>
        </w:rPr>
        <w:t xml:space="preserve">: </w:t>
      </w:r>
      <w:r w:rsidRPr="000961AA">
        <w:t xml:space="preserve">Communication, capacity building, education, participation and awareness (CEPA): </w:t>
      </w:r>
      <w:r>
        <w:t>CEPA Oversight Panel work plan, 2023-2025</w:t>
      </w:r>
    </w:p>
    <w:p w14:paraId="6250914F" w14:textId="77777777" w:rsidR="00F73DE1" w:rsidRDefault="00F73DE1" w:rsidP="00F73DE1">
      <w:pPr>
        <w:spacing w:after="0" w:line="240" w:lineRule="auto"/>
      </w:pPr>
    </w:p>
    <w:p w14:paraId="47E36AE0" w14:textId="77777777" w:rsidR="00F73DE1" w:rsidRDefault="00F73DE1" w:rsidP="00F73DE1">
      <w:pPr>
        <w:spacing w:after="0" w:line="240" w:lineRule="auto"/>
        <w:rPr>
          <w:rFonts w:cstheme="minorHAnsi"/>
          <w:b/>
        </w:rPr>
      </w:pPr>
      <w:r>
        <w:rPr>
          <w:rFonts w:cstheme="minorHAnsi"/>
          <w:b/>
        </w:rPr>
        <w:t xml:space="preserve">Decision SC62-27: The Standing Committee took note of the work plan for 2023-2025 </w:t>
      </w:r>
      <w:r w:rsidRPr="001E723D">
        <w:rPr>
          <w:rFonts w:cstheme="minorHAnsi"/>
          <w:b/>
        </w:rPr>
        <w:t xml:space="preserve">of the CEPA Oversight Panel </w:t>
      </w:r>
      <w:r>
        <w:rPr>
          <w:rFonts w:cstheme="minorHAnsi"/>
          <w:b/>
        </w:rPr>
        <w:t xml:space="preserve">presented in document SC62 Doc.16.2. </w:t>
      </w:r>
    </w:p>
    <w:p w14:paraId="7A87F1C8" w14:textId="77777777" w:rsidR="00F73DE1" w:rsidRDefault="00F73DE1" w:rsidP="00F73DE1">
      <w:pPr>
        <w:spacing w:after="0" w:line="240" w:lineRule="auto"/>
        <w:ind w:left="720" w:hanging="720"/>
      </w:pPr>
    </w:p>
    <w:p w14:paraId="4C5380C3" w14:textId="77777777" w:rsidR="00F73DE1" w:rsidRPr="000961AA" w:rsidRDefault="00F73DE1" w:rsidP="00F73DE1">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0961AA">
        <w:rPr>
          <w:rFonts w:cstheme="minorHAnsi"/>
          <w:bCs/>
        </w:rPr>
        <w:t xml:space="preserve">Agenda item </w:t>
      </w:r>
      <w:r>
        <w:rPr>
          <w:rFonts w:cstheme="minorHAnsi"/>
          <w:bCs/>
        </w:rPr>
        <w:t>16.3</w:t>
      </w:r>
      <w:r w:rsidRPr="000961AA">
        <w:rPr>
          <w:rFonts w:cstheme="minorHAnsi"/>
          <w:bCs/>
        </w:rPr>
        <w:t xml:space="preserve">: </w:t>
      </w:r>
      <w:r w:rsidRPr="000961AA">
        <w:t xml:space="preserve">Communication, capacity building, education, participation and awareness (CEPA): </w:t>
      </w:r>
      <w:r w:rsidRPr="001E723D">
        <w:t>Report of the Secretariat on World Wetlands Day</w:t>
      </w:r>
    </w:p>
    <w:p w14:paraId="3A7FA377" w14:textId="77777777" w:rsidR="00F73DE1" w:rsidRDefault="00F73DE1" w:rsidP="00F73DE1">
      <w:pPr>
        <w:spacing w:after="0" w:line="240" w:lineRule="auto"/>
      </w:pPr>
    </w:p>
    <w:p w14:paraId="32C718A9" w14:textId="77777777" w:rsidR="00F73DE1" w:rsidRPr="00F60DE8" w:rsidRDefault="00F73DE1" w:rsidP="00F73DE1">
      <w:pPr>
        <w:spacing w:after="0" w:line="240" w:lineRule="auto"/>
        <w:contextualSpacing/>
        <w:rPr>
          <w:rFonts w:cstheme="minorHAnsi"/>
          <w:b/>
        </w:rPr>
      </w:pPr>
      <w:r>
        <w:rPr>
          <w:rFonts w:cstheme="minorHAnsi"/>
          <w:b/>
        </w:rPr>
        <w:t>Decision SC62-28: The Standing Committee took note of the r</w:t>
      </w:r>
      <w:r w:rsidRPr="00E45A58">
        <w:rPr>
          <w:rFonts w:cstheme="minorHAnsi"/>
          <w:b/>
        </w:rPr>
        <w:t xml:space="preserve">eport of the Secretariat </w:t>
      </w:r>
      <w:r>
        <w:rPr>
          <w:rFonts w:cstheme="minorHAnsi"/>
          <w:b/>
        </w:rPr>
        <w:t>on World Wetlands Day 2023.</w:t>
      </w:r>
    </w:p>
    <w:p w14:paraId="1B09D43A" w14:textId="77777777" w:rsidR="00F73DE1" w:rsidRPr="001340A2" w:rsidRDefault="00F73DE1" w:rsidP="00F73DE1">
      <w:pPr>
        <w:keepNext/>
        <w:spacing w:after="0" w:line="240" w:lineRule="auto"/>
        <w:rPr>
          <w:rFonts w:cstheme="minorHAnsi"/>
        </w:rPr>
      </w:pPr>
    </w:p>
    <w:p w14:paraId="631F7DD3" w14:textId="77777777" w:rsidR="00F73DE1" w:rsidRDefault="00F73DE1" w:rsidP="00F73DE1">
      <w:pPr>
        <w:keepNext/>
        <w:pBdr>
          <w:top w:val="single" w:sz="4" w:space="1" w:color="auto"/>
          <w:left w:val="single" w:sz="4" w:space="4" w:color="auto"/>
          <w:bottom w:val="single" w:sz="4" w:space="1" w:color="auto"/>
          <w:right w:val="single" w:sz="4" w:space="4" w:color="auto"/>
        </w:pBdr>
        <w:spacing w:after="0" w:line="240" w:lineRule="auto"/>
        <w:outlineLvl w:val="0"/>
      </w:pPr>
      <w:r w:rsidRPr="001340A2">
        <w:rPr>
          <w:rFonts w:cstheme="minorHAnsi"/>
          <w:bCs/>
        </w:rPr>
        <w:t xml:space="preserve">Agenda item </w:t>
      </w:r>
      <w:r>
        <w:rPr>
          <w:rFonts w:cstheme="minorHAnsi"/>
          <w:bCs/>
        </w:rPr>
        <w:t>17</w:t>
      </w:r>
      <w:r w:rsidRPr="001340A2">
        <w:rPr>
          <w:rFonts w:cstheme="minorHAnsi"/>
          <w:bCs/>
        </w:rPr>
        <w:t xml:space="preserve">: </w:t>
      </w:r>
      <w:r w:rsidRPr="00763505">
        <w:t>Report of the Youth Working Group</w:t>
      </w:r>
    </w:p>
    <w:p w14:paraId="242AE20E" w14:textId="77777777" w:rsidR="00F73DE1" w:rsidRDefault="00F73DE1" w:rsidP="00F73DE1">
      <w:pPr>
        <w:spacing w:after="0" w:line="240" w:lineRule="auto"/>
        <w:contextualSpacing/>
        <w:rPr>
          <w:rFonts w:cstheme="minorHAnsi"/>
          <w:b/>
        </w:rPr>
      </w:pPr>
    </w:p>
    <w:p w14:paraId="1C2F0B5B" w14:textId="77777777" w:rsidR="00F73DE1" w:rsidRDefault="00F73DE1" w:rsidP="00F73DE1">
      <w:pPr>
        <w:spacing w:after="0" w:line="240" w:lineRule="auto"/>
        <w:contextualSpacing/>
        <w:rPr>
          <w:rFonts w:cstheme="minorHAnsi"/>
          <w:b/>
          <w:bCs/>
        </w:rPr>
      </w:pPr>
      <w:r>
        <w:rPr>
          <w:rFonts w:cstheme="minorHAnsi"/>
          <w:b/>
        </w:rPr>
        <w:t>Decision SC62-29: The Standing Committee took</w:t>
      </w:r>
      <w:r>
        <w:rPr>
          <w:rFonts w:cstheme="minorHAnsi"/>
          <w:b/>
          <w:bCs/>
        </w:rPr>
        <w:t xml:space="preserve"> note of the report of the Youth Working Group as presented in document SC62 Doc.17.</w:t>
      </w:r>
    </w:p>
    <w:p w14:paraId="53D3547C" w14:textId="77777777" w:rsidR="00F73DE1" w:rsidRPr="001340A2" w:rsidRDefault="00F73DE1" w:rsidP="00F73DE1">
      <w:pPr>
        <w:keepNext/>
        <w:spacing w:after="0" w:line="240" w:lineRule="auto"/>
        <w:rPr>
          <w:rFonts w:cstheme="minorHAnsi"/>
        </w:rPr>
      </w:pPr>
    </w:p>
    <w:p w14:paraId="6D5CFC40" w14:textId="77777777" w:rsidR="00F73DE1" w:rsidRDefault="00F73DE1" w:rsidP="00F73DE1">
      <w:pPr>
        <w:keepNext/>
        <w:pBdr>
          <w:top w:val="single" w:sz="4" w:space="1" w:color="auto"/>
          <w:left w:val="single" w:sz="4" w:space="4" w:color="auto"/>
          <w:bottom w:val="single" w:sz="4" w:space="1" w:color="auto"/>
          <w:right w:val="single" w:sz="4" w:space="4" w:color="auto"/>
        </w:pBdr>
        <w:spacing w:after="0" w:line="240" w:lineRule="auto"/>
        <w:outlineLvl w:val="0"/>
      </w:pPr>
      <w:r w:rsidRPr="001340A2">
        <w:rPr>
          <w:rFonts w:cstheme="minorHAnsi"/>
          <w:bCs/>
        </w:rPr>
        <w:t xml:space="preserve">Agenda item </w:t>
      </w:r>
      <w:r>
        <w:rPr>
          <w:rFonts w:cstheme="minorHAnsi"/>
          <w:bCs/>
        </w:rPr>
        <w:t>18</w:t>
      </w:r>
      <w:r w:rsidRPr="001340A2">
        <w:rPr>
          <w:rFonts w:cstheme="minorHAnsi"/>
          <w:bCs/>
        </w:rPr>
        <w:t xml:space="preserve">: </w:t>
      </w:r>
      <w:r w:rsidRPr="004E1249">
        <w:t>Resource Mobilization Work Plan 2023-2025</w:t>
      </w:r>
    </w:p>
    <w:p w14:paraId="2561A3C2" w14:textId="77777777" w:rsidR="00F73DE1" w:rsidRDefault="00F73DE1" w:rsidP="00F73DE1">
      <w:pPr>
        <w:spacing w:after="0" w:line="240" w:lineRule="auto"/>
        <w:contextualSpacing/>
        <w:rPr>
          <w:rFonts w:cstheme="minorHAnsi"/>
          <w:b/>
        </w:rPr>
      </w:pPr>
    </w:p>
    <w:p w14:paraId="2DD40EC9" w14:textId="77777777" w:rsidR="00F73DE1" w:rsidRPr="004E1249" w:rsidRDefault="00F73DE1" w:rsidP="00F73DE1">
      <w:pPr>
        <w:spacing w:after="0" w:line="240" w:lineRule="auto"/>
      </w:pPr>
      <w:r>
        <w:rPr>
          <w:rFonts w:cstheme="minorHAnsi"/>
          <w:b/>
        </w:rPr>
        <w:t xml:space="preserve">Decision SC62-30: The Standing Committee </w:t>
      </w:r>
      <w:r w:rsidRPr="00CB6AD6">
        <w:rPr>
          <w:rFonts w:cstheme="minorHAnsi"/>
          <w:b/>
          <w:bCs/>
        </w:rPr>
        <w:t>approve</w:t>
      </w:r>
      <w:r>
        <w:rPr>
          <w:rFonts w:cstheme="minorHAnsi"/>
          <w:b/>
          <w:bCs/>
        </w:rPr>
        <w:t>d</w:t>
      </w:r>
      <w:r w:rsidRPr="00CB6AD6">
        <w:rPr>
          <w:rFonts w:cstheme="minorHAnsi"/>
          <w:b/>
          <w:bCs/>
        </w:rPr>
        <w:t xml:space="preserve"> the Resourc</w:t>
      </w:r>
      <w:r>
        <w:rPr>
          <w:rFonts w:cstheme="minorHAnsi"/>
          <w:b/>
          <w:bCs/>
        </w:rPr>
        <w:t>e Mobilization Work Plan for 2023-</w:t>
      </w:r>
      <w:r w:rsidRPr="00CB6AD6">
        <w:rPr>
          <w:rFonts w:cstheme="minorHAnsi"/>
          <w:b/>
          <w:bCs/>
        </w:rPr>
        <w:t xml:space="preserve">2025 as presented in </w:t>
      </w:r>
      <w:r>
        <w:rPr>
          <w:rFonts w:cstheme="minorHAnsi"/>
          <w:b/>
          <w:bCs/>
        </w:rPr>
        <w:t xml:space="preserve">document </w:t>
      </w:r>
      <w:r w:rsidRPr="00CB6AD6">
        <w:rPr>
          <w:rFonts w:cstheme="minorHAnsi"/>
          <w:b/>
          <w:bCs/>
        </w:rPr>
        <w:t>SC62 Doc.18</w:t>
      </w:r>
      <w:r>
        <w:rPr>
          <w:rFonts w:cstheme="minorHAnsi"/>
          <w:b/>
          <w:bCs/>
        </w:rPr>
        <w:t>.</w:t>
      </w:r>
    </w:p>
    <w:p w14:paraId="470D5126" w14:textId="77777777" w:rsidR="00DB549D" w:rsidRPr="001340A2" w:rsidRDefault="00DB549D" w:rsidP="00DB549D">
      <w:pPr>
        <w:keepNext/>
        <w:spacing w:after="0" w:line="240" w:lineRule="auto"/>
        <w:rPr>
          <w:rFonts w:cstheme="minorHAnsi"/>
        </w:rPr>
      </w:pPr>
    </w:p>
    <w:p w14:paraId="64EEEDC7" w14:textId="77777777" w:rsidR="00DB549D"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pPr>
      <w:r w:rsidRPr="001340A2">
        <w:rPr>
          <w:rFonts w:cstheme="minorHAnsi"/>
          <w:bCs/>
        </w:rPr>
        <w:t xml:space="preserve">Agenda item </w:t>
      </w:r>
      <w:r>
        <w:rPr>
          <w:rFonts w:cstheme="minorHAnsi"/>
          <w:bCs/>
        </w:rPr>
        <w:t>19</w:t>
      </w:r>
      <w:r w:rsidRPr="001340A2">
        <w:rPr>
          <w:rFonts w:cstheme="minorHAnsi"/>
          <w:bCs/>
        </w:rPr>
        <w:t xml:space="preserve">: </w:t>
      </w:r>
      <w:r w:rsidRPr="006A22B0">
        <w:t>Report of the Chair of the Scientific and Technical Review Panel, including work plan for 2023-2025</w:t>
      </w:r>
    </w:p>
    <w:p w14:paraId="3AC93A0A" w14:textId="77777777" w:rsidR="00DB549D" w:rsidRDefault="00DB549D" w:rsidP="00D277FA">
      <w:pPr>
        <w:spacing w:after="0" w:line="240" w:lineRule="auto"/>
        <w:ind w:left="720" w:hanging="720"/>
        <w:rPr>
          <w:rFonts w:cstheme="minorHAnsi"/>
          <w:b/>
        </w:rPr>
      </w:pPr>
    </w:p>
    <w:p w14:paraId="54C45657" w14:textId="77777777" w:rsidR="00DB549D" w:rsidRDefault="00DB549D" w:rsidP="00DB549D">
      <w:pPr>
        <w:spacing w:after="0" w:line="240" w:lineRule="auto"/>
        <w:contextualSpacing/>
        <w:rPr>
          <w:rFonts w:cstheme="minorHAnsi"/>
          <w:b/>
        </w:rPr>
      </w:pPr>
      <w:r w:rsidRPr="003323C2">
        <w:rPr>
          <w:rFonts w:cstheme="minorHAnsi"/>
          <w:b/>
        </w:rPr>
        <w:t>Decision SC</w:t>
      </w:r>
      <w:r>
        <w:rPr>
          <w:rFonts w:cstheme="minorHAnsi"/>
          <w:b/>
        </w:rPr>
        <w:t>62</w:t>
      </w:r>
      <w:r w:rsidRPr="003323C2">
        <w:rPr>
          <w:rFonts w:cstheme="minorHAnsi"/>
          <w:b/>
        </w:rPr>
        <w:t>-</w:t>
      </w:r>
      <w:r>
        <w:rPr>
          <w:rFonts w:cstheme="minorHAnsi"/>
          <w:b/>
        </w:rPr>
        <w:t>31</w:t>
      </w:r>
      <w:r w:rsidRPr="003323C2">
        <w:rPr>
          <w:rFonts w:cstheme="minorHAnsi"/>
          <w:b/>
        </w:rPr>
        <w:t xml:space="preserve">: </w:t>
      </w:r>
      <w:r w:rsidRPr="00043BD7">
        <w:rPr>
          <w:rFonts w:cstheme="minorHAnsi"/>
          <w:b/>
        </w:rPr>
        <w:t xml:space="preserve">The Standing Committee </w:t>
      </w:r>
      <w:r>
        <w:rPr>
          <w:rFonts w:cstheme="minorHAnsi"/>
          <w:b/>
        </w:rPr>
        <w:t>noted the report of the STRP Chair.</w:t>
      </w:r>
    </w:p>
    <w:p w14:paraId="0B31371A" w14:textId="77777777" w:rsidR="00DB549D" w:rsidRDefault="00DB549D" w:rsidP="00DB549D">
      <w:pPr>
        <w:spacing w:after="0" w:line="240" w:lineRule="auto"/>
        <w:contextualSpacing/>
        <w:rPr>
          <w:rFonts w:cstheme="minorHAnsi"/>
          <w:b/>
        </w:rPr>
      </w:pPr>
    </w:p>
    <w:p w14:paraId="7A1B9EB5" w14:textId="77777777" w:rsidR="00DB549D" w:rsidRDefault="00DB549D" w:rsidP="00DB549D">
      <w:pPr>
        <w:spacing w:after="0" w:line="240" w:lineRule="auto"/>
        <w:contextualSpacing/>
        <w:rPr>
          <w:rFonts w:cstheme="minorHAnsi"/>
          <w:b/>
        </w:rPr>
      </w:pPr>
      <w:r>
        <w:rPr>
          <w:rFonts w:cstheme="minorHAnsi"/>
          <w:b/>
        </w:rPr>
        <w:t>Decision SC62-32: The Standing Committee</w:t>
      </w:r>
      <w:r w:rsidRPr="009E1F33">
        <w:t xml:space="preserve"> </w:t>
      </w:r>
      <w:r w:rsidRPr="009E1F33">
        <w:rPr>
          <w:rFonts w:cstheme="minorHAnsi"/>
          <w:b/>
        </w:rPr>
        <w:t>note</w:t>
      </w:r>
      <w:r>
        <w:rPr>
          <w:rFonts w:cstheme="minorHAnsi"/>
          <w:b/>
        </w:rPr>
        <w:t>d</w:t>
      </w:r>
      <w:r w:rsidRPr="009E1F33">
        <w:rPr>
          <w:rFonts w:cstheme="minorHAnsi"/>
          <w:b/>
        </w:rPr>
        <w:t xml:space="preserve"> the intersessionally approved STRP 2023-2025 workplan contained in Annex 1</w:t>
      </w:r>
      <w:r>
        <w:rPr>
          <w:rFonts w:cstheme="minorHAnsi"/>
          <w:b/>
        </w:rPr>
        <w:t xml:space="preserve"> of document </w:t>
      </w:r>
      <w:r w:rsidRPr="009E1F33">
        <w:rPr>
          <w:rFonts w:cstheme="minorHAnsi"/>
          <w:b/>
        </w:rPr>
        <w:t>SC62 Doc.19 Rev.1</w:t>
      </w:r>
      <w:r>
        <w:rPr>
          <w:rFonts w:cstheme="minorHAnsi"/>
          <w:b/>
        </w:rPr>
        <w:t>.</w:t>
      </w:r>
    </w:p>
    <w:p w14:paraId="10A483C9" w14:textId="77777777" w:rsidR="00DB549D" w:rsidRDefault="00DB549D" w:rsidP="00DB549D">
      <w:pPr>
        <w:spacing w:after="0" w:line="240" w:lineRule="auto"/>
        <w:contextualSpacing/>
        <w:rPr>
          <w:rFonts w:cstheme="minorHAnsi"/>
          <w:b/>
        </w:rPr>
      </w:pPr>
    </w:p>
    <w:p w14:paraId="6637360B" w14:textId="77777777" w:rsidR="00DB549D"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pPr>
      <w:r w:rsidRPr="001340A2">
        <w:rPr>
          <w:rFonts w:cstheme="minorHAnsi"/>
          <w:bCs/>
        </w:rPr>
        <w:t xml:space="preserve">Agenda item </w:t>
      </w:r>
      <w:r>
        <w:rPr>
          <w:rFonts w:cstheme="minorHAnsi"/>
          <w:bCs/>
        </w:rPr>
        <w:t>9</w:t>
      </w:r>
      <w:r w:rsidRPr="001340A2">
        <w:rPr>
          <w:rFonts w:cstheme="minorHAnsi"/>
          <w:bCs/>
        </w:rPr>
        <w:t xml:space="preserve">: </w:t>
      </w:r>
      <w:r w:rsidRPr="00512596">
        <w:t>Urgent challenges to the wise use of wetlands to receive enhanced attention: Update on wetlands inventories</w:t>
      </w:r>
    </w:p>
    <w:p w14:paraId="5170A320" w14:textId="77777777" w:rsidR="00DB549D" w:rsidRDefault="00DB549D" w:rsidP="00DB549D">
      <w:pPr>
        <w:spacing w:after="0" w:line="240" w:lineRule="auto"/>
        <w:ind w:left="720" w:hanging="720"/>
      </w:pPr>
    </w:p>
    <w:p w14:paraId="692EF4F7" w14:textId="77777777" w:rsidR="00DB549D" w:rsidRDefault="00DB549D" w:rsidP="00DB549D">
      <w:pPr>
        <w:spacing w:after="0" w:line="240" w:lineRule="auto"/>
        <w:contextualSpacing/>
        <w:rPr>
          <w:rFonts w:cstheme="minorHAnsi"/>
          <w:b/>
        </w:rPr>
      </w:pPr>
      <w:r w:rsidRPr="003323C2">
        <w:rPr>
          <w:rFonts w:cstheme="minorHAnsi"/>
          <w:b/>
        </w:rPr>
        <w:t>Decision SC</w:t>
      </w:r>
      <w:r>
        <w:rPr>
          <w:rFonts w:cstheme="minorHAnsi"/>
          <w:b/>
        </w:rPr>
        <w:t>62</w:t>
      </w:r>
      <w:r w:rsidRPr="003323C2">
        <w:rPr>
          <w:rFonts w:cstheme="minorHAnsi"/>
          <w:b/>
        </w:rPr>
        <w:t>-</w:t>
      </w:r>
      <w:r>
        <w:rPr>
          <w:rFonts w:cstheme="minorHAnsi"/>
          <w:b/>
        </w:rPr>
        <w:t>33</w:t>
      </w:r>
      <w:r w:rsidRPr="003323C2">
        <w:rPr>
          <w:rFonts w:cstheme="minorHAnsi"/>
          <w:b/>
        </w:rPr>
        <w:t xml:space="preserve">: </w:t>
      </w:r>
      <w:r w:rsidRPr="00043BD7">
        <w:rPr>
          <w:rFonts w:cstheme="minorHAnsi"/>
          <w:b/>
        </w:rPr>
        <w:t>The Standing Committee</w:t>
      </w:r>
      <w:r>
        <w:rPr>
          <w:rFonts w:cstheme="minorHAnsi"/>
          <w:b/>
        </w:rPr>
        <w:t xml:space="preserve"> noted the progress of Contracting Parties in completing national wetland inventories and the lessons learned.</w:t>
      </w:r>
    </w:p>
    <w:p w14:paraId="4978889D" w14:textId="77777777" w:rsidR="00DB549D" w:rsidRDefault="00DB549D" w:rsidP="00DB549D">
      <w:pPr>
        <w:spacing w:after="0" w:line="240" w:lineRule="auto"/>
        <w:contextualSpacing/>
        <w:rPr>
          <w:rFonts w:cstheme="minorHAnsi"/>
          <w:b/>
        </w:rPr>
      </w:pPr>
    </w:p>
    <w:p w14:paraId="301DC38E" w14:textId="61A5A6EC" w:rsidR="00DB549D" w:rsidRDefault="00DB549D" w:rsidP="00DB549D">
      <w:pPr>
        <w:spacing w:after="0" w:line="240" w:lineRule="auto"/>
        <w:contextualSpacing/>
        <w:rPr>
          <w:rFonts w:cstheme="minorHAnsi"/>
          <w:b/>
        </w:rPr>
      </w:pPr>
      <w:r w:rsidRPr="003323C2">
        <w:rPr>
          <w:rFonts w:cstheme="minorHAnsi"/>
          <w:b/>
        </w:rPr>
        <w:t>Decision SC</w:t>
      </w:r>
      <w:r>
        <w:rPr>
          <w:rFonts w:cstheme="minorHAnsi"/>
          <w:b/>
        </w:rPr>
        <w:t>62</w:t>
      </w:r>
      <w:r w:rsidRPr="003323C2">
        <w:rPr>
          <w:rFonts w:cstheme="minorHAnsi"/>
          <w:b/>
        </w:rPr>
        <w:t>-</w:t>
      </w:r>
      <w:r>
        <w:rPr>
          <w:rFonts w:cstheme="minorHAnsi"/>
          <w:b/>
        </w:rPr>
        <w:t>34</w:t>
      </w:r>
      <w:r w:rsidRPr="003323C2">
        <w:rPr>
          <w:rFonts w:cstheme="minorHAnsi"/>
          <w:b/>
        </w:rPr>
        <w:t xml:space="preserve">: </w:t>
      </w:r>
      <w:r w:rsidRPr="00043BD7">
        <w:rPr>
          <w:rFonts w:cstheme="minorHAnsi"/>
          <w:b/>
        </w:rPr>
        <w:t>The Standing Committee</w:t>
      </w:r>
      <w:r>
        <w:rPr>
          <w:rFonts w:cstheme="minorHAnsi"/>
          <w:b/>
        </w:rPr>
        <w:t xml:space="preserve"> noted the next steps in the support provided by the Secretariat to Contracting Parties on the completion of national wetland inventories, taking into account the amendments proposed. </w:t>
      </w:r>
    </w:p>
    <w:p w14:paraId="00961880" w14:textId="77777777" w:rsidR="00DB549D" w:rsidRPr="001340A2" w:rsidRDefault="00DB549D" w:rsidP="00DB549D">
      <w:pPr>
        <w:keepNext/>
        <w:spacing w:after="0" w:line="240" w:lineRule="auto"/>
        <w:rPr>
          <w:rFonts w:cstheme="minorHAnsi"/>
        </w:rPr>
      </w:pPr>
    </w:p>
    <w:p w14:paraId="19369495" w14:textId="77777777" w:rsidR="00DB549D"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pPr>
      <w:r w:rsidRPr="001340A2">
        <w:rPr>
          <w:rFonts w:cstheme="minorHAnsi"/>
          <w:bCs/>
        </w:rPr>
        <w:t xml:space="preserve">Agenda item </w:t>
      </w:r>
      <w:r>
        <w:rPr>
          <w:rFonts w:cstheme="minorHAnsi"/>
          <w:bCs/>
        </w:rPr>
        <w:t>8.2</w:t>
      </w:r>
      <w:r w:rsidRPr="001340A2">
        <w:rPr>
          <w:rFonts w:cstheme="minorHAnsi"/>
          <w:bCs/>
        </w:rPr>
        <w:t xml:space="preserve">: </w:t>
      </w:r>
      <w:r w:rsidRPr="00113808">
        <w:rPr>
          <w:rFonts w:cstheme="minorHAnsi"/>
          <w:bCs/>
        </w:rPr>
        <w:t>Financial and budgetary matters</w:t>
      </w:r>
      <w:r>
        <w:rPr>
          <w:rFonts w:cstheme="minorHAnsi"/>
          <w:bCs/>
        </w:rPr>
        <w:t xml:space="preserve"> – R</w:t>
      </w:r>
      <w:r w:rsidRPr="00113808">
        <w:rPr>
          <w:rFonts w:cstheme="minorHAnsi"/>
          <w:bCs/>
        </w:rPr>
        <w:t>e</w:t>
      </w:r>
      <w:r>
        <w:rPr>
          <w:rFonts w:cstheme="minorHAnsi"/>
          <w:bCs/>
        </w:rPr>
        <w:t>port of the Subgroup on Finance:</w:t>
      </w:r>
      <w:r w:rsidRPr="00113808">
        <w:rPr>
          <w:rFonts w:cstheme="minorHAnsi"/>
          <w:bCs/>
        </w:rPr>
        <w:t xml:space="preserve"> </w:t>
      </w:r>
      <w:r>
        <w:rPr>
          <w:rFonts w:cstheme="minorHAnsi"/>
          <w:bCs/>
        </w:rPr>
        <w:br/>
        <w:t>Status of annual contributions</w:t>
      </w:r>
    </w:p>
    <w:p w14:paraId="2229B184" w14:textId="77777777" w:rsidR="00DB549D" w:rsidRDefault="00DB549D" w:rsidP="00DB549D">
      <w:pPr>
        <w:spacing w:after="0" w:line="240" w:lineRule="auto"/>
        <w:ind w:left="567" w:hanging="567"/>
        <w:rPr>
          <w:rFonts w:eastAsia="Calibri" w:cstheme="minorHAnsi"/>
          <w:bCs/>
        </w:rPr>
      </w:pPr>
    </w:p>
    <w:p w14:paraId="348BE49A" w14:textId="77777777" w:rsidR="00DB549D" w:rsidRDefault="00DB549D" w:rsidP="00DB549D">
      <w:pPr>
        <w:spacing w:after="0" w:line="240" w:lineRule="auto"/>
        <w:contextualSpacing/>
        <w:rPr>
          <w:rFonts w:cstheme="minorHAnsi"/>
          <w:b/>
        </w:rPr>
      </w:pPr>
      <w:r w:rsidRPr="003323C2">
        <w:rPr>
          <w:rFonts w:cstheme="minorHAnsi"/>
          <w:b/>
        </w:rPr>
        <w:t>Decision SC</w:t>
      </w:r>
      <w:r>
        <w:rPr>
          <w:rFonts w:cstheme="minorHAnsi"/>
          <w:b/>
        </w:rPr>
        <w:t>62</w:t>
      </w:r>
      <w:r w:rsidRPr="003323C2">
        <w:rPr>
          <w:rFonts w:cstheme="minorHAnsi"/>
          <w:b/>
        </w:rPr>
        <w:t>-</w:t>
      </w:r>
      <w:r>
        <w:rPr>
          <w:rFonts w:cstheme="minorHAnsi"/>
          <w:b/>
        </w:rPr>
        <w:t>35</w:t>
      </w:r>
      <w:r w:rsidRPr="003323C2">
        <w:rPr>
          <w:rFonts w:cstheme="minorHAnsi"/>
          <w:b/>
        </w:rPr>
        <w:t xml:space="preserve">: </w:t>
      </w:r>
      <w:r w:rsidRPr="00043BD7">
        <w:rPr>
          <w:rFonts w:cstheme="minorHAnsi"/>
          <w:b/>
        </w:rPr>
        <w:t>The Standing Committee</w:t>
      </w:r>
      <w:r>
        <w:rPr>
          <w:rFonts w:cstheme="minorHAnsi"/>
          <w:b/>
        </w:rPr>
        <w:t xml:space="preserve"> took note of the status of annual contributions.</w:t>
      </w:r>
    </w:p>
    <w:p w14:paraId="75CDC501" w14:textId="77777777" w:rsidR="00DB549D" w:rsidRDefault="00DB549D" w:rsidP="00DB549D">
      <w:pPr>
        <w:spacing w:after="0" w:line="240" w:lineRule="auto"/>
        <w:contextualSpacing/>
        <w:rPr>
          <w:rFonts w:cstheme="minorHAnsi"/>
          <w:b/>
        </w:rPr>
      </w:pPr>
    </w:p>
    <w:p w14:paraId="720BA821" w14:textId="77777777" w:rsidR="00DB549D" w:rsidRDefault="00DB549D" w:rsidP="00DB549D">
      <w:pPr>
        <w:spacing w:after="0" w:line="240" w:lineRule="auto"/>
        <w:contextualSpacing/>
        <w:rPr>
          <w:rFonts w:cstheme="minorHAnsi"/>
          <w:b/>
        </w:rPr>
      </w:pPr>
      <w:r w:rsidRPr="003323C2">
        <w:rPr>
          <w:rFonts w:cstheme="minorHAnsi"/>
          <w:b/>
        </w:rPr>
        <w:t>Decision SC</w:t>
      </w:r>
      <w:r>
        <w:rPr>
          <w:rFonts w:cstheme="minorHAnsi"/>
          <w:b/>
        </w:rPr>
        <w:t>62</w:t>
      </w:r>
      <w:r w:rsidRPr="003323C2">
        <w:rPr>
          <w:rFonts w:cstheme="minorHAnsi"/>
          <w:b/>
        </w:rPr>
        <w:t>-</w:t>
      </w:r>
      <w:r>
        <w:rPr>
          <w:rFonts w:cstheme="minorHAnsi"/>
          <w:b/>
        </w:rPr>
        <w:t>36</w:t>
      </w:r>
      <w:r w:rsidRPr="003323C2">
        <w:rPr>
          <w:rFonts w:cstheme="minorHAnsi"/>
          <w:b/>
        </w:rPr>
        <w:t xml:space="preserve">: </w:t>
      </w:r>
      <w:r w:rsidRPr="00043BD7">
        <w:rPr>
          <w:rFonts w:cstheme="minorHAnsi"/>
          <w:b/>
        </w:rPr>
        <w:t>The Standing Committee</w:t>
      </w:r>
      <w:r>
        <w:rPr>
          <w:rFonts w:cstheme="minorHAnsi"/>
          <w:b/>
        </w:rPr>
        <w:t xml:space="preserve"> noted the actions listed in paragraphs 12 and 13 of document SC62 Doc 8.2 on group confirmation of outstanding contributions as part of the audit process.</w:t>
      </w:r>
    </w:p>
    <w:p w14:paraId="443DE210" w14:textId="77777777" w:rsidR="00DB549D" w:rsidRDefault="00DB549D" w:rsidP="00DB549D">
      <w:pPr>
        <w:spacing w:after="0" w:line="240" w:lineRule="auto"/>
        <w:contextualSpacing/>
        <w:rPr>
          <w:rFonts w:cstheme="minorHAnsi"/>
          <w:b/>
        </w:rPr>
      </w:pPr>
    </w:p>
    <w:p w14:paraId="15166532" w14:textId="77777777" w:rsidR="00DB549D" w:rsidRDefault="00DB549D" w:rsidP="00DB549D">
      <w:pPr>
        <w:spacing w:after="0" w:line="240" w:lineRule="auto"/>
        <w:contextualSpacing/>
        <w:rPr>
          <w:rFonts w:cstheme="minorHAnsi"/>
          <w:b/>
        </w:rPr>
      </w:pPr>
      <w:r w:rsidRPr="003323C2">
        <w:rPr>
          <w:rFonts w:cstheme="minorHAnsi"/>
          <w:b/>
        </w:rPr>
        <w:t>Decision SC</w:t>
      </w:r>
      <w:r>
        <w:rPr>
          <w:rFonts w:cstheme="minorHAnsi"/>
          <w:b/>
        </w:rPr>
        <w:t>62</w:t>
      </w:r>
      <w:r w:rsidRPr="003323C2">
        <w:rPr>
          <w:rFonts w:cstheme="minorHAnsi"/>
          <w:b/>
        </w:rPr>
        <w:t>-</w:t>
      </w:r>
      <w:r>
        <w:rPr>
          <w:rFonts w:cstheme="minorHAnsi"/>
          <w:b/>
        </w:rPr>
        <w:t>37</w:t>
      </w:r>
      <w:r w:rsidRPr="003323C2">
        <w:rPr>
          <w:rFonts w:cstheme="minorHAnsi"/>
          <w:b/>
        </w:rPr>
        <w:t xml:space="preserve">: </w:t>
      </w:r>
      <w:r w:rsidRPr="00043BD7">
        <w:rPr>
          <w:rFonts w:cstheme="minorHAnsi"/>
          <w:b/>
        </w:rPr>
        <w:t>The Standing Committee</w:t>
      </w:r>
      <w:r>
        <w:rPr>
          <w:rFonts w:cstheme="minorHAnsi"/>
          <w:b/>
        </w:rPr>
        <w:t xml:space="preserve"> noted the actions listed in paragraphs 15, 17, 18 and 19 of document SC62 Doc 8.2 to continue encouraging the payment of annual contributions by the Contracting Parties. </w:t>
      </w:r>
    </w:p>
    <w:p w14:paraId="1734D96D" w14:textId="77777777" w:rsidR="00DB549D" w:rsidRDefault="00DB549D" w:rsidP="00DB549D">
      <w:pPr>
        <w:spacing w:after="0" w:line="240" w:lineRule="auto"/>
        <w:contextualSpacing/>
        <w:rPr>
          <w:rFonts w:cstheme="minorHAnsi"/>
          <w:b/>
        </w:rPr>
      </w:pPr>
    </w:p>
    <w:p w14:paraId="6185EF28" w14:textId="77777777" w:rsidR="00DB549D" w:rsidRDefault="00DB549D" w:rsidP="00DB549D">
      <w:pPr>
        <w:spacing w:after="0" w:line="240" w:lineRule="auto"/>
        <w:contextualSpacing/>
        <w:rPr>
          <w:rFonts w:cstheme="minorHAnsi"/>
          <w:b/>
        </w:rPr>
      </w:pPr>
      <w:r w:rsidRPr="003323C2">
        <w:rPr>
          <w:rFonts w:cstheme="minorHAnsi"/>
          <w:b/>
        </w:rPr>
        <w:t>Decision SC</w:t>
      </w:r>
      <w:r>
        <w:rPr>
          <w:rFonts w:cstheme="minorHAnsi"/>
          <w:b/>
        </w:rPr>
        <w:t>62</w:t>
      </w:r>
      <w:r w:rsidRPr="003323C2">
        <w:rPr>
          <w:rFonts w:cstheme="minorHAnsi"/>
          <w:b/>
        </w:rPr>
        <w:t>-</w:t>
      </w:r>
      <w:r>
        <w:rPr>
          <w:rFonts w:cstheme="minorHAnsi"/>
          <w:b/>
        </w:rPr>
        <w:t>38</w:t>
      </w:r>
      <w:r w:rsidRPr="003323C2">
        <w:rPr>
          <w:rFonts w:cstheme="minorHAnsi"/>
          <w:b/>
        </w:rPr>
        <w:t xml:space="preserve">: </w:t>
      </w:r>
      <w:r w:rsidRPr="00043BD7">
        <w:rPr>
          <w:rFonts w:cstheme="minorHAnsi"/>
          <w:b/>
        </w:rPr>
        <w:t>The Standing Committee</w:t>
      </w:r>
      <w:r>
        <w:rPr>
          <w:rFonts w:cstheme="minorHAnsi"/>
          <w:b/>
        </w:rPr>
        <w:t xml:space="preserve"> noted the changes in annual contributions receivable and in the annual provision against contributions receivable.</w:t>
      </w:r>
    </w:p>
    <w:p w14:paraId="6A34B316" w14:textId="77777777" w:rsidR="00DB549D" w:rsidRDefault="00DB549D" w:rsidP="00DB549D">
      <w:pPr>
        <w:spacing w:after="0" w:line="240" w:lineRule="auto"/>
        <w:contextualSpacing/>
        <w:rPr>
          <w:rFonts w:cstheme="minorHAnsi"/>
          <w:b/>
        </w:rPr>
      </w:pPr>
    </w:p>
    <w:p w14:paraId="02C73FDE" w14:textId="77777777" w:rsidR="00DB549D" w:rsidRDefault="00DB549D" w:rsidP="00DB549D">
      <w:pPr>
        <w:spacing w:after="0" w:line="240" w:lineRule="auto"/>
        <w:rPr>
          <w:b/>
          <w:bCs/>
        </w:rPr>
      </w:pPr>
      <w:r w:rsidRPr="00C63C97">
        <w:rPr>
          <w:b/>
          <w:bCs/>
        </w:rPr>
        <w:t>Decision SC62-</w:t>
      </w:r>
      <w:r>
        <w:rPr>
          <w:b/>
          <w:bCs/>
        </w:rPr>
        <w:t>39</w:t>
      </w:r>
      <w:r w:rsidRPr="00C63C97">
        <w:rPr>
          <w:b/>
          <w:bCs/>
        </w:rPr>
        <w:t>: The Standing Committee noted the status of the voluntary contributions received from the Contracting Parties in the Africa region outlined in paragraph 22 of document SC62 Doc.8.2.</w:t>
      </w:r>
    </w:p>
    <w:p w14:paraId="30E9D834" w14:textId="77777777" w:rsidR="00DB549D" w:rsidRPr="00C63C97" w:rsidRDefault="00DB549D" w:rsidP="00DB549D">
      <w:pPr>
        <w:spacing w:after="0" w:line="240" w:lineRule="auto"/>
        <w:rPr>
          <w:b/>
          <w:bCs/>
        </w:rPr>
      </w:pPr>
    </w:p>
    <w:p w14:paraId="16181159" w14:textId="77777777" w:rsidR="00DB549D"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pPr>
      <w:r w:rsidRPr="001340A2">
        <w:rPr>
          <w:rFonts w:cstheme="minorHAnsi"/>
          <w:bCs/>
        </w:rPr>
        <w:t xml:space="preserve">Agenda item </w:t>
      </w:r>
      <w:r>
        <w:rPr>
          <w:rFonts w:cstheme="minorHAnsi"/>
          <w:bCs/>
        </w:rPr>
        <w:t>8.1</w:t>
      </w:r>
      <w:r w:rsidRPr="001340A2">
        <w:rPr>
          <w:rFonts w:cstheme="minorHAnsi"/>
          <w:bCs/>
        </w:rPr>
        <w:t xml:space="preserve">: </w:t>
      </w:r>
      <w:r>
        <w:rPr>
          <w:rFonts w:cstheme="minorHAnsi"/>
          <w:bCs/>
        </w:rPr>
        <w:t>F</w:t>
      </w:r>
      <w:r w:rsidRPr="007620AC">
        <w:t xml:space="preserve">inancial and budgetary matters – </w:t>
      </w:r>
      <w:r>
        <w:t>report of the Subgroup on Finance:</w:t>
      </w:r>
    </w:p>
    <w:p w14:paraId="345E2E44" w14:textId="77777777" w:rsidR="00DB549D"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E8177B">
        <w:t>Report on financial matters for 2022 and 2023</w:t>
      </w:r>
    </w:p>
    <w:p w14:paraId="45F3B14B" w14:textId="77777777" w:rsidR="00DB549D" w:rsidRDefault="00DB549D" w:rsidP="00DB549D">
      <w:pPr>
        <w:spacing w:after="0" w:line="240" w:lineRule="auto"/>
        <w:rPr>
          <w:rFonts w:eastAsia="Calibri" w:cstheme="minorHAnsi"/>
          <w:bCs/>
        </w:rPr>
      </w:pPr>
    </w:p>
    <w:p w14:paraId="30E573D2" w14:textId="77777777" w:rsidR="00DB549D" w:rsidRDefault="00DB549D" w:rsidP="00DB549D">
      <w:pPr>
        <w:spacing w:after="0" w:line="240" w:lineRule="auto"/>
        <w:contextualSpacing/>
        <w:rPr>
          <w:rFonts w:cstheme="minorHAnsi"/>
          <w:b/>
        </w:rPr>
      </w:pPr>
      <w:r w:rsidRPr="003323C2">
        <w:rPr>
          <w:rFonts w:cstheme="minorHAnsi"/>
          <w:b/>
        </w:rPr>
        <w:t>Decision SC</w:t>
      </w:r>
      <w:r>
        <w:rPr>
          <w:rFonts w:cstheme="minorHAnsi"/>
          <w:b/>
        </w:rPr>
        <w:t>62</w:t>
      </w:r>
      <w:r w:rsidRPr="003323C2">
        <w:rPr>
          <w:rFonts w:cstheme="minorHAnsi"/>
          <w:b/>
        </w:rPr>
        <w:t>-</w:t>
      </w:r>
      <w:r>
        <w:rPr>
          <w:rFonts w:cstheme="minorHAnsi"/>
          <w:b/>
        </w:rPr>
        <w:t>40</w:t>
      </w:r>
      <w:r w:rsidRPr="003323C2">
        <w:rPr>
          <w:rFonts w:cstheme="minorHAnsi"/>
          <w:b/>
        </w:rPr>
        <w:t xml:space="preserve">: </w:t>
      </w:r>
      <w:r w:rsidRPr="00043BD7">
        <w:rPr>
          <w:rFonts w:cstheme="minorHAnsi"/>
          <w:b/>
        </w:rPr>
        <w:t>The Standing Committee</w:t>
      </w:r>
      <w:r>
        <w:rPr>
          <w:rFonts w:cstheme="minorHAnsi"/>
          <w:b/>
        </w:rPr>
        <w:t xml:space="preserve"> </w:t>
      </w:r>
      <w:r w:rsidRPr="00C63C97">
        <w:rPr>
          <w:rFonts w:cstheme="minorHAnsi"/>
          <w:b/>
        </w:rPr>
        <w:t>accept</w:t>
      </w:r>
      <w:r>
        <w:rPr>
          <w:rFonts w:cstheme="minorHAnsi"/>
          <w:b/>
        </w:rPr>
        <w:t>ed</w:t>
      </w:r>
      <w:r w:rsidRPr="00C63C97">
        <w:rPr>
          <w:rFonts w:cstheme="minorHAnsi"/>
          <w:b/>
        </w:rPr>
        <w:t xml:space="preserve"> the 2022 audited financial statements as of 31 December 202</w:t>
      </w:r>
      <w:r>
        <w:rPr>
          <w:rFonts w:cstheme="minorHAnsi"/>
          <w:b/>
        </w:rPr>
        <w:t>2.</w:t>
      </w:r>
    </w:p>
    <w:p w14:paraId="6D991681" w14:textId="77777777" w:rsidR="00DB549D" w:rsidRDefault="00DB549D" w:rsidP="00DB549D">
      <w:pPr>
        <w:spacing w:after="0" w:line="240" w:lineRule="auto"/>
        <w:contextualSpacing/>
        <w:rPr>
          <w:rFonts w:cstheme="minorHAnsi"/>
          <w:b/>
        </w:rPr>
      </w:pPr>
    </w:p>
    <w:p w14:paraId="25013D30" w14:textId="77777777" w:rsidR="00DB549D" w:rsidRDefault="00DB549D" w:rsidP="00DB549D">
      <w:pPr>
        <w:spacing w:after="0" w:line="240" w:lineRule="auto"/>
        <w:rPr>
          <w:b/>
          <w:bCs/>
        </w:rPr>
      </w:pPr>
      <w:r w:rsidRPr="00C63C97">
        <w:rPr>
          <w:b/>
          <w:bCs/>
        </w:rPr>
        <w:t>Decision SC62-4</w:t>
      </w:r>
      <w:r>
        <w:rPr>
          <w:b/>
          <w:bCs/>
        </w:rPr>
        <w:t>1</w:t>
      </w:r>
      <w:r w:rsidRPr="00C63C97">
        <w:rPr>
          <w:b/>
          <w:bCs/>
        </w:rPr>
        <w:t>: The Standing Committee noted the core budget results for 2022.</w:t>
      </w:r>
    </w:p>
    <w:p w14:paraId="3B952AB0" w14:textId="77777777" w:rsidR="00DB549D" w:rsidRDefault="00DB549D" w:rsidP="00DB549D">
      <w:pPr>
        <w:spacing w:after="0" w:line="240" w:lineRule="auto"/>
        <w:rPr>
          <w:b/>
          <w:bCs/>
        </w:rPr>
      </w:pPr>
    </w:p>
    <w:p w14:paraId="64936A04" w14:textId="77777777" w:rsidR="00DB549D" w:rsidRDefault="00DB549D" w:rsidP="00DB549D">
      <w:pPr>
        <w:spacing w:after="0" w:line="240" w:lineRule="auto"/>
        <w:rPr>
          <w:b/>
          <w:bCs/>
        </w:rPr>
      </w:pPr>
      <w:r w:rsidRPr="00C63C97">
        <w:rPr>
          <w:b/>
          <w:bCs/>
        </w:rPr>
        <w:t>Decision SC62-4</w:t>
      </w:r>
      <w:r>
        <w:rPr>
          <w:b/>
          <w:bCs/>
        </w:rPr>
        <w:t>2</w:t>
      </w:r>
      <w:r w:rsidRPr="00C63C97">
        <w:rPr>
          <w:b/>
          <w:bCs/>
        </w:rPr>
        <w:t>: The Standing Committee</w:t>
      </w:r>
      <w:r w:rsidRPr="00C63C97">
        <w:t xml:space="preserve"> </w:t>
      </w:r>
      <w:r w:rsidRPr="00C63C97">
        <w:rPr>
          <w:b/>
          <w:bCs/>
        </w:rPr>
        <w:t>note</w:t>
      </w:r>
      <w:r>
        <w:rPr>
          <w:b/>
          <w:bCs/>
        </w:rPr>
        <w:t>d</w:t>
      </w:r>
      <w:r w:rsidRPr="00C63C97">
        <w:rPr>
          <w:b/>
          <w:bCs/>
        </w:rPr>
        <w:t xml:space="preserve"> the status of the non-core balances and voluntary contributions for 2022</w:t>
      </w:r>
      <w:r>
        <w:rPr>
          <w:b/>
          <w:bCs/>
        </w:rPr>
        <w:t>.</w:t>
      </w:r>
    </w:p>
    <w:p w14:paraId="0657119E" w14:textId="77777777" w:rsidR="00DB549D" w:rsidRDefault="00DB549D" w:rsidP="00DB549D">
      <w:pPr>
        <w:spacing w:after="0" w:line="240" w:lineRule="auto"/>
        <w:rPr>
          <w:b/>
          <w:bCs/>
        </w:rPr>
      </w:pPr>
    </w:p>
    <w:p w14:paraId="554B9F08" w14:textId="77777777" w:rsidR="00DB549D" w:rsidRDefault="00DB549D" w:rsidP="00DB549D">
      <w:pPr>
        <w:spacing w:after="0" w:line="240" w:lineRule="auto"/>
        <w:rPr>
          <w:b/>
          <w:bCs/>
        </w:rPr>
      </w:pPr>
      <w:r w:rsidRPr="00C63C97">
        <w:rPr>
          <w:b/>
          <w:bCs/>
        </w:rPr>
        <w:t>Decision SC62-4</w:t>
      </w:r>
      <w:r>
        <w:rPr>
          <w:b/>
          <w:bCs/>
        </w:rPr>
        <w:t>3</w:t>
      </w:r>
      <w:r w:rsidRPr="00C63C97">
        <w:rPr>
          <w:b/>
          <w:bCs/>
        </w:rPr>
        <w:t>: The Standing Committee</w:t>
      </w:r>
      <w:r w:rsidRPr="00C63C97">
        <w:t xml:space="preserve"> </w:t>
      </w:r>
      <w:r w:rsidRPr="00C63C97">
        <w:rPr>
          <w:b/>
          <w:bCs/>
        </w:rPr>
        <w:t>approve</w:t>
      </w:r>
      <w:r>
        <w:rPr>
          <w:b/>
          <w:bCs/>
        </w:rPr>
        <w:t>d</w:t>
      </w:r>
      <w:r w:rsidRPr="00C63C97">
        <w:rPr>
          <w:b/>
          <w:bCs/>
        </w:rPr>
        <w:t xml:space="preserve"> the carry forward of the pre-committed funds totalling CHF 701,000 from 2022 to 2023, as included in column D of the table in Annex 1 Core budget 2023 of </w:t>
      </w:r>
      <w:r>
        <w:rPr>
          <w:b/>
          <w:bCs/>
        </w:rPr>
        <w:t xml:space="preserve">document </w:t>
      </w:r>
      <w:r w:rsidRPr="00C63C97">
        <w:rPr>
          <w:b/>
          <w:bCs/>
        </w:rPr>
        <w:t xml:space="preserve">SC62 </w:t>
      </w:r>
      <w:r>
        <w:rPr>
          <w:b/>
          <w:bCs/>
        </w:rPr>
        <w:t>Doc 8.1.</w:t>
      </w:r>
      <w:r w:rsidRPr="00C63C97">
        <w:rPr>
          <w:b/>
          <w:bCs/>
        </w:rPr>
        <w:t xml:space="preserve"> </w:t>
      </w:r>
    </w:p>
    <w:p w14:paraId="5120DE6E" w14:textId="77777777" w:rsidR="00DB549D" w:rsidRDefault="00DB549D" w:rsidP="00DB549D">
      <w:pPr>
        <w:spacing w:after="0" w:line="240" w:lineRule="auto"/>
        <w:rPr>
          <w:b/>
          <w:bCs/>
        </w:rPr>
      </w:pPr>
    </w:p>
    <w:p w14:paraId="75020AB5" w14:textId="77777777" w:rsidR="00DB549D" w:rsidRDefault="00DB549D" w:rsidP="00DB549D">
      <w:pPr>
        <w:spacing w:after="0" w:line="240" w:lineRule="auto"/>
        <w:rPr>
          <w:b/>
          <w:bCs/>
        </w:rPr>
      </w:pPr>
      <w:r w:rsidRPr="00C63C97">
        <w:rPr>
          <w:b/>
          <w:bCs/>
        </w:rPr>
        <w:t>Decision SC62-4</w:t>
      </w:r>
      <w:r>
        <w:rPr>
          <w:b/>
          <w:bCs/>
        </w:rPr>
        <w:t>4</w:t>
      </w:r>
      <w:r w:rsidRPr="00C63C97">
        <w:rPr>
          <w:b/>
          <w:bCs/>
        </w:rPr>
        <w:t>: The Standing Committee</w:t>
      </w:r>
      <w:r>
        <w:rPr>
          <w:b/>
          <w:bCs/>
        </w:rPr>
        <w:t xml:space="preserve"> </w:t>
      </w:r>
      <w:r w:rsidRPr="00AE30CA">
        <w:rPr>
          <w:b/>
          <w:bCs/>
        </w:rPr>
        <w:t>approve</w:t>
      </w:r>
      <w:r>
        <w:rPr>
          <w:b/>
          <w:bCs/>
        </w:rPr>
        <w:t>d</w:t>
      </w:r>
      <w:r w:rsidRPr="00AE30CA">
        <w:rPr>
          <w:b/>
          <w:bCs/>
        </w:rPr>
        <w:t xml:space="preserve"> the repurposing of unspent balance for Ramsar Advisory Missions, as described in paragraph 11 of document SC62 Doc.8.1</w:t>
      </w:r>
      <w:r>
        <w:rPr>
          <w:b/>
          <w:bCs/>
        </w:rPr>
        <w:t>.</w:t>
      </w:r>
    </w:p>
    <w:p w14:paraId="6A61BF68" w14:textId="77777777" w:rsidR="00DB549D" w:rsidRDefault="00DB549D" w:rsidP="00DB549D">
      <w:pPr>
        <w:spacing w:after="0" w:line="240" w:lineRule="auto"/>
        <w:rPr>
          <w:b/>
          <w:bCs/>
        </w:rPr>
      </w:pPr>
    </w:p>
    <w:p w14:paraId="42F8EA26" w14:textId="77777777" w:rsidR="00DB549D" w:rsidRDefault="00DB549D" w:rsidP="00DB549D">
      <w:pPr>
        <w:spacing w:after="0" w:line="240" w:lineRule="auto"/>
        <w:rPr>
          <w:b/>
          <w:bCs/>
        </w:rPr>
      </w:pPr>
      <w:r w:rsidRPr="00E011A0">
        <w:rPr>
          <w:b/>
          <w:bCs/>
        </w:rPr>
        <w:t>Decision SC62-4</w:t>
      </w:r>
      <w:r>
        <w:rPr>
          <w:b/>
          <w:bCs/>
        </w:rPr>
        <w:t>5</w:t>
      </w:r>
      <w:r w:rsidRPr="00E011A0">
        <w:rPr>
          <w:b/>
          <w:bCs/>
        </w:rPr>
        <w:t>: The Standing Committee approved the allocation of 2022 surplus of CHF 140,000 to complement voluntary funding for COP14 delegate travel, as described in paragraph 18 of document SC62 Doc.8.1.</w:t>
      </w:r>
    </w:p>
    <w:p w14:paraId="623B86D3" w14:textId="77777777" w:rsidR="00DB549D" w:rsidRDefault="00DB549D" w:rsidP="00DB549D">
      <w:pPr>
        <w:spacing w:after="0" w:line="240" w:lineRule="auto"/>
        <w:rPr>
          <w:b/>
          <w:bCs/>
        </w:rPr>
      </w:pPr>
    </w:p>
    <w:p w14:paraId="20B03062" w14:textId="77777777" w:rsidR="00DB549D" w:rsidRDefault="00DB549D" w:rsidP="00DB549D">
      <w:pPr>
        <w:spacing w:after="0" w:line="240" w:lineRule="auto"/>
        <w:rPr>
          <w:b/>
          <w:bCs/>
          <w:iCs/>
          <w:color w:val="000000" w:themeColor="text1"/>
        </w:rPr>
      </w:pPr>
      <w:r w:rsidRPr="00C63C97">
        <w:rPr>
          <w:b/>
          <w:bCs/>
        </w:rPr>
        <w:t>Decision SC62-4</w:t>
      </w:r>
      <w:r>
        <w:rPr>
          <w:b/>
          <w:bCs/>
        </w:rPr>
        <w:t>6</w:t>
      </w:r>
      <w:r w:rsidRPr="00C63C97">
        <w:rPr>
          <w:b/>
          <w:bCs/>
        </w:rPr>
        <w:t>: The Standing Committee</w:t>
      </w:r>
      <w:r w:rsidRPr="00E011A0">
        <w:rPr>
          <w:b/>
          <w:bCs/>
          <w:i/>
          <w:color w:val="000000" w:themeColor="text1"/>
        </w:rPr>
        <w:t xml:space="preserve"> </w:t>
      </w:r>
      <w:r w:rsidRPr="00E011A0">
        <w:rPr>
          <w:b/>
          <w:bCs/>
          <w:iCs/>
          <w:color w:val="000000" w:themeColor="text1"/>
        </w:rPr>
        <w:t>approved the allocation of CHF 30,000 from the core budget to the Southern Africa Ramsar Regional Initiative (SARRI) for activities in 2023, as described in paragraph 32 of document SC62 Doc.8.1</w:t>
      </w:r>
      <w:r>
        <w:rPr>
          <w:b/>
          <w:bCs/>
          <w:iCs/>
          <w:color w:val="000000" w:themeColor="text1"/>
        </w:rPr>
        <w:t>.</w:t>
      </w:r>
    </w:p>
    <w:p w14:paraId="223CF060" w14:textId="77777777" w:rsidR="00DB549D" w:rsidRDefault="00DB549D" w:rsidP="00DB549D">
      <w:pPr>
        <w:spacing w:after="0" w:line="240" w:lineRule="auto"/>
        <w:rPr>
          <w:b/>
          <w:bCs/>
          <w:iCs/>
          <w:color w:val="000000" w:themeColor="text1"/>
        </w:rPr>
      </w:pPr>
    </w:p>
    <w:p w14:paraId="16DE6560" w14:textId="77777777" w:rsidR="00DB549D" w:rsidRPr="006E457A" w:rsidRDefault="00DB549D" w:rsidP="00DB549D">
      <w:pPr>
        <w:keepNext/>
        <w:spacing w:after="0" w:line="240" w:lineRule="auto"/>
        <w:ind w:left="425" w:hanging="425"/>
        <w:contextualSpacing/>
        <w:rPr>
          <w:b/>
          <w:bCs/>
          <w:color w:val="000000" w:themeColor="text1"/>
        </w:rPr>
      </w:pPr>
      <w:r w:rsidRPr="00C63C97">
        <w:rPr>
          <w:b/>
          <w:bCs/>
        </w:rPr>
        <w:t>Decision SC62-4</w:t>
      </w:r>
      <w:r>
        <w:rPr>
          <w:b/>
          <w:bCs/>
        </w:rPr>
        <w:t>7</w:t>
      </w:r>
      <w:r w:rsidRPr="00C63C97">
        <w:rPr>
          <w:b/>
          <w:bCs/>
        </w:rPr>
        <w:t>: The Standing Committee</w:t>
      </w:r>
      <w:r w:rsidRPr="00E011A0">
        <w:rPr>
          <w:b/>
          <w:bCs/>
          <w:i/>
          <w:color w:val="000000" w:themeColor="text1"/>
        </w:rPr>
        <w:t xml:space="preserve"> </w:t>
      </w:r>
      <w:r w:rsidRPr="00E011A0">
        <w:rPr>
          <w:b/>
          <w:bCs/>
          <w:iCs/>
          <w:color w:val="000000" w:themeColor="text1"/>
        </w:rPr>
        <w:t>approved</w:t>
      </w:r>
      <w:r w:rsidRPr="00E011A0">
        <w:rPr>
          <w:b/>
          <w:bCs/>
          <w:i/>
          <w:color w:val="000000" w:themeColor="text1"/>
        </w:rPr>
        <w:t xml:space="preserve"> </w:t>
      </w:r>
      <w:r w:rsidRPr="006E457A">
        <w:rPr>
          <w:b/>
          <w:bCs/>
          <w:color w:val="000000" w:themeColor="text1"/>
        </w:rPr>
        <w:t xml:space="preserve">allocation of 2022 surplus amounting to: </w:t>
      </w:r>
    </w:p>
    <w:p w14:paraId="6CE3C6D3" w14:textId="77777777" w:rsidR="00DB549D" w:rsidRPr="00ED48E5" w:rsidRDefault="00DB549D" w:rsidP="00DB549D">
      <w:pPr>
        <w:pStyle w:val="ListParagraph"/>
        <w:keepNext/>
        <w:widowControl w:val="0"/>
        <w:numPr>
          <w:ilvl w:val="0"/>
          <w:numId w:val="51"/>
        </w:numPr>
        <w:autoSpaceDE w:val="0"/>
        <w:autoSpaceDN w:val="0"/>
        <w:spacing w:after="0" w:line="240" w:lineRule="auto"/>
        <w:ind w:left="567" w:hanging="567"/>
        <w:rPr>
          <w:b/>
          <w:bCs/>
          <w:color w:val="000000" w:themeColor="text1"/>
        </w:rPr>
      </w:pPr>
      <w:r w:rsidRPr="00ED48E5">
        <w:rPr>
          <w:b/>
          <w:bCs/>
          <w:color w:val="000000" w:themeColor="text1"/>
        </w:rPr>
        <w:t>CHF 33,000 for review of previous Resolutions and decisions;</w:t>
      </w:r>
    </w:p>
    <w:p w14:paraId="794F7A45" w14:textId="2F15A875" w:rsidR="00DB549D" w:rsidRPr="00ED48E5" w:rsidRDefault="00DB549D" w:rsidP="00DB549D">
      <w:pPr>
        <w:pStyle w:val="ListParagraph"/>
        <w:keepNext/>
        <w:widowControl w:val="0"/>
        <w:numPr>
          <w:ilvl w:val="0"/>
          <w:numId w:val="51"/>
        </w:numPr>
        <w:autoSpaceDE w:val="0"/>
        <w:autoSpaceDN w:val="0"/>
        <w:spacing w:after="0" w:line="240" w:lineRule="auto"/>
        <w:ind w:left="567" w:hanging="567"/>
        <w:rPr>
          <w:b/>
          <w:bCs/>
          <w:color w:val="000000" w:themeColor="text1"/>
        </w:rPr>
      </w:pPr>
      <w:r w:rsidRPr="00ED48E5">
        <w:rPr>
          <w:b/>
          <w:bCs/>
          <w:color w:val="000000" w:themeColor="text1"/>
        </w:rPr>
        <w:t>CHF 7,000 for approaches and online systems to enhance collaboration between Contract</w:t>
      </w:r>
      <w:r w:rsidR="000C3B59">
        <w:rPr>
          <w:b/>
          <w:bCs/>
          <w:color w:val="000000" w:themeColor="text1"/>
        </w:rPr>
        <w:t>ing</w:t>
      </w:r>
      <w:r w:rsidRPr="00ED48E5">
        <w:rPr>
          <w:b/>
          <w:bCs/>
          <w:color w:val="000000" w:themeColor="text1"/>
        </w:rPr>
        <w:t xml:space="preserve"> Parties intersessionally; and </w:t>
      </w:r>
    </w:p>
    <w:p w14:paraId="79129F60" w14:textId="657A5C44" w:rsidR="00DB549D" w:rsidRPr="00ED48E5" w:rsidRDefault="00DB549D" w:rsidP="00DB549D">
      <w:pPr>
        <w:pStyle w:val="ListParagraph"/>
        <w:keepNext/>
        <w:widowControl w:val="0"/>
        <w:numPr>
          <w:ilvl w:val="0"/>
          <w:numId w:val="51"/>
        </w:numPr>
        <w:autoSpaceDE w:val="0"/>
        <w:autoSpaceDN w:val="0"/>
        <w:spacing w:after="0" w:line="240" w:lineRule="auto"/>
        <w:ind w:left="567" w:hanging="567"/>
        <w:rPr>
          <w:b/>
          <w:bCs/>
          <w:color w:val="000000" w:themeColor="text1"/>
        </w:rPr>
      </w:pPr>
      <w:r w:rsidRPr="00ED48E5">
        <w:rPr>
          <w:b/>
          <w:bCs/>
          <w:color w:val="000000" w:themeColor="text1"/>
        </w:rPr>
        <w:t xml:space="preserve">CHF 90,000 for technical support during the 2023-2025 triennium to ensure that key data is available in the Ramsar Sites Information Service (RSIS) for Wetlands of International Importance in all regions, with a focus on Site boundaries, noting that updating Site data is </w:t>
      </w:r>
      <w:r w:rsidRPr="00ED48E5">
        <w:rPr>
          <w:rFonts w:hint="eastAsia"/>
          <w:b/>
          <w:bCs/>
          <w:color w:val="000000" w:themeColor="text1"/>
        </w:rPr>
        <w:t>p</w:t>
      </w:r>
      <w:r w:rsidRPr="00ED48E5">
        <w:rPr>
          <w:b/>
          <w:bCs/>
          <w:color w:val="000000" w:themeColor="text1"/>
        </w:rPr>
        <w:t>rimarily the responsibility of Contracting Parties, and should be encouraged before utilizing the service.</w:t>
      </w:r>
      <w:r w:rsidR="00084F47">
        <w:rPr>
          <w:rStyle w:val="FootnoteReference"/>
          <w:b/>
          <w:bCs/>
          <w:color w:val="000000" w:themeColor="text1"/>
        </w:rPr>
        <w:footnoteReference w:id="2"/>
      </w:r>
    </w:p>
    <w:p w14:paraId="5A791EE2" w14:textId="77777777" w:rsidR="00DB549D" w:rsidRPr="001340A2" w:rsidRDefault="00DB549D" w:rsidP="00DB549D">
      <w:pPr>
        <w:keepNext/>
        <w:spacing w:after="0" w:line="240" w:lineRule="auto"/>
        <w:rPr>
          <w:rFonts w:cstheme="minorHAnsi"/>
        </w:rPr>
      </w:pPr>
    </w:p>
    <w:p w14:paraId="73A2AB6D" w14:textId="77777777" w:rsidR="00DB549D" w:rsidRPr="001374BE"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pPr>
      <w:r w:rsidRPr="001340A2">
        <w:rPr>
          <w:rFonts w:cstheme="minorHAnsi"/>
          <w:bCs/>
        </w:rPr>
        <w:t xml:space="preserve">Agenda item </w:t>
      </w:r>
      <w:r>
        <w:rPr>
          <w:rFonts w:cstheme="minorHAnsi"/>
          <w:bCs/>
        </w:rPr>
        <w:t>26</w:t>
      </w:r>
      <w:r w:rsidRPr="001340A2">
        <w:rPr>
          <w:rFonts w:cstheme="minorHAnsi"/>
          <w:bCs/>
        </w:rPr>
        <w:t xml:space="preserve">: </w:t>
      </w:r>
      <w:r w:rsidRPr="001374BE">
        <w:rPr>
          <w:rFonts w:cstheme="minorHAnsi"/>
          <w:bCs/>
        </w:rPr>
        <w:t xml:space="preserve">Wetland City Accreditation: Establishment of the Independent Advisory Committee </w:t>
      </w:r>
    </w:p>
    <w:p w14:paraId="5032D4C2" w14:textId="77777777" w:rsidR="00DB549D" w:rsidRDefault="00DB549D" w:rsidP="00DB549D">
      <w:pPr>
        <w:spacing w:after="0" w:line="240" w:lineRule="auto"/>
        <w:ind w:left="567" w:hanging="567"/>
        <w:rPr>
          <w:rFonts w:eastAsia="Calibri" w:cstheme="minorHAnsi"/>
          <w:bCs/>
        </w:rPr>
      </w:pPr>
    </w:p>
    <w:p w14:paraId="4918EF31" w14:textId="77777777" w:rsidR="00DB549D" w:rsidRDefault="00DB549D" w:rsidP="00DB549D">
      <w:pPr>
        <w:pStyle w:val="ColorfulList-Accent11"/>
        <w:ind w:left="0" w:firstLine="0"/>
        <w:rPr>
          <w:rFonts w:cs="Calibri"/>
        </w:rPr>
      </w:pPr>
      <w:r w:rsidRPr="00C63C97">
        <w:rPr>
          <w:b/>
          <w:bCs/>
        </w:rPr>
        <w:t>Decision SC62-</w:t>
      </w:r>
      <w:r>
        <w:rPr>
          <w:b/>
          <w:bCs/>
        </w:rPr>
        <w:t>48</w:t>
      </w:r>
      <w:r w:rsidRPr="00C63C97">
        <w:rPr>
          <w:b/>
          <w:bCs/>
        </w:rPr>
        <w:t>: The Standing Committee</w:t>
      </w:r>
      <w:r w:rsidRPr="00E011A0">
        <w:rPr>
          <w:b/>
          <w:bCs/>
          <w:i/>
          <w:color w:val="000000" w:themeColor="text1"/>
        </w:rPr>
        <w:t xml:space="preserve"> </w:t>
      </w:r>
      <w:r w:rsidRPr="0046685A">
        <w:rPr>
          <w:rFonts w:cs="Calibri"/>
          <w:b/>
          <w:bCs/>
        </w:rPr>
        <w:t>confirmed the membership of the Independent Advisory Committee, as described in Table 1 of document</w:t>
      </w:r>
      <w:r w:rsidRPr="0046685A">
        <w:rPr>
          <w:rFonts w:cstheme="minorHAnsi"/>
          <w:b/>
          <w:bCs/>
        </w:rPr>
        <w:t xml:space="preserve"> SC62 Doc.26</w:t>
      </w:r>
      <w:r>
        <w:rPr>
          <w:rFonts w:cstheme="minorHAnsi"/>
          <w:b/>
          <w:bCs/>
        </w:rPr>
        <w:t xml:space="preserve"> Rev.1</w:t>
      </w:r>
      <w:r w:rsidRPr="0046685A">
        <w:rPr>
          <w:rFonts w:cs="Calibri"/>
          <w:b/>
          <w:bCs/>
        </w:rPr>
        <w:t>, for the 2023-2025 triennium.</w:t>
      </w:r>
    </w:p>
    <w:p w14:paraId="5C9D0709" w14:textId="77777777" w:rsidR="00DB549D" w:rsidRDefault="00DB549D" w:rsidP="00DB549D">
      <w:pPr>
        <w:spacing w:after="0" w:line="240" w:lineRule="auto"/>
        <w:rPr>
          <w:rFonts w:eastAsia="Calibri" w:cstheme="minorHAnsi"/>
          <w:bCs/>
        </w:rPr>
      </w:pPr>
    </w:p>
    <w:p w14:paraId="0F23D51D" w14:textId="77777777" w:rsidR="00DB549D" w:rsidRDefault="00DB549D" w:rsidP="001E4709">
      <w:pPr>
        <w:keepNext/>
        <w:pBdr>
          <w:top w:val="single" w:sz="4" w:space="1" w:color="auto"/>
          <w:left w:val="single" w:sz="4" w:space="4" w:color="auto"/>
          <w:bottom w:val="single" w:sz="4" w:space="1" w:color="auto"/>
          <w:right w:val="single" w:sz="4" w:space="4" w:color="auto"/>
        </w:pBdr>
        <w:spacing w:after="0" w:line="240" w:lineRule="auto"/>
        <w:outlineLvl w:val="0"/>
      </w:pPr>
      <w:r w:rsidRPr="00DB2363">
        <w:rPr>
          <w:rFonts w:cstheme="minorHAnsi"/>
          <w:bCs/>
        </w:rPr>
        <w:lastRenderedPageBreak/>
        <w:t>Agenda item 11: Secretariat report on institutional strengthening to support the implementation of the Convention</w:t>
      </w:r>
      <w:r>
        <w:rPr>
          <w:rFonts w:cstheme="minorHAnsi"/>
          <w:bCs/>
        </w:rPr>
        <w:t xml:space="preserve"> (continued)</w:t>
      </w:r>
    </w:p>
    <w:p w14:paraId="46B9C134" w14:textId="77777777" w:rsidR="00DB549D" w:rsidRDefault="00DB549D" w:rsidP="001E4709">
      <w:pPr>
        <w:keepNext/>
        <w:spacing w:after="0" w:line="240" w:lineRule="auto"/>
        <w:ind w:left="567" w:hanging="567"/>
      </w:pPr>
    </w:p>
    <w:p w14:paraId="5F35C866" w14:textId="3DD0F604" w:rsidR="00DB549D" w:rsidRDefault="00DB549D" w:rsidP="00DB549D">
      <w:pPr>
        <w:pStyle w:val="ColorfulList-Accent11"/>
        <w:ind w:left="0" w:firstLine="0"/>
        <w:rPr>
          <w:b/>
          <w:bCs/>
        </w:rPr>
      </w:pPr>
      <w:r w:rsidRPr="00C63C97">
        <w:rPr>
          <w:b/>
          <w:bCs/>
        </w:rPr>
        <w:t>Decision SC62-</w:t>
      </w:r>
      <w:r>
        <w:rPr>
          <w:b/>
          <w:bCs/>
        </w:rPr>
        <w:t>49</w:t>
      </w:r>
      <w:r w:rsidRPr="00C63C97">
        <w:rPr>
          <w:b/>
          <w:bCs/>
        </w:rPr>
        <w:t>: The Standing Committee</w:t>
      </w:r>
      <w:r>
        <w:rPr>
          <w:b/>
          <w:bCs/>
        </w:rPr>
        <w:t xml:space="preserve"> </w:t>
      </w:r>
      <w:r w:rsidR="006E457A" w:rsidRPr="005C6DFF">
        <w:rPr>
          <w:b/>
          <w:bCs/>
        </w:rPr>
        <w:t>request</w:t>
      </w:r>
      <w:r w:rsidR="006E457A">
        <w:rPr>
          <w:b/>
          <w:bCs/>
        </w:rPr>
        <w:t>ed</w:t>
      </w:r>
      <w:r w:rsidR="006E457A" w:rsidRPr="005C6DFF">
        <w:rPr>
          <w:b/>
          <w:bCs/>
        </w:rPr>
        <w:t xml:space="preserve"> </w:t>
      </w:r>
      <w:r w:rsidRPr="005C6DFF">
        <w:rPr>
          <w:b/>
          <w:bCs/>
        </w:rPr>
        <w:t xml:space="preserve">the Management Working Group to prepare a document that identifies the process for </w:t>
      </w:r>
      <w:r w:rsidRPr="00ED48E5">
        <w:rPr>
          <w:b/>
          <w:bCs/>
        </w:rPr>
        <w:t>recruiting a new Secretary General, for consideration by the Standing Committee at its 63rd meeting, noting</w:t>
      </w:r>
      <w:r w:rsidR="00377ED0">
        <w:rPr>
          <w:b/>
          <w:bCs/>
        </w:rPr>
        <w:t xml:space="preserve"> that this Decision supersedes D</w:t>
      </w:r>
      <w:r w:rsidRPr="00ED48E5">
        <w:rPr>
          <w:b/>
          <w:bCs/>
        </w:rPr>
        <w:t xml:space="preserve">ecision </w:t>
      </w:r>
      <w:r w:rsidR="00377ED0">
        <w:rPr>
          <w:b/>
          <w:bCs/>
        </w:rPr>
        <w:br/>
      </w:r>
      <w:r w:rsidRPr="00ED48E5">
        <w:rPr>
          <w:b/>
          <w:bCs/>
        </w:rPr>
        <w:t>SC59-40.</w:t>
      </w:r>
    </w:p>
    <w:p w14:paraId="2D55C919" w14:textId="77777777" w:rsidR="00DB549D" w:rsidRPr="001B4ECF" w:rsidRDefault="00DB549D" w:rsidP="00DB549D">
      <w:pPr>
        <w:pStyle w:val="ColorfulList-Accent11"/>
        <w:ind w:left="0" w:firstLine="0"/>
        <w:rPr>
          <w:rFonts w:cstheme="minorHAnsi"/>
        </w:rPr>
      </w:pPr>
      <w:r w:rsidRPr="00E011A0">
        <w:rPr>
          <w:b/>
          <w:bCs/>
          <w:i/>
          <w:color w:val="000000" w:themeColor="text1"/>
        </w:rPr>
        <w:t xml:space="preserve"> </w:t>
      </w:r>
    </w:p>
    <w:p w14:paraId="4F1087F7" w14:textId="77777777" w:rsidR="00DB549D" w:rsidRDefault="00DB549D" w:rsidP="00377ED0">
      <w:pPr>
        <w:keepNext/>
        <w:pBdr>
          <w:top w:val="single" w:sz="4" w:space="1" w:color="auto"/>
          <w:left w:val="single" w:sz="4" w:space="4" w:color="auto"/>
          <w:bottom w:val="single" w:sz="4" w:space="1" w:color="auto"/>
          <w:right w:val="single" w:sz="4" w:space="4" w:color="auto"/>
        </w:pBdr>
        <w:spacing w:after="0" w:line="240" w:lineRule="auto"/>
        <w:outlineLvl w:val="0"/>
      </w:pPr>
      <w:r w:rsidRPr="001340A2">
        <w:rPr>
          <w:rFonts w:cstheme="minorHAnsi"/>
          <w:bCs/>
        </w:rPr>
        <w:t xml:space="preserve">Agenda item </w:t>
      </w:r>
      <w:r>
        <w:rPr>
          <w:rFonts w:cstheme="minorHAnsi"/>
          <w:bCs/>
        </w:rPr>
        <w:t>19</w:t>
      </w:r>
      <w:r w:rsidRPr="001340A2">
        <w:rPr>
          <w:rFonts w:cstheme="minorHAnsi"/>
          <w:bCs/>
        </w:rPr>
        <w:t xml:space="preserve">: </w:t>
      </w:r>
      <w:r w:rsidRPr="006467E9">
        <w:t>Report of the Chair of the Scientific and Technical Review Panel, including work plan for 2023-2025</w:t>
      </w:r>
      <w:r>
        <w:t xml:space="preserve"> (continued)</w:t>
      </w:r>
    </w:p>
    <w:p w14:paraId="2B3C1881" w14:textId="77777777" w:rsidR="00DB549D" w:rsidRDefault="00DB549D" w:rsidP="00DB549D">
      <w:pPr>
        <w:spacing w:after="0" w:line="240" w:lineRule="auto"/>
        <w:ind w:left="720" w:hanging="720"/>
      </w:pPr>
    </w:p>
    <w:p w14:paraId="3B84C476" w14:textId="41A8B7F4" w:rsidR="00DB549D" w:rsidRDefault="00DB549D" w:rsidP="00DB549D">
      <w:pPr>
        <w:spacing w:after="0" w:line="240" w:lineRule="auto"/>
        <w:contextualSpacing/>
      </w:pPr>
      <w:r w:rsidRPr="003323C2">
        <w:rPr>
          <w:rFonts w:cstheme="minorHAnsi"/>
          <w:b/>
        </w:rPr>
        <w:t>Decision SC</w:t>
      </w:r>
      <w:r>
        <w:rPr>
          <w:rFonts w:cstheme="minorHAnsi"/>
          <w:b/>
        </w:rPr>
        <w:t>62</w:t>
      </w:r>
      <w:r w:rsidRPr="003323C2">
        <w:rPr>
          <w:rFonts w:cstheme="minorHAnsi"/>
          <w:b/>
        </w:rPr>
        <w:t>-</w:t>
      </w:r>
      <w:r>
        <w:rPr>
          <w:rFonts w:cstheme="minorHAnsi"/>
          <w:b/>
        </w:rPr>
        <w:t>50</w:t>
      </w:r>
      <w:r w:rsidRPr="003323C2">
        <w:rPr>
          <w:rFonts w:cstheme="minorHAnsi"/>
          <w:b/>
        </w:rPr>
        <w:t xml:space="preserve">: </w:t>
      </w:r>
      <w:r w:rsidRPr="00043BD7">
        <w:rPr>
          <w:rFonts w:cstheme="minorHAnsi"/>
          <w:b/>
        </w:rPr>
        <w:t>The Standing Committee</w:t>
      </w:r>
      <w:r>
        <w:rPr>
          <w:rFonts w:cstheme="minorHAnsi"/>
          <w:b/>
        </w:rPr>
        <w:t xml:space="preserve"> requested the</w:t>
      </w:r>
      <w:r w:rsidRPr="00333745">
        <w:t xml:space="preserve"> </w:t>
      </w:r>
      <w:r w:rsidRPr="00333745">
        <w:rPr>
          <w:b/>
          <w:bCs/>
        </w:rPr>
        <w:t xml:space="preserve">Scientific and Technical Review Panel to discuss the application of the current Ramsar wetland classification system at its 26th meeting and to report back to the 63rd meeting of the Standing Committee, including if required the outline of a proposed approach for a technical review in consultation with Contracting Parties, International Organization Partners and other </w:t>
      </w:r>
      <w:r>
        <w:rPr>
          <w:b/>
          <w:bCs/>
        </w:rPr>
        <w:t>m</w:t>
      </w:r>
      <w:r w:rsidRPr="00333745">
        <w:rPr>
          <w:b/>
          <w:bCs/>
        </w:rPr>
        <w:t xml:space="preserve">ultilateral </w:t>
      </w:r>
      <w:r>
        <w:rPr>
          <w:b/>
          <w:bCs/>
        </w:rPr>
        <w:t>e</w:t>
      </w:r>
      <w:r w:rsidRPr="00333745">
        <w:rPr>
          <w:b/>
          <w:bCs/>
        </w:rPr>
        <w:t xml:space="preserve">nvironmental </w:t>
      </w:r>
      <w:r>
        <w:rPr>
          <w:b/>
          <w:bCs/>
        </w:rPr>
        <w:t>a</w:t>
      </w:r>
      <w:r w:rsidRPr="00333745">
        <w:rPr>
          <w:b/>
          <w:bCs/>
        </w:rPr>
        <w:t>greements, and request</w:t>
      </w:r>
      <w:r w:rsidR="006E457A">
        <w:rPr>
          <w:b/>
          <w:bCs/>
        </w:rPr>
        <w:t>ed</w:t>
      </w:r>
      <w:r w:rsidRPr="00333745">
        <w:rPr>
          <w:b/>
          <w:bCs/>
        </w:rPr>
        <w:t xml:space="preserve"> the STRP to consider the use of a survey of STRP </w:t>
      </w:r>
      <w:r>
        <w:rPr>
          <w:b/>
          <w:bCs/>
        </w:rPr>
        <w:t>N</w:t>
      </w:r>
      <w:r w:rsidRPr="00333745">
        <w:rPr>
          <w:b/>
          <w:bCs/>
        </w:rPr>
        <w:t xml:space="preserve">ational </w:t>
      </w:r>
      <w:r>
        <w:rPr>
          <w:b/>
          <w:bCs/>
        </w:rPr>
        <w:t>F</w:t>
      </w:r>
      <w:r w:rsidRPr="00333745">
        <w:rPr>
          <w:b/>
          <w:bCs/>
        </w:rPr>
        <w:t xml:space="preserve">ocal </w:t>
      </w:r>
      <w:r>
        <w:rPr>
          <w:b/>
          <w:bCs/>
        </w:rPr>
        <w:t>P</w:t>
      </w:r>
      <w:r w:rsidRPr="00333745">
        <w:rPr>
          <w:b/>
          <w:bCs/>
        </w:rPr>
        <w:t xml:space="preserve">oints to collate technical feedback on the classification system from different regions. </w:t>
      </w:r>
      <w:r w:rsidRPr="00333745">
        <w:rPr>
          <w:rFonts w:cstheme="minorHAnsi"/>
          <w:b/>
          <w:bCs/>
        </w:rPr>
        <w:t xml:space="preserve">  </w:t>
      </w:r>
    </w:p>
    <w:p w14:paraId="2E9421CC" w14:textId="77777777" w:rsidR="00DB549D" w:rsidRPr="001340A2" w:rsidRDefault="00DB549D" w:rsidP="00DB549D">
      <w:pPr>
        <w:keepNext/>
        <w:spacing w:after="0" w:line="240" w:lineRule="auto"/>
        <w:rPr>
          <w:rFonts w:cstheme="minorHAnsi"/>
        </w:rPr>
      </w:pPr>
    </w:p>
    <w:p w14:paraId="03E153D3" w14:textId="77777777" w:rsidR="00DB549D"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pPr>
      <w:bookmarkStart w:id="2" w:name="_Hlk145056792"/>
      <w:r w:rsidRPr="001340A2">
        <w:rPr>
          <w:rFonts w:cstheme="minorHAnsi"/>
          <w:bCs/>
        </w:rPr>
        <w:t>Agenda item</w:t>
      </w:r>
      <w:r>
        <w:rPr>
          <w:rFonts w:cstheme="minorHAnsi"/>
          <w:bCs/>
        </w:rPr>
        <w:t xml:space="preserve"> 11</w:t>
      </w:r>
      <w:r w:rsidRPr="001340A2">
        <w:rPr>
          <w:rFonts w:cstheme="minorHAnsi"/>
          <w:bCs/>
        </w:rPr>
        <w:t xml:space="preserve">: </w:t>
      </w:r>
      <w:r w:rsidRPr="006A5BC6">
        <w:t>Secretariat report on institutional strengthening to support the implementation of the Convention</w:t>
      </w:r>
      <w:r>
        <w:t xml:space="preserve"> (continued)</w:t>
      </w:r>
    </w:p>
    <w:bookmarkEnd w:id="2"/>
    <w:p w14:paraId="271A5D74" w14:textId="77777777" w:rsidR="00DB549D" w:rsidRPr="00A922D0" w:rsidRDefault="00DB549D" w:rsidP="00DB549D">
      <w:pPr>
        <w:spacing w:after="0" w:line="240" w:lineRule="auto"/>
        <w:ind w:left="567" w:hanging="567"/>
        <w:rPr>
          <w:rFonts w:cstheme="minorHAnsi"/>
        </w:rPr>
      </w:pPr>
    </w:p>
    <w:p w14:paraId="397FF924" w14:textId="77777777" w:rsidR="00DB549D" w:rsidRPr="00A922D0" w:rsidRDefault="00DB549D" w:rsidP="00DB549D">
      <w:pPr>
        <w:spacing w:after="0" w:line="240" w:lineRule="auto"/>
        <w:rPr>
          <w:b/>
          <w:bCs/>
        </w:rPr>
      </w:pPr>
      <w:r w:rsidRPr="00A922D0">
        <w:rPr>
          <w:b/>
          <w:bCs/>
        </w:rPr>
        <w:t>Decision SC62-51: The Standing Committee took note of the terms of reference agreed by the Working Group presented to SC62 in document SC62 Com.2.</w:t>
      </w:r>
    </w:p>
    <w:p w14:paraId="766E2883" w14:textId="77777777" w:rsidR="00DB549D" w:rsidRPr="00C63C97" w:rsidRDefault="00DB549D" w:rsidP="00DB549D">
      <w:pPr>
        <w:spacing w:after="0" w:line="240" w:lineRule="auto"/>
        <w:rPr>
          <w:b/>
          <w:bCs/>
        </w:rPr>
      </w:pPr>
    </w:p>
    <w:p w14:paraId="7B151D33" w14:textId="77777777" w:rsidR="00DB549D"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1340A2">
        <w:rPr>
          <w:rFonts w:cstheme="minorHAnsi"/>
          <w:bCs/>
        </w:rPr>
        <w:t xml:space="preserve">Agenda item </w:t>
      </w:r>
      <w:r>
        <w:rPr>
          <w:rFonts w:cstheme="minorHAnsi"/>
          <w:bCs/>
        </w:rPr>
        <w:t>22</w:t>
      </w:r>
      <w:r w:rsidRPr="001340A2">
        <w:rPr>
          <w:rFonts w:cstheme="minorHAnsi"/>
          <w:bCs/>
        </w:rPr>
        <w:t xml:space="preserve">: </w:t>
      </w:r>
      <w:r w:rsidRPr="000275E3">
        <w:rPr>
          <w:rFonts w:cstheme="minorHAnsi"/>
          <w:bCs/>
        </w:rPr>
        <w:t>Update on the status of Sites on the List of Wetlands of International Importance</w:t>
      </w:r>
    </w:p>
    <w:p w14:paraId="1F965366" w14:textId="77777777" w:rsidR="00DB549D" w:rsidRDefault="00DB549D" w:rsidP="00DB549D">
      <w:pPr>
        <w:spacing w:after="0" w:line="240" w:lineRule="auto"/>
        <w:rPr>
          <w:rFonts w:eastAsia="Calibri" w:cstheme="minorHAnsi"/>
          <w:bCs/>
        </w:rPr>
      </w:pPr>
    </w:p>
    <w:p w14:paraId="650A25DA" w14:textId="77777777" w:rsidR="00DB549D" w:rsidRPr="00CB6A20" w:rsidRDefault="00DB549D" w:rsidP="00DB549D">
      <w:pPr>
        <w:spacing w:after="0" w:line="240" w:lineRule="auto"/>
        <w:contextualSpacing/>
        <w:rPr>
          <w:rFonts w:cstheme="minorHAnsi"/>
          <w:b/>
        </w:rPr>
      </w:pPr>
      <w:r w:rsidRPr="003323C2">
        <w:rPr>
          <w:rFonts w:cstheme="minorHAnsi"/>
          <w:b/>
        </w:rPr>
        <w:t>Decision SC</w:t>
      </w:r>
      <w:r>
        <w:rPr>
          <w:rFonts w:cstheme="minorHAnsi"/>
          <w:b/>
        </w:rPr>
        <w:t>62</w:t>
      </w:r>
      <w:r w:rsidRPr="00CB6A20">
        <w:rPr>
          <w:rFonts w:cstheme="minorHAnsi"/>
          <w:b/>
        </w:rPr>
        <w:t>-5</w:t>
      </w:r>
      <w:r>
        <w:rPr>
          <w:rFonts w:cstheme="minorHAnsi"/>
          <w:b/>
        </w:rPr>
        <w:t>2</w:t>
      </w:r>
      <w:r w:rsidRPr="00CB6A20">
        <w:rPr>
          <w:rFonts w:cstheme="minorHAnsi"/>
          <w:b/>
        </w:rPr>
        <w:t>: The Standing Committee</w:t>
      </w:r>
      <w:r w:rsidRPr="00CB6A20">
        <w:t xml:space="preserve"> </w:t>
      </w:r>
      <w:r w:rsidRPr="00CB6A20">
        <w:rPr>
          <w:rFonts w:cstheme="minorHAnsi"/>
          <w:b/>
        </w:rPr>
        <w:t>took note of the updated report on the status of Sites on the List of Wetlands of International Importance.</w:t>
      </w:r>
    </w:p>
    <w:p w14:paraId="515B0611" w14:textId="77777777" w:rsidR="00DB549D" w:rsidRPr="00CB6A20" w:rsidRDefault="00DB549D" w:rsidP="00DB549D">
      <w:pPr>
        <w:spacing w:after="0" w:line="240" w:lineRule="auto"/>
        <w:contextualSpacing/>
        <w:rPr>
          <w:rFonts w:cstheme="minorHAnsi"/>
          <w:b/>
        </w:rPr>
      </w:pPr>
    </w:p>
    <w:p w14:paraId="2C04AD44" w14:textId="77777777" w:rsidR="00DB549D" w:rsidRDefault="00DB549D" w:rsidP="00DB549D">
      <w:pPr>
        <w:spacing w:after="0" w:line="240" w:lineRule="auto"/>
        <w:contextualSpacing/>
        <w:rPr>
          <w:rFonts w:cstheme="minorHAnsi"/>
          <w:b/>
        </w:rPr>
      </w:pPr>
      <w:r w:rsidRPr="00CB6A20">
        <w:rPr>
          <w:rFonts w:cstheme="minorHAnsi"/>
          <w:b/>
        </w:rPr>
        <w:t>Decision SC62-5</w:t>
      </w:r>
      <w:r>
        <w:rPr>
          <w:rFonts w:cstheme="minorHAnsi"/>
          <w:b/>
        </w:rPr>
        <w:t>3</w:t>
      </w:r>
      <w:r w:rsidRPr="00CB6A20">
        <w:rPr>
          <w:rFonts w:cstheme="minorHAnsi"/>
          <w:b/>
        </w:rPr>
        <w:t xml:space="preserve">: The Standing Committee instructed the Secretariat to submit a report to SC63 on the challenges and opportunities </w:t>
      </w:r>
      <w:r>
        <w:rPr>
          <w:rFonts w:cstheme="minorHAnsi"/>
          <w:b/>
        </w:rPr>
        <w:t>related to the submission and updating of Ramsar Information Sheets, including:</w:t>
      </w:r>
    </w:p>
    <w:p w14:paraId="4A77E38B" w14:textId="77777777" w:rsidR="00DB549D" w:rsidRDefault="00DB549D" w:rsidP="00377ED0">
      <w:pPr>
        <w:pStyle w:val="ListParagraph"/>
        <w:numPr>
          <w:ilvl w:val="0"/>
          <w:numId w:val="52"/>
        </w:numPr>
        <w:spacing w:after="0" w:line="240" w:lineRule="auto"/>
        <w:ind w:left="567" w:hanging="567"/>
        <w:rPr>
          <w:rFonts w:cstheme="minorHAnsi"/>
          <w:b/>
        </w:rPr>
      </w:pPr>
      <w:r>
        <w:rPr>
          <w:rFonts w:cstheme="minorHAnsi"/>
          <w:b/>
        </w:rPr>
        <w:t>systemic, procedural and other technical challenges and options; and</w:t>
      </w:r>
    </w:p>
    <w:p w14:paraId="74611D2A" w14:textId="77777777" w:rsidR="00DB549D" w:rsidRPr="002C0DC7" w:rsidRDefault="00DB549D" w:rsidP="00377ED0">
      <w:pPr>
        <w:pStyle w:val="ListParagraph"/>
        <w:numPr>
          <w:ilvl w:val="0"/>
          <w:numId w:val="52"/>
        </w:numPr>
        <w:spacing w:after="0" w:line="240" w:lineRule="auto"/>
        <w:ind w:left="567" w:hanging="567"/>
        <w:rPr>
          <w:rFonts w:cstheme="minorHAnsi"/>
          <w:b/>
        </w:rPr>
      </w:pPr>
      <w:r>
        <w:rPr>
          <w:rFonts w:cstheme="minorHAnsi"/>
          <w:b/>
        </w:rPr>
        <w:t>financial challenges, needs and opportunities.</w:t>
      </w:r>
    </w:p>
    <w:p w14:paraId="4CA8D403" w14:textId="77777777" w:rsidR="00DB549D" w:rsidRPr="00CB6A20" w:rsidRDefault="00DB549D" w:rsidP="00DB549D">
      <w:pPr>
        <w:spacing w:after="0" w:line="240" w:lineRule="auto"/>
        <w:ind w:right="321"/>
        <w:rPr>
          <w:b/>
          <w:bCs/>
        </w:rPr>
      </w:pPr>
      <w:r w:rsidRPr="002C0DC7">
        <w:rPr>
          <w:b/>
          <w:bCs/>
        </w:rPr>
        <w:t xml:space="preserve">In doing so the Secretariat will obtain and collate inputs in consultation with Contracting Parties, the </w:t>
      </w:r>
      <w:r>
        <w:rPr>
          <w:b/>
          <w:bCs/>
        </w:rPr>
        <w:t>STRP and other stakeholders</w:t>
      </w:r>
      <w:r w:rsidRPr="002C0DC7">
        <w:rPr>
          <w:b/>
          <w:bCs/>
        </w:rPr>
        <w:t xml:space="preserve">. The Secretariat will develop the approach to undertake the task in </w:t>
      </w:r>
      <w:r w:rsidRPr="00CB6A20">
        <w:rPr>
          <w:b/>
          <w:bCs/>
        </w:rPr>
        <w:t>consultation with Contracting Parties through written procedures and online session(s).</w:t>
      </w:r>
    </w:p>
    <w:p w14:paraId="03DA4565" w14:textId="77777777" w:rsidR="00DB549D" w:rsidRPr="00CB6A20" w:rsidRDefault="00DB549D" w:rsidP="00DB549D">
      <w:pPr>
        <w:spacing w:after="0" w:line="240" w:lineRule="auto"/>
        <w:ind w:right="321"/>
        <w:rPr>
          <w:rFonts w:cstheme="minorHAnsi"/>
          <w:b/>
        </w:rPr>
      </w:pPr>
    </w:p>
    <w:p w14:paraId="67A4E00C" w14:textId="77777777" w:rsidR="00DB549D" w:rsidRPr="00850CD3" w:rsidRDefault="00DB549D" w:rsidP="00DB549D">
      <w:pPr>
        <w:spacing w:after="0" w:line="240" w:lineRule="auto"/>
        <w:ind w:right="321"/>
        <w:rPr>
          <w:b/>
          <w:bCs/>
        </w:rPr>
      </w:pPr>
      <w:r w:rsidRPr="00CB6A20">
        <w:rPr>
          <w:rFonts w:cstheme="minorHAnsi"/>
          <w:b/>
        </w:rPr>
        <w:t>Decision SC62-5</w:t>
      </w:r>
      <w:r>
        <w:rPr>
          <w:rFonts w:cstheme="minorHAnsi"/>
          <w:b/>
        </w:rPr>
        <w:t>4</w:t>
      </w:r>
      <w:r w:rsidRPr="00CB6A20">
        <w:rPr>
          <w:rFonts w:cstheme="minorHAnsi"/>
          <w:b/>
        </w:rPr>
        <w:t xml:space="preserve">: The Standing </w:t>
      </w:r>
      <w:r>
        <w:rPr>
          <w:rFonts w:cstheme="minorHAnsi"/>
          <w:b/>
        </w:rPr>
        <w:t xml:space="preserve">Committee decided that the global report on the status of the List of Wetlands of International Importance is to be prepared by the Secretariat only once per triennium, for presentation to the COP, and repealed Decision SC35-28 on the same matter. </w:t>
      </w:r>
    </w:p>
    <w:p w14:paraId="3B341A94" w14:textId="77777777" w:rsidR="00DB549D" w:rsidRPr="001340A2" w:rsidRDefault="00DB549D" w:rsidP="00DB549D">
      <w:pPr>
        <w:keepNext/>
        <w:spacing w:after="0" w:line="240" w:lineRule="auto"/>
        <w:rPr>
          <w:rFonts w:cstheme="minorHAnsi"/>
        </w:rPr>
      </w:pPr>
    </w:p>
    <w:p w14:paraId="58EC8105" w14:textId="77777777" w:rsidR="00DB549D" w:rsidRPr="001374BE"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pPr>
      <w:r w:rsidRPr="001340A2">
        <w:rPr>
          <w:rFonts w:cstheme="minorHAnsi"/>
          <w:bCs/>
        </w:rPr>
        <w:t xml:space="preserve">Agenda item </w:t>
      </w:r>
      <w:r>
        <w:rPr>
          <w:rFonts w:cstheme="minorHAnsi"/>
          <w:bCs/>
        </w:rPr>
        <w:t xml:space="preserve">23: </w:t>
      </w:r>
      <w:r w:rsidRPr="00850CD3">
        <w:rPr>
          <w:rFonts w:cstheme="minorHAnsi"/>
          <w:bCs/>
        </w:rPr>
        <w:t>Report on the process undertaken by the Secretariat to include a site on the List of Wetlands of International Importance</w:t>
      </w:r>
    </w:p>
    <w:p w14:paraId="32DB9244" w14:textId="77777777" w:rsidR="007148DF" w:rsidRPr="00F71BE7" w:rsidRDefault="007148DF" w:rsidP="0069014C">
      <w:pPr>
        <w:spacing w:after="0" w:line="240" w:lineRule="auto"/>
        <w:ind w:left="567" w:hanging="567"/>
      </w:pPr>
    </w:p>
    <w:p w14:paraId="7D938F62" w14:textId="53DDB6CC" w:rsidR="00DB549D" w:rsidRDefault="00DB549D" w:rsidP="00DB549D">
      <w:pPr>
        <w:pStyle w:val="ColorfulList-Accent11"/>
        <w:ind w:left="0" w:firstLine="0"/>
        <w:rPr>
          <w:b/>
          <w:bCs/>
        </w:rPr>
      </w:pPr>
      <w:r w:rsidRPr="00F71BE7">
        <w:rPr>
          <w:b/>
          <w:bCs/>
        </w:rPr>
        <w:t xml:space="preserve">Decision SC62-55: The Standing </w:t>
      </w:r>
      <w:r w:rsidRPr="00F71BE7">
        <w:rPr>
          <w:b/>
          <w:bCs/>
          <w:iCs/>
        </w:rPr>
        <w:t xml:space="preserve">Committee instructed the Secretariat to send a notification to National Focal Points inviting the submission of proposals on strengthening the process to include </w:t>
      </w:r>
      <w:r w:rsidRPr="00F71BE7">
        <w:rPr>
          <w:b/>
          <w:bCs/>
          <w:iCs/>
        </w:rPr>
        <w:lastRenderedPageBreak/>
        <w:t>a Site on the List of Wetlands of International Importance, and prepare a report compiling these inputs</w:t>
      </w:r>
      <w:r w:rsidR="0069014C" w:rsidRPr="00F71BE7">
        <w:rPr>
          <w:b/>
          <w:bCs/>
          <w:iCs/>
        </w:rPr>
        <w:t>,</w:t>
      </w:r>
      <w:r w:rsidRPr="00F71BE7">
        <w:rPr>
          <w:b/>
          <w:bCs/>
        </w:rPr>
        <w:t xml:space="preserve"> </w:t>
      </w:r>
      <w:r w:rsidR="0069014C" w:rsidRPr="00F71BE7">
        <w:rPr>
          <w:b/>
          <w:bCs/>
          <w:lang w:val="en-US"/>
        </w:rPr>
        <w:t xml:space="preserve">accompanied by the opinion of the Legal Advisor, </w:t>
      </w:r>
      <w:r w:rsidRPr="00F71BE7">
        <w:rPr>
          <w:b/>
          <w:bCs/>
        </w:rPr>
        <w:t xml:space="preserve">for consideration </w:t>
      </w:r>
      <w:r w:rsidRPr="005A42B9">
        <w:rPr>
          <w:b/>
          <w:bCs/>
        </w:rPr>
        <w:t xml:space="preserve">at </w:t>
      </w:r>
      <w:r>
        <w:rPr>
          <w:b/>
          <w:bCs/>
        </w:rPr>
        <w:t>SC63</w:t>
      </w:r>
      <w:r w:rsidRPr="005A42B9">
        <w:rPr>
          <w:b/>
          <w:bCs/>
        </w:rPr>
        <w:t>.</w:t>
      </w:r>
    </w:p>
    <w:p w14:paraId="7BBA8048" w14:textId="77777777" w:rsidR="00377ED0" w:rsidRDefault="00377ED0" w:rsidP="00DB549D">
      <w:pPr>
        <w:pStyle w:val="ColorfulList-Accent11"/>
        <w:ind w:left="0" w:firstLine="0"/>
        <w:rPr>
          <w:b/>
          <w:bCs/>
        </w:rPr>
      </w:pPr>
    </w:p>
    <w:p w14:paraId="4C2C58CA" w14:textId="77777777" w:rsidR="00DB549D"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pPr>
      <w:r w:rsidRPr="001340A2">
        <w:rPr>
          <w:rFonts w:cstheme="minorHAnsi"/>
          <w:bCs/>
        </w:rPr>
        <w:t xml:space="preserve">Agenda item </w:t>
      </w:r>
      <w:r>
        <w:rPr>
          <w:rFonts w:cstheme="minorHAnsi"/>
          <w:bCs/>
        </w:rPr>
        <w:t>21</w:t>
      </w:r>
      <w:r w:rsidRPr="001340A2">
        <w:rPr>
          <w:rFonts w:cstheme="minorHAnsi"/>
          <w:bCs/>
        </w:rPr>
        <w:t xml:space="preserve">: </w:t>
      </w:r>
      <w:r>
        <w:rPr>
          <w:rFonts w:cstheme="minorHAnsi"/>
          <w:bCs/>
        </w:rPr>
        <w:t>National Report for COP15 (continued)</w:t>
      </w:r>
    </w:p>
    <w:p w14:paraId="731D5C6D" w14:textId="77777777" w:rsidR="00DB549D" w:rsidRDefault="00DB549D" w:rsidP="00DB549D">
      <w:pPr>
        <w:keepNext/>
        <w:spacing w:after="0" w:line="240" w:lineRule="auto"/>
        <w:ind w:left="720" w:hanging="720"/>
        <w:rPr>
          <w:rFonts w:eastAsia="Calibri" w:cstheme="minorHAnsi"/>
          <w:bCs/>
        </w:rPr>
      </w:pPr>
    </w:p>
    <w:p w14:paraId="486FC3E6" w14:textId="77777777" w:rsidR="00DB549D" w:rsidRPr="00CB6A20" w:rsidRDefault="00DB549D" w:rsidP="00DB549D">
      <w:pPr>
        <w:spacing w:after="0" w:line="240" w:lineRule="auto"/>
        <w:rPr>
          <w:b/>
          <w:bCs/>
        </w:rPr>
      </w:pPr>
      <w:r w:rsidRPr="00CB6A20">
        <w:rPr>
          <w:b/>
          <w:bCs/>
        </w:rPr>
        <w:t>Decision SC62-5</w:t>
      </w:r>
      <w:r>
        <w:rPr>
          <w:b/>
          <w:bCs/>
        </w:rPr>
        <w:t>6</w:t>
      </w:r>
      <w:r w:rsidRPr="00CB6A20">
        <w:rPr>
          <w:b/>
          <w:bCs/>
        </w:rPr>
        <w:t>: The Standing Committee approved the COP15 National Report form as presented in document SC62 Com.3.</w:t>
      </w:r>
    </w:p>
    <w:p w14:paraId="02BB239A" w14:textId="77777777" w:rsidR="00DB549D" w:rsidRDefault="00DB549D" w:rsidP="00DB549D">
      <w:pPr>
        <w:pStyle w:val="ColorfulList-Accent11"/>
        <w:ind w:left="0" w:firstLine="0"/>
        <w:rPr>
          <w:b/>
          <w:bCs/>
          <w:iCs/>
          <w:color w:val="000000" w:themeColor="text1"/>
        </w:rPr>
      </w:pPr>
    </w:p>
    <w:p w14:paraId="605184A3" w14:textId="77777777" w:rsidR="00DB549D"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pPr>
      <w:r w:rsidRPr="00DB2363">
        <w:rPr>
          <w:rFonts w:cstheme="minorHAnsi"/>
          <w:bCs/>
        </w:rPr>
        <w:t xml:space="preserve">Agenda item </w:t>
      </w:r>
      <w:r>
        <w:rPr>
          <w:rFonts w:cstheme="minorHAnsi"/>
          <w:bCs/>
        </w:rPr>
        <w:t>24</w:t>
      </w:r>
      <w:r w:rsidRPr="00DB2363">
        <w:rPr>
          <w:rFonts w:cstheme="minorHAnsi"/>
          <w:bCs/>
        </w:rPr>
        <w:t xml:space="preserve">: </w:t>
      </w:r>
      <w:r w:rsidRPr="005A42B9">
        <w:rPr>
          <w:rFonts w:cstheme="minorHAnsi"/>
          <w:bCs/>
        </w:rPr>
        <w:t>Update of the Secretariat on the implementation of Resolution XIV.20</w:t>
      </w:r>
    </w:p>
    <w:p w14:paraId="6B41B03E" w14:textId="77777777" w:rsidR="00DB549D" w:rsidRPr="009F6130" w:rsidRDefault="00DB549D" w:rsidP="00DB549D">
      <w:pPr>
        <w:spacing w:after="0" w:line="240" w:lineRule="auto"/>
        <w:ind w:left="567" w:hanging="567"/>
      </w:pPr>
    </w:p>
    <w:p w14:paraId="5213297E" w14:textId="77777777" w:rsidR="00DB549D" w:rsidRDefault="00DB549D" w:rsidP="00DB549D">
      <w:pPr>
        <w:pStyle w:val="ColorfulList-Accent11"/>
        <w:ind w:left="0" w:firstLine="0"/>
        <w:rPr>
          <w:b/>
          <w:bCs/>
          <w:i/>
          <w:iCs/>
        </w:rPr>
      </w:pPr>
      <w:r w:rsidRPr="009F6130">
        <w:rPr>
          <w:b/>
          <w:bCs/>
        </w:rPr>
        <w:t>Decision SC62-</w:t>
      </w:r>
      <w:r w:rsidRPr="009C714F">
        <w:rPr>
          <w:b/>
          <w:bCs/>
        </w:rPr>
        <w:t>5</w:t>
      </w:r>
      <w:r>
        <w:rPr>
          <w:b/>
          <w:bCs/>
        </w:rPr>
        <w:t>7</w:t>
      </w:r>
      <w:r w:rsidRPr="009F6130">
        <w:rPr>
          <w:b/>
          <w:bCs/>
        </w:rPr>
        <w:t xml:space="preserve">: The Standing Committee </w:t>
      </w:r>
      <w:r>
        <w:rPr>
          <w:b/>
          <w:bCs/>
        </w:rPr>
        <w:t xml:space="preserve">took note of the update of the Secretariat on the implementation of Resolution XIV.20 </w:t>
      </w:r>
      <w:r w:rsidRPr="009F6130">
        <w:rPr>
          <w:b/>
          <w:bCs/>
        </w:rPr>
        <w:t xml:space="preserve">on </w:t>
      </w:r>
      <w:r w:rsidRPr="009F6130">
        <w:rPr>
          <w:b/>
          <w:bCs/>
          <w:i/>
          <w:iCs/>
        </w:rPr>
        <w:t>The Ramsar Convention’s response to environmental emergency in Ukraine relating to the damage of its Wetlands of International Importance (Ramsar Sites) stemming from the Russian Federation’s aggression.</w:t>
      </w:r>
    </w:p>
    <w:p w14:paraId="442BA110" w14:textId="77777777" w:rsidR="00DB549D" w:rsidRPr="00926AFC" w:rsidRDefault="00DB549D" w:rsidP="00DB549D">
      <w:pPr>
        <w:pStyle w:val="ColorfulList-Accent11"/>
        <w:ind w:left="0" w:firstLine="0"/>
        <w:rPr>
          <w:b/>
          <w:bCs/>
        </w:rPr>
      </w:pPr>
    </w:p>
    <w:p w14:paraId="58CEB7EE" w14:textId="77777777" w:rsidR="00DB549D" w:rsidRPr="009F6130"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pPr>
      <w:r w:rsidRPr="009F6130">
        <w:rPr>
          <w:rFonts w:cstheme="minorHAnsi"/>
          <w:bCs/>
        </w:rPr>
        <w:t xml:space="preserve">Agenda item </w:t>
      </w:r>
      <w:r>
        <w:rPr>
          <w:rFonts w:cstheme="minorHAnsi"/>
          <w:bCs/>
        </w:rPr>
        <w:t>27</w:t>
      </w:r>
      <w:r w:rsidRPr="009F6130">
        <w:rPr>
          <w:rFonts w:cstheme="minorHAnsi"/>
          <w:bCs/>
        </w:rPr>
        <w:t xml:space="preserve">: </w:t>
      </w:r>
      <w:r w:rsidRPr="00234D7C">
        <w:t>Dates of the 63rd meeting of the Standing Committee</w:t>
      </w:r>
    </w:p>
    <w:p w14:paraId="3F694845" w14:textId="77777777" w:rsidR="00DB549D" w:rsidRPr="009F6130" w:rsidRDefault="00DB549D" w:rsidP="00DB549D">
      <w:pPr>
        <w:spacing w:after="0" w:line="240" w:lineRule="auto"/>
        <w:ind w:left="720" w:hanging="720"/>
      </w:pPr>
    </w:p>
    <w:p w14:paraId="450648F2" w14:textId="77777777" w:rsidR="00DB549D" w:rsidRDefault="00DB549D" w:rsidP="00DB549D">
      <w:pPr>
        <w:spacing w:after="0" w:line="240" w:lineRule="auto"/>
        <w:contextualSpacing/>
        <w:rPr>
          <w:rFonts w:cstheme="minorHAnsi"/>
          <w:b/>
        </w:rPr>
      </w:pPr>
      <w:r w:rsidRPr="009C714F">
        <w:rPr>
          <w:rFonts w:cstheme="minorHAnsi"/>
          <w:b/>
        </w:rPr>
        <w:t>Decision SC62-5</w:t>
      </w:r>
      <w:r>
        <w:rPr>
          <w:rFonts w:cstheme="minorHAnsi"/>
          <w:b/>
        </w:rPr>
        <w:t>8</w:t>
      </w:r>
      <w:r w:rsidRPr="009F6130">
        <w:rPr>
          <w:rFonts w:cstheme="minorHAnsi"/>
          <w:b/>
        </w:rPr>
        <w:t xml:space="preserve">: The Standing Committee </w:t>
      </w:r>
      <w:r>
        <w:rPr>
          <w:rFonts w:cstheme="minorHAnsi"/>
          <w:b/>
        </w:rPr>
        <w:t xml:space="preserve">decided that the 63rd meeting of the Standing Committee will take place from 3 to 7 June 2024, noting that dates for the 64th meeting will be decided at SC63. </w:t>
      </w:r>
    </w:p>
    <w:p w14:paraId="70B4CE1F" w14:textId="4F7C07DE" w:rsidR="00DB549D" w:rsidRDefault="00DB549D" w:rsidP="00D277FA">
      <w:r>
        <w:t xml:space="preserve"> </w:t>
      </w:r>
    </w:p>
    <w:sectPr w:rsidR="00DB549D" w:rsidSect="00545238">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6AC34" w14:textId="77777777" w:rsidR="00D277FA" w:rsidRDefault="00D277FA" w:rsidP="0021462B">
      <w:pPr>
        <w:spacing w:after="0" w:line="240" w:lineRule="auto"/>
      </w:pPr>
      <w:r>
        <w:separator/>
      </w:r>
    </w:p>
  </w:endnote>
  <w:endnote w:type="continuationSeparator" w:id="0">
    <w:p w14:paraId="72AE78D3" w14:textId="77777777" w:rsidR="00D277FA" w:rsidRDefault="00D277FA" w:rsidP="0021462B">
      <w:pPr>
        <w:spacing w:after="0" w:line="240" w:lineRule="auto"/>
      </w:pPr>
      <w:r>
        <w:continuationSeparator/>
      </w:r>
    </w:p>
  </w:endnote>
  <w:endnote w:type="continuationNotice" w:id="1">
    <w:p w14:paraId="7B34A3AF" w14:textId="77777777" w:rsidR="00D277FA" w:rsidRDefault="00D27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Courier New"/>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CEB8E" w14:textId="7BFE3153" w:rsidR="00D277FA" w:rsidRPr="0021462B" w:rsidRDefault="00D277FA">
    <w:pPr>
      <w:pStyle w:val="Footer"/>
      <w:rPr>
        <w:sz w:val="20"/>
        <w:szCs w:val="20"/>
      </w:rPr>
    </w:pPr>
    <w:r>
      <w:rPr>
        <w:sz w:val="20"/>
        <w:szCs w:val="20"/>
      </w:rPr>
      <w:t>SC62 Decisions</w:t>
    </w:r>
    <w:r w:rsidRPr="0021462B">
      <w:rPr>
        <w:sz w:val="20"/>
        <w:szCs w:val="20"/>
      </w:rPr>
      <w:tab/>
    </w:r>
    <w:r w:rsidRPr="0021462B">
      <w:rPr>
        <w:sz w:val="20"/>
        <w:szCs w:val="20"/>
      </w:rPr>
      <w:tab/>
    </w:r>
    <w:r>
      <w:fldChar w:fldCharType="begin"/>
    </w:r>
    <w:r>
      <w:instrText xml:space="preserve"> PAGE   \* MERGEFORMAT </w:instrText>
    </w:r>
    <w:r>
      <w:fldChar w:fldCharType="separate"/>
    </w:r>
    <w:r w:rsidR="007D3569" w:rsidRPr="007D3569">
      <w:rPr>
        <w:noProof/>
        <w:sz w:val="20"/>
        <w:szCs w:val="20"/>
      </w:rPr>
      <w:t>7</w:t>
    </w:r>
    <w:r>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99F0F" w14:textId="77777777" w:rsidR="00D277FA" w:rsidRDefault="00D277FA" w:rsidP="0021462B">
      <w:pPr>
        <w:spacing w:after="0" w:line="240" w:lineRule="auto"/>
      </w:pPr>
      <w:r>
        <w:separator/>
      </w:r>
    </w:p>
  </w:footnote>
  <w:footnote w:type="continuationSeparator" w:id="0">
    <w:p w14:paraId="13AD0223" w14:textId="77777777" w:rsidR="00D277FA" w:rsidRDefault="00D277FA" w:rsidP="0021462B">
      <w:pPr>
        <w:spacing w:after="0" w:line="240" w:lineRule="auto"/>
      </w:pPr>
      <w:r>
        <w:continuationSeparator/>
      </w:r>
    </w:p>
  </w:footnote>
  <w:footnote w:type="continuationNotice" w:id="1">
    <w:p w14:paraId="475F73C1" w14:textId="77777777" w:rsidR="00D277FA" w:rsidRDefault="00D277FA">
      <w:pPr>
        <w:spacing w:after="0" w:line="240" w:lineRule="auto"/>
      </w:pPr>
    </w:p>
  </w:footnote>
  <w:footnote w:id="2">
    <w:p w14:paraId="22328EBF" w14:textId="08B0BC42" w:rsidR="00084F47" w:rsidRDefault="00084F47">
      <w:pPr>
        <w:pStyle w:val="FootnoteText"/>
      </w:pPr>
      <w:r>
        <w:rPr>
          <w:rStyle w:val="FootnoteReference"/>
        </w:rPr>
        <w:footnoteRef/>
      </w:r>
      <w:r>
        <w:t xml:space="preserve"> </w:t>
      </w:r>
      <w:r>
        <w:t xml:space="preserve">For the resulting core budget for 2023, see Annex 1 of </w:t>
      </w:r>
      <w:hyperlink r:id="rId1" w:history="1">
        <w:r w:rsidRPr="00473517">
          <w:rPr>
            <w:rStyle w:val="Hyperlink"/>
          </w:rPr>
          <w:t xml:space="preserve">document SC62 Com.1 Rev.2 </w:t>
        </w:r>
        <w:r w:rsidRPr="00473517">
          <w:rPr>
            <w:rStyle w:val="Hyperlink"/>
            <w:i/>
          </w:rPr>
          <w:t>Report of the Subgroup on Finance, 4 September 2023</w:t>
        </w:r>
      </w:hyperlink>
      <w:r>
        <w:t>.</w:t>
      </w:r>
      <w:bookmarkStart w:id="1" w:name="_GoBack"/>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C0AA6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C5307"/>
    <w:multiLevelType w:val="hybridMultilevel"/>
    <w:tmpl w:val="9904D6C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49D1F51"/>
    <w:multiLevelType w:val="hybridMultilevel"/>
    <w:tmpl w:val="470AA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D00C4"/>
    <w:multiLevelType w:val="hybridMultilevel"/>
    <w:tmpl w:val="1110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F234D"/>
    <w:multiLevelType w:val="hybridMultilevel"/>
    <w:tmpl w:val="D23A8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51E5F"/>
    <w:multiLevelType w:val="hybridMultilevel"/>
    <w:tmpl w:val="ADC621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C364D7"/>
    <w:multiLevelType w:val="hybridMultilevel"/>
    <w:tmpl w:val="2B58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5563A"/>
    <w:multiLevelType w:val="hybridMultilevel"/>
    <w:tmpl w:val="78C487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9B4DAF"/>
    <w:multiLevelType w:val="hybridMultilevel"/>
    <w:tmpl w:val="F806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650769"/>
    <w:multiLevelType w:val="hybridMultilevel"/>
    <w:tmpl w:val="CDBEA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D88562E"/>
    <w:multiLevelType w:val="hybridMultilevel"/>
    <w:tmpl w:val="B8A2C9F2"/>
    <w:lvl w:ilvl="0" w:tplc="22D222B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FBD7CD6"/>
    <w:multiLevelType w:val="hybridMultilevel"/>
    <w:tmpl w:val="25DA9FBA"/>
    <w:lvl w:ilvl="0" w:tplc="A2EE119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3140CC0"/>
    <w:multiLevelType w:val="hybridMultilevel"/>
    <w:tmpl w:val="B98A610E"/>
    <w:lvl w:ilvl="0" w:tplc="C96CE294">
      <w:numFmt w:val="bullet"/>
      <w:lvlText w:val="-"/>
      <w:lvlJc w:val="left"/>
      <w:pPr>
        <w:ind w:left="720" w:hanging="360"/>
      </w:pPr>
      <w:rPr>
        <w:rFonts w:ascii="Calibri" w:eastAsiaTheme="minorHAnsi" w:hAnsi="Calibri" w:cs="Calibri" w:hint="default"/>
      </w:rPr>
    </w:lvl>
    <w:lvl w:ilvl="1" w:tplc="C96CE29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8D6AB8"/>
    <w:multiLevelType w:val="hybridMultilevel"/>
    <w:tmpl w:val="64EADCE6"/>
    <w:lvl w:ilvl="0" w:tplc="F2BCC0FE">
      <w:start w:val="1"/>
      <w:numFmt w:val="lowerRoman"/>
      <w:lvlText w:val="%1)"/>
      <w:lvlJc w:val="left"/>
      <w:pPr>
        <w:ind w:left="1287" w:hanging="720"/>
      </w:pPr>
      <w:rPr>
        <w:rFonts w:cs="Garamond"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1B4A0D87"/>
    <w:multiLevelType w:val="hybridMultilevel"/>
    <w:tmpl w:val="334086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372F92"/>
    <w:multiLevelType w:val="hybridMultilevel"/>
    <w:tmpl w:val="82CE9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F263800"/>
    <w:multiLevelType w:val="multilevel"/>
    <w:tmpl w:val="07EA01E0"/>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222B14F3"/>
    <w:multiLevelType w:val="hybridMultilevel"/>
    <w:tmpl w:val="5AA4D6D6"/>
    <w:lvl w:ilvl="0" w:tplc="6C8CD786">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03549B"/>
    <w:multiLevelType w:val="multilevel"/>
    <w:tmpl w:val="B2169226"/>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232D204B"/>
    <w:multiLevelType w:val="multilevel"/>
    <w:tmpl w:val="4AE49D18"/>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245046B4"/>
    <w:multiLevelType w:val="multilevel"/>
    <w:tmpl w:val="8F32EE4A"/>
    <w:styleLink w:val="Style1"/>
    <w:lvl w:ilvl="0">
      <w:start w:val="1"/>
      <w:numFmt w:val="decimal"/>
      <w:lvlText w:val="%1."/>
      <w:lvlJc w:val="left"/>
      <w:pPr>
        <w:ind w:left="720" w:hanging="360"/>
      </w:pPr>
      <w:rPr>
        <w:rFonts w:hint="default"/>
      </w:rPr>
    </w:lvl>
    <w:lvl w:ilvl="1">
      <w:start w:val="1"/>
      <w:numFmt w:val="lowerRoman"/>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4BE3FE4"/>
    <w:multiLevelType w:val="multilevel"/>
    <w:tmpl w:val="3CDA08FE"/>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26A96D56"/>
    <w:multiLevelType w:val="hybridMultilevel"/>
    <w:tmpl w:val="BB60C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A8640E"/>
    <w:multiLevelType w:val="hybridMultilevel"/>
    <w:tmpl w:val="D1D0A640"/>
    <w:lvl w:ilvl="0" w:tplc="08090001">
      <w:start w:val="1"/>
      <w:numFmt w:val="bullet"/>
      <w:lvlText w:val=""/>
      <w:lvlJc w:val="left"/>
      <w:pPr>
        <w:ind w:left="1139" w:hanging="360"/>
      </w:pPr>
      <w:rPr>
        <w:rFonts w:ascii="Symbol" w:hAnsi="Symbol"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24" w15:restartNumberingAfterBreak="0">
    <w:nsid w:val="2A56685D"/>
    <w:multiLevelType w:val="hybridMultilevel"/>
    <w:tmpl w:val="E448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02716D"/>
    <w:multiLevelType w:val="hybridMultilevel"/>
    <w:tmpl w:val="2FFC386E"/>
    <w:lvl w:ilvl="0" w:tplc="3D881EA8">
      <w:start w:val="1"/>
      <w:numFmt w:val="lowerRoman"/>
      <w:lvlText w:val="%1."/>
      <w:lvlJc w:val="left"/>
      <w:pPr>
        <w:ind w:left="1428"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2FB3115D"/>
    <w:multiLevelType w:val="hybridMultilevel"/>
    <w:tmpl w:val="8B3C1808"/>
    <w:lvl w:ilvl="0" w:tplc="7234ABEE">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085F81"/>
    <w:multiLevelType w:val="hybridMultilevel"/>
    <w:tmpl w:val="41027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7277AB"/>
    <w:multiLevelType w:val="hybridMultilevel"/>
    <w:tmpl w:val="5C6C0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355FB3"/>
    <w:multiLevelType w:val="multilevel"/>
    <w:tmpl w:val="1DFA58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0" w15:restartNumberingAfterBreak="0">
    <w:nsid w:val="43960673"/>
    <w:multiLevelType w:val="multilevel"/>
    <w:tmpl w:val="2806D0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443C7849"/>
    <w:multiLevelType w:val="hybridMultilevel"/>
    <w:tmpl w:val="EEFCB7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40162C"/>
    <w:multiLevelType w:val="multilevel"/>
    <w:tmpl w:val="8F32EE4A"/>
    <w:numStyleLink w:val="Style1"/>
  </w:abstractNum>
  <w:abstractNum w:abstractNumId="33" w15:restartNumberingAfterBreak="0">
    <w:nsid w:val="5324424E"/>
    <w:multiLevelType w:val="multilevel"/>
    <w:tmpl w:val="F6ACC8A2"/>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15:restartNumberingAfterBreak="0">
    <w:nsid w:val="57313E7F"/>
    <w:multiLevelType w:val="hybridMultilevel"/>
    <w:tmpl w:val="C17E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5D460E"/>
    <w:multiLevelType w:val="hybridMultilevel"/>
    <w:tmpl w:val="AE14E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5D40B0"/>
    <w:multiLevelType w:val="hybridMultilevel"/>
    <w:tmpl w:val="E600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B80443"/>
    <w:multiLevelType w:val="hybridMultilevel"/>
    <w:tmpl w:val="5C64E3AE"/>
    <w:lvl w:ilvl="0" w:tplc="E84070E4">
      <w:start w:val="1"/>
      <w:numFmt w:val="bullet"/>
      <w:lvlText w:val=""/>
      <w:lvlJc w:val="left"/>
      <w:pPr>
        <w:tabs>
          <w:tab w:val="num" w:pos="2268"/>
        </w:tabs>
        <w:ind w:left="2268" w:hanging="567"/>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8" w15:restartNumberingAfterBreak="0">
    <w:nsid w:val="60C65BE8"/>
    <w:multiLevelType w:val="hybridMultilevel"/>
    <w:tmpl w:val="42C2A2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3A503E6"/>
    <w:multiLevelType w:val="hybridMultilevel"/>
    <w:tmpl w:val="9BACA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44457B4"/>
    <w:multiLevelType w:val="hybridMultilevel"/>
    <w:tmpl w:val="93AC931A"/>
    <w:lvl w:ilvl="0" w:tplc="4286943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4F7510"/>
    <w:multiLevelType w:val="hybridMultilevel"/>
    <w:tmpl w:val="2B801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2F08D0"/>
    <w:multiLevelType w:val="multilevel"/>
    <w:tmpl w:val="2F0674DE"/>
    <w:lvl w:ilvl="0">
      <w:start w:val="1"/>
      <w:numFmt w:val="decimal"/>
      <w:lvlText w:val="%1."/>
      <w:lvlJc w:val="left"/>
      <w:pPr>
        <w:ind w:left="422" w:hanging="360"/>
      </w:pPr>
      <w:rPr>
        <w:rFonts w:hint="default"/>
      </w:rPr>
    </w:lvl>
    <w:lvl w:ilvl="1">
      <w:start w:val="1"/>
      <w:numFmt w:val="lowerRoman"/>
      <w:lvlText w:val="%2."/>
      <w:lvlJc w:val="left"/>
      <w:pPr>
        <w:ind w:left="1142" w:hanging="360"/>
      </w:pPr>
      <w:rPr>
        <w:rFonts w:hint="default"/>
      </w:rPr>
    </w:lvl>
    <w:lvl w:ilvl="2">
      <w:start w:val="1"/>
      <w:numFmt w:val="lowerLetter"/>
      <w:lvlText w:val="%3."/>
      <w:lvlJc w:val="right"/>
      <w:pPr>
        <w:ind w:left="1862" w:hanging="180"/>
      </w:pPr>
      <w:rPr>
        <w:rFonts w:hint="default"/>
      </w:rPr>
    </w:lvl>
    <w:lvl w:ilvl="3">
      <w:start w:val="1"/>
      <w:numFmt w:val="decimal"/>
      <w:lvlText w:val="%4."/>
      <w:lvlJc w:val="left"/>
      <w:pPr>
        <w:ind w:left="2582" w:hanging="360"/>
      </w:pPr>
      <w:rPr>
        <w:rFonts w:hint="default"/>
      </w:rPr>
    </w:lvl>
    <w:lvl w:ilvl="4">
      <w:start w:val="1"/>
      <w:numFmt w:val="lowerLetter"/>
      <w:lvlText w:val="%5."/>
      <w:lvlJc w:val="left"/>
      <w:pPr>
        <w:ind w:left="3302" w:hanging="360"/>
      </w:pPr>
      <w:rPr>
        <w:rFonts w:hint="default"/>
      </w:rPr>
    </w:lvl>
    <w:lvl w:ilvl="5">
      <w:start w:val="1"/>
      <w:numFmt w:val="lowerRoman"/>
      <w:lvlText w:val="%6."/>
      <w:lvlJc w:val="right"/>
      <w:pPr>
        <w:ind w:left="4022" w:hanging="180"/>
      </w:pPr>
      <w:rPr>
        <w:rFonts w:hint="default"/>
      </w:rPr>
    </w:lvl>
    <w:lvl w:ilvl="6">
      <w:start w:val="1"/>
      <w:numFmt w:val="decimal"/>
      <w:lvlText w:val="%7."/>
      <w:lvlJc w:val="left"/>
      <w:pPr>
        <w:ind w:left="4742" w:hanging="360"/>
      </w:pPr>
      <w:rPr>
        <w:rFonts w:hint="default"/>
      </w:rPr>
    </w:lvl>
    <w:lvl w:ilvl="7">
      <w:start w:val="1"/>
      <w:numFmt w:val="lowerLetter"/>
      <w:lvlText w:val="%8."/>
      <w:lvlJc w:val="left"/>
      <w:pPr>
        <w:ind w:left="5462" w:hanging="360"/>
      </w:pPr>
      <w:rPr>
        <w:rFonts w:hint="default"/>
      </w:rPr>
    </w:lvl>
    <w:lvl w:ilvl="8">
      <w:start w:val="1"/>
      <w:numFmt w:val="lowerRoman"/>
      <w:lvlText w:val="%9."/>
      <w:lvlJc w:val="right"/>
      <w:pPr>
        <w:ind w:left="6182" w:hanging="180"/>
      </w:pPr>
      <w:rPr>
        <w:rFonts w:hint="default"/>
      </w:rPr>
    </w:lvl>
  </w:abstractNum>
  <w:abstractNum w:abstractNumId="44" w15:restartNumberingAfterBreak="0">
    <w:nsid w:val="717F6808"/>
    <w:multiLevelType w:val="hybridMultilevel"/>
    <w:tmpl w:val="BFFA8C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F012DB"/>
    <w:multiLevelType w:val="hybridMultilevel"/>
    <w:tmpl w:val="453C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73121A"/>
    <w:multiLevelType w:val="hybridMultilevel"/>
    <w:tmpl w:val="1380905A"/>
    <w:lvl w:ilvl="0" w:tplc="78A84DD0">
      <w:start w:val="1"/>
      <w:numFmt w:val="lowerRoman"/>
      <w:lvlText w:val="%1."/>
      <w:lvlJc w:val="left"/>
      <w:pPr>
        <w:ind w:left="1288"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844294"/>
    <w:multiLevelType w:val="hybridMultilevel"/>
    <w:tmpl w:val="FF0CFD80"/>
    <w:lvl w:ilvl="0" w:tplc="E2324394">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1142C1"/>
    <w:multiLevelType w:val="multilevel"/>
    <w:tmpl w:val="4D007754"/>
    <w:lvl w:ilvl="0">
      <w:start w:val="1"/>
      <w:numFmt w:val="bullet"/>
      <w:lvlText w:val=""/>
      <w:lvlJc w:val="left"/>
      <w:pPr>
        <w:ind w:left="1080" w:hanging="360"/>
      </w:pPr>
      <w:rPr>
        <w:rFonts w:ascii="Symbol" w:hAnsi="Symbol"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9" w15:restartNumberingAfterBreak="0">
    <w:nsid w:val="7CF63621"/>
    <w:multiLevelType w:val="hybridMultilevel"/>
    <w:tmpl w:val="815AECD8"/>
    <w:lvl w:ilvl="0" w:tplc="7CE271C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0" w15:restartNumberingAfterBreak="0">
    <w:nsid w:val="7D784798"/>
    <w:multiLevelType w:val="hybridMultilevel"/>
    <w:tmpl w:val="8B8AC346"/>
    <w:lvl w:ilvl="0" w:tplc="0FD260FC">
      <w:start w:val="1"/>
      <w:numFmt w:val="lowerRoman"/>
      <w:lvlText w:val="%1."/>
      <w:lvlJc w:val="left"/>
      <w:pPr>
        <w:ind w:left="1571" w:hanging="72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7E525F14"/>
    <w:multiLevelType w:val="multilevel"/>
    <w:tmpl w:val="C5945B90"/>
    <w:lvl w:ilvl="0">
      <w:start w:val="1"/>
      <w:numFmt w:val="decimal"/>
      <w:lvlText w:val="%1."/>
      <w:lvlJc w:val="left"/>
      <w:pPr>
        <w:ind w:left="422" w:hanging="360"/>
      </w:pPr>
      <w:rPr>
        <w:rFonts w:hint="default"/>
      </w:rPr>
    </w:lvl>
    <w:lvl w:ilvl="1">
      <w:start w:val="1"/>
      <w:numFmt w:val="lowerRoman"/>
      <w:lvlText w:val="%2."/>
      <w:lvlJc w:val="left"/>
      <w:pPr>
        <w:ind w:left="1142" w:hanging="360"/>
      </w:pPr>
      <w:rPr>
        <w:rFonts w:hint="default"/>
      </w:rPr>
    </w:lvl>
    <w:lvl w:ilvl="2">
      <w:start w:val="1"/>
      <w:numFmt w:val="lowerLetter"/>
      <w:lvlText w:val="%3."/>
      <w:lvlJc w:val="right"/>
      <w:pPr>
        <w:ind w:left="1862" w:hanging="180"/>
      </w:pPr>
      <w:rPr>
        <w:rFonts w:hint="default"/>
      </w:rPr>
    </w:lvl>
    <w:lvl w:ilvl="3">
      <w:start w:val="1"/>
      <w:numFmt w:val="decimal"/>
      <w:lvlText w:val="%4."/>
      <w:lvlJc w:val="left"/>
      <w:pPr>
        <w:ind w:left="2582" w:hanging="360"/>
      </w:pPr>
      <w:rPr>
        <w:rFonts w:hint="default"/>
      </w:rPr>
    </w:lvl>
    <w:lvl w:ilvl="4">
      <w:start w:val="1"/>
      <w:numFmt w:val="lowerLetter"/>
      <w:lvlText w:val="%5."/>
      <w:lvlJc w:val="left"/>
      <w:pPr>
        <w:ind w:left="3302" w:hanging="360"/>
      </w:pPr>
      <w:rPr>
        <w:rFonts w:hint="default"/>
      </w:rPr>
    </w:lvl>
    <w:lvl w:ilvl="5">
      <w:start w:val="1"/>
      <w:numFmt w:val="lowerRoman"/>
      <w:lvlText w:val="%6."/>
      <w:lvlJc w:val="right"/>
      <w:pPr>
        <w:ind w:left="4022" w:hanging="180"/>
      </w:pPr>
      <w:rPr>
        <w:rFonts w:hint="default"/>
      </w:rPr>
    </w:lvl>
    <w:lvl w:ilvl="6">
      <w:start w:val="1"/>
      <w:numFmt w:val="decimal"/>
      <w:lvlText w:val="%7."/>
      <w:lvlJc w:val="left"/>
      <w:pPr>
        <w:ind w:left="4742" w:hanging="360"/>
      </w:pPr>
      <w:rPr>
        <w:rFonts w:hint="default"/>
      </w:rPr>
    </w:lvl>
    <w:lvl w:ilvl="7">
      <w:start w:val="1"/>
      <w:numFmt w:val="lowerLetter"/>
      <w:lvlText w:val="%8."/>
      <w:lvlJc w:val="left"/>
      <w:pPr>
        <w:ind w:left="5462" w:hanging="360"/>
      </w:pPr>
      <w:rPr>
        <w:rFonts w:hint="default"/>
      </w:rPr>
    </w:lvl>
    <w:lvl w:ilvl="8">
      <w:start w:val="1"/>
      <w:numFmt w:val="lowerRoman"/>
      <w:lvlText w:val="%9."/>
      <w:lvlJc w:val="right"/>
      <w:pPr>
        <w:ind w:left="6182" w:hanging="180"/>
      </w:pPr>
      <w:rPr>
        <w:rFonts w:hint="default"/>
      </w:rPr>
    </w:lvl>
  </w:abstractNum>
  <w:num w:numId="1">
    <w:abstractNumId w:val="34"/>
  </w:num>
  <w:num w:numId="2">
    <w:abstractNumId w:val="27"/>
  </w:num>
  <w:num w:numId="3">
    <w:abstractNumId w:val="3"/>
  </w:num>
  <w:num w:numId="4">
    <w:abstractNumId w:val="31"/>
  </w:num>
  <w:num w:numId="5">
    <w:abstractNumId w:val="8"/>
  </w:num>
  <w:num w:numId="6">
    <w:abstractNumId w:val="35"/>
  </w:num>
  <w:num w:numId="7">
    <w:abstractNumId w:val="42"/>
  </w:num>
  <w:num w:numId="8">
    <w:abstractNumId w:val="7"/>
  </w:num>
  <w:num w:numId="9">
    <w:abstractNumId w:val="29"/>
  </w:num>
  <w:num w:numId="10">
    <w:abstractNumId w:val="20"/>
  </w:num>
  <w:num w:numId="11">
    <w:abstractNumId w:val="38"/>
  </w:num>
  <w:num w:numId="12">
    <w:abstractNumId w:val="4"/>
  </w:num>
  <w:num w:numId="13">
    <w:abstractNumId w:val="28"/>
  </w:num>
  <w:num w:numId="14">
    <w:abstractNumId w:val="12"/>
  </w:num>
  <w:num w:numId="15">
    <w:abstractNumId w:val="50"/>
  </w:num>
  <w:num w:numId="16">
    <w:abstractNumId w:val="30"/>
  </w:num>
  <w:num w:numId="17">
    <w:abstractNumId w:val="46"/>
  </w:num>
  <w:num w:numId="18">
    <w:abstractNumId w:val="49"/>
  </w:num>
  <w:num w:numId="19">
    <w:abstractNumId w:val="1"/>
  </w:num>
  <w:num w:numId="20">
    <w:abstractNumId w:val="25"/>
  </w:num>
  <w:num w:numId="21">
    <w:abstractNumId w:val="2"/>
  </w:num>
  <w:num w:numId="22">
    <w:abstractNumId w:val="10"/>
  </w:num>
  <w:num w:numId="23">
    <w:abstractNumId w:val="9"/>
  </w:num>
  <w:num w:numId="24">
    <w:abstractNumId w:val="15"/>
  </w:num>
  <w:num w:numId="25">
    <w:abstractNumId w:val="24"/>
  </w:num>
  <w:num w:numId="26">
    <w:abstractNumId w:val="32"/>
  </w:num>
  <w:num w:numId="27">
    <w:abstractNumId w:val="23"/>
  </w:num>
  <w:num w:numId="28">
    <w:abstractNumId w:val="5"/>
  </w:num>
  <w:num w:numId="29">
    <w:abstractNumId w:val="21"/>
  </w:num>
  <w:num w:numId="30">
    <w:abstractNumId w:val="51"/>
  </w:num>
  <w:num w:numId="31">
    <w:abstractNumId w:val="33"/>
  </w:num>
  <w:num w:numId="32">
    <w:abstractNumId w:val="19"/>
  </w:num>
  <w:num w:numId="33">
    <w:abstractNumId w:val="16"/>
  </w:num>
  <w:num w:numId="34">
    <w:abstractNumId w:val="18"/>
  </w:num>
  <w:num w:numId="35">
    <w:abstractNumId w:val="43"/>
  </w:num>
  <w:num w:numId="36">
    <w:abstractNumId w:val="48"/>
  </w:num>
  <w:num w:numId="37">
    <w:abstractNumId w:val="0"/>
  </w:num>
  <w:num w:numId="38">
    <w:abstractNumId w:val="39"/>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47"/>
  </w:num>
  <w:num w:numId="48">
    <w:abstractNumId w:val="26"/>
  </w:num>
  <w:num w:numId="49">
    <w:abstractNumId w:val="41"/>
  </w:num>
  <w:num w:numId="50">
    <w:abstractNumId w:val="6"/>
  </w:num>
  <w:num w:numId="51">
    <w:abstractNumId w:val="36"/>
  </w:num>
  <w:num w:numId="52">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D94"/>
    <w:rsid w:val="0000107B"/>
    <w:rsid w:val="00003406"/>
    <w:rsid w:val="00005539"/>
    <w:rsid w:val="000059FC"/>
    <w:rsid w:val="00011710"/>
    <w:rsid w:val="00015DBE"/>
    <w:rsid w:val="0002326C"/>
    <w:rsid w:val="00035341"/>
    <w:rsid w:val="00037E1E"/>
    <w:rsid w:val="00040BFC"/>
    <w:rsid w:val="00051460"/>
    <w:rsid w:val="00052163"/>
    <w:rsid w:val="00052A2A"/>
    <w:rsid w:val="00065D01"/>
    <w:rsid w:val="00071F08"/>
    <w:rsid w:val="0008003D"/>
    <w:rsid w:val="0008257D"/>
    <w:rsid w:val="00084F47"/>
    <w:rsid w:val="00094BD4"/>
    <w:rsid w:val="00096C8C"/>
    <w:rsid w:val="0009708B"/>
    <w:rsid w:val="000A097F"/>
    <w:rsid w:val="000A1A66"/>
    <w:rsid w:val="000A5B19"/>
    <w:rsid w:val="000A739B"/>
    <w:rsid w:val="000B5097"/>
    <w:rsid w:val="000C31CF"/>
    <w:rsid w:val="000C3B59"/>
    <w:rsid w:val="000D1676"/>
    <w:rsid w:val="000D6619"/>
    <w:rsid w:val="000E0D43"/>
    <w:rsid w:val="000E1B66"/>
    <w:rsid w:val="000E1F64"/>
    <w:rsid w:val="000E621C"/>
    <w:rsid w:val="000F08CF"/>
    <w:rsid w:val="000F0DA6"/>
    <w:rsid w:val="000F6A3D"/>
    <w:rsid w:val="000F768E"/>
    <w:rsid w:val="001032CA"/>
    <w:rsid w:val="001048C0"/>
    <w:rsid w:val="00105953"/>
    <w:rsid w:val="00111E9F"/>
    <w:rsid w:val="0011255C"/>
    <w:rsid w:val="0011266F"/>
    <w:rsid w:val="00113818"/>
    <w:rsid w:val="00121C24"/>
    <w:rsid w:val="001266DB"/>
    <w:rsid w:val="00130E47"/>
    <w:rsid w:val="00131D19"/>
    <w:rsid w:val="001340A2"/>
    <w:rsid w:val="00135706"/>
    <w:rsid w:val="00135C9D"/>
    <w:rsid w:val="00141FBB"/>
    <w:rsid w:val="001436BD"/>
    <w:rsid w:val="00150579"/>
    <w:rsid w:val="00152DA6"/>
    <w:rsid w:val="0017223F"/>
    <w:rsid w:val="0017411A"/>
    <w:rsid w:val="001833DC"/>
    <w:rsid w:val="00184CEB"/>
    <w:rsid w:val="00185088"/>
    <w:rsid w:val="001910B2"/>
    <w:rsid w:val="00197D9D"/>
    <w:rsid w:val="001A1A5D"/>
    <w:rsid w:val="001B1CCF"/>
    <w:rsid w:val="001C643C"/>
    <w:rsid w:val="001C70EF"/>
    <w:rsid w:val="001D3F3C"/>
    <w:rsid w:val="001E31B7"/>
    <w:rsid w:val="001E4709"/>
    <w:rsid w:val="001E7082"/>
    <w:rsid w:val="001E7F06"/>
    <w:rsid w:val="00201B72"/>
    <w:rsid w:val="002035A8"/>
    <w:rsid w:val="00204321"/>
    <w:rsid w:val="0020647A"/>
    <w:rsid w:val="00211A0E"/>
    <w:rsid w:val="00212BA9"/>
    <w:rsid w:val="00213A8D"/>
    <w:rsid w:val="0021462B"/>
    <w:rsid w:val="00214C25"/>
    <w:rsid w:val="00234A2B"/>
    <w:rsid w:val="00242978"/>
    <w:rsid w:val="0024341A"/>
    <w:rsid w:val="00250708"/>
    <w:rsid w:val="002566E0"/>
    <w:rsid w:val="002620FA"/>
    <w:rsid w:val="002676BB"/>
    <w:rsid w:val="00277224"/>
    <w:rsid w:val="00294A7E"/>
    <w:rsid w:val="002B1C9D"/>
    <w:rsid w:val="002B333B"/>
    <w:rsid w:val="002B506E"/>
    <w:rsid w:val="002B5D8A"/>
    <w:rsid w:val="002C18F1"/>
    <w:rsid w:val="002C1D8B"/>
    <w:rsid w:val="002C46E8"/>
    <w:rsid w:val="002D1A0A"/>
    <w:rsid w:val="002D3C07"/>
    <w:rsid w:val="002D70BA"/>
    <w:rsid w:val="002E3F8A"/>
    <w:rsid w:val="002E7E09"/>
    <w:rsid w:val="00300945"/>
    <w:rsid w:val="00307696"/>
    <w:rsid w:val="00310F8B"/>
    <w:rsid w:val="00311EA4"/>
    <w:rsid w:val="00316FB0"/>
    <w:rsid w:val="00320078"/>
    <w:rsid w:val="00322898"/>
    <w:rsid w:val="0032300E"/>
    <w:rsid w:val="00324094"/>
    <w:rsid w:val="003323C2"/>
    <w:rsid w:val="003365A5"/>
    <w:rsid w:val="003370DB"/>
    <w:rsid w:val="0034026E"/>
    <w:rsid w:val="00347B02"/>
    <w:rsid w:val="0035175C"/>
    <w:rsid w:val="00360D78"/>
    <w:rsid w:val="00367A4B"/>
    <w:rsid w:val="00370B73"/>
    <w:rsid w:val="003713EF"/>
    <w:rsid w:val="00373759"/>
    <w:rsid w:val="0037435C"/>
    <w:rsid w:val="00374368"/>
    <w:rsid w:val="00376AEA"/>
    <w:rsid w:val="00377ED0"/>
    <w:rsid w:val="00393E41"/>
    <w:rsid w:val="003B2460"/>
    <w:rsid w:val="003B6C18"/>
    <w:rsid w:val="003C0E3F"/>
    <w:rsid w:val="003C32B7"/>
    <w:rsid w:val="003C4862"/>
    <w:rsid w:val="003C6AE0"/>
    <w:rsid w:val="003D2261"/>
    <w:rsid w:val="003F2D1D"/>
    <w:rsid w:val="003F6F4D"/>
    <w:rsid w:val="00400D96"/>
    <w:rsid w:val="00403150"/>
    <w:rsid w:val="00403D87"/>
    <w:rsid w:val="0041000E"/>
    <w:rsid w:val="00416BFE"/>
    <w:rsid w:val="00434D8C"/>
    <w:rsid w:val="00440B38"/>
    <w:rsid w:val="0045457C"/>
    <w:rsid w:val="00454A69"/>
    <w:rsid w:val="00456B09"/>
    <w:rsid w:val="004608D6"/>
    <w:rsid w:val="00460E83"/>
    <w:rsid w:val="0046529B"/>
    <w:rsid w:val="0046661F"/>
    <w:rsid w:val="00480A12"/>
    <w:rsid w:val="00486AD0"/>
    <w:rsid w:val="004872A3"/>
    <w:rsid w:val="004939F4"/>
    <w:rsid w:val="004A3EEF"/>
    <w:rsid w:val="004A6E99"/>
    <w:rsid w:val="004A701D"/>
    <w:rsid w:val="004B16FF"/>
    <w:rsid w:val="004C2E9B"/>
    <w:rsid w:val="004D20C6"/>
    <w:rsid w:val="004E28BD"/>
    <w:rsid w:val="004E7B4B"/>
    <w:rsid w:val="004F2321"/>
    <w:rsid w:val="0053592E"/>
    <w:rsid w:val="00541DD8"/>
    <w:rsid w:val="00543BF9"/>
    <w:rsid w:val="00545238"/>
    <w:rsid w:val="0054557E"/>
    <w:rsid w:val="00545B64"/>
    <w:rsid w:val="0054722F"/>
    <w:rsid w:val="005502D7"/>
    <w:rsid w:val="00550CBA"/>
    <w:rsid w:val="00554312"/>
    <w:rsid w:val="00554838"/>
    <w:rsid w:val="00571482"/>
    <w:rsid w:val="00580BA8"/>
    <w:rsid w:val="00583A38"/>
    <w:rsid w:val="00584154"/>
    <w:rsid w:val="00584301"/>
    <w:rsid w:val="005936F1"/>
    <w:rsid w:val="005A3D2D"/>
    <w:rsid w:val="005A4B27"/>
    <w:rsid w:val="005B417C"/>
    <w:rsid w:val="005B4766"/>
    <w:rsid w:val="005C32B7"/>
    <w:rsid w:val="005C3E7C"/>
    <w:rsid w:val="005C4477"/>
    <w:rsid w:val="005D1FDD"/>
    <w:rsid w:val="005D5335"/>
    <w:rsid w:val="005D5974"/>
    <w:rsid w:val="005E083C"/>
    <w:rsid w:val="005E33B1"/>
    <w:rsid w:val="005E38DF"/>
    <w:rsid w:val="005E529E"/>
    <w:rsid w:val="005E61C6"/>
    <w:rsid w:val="005F3B51"/>
    <w:rsid w:val="005F4C17"/>
    <w:rsid w:val="00601B54"/>
    <w:rsid w:val="006052CD"/>
    <w:rsid w:val="0061113C"/>
    <w:rsid w:val="00612AE6"/>
    <w:rsid w:val="006208DD"/>
    <w:rsid w:val="006211E5"/>
    <w:rsid w:val="00624DA4"/>
    <w:rsid w:val="00624F00"/>
    <w:rsid w:val="00625EBD"/>
    <w:rsid w:val="00630910"/>
    <w:rsid w:val="00633E8E"/>
    <w:rsid w:val="00635768"/>
    <w:rsid w:val="0064056B"/>
    <w:rsid w:val="00643B66"/>
    <w:rsid w:val="006523E7"/>
    <w:rsid w:val="00655353"/>
    <w:rsid w:val="0065637A"/>
    <w:rsid w:val="0066515D"/>
    <w:rsid w:val="006666D2"/>
    <w:rsid w:val="00666C2B"/>
    <w:rsid w:val="00667D01"/>
    <w:rsid w:val="00675BFB"/>
    <w:rsid w:val="0068291E"/>
    <w:rsid w:val="00683D21"/>
    <w:rsid w:val="0069014C"/>
    <w:rsid w:val="00694026"/>
    <w:rsid w:val="00696420"/>
    <w:rsid w:val="006A020D"/>
    <w:rsid w:val="006A157B"/>
    <w:rsid w:val="006A46EA"/>
    <w:rsid w:val="006A7A89"/>
    <w:rsid w:val="006B3DD2"/>
    <w:rsid w:val="006B761D"/>
    <w:rsid w:val="006C022D"/>
    <w:rsid w:val="006E1938"/>
    <w:rsid w:val="006E457A"/>
    <w:rsid w:val="006F28D9"/>
    <w:rsid w:val="006F5E92"/>
    <w:rsid w:val="007148DF"/>
    <w:rsid w:val="0072363D"/>
    <w:rsid w:val="00727C91"/>
    <w:rsid w:val="007439FE"/>
    <w:rsid w:val="007460D1"/>
    <w:rsid w:val="00747705"/>
    <w:rsid w:val="00753EB2"/>
    <w:rsid w:val="007546F8"/>
    <w:rsid w:val="007564EF"/>
    <w:rsid w:val="0076043D"/>
    <w:rsid w:val="0076130E"/>
    <w:rsid w:val="00764A77"/>
    <w:rsid w:val="00764D6F"/>
    <w:rsid w:val="00765A6C"/>
    <w:rsid w:val="00781BED"/>
    <w:rsid w:val="00783E5D"/>
    <w:rsid w:val="0078588B"/>
    <w:rsid w:val="0079208E"/>
    <w:rsid w:val="00793277"/>
    <w:rsid w:val="00793C93"/>
    <w:rsid w:val="0079631C"/>
    <w:rsid w:val="007A0A3F"/>
    <w:rsid w:val="007A2102"/>
    <w:rsid w:val="007A4532"/>
    <w:rsid w:val="007A6FBF"/>
    <w:rsid w:val="007B277C"/>
    <w:rsid w:val="007C7939"/>
    <w:rsid w:val="007D30A0"/>
    <w:rsid w:val="007D3569"/>
    <w:rsid w:val="007D6AC4"/>
    <w:rsid w:val="007F15B9"/>
    <w:rsid w:val="0081338C"/>
    <w:rsid w:val="0081547F"/>
    <w:rsid w:val="008156F0"/>
    <w:rsid w:val="008179A1"/>
    <w:rsid w:val="00831663"/>
    <w:rsid w:val="0083600D"/>
    <w:rsid w:val="008410FE"/>
    <w:rsid w:val="00844F22"/>
    <w:rsid w:val="008527A0"/>
    <w:rsid w:val="00856084"/>
    <w:rsid w:val="008615C1"/>
    <w:rsid w:val="008804A8"/>
    <w:rsid w:val="00881410"/>
    <w:rsid w:val="00882E05"/>
    <w:rsid w:val="00886369"/>
    <w:rsid w:val="00887882"/>
    <w:rsid w:val="00890A37"/>
    <w:rsid w:val="0089482D"/>
    <w:rsid w:val="00895030"/>
    <w:rsid w:val="00896A77"/>
    <w:rsid w:val="008A2242"/>
    <w:rsid w:val="008B08A9"/>
    <w:rsid w:val="008B6CF3"/>
    <w:rsid w:val="008C1127"/>
    <w:rsid w:val="008C2486"/>
    <w:rsid w:val="008D116B"/>
    <w:rsid w:val="008D5B1B"/>
    <w:rsid w:val="008D7F56"/>
    <w:rsid w:val="008E2CB2"/>
    <w:rsid w:val="008E35E3"/>
    <w:rsid w:val="008E546A"/>
    <w:rsid w:val="00906E1C"/>
    <w:rsid w:val="009076FC"/>
    <w:rsid w:val="009078A5"/>
    <w:rsid w:val="00921422"/>
    <w:rsid w:val="00925E93"/>
    <w:rsid w:val="00933D94"/>
    <w:rsid w:val="0094347C"/>
    <w:rsid w:val="009549BE"/>
    <w:rsid w:val="00955177"/>
    <w:rsid w:val="00956EFE"/>
    <w:rsid w:val="009643B7"/>
    <w:rsid w:val="00965639"/>
    <w:rsid w:val="00976B31"/>
    <w:rsid w:val="00987BD7"/>
    <w:rsid w:val="009A0A9D"/>
    <w:rsid w:val="009A6EDB"/>
    <w:rsid w:val="009B0705"/>
    <w:rsid w:val="009B3C90"/>
    <w:rsid w:val="009C0BA1"/>
    <w:rsid w:val="009C33E8"/>
    <w:rsid w:val="009C5EC5"/>
    <w:rsid w:val="009C6DA8"/>
    <w:rsid w:val="009D38BE"/>
    <w:rsid w:val="009D41B6"/>
    <w:rsid w:val="009F11C2"/>
    <w:rsid w:val="00A143F1"/>
    <w:rsid w:val="00A16F8B"/>
    <w:rsid w:val="00A21C0C"/>
    <w:rsid w:val="00A250BF"/>
    <w:rsid w:val="00A304EB"/>
    <w:rsid w:val="00A35D1B"/>
    <w:rsid w:val="00A47A1A"/>
    <w:rsid w:val="00A54897"/>
    <w:rsid w:val="00A56B91"/>
    <w:rsid w:val="00A86EA6"/>
    <w:rsid w:val="00A900FF"/>
    <w:rsid w:val="00A93866"/>
    <w:rsid w:val="00A97DC2"/>
    <w:rsid w:val="00AA2583"/>
    <w:rsid w:val="00AB1DEB"/>
    <w:rsid w:val="00AB525F"/>
    <w:rsid w:val="00AB5C7C"/>
    <w:rsid w:val="00AC363F"/>
    <w:rsid w:val="00AD14BC"/>
    <w:rsid w:val="00AD3D63"/>
    <w:rsid w:val="00AD793E"/>
    <w:rsid w:val="00AE707B"/>
    <w:rsid w:val="00B03B29"/>
    <w:rsid w:val="00B12EDC"/>
    <w:rsid w:val="00B27D50"/>
    <w:rsid w:val="00B3294C"/>
    <w:rsid w:val="00B3611F"/>
    <w:rsid w:val="00B475AA"/>
    <w:rsid w:val="00B47721"/>
    <w:rsid w:val="00B52919"/>
    <w:rsid w:val="00B60302"/>
    <w:rsid w:val="00B62467"/>
    <w:rsid w:val="00B70D29"/>
    <w:rsid w:val="00B76D18"/>
    <w:rsid w:val="00B77951"/>
    <w:rsid w:val="00B80455"/>
    <w:rsid w:val="00B83816"/>
    <w:rsid w:val="00B93CD7"/>
    <w:rsid w:val="00B97795"/>
    <w:rsid w:val="00BA0294"/>
    <w:rsid w:val="00BA7AAC"/>
    <w:rsid w:val="00BB135B"/>
    <w:rsid w:val="00BB542E"/>
    <w:rsid w:val="00BB77DA"/>
    <w:rsid w:val="00BC304E"/>
    <w:rsid w:val="00BC5FF3"/>
    <w:rsid w:val="00BD21D8"/>
    <w:rsid w:val="00BD2EE2"/>
    <w:rsid w:val="00BD300C"/>
    <w:rsid w:val="00BE2067"/>
    <w:rsid w:val="00BE2ABC"/>
    <w:rsid w:val="00BE56A3"/>
    <w:rsid w:val="00BE59A4"/>
    <w:rsid w:val="00BF06D5"/>
    <w:rsid w:val="00BF73AC"/>
    <w:rsid w:val="00C03FA9"/>
    <w:rsid w:val="00C04BED"/>
    <w:rsid w:val="00C05D05"/>
    <w:rsid w:val="00C115B5"/>
    <w:rsid w:val="00C1221D"/>
    <w:rsid w:val="00C21FDF"/>
    <w:rsid w:val="00C26DEB"/>
    <w:rsid w:val="00C27F80"/>
    <w:rsid w:val="00C56683"/>
    <w:rsid w:val="00C602BE"/>
    <w:rsid w:val="00C611B3"/>
    <w:rsid w:val="00C64C2B"/>
    <w:rsid w:val="00C73282"/>
    <w:rsid w:val="00C92D16"/>
    <w:rsid w:val="00CA2333"/>
    <w:rsid w:val="00CA36D1"/>
    <w:rsid w:val="00CA3BDB"/>
    <w:rsid w:val="00CB5A76"/>
    <w:rsid w:val="00CC30D5"/>
    <w:rsid w:val="00CC3C70"/>
    <w:rsid w:val="00CC6DB5"/>
    <w:rsid w:val="00CE3C87"/>
    <w:rsid w:val="00CF0FE8"/>
    <w:rsid w:val="00CF30CB"/>
    <w:rsid w:val="00D1200F"/>
    <w:rsid w:val="00D163CF"/>
    <w:rsid w:val="00D202CA"/>
    <w:rsid w:val="00D20B2A"/>
    <w:rsid w:val="00D277FA"/>
    <w:rsid w:val="00D315D4"/>
    <w:rsid w:val="00D349A5"/>
    <w:rsid w:val="00D35B8B"/>
    <w:rsid w:val="00D4704A"/>
    <w:rsid w:val="00D47231"/>
    <w:rsid w:val="00D62485"/>
    <w:rsid w:val="00D6398B"/>
    <w:rsid w:val="00D66AE8"/>
    <w:rsid w:val="00D71B9D"/>
    <w:rsid w:val="00D72801"/>
    <w:rsid w:val="00D7656B"/>
    <w:rsid w:val="00D77582"/>
    <w:rsid w:val="00D84F77"/>
    <w:rsid w:val="00D93E9F"/>
    <w:rsid w:val="00DA2204"/>
    <w:rsid w:val="00DA3496"/>
    <w:rsid w:val="00DA7386"/>
    <w:rsid w:val="00DB549D"/>
    <w:rsid w:val="00DB5E67"/>
    <w:rsid w:val="00DC6E49"/>
    <w:rsid w:val="00DE0587"/>
    <w:rsid w:val="00DE252E"/>
    <w:rsid w:val="00DE3186"/>
    <w:rsid w:val="00DE3A3A"/>
    <w:rsid w:val="00DF7D6D"/>
    <w:rsid w:val="00E004FF"/>
    <w:rsid w:val="00E02F47"/>
    <w:rsid w:val="00E21EC0"/>
    <w:rsid w:val="00E22DAF"/>
    <w:rsid w:val="00E24F80"/>
    <w:rsid w:val="00E2616F"/>
    <w:rsid w:val="00E26B7F"/>
    <w:rsid w:val="00E26F60"/>
    <w:rsid w:val="00E35F5F"/>
    <w:rsid w:val="00E378D8"/>
    <w:rsid w:val="00E37D85"/>
    <w:rsid w:val="00E460D8"/>
    <w:rsid w:val="00E57C18"/>
    <w:rsid w:val="00E64244"/>
    <w:rsid w:val="00E6583E"/>
    <w:rsid w:val="00E70BFC"/>
    <w:rsid w:val="00E74514"/>
    <w:rsid w:val="00E76DCA"/>
    <w:rsid w:val="00E828ED"/>
    <w:rsid w:val="00E8665D"/>
    <w:rsid w:val="00E875D4"/>
    <w:rsid w:val="00E97603"/>
    <w:rsid w:val="00EA0885"/>
    <w:rsid w:val="00EB42C7"/>
    <w:rsid w:val="00EB5383"/>
    <w:rsid w:val="00EB67D8"/>
    <w:rsid w:val="00EC300B"/>
    <w:rsid w:val="00EC46D8"/>
    <w:rsid w:val="00ED22B7"/>
    <w:rsid w:val="00EE7105"/>
    <w:rsid w:val="00F00092"/>
    <w:rsid w:val="00F11F8D"/>
    <w:rsid w:val="00F20BB8"/>
    <w:rsid w:val="00F22DC9"/>
    <w:rsid w:val="00F43279"/>
    <w:rsid w:val="00F4437B"/>
    <w:rsid w:val="00F530AD"/>
    <w:rsid w:val="00F565FC"/>
    <w:rsid w:val="00F708A3"/>
    <w:rsid w:val="00F71BE7"/>
    <w:rsid w:val="00F73806"/>
    <w:rsid w:val="00F73DE1"/>
    <w:rsid w:val="00F822F6"/>
    <w:rsid w:val="00F85AA4"/>
    <w:rsid w:val="00F87936"/>
    <w:rsid w:val="00F92602"/>
    <w:rsid w:val="00F92966"/>
    <w:rsid w:val="00F945BA"/>
    <w:rsid w:val="00FA6993"/>
    <w:rsid w:val="00FC0A33"/>
    <w:rsid w:val="00FC0D43"/>
    <w:rsid w:val="00FC1290"/>
    <w:rsid w:val="00FC75A4"/>
    <w:rsid w:val="00FD3CC4"/>
    <w:rsid w:val="00FD6179"/>
    <w:rsid w:val="00FD74FD"/>
    <w:rsid w:val="00FD7646"/>
    <w:rsid w:val="00FE2FC8"/>
    <w:rsid w:val="00FE4641"/>
    <w:rsid w:val="00FE4B20"/>
    <w:rsid w:val="00FE5D4E"/>
    <w:rsid w:val="00FF77AA"/>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4DB96"/>
  <w15:docId w15:val="{73A91A03-A0FB-48E3-8FDC-E973176E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16B"/>
  </w:style>
  <w:style w:type="paragraph" w:styleId="Heading1">
    <w:name w:val="heading 1"/>
    <w:basedOn w:val="Normal"/>
    <w:next w:val="Normal"/>
    <w:link w:val="Heading1Char"/>
    <w:qFormat/>
    <w:rsid w:val="00E460D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nhideWhenUsed/>
    <w:qFormat/>
    <w:rsid w:val="00E460D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nhideWhenUsed/>
    <w:qFormat/>
    <w:rsid w:val="00E460D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nhideWhenUsed/>
    <w:qFormat/>
    <w:rsid w:val="00E460D8"/>
    <w:pPr>
      <w:keepNext/>
      <w:keepLines/>
      <w:spacing w:before="80" w:after="0" w:line="288" w:lineRule="auto"/>
      <w:outlineLvl w:val="3"/>
    </w:pPr>
    <w:rPr>
      <w:rFonts w:asciiTheme="majorHAnsi" w:eastAsiaTheme="majorEastAsia" w:hAnsiTheme="majorHAnsi" w:cstheme="majorBidi"/>
      <w:color w:val="70AD47" w:themeColor="accent6"/>
    </w:rPr>
  </w:style>
  <w:style w:type="paragraph" w:styleId="Heading5">
    <w:name w:val="heading 5"/>
    <w:basedOn w:val="Normal"/>
    <w:next w:val="Normal"/>
    <w:link w:val="Heading5Char"/>
    <w:unhideWhenUsed/>
    <w:qFormat/>
    <w:rsid w:val="00E460D8"/>
    <w:pPr>
      <w:keepNext/>
      <w:keepLines/>
      <w:spacing w:before="40" w:after="0" w:line="288" w:lineRule="auto"/>
      <w:outlineLvl w:val="4"/>
    </w:pPr>
    <w:rPr>
      <w:rFonts w:asciiTheme="majorHAnsi" w:eastAsiaTheme="majorEastAsia" w:hAnsiTheme="majorHAnsi" w:cstheme="majorBidi"/>
      <w:i/>
      <w:iCs/>
      <w:color w:val="70AD47" w:themeColor="accent6"/>
    </w:rPr>
  </w:style>
  <w:style w:type="paragraph" w:styleId="Heading6">
    <w:name w:val="heading 6"/>
    <w:basedOn w:val="Normal"/>
    <w:next w:val="Normal"/>
    <w:link w:val="Heading6Char"/>
    <w:uiPriority w:val="9"/>
    <w:semiHidden/>
    <w:unhideWhenUsed/>
    <w:qFormat/>
    <w:rsid w:val="00E460D8"/>
    <w:pPr>
      <w:keepNext/>
      <w:keepLines/>
      <w:spacing w:before="40" w:after="0" w:line="288" w:lineRule="auto"/>
      <w:outlineLvl w:val="5"/>
    </w:pPr>
    <w:rPr>
      <w:rFonts w:asciiTheme="majorHAnsi" w:eastAsiaTheme="majorEastAsia" w:hAnsiTheme="majorHAnsi" w:cstheme="majorBidi"/>
      <w:color w:val="70AD47" w:themeColor="accent6"/>
      <w:sz w:val="21"/>
      <w:szCs w:val="21"/>
    </w:rPr>
  </w:style>
  <w:style w:type="paragraph" w:styleId="Heading7">
    <w:name w:val="heading 7"/>
    <w:basedOn w:val="Normal"/>
    <w:next w:val="Normal"/>
    <w:link w:val="Heading7Char"/>
    <w:uiPriority w:val="9"/>
    <w:semiHidden/>
    <w:unhideWhenUsed/>
    <w:qFormat/>
    <w:rsid w:val="00E460D8"/>
    <w:pPr>
      <w:keepNext/>
      <w:keepLines/>
      <w:spacing w:before="40" w:after="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semiHidden/>
    <w:unhideWhenUsed/>
    <w:qFormat/>
    <w:rsid w:val="00E460D8"/>
    <w:pPr>
      <w:keepNext/>
      <w:keepLines/>
      <w:spacing w:before="40" w:after="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9"/>
    <w:unhideWhenUsed/>
    <w:qFormat/>
    <w:rsid w:val="00E460D8"/>
    <w:pPr>
      <w:keepNext/>
      <w:keepLines/>
      <w:spacing w:before="40" w:after="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Dot pt,Párrafo de lista1,Paragraphe de liste,List Paragraph12,MAIN CONTENT,List Paragraph2,List Paragraph1,Recommendation,List Paragraph11,F5 List Paragraph,List Paragraph Char Char Char,Indicator Text"/>
    <w:basedOn w:val="Normal"/>
    <w:link w:val="ListParagraphChar"/>
    <w:uiPriority w:val="34"/>
    <w:qFormat/>
    <w:rsid w:val="00933D94"/>
    <w:pPr>
      <w:ind w:left="720"/>
      <w:contextualSpacing/>
    </w:pPr>
  </w:style>
  <w:style w:type="paragraph" w:customStyle="1" w:styleId="Default">
    <w:name w:val="Default"/>
    <w:rsid w:val="006666D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14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62B"/>
  </w:style>
  <w:style w:type="paragraph" w:styleId="Footer">
    <w:name w:val="footer"/>
    <w:basedOn w:val="Normal"/>
    <w:link w:val="FooterChar"/>
    <w:uiPriority w:val="99"/>
    <w:unhideWhenUsed/>
    <w:rsid w:val="00214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62B"/>
  </w:style>
  <w:style w:type="paragraph" w:styleId="BalloonText">
    <w:name w:val="Balloon Text"/>
    <w:basedOn w:val="Normal"/>
    <w:link w:val="BalloonTextChar"/>
    <w:uiPriority w:val="99"/>
    <w:semiHidden/>
    <w:unhideWhenUsed/>
    <w:rsid w:val="00FE4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B20"/>
    <w:rPr>
      <w:rFonts w:ascii="Segoe UI" w:hAnsi="Segoe UI" w:cs="Segoe UI"/>
      <w:sz w:val="18"/>
      <w:szCs w:val="18"/>
    </w:rPr>
  </w:style>
  <w:style w:type="paragraph" w:customStyle="1" w:styleId="ColorfulList-Accent11">
    <w:name w:val="Colorful List - Accent 11"/>
    <w:basedOn w:val="Normal"/>
    <w:uiPriority w:val="34"/>
    <w:qFormat/>
    <w:rsid w:val="007A4532"/>
    <w:pPr>
      <w:spacing w:after="0" w:line="240" w:lineRule="auto"/>
      <w:ind w:left="720" w:hanging="425"/>
      <w:contextualSpacing/>
    </w:pPr>
    <w:rPr>
      <w:rFonts w:ascii="Calibri" w:eastAsia="Calibri" w:hAnsi="Calibri" w:cs="Times New Roman"/>
    </w:rPr>
  </w:style>
  <w:style w:type="paragraph" w:styleId="FootnoteText">
    <w:name w:val="footnote text"/>
    <w:basedOn w:val="Normal"/>
    <w:link w:val="FootnoteTextChar"/>
    <w:uiPriority w:val="99"/>
    <w:unhideWhenUsed/>
    <w:rsid w:val="007A4532"/>
    <w:pPr>
      <w:spacing w:after="0" w:line="240" w:lineRule="auto"/>
    </w:pPr>
    <w:rPr>
      <w:sz w:val="20"/>
      <w:szCs w:val="20"/>
    </w:rPr>
  </w:style>
  <w:style w:type="character" w:customStyle="1" w:styleId="FootnoteTextChar">
    <w:name w:val="Footnote Text Char"/>
    <w:basedOn w:val="DefaultParagraphFont"/>
    <w:link w:val="FootnoteText"/>
    <w:uiPriority w:val="99"/>
    <w:rsid w:val="007A4532"/>
    <w:rPr>
      <w:sz w:val="20"/>
      <w:szCs w:val="20"/>
    </w:rPr>
  </w:style>
  <w:style w:type="character" w:styleId="FootnoteReference">
    <w:name w:val="footnote reference"/>
    <w:basedOn w:val="DefaultParagraphFont"/>
    <w:semiHidden/>
    <w:unhideWhenUsed/>
    <w:rsid w:val="007A4532"/>
    <w:rPr>
      <w:vertAlign w:val="superscript"/>
    </w:rPr>
  </w:style>
  <w:style w:type="character" w:styleId="Hyperlink">
    <w:name w:val="Hyperlink"/>
    <w:basedOn w:val="DefaultParagraphFont"/>
    <w:uiPriority w:val="99"/>
    <w:unhideWhenUsed/>
    <w:rsid w:val="007A4532"/>
    <w:rPr>
      <w:color w:val="0000FF"/>
      <w:u w:val="single"/>
    </w:rPr>
  </w:style>
  <w:style w:type="paragraph" w:customStyle="1" w:styleId="xmsonormal">
    <w:name w:val="x_msonormal"/>
    <w:basedOn w:val="Normal"/>
    <w:uiPriority w:val="99"/>
    <w:rsid w:val="007A453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sid w:val="00CC3C70"/>
    <w:pPr>
      <w:spacing w:line="240" w:lineRule="auto"/>
    </w:pPr>
    <w:rPr>
      <w:sz w:val="20"/>
      <w:szCs w:val="20"/>
    </w:rPr>
  </w:style>
  <w:style w:type="character" w:customStyle="1" w:styleId="CommentTextChar">
    <w:name w:val="Comment Text Char"/>
    <w:basedOn w:val="DefaultParagraphFont"/>
    <w:link w:val="CommentText"/>
    <w:uiPriority w:val="99"/>
    <w:rsid w:val="00CC3C70"/>
    <w:rPr>
      <w:sz w:val="20"/>
      <w:szCs w:val="20"/>
    </w:rPr>
  </w:style>
  <w:style w:type="table" w:styleId="TableGrid">
    <w:name w:val="Table Grid"/>
    <w:basedOn w:val="TableNormal"/>
    <w:rsid w:val="00781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77AA"/>
    <w:pPr>
      <w:spacing w:after="0" w:line="240" w:lineRule="auto"/>
    </w:pPr>
    <w:rPr>
      <w:lang w:val="en-US"/>
    </w:rPr>
  </w:style>
  <w:style w:type="character" w:styleId="CommentReference">
    <w:name w:val="annotation reference"/>
    <w:basedOn w:val="DefaultParagraphFont"/>
    <w:uiPriority w:val="99"/>
    <w:unhideWhenUsed/>
    <w:rsid w:val="000D6619"/>
    <w:rPr>
      <w:sz w:val="16"/>
      <w:szCs w:val="16"/>
    </w:rPr>
  </w:style>
  <w:style w:type="paragraph" w:styleId="CommentSubject">
    <w:name w:val="annotation subject"/>
    <w:basedOn w:val="CommentText"/>
    <w:next w:val="CommentText"/>
    <w:link w:val="CommentSubjectChar"/>
    <w:uiPriority w:val="99"/>
    <w:unhideWhenUsed/>
    <w:rsid w:val="000D6619"/>
    <w:rPr>
      <w:b/>
      <w:bCs/>
    </w:rPr>
  </w:style>
  <w:style w:type="character" w:customStyle="1" w:styleId="CommentSubjectChar">
    <w:name w:val="Comment Subject Char"/>
    <w:basedOn w:val="CommentTextChar"/>
    <w:link w:val="CommentSubject"/>
    <w:uiPriority w:val="99"/>
    <w:rsid w:val="000D6619"/>
    <w:rPr>
      <w:b/>
      <w:bCs/>
      <w:sz w:val="20"/>
      <w:szCs w:val="20"/>
    </w:rPr>
  </w:style>
  <w:style w:type="numbering" w:customStyle="1" w:styleId="Style1">
    <w:name w:val="Style1"/>
    <w:uiPriority w:val="99"/>
    <w:rsid w:val="002C46E8"/>
    <w:pPr>
      <w:numPr>
        <w:numId w:val="10"/>
      </w:numPr>
    </w:pPr>
  </w:style>
  <w:style w:type="character" w:styleId="FollowedHyperlink">
    <w:name w:val="FollowedHyperlink"/>
    <w:basedOn w:val="DefaultParagraphFont"/>
    <w:uiPriority w:val="99"/>
    <w:unhideWhenUsed/>
    <w:rsid w:val="007A6FBF"/>
    <w:rPr>
      <w:color w:val="954F72" w:themeColor="followedHyperlink"/>
      <w:u w:val="single"/>
    </w:rPr>
  </w:style>
  <w:style w:type="character" w:customStyle="1" w:styleId="ListParagraphChar">
    <w:name w:val="List Paragraph Char"/>
    <w:aliases w:val="Rec para Char,Dot pt Char,Párrafo de lista1 Char,Paragraphe de liste Char,List Paragraph12 Char,MAIN CONTENT Char,List Paragraph2 Char,List Paragraph1 Char,Recommendation Char,List Paragraph11 Char,F5 List Paragraph Char"/>
    <w:link w:val="ListParagraph"/>
    <w:uiPriority w:val="34"/>
    <w:qFormat/>
    <w:locked/>
    <w:rsid w:val="00CF30CB"/>
  </w:style>
  <w:style w:type="character" w:customStyle="1" w:styleId="Heading1Char">
    <w:name w:val="Heading 1 Char"/>
    <w:basedOn w:val="DefaultParagraphFont"/>
    <w:link w:val="Heading1"/>
    <w:rsid w:val="00E460D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rsid w:val="00E460D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rsid w:val="00E460D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rsid w:val="00E460D8"/>
    <w:rPr>
      <w:rFonts w:asciiTheme="majorHAnsi" w:eastAsiaTheme="majorEastAsia" w:hAnsiTheme="majorHAnsi" w:cstheme="majorBidi"/>
      <w:color w:val="70AD47" w:themeColor="accent6"/>
    </w:rPr>
  </w:style>
  <w:style w:type="character" w:customStyle="1" w:styleId="Heading5Char">
    <w:name w:val="Heading 5 Char"/>
    <w:basedOn w:val="DefaultParagraphFont"/>
    <w:link w:val="Heading5"/>
    <w:rsid w:val="00E460D8"/>
    <w:rPr>
      <w:rFonts w:asciiTheme="majorHAnsi" w:eastAsiaTheme="majorEastAsia" w:hAnsiTheme="majorHAnsi" w:cstheme="majorBidi"/>
      <w:i/>
      <w:iCs/>
      <w:color w:val="70AD47" w:themeColor="accent6"/>
    </w:rPr>
  </w:style>
  <w:style w:type="character" w:customStyle="1" w:styleId="Heading6Char">
    <w:name w:val="Heading 6 Char"/>
    <w:basedOn w:val="DefaultParagraphFont"/>
    <w:link w:val="Heading6"/>
    <w:uiPriority w:val="9"/>
    <w:semiHidden/>
    <w:rsid w:val="00E460D8"/>
    <w:rPr>
      <w:rFonts w:asciiTheme="majorHAnsi" w:eastAsiaTheme="majorEastAsia" w:hAnsiTheme="majorHAnsi" w:cstheme="majorBidi"/>
      <w:color w:val="70AD47" w:themeColor="accent6"/>
      <w:sz w:val="21"/>
      <w:szCs w:val="21"/>
    </w:rPr>
  </w:style>
  <w:style w:type="character" w:customStyle="1" w:styleId="Heading7Char">
    <w:name w:val="Heading 7 Char"/>
    <w:basedOn w:val="DefaultParagraphFont"/>
    <w:link w:val="Heading7"/>
    <w:uiPriority w:val="9"/>
    <w:semiHidden/>
    <w:rsid w:val="00E460D8"/>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semiHidden/>
    <w:rsid w:val="00E460D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9"/>
    <w:rsid w:val="00E460D8"/>
    <w:rPr>
      <w:rFonts w:asciiTheme="majorHAnsi" w:eastAsiaTheme="majorEastAsia" w:hAnsiTheme="majorHAnsi" w:cstheme="majorBidi"/>
      <w:i/>
      <w:iCs/>
      <w:color w:val="70AD47" w:themeColor="accent6"/>
      <w:sz w:val="20"/>
      <w:szCs w:val="20"/>
    </w:rPr>
  </w:style>
  <w:style w:type="paragraph" w:styleId="Revision">
    <w:name w:val="Revision"/>
    <w:hidden/>
    <w:uiPriority w:val="99"/>
    <w:semiHidden/>
    <w:rsid w:val="00E460D8"/>
    <w:pPr>
      <w:spacing w:after="200" w:line="288" w:lineRule="auto"/>
    </w:pPr>
    <w:rPr>
      <w:rFonts w:ascii="Calibri" w:eastAsia="Calibri" w:hAnsi="Calibri" w:cs="Times New Roman"/>
      <w:sz w:val="21"/>
      <w:szCs w:val="21"/>
    </w:rPr>
  </w:style>
  <w:style w:type="paragraph" w:styleId="IntenseQuote">
    <w:name w:val="Intense Quote"/>
    <w:basedOn w:val="Normal"/>
    <w:next w:val="Normal"/>
    <w:link w:val="IntenseQuoteChar"/>
    <w:uiPriority w:val="30"/>
    <w:qFormat/>
    <w:rsid w:val="00E460D8"/>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460D8"/>
    <w:rPr>
      <w:rFonts w:asciiTheme="majorHAnsi" w:eastAsiaTheme="majorEastAsia" w:hAnsiTheme="majorHAnsi" w:cstheme="majorBidi"/>
      <w:i/>
      <w:iCs/>
      <w:color w:val="70AD47" w:themeColor="accent6"/>
      <w:sz w:val="32"/>
      <w:szCs w:val="32"/>
    </w:rPr>
  </w:style>
  <w:style w:type="paragraph" w:customStyle="1" w:styleId="msonormal0">
    <w:name w:val="msonormal"/>
    <w:basedOn w:val="Normal"/>
    <w:uiPriority w:val="99"/>
    <w:rsid w:val="00E460D8"/>
    <w:pPr>
      <w:spacing w:before="100" w:beforeAutospacing="1" w:after="100" w:afterAutospacing="1" w:line="288"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unhideWhenUsed/>
    <w:rsid w:val="00E460D8"/>
    <w:pPr>
      <w:widowControl w:val="0"/>
      <w:spacing w:after="200" w:line="288" w:lineRule="auto"/>
      <w:ind w:left="3" w:hanging="440"/>
    </w:pPr>
    <w:rPr>
      <w:sz w:val="21"/>
      <w:szCs w:val="21"/>
      <w:lang w:val="en-US"/>
    </w:rPr>
  </w:style>
  <w:style w:type="character" w:customStyle="1" w:styleId="BodyTextChar">
    <w:name w:val="Body Text Char"/>
    <w:basedOn w:val="DefaultParagraphFont"/>
    <w:link w:val="BodyText"/>
    <w:uiPriority w:val="99"/>
    <w:semiHidden/>
    <w:rsid w:val="00E460D8"/>
    <w:rPr>
      <w:rFonts w:eastAsiaTheme="minorEastAsia"/>
      <w:sz w:val="21"/>
      <w:szCs w:val="21"/>
      <w:lang w:val="en-US"/>
    </w:rPr>
  </w:style>
  <w:style w:type="paragraph" w:customStyle="1" w:styleId="Normal1">
    <w:name w:val="Normal1"/>
    <w:uiPriority w:val="99"/>
    <w:rsid w:val="00E460D8"/>
    <w:pPr>
      <w:spacing w:after="4" w:line="249" w:lineRule="auto"/>
      <w:ind w:left="435" w:right="118" w:hanging="434"/>
    </w:pPr>
    <w:rPr>
      <w:rFonts w:ascii="Calibri" w:eastAsia="Calibri" w:hAnsi="Calibri" w:cs="Calibri"/>
      <w:sz w:val="21"/>
      <w:szCs w:val="21"/>
      <w:lang w:val="en-US"/>
    </w:rPr>
  </w:style>
  <w:style w:type="character" w:styleId="SubtleEmphasis">
    <w:name w:val="Subtle Emphasis"/>
    <w:basedOn w:val="DefaultParagraphFont"/>
    <w:uiPriority w:val="19"/>
    <w:qFormat/>
    <w:rsid w:val="00E460D8"/>
    <w:rPr>
      <w:i/>
      <w:iCs/>
    </w:rPr>
  </w:style>
  <w:style w:type="character" w:styleId="IntenseReference">
    <w:name w:val="Intense Reference"/>
    <w:basedOn w:val="DefaultParagraphFont"/>
    <w:uiPriority w:val="32"/>
    <w:qFormat/>
    <w:rsid w:val="00E460D8"/>
    <w:rPr>
      <w:b/>
      <w:bCs/>
      <w:smallCaps/>
      <w:color w:val="70AD47" w:themeColor="accent6"/>
    </w:rPr>
  </w:style>
  <w:style w:type="table" w:styleId="LightList">
    <w:name w:val="Light List"/>
    <w:basedOn w:val="TableNormal"/>
    <w:uiPriority w:val="61"/>
    <w:semiHidden/>
    <w:unhideWhenUsed/>
    <w:rsid w:val="00E460D8"/>
    <w:pPr>
      <w:spacing w:after="200" w:line="288" w:lineRule="auto"/>
    </w:pPr>
    <w:rPr>
      <w:sz w:val="21"/>
      <w:szCs w:val="2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1">
    <w:name w:val="Table Grid21"/>
    <w:basedOn w:val="TableNormal"/>
    <w:uiPriority w:val="59"/>
    <w:rsid w:val="00E460D8"/>
    <w:pPr>
      <w:spacing w:after="200" w:line="288" w:lineRule="auto"/>
    </w:pPr>
    <w:rPr>
      <w:rFonts w:eastAsia="Times New Roman"/>
      <w:b/>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460D8"/>
    <w:pPr>
      <w:outlineLvl w:val="9"/>
    </w:pPr>
  </w:style>
  <w:style w:type="paragraph" w:styleId="TOC2">
    <w:name w:val="toc 2"/>
    <w:basedOn w:val="Normal"/>
    <w:next w:val="Normal"/>
    <w:autoRedefine/>
    <w:uiPriority w:val="99"/>
    <w:unhideWhenUsed/>
    <w:rsid w:val="00E460D8"/>
    <w:pPr>
      <w:spacing w:after="100"/>
      <w:ind w:left="220"/>
    </w:pPr>
    <w:rPr>
      <w:sz w:val="21"/>
      <w:szCs w:val="21"/>
      <w:lang w:val="en-US"/>
    </w:rPr>
  </w:style>
  <w:style w:type="paragraph" w:styleId="TOC1">
    <w:name w:val="toc 1"/>
    <w:basedOn w:val="Normal"/>
    <w:next w:val="Normal"/>
    <w:autoRedefine/>
    <w:uiPriority w:val="99"/>
    <w:unhideWhenUsed/>
    <w:rsid w:val="00E460D8"/>
    <w:pPr>
      <w:spacing w:after="100"/>
    </w:pPr>
    <w:rPr>
      <w:sz w:val="21"/>
      <w:szCs w:val="21"/>
      <w:lang w:val="en-US"/>
    </w:rPr>
  </w:style>
  <w:style w:type="paragraph" w:styleId="TOC3">
    <w:name w:val="toc 3"/>
    <w:basedOn w:val="Normal"/>
    <w:next w:val="Normal"/>
    <w:autoRedefine/>
    <w:uiPriority w:val="39"/>
    <w:unhideWhenUsed/>
    <w:rsid w:val="00E460D8"/>
    <w:pPr>
      <w:spacing w:after="100"/>
      <w:ind w:left="440"/>
    </w:pPr>
    <w:rPr>
      <w:sz w:val="21"/>
      <w:szCs w:val="21"/>
      <w:lang w:val="en-US"/>
    </w:rPr>
  </w:style>
  <w:style w:type="paragraph" w:styleId="Caption">
    <w:name w:val="caption"/>
    <w:basedOn w:val="Normal"/>
    <w:next w:val="Normal"/>
    <w:uiPriority w:val="35"/>
    <w:semiHidden/>
    <w:unhideWhenUsed/>
    <w:qFormat/>
    <w:rsid w:val="00E460D8"/>
    <w:pPr>
      <w:spacing w:after="200" w:line="240" w:lineRule="auto"/>
    </w:pPr>
    <w:rPr>
      <w:b/>
      <w:bCs/>
      <w:smallCaps/>
      <w:color w:val="595959" w:themeColor="text1" w:themeTint="A6"/>
      <w:sz w:val="21"/>
      <w:szCs w:val="21"/>
    </w:rPr>
  </w:style>
  <w:style w:type="paragraph" w:styleId="Title">
    <w:name w:val="Title"/>
    <w:basedOn w:val="Normal"/>
    <w:next w:val="Normal"/>
    <w:link w:val="TitleChar"/>
    <w:uiPriority w:val="99"/>
    <w:qFormat/>
    <w:rsid w:val="00E460D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99"/>
    <w:rsid w:val="00E460D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460D8"/>
    <w:pPr>
      <w:numPr>
        <w:ilvl w:val="1"/>
      </w:numPr>
      <w:spacing w:after="200"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460D8"/>
    <w:rPr>
      <w:rFonts w:asciiTheme="majorHAnsi" w:eastAsiaTheme="majorEastAsia" w:hAnsiTheme="majorHAnsi" w:cstheme="majorBidi"/>
      <w:sz w:val="30"/>
      <w:szCs w:val="30"/>
    </w:rPr>
  </w:style>
  <w:style w:type="character" w:styleId="Strong">
    <w:name w:val="Strong"/>
    <w:basedOn w:val="DefaultParagraphFont"/>
    <w:uiPriority w:val="22"/>
    <w:qFormat/>
    <w:rsid w:val="00E460D8"/>
    <w:rPr>
      <w:b/>
      <w:bCs/>
    </w:rPr>
  </w:style>
  <w:style w:type="character" w:styleId="Emphasis">
    <w:name w:val="Emphasis"/>
    <w:basedOn w:val="DefaultParagraphFont"/>
    <w:qFormat/>
    <w:rsid w:val="00E460D8"/>
    <w:rPr>
      <w:i/>
      <w:iCs/>
      <w:color w:val="70AD47" w:themeColor="accent6"/>
    </w:rPr>
  </w:style>
  <w:style w:type="paragraph" w:styleId="Quote">
    <w:name w:val="Quote"/>
    <w:basedOn w:val="Normal"/>
    <w:next w:val="Normal"/>
    <w:link w:val="QuoteChar"/>
    <w:uiPriority w:val="29"/>
    <w:qFormat/>
    <w:rsid w:val="00E460D8"/>
    <w:pPr>
      <w:spacing w:before="160" w:after="200" w:line="288" w:lineRule="auto"/>
      <w:ind w:left="720" w:right="720"/>
      <w:jc w:val="center"/>
    </w:pPr>
    <w:rPr>
      <w:i/>
      <w:iCs/>
      <w:color w:val="262626" w:themeColor="text1" w:themeTint="D9"/>
      <w:sz w:val="21"/>
      <w:szCs w:val="21"/>
    </w:rPr>
  </w:style>
  <w:style w:type="character" w:customStyle="1" w:styleId="QuoteChar">
    <w:name w:val="Quote Char"/>
    <w:basedOn w:val="DefaultParagraphFont"/>
    <w:link w:val="Quote"/>
    <w:uiPriority w:val="29"/>
    <w:rsid w:val="00E460D8"/>
    <w:rPr>
      <w:rFonts w:eastAsiaTheme="minorEastAsia"/>
      <w:i/>
      <w:iCs/>
      <w:color w:val="262626" w:themeColor="text1" w:themeTint="D9"/>
      <w:sz w:val="21"/>
      <w:szCs w:val="21"/>
    </w:rPr>
  </w:style>
  <w:style w:type="character" w:styleId="IntenseEmphasis">
    <w:name w:val="Intense Emphasis"/>
    <w:basedOn w:val="DefaultParagraphFont"/>
    <w:uiPriority w:val="21"/>
    <w:qFormat/>
    <w:rsid w:val="00E460D8"/>
    <w:rPr>
      <w:b/>
      <w:bCs/>
      <w:i/>
      <w:iCs/>
    </w:rPr>
  </w:style>
  <w:style w:type="character" w:styleId="SubtleReference">
    <w:name w:val="Subtle Reference"/>
    <w:basedOn w:val="DefaultParagraphFont"/>
    <w:uiPriority w:val="31"/>
    <w:qFormat/>
    <w:rsid w:val="00E460D8"/>
    <w:rPr>
      <w:smallCaps/>
      <w:color w:val="595959" w:themeColor="text1" w:themeTint="A6"/>
    </w:rPr>
  </w:style>
  <w:style w:type="character" w:styleId="BookTitle">
    <w:name w:val="Book Title"/>
    <w:basedOn w:val="DefaultParagraphFont"/>
    <w:uiPriority w:val="33"/>
    <w:qFormat/>
    <w:rsid w:val="00E460D8"/>
    <w:rPr>
      <w:b/>
      <w:bCs/>
      <w:caps w:val="0"/>
      <w:smallCaps/>
      <w:spacing w:val="7"/>
      <w:sz w:val="21"/>
      <w:szCs w:val="21"/>
    </w:rPr>
  </w:style>
  <w:style w:type="paragraph" w:customStyle="1" w:styleId="actiongt">
    <w:name w:val="actiongt"/>
    <w:basedOn w:val="Normal"/>
    <w:link w:val="actiongtChar"/>
    <w:rsid w:val="003C32B7"/>
    <w:pPr>
      <w:keepNext/>
      <w:keepLines/>
      <w:pBdr>
        <w:top w:val="single" w:sz="2" w:space="1" w:color="auto"/>
        <w:left w:val="single" w:sz="2" w:space="4" w:color="auto"/>
        <w:bottom w:val="single" w:sz="2" w:space="1" w:color="auto"/>
        <w:right w:val="single" w:sz="2" w:space="4" w:color="auto"/>
      </w:pBdr>
      <w:shd w:val="clear" w:color="auto" w:fill="E6E6E6"/>
      <w:spacing w:before="120" w:after="60" w:line="240" w:lineRule="atLeast"/>
    </w:pPr>
    <w:rPr>
      <w:rFonts w:ascii="Garamond" w:eastAsia="Batang" w:hAnsi="Garamond" w:cs="Garamond"/>
      <w:noProof/>
      <w:lang w:val="en-US"/>
    </w:rPr>
  </w:style>
  <w:style w:type="character" w:customStyle="1" w:styleId="actiongtChar">
    <w:name w:val="actiongt Char"/>
    <w:link w:val="actiongt"/>
    <w:rsid w:val="003C32B7"/>
    <w:rPr>
      <w:rFonts w:ascii="Garamond" w:eastAsia="Batang" w:hAnsi="Garamond" w:cs="Garamond"/>
      <w:noProof/>
      <w:shd w:val="clear" w:color="auto" w:fill="E6E6E6"/>
      <w:lang w:val="en-US"/>
    </w:rPr>
  </w:style>
  <w:style w:type="paragraph" w:customStyle="1" w:styleId="actionnogt">
    <w:name w:val="actionnogt"/>
    <w:basedOn w:val="Normal"/>
    <w:link w:val="actionnogtChar"/>
    <w:rsid w:val="003C32B7"/>
    <w:pPr>
      <w:keepNext/>
      <w:keepLines/>
      <w:pBdr>
        <w:top w:val="single" w:sz="2" w:space="1" w:color="auto"/>
        <w:left w:val="single" w:sz="2" w:space="4" w:color="auto"/>
        <w:bottom w:val="single" w:sz="2" w:space="1" w:color="auto"/>
        <w:right w:val="single" w:sz="2" w:space="4" w:color="auto"/>
      </w:pBdr>
      <w:spacing w:before="120" w:after="60" w:line="240" w:lineRule="atLeast"/>
    </w:pPr>
    <w:rPr>
      <w:rFonts w:ascii="Garamond" w:eastAsia="Batang" w:hAnsi="Garamond" w:cs="Garamond"/>
      <w:noProof/>
      <w:lang w:val="en-US"/>
    </w:rPr>
  </w:style>
  <w:style w:type="character" w:customStyle="1" w:styleId="actionnogtChar">
    <w:name w:val="actionnogt Char"/>
    <w:link w:val="actionnogt"/>
    <w:rsid w:val="003C32B7"/>
    <w:rPr>
      <w:rFonts w:ascii="Garamond" w:eastAsia="Batang" w:hAnsi="Garamond" w:cs="Garamond"/>
      <w:noProof/>
      <w:lang w:val="en-US"/>
    </w:rPr>
  </w:style>
  <w:style w:type="paragraph" w:customStyle="1" w:styleId="oonoheading">
    <w:name w:val="oonoheading"/>
    <w:basedOn w:val="Normal"/>
    <w:uiPriority w:val="99"/>
    <w:rsid w:val="003C32B7"/>
    <w:pPr>
      <w:keepNext/>
      <w:pBdr>
        <w:top w:val="thinThickSmallGap" w:sz="18" w:space="1" w:color="auto"/>
        <w:left w:val="thinThickSmallGap" w:sz="18" w:space="4" w:color="auto"/>
        <w:bottom w:val="thickThinSmallGap" w:sz="18" w:space="1" w:color="auto"/>
        <w:right w:val="thickThinSmallGap" w:sz="18" w:space="4" w:color="auto"/>
      </w:pBdr>
      <w:shd w:val="clear" w:color="auto" w:fill="CCCCCC"/>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Garamond" w:eastAsia="Batang" w:hAnsi="Garamond" w:cs="Garamond"/>
      <w:b/>
      <w:bCs/>
      <w:caps/>
      <w:spacing w:val="-2"/>
      <w:sz w:val="24"/>
      <w:szCs w:val="24"/>
      <w:lang w:val="en-US"/>
    </w:rPr>
  </w:style>
  <w:style w:type="paragraph" w:customStyle="1" w:styleId="StyleHeading1NotAllcaps">
    <w:name w:val="Style Heading 1 + Not All caps"/>
    <w:basedOn w:val="Heading1"/>
    <w:link w:val="StyleHeading1NotAllcapsChar"/>
    <w:rsid w:val="003C32B7"/>
    <w:pPr>
      <w:keepNext w:val="0"/>
      <w:keepLines w:val="0"/>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Calibri" w:eastAsia="Batang" w:hAnsi="Calibri" w:cs="Garamond"/>
      <w:b/>
      <w:bCs/>
      <w:color w:val="10AAAA"/>
      <w:spacing w:val="-2"/>
      <w:sz w:val="32"/>
      <w:szCs w:val="24"/>
      <w:lang w:val="en-US"/>
    </w:rPr>
  </w:style>
  <w:style w:type="character" w:customStyle="1" w:styleId="StyleHeading1NotAllcapsChar">
    <w:name w:val="Style Heading 1 + Not All caps Char"/>
    <w:basedOn w:val="Heading1Char"/>
    <w:link w:val="StyleHeading1NotAllcaps"/>
    <w:rsid w:val="003C32B7"/>
    <w:rPr>
      <w:rFonts w:ascii="Calibri" w:eastAsia="Batang" w:hAnsi="Calibri" w:cs="Garamond"/>
      <w:b/>
      <w:bCs/>
      <w:color w:val="10AAAA"/>
      <w:spacing w:val="-2"/>
      <w:sz w:val="32"/>
      <w:szCs w:val="24"/>
      <w:lang w:val="en-US"/>
    </w:rPr>
  </w:style>
  <w:style w:type="paragraph" w:customStyle="1" w:styleId="StyleactiongtBold">
    <w:name w:val="Style actiongt + Bold"/>
    <w:basedOn w:val="actiongt"/>
    <w:link w:val="StyleactiongtBoldChar"/>
    <w:rsid w:val="003C32B7"/>
    <w:pPr>
      <w:keepNext w:val="0"/>
    </w:pPr>
    <w:rPr>
      <w:b/>
      <w:bCs/>
    </w:rPr>
  </w:style>
  <w:style w:type="character" w:customStyle="1" w:styleId="StyleactiongtBoldChar">
    <w:name w:val="Style actiongt + Bold Char"/>
    <w:link w:val="StyleactiongtBold"/>
    <w:rsid w:val="003C32B7"/>
    <w:rPr>
      <w:rFonts w:ascii="Garamond" w:eastAsia="Batang" w:hAnsi="Garamond" w:cs="Garamond"/>
      <w:b/>
      <w:bCs/>
      <w:noProof/>
      <w:shd w:val="clear" w:color="auto" w:fill="E6E6E6"/>
      <w:lang w:val="en-US"/>
    </w:rPr>
  </w:style>
  <w:style w:type="paragraph" w:customStyle="1" w:styleId="StyleactionnogtBefore0ptAfter0pt">
    <w:name w:val="Style actionnogt + Before:  0 pt After:  0 pt"/>
    <w:basedOn w:val="actionnogt"/>
    <w:uiPriority w:val="99"/>
    <w:rsid w:val="003C32B7"/>
    <w:pPr>
      <w:keepNext w:val="0"/>
      <w:spacing w:before="0" w:after="0"/>
    </w:pPr>
    <w:rPr>
      <w:rFonts w:eastAsia="Times New Roman" w:cs="Times New Roman"/>
      <w:szCs w:val="20"/>
    </w:rPr>
  </w:style>
  <w:style w:type="paragraph" w:customStyle="1" w:styleId="StyleactionnogtBold">
    <w:name w:val="Style actionnogt + Bold"/>
    <w:basedOn w:val="actionnogt"/>
    <w:link w:val="StyleactionnogtBoldChar"/>
    <w:rsid w:val="003C32B7"/>
    <w:rPr>
      <w:b/>
      <w:bCs/>
    </w:rPr>
  </w:style>
  <w:style w:type="character" w:customStyle="1" w:styleId="StyleactionnogtBoldChar">
    <w:name w:val="Style actionnogt + Bold Char"/>
    <w:link w:val="StyleactionnogtBold"/>
    <w:rsid w:val="003C32B7"/>
    <w:rPr>
      <w:rFonts w:ascii="Garamond" w:eastAsia="Batang" w:hAnsi="Garamond" w:cs="Garamond"/>
      <w:b/>
      <w:bCs/>
      <w:noProof/>
      <w:lang w:val="en-US"/>
    </w:rPr>
  </w:style>
  <w:style w:type="paragraph" w:customStyle="1" w:styleId="StyleStyleactiongtBoldPatternClearGray-25">
    <w:name w:val="Style Style actiongt + Bold + Pattern: Clear (Gray-25%)"/>
    <w:basedOn w:val="StyleactiongtBold"/>
    <w:uiPriority w:val="99"/>
    <w:rsid w:val="003C32B7"/>
    <w:pPr>
      <w:keepLines w:val="0"/>
      <w:shd w:val="clear" w:color="auto" w:fill="C0C0C0"/>
    </w:pPr>
    <w:rPr>
      <w:rFonts w:eastAsia="Times New Roman" w:cs="Times New Roman"/>
      <w:szCs w:val="20"/>
    </w:rPr>
  </w:style>
  <w:style w:type="paragraph" w:styleId="BodyTextIndent3">
    <w:name w:val="Body Text Indent 3"/>
    <w:basedOn w:val="Normal"/>
    <w:link w:val="BodyTextIndent3Char"/>
    <w:uiPriority w:val="99"/>
    <w:rsid w:val="003C32B7"/>
    <w:pPr>
      <w:spacing w:after="0" w:line="240" w:lineRule="auto"/>
      <w:ind w:left="-851"/>
    </w:pPr>
    <w:rPr>
      <w:rFonts w:ascii="Times New Roman" w:eastAsia="Times New Roman" w:hAnsi="Times New Roman" w:cs="Times New Roman"/>
      <w:szCs w:val="20"/>
      <w:lang w:eastAsia="en-ZA"/>
    </w:rPr>
  </w:style>
  <w:style w:type="character" w:customStyle="1" w:styleId="BodyTextIndent3Char">
    <w:name w:val="Body Text Indent 3 Char"/>
    <w:basedOn w:val="DefaultParagraphFont"/>
    <w:link w:val="BodyTextIndent3"/>
    <w:uiPriority w:val="99"/>
    <w:rsid w:val="003C32B7"/>
    <w:rPr>
      <w:rFonts w:ascii="Times New Roman" w:eastAsia="Times New Roman" w:hAnsi="Times New Roman" w:cs="Times New Roman"/>
      <w:szCs w:val="20"/>
      <w:lang w:eastAsia="en-ZA"/>
    </w:rPr>
  </w:style>
  <w:style w:type="paragraph" w:styleId="BodyText3">
    <w:name w:val="Body Text 3"/>
    <w:basedOn w:val="Normal"/>
    <w:link w:val="BodyText3Char"/>
    <w:uiPriority w:val="99"/>
    <w:rsid w:val="003C32B7"/>
    <w:pPr>
      <w:spacing w:after="120" w:line="240" w:lineRule="auto"/>
    </w:pPr>
    <w:rPr>
      <w:rFonts w:ascii="Garamond" w:eastAsia="Batang" w:hAnsi="Garamond" w:cs="Garamond"/>
      <w:sz w:val="16"/>
      <w:szCs w:val="16"/>
      <w:lang w:val="en-US"/>
    </w:rPr>
  </w:style>
  <w:style w:type="character" w:customStyle="1" w:styleId="BodyText3Char">
    <w:name w:val="Body Text 3 Char"/>
    <w:basedOn w:val="DefaultParagraphFont"/>
    <w:link w:val="BodyText3"/>
    <w:uiPriority w:val="99"/>
    <w:rsid w:val="003C32B7"/>
    <w:rPr>
      <w:rFonts w:ascii="Garamond" w:eastAsia="Batang" w:hAnsi="Garamond" w:cs="Garamond"/>
      <w:sz w:val="16"/>
      <w:szCs w:val="16"/>
      <w:lang w:val="en-US"/>
    </w:rPr>
  </w:style>
  <w:style w:type="paragraph" w:styleId="TOC8">
    <w:name w:val="toc 8"/>
    <w:basedOn w:val="Normal"/>
    <w:next w:val="Normal"/>
    <w:autoRedefine/>
    <w:uiPriority w:val="99"/>
    <w:semiHidden/>
    <w:rsid w:val="003C32B7"/>
    <w:pPr>
      <w:spacing w:after="0" w:line="240" w:lineRule="auto"/>
      <w:ind w:left="1680"/>
    </w:pPr>
    <w:rPr>
      <w:rFonts w:ascii="Garamond" w:eastAsia="Batang" w:hAnsi="Garamond" w:cs="Garamond"/>
      <w:sz w:val="24"/>
      <w:szCs w:val="24"/>
      <w:lang w:val="en-US"/>
    </w:rPr>
  </w:style>
  <w:style w:type="character" w:styleId="PageNumber">
    <w:name w:val="page number"/>
    <w:basedOn w:val="DefaultParagraphFont"/>
    <w:rsid w:val="003C32B7"/>
  </w:style>
  <w:style w:type="paragraph" w:customStyle="1" w:styleId="MediumGrid1-Accent21">
    <w:name w:val="Medium Grid 1 - Accent 21"/>
    <w:basedOn w:val="Normal"/>
    <w:uiPriority w:val="34"/>
    <w:qFormat/>
    <w:rsid w:val="003C32B7"/>
    <w:pPr>
      <w:spacing w:after="0" w:line="240" w:lineRule="auto"/>
      <w:ind w:left="720"/>
    </w:pPr>
    <w:rPr>
      <w:rFonts w:ascii="Garamond" w:eastAsia="Batang" w:hAnsi="Garamond" w:cs="Garamond"/>
      <w:sz w:val="24"/>
      <w:szCs w:val="24"/>
      <w:lang w:val="en-US"/>
    </w:rPr>
  </w:style>
  <w:style w:type="paragraph" w:styleId="NormalWeb">
    <w:name w:val="Normal (Web)"/>
    <w:basedOn w:val="Normal"/>
    <w:uiPriority w:val="99"/>
    <w:unhideWhenUsed/>
    <w:rsid w:val="003C32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ediumList2-Accent21">
    <w:name w:val="Medium List 2 - Accent 21"/>
    <w:hidden/>
    <w:uiPriority w:val="99"/>
    <w:semiHidden/>
    <w:rsid w:val="003C32B7"/>
    <w:pPr>
      <w:spacing w:after="0" w:line="240" w:lineRule="auto"/>
    </w:pPr>
    <w:rPr>
      <w:rFonts w:ascii="Garamond" w:eastAsia="Batang" w:hAnsi="Garamond" w:cs="Garamond"/>
      <w:sz w:val="24"/>
      <w:szCs w:val="24"/>
      <w:lang w:val="en-US"/>
    </w:rPr>
  </w:style>
  <w:style w:type="character" w:customStyle="1" w:styleId="firstTxt1">
    <w:name w:val="firstTxt1"/>
    <w:rsid w:val="003C32B7"/>
    <w:rPr>
      <w:rFonts w:ascii="Arial" w:eastAsia="Arial" w:hAnsi="Arial" w:cs="Arial" w:hint="default"/>
      <w:color w:val="000000"/>
      <w:sz w:val="20"/>
      <w:szCs w:val="20"/>
    </w:rPr>
  </w:style>
  <w:style w:type="paragraph" w:customStyle="1" w:styleId="MediumShading1-Accent11">
    <w:name w:val="Medium Shading 1 - Accent 11"/>
    <w:link w:val="MediumShading1-Accent1Char"/>
    <w:uiPriority w:val="1"/>
    <w:qFormat/>
    <w:rsid w:val="003C32B7"/>
    <w:pPr>
      <w:spacing w:after="0" w:line="240" w:lineRule="auto"/>
    </w:pPr>
    <w:rPr>
      <w:rFonts w:ascii="Garamond" w:eastAsia="Batang" w:hAnsi="Garamond" w:cs="Garamond"/>
      <w:sz w:val="24"/>
      <w:szCs w:val="24"/>
      <w:lang w:val="en-US"/>
    </w:rPr>
  </w:style>
  <w:style w:type="paragraph" w:styleId="ListBullet">
    <w:name w:val="List Bullet"/>
    <w:basedOn w:val="Normal"/>
    <w:uiPriority w:val="99"/>
    <w:rsid w:val="003C32B7"/>
    <w:pPr>
      <w:numPr>
        <w:numId w:val="37"/>
      </w:numPr>
      <w:spacing w:after="0" w:line="240" w:lineRule="auto"/>
      <w:contextualSpacing/>
    </w:pPr>
    <w:rPr>
      <w:rFonts w:ascii="Garamond" w:eastAsia="Batang" w:hAnsi="Garamond" w:cs="Garamond"/>
      <w:sz w:val="24"/>
      <w:szCs w:val="24"/>
      <w:lang w:val="en-US"/>
    </w:rPr>
  </w:style>
  <w:style w:type="paragraph" w:customStyle="1" w:styleId="Formsubtitle">
    <w:name w:val="Form sub title"/>
    <w:basedOn w:val="Normal"/>
    <w:link w:val="FormsubtitleChar"/>
    <w:qFormat/>
    <w:rsid w:val="003C32B7"/>
    <w:pPr>
      <w:spacing w:after="0" w:line="240" w:lineRule="auto"/>
    </w:pPr>
    <w:rPr>
      <w:rFonts w:ascii="Calibri" w:eastAsia="Batang" w:hAnsi="Calibri" w:cs="Arial"/>
      <w:b/>
      <w:bCs/>
      <w:color w:val="10AAAA"/>
    </w:rPr>
  </w:style>
  <w:style w:type="character" w:customStyle="1" w:styleId="LightGrid-Accent11">
    <w:name w:val="Light Grid - Accent 11"/>
    <w:uiPriority w:val="99"/>
    <w:semiHidden/>
    <w:rsid w:val="003C32B7"/>
    <w:rPr>
      <w:color w:val="808080"/>
    </w:rPr>
  </w:style>
  <w:style w:type="character" w:customStyle="1" w:styleId="FormsubtitleChar">
    <w:name w:val="Form sub title Char"/>
    <w:link w:val="Formsubtitle"/>
    <w:rsid w:val="003C32B7"/>
    <w:rPr>
      <w:rFonts w:ascii="Calibri" w:eastAsia="Batang" w:hAnsi="Calibri" w:cs="Arial"/>
      <w:b/>
      <w:bCs/>
      <w:color w:val="10AAAA"/>
    </w:rPr>
  </w:style>
  <w:style w:type="character" w:customStyle="1" w:styleId="IntenseEmphasis1">
    <w:name w:val="Intense Emphasis1"/>
    <w:uiPriority w:val="21"/>
    <w:qFormat/>
    <w:rsid w:val="003C32B7"/>
    <w:rPr>
      <w:b/>
      <w:bCs/>
      <w:i/>
      <w:iCs/>
      <w:color w:val="4F81BD"/>
    </w:rPr>
  </w:style>
  <w:style w:type="paragraph" w:customStyle="1" w:styleId="MediumGrid3-Accent21">
    <w:name w:val="Medium Grid 3 - Accent 21"/>
    <w:basedOn w:val="Normal"/>
    <w:next w:val="Normal"/>
    <w:link w:val="MediumGrid3-Accent2Char"/>
    <w:uiPriority w:val="30"/>
    <w:qFormat/>
    <w:rsid w:val="003C32B7"/>
    <w:pPr>
      <w:pBdr>
        <w:left w:val="single" w:sz="18" w:space="4" w:color="10AAAA"/>
      </w:pBdr>
      <w:spacing w:before="200" w:after="280" w:line="240" w:lineRule="auto"/>
      <w:ind w:left="936" w:right="936"/>
    </w:pPr>
    <w:rPr>
      <w:rFonts w:ascii="Calibri" w:eastAsia="Batang" w:hAnsi="Calibri" w:cs="Garamond"/>
      <w:b/>
      <w:bCs/>
      <w:i/>
      <w:iCs/>
      <w:sz w:val="24"/>
      <w:szCs w:val="24"/>
      <w:lang w:val="en-US"/>
    </w:rPr>
  </w:style>
  <w:style w:type="character" w:customStyle="1" w:styleId="MediumGrid3-Accent2Char">
    <w:name w:val="Medium Grid 3 - Accent 2 Char"/>
    <w:link w:val="MediumGrid3-Accent21"/>
    <w:uiPriority w:val="30"/>
    <w:rsid w:val="003C32B7"/>
    <w:rPr>
      <w:rFonts w:ascii="Calibri" w:eastAsia="Batang" w:hAnsi="Calibri" w:cs="Garamond"/>
      <w:b/>
      <w:bCs/>
      <w:i/>
      <w:iCs/>
      <w:sz w:val="24"/>
      <w:szCs w:val="24"/>
      <w:lang w:val="en-US"/>
    </w:rPr>
  </w:style>
  <w:style w:type="paragraph" w:customStyle="1" w:styleId="Emphasisblock">
    <w:name w:val="Emphasis block"/>
    <w:basedOn w:val="Normal"/>
    <w:next w:val="Normal"/>
    <w:link w:val="EmphasisblockChar"/>
    <w:qFormat/>
    <w:rsid w:val="003C32B7"/>
    <w:pPr>
      <w:pBdr>
        <w:left w:val="single" w:sz="18" w:space="4" w:color="10AAAA"/>
      </w:pBdr>
      <w:spacing w:after="0" w:line="240" w:lineRule="auto"/>
    </w:pPr>
    <w:rPr>
      <w:rFonts w:ascii="Calibri" w:eastAsia="Batang" w:hAnsi="Calibri" w:cs="Garamond"/>
      <w:b/>
      <w:i/>
      <w:sz w:val="24"/>
      <w:szCs w:val="24"/>
      <w:lang w:val="en-US"/>
    </w:rPr>
  </w:style>
  <w:style w:type="paragraph" w:customStyle="1" w:styleId="Greencell">
    <w:name w:val="Green cell"/>
    <w:basedOn w:val="Normal"/>
    <w:link w:val="GreencellChar"/>
    <w:rsid w:val="003C32B7"/>
    <w:pPr>
      <w:keepNext/>
      <w:spacing w:after="0" w:line="240" w:lineRule="auto"/>
    </w:pPr>
    <w:rPr>
      <w:rFonts w:ascii="Calibri" w:eastAsia="Batang" w:hAnsi="Calibri" w:cs="Arial"/>
      <w:noProof/>
    </w:rPr>
  </w:style>
  <w:style w:type="character" w:customStyle="1" w:styleId="MediumShading1-Accent1Char">
    <w:name w:val="Medium Shading 1 - Accent 1 Char"/>
    <w:link w:val="MediumShading1-Accent11"/>
    <w:uiPriority w:val="1"/>
    <w:rsid w:val="003C32B7"/>
    <w:rPr>
      <w:rFonts w:ascii="Garamond" w:eastAsia="Batang" w:hAnsi="Garamond" w:cs="Garamond"/>
      <w:sz w:val="24"/>
      <w:szCs w:val="24"/>
      <w:lang w:val="en-US"/>
    </w:rPr>
  </w:style>
  <w:style w:type="character" w:customStyle="1" w:styleId="EmphasisblockChar">
    <w:name w:val="Emphasis block Char"/>
    <w:link w:val="Emphasisblock"/>
    <w:rsid w:val="003C32B7"/>
    <w:rPr>
      <w:rFonts w:ascii="Calibri" w:eastAsia="Batang" w:hAnsi="Calibri" w:cs="Garamond"/>
      <w:b/>
      <w:i/>
      <w:sz w:val="24"/>
      <w:szCs w:val="24"/>
      <w:lang w:val="en-US"/>
    </w:rPr>
  </w:style>
  <w:style w:type="character" w:customStyle="1" w:styleId="GreencellChar">
    <w:name w:val="Green cell Char"/>
    <w:link w:val="Greencell"/>
    <w:rsid w:val="003C32B7"/>
    <w:rPr>
      <w:rFonts w:ascii="Calibri" w:eastAsia="Batang" w:hAnsi="Calibri" w:cs="Arial"/>
      <w:noProof/>
    </w:rPr>
  </w:style>
  <w:style w:type="paragraph" w:customStyle="1" w:styleId="AnswerLegend">
    <w:name w:val="Answer Legend"/>
    <w:basedOn w:val="Normal"/>
    <w:link w:val="AnswerLegendChar"/>
    <w:qFormat/>
    <w:rsid w:val="003C32B7"/>
    <w:pPr>
      <w:spacing w:after="0" w:line="240" w:lineRule="auto"/>
      <w:jc w:val="center"/>
    </w:pPr>
    <w:rPr>
      <w:rFonts w:ascii="Calibri" w:eastAsia="Batang" w:hAnsi="Calibri" w:cs="Garamond"/>
    </w:rPr>
  </w:style>
  <w:style w:type="paragraph" w:customStyle="1" w:styleId="ColorfulShading-Accent11">
    <w:name w:val="Colorful Shading - Accent 11"/>
    <w:hidden/>
    <w:uiPriority w:val="71"/>
    <w:rsid w:val="003C32B7"/>
    <w:pPr>
      <w:spacing w:after="0" w:line="240" w:lineRule="auto"/>
    </w:pPr>
    <w:rPr>
      <w:rFonts w:ascii="Garamond" w:eastAsia="Batang" w:hAnsi="Garamond" w:cs="Garamond"/>
      <w:sz w:val="24"/>
      <w:szCs w:val="24"/>
      <w:lang w:val="en-US"/>
    </w:rPr>
  </w:style>
  <w:style w:type="character" w:customStyle="1" w:styleId="AnswerLegendChar">
    <w:name w:val="Answer Legend Char"/>
    <w:link w:val="AnswerLegend"/>
    <w:rsid w:val="003C32B7"/>
    <w:rPr>
      <w:rFonts w:ascii="Calibri" w:eastAsia="Batang" w:hAnsi="Calibri" w:cs="Garamond"/>
    </w:rPr>
  </w:style>
  <w:style w:type="paragraph" w:customStyle="1" w:styleId="NRFTitle1">
    <w:name w:val="NRF Title1"/>
    <w:next w:val="Normal"/>
    <w:uiPriority w:val="99"/>
    <w:rsid w:val="003C32B7"/>
    <w:pPr>
      <w:numPr>
        <w:numId w:val="38"/>
      </w:numPr>
      <w:tabs>
        <w:tab w:val="left" w:pos="567"/>
      </w:tabs>
      <w:spacing w:before="120" w:after="80" w:line="240" w:lineRule="auto"/>
      <w:ind w:left="357" w:hanging="357"/>
    </w:pPr>
    <w:rPr>
      <w:rFonts w:ascii="Garamond" w:eastAsia="Times New Roman" w:hAnsi="Garamond" w:cs="Times New Roman"/>
      <w:b/>
      <w:color w:val="000000"/>
      <w:sz w:val="28"/>
      <w:szCs w:val="28"/>
      <w:lang w:val="en-US"/>
    </w:rPr>
  </w:style>
  <w:style w:type="paragraph" w:customStyle="1" w:styleId="NRFTitle2">
    <w:name w:val="NRF Title2"/>
    <w:basedOn w:val="Normal"/>
    <w:next w:val="Normal"/>
    <w:uiPriority w:val="99"/>
    <w:rsid w:val="003C32B7"/>
    <w:pPr>
      <w:numPr>
        <w:ilvl w:val="1"/>
        <w:numId w:val="38"/>
      </w:numPr>
      <w:tabs>
        <w:tab w:val="left" w:pos="567"/>
      </w:tabs>
      <w:spacing w:before="120" w:after="80" w:line="240" w:lineRule="auto"/>
    </w:pPr>
    <w:rPr>
      <w:rFonts w:ascii="Garamond" w:eastAsia="Times New Roman" w:hAnsi="Garamond" w:cs="Times New Roman"/>
      <w:b/>
      <w:snapToGrid w:val="0"/>
      <w:color w:val="000000"/>
      <w:sz w:val="24"/>
      <w:szCs w:val="24"/>
      <w:lang w:val="en-US"/>
    </w:rPr>
  </w:style>
  <w:style w:type="paragraph" w:customStyle="1" w:styleId="NRFTitle3">
    <w:name w:val="NRF Title3"/>
    <w:basedOn w:val="Normal"/>
    <w:next w:val="Normal"/>
    <w:uiPriority w:val="99"/>
    <w:rsid w:val="003C32B7"/>
    <w:pPr>
      <w:numPr>
        <w:ilvl w:val="2"/>
        <w:numId w:val="38"/>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lang w:val="en-US"/>
    </w:rPr>
  </w:style>
  <w:style w:type="character" w:customStyle="1" w:styleId="size">
    <w:name w:val="size"/>
    <w:basedOn w:val="DefaultParagraphFont"/>
    <w:rsid w:val="00DB549D"/>
  </w:style>
  <w:style w:type="character" w:customStyle="1" w:styleId="contentpasted2">
    <w:name w:val="contentpasted2"/>
    <w:basedOn w:val="DefaultParagraphFont"/>
    <w:rsid w:val="00C26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3508">
      <w:bodyDiv w:val="1"/>
      <w:marLeft w:val="0"/>
      <w:marRight w:val="0"/>
      <w:marTop w:val="0"/>
      <w:marBottom w:val="0"/>
      <w:divBdr>
        <w:top w:val="none" w:sz="0" w:space="0" w:color="auto"/>
        <w:left w:val="none" w:sz="0" w:space="0" w:color="auto"/>
        <w:bottom w:val="none" w:sz="0" w:space="0" w:color="auto"/>
        <w:right w:val="none" w:sz="0" w:space="0" w:color="auto"/>
      </w:divBdr>
    </w:div>
    <w:div w:id="124592286">
      <w:bodyDiv w:val="1"/>
      <w:marLeft w:val="0"/>
      <w:marRight w:val="0"/>
      <w:marTop w:val="0"/>
      <w:marBottom w:val="0"/>
      <w:divBdr>
        <w:top w:val="none" w:sz="0" w:space="0" w:color="auto"/>
        <w:left w:val="none" w:sz="0" w:space="0" w:color="auto"/>
        <w:bottom w:val="none" w:sz="0" w:space="0" w:color="auto"/>
        <w:right w:val="none" w:sz="0" w:space="0" w:color="auto"/>
      </w:divBdr>
    </w:div>
    <w:div w:id="275066197">
      <w:bodyDiv w:val="1"/>
      <w:marLeft w:val="0"/>
      <w:marRight w:val="0"/>
      <w:marTop w:val="0"/>
      <w:marBottom w:val="0"/>
      <w:divBdr>
        <w:top w:val="none" w:sz="0" w:space="0" w:color="auto"/>
        <w:left w:val="none" w:sz="0" w:space="0" w:color="auto"/>
        <w:bottom w:val="none" w:sz="0" w:space="0" w:color="auto"/>
        <w:right w:val="none" w:sz="0" w:space="0" w:color="auto"/>
      </w:divBdr>
    </w:div>
    <w:div w:id="373432518">
      <w:bodyDiv w:val="1"/>
      <w:marLeft w:val="0"/>
      <w:marRight w:val="0"/>
      <w:marTop w:val="0"/>
      <w:marBottom w:val="0"/>
      <w:divBdr>
        <w:top w:val="none" w:sz="0" w:space="0" w:color="auto"/>
        <w:left w:val="none" w:sz="0" w:space="0" w:color="auto"/>
        <w:bottom w:val="none" w:sz="0" w:space="0" w:color="auto"/>
        <w:right w:val="none" w:sz="0" w:space="0" w:color="auto"/>
      </w:divBdr>
    </w:div>
    <w:div w:id="402944967">
      <w:bodyDiv w:val="1"/>
      <w:marLeft w:val="0"/>
      <w:marRight w:val="0"/>
      <w:marTop w:val="0"/>
      <w:marBottom w:val="0"/>
      <w:divBdr>
        <w:top w:val="none" w:sz="0" w:space="0" w:color="auto"/>
        <w:left w:val="none" w:sz="0" w:space="0" w:color="auto"/>
        <w:bottom w:val="none" w:sz="0" w:space="0" w:color="auto"/>
        <w:right w:val="none" w:sz="0" w:space="0" w:color="auto"/>
      </w:divBdr>
    </w:div>
    <w:div w:id="409743148">
      <w:bodyDiv w:val="1"/>
      <w:marLeft w:val="0"/>
      <w:marRight w:val="0"/>
      <w:marTop w:val="0"/>
      <w:marBottom w:val="0"/>
      <w:divBdr>
        <w:top w:val="none" w:sz="0" w:space="0" w:color="auto"/>
        <w:left w:val="none" w:sz="0" w:space="0" w:color="auto"/>
        <w:bottom w:val="none" w:sz="0" w:space="0" w:color="auto"/>
        <w:right w:val="none" w:sz="0" w:space="0" w:color="auto"/>
      </w:divBdr>
    </w:div>
    <w:div w:id="527566479">
      <w:bodyDiv w:val="1"/>
      <w:marLeft w:val="0"/>
      <w:marRight w:val="0"/>
      <w:marTop w:val="0"/>
      <w:marBottom w:val="0"/>
      <w:divBdr>
        <w:top w:val="none" w:sz="0" w:space="0" w:color="auto"/>
        <w:left w:val="none" w:sz="0" w:space="0" w:color="auto"/>
        <w:bottom w:val="none" w:sz="0" w:space="0" w:color="auto"/>
        <w:right w:val="none" w:sz="0" w:space="0" w:color="auto"/>
      </w:divBdr>
    </w:div>
    <w:div w:id="565411543">
      <w:bodyDiv w:val="1"/>
      <w:marLeft w:val="0"/>
      <w:marRight w:val="0"/>
      <w:marTop w:val="0"/>
      <w:marBottom w:val="0"/>
      <w:divBdr>
        <w:top w:val="none" w:sz="0" w:space="0" w:color="auto"/>
        <w:left w:val="none" w:sz="0" w:space="0" w:color="auto"/>
        <w:bottom w:val="none" w:sz="0" w:space="0" w:color="auto"/>
        <w:right w:val="none" w:sz="0" w:space="0" w:color="auto"/>
      </w:divBdr>
    </w:div>
    <w:div w:id="623459889">
      <w:bodyDiv w:val="1"/>
      <w:marLeft w:val="0"/>
      <w:marRight w:val="0"/>
      <w:marTop w:val="0"/>
      <w:marBottom w:val="0"/>
      <w:divBdr>
        <w:top w:val="none" w:sz="0" w:space="0" w:color="auto"/>
        <w:left w:val="none" w:sz="0" w:space="0" w:color="auto"/>
        <w:bottom w:val="none" w:sz="0" w:space="0" w:color="auto"/>
        <w:right w:val="none" w:sz="0" w:space="0" w:color="auto"/>
      </w:divBdr>
    </w:div>
    <w:div w:id="650064342">
      <w:bodyDiv w:val="1"/>
      <w:marLeft w:val="0"/>
      <w:marRight w:val="0"/>
      <w:marTop w:val="0"/>
      <w:marBottom w:val="0"/>
      <w:divBdr>
        <w:top w:val="none" w:sz="0" w:space="0" w:color="auto"/>
        <w:left w:val="none" w:sz="0" w:space="0" w:color="auto"/>
        <w:bottom w:val="none" w:sz="0" w:space="0" w:color="auto"/>
        <w:right w:val="none" w:sz="0" w:space="0" w:color="auto"/>
      </w:divBdr>
    </w:div>
    <w:div w:id="729615627">
      <w:bodyDiv w:val="1"/>
      <w:marLeft w:val="0"/>
      <w:marRight w:val="0"/>
      <w:marTop w:val="0"/>
      <w:marBottom w:val="0"/>
      <w:divBdr>
        <w:top w:val="none" w:sz="0" w:space="0" w:color="auto"/>
        <w:left w:val="none" w:sz="0" w:space="0" w:color="auto"/>
        <w:bottom w:val="none" w:sz="0" w:space="0" w:color="auto"/>
        <w:right w:val="none" w:sz="0" w:space="0" w:color="auto"/>
      </w:divBdr>
    </w:div>
    <w:div w:id="735784110">
      <w:bodyDiv w:val="1"/>
      <w:marLeft w:val="0"/>
      <w:marRight w:val="0"/>
      <w:marTop w:val="0"/>
      <w:marBottom w:val="0"/>
      <w:divBdr>
        <w:top w:val="none" w:sz="0" w:space="0" w:color="auto"/>
        <w:left w:val="none" w:sz="0" w:space="0" w:color="auto"/>
        <w:bottom w:val="none" w:sz="0" w:space="0" w:color="auto"/>
        <w:right w:val="none" w:sz="0" w:space="0" w:color="auto"/>
      </w:divBdr>
    </w:div>
    <w:div w:id="812068080">
      <w:bodyDiv w:val="1"/>
      <w:marLeft w:val="0"/>
      <w:marRight w:val="0"/>
      <w:marTop w:val="0"/>
      <w:marBottom w:val="0"/>
      <w:divBdr>
        <w:top w:val="none" w:sz="0" w:space="0" w:color="auto"/>
        <w:left w:val="none" w:sz="0" w:space="0" w:color="auto"/>
        <w:bottom w:val="none" w:sz="0" w:space="0" w:color="auto"/>
        <w:right w:val="none" w:sz="0" w:space="0" w:color="auto"/>
      </w:divBdr>
    </w:div>
    <w:div w:id="1012954191">
      <w:bodyDiv w:val="1"/>
      <w:marLeft w:val="0"/>
      <w:marRight w:val="0"/>
      <w:marTop w:val="0"/>
      <w:marBottom w:val="0"/>
      <w:divBdr>
        <w:top w:val="none" w:sz="0" w:space="0" w:color="auto"/>
        <w:left w:val="none" w:sz="0" w:space="0" w:color="auto"/>
        <w:bottom w:val="none" w:sz="0" w:space="0" w:color="auto"/>
        <w:right w:val="none" w:sz="0" w:space="0" w:color="auto"/>
      </w:divBdr>
    </w:div>
    <w:div w:id="1263536976">
      <w:bodyDiv w:val="1"/>
      <w:marLeft w:val="0"/>
      <w:marRight w:val="0"/>
      <w:marTop w:val="0"/>
      <w:marBottom w:val="0"/>
      <w:divBdr>
        <w:top w:val="none" w:sz="0" w:space="0" w:color="auto"/>
        <w:left w:val="none" w:sz="0" w:space="0" w:color="auto"/>
        <w:bottom w:val="none" w:sz="0" w:space="0" w:color="auto"/>
        <w:right w:val="none" w:sz="0" w:space="0" w:color="auto"/>
      </w:divBdr>
    </w:div>
    <w:div w:id="1290479585">
      <w:bodyDiv w:val="1"/>
      <w:marLeft w:val="0"/>
      <w:marRight w:val="0"/>
      <w:marTop w:val="0"/>
      <w:marBottom w:val="0"/>
      <w:divBdr>
        <w:top w:val="none" w:sz="0" w:space="0" w:color="auto"/>
        <w:left w:val="none" w:sz="0" w:space="0" w:color="auto"/>
        <w:bottom w:val="none" w:sz="0" w:space="0" w:color="auto"/>
        <w:right w:val="none" w:sz="0" w:space="0" w:color="auto"/>
      </w:divBdr>
    </w:div>
    <w:div w:id="1390572499">
      <w:bodyDiv w:val="1"/>
      <w:marLeft w:val="0"/>
      <w:marRight w:val="0"/>
      <w:marTop w:val="0"/>
      <w:marBottom w:val="0"/>
      <w:divBdr>
        <w:top w:val="none" w:sz="0" w:space="0" w:color="auto"/>
        <w:left w:val="none" w:sz="0" w:space="0" w:color="auto"/>
        <w:bottom w:val="none" w:sz="0" w:space="0" w:color="auto"/>
        <w:right w:val="none" w:sz="0" w:space="0" w:color="auto"/>
      </w:divBdr>
    </w:div>
    <w:div w:id="1915428991">
      <w:bodyDiv w:val="1"/>
      <w:marLeft w:val="0"/>
      <w:marRight w:val="0"/>
      <w:marTop w:val="0"/>
      <w:marBottom w:val="0"/>
      <w:divBdr>
        <w:top w:val="none" w:sz="0" w:space="0" w:color="auto"/>
        <w:left w:val="none" w:sz="0" w:space="0" w:color="auto"/>
        <w:bottom w:val="none" w:sz="0" w:space="0" w:color="auto"/>
        <w:right w:val="none" w:sz="0" w:space="0" w:color="auto"/>
      </w:divBdr>
    </w:div>
    <w:div w:id="2020084949">
      <w:bodyDiv w:val="1"/>
      <w:marLeft w:val="0"/>
      <w:marRight w:val="0"/>
      <w:marTop w:val="0"/>
      <w:marBottom w:val="0"/>
      <w:divBdr>
        <w:top w:val="none" w:sz="0" w:space="0" w:color="auto"/>
        <w:left w:val="none" w:sz="0" w:space="0" w:color="auto"/>
        <w:bottom w:val="none" w:sz="0" w:space="0" w:color="auto"/>
        <w:right w:val="none" w:sz="0" w:space="0" w:color="auto"/>
      </w:divBdr>
    </w:div>
    <w:div w:id="20448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sites/default/files/2023-09/SC62_com1_rev2_Report_Subgroup_on_finance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5" ma:contentTypeDescription="Create a new document." ma:contentTypeScope="" ma:versionID="edb5a81cb33a773fd150dd174133c226">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3d13f0ae6bc4881104d4d0908c0caaea"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D7866-C018-4382-B8A4-529785C9C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A5250C-9B27-4ABB-ADC8-5417FD867022}">
  <ds:schemaRefs>
    <ds:schemaRef ds:uri="http://schemas.microsoft.com/sharepoint/v3/contenttype/forms"/>
  </ds:schemaRefs>
</ds:datastoreItem>
</file>

<file path=customXml/itemProps3.xml><?xml version="1.0" encoding="utf-8"?>
<ds:datastoreItem xmlns:ds="http://schemas.openxmlformats.org/officeDocument/2006/customXml" ds:itemID="{506B1341-9A43-4D56-A22D-27730D8BDC44}">
  <ds:schemaRefs>
    <ds:schemaRef ds:uri="http://schemas.microsoft.com/office/2006/documentManagement/types"/>
    <ds:schemaRef ds:uri="http://purl.org/dc/dcmitype/"/>
    <ds:schemaRef ds:uri="8c0b6b05-eb82-4bda-97e8-cd82d0d6b453"/>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edd258d-19a7-41ba-8260-b0918f25313d"/>
    <ds:schemaRef ds:uri="http://purl.org/dc/terms/"/>
  </ds:schemaRefs>
</ds:datastoreItem>
</file>

<file path=customXml/itemProps4.xml><?xml version="1.0" encoding="utf-8"?>
<ds:datastoreItem xmlns:ds="http://schemas.openxmlformats.org/officeDocument/2006/customXml" ds:itemID="{C6A72250-959F-42CA-A9EA-D71499909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2311</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6</cp:revision>
  <cp:lastPrinted>2023-09-25T13:04:00Z</cp:lastPrinted>
  <dcterms:created xsi:type="dcterms:W3CDTF">2023-09-20T09:53:00Z</dcterms:created>
  <dcterms:modified xsi:type="dcterms:W3CDTF">2023-10-19T15:27:00Z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