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BCEFC" w14:textId="77777777" w:rsidR="000075D1" w:rsidRDefault="000075D1" w:rsidP="000075D1">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cstheme="minorHAnsi"/>
          <w:bCs/>
          <w:szCs w:val="20"/>
        </w:rPr>
      </w:pPr>
      <w:bookmarkStart w:id="0" w:name="_GoBack"/>
      <w:bookmarkEnd w:id="0"/>
      <w:r>
        <w:rPr>
          <w:rFonts w:cstheme="minorHAnsi"/>
          <w:bCs/>
          <w:szCs w:val="20"/>
        </w:rPr>
        <w:t>THE CONVENTION ON WETLANDS</w:t>
      </w:r>
    </w:p>
    <w:p w14:paraId="7F6054D0" w14:textId="77777777" w:rsidR="000075D1" w:rsidRDefault="000075D1" w:rsidP="000075D1">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pPr>
      <w:r>
        <w:t>62nd meeting of the Standing Committee</w:t>
      </w:r>
    </w:p>
    <w:p w14:paraId="2DA2A367" w14:textId="77777777" w:rsidR="000075D1" w:rsidRDefault="000075D1" w:rsidP="000075D1">
      <w:pPr>
        <w:pBdr>
          <w:top w:val="single" w:sz="12" w:space="0" w:color="auto" w:shadow="1"/>
          <w:left w:val="single" w:sz="12" w:space="4" w:color="auto" w:shadow="1"/>
          <w:bottom w:val="single" w:sz="12" w:space="1" w:color="auto" w:shadow="1"/>
          <w:right w:val="single" w:sz="12" w:space="0" w:color="auto" w:shadow="1"/>
        </w:pBdr>
        <w:spacing w:after="0" w:line="240" w:lineRule="auto"/>
        <w:ind w:right="2792"/>
        <w:rPr>
          <w:rFonts w:cstheme="minorHAnsi"/>
          <w:bCs/>
          <w:szCs w:val="20"/>
        </w:rPr>
      </w:pPr>
      <w:r>
        <w:t>Gland, Switzerland, 4-8 September 2023</w:t>
      </w:r>
    </w:p>
    <w:p w14:paraId="5363795D" w14:textId="77777777" w:rsidR="000075D1" w:rsidRDefault="000075D1" w:rsidP="000075D1">
      <w:pPr>
        <w:spacing w:after="0" w:line="240" w:lineRule="auto"/>
        <w:rPr>
          <w:sz w:val="28"/>
        </w:rPr>
      </w:pPr>
    </w:p>
    <w:p w14:paraId="2A33C18C" w14:textId="77777777" w:rsidR="000075D1" w:rsidRDefault="000075D1" w:rsidP="000075D1">
      <w:pPr>
        <w:spacing w:after="0" w:line="240" w:lineRule="auto"/>
        <w:jc w:val="right"/>
        <w:rPr>
          <w:rFonts w:cstheme="minorHAnsi"/>
          <w:b/>
          <w:sz w:val="28"/>
          <w:szCs w:val="28"/>
        </w:rPr>
      </w:pPr>
      <w:r>
        <w:rPr>
          <w:rFonts w:cstheme="minorHAnsi"/>
          <w:b/>
          <w:sz w:val="28"/>
          <w:szCs w:val="28"/>
        </w:rPr>
        <w:t xml:space="preserve">SC62 </w:t>
      </w:r>
      <w:r w:rsidRPr="00792BD0">
        <w:rPr>
          <w:rFonts w:cstheme="minorHAnsi"/>
          <w:b/>
          <w:sz w:val="28"/>
          <w:szCs w:val="28"/>
        </w:rPr>
        <w:t>Com.</w:t>
      </w:r>
      <w:r>
        <w:rPr>
          <w:rFonts w:cstheme="minorHAnsi"/>
          <w:b/>
          <w:sz w:val="28"/>
          <w:szCs w:val="28"/>
        </w:rPr>
        <w:t>2</w:t>
      </w:r>
    </w:p>
    <w:p w14:paraId="29A0CAEA" w14:textId="77777777" w:rsidR="000075D1" w:rsidRDefault="000075D1" w:rsidP="000075D1">
      <w:pPr>
        <w:spacing w:after="0" w:line="240" w:lineRule="auto"/>
        <w:jc w:val="center"/>
        <w:rPr>
          <w:b/>
          <w:bCs/>
          <w:sz w:val="32"/>
          <w:szCs w:val="32"/>
        </w:rPr>
      </w:pPr>
    </w:p>
    <w:p w14:paraId="2D264760" w14:textId="18954163" w:rsidR="007A7DA4" w:rsidRDefault="007A7DA4" w:rsidP="000075D1">
      <w:pPr>
        <w:spacing w:after="0" w:line="240" w:lineRule="auto"/>
        <w:jc w:val="center"/>
        <w:rPr>
          <w:b/>
          <w:bCs/>
          <w:sz w:val="32"/>
          <w:szCs w:val="32"/>
        </w:rPr>
      </w:pPr>
      <w:r w:rsidRPr="007A7DA4">
        <w:rPr>
          <w:b/>
          <w:bCs/>
          <w:sz w:val="32"/>
          <w:szCs w:val="32"/>
        </w:rPr>
        <w:t xml:space="preserve">Working </w:t>
      </w:r>
      <w:r>
        <w:rPr>
          <w:b/>
          <w:bCs/>
          <w:sz w:val="32"/>
          <w:szCs w:val="32"/>
        </w:rPr>
        <w:t>G</w:t>
      </w:r>
      <w:r w:rsidRPr="007A7DA4">
        <w:rPr>
          <w:b/>
          <w:bCs/>
          <w:sz w:val="32"/>
          <w:szCs w:val="32"/>
        </w:rPr>
        <w:t>roup on institutional strengthening to support the implementation of the Ramsar Convention</w:t>
      </w:r>
    </w:p>
    <w:p w14:paraId="0253533F" w14:textId="77777777" w:rsidR="00AF2FB9" w:rsidRDefault="00AF2FB9" w:rsidP="007A7DA4">
      <w:pPr>
        <w:jc w:val="center"/>
        <w:rPr>
          <w:b/>
          <w:bCs/>
        </w:rPr>
      </w:pPr>
    </w:p>
    <w:p w14:paraId="297B15BD" w14:textId="0C32577F" w:rsidR="001D313D" w:rsidRPr="009143A9" w:rsidRDefault="001D313D" w:rsidP="007A7DA4">
      <w:pPr>
        <w:jc w:val="center"/>
        <w:rPr>
          <w:rFonts w:cstheme="minorHAnsi"/>
          <w:b/>
          <w:bCs/>
        </w:rPr>
      </w:pPr>
      <w:r w:rsidRPr="009143A9">
        <w:rPr>
          <w:rFonts w:cstheme="minorHAnsi"/>
          <w:b/>
          <w:bCs/>
        </w:rPr>
        <w:t>TERMS OF REFERENCE</w:t>
      </w:r>
    </w:p>
    <w:p w14:paraId="30834B57" w14:textId="60761303" w:rsidR="001441CC" w:rsidRPr="009143A9" w:rsidRDefault="001441CC" w:rsidP="002C02FA">
      <w:pPr>
        <w:pStyle w:val="ListParagraph"/>
        <w:numPr>
          <w:ilvl w:val="0"/>
          <w:numId w:val="9"/>
        </w:numPr>
        <w:ind w:left="426" w:hanging="426"/>
        <w:rPr>
          <w:rFonts w:cstheme="minorHAnsi"/>
          <w:b/>
          <w:bCs/>
        </w:rPr>
      </w:pPr>
      <w:r w:rsidRPr="009143A9">
        <w:rPr>
          <w:rFonts w:cstheme="minorHAnsi"/>
          <w:b/>
          <w:bCs/>
        </w:rPr>
        <w:t>Background</w:t>
      </w:r>
    </w:p>
    <w:p w14:paraId="19093B3A" w14:textId="77777777" w:rsidR="004D4859" w:rsidRPr="009143A9" w:rsidRDefault="004D4859" w:rsidP="004D4859">
      <w:pPr>
        <w:pStyle w:val="ColorfulList-Accent11"/>
        <w:ind w:left="426" w:hanging="426"/>
        <w:jc w:val="both"/>
        <w:rPr>
          <w:rFonts w:asciiTheme="minorHAnsi" w:hAnsiTheme="minorHAnsi" w:cstheme="minorHAnsi"/>
        </w:rPr>
      </w:pPr>
      <w:r w:rsidRPr="009143A9">
        <w:rPr>
          <w:rFonts w:asciiTheme="minorHAnsi" w:hAnsiTheme="minorHAnsi" w:cstheme="minorHAnsi"/>
        </w:rPr>
        <w:t>1.1</w:t>
      </w:r>
      <w:r w:rsidRPr="009143A9">
        <w:rPr>
          <w:rFonts w:asciiTheme="minorHAnsi" w:hAnsiTheme="minorHAnsi" w:cstheme="minorHAnsi"/>
        </w:rPr>
        <w:tab/>
        <w:t>In Decision SC55-12, the Standing Committee instructed the Secretariat, with support from an informal group of interested Contracting Parties, to bring forward a structured proposal regarding the possibility of the Convention obtaining observer status at the United Nations General Assembly, taking into account the various options, for consideration at its 57th meeting (SC57).</w:t>
      </w:r>
    </w:p>
    <w:p w14:paraId="1231DF8A" w14:textId="77777777" w:rsidR="004D4859" w:rsidRPr="009143A9" w:rsidRDefault="004D4859" w:rsidP="004D4859">
      <w:pPr>
        <w:spacing w:after="0" w:line="240" w:lineRule="auto"/>
        <w:ind w:left="426" w:hanging="426"/>
        <w:rPr>
          <w:rFonts w:cstheme="minorHAnsi"/>
        </w:rPr>
      </w:pPr>
    </w:p>
    <w:p w14:paraId="1E595ED7" w14:textId="77777777" w:rsidR="004D4859" w:rsidRPr="009143A9" w:rsidRDefault="004D4859" w:rsidP="004D4859">
      <w:pPr>
        <w:spacing w:after="0" w:line="240" w:lineRule="auto"/>
        <w:ind w:left="426" w:hanging="426"/>
        <w:rPr>
          <w:rFonts w:cstheme="minorHAnsi"/>
        </w:rPr>
      </w:pPr>
      <w:r w:rsidRPr="009143A9">
        <w:rPr>
          <w:rFonts w:cstheme="minorHAnsi"/>
        </w:rPr>
        <w:t>1.2.</w:t>
      </w:r>
      <w:r w:rsidRPr="009143A9">
        <w:rPr>
          <w:rFonts w:cstheme="minorHAnsi"/>
        </w:rPr>
        <w:tab/>
        <w:t xml:space="preserve">The report of </w:t>
      </w:r>
      <w:r w:rsidRPr="009143A9">
        <w:rPr>
          <w:rFonts w:cstheme="minorHAnsi"/>
          <w:bCs/>
        </w:rPr>
        <w:t xml:space="preserve">the informal group of interested </w:t>
      </w:r>
      <w:r w:rsidRPr="009143A9">
        <w:rPr>
          <w:rFonts w:cstheme="minorHAnsi"/>
          <w:bCs/>
          <w:iCs/>
        </w:rPr>
        <w:t>Contracting Parties</w:t>
      </w:r>
      <w:r w:rsidRPr="009143A9">
        <w:rPr>
          <w:rFonts w:cstheme="minorHAnsi"/>
          <w:bCs/>
        </w:rPr>
        <w:t xml:space="preserve"> to SC57 on observer status in the United Nations bodies noted s</w:t>
      </w:r>
      <w:r w:rsidRPr="009143A9">
        <w:rPr>
          <w:rFonts w:cstheme="minorHAnsi"/>
        </w:rPr>
        <w:t>ome limitations experienced by the Secretariat due to it not having legal personality, such as:</w:t>
      </w:r>
    </w:p>
    <w:p w14:paraId="6598304D" w14:textId="77777777" w:rsidR="004D4859" w:rsidRPr="009143A9" w:rsidRDefault="004D4859" w:rsidP="004D4859">
      <w:pPr>
        <w:spacing w:after="0" w:line="240" w:lineRule="auto"/>
        <w:ind w:left="851" w:hanging="425"/>
        <w:rPr>
          <w:rFonts w:cstheme="minorHAnsi"/>
        </w:rPr>
      </w:pPr>
      <w:r w:rsidRPr="009143A9">
        <w:rPr>
          <w:rFonts w:cstheme="minorHAnsi"/>
        </w:rPr>
        <w:t>a.</w:t>
      </w:r>
      <w:r w:rsidRPr="009143A9">
        <w:rPr>
          <w:rFonts w:cstheme="minorHAnsi"/>
        </w:rPr>
        <w:tab/>
        <w:t>limited visibility of the Convention in UN processes and meetings;</w:t>
      </w:r>
    </w:p>
    <w:p w14:paraId="1A81DDC8" w14:textId="77777777" w:rsidR="004D4859" w:rsidRPr="009143A9" w:rsidRDefault="004D4859" w:rsidP="004D4859">
      <w:pPr>
        <w:spacing w:after="0" w:line="240" w:lineRule="auto"/>
        <w:ind w:left="851" w:hanging="425"/>
        <w:rPr>
          <w:rFonts w:cstheme="minorHAnsi"/>
        </w:rPr>
      </w:pPr>
      <w:r w:rsidRPr="009143A9">
        <w:rPr>
          <w:rFonts w:cstheme="minorHAnsi"/>
        </w:rPr>
        <w:t>b.</w:t>
      </w:r>
      <w:r w:rsidRPr="009143A9">
        <w:rPr>
          <w:rFonts w:cstheme="minorHAnsi"/>
        </w:rPr>
        <w:tab/>
        <w:t>difficulties in the management of projects, in particular when donors request that project agreements be signed by IUCN and do not accept the delegation of authority to the Secretary General;</w:t>
      </w:r>
    </w:p>
    <w:p w14:paraId="0325F30A" w14:textId="77777777" w:rsidR="004D4859" w:rsidRPr="009143A9" w:rsidRDefault="004D4859" w:rsidP="004D4859">
      <w:pPr>
        <w:spacing w:after="0" w:line="240" w:lineRule="auto"/>
        <w:ind w:left="851" w:hanging="425"/>
        <w:rPr>
          <w:rFonts w:cstheme="minorHAnsi"/>
        </w:rPr>
      </w:pPr>
      <w:r w:rsidRPr="009143A9">
        <w:rPr>
          <w:rFonts w:cstheme="minorHAnsi"/>
        </w:rPr>
        <w:t>c.</w:t>
      </w:r>
      <w:r w:rsidRPr="009143A9">
        <w:rPr>
          <w:rFonts w:cstheme="minorHAnsi"/>
        </w:rPr>
        <w:tab/>
        <w:t>year-on-year increases in the provision for contributions in arrears required under Swiss financial regulations and law, and;</w:t>
      </w:r>
    </w:p>
    <w:p w14:paraId="61E96EA5" w14:textId="77777777" w:rsidR="004D4859" w:rsidRPr="009143A9" w:rsidRDefault="004D4859" w:rsidP="004D4859">
      <w:pPr>
        <w:spacing w:after="0" w:line="240" w:lineRule="auto"/>
        <w:ind w:left="851" w:hanging="425"/>
        <w:rPr>
          <w:rFonts w:cstheme="minorHAnsi"/>
        </w:rPr>
      </w:pPr>
      <w:r w:rsidRPr="009143A9">
        <w:rPr>
          <w:rFonts w:cstheme="minorHAnsi"/>
        </w:rPr>
        <w:t>d.</w:t>
      </w:r>
      <w:r w:rsidRPr="009143A9">
        <w:rPr>
          <w:rFonts w:cstheme="minorHAnsi"/>
        </w:rPr>
        <w:tab/>
        <w:t xml:space="preserve">challenges in the recruitment and retention of staff given that the Convention does not compete with the conditions and benefits (salary scales, pensions and education allowance) of the UN. </w:t>
      </w:r>
    </w:p>
    <w:p w14:paraId="534689A2" w14:textId="77777777" w:rsidR="004D4859" w:rsidRPr="009143A9" w:rsidRDefault="004D4859" w:rsidP="004D4859">
      <w:pPr>
        <w:pStyle w:val="ColorfulList-Accent11"/>
        <w:ind w:left="0" w:firstLine="0"/>
        <w:rPr>
          <w:rFonts w:asciiTheme="minorHAnsi" w:eastAsiaTheme="minorHAnsi" w:hAnsiTheme="minorHAnsi" w:cstheme="minorHAnsi"/>
          <w:bCs/>
          <w:lang w:val="en-US"/>
        </w:rPr>
      </w:pPr>
    </w:p>
    <w:p w14:paraId="541AE697" w14:textId="77777777" w:rsidR="004D4859" w:rsidRPr="009143A9" w:rsidRDefault="004D4859" w:rsidP="004D4859">
      <w:pPr>
        <w:pStyle w:val="ColorfulList-Accent11"/>
        <w:ind w:left="425"/>
        <w:jc w:val="both"/>
        <w:rPr>
          <w:rFonts w:asciiTheme="minorHAnsi" w:hAnsiTheme="minorHAnsi" w:cstheme="minorHAnsi"/>
          <w:bCs/>
        </w:rPr>
      </w:pPr>
      <w:r w:rsidRPr="009143A9">
        <w:rPr>
          <w:rFonts w:asciiTheme="minorHAnsi" w:hAnsiTheme="minorHAnsi" w:cstheme="minorHAnsi"/>
        </w:rPr>
        <w:t>1.3.</w:t>
      </w:r>
      <w:r w:rsidRPr="009143A9">
        <w:rPr>
          <w:rFonts w:asciiTheme="minorHAnsi" w:hAnsiTheme="minorHAnsi" w:cstheme="minorHAnsi"/>
        </w:rPr>
        <w:tab/>
        <w:t>The Standing Committee at SC57, through Decision SC57-14, requested an analysis of the different options proposed, and others that may not have been addressed, for the Secretariat to have observer status at the United Nations General Assembly, and endorsed the continuity of the Observer Status Working Group.</w:t>
      </w:r>
    </w:p>
    <w:p w14:paraId="270D076C" w14:textId="77777777" w:rsidR="004D4859" w:rsidRPr="009143A9" w:rsidRDefault="004D4859" w:rsidP="004D4859">
      <w:pPr>
        <w:spacing w:after="0" w:line="240" w:lineRule="auto"/>
        <w:ind w:left="425" w:hanging="425"/>
        <w:rPr>
          <w:rFonts w:cstheme="minorHAnsi"/>
          <w:bCs/>
        </w:rPr>
      </w:pPr>
    </w:p>
    <w:p w14:paraId="39E28889" w14:textId="77777777" w:rsidR="004D4859" w:rsidRPr="009143A9" w:rsidRDefault="004D4859" w:rsidP="004D4859">
      <w:pPr>
        <w:spacing w:after="0" w:line="240" w:lineRule="auto"/>
        <w:ind w:left="425" w:hanging="425"/>
        <w:jc w:val="both"/>
        <w:rPr>
          <w:rFonts w:cstheme="minorHAnsi"/>
          <w:bCs/>
        </w:rPr>
      </w:pPr>
      <w:r w:rsidRPr="009143A9">
        <w:rPr>
          <w:rFonts w:cstheme="minorHAnsi"/>
          <w:bCs/>
        </w:rPr>
        <w:t>1.4.</w:t>
      </w:r>
      <w:r w:rsidRPr="009143A9">
        <w:rPr>
          <w:rFonts w:cstheme="minorHAnsi"/>
          <w:bCs/>
        </w:rPr>
        <w:tab/>
        <w:t>Two consultancies were carried out at the request of the Observer Status Working Group related to the identified limitations:</w:t>
      </w:r>
    </w:p>
    <w:p w14:paraId="429CC27E" w14:textId="77777777" w:rsidR="004D4859" w:rsidRPr="009143A9" w:rsidRDefault="004D4859" w:rsidP="004D4859">
      <w:pPr>
        <w:pStyle w:val="ListParagraph"/>
        <w:numPr>
          <w:ilvl w:val="0"/>
          <w:numId w:val="10"/>
        </w:numPr>
        <w:spacing w:after="0" w:line="240" w:lineRule="auto"/>
        <w:ind w:left="851" w:hanging="425"/>
        <w:jc w:val="both"/>
        <w:rPr>
          <w:rFonts w:cstheme="minorHAnsi"/>
          <w:bCs/>
        </w:rPr>
      </w:pPr>
      <w:r w:rsidRPr="009143A9">
        <w:rPr>
          <w:rFonts w:cstheme="minorHAnsi"/>
          <w:bCs/>
        </w:rPr>
        <w:t>an independent analysis of the legal status of the Secretariat</w:t>
      </w:r>
      <w:r w:rsidRPr="009143A9">
        <w:rPr>
          <w:rStyle w:val="FootnoteReference"/>
          <w:rFonts w:cstheme="minorHAnsi"/>
          <w:bCs/>
        </w:rPr>
        <w:footnoteReference w:id="1"/>
      </w:r>
      <w:r w:rsidRPr="009143A9">
        <w:rPr>
          <w:rFonts w:cstheme="minorHAnsi"/>
          <w:bCs/>
        </w:rPr>
        <w:t xml:space="preserve">; and </w:t>
      </w:r>
    </w:p>
    <w:p w14:paraId="12DE23A2" w14:textId="77777777" w:rsidR="004D4859" w:rsidRPr="009143A9" w:rsidRDefault="004D4859" w:rsidP="004D4859">
      <w:pPr>
        <w:pStyle w:val="ListParagraph"/>
        <w:numPr>
          <w:ilvl w:val="0"/>
          <w:numId w:val="10"/>
        </w:numPr>
        <w:spacing w:after="0" w:line="240" w:lineRule="auto"/>
        <w:ind w:left="851" w:hanging="425"/>
        <w:jc w:val="both"/>
        <w:rPr>
          <w:rFonts w:cstheme="minorHAnsi"/>
          <w:bCs/>
        </w:rPr>
      </w:pPr>
      <w:r w:rsidRPr="009143A9">
        <w:rPr>
          <w:rFonts w:cstheme="minorHAnsi"/>
          <w:bCs/>
        </w:rPr>
        <w:t>a financial analysis of the legal status of the Secretariat</w:t>
      </w:r>
      <w:r w:rsidRPr="009143A9">
        <w:rPr>
          <w:rStyle w:val="FootnoteReference"/>
          <w:rFonts w:cstheme="minorHAnsi"/>
          <w:bCs/>
        </w:rPr>
        <w:footnoteReference w:id="2"/>
      </w:r>
      <w:r w:rsidRPr="009143A9">
        <w:rPr>
          <w:rFonts w:cstheme="minorHAnsi"/>
          <w:bCs/>
        </w:rPr>
        <w:t>.</w:t>
      </w:r>
    </w:p>
    <w:p w14:paraId="6F09B8BE" w14:textId="77777777" w:rsidR="004D4859" w:rsidRPr="009143A9" w:rsidRDefault="004D4859" w:rsidP="004D4859">
      <w:pPr>
        <w:pStyle w:val="NormalWeb"/>
        <w:spacing w:before="0" w:beforeAutospacing="0" w:after="0" w:afterAutospacing="0"/>
        <w:ind w:left="425" w:hanging="425"/>
        <w:jc w:val="both"/>
        <w:rPr>
          <w:rFonts w:asciiTheme="minorHAnsi" w:hAnsiTheme="minorHAnsi" w:cstheme="minorHAnsi"/>
          <w:sz w:val="22"/>
          <w:szCs w:val="22"/>
          <w:lang w:val="en-US" w:eastAsia="en-US"/>
        </w:rPr>
      </w:pPr>
    </w:p>
    <w:p w14:paraId="63014862" w14:textId="77777777" w:rsidR="004D4859" w:rsidRPr="009143A9" w:rsidRDefault="004D4859" w:rsidP="004D4859">
      <w:pPr>
        <w:pStyle w:val="NoSpacing"/>
        <w:ind w:left="426" w:hanging="426"/>
        <w:jc w:val="both"/>
        <w:rPr>
          <w:rFonts w:cstheme="minorHAnsi"/>
          <w:bCs/>
        </w:rPr>
      </w:pPr>
      <w:r w:rsidRPr="009143A9">
        <w:rPr>
          <w:rFonts w:cstheme="minorHAnsi"/>
        </w:rPr>
        <w:t>1.5.</w:t>
      </w:r>
      <w:r w:rsidRPr="009143A9">
        <w:rPr>
          <w:rFonts w:cstheme="minorHAnsi"/>
        </w:rPr>
        <w:tab/>
        <w:t xml:space="preserve">At its fourteenth meeting (COP14), the Conference of the Contracting Parties adopted Resolution XIV.6 on </w:t>
      </w:r>
      <w:r w:rsidRPr="009143A9">
        <w:rPr>
          <w:rFonts w:cstheme="minorHAnsi"/>
          <w:i/>
        </w:rPr>
        <w:t xml:space="preserve">Enhancing the Convention´s visibility and synergies </w:t>
      </w:r>
      <w:r w:rsidRPr="009143A9">
        <w:rPr>
          <w:rFonts w:cstheme="minorHAnsi"/>
          <w:bCs/>
          <w:i/>
        </w:rPr>
        <w:t>with other multilateral environmental agreements and other international institutions</w:t>
      </w:r>
      <w:r w:rsidRPr="009143A9">
        <w:rPr>
          <w:rStyle w:val="FootnoteReference"/>
          <w:rFonts w:cstheme="minorHAnsi"/>
          <w:bCs/>
        </w:rPr>
        <w:footnoteReference w:id="3"/>
      </w:r>
      <w:r w:rsidRPr="009143A9">
        <w:rPr>
          <w:rFonts w:cstheme="minorHAnsi"/>
          <w:bCs/>
        </w:rPr>
        <w:t>, in which paragraph 22:</w:t>
      </w:r>
    </w:p>
    <w:p w14:paraId="4342BF14" w14:textId="77777777" w:rsidR="004D4859" w:rsidRPr="009143A9" w:rsidRDefault="004D4859" w:rsidP="004D4859">
      <w:pPr>
        <w:pStyle w:val="NoSpacing"/>
        <w:ind w:left="851"/>
        <w:jc w:val="both"/>
        <w:rPr>
          <w:rFonts w:cstheme="minorHAnsi"/>
          <w:bCs/>
        </w:rPr>
      </w:pPr>
    </w:p>
    <w:p w14:paraId="72A9362F" w14:textId="77777777" w:rsidR="004D4859" w:rsidRPr="009143A9" w:rsidRDefault="004D4859" w:rsidP="004D4859">
      <w:pPr>
        <w:pStyle w:val="NoSpacing"/>
        <w:ind w:left="426"/>
        <w:jc w:val="both"/>
        <w:rPr>
          <w:rFonts w:cstheme="minorHAnsi"/>
          <w:iCs/>
        </w:rPr>
      </w:pPr>
      <w:r w:rsidRPr="009143A9">
        <w:rPr>
          <w:rFonts w:cstheme="minorHAnsi"/>
          <w:bCs/>
        </w:rPr>
        <w:lastRenderedPageBreak/>
        <w:t>“instructs the Secretariat</w:t>
      </w:r>
      <w:r w:rsidRPr="009143A9">
        <w:rPr>
          <w:rFonts w:cstheme="minorHAnsi"/>
        </w:rPr>
        <w:t xml:space="preserve">, in consultation with interested Contracting Parties, </w:t>
      </w:r>
      <w:r w:rsidRPr="009143A9">
        <w:rPr>
          <w:rFonts w:cstheme="minorHAnsi"/>
          <w:iCs/>
        </w:rPr>
        <w:t>to prepare an institutional strengthening report with recommendations reflecting the needs of the Secretariat to achieve organizational robustness to support the implementation of the Convention, including but not limited to those related to administrative arrangements, governance, leadership, human resources independency, high-level political engagement, and the Convention’s visibility objectives, and requested the Secretariat to present the report with recommendations to the 62nd meeting of the Standing Committee (SC62) for discussion and a subsequent draft resolution to SC63 for its consideration”.</w:t>
      </w:r>
    </w:p>
    <w:p w14:paraId="609093B2" w14:textId="77777777" w:rsidR="004D4859" w:rsidRPr="009143A9" w:rsidRDefault="004D4859" w:rsidP="004D4859">
      <w:pPr>
        <w:pStyle w:val="NoSpacing"/>
        <w:ind w:left="426"/>
        <w:jc w:val="both"/>
        <w:rPr>
          <w:rFonts w:cstheme="minorHAnsi"/>
          <w:iCs/>
        </w:rPr>
      </w:pPr>
    </w:p>
    <w:p w14:paraId="257EFFCA" w14:textId="77777777" w:rsidR="004D4859" w:rsidRPr="009143A9" w:rsidRDefault="004D4859" w:rsidP="004D4859">
      <w:pPr>
        <w:pStyle w:val="NoSpacing"/>
        <w:ind w:left="567" w:hanging="567"/>
        <w:jc w:val="both"/>
        <w:rPr>
          <w:rFonts w:cstheme="minorHAnsi"/>
          <w:iCs/>
        </w:rPr>
      </w:pPr>
      <w:r w:rsidRPr="009143A9">
        <w:rPr>
          <w:rFonts w:cstheme="minorHAnsi"/>
          <w:iCs/>
        </w:rPr>
        <w:t>1.6</w:t>
      </w:r>
      <w:r w:rsidRPr="009143A9">
        <w:rPr>
          <w:rFonts w:cstheme="minorHAnsi"/>
          <w:iCs/>
        </w:rPr>
        <w:tab/>
        <w:t>In line with Paragraph 22, the Secretariat provided a report at SC62. The report, which was based on two consultations with interested parties outlined 5 Topics and included various options to address the challenges identified under those topics (SC62 document 11). The 5 identified topics were:</w:t>
      </w:r>
    </w:p>
    <w:p w14:paraId="14279FFC" w14:textId="77777777" w:rsidR="004D4859" w:rsidRPr="009143A9" w:rsidRDefault="004D4859" w:rsidP="004D4859">
      <w:pPr>
        <w:pStyle w:val="Default"/>
        <w:numPr>
          <w:ilvl w:val="0"/>
          <w:numId w:val="11"/>
        </w:numPr>
        <w:ind w:left="993" w:hanging="425"/>
        <w:rPr>
          <w:rFonts w:asciiTheme="minorHAnsi" w:hAnsiTheme="minorHAnsi" w:cstheme="minorHAnsi"/>
          <w:sz w:val="22"/>
          <w:szCs w:val="22"/>
        </w:rPr>
      </w:pPr>
      <w:r w:rsidRPr="009143A9">
        <w:rPr>
          <w:rFonts w:asciiTheme="minorHAnsi" w:hAnsiTheme="minorHAnsi" w:cstheme="minorHAnsi"/>
          <w:i/>
          <w:iCs/>
          <w:sz w:val="22"/>
          <w:szCs w:val="22"/>
        </w:rPr>
        <w:t>Administrative arrangements</w:t>
      </w:r>
    </w:p>
    <w:p w14:paraId="4F31317B" w14:textId="77777777" w:rsidR="004D4859" w:rsidRPr="009143A9" w:rsidRDefault="004D4859" w:rsidP="004D4859">
      <w:pPr>
        <w:pStyle w:val="Default"/>
        <w:numPr>
          <w:ilvl w:val="0"/>
          <w:numId w:val="11"/>
        </w:numPr>
        <w:ind w:left="993" w:hanging="425"/>
        <w:rPr>
          <w:rFonts w:asciiTheme="minorHAnsi" w:hAnsiTheme="minorHAnsi" w:cstheme="minorHAnsi"/>
          <w:sz w:val="22"/>
          <w:szCs w:val="22"/>
        </w:rPr>
      </w:pPr>
      <w:r w:rsidRPr="009143A9">
        <w:rPr>
          <w:rFonts w:asciiTheme="minorHAnsi" w:hAnsiTheme="minorHAnsi" w:cstheme="minorHAnsi"/>
          <w:i/>
          <w:iCs/>
          <w:sz w:val="22"/>
          <w:szCs w:val="22"/>
        </w:rPr>
        <w:t>Governance</w:t>
      </w:r>
    </w:p>
    <w:p w14:paraId="2D441899" w14:textId="77777777" w:rsidR="004D4859" w:rsidRPr="009143A9" w:rsidRDefault="004D4859" w:rsidP="004D4859">
      <w:pPr>
        <w:pStyle w:val="Default"/>
        <w:numPr>
          <w:ilvl w:val="0"/>
          <w:numId w:val="11"/>
        </w:numPr>
        <w:ind w:left="993" w:hanging="425"/>
        <w:rPr>
          <w:rFonts w:asciiTheme="minorHAnsi" w:hAnsiTheme="minorHAnsi" w:cstheme="minorHAnsi"/>
          <w:sz w:val="22"/>
          <w:szCs w:val="22"/>
        </w:rPr>
      </w:pPr>
      <w:r w:rsidRPr="009143A9">
        <w:rPr>
          <w:rFonts w:asciiTheme="minorHAnsi" w:hAnsiTheme="minorHAnsi" w:cstheme="minorHAnsi"/>
          <w:i/>
          <w:iCs/>
          <w:sz w:val="22"/>
          <w:szCs w:val="22"/>
        </w:rPr>
        <w:t>Leadership</w:t>
      </w:r>
    </w:p>
    <w:p w14:paraId="2870620D" w14:textId="77777777" w:rsidR="004D4859" w:rsidRPr="009143A9" w:rsidRDefault="004D4859" w:rsidP="004D4859">
      <w:pPr>
        <w:pStyle w:val="Default"/>
        <w:numPr>
          <w:ilvl w:val="0"/>
          <w:numId w:val="11"/>
        </w:numPr>
        <w:ind w:left="993" w:hanging="425"/>
        <w:rPr>
          <w:rFonts w:asciiTheme="minorHAnsi" w:hAnsiTheme="minorHAnsi" w:cstheme="minorHAnsi"/>
          <w:sz w:val="22"/>
          <w:szCs w:val="22"/>
        </w:rPr>
      </w:pPr>
      <w:r w:rsidRPr="009143A9">
        <w:rPr>
          <w:rFonts w:asciiTheme="minorHAnsi" w:hAnsiTheme="minorHAnsi" w:cstheme="minorHAnsi"/>
          <w:i/>
          <w:iCs/>
          <w:sz w:val="22"/>
          <w:szCs w:val="22"/>
        </w:rPr>
        <w:t>Human resources independency</w:t>
      </w:r>
    </w:p>
    <w:p w14:paraId="7A6E5699" w14:textId="77777777" w:rsidR="004D4859" w:rsidRPr="009143A9" w:rsidRDefault="004D4859" w:rsidP="004D4859">
      <w:pPr>
        <w:pStyle w:val="Default"/>
        <w:numPr>
          <w:ilvl w:val="0"/>
          <w:numId w:val="11"/>
        </w:numPr>
        <w:ind w:left="993" w:hanging="425"/>
        <w:rPr>
          <w:rFonts w:asciiTheme="minorHAnsi" w:hAnsiTheme="minorHAnsi" w:cstheme="minorHAnsi"/>
          <w:sz w:val="22"/>
          <w:szCs w:val="22"/>
        </w:rPr>
      </w:pPr>
      <w:r w:rsidRPr="009143A9">
        <w:rPr>
          <w:rFonts w:asciiTheme="minorHAnsi" w:hAnsiTheme="minorHAnsi" w:cstheme="minorHAnsi"/>
          <w:i/>
          <w:iCs/>
          <w:sz w:val="22"/>
          <w:szCs w:val="22"/>
        </w:rPr>
        <w:t>High-level political engagement, and the Convention’s visibility objectives</w:t>
      </w:r>
    </w:p>
    <w:p w14:paraId="75FD2F87" w14:textId="77777777" w:rsidR="004D4859" w:rsidRPr="009143A9" w:rsidRDefault="004D4859" w:rsidP="004D4859">
      <w:pPr>
        <w:pStyle w:val="NoSpacing"/>
        <w:jc w:val="both"/>
        <w:rPr>
          <w:rFonts w:cstheme="minorHAnsi"/>
          <w:iCs/>
        </w:rPr>
      </w:pPr>
    </w:p>
    <w:p w14:paraId="0D15494E" w14:textId="77777777" w:rsidR="004D4859" w:rsidRPr="009143A9" w:rsidRDefault="004D4859" w:rsidP="004D4859">
      <w:pPr>
        <w:pStyle w:val="NoSpacing"/>
        <w:ind w:left="567" w:hanging="567"/>
        <w:jc w:val="both"/>
        <w:rPr>
          <w:rFonts w:cstheme="minorHAnsi"/>
          <w:iCs/>
        </w:rPr>
      </w:pPr>
      <w:r w:rsidRPr="009143A9">
        <w:rPr>
          <w:rFonts w:cstheme="minorHAnsi"/>
          <w:iCs/>
        </w:rPr>
        <w:t>1.7</w:t>
      </w:r>
      <w:r w:rsidRPr="009143A9">
        <w:rPr>
          <w:rFonts w:cstheme="minorHAnsi"/>
          <w:iCs/>
        </w:rPr>
        <w:tab/>
        <w:t>Standing Committee 62:</w:t>
      </w:r>
    </w:p>
    <w:p w14:paraId="19A24F23" w14:textId="655E4AA6" w:rsidR="00533D75" w:rsidRPr="009143A9" w:rsidRDefault="002B76F3" w:rsidP="003849E6">
      <w:pPr>
        <w:pStyle w:val="ListParagraph"/>
        <w:numPr>
          <w:ilvl w:val="0"/>
          <w:numId w:val="13"/>
        </w:numPr>
        <w:spacing w:line="240" w:lineRule="auto"/>
        <w:rPr>
          <w:rFonts w:cstheme="minorHAnsi"/>
          <w:bCs/>
        </w:rPr>
      </w:pPr>
      <w:r w:rsidRPr="009143A9">
        <w:rPr>
          <w:rFonts w:cstheme="minorHAnsi"/>
          <w:bCs/>
        </w:rPr>
        <w:t>T</w:t>
      </w:r>
      <w:r w:rsidR="00533D75" w:rsidRPr="009143A9">
        <w:rPr>
          <w:rFonts w:cstheme="minorHAnsi"/>
          <w:bCs/>
        </w:rPr>
        <w:t>ook note of the Secretariat’s report on institutional strengthening to support the implementation of the Convention in response to Resolution XIV.6, paragraph 22.</w:t>
      </w:r>
    </w:p>
    <w:p w14:paraId="01D1E8C2" w14:textId="37B9C4E4" w:rsidR="00533D75" w:rsidRPr="009143A9" w:rsidRDefault="007C1872" w:rsidP="003849E6">
      <w:pPr>
        <w:pStyle w:val="ListParagraph"/>
        <w:numPr>
          <w:ilvl w:val="0"/>
          <w:numId w:val="13"/>
        </w:numPr>
        <w:spacing w:line="240" w:lineRule="auto"/>
        <w:rPr>
          <w:rFonts w:eastAsia="Calibri" w:cstheme="minorHAnsi"/>
          <w:bCs/>
        </w:rPr>
      </w:pPr>
      <w:r w:rsidRPr="009143A9">
        <w:rPr>
          <w:rFonts w:cstheme="minorHAnsi"/>
          <w:bCs/>
        </w:rPr>
        <w:t>T</w:t>
      </w:r>
      <w:r w:rsidR="00533D75" w:rsidRPr="009143A9">
        <w:rPr>
          <w:rFonts w:cstheme="minorHAnsi"/>
          <w:bCs/>
        </w:rPr>
        <w:t>ook note of the recommendations of the interested Contracting Parties and the Secretariat reflected in Annex 2 of the report.</w:t>
      </w:r>
    </w:p>
    <w:p w14:paraId="53A9DC44" w14:textId="7568150D" w:rsidR="00683C05" w:rsidRPr="009143A9" w:rsidRDefault="007C1872" w:rsidP="000D2D5F">
      <w:pPr>
        <w:pStyle w:val="ListParagraph"/>
        <w:numPr>
          <w:ilvl w:val="0"/>
          <w:numId w:val="13"/>
        </w:numPr>
        <w:spacing w:line="240" w:lineRule="auto"/>
        <w:rPr>
          <w:rFonts w:cstheme="minorHAnsi"/>
          <w:iCs/>
        </w:rPr>
      </w:pPr>
      <w:r w:rsidRPr="009143A9">
        <w:rPr>
          <w:rFonts w:cstheme="minorHAnsi"/>
          <w:bCs/>
        </w:rPr>
        <w:t>E</w:t>
      </w:r>
      <w:r w:rsidR="00533D75" w:rsidRPr="009143A9">
        <w:rPr>
          <w:rFonts w:cstheme="minorHAnsi"/>
          <w:bCs/>
        </w:rPr>
        <w:t>stablished a Working Group to lead the process to achieve organizational robustness to support the implementation of the Convention, including through the preparation of a draft resolution for the consideration of the Standing Committee at its 63rd meeting</w:t>
      </w:r>
      <w:r w:rsidR="00683C05" w:rsidRPr="009143A9">
        <w:rPr>
          <w:rFonts w:cstheme="minorHAnsi"/>
          <w:bCs/>
        </w:rPr>
        <w:t xml:space="preserve"> and</w:t>
      </w:r>
      <w:r w:rsidR="00683C05" w:rsidRPr="009143A9">
        <w:rPr>
          <w:rFonts w:cstheme="minorHAnsi"/>
          <w:b/>
        </w:rPr>
        <w:t xml:space="preserve"> </w:t>
      </w:r>
      <w:r w:rsidR="00683C05" w:rsidRPr="009143A9">
        <w:rPr>
          <w:rFonts w:cstheme="minorHAnsi"/>
          <w:bCs/>
        </w:rPr>
        <w:t xml:space="preserve">requested that the terms of reference for the working </w:t>
      </w:r>
      <w:r w:rsidR="00E83D6D">
        <w:rPr>
          <w:rFonts w:cstheme="minorHAnsi"/>
          <w:bCs/>
        </w:rPr>
        <w:t xml:space="preserve">group </w:t>
      </w:r>
      <w:r w:rsidR="00683C05" w:rsidRPr="009143A9">
        <w:rPr>
          <w:rFonts w:cstheme="minorHAnsi"/>
          <w:bCs/>
        </w:rPr>
        <w:t>be tabled at SC62.</w:t>
      </w:r>
    </w:p>
    <w:p w14:paraId="483E880A" w14:textId="4A5A5013" w:rsidR="00B0495D" w:rsidRPr="009143A9" w:rsidRDefault="006D3ED7" w:rsidP="00B0495D">
      <w:pPr>
        <w:pStyle w:val="ListParagraph"/>
        <w:numPr>
          <w:ilvl w:val="0"/>
          <w:numId w:val="13"/>
        </w:numPr>
        <w:spacing w:after="0" w:line="240" w:lineRule="auto"/>
        <w:rPr>
          <w:rFonts w:cstheme="minorHAnsi"/>
        </w:rPr>
      </w:pPr>
      <w:r w:rsidRPr="009143A9">
        <w:rPr>
          <w:rFonts w:cstheme="minorHAnsi"/>
        </w:rPr>
        <w:t>L</w:t>
      </w:r>
      <w:r w:rsidR="00B0495D" w:rsidRPr="009143A9">
        <w:rPr>
          <w:rFonts w:cstheme="minorHAnsi"/>
        </w:rPr>
        <w:t>everaging widely used collaboration tools such as SharePoint, and propos</w:t>
      </w:r>
      <w:r w:rsidR="002D65F7">
        <w:rPr>
          <w:rFonts w:cstheme="minorHAnsi"/>
        </w:rPr>
        <w:t>ed</w:t>
      </w:r>
      <w:r w:rsidR="00B0495D" w:rsidRPr="009143A9">
        <w:rPr>
          <w:rFonts w:cstheme="minorHAnsi"/>
        </w:rPr>
        <w:t xml:space="preserve"> a more bespoke secure integrated platform.</w:t>
      </w:r>
    </w:p>
    <w:p w14:paraId="0538B719" w14:textId="77777777" w:rsidR="001441CC" w:rsidRPr="009143A9" w:rsidRDefault="001441CC" w:rsidP="001D313D">
      <w:pPr>
        <w:ind w:left="851"/>
        <w:rPr>
          <w:rFonts w:cstheme="minorHAnsi"/>
          <w:b/>
          <w:bCs/>
        </w:rPr>
      </w:pPr>
    </w:p>
    <w:p w14:paraId="5D352E95" w14:textId="1B62988E" w:rsidR="0078307C" w:rsidRPr="009143A9" w:rsidRDefault="0078307C" w:rsidP="002C02FA">
      <w:pPr>
        <w:pStyle w:val="ListParagraph"/>
        <w:numPr>
          <w:ilvl w:val="0"/>
          <w:numId w:val="9"/>
        </w:numPr>
        <w:ind w:left="426" w:hanging="426"/>
        <w:rPr>
          <w:rFonts w:cstheme="minorHAnsi"/>
          <w:b/>
          <w:bCs/>
        </w:rPr>
      </w:pPr>
      <w:r w:rsidRPr="009143A9">
        <w:rPr>
          <w:rFonts w:cstheme="minorHAnsi"/>
          <w:b/>
          <w:bCs/>
        </w:rPr>
        <w:t xml:space="preserve">Purpose </w:t>
      </w:r>
    </w:p>
    <w:p w14:paraId="0A30DB7E" w14:textId="77777777" w:rsidR="00C920DD" w:rsidRPr="009143A9" w:rsidRDefault="00C920DD" w:rsidP="00C920DD">
      <w:pPr>
        <w:pStyle w:val="ListParagraph"/>
        <w:ind w:left="426"/>
        <w:rPr>
          <w:rFonts w:cstheme="minorHAnsi"/>
          <w:b/>
          <w:bCs/>
        </w:rPr>
      </w:pPr>
    </w:p>
    <w:p w14:paraId="103559D4" w14:textId="20A3F4EB" w:rsidR="00C920DD" w:rsidRPr="009143A9" w:rsidRDefault="001D313D" w:rsidP="001D313D">
      <w:pPr>
        <w:pStyle w:val="ListParagraph"/>
        <w:ind w:left="426" w:hanging="426"/>
        <w:rPr>
          <w:rFonts w:cstheme="minorHAnsi"/>
          <w:b/>
          <w:bCs/>
        </w:rPr>
      </w:pPr>
      <w:r w:rsidRPr="009143A9">
        <w:rPr>
          <w:rFonts w:cstheme="minorHAnsi"/>
        </w:rPr>
        <w:t>2.1</w:t>
      </w:r>
      <w:r w:rsidRPr="009143A9">
        <w:rPr>
          <w:rFonts w:cstheme="minorHAnsi"/>
        </w:rPr>
        <w:tab/>
      </w:r>
      <w:r w:rsidR="00CF5F2A" w:rsidRPr="009143A9">
        <w:rPr>
          <w:rFonts w:cstheme="minorHAnsi"/>
        </w:rPr>
        <w:t xml:space="preserve">The </w:t>
      </w:r>
      <w:r w:rsidR="00C920DD" w:rsidRPr="009143A9">
        <w:rPr>
          <w:rFonts w:cstheme="minorHAnsi"/>
        </w:rPr>
        <w:t xml:space="preserve">Working Group for Institutional Strengthening of the Convention, established by </w:t>
      </w:r>
      <w:r w:rsidR="00512034">
        <w:rPr>
          <w:rFonts w:cstheme="minorHAnsi"/>
        </w:rPr>
        <w:t>SC62</w:t>
      </w:r>
      <w:r w:rsidR="00C920DD" w:rsidRPr="009143A9">
        <w:rPr>
          <w:rFonts w:cstheme="minorHAnsi"/>
        </w:rPr>
        <w:t xml:space="preserve"> is to:</w:t>
      </w:r>
    </w:p>
    <w:p w14:paraId="64ACFCC4" w14:textId="7C9C9722" w:rsidR="00E83D6D" w:rsidRDefault="00D03D1A" w:rsidP="00E83D6D">
      <w:pPr>
        <w:pStyle w:val="ListParagraph"/>
        <w:numPr>
          <w:ilvl w:val="0"/>
          <w:numId w:val="13"/>
        </w:numPr>
        <w:rPr>
          <w:rFonts w:cstheme="minorHAnsi"/>
        </w:rPr>
      </w:pPr>
      <w:r w:rsidRPr="00E83D6D">
        <w:rPr>
          <w:rFonts w:cstheme="minorHAnsi"/>
        </w:rPr>
        <w:t>G</w:t>
      </w:r>
      <w:r w:rsidR="001441CC" w:rsidRPr="00E83D6D">
        <w:rPr>
          <w:rFonts w:cstheme="minorHAnsi"/>
        </w:rPr>
        <w:t>ather and analyse</w:t>
      </w:r>
      <w:r w:rsidR="00FF2365" w:rsidRPr="00E83D6D">
        <w:rPr>
          <w:rFonts w:cstheme="minorHAnsi"/>
        </w:rPr>
        <w:t xml:space="preserve"> all</w:t>
      </w:r>
      <w:r w:rsidR="001441CC" w:rsidRPr="00E83D6D">
        <w:rPr>
          <w:rFonts w:cstheme="minorHAnsi"/>
        </w:rPr>
        <w:t xml:space="preserve"> exi</w:t>
      </w:r>
      <w:r w:rsidR="00C920DD" w:rsidRPr="00E83D6D">
        <w:rPr>
          <w:rFonts w:cstheme="minorHAnsi"/>
        </w:rPr>
        <w:t>sting</w:t>
      </w:r>
      <w:r w:rsidR="001441CC" w:rsidRPr="00E83D6D">
        <w:rPr>
          <w:rFonts w:cstheme="minorHAnsi"/>
        </w:rPr>
        <w:t xml:space="preserve"> documents on the options contained in the report to SC62 and in doing so ensure access to all </w:t>
      </w:r>
      <w:r w:rsidR="00CC21B9" w:rsidRPr="00E83D6D">
        <w:rPr>
          <w:rFonts w:cstheme="minorHAnsi"/>
        </w:rPr>
        <w:t>W</w:t>
      </w:r>
      <w:r w:rsidR="001441CC" w:rsidRPr="00E83D6D">
        <w:rPr>
          <w:rFonts w:cstheme="minorHAnsi"/>
        </w:rPr>
        <w:t xml:space="preserve">orking </w:t>
      </w:r>
      <w:r w:rsidR="00CC21B9" w:rsidRPr="00E83D6D">
        <w:rPr>
          <w:rFonts w:cstheme="minorHAnsi"/>
        </w:rPr>
        <w:t>G</w:t>
      </w:r>
      <w:r w:rsidR="001441CC" w:rsidRPr="00E83D6D">
        <w:rPr>
          <w:rFonts w:cstheme="minorHAnsi"/>
        </w:rPr>
        <w:t>roup members</w:t>
      </w:r>
      <w:r w:rsidR="00E83D6D">
        <w:rPr>
          <w:rFonts w:cstheme="minorHAnsi"/>
        </w:rPr>
        <w:t xml:space="preserve"> This should include:</w:t>
      </w:r>
    </w:p>
    <w:p w14:paraId="543C728F" w14:textId="77777777" w:rsidR="00493EA0" w:rsidRPr="009143A9" w:rsidRDefault="00493EA0" w:rsidP="00493EA0">
      <w:pPr>
        <w:pStyle w:val="ListParagraph"/>
        <w:numPr>
          <w:ilvl w:val="0"/>
          <w:numId w:val="3"/>
        </w:numPr>
        <w:ind w:left="1134"/>
        <w:rPr>
          <w:rFonts w:cstheme="minorHAnsi"/>
        </w:rPr>
      </w:pPr>
      <w:r w:rsidRPr="009143A9">
        <w:rPr>
          <w:rFonts w:cstheme="minorHAnsi"/>
        </w:rPr>
        <w:t>obtain</w:t>
      </w:r>
      <w:r>
        <w:rPr>
          <w:rFonts w:cstheme="minorHAnsi"/>
        </w:rPr>
        <w:t>ing</w:t>
      </w:r>
      <w:r w:rsidRPr="009143A9">
        <w:rPr>
          <w:rFonts w:cstheme="minorHAnsi"/>
        </w:rPr>
        <w:t xml:space="preserve"> information to inform and support all options on institutional arrangements.</w:t>
      </w:r>
    </w:p>
    <w:p w14:paraId="67E47F71" w14:textId="2386D3FB" w:rsidR="001441CC" w:rsidRPr="00E83D6D" w:rsidRDefault="00475CEC" w:rsidP="008D012C">
      <w:pPr>
        <w:pStyle w:val="ListParagraph"/>
        <w:numPr>
          <w:ilvl w:val="0"/>
          <w:numId w:val="3"/>
        </w:numPr>
        <w:ind w:left="1134"/>
        <w:rPr>
          <w:rFonts w:cstheme="minorHAnsi"/>
        </w:rPr>
      </w:pPr>
      <w:r>
        <w:rPr>
          <w:rFonts w:cstheme="minorHAnsi"/>
        </w:rPr>
        <w:t>a</w:t>
      </w:r>
      <w:r w:rsidR="00E83D6D">
        <w:rPr>
          <w:rFonts w:cstheme="minorHAnsi"/>
        </w:rPr>
        <w:t xml:space="preserve"> </w:t>
      </w:r>
      <w:r w:rsidR="001441CC" w:rsidRPr="00E83D6D">
        <w:rPr>
          <w:rFonts w:cstheme="minorHAnsi"/>
        </w:rPr>
        <w:t>compil</w:t>
      </w:r>
      <w:r w:rsidR="00E83D6D">
        <w:rPr>
          <w:rFonts w:cstheme="minorHAnsi"/>
        </w:rPr>
        <w:t>ation of</w:t>
      </w:r>
      <w:r w:rsidR="001441CC" w:rsidRPr="00E83D6D">
        <w:rPr>
          <w:rFonts w:cstheme="minorHAnsi"/>
        </w:rPr>
        <w:t xml:space="preserve"> an adequate list of what has been done and past findings, including a collated problem statement</w:t>
      </w:r>
      <w:r w:rsidR="00E83D6D">
        <w:rPr>
          <w:rFonts w:cstheme="minorHAnsi"/>
        </w:rPr>
        <w:t>,</w:t>
      </w:r>
      <w:r w:rsidR="001441CC" w:rsidRPr="00E83D6D">
        <w:rPr>
          <w:rFonts w:cstheme="minorHAnsi"/>
        </w:rPr>
        <w:t xml:space="preserve"> </w:t>
      </w:r>
    </w:p>
    <w:p w14:paraId="43F9F33C" w14:textId="397A9D2A" w:rsidR="001441CC" w:rsidRPr="009143A9" w:rsidRDefault="00475CEC" w:rsidP="001441CC">
      <w:pPr>
        <w:pStyle w:val="ListParagraph"/>
        <w:numPr>
          <w:ilvl w:val="0"/>
          <w:numId w:val="3"/>
        </w:numPr>
        <w:ind w:left="1134"/>
        <w:rPr>
          <w:rFonts w:cstheme="minorHAnsi"/>
        </w:rPr>
      </w:pPr>
      <w:r>
        <w:rPr>
          <w:rFonts w:cstheme="minorHAnsi"/>
        </w:rPr>
        <w:t>a</w:t>
      </w:r>
      <w:r w:rsidR="00E83D6D">
        <w:rPr>
          <w:rFonts w:cstheme="minorHAnsi"/>
        </w:rPr>
        <w:t xml:space="preserve"> </w:t>
      </w:r>
      <w:r w:rsidR="001441CC" w:rsidRPr="009143A9">
        <w:rPr>
          <w:rFonts w:cstheme="minorHAnsi"/>
        </w:rPr>
        <w:t>synthes</w:t>
      </w:r>
      <w:r w:rsidR="00E83D6D">
        <w:rPr>
          <w:rFonts w:cstheme="minorHAnsi"/>
        </w:rPr>
        <w:t>is</w:t>
      </w:r>
      <w:r w:rsidR="001441CC" w:rsidRPr="009143A9">
        <w:rPr>
          <w:rFonts w:cstheme="minorHAnsi"/>
        </w:rPr>
        <w:t xml:space="preserve"> </w:t>
      </w:r>
      <w:r w:rsidR="00E83D6D">
        <w:rPr>
          <w:rFonts w:cstheme="minorHAnsi"/>
        </w:rPr>
        <w:t xml:space="preserve">of </w:t>
      </w:r>
      <w:r w:rsidR="001441CC" w:rsidRPr="009143A9">
        <w:rPr>
          <w:rFonts w:cstheme="minorHAnsi"/>
        </w:rPr>
        <w:t>the key findings from those documents</w:t>
      </w:r>
      <w:r w:rsidR="00E83D6D">
        <w:rPr>
          <w:rFonts w:cstheme="minorHAnsi"/>
        </w:rPr>
        <w:t>,</w:t>
      </w:r>
    </w:p>
    <w:p w14:paraId="66F50ED3" w14:textId="2BBF5FC3" w:rsidR="001441CC" w:rsidRPr="009143A9" w:rsidRDefault="00475CEC" w:rsidP="001441CC">
      <w:pPr>
        <w:pStyle w:val="ListParagraph"/>
        <w:numPr>
          <w:ilvl w:val="0"/>
          <w:numId w:val="3"/>
        </w:numPr>
        <w:ind w:left="1134"/>
        <w:rPr>
          <w:rFonts w:cstheme="minorHAnsi"/>
        </w:rPr>
      </w:pPr>
      <w:r>
        <w:rPr>
          <w:rFonts w:cstheme="minorHAnsi"/>
        </w:rPr>
        <w:t>t</w:t>
      </w:r>
      <w:r w:rsidR="00E83D6D">
        <w:rPr>
          <w:rFonts w:cstheme="minorHAnsi"/>
        </w:rPr>
        <w:t>he</w:t>
      </w:r>
      <w:r w:rsidR="001441CC" w:rsidRPr="009143A9">
        <w:rPr>
          <w:rFonts w:cstheme="minorHAnsi"/>
        </w:rPr>
        <w:t xml:space="preserve"> identif</w:t>
      </w:r>
      <w:r w:rsidR="00E83D6D">
        <w:rPr>
          <w:rFonts w:cstheme="minorHAnsi"/>
        </w:rPr>
        <w:t>ication of</w:t>
      </w:r>
      <w:r w:rsidR="001441CC" w:rsidRPr="009143A9">
        <w:rPr>
          <w:rFonts w:cstheme="minorHAnsi"/>
        </w:rPr>
        <w:t xml:space="preserve"> potential gaps</w:t>
      </w:r>
      <w:r w:rsidR="00EA44DA" w:rsidRPr="009143A9">
        <w:rPr>
          <w:rFonts w:cstheme="minorHAnsi"/>
        </w:rPr>
        <w:t xml:space="preserve"> or opportunities for strengthening arrangements</w:t>
      </w:r>
      <w:r w:rsidR="00E83D6D">
        <w:rPr>
          <w:rFonts w:cstheme="minorHAnsi"/>
        </w:rPr>
        <w:t>,</w:t>
      </w:r>
      <w:r>
        <w:rPr>
          <w:rFonts w:cstheme="minorHAnsi"/>
        </w:rPr>
        <w:t xml:space="preserve"> </w:t>
      </w:r>
    </w:p>
    <w:p w14:paraId="4A7BAAED" w14:textId="583A9254" w:rsidR="001441CC" w:rsidRPr="009143A9" w:rsidRDefault="00D03D1A" w:rsidP="001441CC">
      <w:pPr>
        <w:pStyle w:val="ListParagraph"/>
        <w:numPr>
          <w:ilvl w:val="0"/>
          <w:numId w:val="2"/>
        </w:numPr>
        <w:rPr>
          <w:rFonts w:cstheme="minorHAnsi"/>
        </w:rPr>
      </w:pPr>
      <w:r w:rsidRPr="009143A9">
        <w:rPr>
          <w:rFonts w:cstheme="minorHAnsi"/>
        </w:rPr>
        <w:t>F</w:t>
      </w:r>
      <w:r w:rsidR="001441CC" w:rsidRPr="009143A9">
        <w:rPr>
          <w:rFonts w:cstheme="minorHAnsi"/>
        </w:rPr>
        <w:t>urther refine the options tabled in SC62 for strengthening administrative arrangements</w:t>
      </w:r>
      <w:r w:rsidR="00EA44DA" w:rsidRPr="009143A9">
        <w:rPr>
          <w:rFonts w:cstheme="minorHAnsi"/>
        </w:rPr>
        <w:t xml:space="preserve">, human resources independency, </w:t>
      </w:r>
      <w:r w:rsidR="001441CC" w:rsidRPr="009143A9">
        <w:rPr>
          <w:rFonts w:cstheme="minorHAnsi"/>
        </w:rPr>
        <w:t>high-level political engagements,</w:t>
      </w:r>
      <w:r w:rsidR="00EA44DA" w:rsidRPr="009143A9">
        <w:rPr>
          <w:rFonts w:cstheme="minorHAnsi"/>
        </w:rPr>
        <w:t xml:space="preserve"> and the convention’s visibility objectives, including</w:t>
      </w:r>
      <w:r w:rsidR="001441CC" w:rsidRPr="009143A9">
        <w:rPr>
          <w:rFonts w:cstheme="minorHAnsi"/>
        </w:rPr>
        <w:t xml:space="preserve"> defining short and long term options</w:t>
      </w:r>
      <w:r w:rsidR="00EA44DA" w:rsidRPr="009143A9">
        <w:rPr>
          <w:rFonts w:cstheme="minorHAnsi"/>
        </w:rPr>
        <w:t>.</w:t>
      </w:r>
      <w:r w:rsidR="001441CC" w:rsidRPr="009143A9">
        <w:rPr>
          <w:rFonts w:cstheme="minorHAnsi"/>
        </w:rPr>
        <w:t xml:space="preserve"> </w:t>
      </w:r>
    </w:p>
    <w:p w14:paraId="05591201" w14:textId="6D0D24C8" w:rsidR="001441CC" w:rsidRPr="009143A9" w:rsidRDefault="00D03D1A" w:rsidP="001441CC">
      <w:pPr>
        <w:pStyle w:val="ListParagraph"/>
        <w:numPr>
          <w:ilvl w:val="0"/>
          <w:numId w:val="2"/>
        </w:numPr>
        <w:rPr>
          <w:rFonts w:cstheme="minorHAnsi"/>
        </w:rPr>
      </w:pPr>
      <w:r w:rsidRPr="009143A9">
        <w:rPr>
          <w:rFonts w:cstheme="minorHAnsi"/>
        </w:rPr>
        <w:t>E</w:t>
      </w:r>
      <w:r w:rsidR="001441CC" w:rsidRPr="009143A9">
        <w:rPr>
          <w:rFonts w:cstheme="minorHAnsi"/>
        </w:rPr>
        <w:t>ngage with country parties in a meaningful way through for example regional engagements at every step in the process.</w:t>
      </w:r>
    </w:p>
    <w:p w14:paraId="2B5144CC" w14:textId="721CBD59" w:rsidR="001A48CA" w:rsidRPr="009143A9" w:rsidRDefault="00E83D6D" w:rsidP="001441CC">
      <w:pPr>
        <w:pStyle w:val="ListParagraph"/>
        <w:numPr>
          <w:ilvl w:val="0"/>
          <w:numId w:val="4"/>
        </w:numPr>
        <w:rPr>
          <w:rFonts w:cstheme="minorHAnsi"/>
        </w:rPr>
      </w:pPr>
      <w:r>
        <w:rPr>
          <w:rFonts w:cstheme="minorHAnsi"/>
        </w:rPr>
        <w:t>S</w:t>
      </w:r>
      <w:r w:rsidR="001A48CA" w:rsidRPr="009143A9">
        <w:rPr>
          <w:rFonts w:cstheme="minorHAnsi"/>
        </w:rPr>
        <w:t xml:space="preserve">ummarize options for institutional arrangements for the Convention outlining the implications and benefits towards informing a draft resolution. </w:t>
      </w:r>
    </w:p>
    <w:p w14:paraId="166E229B" w14:textId="0A2C6061" w:rsidR="0078307C" w:rsidRDefault="001441CC" w:rsidP="00512034">
      <w:pPr>
        <w:pStyle w:val="ListParagraph"/>
        <w:numPr>
          <w:ilvl w:val="0"/>
          <w:numId w:val="4"/>
        </w:numPr>
        <w:rPr>
          <w:rFonts w:cstheme="minorHAnsi"/>
        </w:rPr>
      </w:pPr>
      <w:r w:rsidRPr="009143A9">
        <w:rPr>
          <w:rFonts w:cstheme="minorHAnsi"/>
        </w:rPr>
        <w:t>P</w:t>
      </w:r>
      <w:r w:rsidR="00FA2A54" w:rsidRPr="009143A9">
        <w:rPr>
          <w:rFonts w:cstheme="minorHAnsi"/>
        </w:rPr>
        <w:t xml:space="preserve">repare a draft resolution on institutional strengthening for consideration of the Standing Committee to address the needs of the Secretariat to achieve organizational robustness to </w:t>
      </w:r>
      <w:r w:rsidR="00FA2A54" w:rsidRPr="009143A9">
        <w:rPr>
          <w:rFonts w:cstheme="minorHAnsi"/>
        </w:rPr>
        <w:lastRenderedPageBreak/>
        <w:t xml:space="preserve">support implementation of the Convention. As per the results of the consultations with interested Contracting Parties, the draft resolution shall propose solutions </w:t>
      </w:r>
      <w:r w:rsidR="001A48CA" w:rsidRPr="009143A9">
        <w:rPr>
          <w:rFonts w:cstheme="minorHAnsi"/>
        </w:rPr>
        <w:t xml:space="preserve">and </w:t>
      </w:r>
      <w:r w:rsidR="00C920DD" w:rsidRPr="009143A9">
        <w:rPr>
          <w:rFonts w:cstheme="minorHAnsi"/>
        </w:rPr>
        <w:t xml:space="preserve">options </w:t>
      </w:r>
      <w:r w:rsidR="00FA2A54" w:rsidRPr="009143A9">
        <w:rPr>
          <w:rFonts w:cstheme="minorHAnsi"/>
        </w:rPr>
        <w:t>related to administrative arrangements as well as high/level political engagement and the Convention’s visibility objectives.</w:t>
      </w:r>
    </w:p>
    <w:p w14:paraId="789C00FB" w14:textId="77777777" w:rsidR="00512034" w:rsidRPr="00512034" w:rsidRDefault="00512034" w:rsidP="00512034">
      <w:pPr>
        <w:pStyle w:val="ListParagraph"/>
        <w:rPr>
          <w:rFonts w:cstheme="minorHAnsi"/>
        </w:rPr>
      </w:pPr>
    </w:p>
    <w:p w14:paraId="5AE59BA7" w14:textId="77777777" w:rsidR="0078307C" w:rsidRPr="009143A9" w:rsidRDefault="0078307C" w:rsidP="008D012C">
      <w:pPr>
        <w:pStyle w:val="ListParagraph"/>
        <w:numPr>
          <w:ilvl w:val="0"/>
          <w:numId w:val="9"/>
        </w:numPr>
        <w:spacing w:after="0"/>
        <w:ind w:left="425" w:hanging="425"/>
        <w:rPr>
          <w:rFonts w:cstheme="minorHAnsi"/>
          <w:b/>
          <w:bCs/>
        </w:rPr>
      </w:pPr>
      <w:r w:rsidRPr="009143A9">
        <w:rPr>
          <w:rFonts w:cstheme="minorHAnsi"/>
          <w:b/>
          <w:bCs/>
        </w:rPr>
        <w:t xml:space="preserve">Composition </w:t>
      </w:r>
    </w:p>
    <w:p w14:paraId="4DAC9DBC" w14:textId="77777777" w:rsidR="006458D7" w:rsidRPr="009143A9" w:rsidRDefault="006458D7" w:rsidP="008D012C">
      <w:pPr>
        <w:spacing w:after="0"/>
        <w:rPr>
          <w:rFonts w:cstheme="minorHAnsi"/>
          <w:b/>
          <w:bCs/>
        </w:rPr>
      </w:pPr>
    </w:p>
    <w:p w14:paraId="3046D363" w14:textId="2CA1BE59" w:rsidR="001441CC" w:rsidRPr="009143A9" w:rsidRDefault="001D313D" w:rsidP="001D313D">
      <w:pPr>
        <w:pStyle w:val="ListParagraph"/>
        <w:ind w:left="426" w:hanging="426"/>
        <w:rPr>
          <w:rFonts w:cstheme="minorHAnsi"/>
        </w:rPr>
      </w:pPr>
      <w:r w:rsidRPr="009143A9">
        <w:rPr>
          <w:rFonts w:cstheme="minorHAnsi"/>
        </w:rPr>
        <w:t>3.1</w:t>
      </w:r>
      <w:r w:rsidRPr="009143A9">
        <w:rPr>
          <w:rFonts w:cstheme="minorHAnsi"/>
        </w:rPr>
        <w:tab/>
      </w:r>
      <w:r w:rsidR="009E4CA8" w:rsidRPr="009143A9">
        <w:rPr>
          <w:rFonts w:cstheme="minorHAnsi"/>
        </w:rPr>
        <w:t xml:space="preserve">The Working Group will </w:t>
      </w:r>
      <w:r w:rsidR="00AB5E20" w:rsidRPr="009143A9">
        <w:rPr>
          <w:rFonts w:cstheme="minorHAnsi"/>
        </w:rPr>
        <w:t xml:space="preserve">shall </w:t>
      </w:r>
      <w:r w:rsidR="009E4CA8" w:rsidRPr="009143A9">
        <w:rPr>
          <w:rFonts w:cstheme="minorHAnsi"/>
        </w:rPr>
        <w:t xml:space="preserve">have </w:t>
      </w:r>
      <w:r w:rsidR="00271BA1" w:rsidRPr="009143A9">
        <w:rPr>
          <w:rFonts w:cstheme="minorHAnsi"/>
        </w:rPr>
        <w:t>at least one member from each region of the convention.</w:t>
      </w:r>
      <w:r w:rsidR="009023D4" w:rsidRPr="009143A9">
        <w:rPr>
          <w:rFonts w:cstheme="minorHAnsi"/>
        </w:rPr>
        <w:t xml:space="preserve"> </w:t>
      </w:r>
    </w:p>
    <w:p w14:paraId="2D71BBB3" w14:textId="58409DD5" w:rsidR="001441CC" w:rsidRPr="009143A9" w:rsidRDefault="001D313D" w:rsidP="001D313D">
      <w:pPr>
        <w:pStyle w:val="ListParagraph"/>
        <w:ind w:left="426" w:hanging="426"/>
        <w:rPr>
          <w:rFonts w:cstheme="minorHAnsi"/>
        </w:rPr>
      </w:pPr>
      <w:r w:rsidRPr="009143A9">
        <w:rPr>
          <w:rFonts w:cstheme="minorHAnsi"/>
        </w:rPr>
        <w:t>3.2</w:t>
      </w:r>
      <w:r w:rsidRPr="009143A9">
        <w:rPr>
          <w:rFonts w:cstheme="minorHAnsi"/>
        </w:rPr>
        <w:tab/>
      </w:r>
      <w:r w:rsidR="003D0816" w:rsidRPr="009143A9">
        <w:rPr>
          <w:rFonts w:cstheme="minorHAnsi"/>
        </w:rPr>
        <w:t>The initial composition of the W</w:t>
      </w:r>
      <w:r w:rsidR="00E83D6D">
        <w:rPr>
          <w:rFonts w:cstheme="minorHAnsi"/>
        </w:rPr>
        <w:t xml:space="preserve">orking </w:t>
      </w:r>
      <w:r w:rsidR="003D0816" w:rsidRPr="009143A9">
        <w:rPr>
          <w:rFonts w:cstheme="minorHAnsi"/>
        </w:rPr>
        <w:t>G</w:t>
      </w:r>
      <w:r w:rsidR="00E83D6D">
        <w:rPr>
          <w:rFonts w:cstheme="minorHAnsi"/>
        </w:rPr>
        <w:t>roup</w:t>
      </w:r>
      <w:r w:rsidR="003D0816" w:rsidRPr="009143A9">
        <w:rPr>
          <w:rFonts w:cstheme="minorHAnsi"/>
        </w:rPr>
        <w:t xml:space="preserve"> is </w:t>
      </w:r>
      <w:r w:rsidR="00DE58F2" w:rsidRPr="009143A9">
        <w:rPr>
          <w:rFonts w:cstheme="minorHAnsi"/>
        </w:rPr>
        <w:t>Australia,</w:t>
      </w:r>
      <w:r w:rsidR="00B846EA" w:rsidRPr="009143A9">
        <w:rPr>
          <w:rFonts w:cstheme="minorHAnsi"/>
        </w:rPr>
        <w:t xml:space="preserve"> Austria,</w:t>
      </w:r>
      <w:r w:rsidR="00DE58F2" w:rsidRPr="009143A9">
        <w:rPr>
          <w:rFonts w:cstheme="minorHAnsi"/>
        </w:rPr>
        <w:t xml:space="preserve"> </w:t>
      </w:r>
      <w:r w:rsidR="008D2881" w:rsidRPr="009143A9">
        <w:rPr>
          <w:rFonts w:cstheme="minorHAnsi"/>
        </w:rPr>
        <w:t xml:space="preserve">Brazil, </w:t>
      </w:r>
      <w:r w:rsidR="00327112" w:rsidRPr="009143A9">
        <w:rPr>
          <w:rFonts w:cstheme="minorHAnsi"/>
        </w:rPr>
        <w:t xml:space="preserve">Cambodia, </w:t>
      </w:r>
      <w:r w:rsidR="007E7CCE" w:rsidRPr="009143A9">
        <w:rPr>
          <w:rFonts w:cstheme="minorHAnsi"/>
        </w:rPr>
        <w:t xml:space="preserve">Colombia, Costa Rica, Iran, </w:t>
      </w:r>
      <w:r w:rsidR="008311CC" w:rsidRPr="009143A9">
        <w:rPr>
          <w:rFonts w:cstheme="minorHAnsi"/>
        </w:rPr>
        <w:t xml:space="preserve">Japan, </w:t>
      </w:r>
      <w:r w:rsidR="00183244" w:rsidRPr="009143A9">
        <w:rPr>
          <w:rFonts w:cstheme="minorHAnsi"/>
        </w:rPr>
        <w:t xml:space="preserve">Mexico, </w:t>
      </w:r>
      <w:r w:rsidR="00B846EA" w:rsidRPr="009143A9">
        <w:rPr>
          <w:rFonts w:cstheme="minorHAnsi"/>
        </w:rPr>
        <w:t xml:space="preserve">Morocco, </w:t>
      </w:r>
      <w:r w:rsidR="00BA2303" w:rsidRPr="009143A9">
        <w:rPr>
          <w:rFonts w:cstheme="minorHAnsi"/>
        </w:rPr>
        <w:t xml:space="preserve">Panama, </w:t>
      </w:r>
      <w:r w:rsidR="0074335A" w:rsidRPr="009143A9">
        <w:rPr>
          <w:rFonts w:cstheme="minorHAnsi"/>
        </w:rPr>
        <w:t xml:space="preserve">South Africa, </w:t>
      </w:r>
      <w:r w:rsidR="00171F09" w:rsidRPr="009143A9">
        <w:rPr>
          <w:rFonts w:cstheme="minorHAnsi"/>
        </w:rPr>
        <w:t xml:space="preserve">Switzerland, </w:t>
      </w:r>
      <w:r w:rsidR="00327112" w:rsidRPr="009143A9">
        <w:rPr>
          <w:rFonts w:cstheme="minorHAnsi"/>
        </w:rPr>
        <w:t xml:space="preserve">Ukraine, </w:t>
      </w:r>
      <w:r w:rsidR="007E7841" w:rsidRPr="009143A9">
        <w:rPr>
          <w:rFonts w:cstheme="minorHAnsi"/>
        </w:rPr>
        <w:t>United States of America</w:t>
      </w:r>
      <w:r w:rsidR="00BA2303" w:rsidRPr="009143A9">
        <w:rPr>
          <w:rFonts w:cstheme="minorHAnsi"/>
        </w:rPr>
        <w:t>, Zimbabwe</w:t>
      </w:r>
      <w:r w:rsidR="001A488F" w:rsidRPr="009143A9">
        <w:rPr>
          <w:rFonts w:cstheme="minorHAnsi"/>
        </w:rPr>
        <w:t>.</w:t>
      </w:r>
      <w:r w:rsidR="006B7A04">
        <w:rPr>
          <w:rStyle w:val="FootnoteReference"/>
          <w:rFonts w:cstheme="minorHAnsi"/>
        </w:rPr>
        <w:footnoteReference w:id="4"/>
      </w:r>
      <w:r w:rsidR="003D0816" w:rsidRPr="009143A9">
        <w:rPr>
          <w:rFonts w:cstheme="minorHAnsi"/>
        </w:rPr>
        <w:t xml:space="preserve"> </w:t>
      </w:r>
      <w:r w:rsidR="001A488F" w:rsidRPr="009143A9">
        <w:rPr>
          <w:rFonts w:cstheme="minorHAnsi"/>
        </w:rPr>
        <w:t>Other C</w:t>
      </w:r>
      <w:r w:rsidR="00E83D6D">
        <w:rPr>
          <w:rFonts w:cstheme="minorHAnsi"/>
        </w:rPr>
        <w:t xml:space="preserve">ontracting </w:t>
      </w:r>
      <w:r w:rsidR="001A488F" w:rsidRPr="009143A9">
        <w:rPr>
          <w:rFonts w:cstheme="minorHAnsi"/>
        </w:rPr>
        <w:t>P</w:t>
      </w:r>
      <w:r w:rsidR="00E83D6D">
        <w:rPr>
          <w:rFonts w:cstheme="minorHAnsi"/>
        </w:rPr>
        <w:t>artie</w:t>
      </w:r>
      <w:r w:rsidR="001A488F" w:rsidRPr="009143A9">
        <w:rPr>
          <w:rFonts w:cstheme="minorHAnsi"/>
        </w:rPr>
        <w:t>s will be able to join at any point during the W</w:t>
      </w:r>
      <w:r w:rsidR="00E83D6D">
        <w:rPr>
          <w:rFonts w:cstheme="minorHAnsi"/>
        </w:rPr>
        <w:t xml:space="preserve">orking </w:t>
      </w:r>
      <w:r w:rsidR="001A488F" w:rsidRPr="009143A9">
        <w:rPr>
          <w:rFonts w:cstheme="minorHAnsi"/>
        </w:rPr>
        <w:t>G</w:t>
      </w:r>
      <w:r w:rsidR="00E83D6D">
        <w:rPr>
          <w:rFonts w:cstheme="minorHAnsi"/>
        </w:rPr>
        <w:t>roup</w:t>
      </w:r>
      <w:r w:rsidR="001A488F" w:rsidRPr="009143A9">
        <w:rPr>
          <w:rFonts w:cstheme="minorHAnsi"/>
        </w:rPr>
        <w:t>’s tenure</w:t>
      </w:r>
      <w:r w:rsidR="00271BA1" w:rsidRPr="009143A9">
        <w:rPr>
          <w:rFonts w:cstheme="minorHAnsi"/>
        </w:rPr>
        <w:t xml:space="preserve"> by expressing their interests to the working group chair and/or the secretariat</w:t>
      </w:r>
      <w:r w:rsidR="006B7A04">
        <w:rPr>
          <w:rFonts w:cstheme="minorHAnsi"/>
        </w:rPr>
        <w:t>.</w:t>
      </w:r>
    </w:p>
    <w:p w14:paraId="0876084F" w14:textId="414A19A5" w:rsidR="001441CC" w:rsidRPr="009143A9" w:rsidRDefault="001D313D" w:rsidP="001D313D">
      <w:pPr>
        <w:pStyle w:val="ListParagraph"/>
        <w:ind w:left="426" w:hanging="426"/>
        <w:rPr>
          <w:rFonts w:cstheme="minorHAnsi"/>
        </w:rPr>
      </w:pPr>
      <w:r w:rsidRPr="009143A9">
        <w:rPr>
          <w:rFonts w:cstheme="minorHAnsi"/>
        </w:rPr>
        <w:t>3.3</w:t>
      </w:r>
      <w:r w:rsidRPr="009143A9">
        <w:rPr>
          <w:rFonts w:cstheme="minorHAnsi"/>
        </w:rPr>
        <w:tab/>
      </w:r>
      <w:r w:rsidR="001A488F" w:rsidRPr="009143A9">
        <w:rPr>
          <w:rFonts w:cstheme="minorHAnsi"/>
        </w:rPr>
        <w:t>The Management W</w:t>
      </w:r>
      <w:r w:rsidR="00E83D6D">
        <w:rPr>
          <w:rFonts w:cstheme="minorHAnsi"/>
        </w:rPr>
        <w:t xml:space="preserve">orking </w:t>
      </w:r>
      <w:r w:rsidR="001A488F" w:rsidRPr="009143A9">
        <w:rPr>
          <w:rFonts w:cstheme="minorHAnsi"/>
        </w:rPr>
        <w:t>G</w:t>
      </w:r>
      <w:r w:rsidR="00E83D6D">
        <w:rPr>
          <w:rFonts w:cstheme="minorHAnsi"/>
        </w:rPr>
        <w:t>roup</w:t>
      </w:r>
      <w:r w:rsidR="001A488F" w:rsidRPr="009143A9">
        <w:rPr>
          <w:rFonts w:cstheme="minorHAnsi"/>
        </w:rPr>
        <w:t xml:space="preserve"> and Sub</w:t>
      </w:r>
      <w:r w:rsidR="00E83D6D">
        <w:rPr>
          <w:rFonts w:cstheme="minorHAnsi"/>
        </w:rPr>
        <w:t>-</w:t>
      </w:r>
      <w:r w:rsidR="001A488F" w:rsidRPr="009143A9">
        <w:rPr>
          <w:rFonts w:cstheme="minorHAnsi"/>
        </w:rPr>
        <w:t xml:space="preserve">group on Finance </w:t>
      </w:r>
      <w:r w:rsidR="00AF2FB9" w:rsidRPr="009143A9">
        <w:rPr>
          <w:rFonts w:cstheme="minorHAnsi"/>
        </w:rPr>
        <w:t>will</w:t>
      </w:r>
      <w:r w:rsidR="00AB5E20" w:rsidRPr="009143A9">
        <w:rPr>
          <w:rFonts w:cstheme="minorHAnsi"/>
        </w:rPr>
        <w:t xml:space="preserve"> </w:t>
      </w:r>
      <w:r w:rsidR="001A488F" w:rsidRPr="009143A9">
        <w:rPr>
          <w:rFonts w:cstheme="minorHAnsi"/>
        </w:rPr>
        <w:t xml:space="preserve">be updated as </w:t>
      </w:r>
      <w:r w:rsidR="00EA44DA" w:rsidRPr="009143A9">
        <w:rPr>
          <w:rFonts w:cstheme="minorHAnsi"/>
        </w:rPr>
        <w:t xml:space="preserve">appropriate. </w:t>
      </w:r>
    </w:p>
    <w:p w14:paraId="332976AC" w14:textId="6974BEB3" w:rsidR="001441CC" w:rsidRPr="009143A9" w:rsidRDefault="001D313D" w:rsidP="001D313D">
      <w:pPr>
        <w:pStyle w:val="ListParagraph"/>
        <w:ind w:left="426" w:hanging="426"/>
        <w:rPr>
          <w:rFonts w:cstheme="minorHAnsi"/>
        </w:rPr>
      </w:pPr>
      <w:r w:rsidRPr="009143A9">
        <w:rPr>
          <w:rFonts w:cstheme="minorHAnsi"/>
        </w:rPr>
        <w:t>3.4</w:t>
      </w:r>
      <w:r w:rsidRPr="009143A9">
        <w:rPr>
          <w:rFonts w:cstheme="minorHAnsi"/>
        </w:rPr>
        <w:tab/>
      </w:r>
      <w:r w:rsidR="0081126E" w:rsidRPr="009143A9">
        <w:rPr>
          <w:rFonts w:cstheme="minorHAnsi"/>
        </w:rPr>
        <w:t xml:space="preserve"> </w:t>
      </w:r>
      <w:r w:rsidR="001441CC" w:rsidRPr="009143A9">
        <w:rPr>
          <w:rFonts w:cstheme="minorHAnsi"/>
        </w:rPr>
        <w:t>The Working Group may invite external parties, as appropriate to observe and attend meetings as required</w:t>
      </w:r>
      <w:r w:rsidR="00271BA1" w:rsidRPr="009143A9">
        <w:rPr>
          <w:rFonts w:cstheme="minorHAnsi"/>
        </w:rPr>
        <w:t>.</w:t>
      </w:r>
    </w:p>
    <w:p w14:paraId="0BAE7D50" w14:textId="77777777" w:rsidR="0078307C" w:rsidRPr="009143A9" w:rsidRDefault="0078307C" w:rsidP="008D012C">
      <w:pPr>
        <w:spacing w:after="0"/>
        <w:rPr>
          <w:rFonts w:cstheme="minorHAnsi"/>
        </w:rPr>
      </w:pPr>
    </w:p>
    <w:p w14:paraId="30B7B129" w14:textId="34F6C6DF" w:rsidR="0078307C" w:rsidRPr="009143A9" w:rsidRDefault="0078307C" w:rsidP="002C02FA">
      <w:pPr>
        <w:pStyle w:val="ListParagraph"/>
        <w:numPr>
          <w:ilvl w:val="0"/>
          <w:numId w:val="9"/>
        </w:numPr>
        <w:ind w:left="426" w:hanging="426"/>
        <w:rPr>
          <w:rFonts w:cstheme="minorHAnsi"/>
          <w:b/>
          <w:bCs/>
        </w:rPr>
      </w:pPr>
      <w:r w:rsidRPr="009143A9">
        <w:rPr>
          <w:rFonts w:cstheme="minorHAnsi"/>
          <w:b/>
          <w:bCs/>
        </w:rPr>
        <w:t>Structure</w:t>
      </w:r>
      <w:r w:rsidR="00E50EF1" w:rsidRPr="009143A9">
        <w:rPr>
          <w:rFonts w:cstheme="minorHAnsi"/>
          <w:b/>
          <w:bCs/>
        </w:rPr>
        <w:t>, meetings and Secretariat support</w:t>
      </w:r>
    </w:p>
    <w:p w14:paraId="1B7D7A8C" w14:textId="71CCBD8E" w:rsidR="00E50EF1" w:rsidRPr="009143A9" w:rsidRDefault="001D313D" w:rsidP="006458D7">
      <w:pPr>
        <w:spacing w:after="0" w:line="240" w:lineRule="auto"/>
        <w:ind w:left="425" w:hanging="425"/>
        <w:rPr>
          <w:rFonts w:cstheme="minorHAnsi"/>
        </w:rPr>
      </w:pPr>
      <w:r w:rsidRPr="009143A9">
        <w:rPr>
          <w:rFonts w:cstheme="minorHAnsi"/>
        </w:rPr>
        <w:t>4.1</w:t>
      </w:r>
      <w:r w:rsidRPr="009143A9">
        <w:rPr>
          <w:rFonts w:cstheme="minorHAnsi"/>
        </w:rPr>
        <w:tab/>
      </w:r>
      <w:r w:rsidR="00E50EF1" w:rsidRPr="009143A9">
        <w:rPr>
          <w:rFonts w:cstheme="minorHAnsi"/>
        </w:rPr>
        <w:t>The Working Group will appoint among itself a Chair</w:t>
      </w:r>
      <w:r w:rsidR="0081126E" w:rsidRPr="009143A9">
        <w:rPr>
          <w:rFonts w:cstheme="minorHAnsi"/>
        </w:rPr>
        <w:t xml:space="preserve"> (South Africa)</w:t>
      </w:r>
      <w:r w:rsidR="00E50EF1" w:rsidRPr="009143A9">
        <w:rPr>
          <w:rFonts w:cstheme="minorHAnsi"/>
        </w:rPr>
        <w:t xml:space="preserve">, and a Vice Chair </w:t>
      </w:r>
      <w:r w:rsidR="0081126E" w:rsidRPr="009143A9">
        <w:rPr>
          <w:rFonts w:cstheme="minorHAnsi"/>
        </w:rPr>
        <w:t xml:space="preserve">United States of America) </w:t>
      </w:r>
      <w:r w:rsidR="00E50EF1" w:rsidRPr="009143A9">
        <w:rPr>
          <w:rFonts w:cstheme="minorHAnsi"/>
        </w:rPr>
        <w:t>and any other roles that it deems necessary;</w:t>
      </w:r>
      <w:r w:rsidR="00F16DA5" w:rsidRPr="009143A9">
        <w:rPr>
          <w:rFonts w:cstheme="minorHAnsi"/>
          <w:color w:val="FF0000"/>
        </w:rPr>
        <w:t xml:space="preserve"> </w:t>
      </w:r>
    </w:p>
    <w:p w14:paraId="5B697099" w14:textId="378B9912" w:rsidR="00E50EF1" w:rsidRPr="009143A9" w:rsidRDefault="001D313D" w:rsidP="006458D7">
      <w:pPr>
        <w:spacing w:after="0" w:line="240" w:lineRule="auto"/>
        <w:ind w:left="425" w:hanging="425"/>
        <w:rPr>
          <w:rFonts w:cstheme="minorHAnsi"/>
        </w:rPr>
      </w:pPr>
      <w:r w:rsidRPr="009143A9">
        <w:rPr>
          <w:rFonts w:cstheme="minorHAnsi"/>
        </w:rPr>
        <w:t>4.2</w:t>
      </w:r>
      <w:r w:rsidRPr="009143A9">
        <w:rPr>
          <w:rFonts w:cstheme="minorHAnsi"/>
        </w:rPr>
        <w:tab/>
      </w:r>
      <w:r w:rsidR="00E50EF1" w:rsidRPr="009143A9">
        <w:rPr>
          <w:rFonts w:cstheme="minorHAnsi"/>
        </w:rPr>
        <w:t xml:space="preserve">The Working Group will hold meetings using means that allow the full and active participation of all members and/or regions in the group. These may be face-to-face (in association with other Ramsar meetings), hybrid or virtual, the latter using an agreed platform to which all members have access; </w:t>
      </w:r>
    </w:p>
    <w:p w14:paraId="387B09FB" w14:textId="35C83ADD" w:rsidR="00E50EF1" w:rsidRPr="009143A9" w:rsidRDefault="001D313D" w:rsidP="006458D7">
      <w:pPr>
        <w:spacing w:after="0" w:line="240" w:lineRule="auto"/>
        <w:ind w:left="425" w:hanging="425"/>
        <w:rPr>
          <w:rFonts w:cstheme="minorHAnsi"/>
        </w:rPr>
      </w:pPr>
      <w:r w:rsidRPr="009143A9">
        <w:rPr>
          <w:rFonts w:cstheme="minorHAnsi"/>
        </w:rPr>
        <w:t>4.3</w:t>
      </w:r>
      <w:r w:rsidRPr="009143A9">
        <w:rPr>
          <w:rFonts w:cstheme="minorHAnsi"/>
        </w:rPr>
        <w:tab/>
      </w:r>
      <w:r w:rsidR="00E50EF1" w:rsidRPr="009143A9">
        <w:rPr>
          <w:rFonts w:cstheme="minorHAnsi"/>
        </w:rPr>
        <w:t>The Working Group will take decisions by consensus;</w:t>
      </w:r>
    </w:p>
    <w:p w14:paraId="7505318F" w14:textId="422F0A8F" w:rsidR="00E50EF1" w:rsidRPr="009143A9" w:rsidRDefault="001D313D" w:rsidP="006458D7">
      <w:pPr>
        <w:spacing w:after="0" w:line="240" w:lineRule="auto"/>
        <w:ind w:left="425" w:hanging="425"/>
        <w:rPr>
          <w:rFonts w:cstheme="minorHAnsi"/>
        </w:rPr>
      </w:pPr>
      <w:r w:rsidRPr="009143A9">
        <w:rPr>
          <w:rFonts w:cstheme="minorHAnsi"/>
        </w:rPr>
        <w:t>4.4</w:t>
      </w:r>
      <w:r w:rsidRPr="009143A9">
        <w:rPr>
          <w:rFonts w:cstheme="minorHAnsi"/>
        </w:rPr>
        <w:tab/>
      </w:r>
      <w:r w:rsidR="00E50EF1" w:rsidRPr="009143A9">
        <w:rPr>
          <w:rFonts w:cstheme="minorHAnsi"/>
        </w:rPr>
        <w:t>The Chair and Vice Chair will liaise and work closely with other bodies of the Convention and relevant working groups and/or external parties as necessary</w:t>
      </w:r>
    </w:p>
    <w:p w14:paraId="1BD7F3A9" w14:textId="4BF645CA" w:rsidR="00E50EF1" w:rsidRPr="009143A9" w:rsidRDefault="001D313D" w:rsidP="006458D7">
      <w:pPr>
        <w:spacing w:after="0" w:line="240" w:lineRule="auto"/>
        <w:ind w:left="425" w:hanging="425"/>
        <w:rPr>
          <w:rFonts w:cstheme="minorHAnsi"/>
        </w:rPr>
      </w:pPr>
      <w:r w:rsidRPr="009143A9">
        <w:rPr>
          <w:rFonts w:cstheme="minorHAnsi"/>
        </w:rPr>
        <w:t>4.5</w:t>
      </w:r>
      <w:r w:rsidRPr="009143A9">
        <w:rPr>
          <w:rFonts w:cstheme="minorHAnsi"/>
        </w:rPr>
        <w:tab/>
      </w:r>
      <w:r w:rsidR="00E50EF1" w:rsidRPr="009143A9">
        <w:rPr>
          <w:rFonts w:cstheme="minorHAnsi"/>
        </w:rPr>
        <w:t>The Secretariat will provide secretariat services for the Working Group (meeting invitations and minutes) and act as a point of contact.</w:t>
      </w:r>
    </w:p>
    <w:p w14:paraId="3574EF00" w14:textId="0E9F0B8D" w:rsidR="00AB5E20" w:rsidRPr="009143A9" w:rsidRDefault="00B641F6" w:rsidP="006458D7">
      <w:pPr>
        <w:spacing w:after="0" w:line="240" w:lineRule="auto"/>
        <w:ind w:left="425" w:hanging="425"/>
        <w:rPr>
          <w:rFonts w:cstheme="minorHAnsi"/>
        </w:rPr>
      </w:pPr>
      <w:r w:rsidRPr="009143A9">
        <w:rPr>
          <w:rFonts w:cstheme="minorHAnsi"/>
        </w:rPr>
        <w:t xml:space="preserve">4.6 The Secretariat through a notification, shall inform all contracting parties of the upcoming meetings of the Working Group. </w:t>
      </w:r>
    </w:p>
    <w:p w14:paraId="0CA41DC5" w14:textId="77777777" w:rsidR="001D313D" w:rsidRPr="009143A9" w:rsidRDefault="001D313D" w:rsidP="001D313D">
      <w:pPr>
        <w:pStyle w:val="ListParagraph"/>
        <w:rPr>
          <w:rFonts w:cstheme="minorHAnsi"/>
        </w:rPr>
      </w:pPr>
    </w:p>
    <w:p w14:paraId="6FBD67A5" w14:textId="77777777" w:rsidR="0081126E" w:rsidRPr="009143A9" w:rsidRDefault="0081126E" w:rsidP="002C02FA">
      <w:pPr>
        <w:pStyle w:val="ListParagraph"/>
        <w:numPr>
          <w:ilvl w:val="0"/>
          <w:numId w:val="9"/>
        </w:numPr>
        <w:ind w:left="426" w:hanging="426"/>
        <w:rPr>
          <w:rFonts w:cstheme="minorHAnsi"/>
          <w:b/>
          <w:bCs/>
        </w:rPr>
      </w:pPr>
      <w:r w:rsidRPr="009143A9">
        <w:rPr>
          <w:rFonts w:cstheme="minorHAnsi"/>
          <w:b/>
          <w:bCs/>
        </w:rPr>
        <w:t>Working schedule</w:t>
      </w:r>
    </w:p>
    <w:p w14:paraId="06AE8E4D" w14:textId="353B3BD4" w:rsidR="002C02FA" w:rsidRPr="009143A9" w:rsidRDefault="001D313D" w:rsidP="001D313D">
      <w:pPr>
        <w:pStyle w:val="ListParagraph"/>
        <w:ind w:left="426" w:hanging="426"/>
        <w:jc w:val="both"/>
        <w:rPr>
          <w:rFonts w:cstheme="minorHAnsi"/>
        </w:rPr>
      </w:pPr>
      <w:r w:rsidRPr="009143A9">
        <w:rPr>
          <w:rFonts w:cstheme="minorHAnsi"/>
        </w:rPr>
        <w:t>5.1</w:t>
      </w:r>
      <w:r w:rsidRPr="009143A9">
        <w:rPr>
          <w:rFonts w:cstheme="minorHAnsi"/>
        </w:rPr>
        <w:tab/>
      </w:r>
      <w:r w:rsidR="00BA2541" w:rsidRPr="009143A9">
        <w:rPr>
          <w:rFonts w:cstheme="minorHAnsi"/>
        </w:rPr>
        <w:t>A working schedule is provided below, but may change to accommodate the needs and schedules of the working group and its members:</w:t>
      </w:r>
    </w:p>
    <w:p w14:paraId="66EE848A" w14:textId="77777777" w:rsidR="00BA2541" w:rsidRPr="009143A9" w:rsidRDefault="00BA2541" w:rsidP="002C02FA">
      <w:pPr>
        <w:pStyle w:val="ListParagraph"/>
        <w:ind w:left="426"/>
        <w:rPr>
          <w:rFonts w:cstheme="minorHAnsi"/>
          <w:b/>
          <w:bCs/>
        </w:rPr>
      </w:pPr>
    </w:p>
    <w:tbl>
      <w:tblPr>
        <w:tblStyle w:val="TableGrid"/>
        <w:tblW w:w="0" w:type="auto"/>
        <w:tblInd w:w="426" w:type="dxa"/>
        <w:tblLook w:val="04A0" w:firstRow="1" w:lastRow="0" w:firstColumn="1" w:lastColumn="0" w:noHBand="0" w:noVBand="1"/>
      </w:tblPr>
      <w:tblGrid>
        <w:gridCol w:w="1696"/>
        <w:gridCol w:w="6894"/>
      </w:tblGrid>
      <w:tr w:rsidR="00BA2541" w:rsidRPr="009143A9" w14:paraId="39555C4F" w14:textId="77777777" w:rsidTr="00D849BE">
        <w:tc>
          <w:tcPr>
            <w:tcW w:w="1696" w:type="dxa"/>
          </w:tcPr>
          <w:p w14:paraId="2845A1A7" w14:textId="7FCB175F" w:rsidR="00BA2541" w:rsidRPr="009143A9" w:rsidRDefault="00BA2541" w:rsidP="002C02FA">
            <w:pPr>
              <w:pStyle w:val="ListParagraph"/>
              <w:ind w:left="0"/>
              <w:rPr>
                <w:rFonts w:cstheme="minorHAnsi"/>
                <w:b/>
                <w:bCs/>
              </w:rPr>
            </w:pPr>
            <w:r w:rsidRPr="009143A9">
              <w:rPr>
                <w:rFonts w:cstheme="minorHAnsi"/>
                <w:b/>
                <w:bCs/>
              </w:rPr>
              <w:t>Date</w:t>
            </w:r>
          </w:p>
        </w:tc>
        <w:tc>
          <w:tcPr>
            <w:tcW w:w="6894" w:type="dxa"/>
          </w:tcPr>
          <w:p w14:paraId="12574742" w14:textId="65C1CD94" w:rsidR="00BA2541" w:rsidRPr="009143A9" w:rsidRDefault="00BA2541" w:rsidP="002C02FA">
            <w:pPr>
              <w:pStyle w:val="ListParagraph"/>
              <w:ind w:left="0"/>
              <w:rPr>
                <w:rFonts w:cstheme="minorHAnsi"/>
                <w:b/>
                <w:bCs/>
              </w:rPr>
            </w:pPr>
            <w:r w:rsidRPr="009143A9">
              <w:rPr>
                <w:rFonts w:cstheme="minorHAnsi"/>
                <w:b/>
                <w:bCs/>
              </w:rPr>
              <w:t>Purpose</w:t>
            </w:r>
          </w:p>
        </w:tc>
      </w:tr>
      <w:tr w:rsidR="00BA2541" w:rsidRPr="009143A9" w14:paraId="30ED173D" w14:textId="77777777" w:rsidTr="00D849BE">
        <w:tc>
          <w:tcPr>
            <w:tcW w:w="1696" w:type="dxa"/>
          </w:tcPr>
          <w:p w14:paraId="1AC3186B" w14:textId="3335182E" w:rsidR="00BA2541" w:rsidRPr="009143A9" w:rsidRDefault="00BA2541" w:rsidP="002C02FA">
            <w:pPr>
              <w:pStyle w:val="ListParagraph"/>
              <w:ind w:left="0"/>
              <w:rPr>
                <w:rFonts w:cstheme="minorHAnsi"/>
                <w:i/>
                <w:iCs/>
              </w:rPr>
            </w:pPr>
            <w:r w:rsidRPr="009143A9">
              <w:rPr>
                <w:rFonts w:cstheme="minorHAnsi"/>
                <w:i/>
                <w:iCs/>
              </w:rPr>
              <w:t>October 2023</w:t>
            </w:r>
          </w:p>
        </w:tc>
        <w:tc>
          <w:tcPr>
            <w:tcW w:w="6894" w:type="dxa"/>
          </w:tcPr>
          <w:p w14:paraId="498C92EB" w14:textId="13AFA0E8" w:rsidR="00BA2541" w:rsidRPr="009143A9" w:rsidRDefault="00BA2541" w:rsidP="002C02FA">
            <w:pPr>
              <w:pStyle w:val="ListParagraph"/>
              <w:ind w:left="0"/>
              <w:rPr>
                <w:rFonts w:cstheme="minorHAnsi"/>
                <w:i/>
                <w:iCs/>
              </w:rPr>
            </w:pPr>
            <w:r w:rsidRPr="009143A9">
              <w:rPr>
                <w:rFonts w:cstheme="minorHAnsi"/>
                <w:i/>
                <w:iCs/>
              </w:rPr>
              <w:t>First meeting of the Working Group</w:t>
            </w:r>
            <w:r w:rsidR="00D21D70" w:rsidRPr="009143A9">
              <w:rPr>
                <w:rFonts w:cstheme="minorHAnsi"/>
                <w:i/>
                <w:iCs/>
              </w:rPr>
              <w:t>: to establish a workplan</w:t>
            </w:r>
          </w:p>
        </w:tc>
      </w:tr>
      <w:tr w:rsidR="00BA2541" w:rsidRPr="009143A9" w14:paraId="4EC658E8" w14:textId="77777777" w:rsidTr="00D849BE">
        <w:tc>
          <w:tcPr>
            <w:tcW w:w="1696" w:type="dxa"/>
          </w:tcPr>
          <w:p w14:paraId="12A15F25" w14:textId="50E49F50" w:rsidR="00BA2541" w:rsidRPr="009143A9" w:rsidRDefault="00BA2541" w:rsidP="002C02FA">
            <w:pPr>
              <w:pStyle w:val="ListParagraph"/>
              <w:ind w:left="0"/>
              <w:rPr>
                <w:rFonts w:cstheme="minorHAnsi"/>
                <w:i/>
                <w:iCs/>
              </w:rPr>
            </w:pPr>
            <w:r w:rsidRPr="009143A9">
              <w:rPr>
                <w:rFonts w:cstheme="minorHAnsi"/>
                <w:i/>
                <w:iCs/>
              </w:rPr>
              <w:t>December 2023</w:t>
            </w:r>
          </w:p>
        </w:tc>
        <w:tc>
          <w:tcPr>
            <w:tcW w:w="6894" w:type="dxa"/>
          </w:tcPr>
          <w:p w14:paraId="53CBDC11" w14:textId="4B23A115" w:rsidR="00BA2541" w:rsidRPr="009143A9" w:rsidRDefault="00BA2541" w:rsidP="002C02FA">
            <w:pPr>
              <w:pStyle w:val="ListParagraph"/>
              <w:ind w:left="0"/>
              <w:rPr>
                <w:rFonts w:cstheme="minorHAnsi"/>
                <w:i/>
                <w:iCs/>
              </w:rPr>
            </w:pPr>
            <w:r w:rsidRPr="009143A9">
              <w:rPr>
                <w:rFonts w:cstheme="minorHAnsi"/>
                <w:i/>
                <w:iCs/>
              </w:rPr>
              <w:t>Draft Collated document on existing work and gaps</w:t>
            </w:r>
          </w:p>
        </w:tc>
      </w:tr>
      <w:tr w:rsidR="00BA2541" w:rsidRPr="009143A9" w14:paraId="48D8C855" w14:textId="77777777" w:rsidTr="00D849BE">
        <w:tc>
          <w:tcPr>
            <w:tcW w:w="1696" w:type="dxa"/>
          </w:tcPr>
          <w:p w14:paraId="2A4DA93B" w14:textId="68C93AA9" w:rsidR="00BA2541" w:rsidRPr="009143A9" w:rsidRDefault="00BA2541" w:rsidP="002C02FA">
            <w:pPr>
              <w:pStyle w:val="ListParagraph"/>
              <w:ind w:left="0"/>
              <w:rPr>
                <w:rFonts w:cstheme="minorHAnsi"/>
                <w:i/>
                <w:iCs/>
              </w:rPr>
            </w:pPr>
            <w:r w:rsidRPr="009143A9">
              <w:rPr>
                <w:rFonts w:cstheme="minorHAnsi"/>
                <w:i/>
                <w:iCs/>
              </w:rPr>
              <w:t>March 2024</w:t>
            </w:r>
          </w:p>
        </w:tc>
        <w:tc>
          <w:tcPr>
            <w:tcW w:w="6894" w:type="dxa"/>
          </w:tcPr>
          <w:p w14:paraId="0061F3F6" w14:textId="32246113" w:rsidR="00BA2541" w:rsidRPr="009143A9" w:rsidRDefault="00BA2541" w:rsidP="002C02FA">
            <w:pPr>
              <w:pStyle w:val="ListParagraph"/>
              <w:ind w:left="0"/>
              <w:rPr>
                <w:rFonts w:cstheme="minorHAnsi"/>
                <w:i/>
                <w:iCs/>
              </w:rPr>
            </w:pPr>
            <w:r w:rsidRPr="009143A9">
              <w:rPr>
                <w:rFonts w:cstheme="minorHAnsi"/>
                <w:i/>
                <w:iCs/>
              </w:rPr>
              <w:t>Draft revised table of options and recommendations</w:t>
            </w:r>
          </w:p>
        </w:tc>
      </w:tr>
      <w:tr w:rsidR="00BA2541" w:rsidRPr="009143A9" w14:paraId="09854005" w14:textId="77777777" w:rsidTr="00D849BE">
        <w:tc>
          <w:tcPr>
            <w:tcW w:w="1696" w:type="dxa"/>
          </w:tcPr>
          <w:p w14:paraId="3F8A45EA" w14:textId="6F0B0DD8" w:rsidR="00BA2541" w:rsidRPr="009143A9" w:rsidRDefault="00BA2541" w:rsidP="002C02FA">
            <w:pPr>
              <w:pStyle w:val="ListParagraph"/>
              <w:ind w:left="0"/>
              <w:rPr>
                <w:rFonts w:cstheme="minorHAnsi"/>
                <w:i/>
                <w:iCs/>
              </w:rPr>
            </w:pPr>
            <w:r w:rsidRPr="009143A9">
              <w:rPr>
                <w:rFonts w:cstheme="minorHAnsi"/>
                <w:i/>
                <w:iCs/>
              </w:rPr>
              <w:t xml:space="preserve">May </w:t>
            </w:r>
            <w:r w:rsidR="00D849BE" w:rsidRPr="009143A9">
              <w:rPr>
                <w:rFonts w:cstheme="minorHAnsi"/>
                <w:i/>
                <w:iCs/>
              </w:rPr>
              <w:t xml:space="preserve">-July </w:t>
            </w:r>
            <w:r w:rsidRPr="009143A9">
              <w:rPr>
                <w:rFonts w:cstheme="minorHAnsi"/>
                <w:i/>
                <w:iCs/>
              </w:rPr>
              <w:t>2024</w:t>
            </w:r>
          </w:p>
        </w:tc>
        <w:tc>
          <w:tcPr>
            <w:tcW w:w="6894" w:type="dxa"/>
          </w:tcPr>
          <w:p w14:paraId="36A8EC7D" w14:textId="46051602" w:rsidR="00BA2541" w:rsidRPr="009143A9" w:rsidRDefault="00BA2541" w:rsidP="002C02FA">
            <w:pPr>
              <w:pStyle w:val="ListParagraph"/>
              <w:ind w:left="0"/>
              <w:rPr>
                <w:rFonts w:cstheme="minorHAnsi"/>
                <w:i/>
                <w:iCs/>
              </w:rPr>
            </w:pPr>
            <w:r w:rsidRPr="009143A9">
              <w:rPr>
                <w:rFonts w:cstheme="minorHAnsi"/>
                <w:i/>
                <w:iCs/>
              </w:rPr>
              <w:t>Stakeholder engagements with Ramsar CPs and external stakeholders</w:t>
            </w:r>
          </w:p>
        </w:tc>
      </w:tr>
      <w:tr w:rsidR="00BA2541" w:rsidRPr="009143A9" w14:paraId="2E71C337" w14:textId="77777777" w:rsidTr="00D849BE">
        <w:tc>
          <w:tcPr>
            <w:tcW w:w="1696" w:type="dxa"/>
          </w:tcPr>
          <w:p w14:paraId="57F5B3AA" w14:textId="0A547DF8" w:rsidR="00BA2541" w:rsidRPr="009143A9" w:rsidRDefault="00D21D70" w:rsidP="002C02FA">
            <w:pPr>
              <w:pStyle w:val="ListParagraph"/>
              <w:ind w:left="0"/>
              <w:rPr>
                <w:rFonts w:cstheme="minorHAnsi"/>
              </w:rPr>
            </w:pPr>
            <w:r w:rsidRPr="009143A9">
              <w:rPr>
                <w:rFonts w:cstheme="minorHAnsi"/>
              </w:rPr>
              <w:t>03- 07 June 2024</w:t>
            </w:r>
            <w:r w:rsidR="00BA2541" w:rsidRPr="009143A9">
              <w:rPr>
                <w:rFonts w:cstheme="minorHAnsi"/>
              </w:rPr>
              <w:t xml:space="preserve"> 63</w:t>
            </w:r>
            <w:r w:rsidR="009A7747" w:rsidRPr="009143A9">
              <w:rPr>
                <w:rFonts w:cstheme="minorHAnsi"/>
              </w:rPr>
              <w:t xml:space="preserve"> tbc</w:t>
            </w:r>
          </w:p>
        </w:tc>
        <w:tc>
          <w:tcPr>
            <w:tcW w:w="6894" w:type="dxa"/>
          </w:tcPr>
          <w:p w14:paraId="07FA7546" w14:textId="56CEDE60" w:rsidR="00BA2541" w:rsidRPr="009143A9" w:rsidRDefault="00BA2541" w:rsidP="002C02FA">
            <w:pPr>
              <w:pStyle w:val="ListParagraph"/>
              <w:ind w:left="0"/>
              <w:rPr>
                <w:rFonts w:cstheme="minorHAnsi"/>
              </w:rPr>
            </w:pPr>
            <w:r w:rsidRPr="009143A9">
              <w:rPr>
                <w:rFonts w:cstheme="minorHAnsi"/>
              </w:rPr>
              <w:t>Outcomes from the analysis presented</w:t>
            </w:r>
          </w:p>
        </w:tc>
      </w:tr>
      <w:tr w:rsidR="00D849BE" w:rsidRPr="009143A9" w14:paraId="2D54F879" w14:textId="77777777" w:rsidTr="00D849BE">
        <w:tc>
          <w:tcPr>
            <w:tcW w:w="1696" w:type="dxa"/>
          </w:tcPr>
          <w:p w14:paraId="288A00E5" w14:textId="0C28EE83" w:rsidR="00D849BE" w:rsidRPr="009143A9" w:rsidRDefault="00D849BE" w:rsidP="002C02FA">
            <w:pPr>
              <w:pStyle w:val="ListParagraph"/>
              <w:ind w:left="0"/>
              <w:rPr>
                <w:rFonts w:cstheme="minorHAnsi"/>
                <w:i/>
                <w:iCs/>
              </w:rPr>
            </w:pPr>
            <w:r w:rsidRPr="009143A9">
              <w:rPr>
                <w:rFonts w:cstheme="minorHAnsi"/>
                <w:i/>
                <w:iCs/>
              </w:rPr>
              <w:t>September 2024</w:t>
            </w:r>
          </w:p>
        </w:tc>
        <w:tc>
          <w:tcPr>
            <w:tcW w:w="6894" w:type="dxa"/>
          </w:tcPr>
          <w:p w14:paraId="51510C62" w14:textId="35FE4058" w:rsidR="00D849BE" w:rsidRPr="009143A9" w:rsidRDefault="00D849BE" w:rsidP="002C02FA">
            <w:pPr>
              <w:pStyle w:val="ListParagraph"/>
              <w:ind w:left="0"/>
              <w:rPr>
                <w:rFonts w:cstheme="minorHAnsi"/>
                <w:i/>
                <w:iCs/>
              </w:rPr>
            </w:pPr>
            <w:r w:rsidRPr="009143A9">
              <w:rPr>
                <w:rFonts w:cstheme="minorHAnsi"/>
                <w:i/>
                <w:iCs/>
              </w:rPr>
              <w:t>Updated table of options and recommendations</w:t>
            </w:r>
          </w:p>
        </w:tc>
      </w:tr>
      <w:tr w:rsidR="00BA2541" w:rsidRPr="009143A9" w14:paraId="53FA08B3" w14:textId="77777777" w:rsidTr="00D849BE">
        <w:tc>
          <w:tcPr>
            <w:tcW w:w="1696" w:type="dxa"/>
          </w:tcPr>
          <w:p w14:paraId="3A5A2C0C" w14:textId="02C8AF63" w:rsidR="00BA2541" w:rsidRPr="009143A9" w:rsidRDefault="00D849BE" w:rsidP="002C02FA">
            <w:pPr>
              <w:pStyle w:val="ListParagraph"/>
              <w:ind w:left="0"/>
              <w:rPr>
                <w:rFonts w:cstheme="minorHAnsi"/>
                <w:i/>
                <w:iCs/>
              </w:rPr>
            </w:pPr>
            <w:r w:rsidRPr="009143A9">
              <w:rPr>
                <w:rFonts w:cstheme="minorHAnsi"/>
                <w:i/>
                <w:iCs/>
              </w:rPr>
              <w:t>October 2024</w:t>
            </w:r>
          </w:p>
        </w:tc>
        <w:tc>
          <w:tcPr>
            <w:tcW w:w="6894" w:type="dxa"/>
          </w:tcPr>
          <w:p w14:paraId="3058A68C" w14:textId="37524665" w:rsidR="00BA2541" w:rsidRPr="009143A9" w:rsidRDefault="00D849BE" w:rsidP="002C02FA">
            <w:pPr>
              <w:pStyle w:val="ListParagraph"/>
              <w:ind w:left="0"/>
              <w:rPr>
                <w:rFonts w:cstheme="minorHAnsi"/>
                <w:i/>
                <w:iCs/>
              </w:rPr>
            </w:pPr>
            <w:r w:rsidRPr="009143A9">
              <w:rPr>
                <w:rFonts w:cstheme="minorHAnsi"/>
                <w:i/>
                <w:iCs/>
              </w:rPr>
              <w:t>First Draft Resolution</w:t>
            </w:r>
          </w:p>
        </w:tc>
      </w:tr>
      <w:tr w:rsidR="00D849BE" w:rsidRPr="009143A9" w14:paraId="0516BA92" w14:textId="77777777" w:rsidTr="00D849BE">
        <w:tc>
          <w:tcPr>
            <w:tcW w:w="1696" w:type="dxa"/>
          </w:tcPr>
          <w:p w14:paraId="44D24A61" w14:textId="7A1AD1C2" w:rsidR="00D849BE" w:rsidRPr="009143A9" w:rsidRDefault="00D21D70" w:rsidP="002C02FA">
            <w:pPr>
              <w:pStyle w:val="ListParagraph"/>
              <w:ind w:left="0"/>
              <w:rPr>
                <w:rFonts w:cstheme="minorHAnsi"/>
              </w:rPr>
            </w:pPr>
            <w:r w:rsidRPr="009143A9">
              <w:rPr>
                <w:rFonts w:cstheme="minorHAnsi"/>
              </w:rPr>
              <w:t>20 -24 January 2025</w:t>
            </w:r>
            <w:r w:rsidR="00D849BE" w:rsidRPr="009143A9">
              <w:rPr>
                <w:rFonts w:cstheme="minorHAnsi"/>
              </w:rPr>
              <w:t xml:space="preserve"> SC 64</w:t>
            </w:r>
            <w:r w:rsidR="009A7747" w:rsidRPr="009143A9">
              <w:rPr>
                <w:rFonts w:cstheme="minorHAnsi"/>
              </w:rPr>
              <w:t xml:space="preserve"> tbc</w:t>
            </w:r>
          </w:p>
        </w:tc>
        <w:tc>
          <w:tcPr>
            <w:tcW w:w="6894" w:type="dxa"/>
          </w:tcPr>
          <w:p w14:paraId="527C4959" w14:textId="727CDB23" w:rsidR="00D849BE" w:rsidRPr="009143A9" w:rsidRDefault="00D849BE" w:rsidP="002C02FA">
            <w:pPr>
              <w:pStyle w:val="ListParagraph"/>
              <w:ind w:left="0"/>
              <w:rPr>
                <w:rFonts w:cstheme="minorHAnsi"/>
              </w:rPr>
            </w:pPr>
            <w:r w:rsidRPr="009143A9">
              <w:rPr>
                <w:rFonts w:cstheme="minorHAnsi"/>
              </w:rPr>
              <w:t>Updated Draft Resolution</w:t>
            </w:r>
          </w:p>
        </w:tc>
      </w:tr>
    </w:tbl>
    <w:p w14:paraId="1BF4B36B" w14:textId="77777777" w:rsidR="002C02FA" w:rsidRPr="009143A9" w:rsidRDefault="002C02FA" w:rsidP="002C02FA">
      <w:pPr>
        <w:pStyle w:val="ListParagraph"/>
        <w:ind w:left="426"/>
        <w:rPr>
          <w:rFonts w:cstheme="minorHAnsi"/>
          <w:b/>
          <w:bCs/>
        </w:rPr>
      </w:pPr>
    </w:p>
    <w:p w14:paraId="6FE8B561" w14:textId="7AC7057B" w:rsidR="0081126E" w:rsidRPr="009143A9" w:rsidRDefault="0081126E" w:rsidP="00061F3D">
      <w:pPr>
        <w:pStyle w:val="ListParagraph"/>
        <w:keepNext/>
        <w:numPr>
          <w:ilvl w:val="0"/>
          <w:numId w:val="9"/>
        </w:numPr>
        <w:ind w:left="425" w:hanging="425"/>
        <w:rPr>
          <w:rFonts w:cstheme="minorHAnsi"/>
          <w:b/>
          <w:bCs/>
        </w:rPr>
      </w:pPr>
      <w:r w:rsidRPr="009143A9">
        <w:rPr>
          <w:rFonts w:cstheme="minorHAnsi"/>
          <w:b/>
          <w:bCs/>
        </w:rPr>
        <w:t xml:space="preserve">Budget </w:t>
      </w:r>
    </w:p>
    <w:p w14:paraId="7D43215B" w14:textId="77777777" w:rsidR="00AC7003" w:rsidRPr="009143A9" w:rsidRDefault="001D313D" w:rsidP="001D313D">
      <w:pPr>
        <w:pStyle w:val="ListParagraph"/>
        <w:ind w:left="426" w:hanging="426"/>
        <w:jc w:val="both"/>
        <w:rPr>
          <w:rFonts w:cstheme="minorHAnsi"/>
        </w:rPr>
      </w:pPr>
      <w:r w:rsidRPr="009143A9">
        <w:rPr>
          <w:rFonts w:cstheme="minorHAnsi"/>
        </w:rPr>
        <w:t>6.1</w:t>
      </w:r>
      <w:r w:rsidRPr="009143A9">
        <w:rPr>
          <w:rFonts w:cstheme="minorHAnsi"/>
        </w:rPr>
        <w:tab/>
      </w:r>
      <w:r w:rsidR="00BA2541" w:rsidRPr="009143A9">
        <w:rPr>
          <w:rFonts w:cstheme="minorHAnsi"/>
        </w:rPr>
        <w:t xml:space="preserve">Funding requirements may be required to undertake </w:t>
      </w:r>
      <w:r w:rsidR="006B3676" w:rsidRPr="009143A9">
        <w:rPr>
          <w:rFonts w:cstheme="minorHAnsi"/>
        </w:rPr>
        <w:t xml:space="preserve">a number of the tasks related to the </w:t>
      </w:r>
      <w:r w:rsidR="00805389" w:rsidRPr="009143A9">
        <w:rPr>
          <w:rFonts w:cstheme="minorHAnsi"/>
        </w:rPr>
        <w:t>W</w:t>
      </w:r>
      <w:r w:rsidR="006B3676" w:rsidRPr="009143A9">
        <w:rPr>
          <w:rFonts w:cstheme="minorHAnsi"/>
        </w:rPr>
        <w:t xml:space="preserve">orking </w:t>
      </w:r>
      <w:r w:rsidR="00805389" w:rsidRPr="009143A9">
        <w:rPr>
          <w:rFonts w:cstheme="minorHAnsi"/>
        </w:rPr>
        <w:t>G</w:t>
      </w:r>
      <w:r w:rsidR="006B3676" w:rsidRPr="009143A9">
        <w:rPr>
          <w:rFonts w:cstheme="minorHAnsi"/>
        </w:rPr>
        <w:t>roup</w:t>
      </w:r>
      <w:r w:rsidR="00805389" w:rsidRPr="009143A9">
        <w:rPr>
          <w:rFonts w:cstheme="minorHAnsi"/>
        </w:rPr>
        <w:t>.</w:t>
      </w:r>
    </w:p>
    <w:p w14:paraId="0CE03283" w14:textId="77777777" w:rsidR="00E50EF1" w:rsidRPr="009143A9" w:rsidRDefault="00E50EF1">
      <w:pPr>
        <w:rPr>
          <w:rFonts w:cstheme="minorHAnsi"/>
          <w:b/>
          <w:bCs/>
        </w:rPr>
      </w:pPr>
    </w:p>
    <w:p w14:paraId="5B32F741" w14:textId="77777777" w:rsidR="0078307C" w:rsidRPr="009143A9" w:rsidRDefault="0078307C">
      <w:pPr>
        <w:rPr>
          <w:rFonts w:cstheme="minorHAnsi"/>
        </w:rPr>
      </w:pPr>
    </w:p>
    <w:sectPr w:rsidR="0078307C" w:rsidRPr="009143A9" w:rsidSect="008D012C">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E79C" w14:textId="77777777" w:rsidR="001D63B9" w:rsidRDefault="001D63B9" w:rsidP="00027844">
      <w:pPr>
        <w:spacing w:after="0" w:line="240" w:lineRule="auto"/>
      </w:pPr>
      <w:r>
        <w:separator/>
      </w:r>
    </w:p>
  </w:endnote>
  <w:endnote w:type="continuationSeparator" w:id="0">
    <w:p w14:paraId="4CA65A60" w14:textId="77777777" w:rsidR="001D63B9" w:rsidRDefault="001D63B9" w:rsidP="0002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CE2D" w14:textId="51B5BC48" w:rsidR="000075D1" w:rsidRPr="000075D1" w:rsidRDefault="000075D1">
    <w:pPr>
      <w:pStyle w:val="Footer"/>
      <w:rPr>
        <w:sz w:val="20"/>
        <w:szCs w:val="20"/>
      </w:rPr>
    </w:pPr>
    <w:r w:rsidRPr="000075D1">
      <w:rPr>
        <w:sz w:val="20"/>
        <w:szCs w:val="20"/>
      </w:rPr>
      <w:t>SC62 Com.2</w:t>
    </w:r>
    <w:r w:rsidRPr="000075D1">
      <w:rPr>
        <w:sz w:val="20"/>
        <w:szCs w:val="20"/>
      </w:rPr>
      <w:tab/>
    </w:r>
    <w:r w:rsidRPr="000075D1">
      <w:rPr>
        <w:sz w:val="20"/>
        <w:szCs w:val="20"/>
      </w:rPr>
      <w:tab/>
    </w:r>
    <w:r w:rsidRPr="000075D1">
      <w:rPr>
        <w:sz w:val="20"/>
        <w:szCs w:val="20"/>
      </w:rPr>
      <w:fldChar w:fldCharType="begin"/>
    </w:r>
    <w:r w:rsidRPr="000075D1">
      <w:rPr>
        <w:sz w:val="20"/>
        <w:szCs w:val="20"/>
      </w:rPr>
      <w:instrText xml:space="preserve"> PAGE   \* MERGEFORMAT </w:instrText>
    </w:r>
    <w:r w:rsidRPr="000075D1">
      <w:rPr>
        <w:sz w:val="20"/>
        <w:szCs w:val="20"/>
      </w:rPr>
      <w:fldChar w:fldCharType="separate"/>
    </w:r>
    <w:r w:rsidR="00A921F0">
      <w:rPr>
        <w:noProof/>
        <w:sz w:val="20"/>
        <w:szCs w:val="20"/>
      </w:rPr>
      <w:t>4</w:t>
    </w:r>
    <w:r w:rsidRPr="000075D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914D0" w14:textId="77777777" w:rsidR="001D63B9" w:rsidRDefault="001D63B9" w:rsidP="00027844">
      <w:pPr>
        <w:spacing w:after="0" w:line="240" w:lineRule="auto"/>
      </w:pPr>
      <w:r>
        <w:separator/>
      </w:r>
    </w:p>
  </w:footnote>
  <w:footnote w:type="continuationSeparator" w:id="0">
    <w:p w14:paraId="3A275B78" w14:textId="77777777" w:rsidR="001D63B9" w:rsidRDefault="001D63B9" w:rsidP="00027844">
      <w:pPr>
        <w:spacing w:after="0" w:line="240" w:lineRule="auto"/>
      </w:pPr>
      <w:r>
        <w:continuationSeparator/>
      </w:r>
    </w:p>
  </w:footnote>
  <w:footnote w:id="1">
    <w:p w14:paraId="29A140E0" w14:textId="77777777" w:rsidR="004D4859" w:rsidRDefault="004D4859" w:rsidP="004D4859">
      <w:pPr>
        <w:pStyle w:val="FootnoteText"/>
        <w:rPr>
          <w:lang w:val="en-GB"/>
        </w:rPr>
      </w:pPr>
      <w:r>
        <w:rPr>
          <w:rStyle w:val="FootnoteReference"/>
        </w:rPr>
        <w:footnoteRef/>
      </w:r>
      <w:r>
        <w:t xml:space="preserve"> </w:t>
      </w:r>
      <w:r>
        <w:rPr>
          <w:lang w:val="en-GB"/>
        </w:rPr>
        <w:t xml:space="preserve">See </w:t>
      </w:r>
      <w:hyperlink r:id="rId1" w:history="1">
        <w:r>
          <w:rPr>
            <w:rStyle w:val="Hyperlink"/>
            <w:lang w:val="en-GB"/>
          </w:rPr>
          <w:t>https://www.ramsar.org/document/independent-analysis-legal-status-secretariat-convention-wetlands-ramsar-convention</w:t>
        </w:r>
      </w:hyperlink>
      <w:r>
        <w:rPr>
          <w:lang w:val="en-GB"/>
        </w:rPr>
        <w:t xml:space="preserve">. </w:t>
      </w:r>
    </w:p>
  </w:footnote>
  <w:footnote w:id="2">
    <w:p w14:paraId="2A429530" w14:textId="77777777" w:rsidR="004D4859" w:rsidRDefault="004D4859" w:rsidP="004D4859">
      <w:pPr>
        <w:pStyle w:val="FootnoteText"/>
        <w:rPr>
          <w:lang w:val="en-GB"/>
        </w:rPr>
      </w:pPr>
      <w:r>
        <w:rPr>
          <w:rStyle w:val="FootnoteReference"/>
        </w:rPr>
        <w:footnoteRef/>
      </w:r>
      <w:r>
        <w:t xml:space="preserve"> </w:t>
      </w:r>
      <w:r>
        <w:rPr>
          <w:lang w:val="en-GB"/>
        </w:rPr>
        <w:t xml:space="preserve">See </w:t>
      </w:r>
      <w:hyperlink r:id="rId2" w:history="1">
        <w:r>
          <w:rPr>
            <w:rStyle w:val="Hyperlink"/>
            <w:lang w:val="en-GB"/>
          </w:rPr>
          <w:t>https://www.ramsar.org/document/financial-analysis-legal-status-ramsar-secretariat</w:t>
        </w:r>
      </w:hyperlink>
      <w:r>
        <w:rPr>
          <w:lang w:val="en-GB"/>
        </w:rPr>
        <w:t xml:space="preserve">. </w:t>
      </w:r>
    </w:p>
  </w:footnote>
  <w:footnote w:id="3">
    <w:p w14:paraId="576214AC" w14:textId="77777777" w:rsidR="004D4859" w:rsidRDefault="004D4859" w:rsidP="004D4859">
      <w:pPr>
        <w:pStyle w:val="FootnoteText"/>
        <w:rPr>
          <w:lang w:val="en-GB"/>
        </w:rPr>
      </w:pPr>
      <w:r>
        <w:rPr>
          <w:rStyle w:val="FootnoteReference"/>
        </w:rPr>
        <w:footnoteRef/>
      </w:r>
      <w:r>
        <w:t xml:space="preserve"> </w:t>
      </w:r>
      <w:r>
        <w:rPr>
          <w:lang w:val="en-GB"/>
        </w:rPr>
        <w:t xml:space="preserve">See </w:t>
      </w:r>
      <w:hyperlink r:id="rId3" w:history="1">
        <w:r>
          <w:rPr>
            <w:rStyle w:val="Hyperlink"/>
            <w:lang w:val="en-GB"/>
          </w:rPr>
          <w:t>https://www.ramsar.org/document/resolution-xiv6-enhancing-conventions-visibility-and-synergies-other-multilateral</w:t>
        </w:r>
      </w:hyperlink>
      <w:r>
        <w:rPr>
          <w:lang w:val="en-GB"/>
        </w:rPr>
        <w:t>.</w:t>
      </w:r>
    </w:p>
  </w:footnote>
  <w:footnote w:id="4">
    <w:p w14:paraId="41F3CDB2" w14:textId="0CA82DA3" w:rsidR="006B7A04" w:rsidRPr="006660CC" w:rsidRDefault="006B7A04">
      <w:pPr>
        <w:pStyle w:val="FootnoteText"/>
        <w:rPr>
          <w:lang w:val="en-GB"/>
        </w:rPr>
      </w:pPr>
      <w:r>
        <w:rPr>
          <w:rStyle w:val="FootnoteReference"/>
        </w:rPr>
        <w:footnoteRef/>
      </w:r>
      <w:r>
        <w:t xml:space="preserve"> Zambia joined the Working Group following SC62.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093D"/>
    <w:multiLevelType w:val="hybridMultilevel"/>
    <w:tmpl w:val="3B56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25D9"/>
    <w:multiLevelType w:val="hybridMultilevel"/>
    <w:tmpl w:val="84A8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B111D"/>
    <w:multiLevelType w:val="hybridMultilevel"/>
    <w:tmpl w:val="68143E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BE20794"/>
    <w:multiLevelType w:val="hybridMultilevel"/>
    <w:tmpl w:val="DFB2434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15:restartNumberingAfterBreak="0">
    <w:nsid w:val="3C3C184C"/>
    <w:multiLevelType w:val="hybridMultilevel"/>
    <w:tmpl w:val="99DAEB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5" w15:restartNumberingAfterBreak="0">
    <w:nsid w:val="45B31647"/>
    <w:multiLevelType w:val="hybridMultilevel"/>
    <w:tmpl w:val="A38829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5C554FD"/>
    <w:multiLevelType w:val="hybridMultilevel"/>
    <w:tmpl w:val="84D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3214F"/>
    <w:multiLevelType w:val="hybridMultilevel"/>
    <w:tmpl w:val="C3B4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B4552"/>
    <w:multiLevelType w:val="hybridMultilevel"/>
    <w:tmpl w:val="92765BB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6C84DBE"/>
    <w:multiLevelType w:val="hybridMultilevel"/>
    <w:tmpl w:val="7C146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3944222"/>
    <w:multiLevelType w:val="hybridMultilevel"/>
    <w:tmpl w:val="B52C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A168A"/>
    <w:multiLevelType w:val="hybridMultilevel"/>
    <w:tmpl w:val="D3062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1E6904"/>
    <w:multiLevelType w:val="hybridMultilevel"/>
    <w:tmpl w:val="E700A178"/>
    <w:lvl w:ilvl="0" w:tplc="10C4875A">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6"/>
  </w:num>
  <w:num w:numId="5">
    <w:abstractNumId w:val="0"/>
  </w:num>
  <w:num w:numId="6">
    <w:abstractNumId w:val="9"/>
  </w:num>
  <w:num w:numId="7">
    <w:abstractNumId w:val="12"/>
  </w:num>
  <w:num w:numId="8">
    <w:abstractNumId w:val="1"/>
  </w:num>
  <w:num w:numId="9">
    <w:abstractNumId w:val="11"/>
  </w:num>
  <w:num w:numId="10">
    <w:abstractNumId w:val="4"/>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7C"/>
    <w:rsid w:val="000075D1"/>
    <w:rsid w:val="000241DA"/>
    <w:rsid w:val="000265CC"/>
    <w:rsid w:val="00027844"/>
    <w:rsid w:val="000315EA"/>
    <w:rsid w:val="00061F3D"/>
    <w:rsid w:val="000B6E26"/>
    <w:rsid w:val="000D2D5F"/>
    <w:rsid w:val="001113C4"/>
    <w:rsid w:val="001375FB"/>
    <w:rsid w:val="001441CC"/>
    <w:rsid w:val="0016017B"/>
    <w:rsid w:val="00171F09"/>
    <w:rsid w:val="00183244"/>
    <w:rsid w:val="001A2AE3"/>
    <w:rsid w:val="001A488F"/>
    <w:rsid w:val="001A48CA"/>
    <w:rsid w:val="001B55A5"/>
    <w:rsid w:val="001D313D"/>
    <w:rsid w:val="001D63B9"/>
    <w:rsid w:val="0020645A"/>
    <w:rsid w:val="00221FEB"/>
    <w:rsid w:val="00233E13"/>
    <w:rsid w:val="00240FF9"/>
    <w:rsid w:val="00271BA1"/>
    <w:rsid w:val="002B022E"/>
    <w:rsid w:val="002B76F3"/>
    <w:rsid w:val="002C0187"/>
    <w:rsid w:val="002C02FA"/>
    <w:rsid w:val="002D65F7"/>
    <w:rsid w:val="00327112"/>
    <w:rsid w:val="00333DC4"/>
    <w:rsid w:val="003849E6"/>
    <w:rsid w:val="003B53A0"/>
    <w:rsid w:val="003D0816"/>
    <w:rsid w:val="00473BD6"/>
    <w:rsid w:val="00475626"/>
    <w:rsid w:val="00475CEC"/>
    <w:rsid w:val="00493EA0"/>
    <w:rsid w:val="004D0E2A"/>
    <w:rsid w:val="004D4859"/>
    <w:rsid w:val="00512034"/>
    <w:rsid w:val="00532C48"/>
    <w:rsid w:val="00533D75"/>
    <w:rsid w:val="0053444C"/>
    <w:rsid w:val="005962DA"/>
    <w:rsid w:val="005E5549"/>
    <w:rsid w:val="005F2F06"/>
    <w:rsid w:val="00610564"/>
    <w:rsid w:val="006458D7"/>
    <w:rsid w:val="00654FA6"/>
    <w:rsid w:val="00657868"/>
    <w:rsid w:val="006660CC"/>
    <w:rsid w:val="00683C05"/>
    <w:rsid w:val="00692A08"/>
    <w:rsid w:val="00696345"/>
    <w:rsid w:val="006A0784"/>
    <w:rsid w:val="006B3676"/>
    <w:rsid w:val="006B7A04"/>
    <w:rsid w:val="006C6346"/>
    <w:rsid w:val="006D3ED7"/>
    <w:rsid w:val="006F2C99"/>
    <w:rsid w:val="0074335A"/>
    <w:rsid w:val="0078307C"/>
    <w:rsid w:val="007A7DA4"/>
    <w:rsid w:val="007C1872"/>
    <w:rsid w:val="007E7841"/>
    <w:rsid w:val="007E7CCE"/>
    <w:rsid w:val="007F4F92"/>
    <w:rsid w:val="00801995"/>
    <w:rsid w:val="00805389"/>
    <w:rsid w:val="0081126E"/>
    <w:rsid w:val="008311CC"/>
    <w:rsid w:val="00870B22"/>
    <w:rsid w:val="008A3DF7"/>
    <w:rsid w:val="008D012C"/>
    <w:rsid w:val="008D2881"/>
    <w:rsid w:val="009023D4"/>
    <w:rsid w:val="009143A9"/>
    <w:rsid w:val="009A7747"/>
    <w:rsid w:val="009D7C27"/>
    <w:rsid w:val="009E4CA8"/>
    <w:rsid w:val="009F38E3"/>
    <w:rsid w:val="00A179F6"/>
    <w:rsid w:val="00A921F0"/>
    <w:rsid w:val="00AA7AF5"/>
    <w:rsid w:val="00AB5E20"/>
    <w:rsid w:val="00AC7003"/>
    <w:rsid w:val="00AF2FB9"/>
    <w:rsid w:val="00B0495D"/>
    <w:rsid w:val="00B34EF3"/>
    <w:rsid w:val="00B5770B"/>
    <w:rsid w:val="00B641F6"/>
    <w:rsid w:val="00B846EA"/>
    <w:rsid w:val="00BA2303"/>
    <w:rsid w:val="00BA2541"/>
    <w:rsid w:val="00C64668"/>
    <w:rsid w:val="00C771AC"/>
    <w:rsid w:val="00C920DD"/>
    <w:rsid w:val="00CA3F48"/>
    <w:rsid w:val="00CB0ED3"/>
    <w:rsid w:val="00CB34CE"/>
    <w:rsid w:val="00CC21B9"/>
    <w:rsid w:val="00CF0E00"/>
    <w:rsid w:val="00CF5F2A"/>
    <w:rsid w:val="00D03D1A"/>
    <w:rsid w:val="00D21D70"/>
    <w:rsid w:val="00D501D4"/>
    <w:rsid w:val="00D70251"/>
    <w:rsid w:val="00D849BE"/>
    <w:rsid w:val="00DB30E7"/>
    <w:rsid w:val="00DB3842"/>
    <w:rsid w:val="00DC55F7"/>
    <w:rsid w:val="00DE58F2"/>
    <w:rsid w:val="00E50EF1"/>
    <w:rsid w:val="00E80E36"/>
    <w:rsid w:val="00E83D6D"/>
    <w:rsid w:val="00E96E18"/>
    <w:rsid w:val="00EA44DA"/>
    <w:rsid w:val="00EE2154"/>
    <w:rsid w:val="00EF78C4"/>
    <w:rsid w:val="00F16DA5"/>
    <w:rsid w:val="00F46C62"/>
    <w:rsid w:val="00FA2A54"/>
    <w:rsid w:val="00FB4E9F"/>
    <w:rsid w:val="00FF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0F44"/>
  <w15:chartTrackingRefBased/>
  <w15:docId w15:val="{C01CF538-8B3D-4E38-A797-DFF6AF49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Paragraphe de liste,List Paragraph12,MAIN CONTENT,List Paragraph2,List Paragraph1,Recommendation,List Paragraph11,F5 List Paragraph,List Paragraph Char Char Char,Indicator Text"/>
    <w:basedOn w:val="Normal"/>
    <w:link w:val="ListParagraphChar"/>
    <w:uiPriority w:val="34"/>
    <w:qFormat/>
    <w:rsid w:val="000241DA"/>
    <w:pPr>
      <w:ind w:left="720"/>
      <w:contextualSpacing/>
    </w:pPr>
  </w:style>
  <w:style w:type="character" w:styleId="CommentReference">
    <w:name w:val="annotation reference"/>
    <w:basedOn w:val="DefaultParagraphFont"/>
    <w:uiPriority w:val="99"/>
    <w:semiHidden/>
    <w:unhideWhenUsed/>
    <w:rsid w:val="001441CC"/>
    <w:rPr>
      <w:sz w:val="16"/>
      <w:szCs w:val="16"/>
    </w:rPr>
  </w:style>
  <w:style w:type="paragraph" w:styleId="CommentText">
    <w:name w:val="annotation text"/>
    <w:basedOn w:val="Normal"/>
    <w:link w:val="CommentTextChar"/>
    <w:uiPriority w:val="99"/>
    <w:unhideWhenUsed/>
    <w:rsid w:val="001441CC"/>
    <w:pPr>
      <w:spacing w:line="240" w:lineRule="auto"/>
    </w:pPr>
    <w:rPr>
      <w:sz w:val="20"/>
      <w:szCs w:val="20"/>
      <w:lang w:val="en-ZA"/>
    </w:rPr>
  </w:style>
  <w:style w:type="character" w:customStyle="1" w:styleId="CommentTextChar">
    <w:name w:val="Comment Text Char"/>
    <w:basedOn w:val="DefaultParagraphFont"/>
    <w:link w:val="CommentText"/>
    <w:uiPriority w:val="99"/>
    <w:rsid w:val="001441CC"/>
    <w:rPr>
      <w:sz w:val="20"/>
      <w:szCs w:val="20"/>
      <w:lang w:val="en-ZA"/>
    </w:rPr>
  </w:style>
  <w:style w:type="character" w:customStyle="1" w:styleId="ListParagraphChar">
    <w:name w:val="List Paragraph Char"/>
    <w:aliases w:val="Rec para Char,Dot pt Char,Párrafo de lista1 Char,Paragraphe de liste Char,List Paragraph12 Char,MAIN CONTENT Char,List Paragraph2 Char,List Paragraph1 Char,Recommendation Char,List Paragraph11 Char,F5 List Paragraph Char"/>
    <w:link w:val="ListParagraph"/>
    <w:uiPriority w:val="34"/>
    <w:qFormat/>
    <w:locked/>
    <w:rsid w:val="001441CC"/>
  </w:style>
  <w:style w:type="character" w:styleId="Hyperlink">
    <w:name w:val="Hyperlink"/>
    <w:basedOn w:val="DefaultParagraphFont"/>
    <w:uiPriority w:val="99"/>
    <w:semiHidden/>
    <w:unhideWhenUsed/>
    <w:rsid w:val="00027844"/>
    <w:rPr>
      <w:color w:val="0000FF"/>
      <w:u w:val="single"/>
    </w:rPr>
  </w:style>
  <w:style w:type="paragraph" w:styleId="NormalWeb">
    <w:name w:val="Normal (Web)"/>
    <w:basedOn w:val="Normal"/>
    <w:uiPriority w:val="99"/>
    <w:semiHidden/>
    <w:unhideWhenUsed/>
    <w:rsid w:val="00027844"/>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02784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027844"/>
    <w:rPr>
      <w:kern w:val="0"/>
      <w:sz w:val="20"/>
      <w:szCs w:val="20"/>
      <w:lang w:val="en-US"/>
      <w14:ligatures w14:val="none"/>
    </w:rPr>
  </w:style>
  <w:style w:type="paragraph" w:styleId="NoSpacing">
    <w:name w:val="No Spacing"/>
    <w:uiPriority w:val="1"/>
    <w:qFormat/>
    <w:rsid w:val="00027844"/>
    <w:pPr>
      <w:spacing w:after="0" w:line="240" w:lineRule="auto"/>
    </w:pPr>
    <w:rPr>
      <w:kern w:val="0"/>
      <w:lang w:val="en-US"/>
      <w14:ligatures w14:val="none"/>
    </w:rPr>
  </w:style>
  <w:style w:type="paragraph" w:customStyle="1" w:styleId="ColorfulList-Accent11">
    <w:name w:val="Colorful List - Accent 11"/>
    <w:basedOn w:val="Normal"/>
    <w:uiPriority w:val="34"/>
    <w:qFormat/>
    <w:rsid w:val="00027844"/>
    <w:pPr>
      <w:spacing w:after="0" w:line="240" w:lineRule="auto"/>
      <w:ind w:left="720" w:hanging="425"/>
      <w:contextualSpacing/>
    </w:pPr>
    <w:rPr>
      <w:rFonts w:ascii="Calibri" w:eastAsia="Calibri" w:hAnsi="Calibri" w:cs="Times New Roman"/>
      <w:kern w:val="0"/>
      <w14:ligatures w14:val="none"/>
    </w:rPr>
  </w:style>
  <w:style w:type="character" w:styleId="FootnoteReference">
    <w:name w:val="footnote reference"/>
    <w:basedOn w:val="DefaultParagraphFont"/>
    <w:uiPriority w:val="99"/>
    <w:semiHidden/>
    <w:unhideWhenUsed/>
    <w:rsid w:val="00027844"/>
    <w:rPr>
      <w:vertAlign w:val="superscript"/>
    </w:rPr>
  </w:style>
  <w:style w:type="paragraph" w:customStyle="1" w:styleId="Default">
    <w:name w:val="Default"/>
    <w:rsid w:val="00AA7AF5"/>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Revision">
    <w:name w:val="Revision"/>
    <w:hidden/>
    <w:uiPriority w:val="99"/>
    <w:semiHidden/>
    <w:rsid w:val="00C920DD"/>
    <w:pPr>
      <w:spacing w:after="0" w:line="240" w:lineRule="auto"/>
    </w:pPr>
  </w:style>
  <w:style w:type="table" w:styleId="TableGrid">
    <w:name w:val="Table Grid"/>
    <w:basedOn w:val="TableNormal"/>
    <w:uiPriority w:val="39"/>
    <w:rsid w:val="00BA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5D1"/>
  </w:style>
  <w:style w:type="paragraph" w:styleId="Footer">
    <w:name w:val="footer"/>
    <w:basedOn w:val="Normal"/>
    <w:link w:val="FooterChar"/>
    <w:uiPriority w:val="99"/>
    <w:unhideWhenUsed/>
    <w:rsid w:val="00007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5D1"/>
  </w:style>
  <w:style w:type="paragraph" w:styleId="BalloonText">
    <w:name w:val="Balloon Text"/>
    <w:basedOn w:val="Normal"/>
    <w:link w:val="BalloonTextChar"/>
    <w:uiPriority w:val="99"/>
    <w:semiHidden/>
    <w:unhideWhenUsed/>
    <w:rsid w:val="006B7A04"/>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6B7A04"/>
    <w:rPr>
      <w:rFonts w:ascii="MS Shell Dlg" w:hAnsi="MS Shell Dlg" w:cs="MS Shell Dl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9815">
      <w:bodyDiv w:val="1"/>
      <w:marLeft w:val="0"/>
      <w:marRight w:val="0"/>
      <w:marTop w:val="0"/>
      <w:marBottom w:val="0"/>
      <w:divBdr>
        <w:top w:val="none" w:sz="0" w:space="0" w:color="auto"/>
        <w:left w:val="none" w:sz="0" w:space="0" w:color="auto"/>
        <w:bottom w:val="none" w:sz="0" w:space="0" w:color="auto"/>
        <w:right w:val="none" w:sz="0" w:space="0" w:color="auto"/>
      </w:divBdr>
    </w:div>
    <w:div w:id="520169338">
      <w:bodyDiv w:val="1"/>
      <w:marLeft w:val="0"/>
      <w:marRight w:val="0"/>
      <w:marTop w:val="0"/>
      <w:marBottom w:val="0"/>
      <w:divBdr>
        <w:top w:val="none" w:sz="0" w:space="0" w:color="auto"/>
        <w:left w:val="none" w:sz="0" w:space="0" w:color="auto"/>
        <w:bottom w:val="none" w:sz="0" w:space="0" w:color="auto"/>
        <w:right w:val="none" w:sz="0" w:space="0" w:color="auto"/>
      </w:divBdr>
    </w:div>
    <w:div w:id="523129374">
      <w:bodyDiv w:val="1"/>
      <w:marLeft w:val="0"/>
      <w:marRight w:val="0"/>
      <w:marTop w:val="0"/>
      <w:marBottom w:val="0"/>
      <w:divBdr>
        <w:top w:val="none" w:sz="0" w:space="0" w:color="auto"/>
        <w:left w:val="none" w:sz="0" w:space="0" w:color="auto"/>
        <w:bottom w:val="none" w:sz="0" w:space="0" w:color="auto"/>
        <w:right w:val="none" w:sz="0" w:space="0" w:color="auto"/>
      </w:divBdr>
    </w:div>
    <w:div w:id="683484172">
      <w:bodyDiv w:val="1"/>
      <w:marLeft w:val="0"/>
      <w:marRight w:val="0"/>
      <w:marTop w:val="0"/>
      <w:marBottom w:val="0"/>
      <w:divBdr>
        <w:top w:val="none" w:sz="0" w:space="0" w:color="auto"/>
        <w:left w:val="none" w:sz="0" w:space="0" w:color="auto"/>
        <w:bottom w:val="none" w:sz="0" w:space="0" w:color="auto"/>
        <w:right w:val="none" w:sz="0" w:space="0" w:color="auto"/>
      </w:divBdr>
    </w:div>
    <w:div w:id="757168776">
      <w:bodyDiv w:val="1"/>
      <w:marLeft w:val="0"/>
      <w:marRight w:val="0"/>
      <w:marTop w:val="0"/>
      <w:marBottom w:val="0"/>
      <w:divBdr>
        <w:top w:val="none" w:sz="0" w:space="0" w:color="auto"/>
        <w:left w:val="none" w:sz="0" w:space="0" w:color="auto"/>
        <w:bottom w:val="none" w:sz="0" w:space="0" w:color="auto"/>
        <w:right w:val="none" w:sz="0" w:space="0" w:color="auto"/>
      </w:divBdr>
    </w:div>
    <w:div w:id="1184632943">
      <w:bodyDiv w:val="1"/>
      <w:marLeft w:val="0"/>
      <w:marRight w:val="0"/>
      <w:marTop w:val="0"/>
      <w:marBottom w:val="0"/>
      <w:divBdr>
        <w:top w:val="none" w:sz="0" w:space="0" w:color="auto"/>
        <w:left w:val="none" w:sz="0" w:space="0" w:color="auto"/>
        <w:bottom w:val="none" w:sz="0" w:space="0" w:color="auto"/>
        <w:right w:val="none" w:sz="0" w:space="0" w:color="auto"/>
      </w:divBdr>
    </w:div>
    <w:div w:id="133557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resolution-xiv6-enhancing-conventions-visibility-and-synergies-other-multilateral" TargetMode="External"/><Relationship Id="rId2" Type="http://schemas.openxmlformats.org/officeDocument/2006/relationships/hyperlink" Target="https://www.ramsar.org/document/financial-analysis-legal-status-ramsar-secretariat" TargetMode="External"/><Relationship Id="rId1" Type="http://schemas.openxmlformats.org/officeDocument/2006/relationships/hyperlink" Target="https://www.ramsar.org/document/independent-analysis-legal-status-secretariat-convention-wetlands-ramsar-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03178-2C15-4EBB-B31D-E093DE71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2024-01-30T14:08:00Z</dcterms:created>
  <dcterms:modified xsi:type="dcterms:W3CDTF">2024-01-30T14:08:00Z</dcterms:modified>
</cp:coreProperties>
</file>