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F4B36" w14:textId="3B92DAE7" w:rsidR="00591472" w:rsidRDefault="00591472" w:rsidP="0059147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THE CONVENTION ON WETLANDS</w:t>
      </w:r>
    </w:p>
    <w:p w14:paraId="63652C1C" w14:textId="71187C57" w:rsidR="00591472" w:rsidRDefault="003E07B1" w:rsidP="0059147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</w:pPr>
      <w:r>
        <w:t>62nd</w:t>
      </w:r>
      <w:r w:rsidR="00792BD0">
        <w:t xml:space="preserve"> m</w:t>
      </w:r>
      <w:r w:rsidR="00591472">
        <w:t>eeting of the Standing Committee</w:t>
      </w:r>
    </w:p>
    <w:p w14:paraId="0964FC15" w14:textId="38903DA6" w:rsidR="00591472" w:rsidRDefault="00591472" w:rsidP="0059147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cstheme="minorHAnsi"/>
          <w:bCs/>
          <w:szCs w:val="20"/>
        </w:rPr>
      </w:pPr>
      <w:r>
        <w:t xml:space="preserve">Gland, Switzerland, </w:t>
      </w:r>
      <w:r w:rsidR="003E07B1">
        <w:t>4-8 September 2023</w:t>
      </w:r>
    </w:p>
    <w:p w14:paraId="02276A21" w14:textId="77777777" w:rsidR="00591472" w:rsidRDefault="00591472" w:rsidP="00591472">
      <w:pPr>
        <w:rPr>
          <w:rFonts w:cstheme="minorBidi"/>
          <w:sz w:val="28"/>
        </w:rPr>
      </w:pPr>
    </w:p>
    <w:p w14:paraId="3D1F25D1" w14:textId="012C2766" w:rsidR="00591472" w:rsidRDefault="00591472" w:rsidP="00591472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</w:t>
      </w:r>
      <w:r w:rsidR="003E07B1">
        <w:rPr>
          <w:rFonts w:cstheme="minorHAnsi"/>
          <w:b/>
          <w:sz w:val="28"/>
          <w:szCs w:val="28"/>
        </w:rPr>
        <w:t>62</w:t>
      </w:r>
      <w:r w:rsidR="00792BD0">
        <w:rPr>
          <w:rFonts w:cstheme="minorHAnsi"/>
          <w:b/>
          <w:sz w:val="28"/>
          <w:szCs w:val="28"/>
        </w:rPr>
        <w:t xml:space="preserve"> </w:t>
      </w:r>
      <w:r w:rsidRPr="00792BD0">
        <w:rPr>
          <w:rFonts w:cstheme="minorHAnsi"/>
          <w:b/>
          <w:sz w:val="28"/>
          <w:szCs w:val="28"/>
        </w:rPr>
        <w:t>Com.</w:t>
      </w:r>
      <w:r w:rsidR="00792BD0" w:rsidRPr="00792BD0">
        <w:rPr>
          <w:rFonts w:cstheme="minorHAnsi"/>
          <w:b/>
          <w:sz w:val="28"/>
          <w:szCs w:val="28"/>
        </w:rPr>
        <w:t>1</w:t>
      </w:r>
    </w:p>
    <w:p w14:paraId="6784BAC5" w14:textId="77777777" w:rsidR="00591472" w:rsidRDefault="00591472" w:rsidP="00711D36">
      <w:pPr>
        <w:widowControl/>
        <w:rPr>
          <w:rFonts w:asciiTheme="minorHAnsi" w:hAnsiTheme="minorHAnsi" w:cstheme="minorHAnsi"/>
          <w:b/>
          <w:sz w:val="28"/>
          <w:szCs w:val="28"/>
        </w:rPr>
      </w:pPr>
    </w:p>
    <w:p w14:paraId="7E6EC8DC" w14:textId="74A91136" w:rsidR="005E3F07" w:rsidRPr="00641B45" w:rsidRDefault="000F77DA" w:rsidP="00591472">
      <w:pPr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Report </w:t>
      </w:r>
      <w:r w:rsidR="008E1AA5" w:rsidRPr="00641B45">
        <w:rPr>
          <w:rFonts w:asciiTheme="minorHAnsi" w:hAnsiTheme="minorHAnsi" w:cstheme="minorHAnsi"/>
          <w:b/>
          <w:sz w:val="28"/>
          <w:szCs w:val="28"/>
        </w:rPr>
        <w:t xml:space="preserve">of the Subgroup on Finance, </w:t>
      </w:r>
      <w:r w:rsidR="003E07B1">
        <w:rPr>
          <w:rFonts w:asciiTheme="minorHAnsi" w:hAnsiTheme="minorHAnsi" w:cstheme="minorHAnsi"/>
          <w:b/>
          <w:sz w:val="28"/>
          <w:szCs w:val="28"/>
        </w:rPr>
        <w:t>4 September</w:t>
      </w:r>
      <w:r w:rsidR="008E1AA5" w:rsidRPr="00641B45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3E07B1">
        <w:rPr>
          <w:rFonts w:asciiTheme="minorHAnsi" w:hAnsiTheme="minorHAnsi" w:cstheme="minorHAnsi"/>
          <w:b/>
          <w:sz w:val="28"/>
          <w:szCs w:val="28"/>
        </w:rPr>
        <w:t>3</w:t>
      </w:r>
    </w:p>
    <w:p w14:paraId="1227D19A" w14:textId="6CC09262" w:rsidR="008E1AA5" w:rsidRDefault="008E1AA5" w:rsidP="00711D36">
      <w:pPr>
        <w:pStyle w:val="BodyText"/>
        <w:widowControl/>
        <w:rPr>
          <w:rFonts w:asciiTheme="minorHAnsi" w:hAnsiTheme="minorHAnsi" w:cstheme="minorHAnsi"/>
          <w:b/>
        </w:rPr>
      </w:pPr>
    </w:p>
    <w:p w14:paraId="32BCB0D0" w14:textId="77777777" w:rsidR="00591472" w:rsidRPr="00641B45" w:rsidRDefault="00591472" w:rsidP="00711D36">
      <w:pPr>
        <w:pStyle w:val="BodyText"/>
        <w:widowControl/>
        <w:rPr>
          <w:rFonts w:asciiTheme="minorHAnsi" w:hAnsiTheme="minorHAnsi" w:cstheme="minorHAnsi"/>
          <w:b/>
        </w:rPr>
      </w:pPr>
    </w:p>
    <w:p w14:paraId="7935E27F" w14:textId="0CC2607E" w:rsidR="009F5EF8" w:rsidRPr="00A24BE1" w:rsidRDefault="009F5EF8" w:rsidP="00711D36">
      <w:pPr>
        <w:rPr>
          <w:i/>
        </w:rPr>
      </w:pPr>
      <w:r w:rsidRPr="00A24BE1">
        <w:rPr>
          <w:i/>
        </w:rPr>
        <w:t xml:space="preserve">This Report includes the recommendations for the </w:t>
      </w:r>
      <w:r w:rsidR="00642406" w:rsidRPr="00A24BE1">
        <w:rPr>
          <w:i/>
        </w:rPr>
        <w:t xml:space="preserve">consideration of the </w:t>
      </w:r>
      <w:r w:rsidRPr="00A24BE1">
        <w:rPr>
          <w:i/>
        </w:rPr>
        <w:t xml:space="preserve">Standing Committee made during the meeting of the Subgroup on Finance on </w:t>
      </w:r>
      <w:r w:rsidR="003E07B1">
        <w:rPr>
          <w:i/>
        </w:rPr>
        <w:t>4 September</w:t>
      </w:r>
      <w:r w:rsidRPr="00A24BE1">
        <w:rPr>
          <w:i/>
        </w:rPr>
        <w:t xml:space="preserve"> 202</w:t>
      </w:r>
      <w:r w:rsidR="003E07B1">
        <w:rPr>
          <w:i/>
        </w:rPr>
        <w:t>3</w:t>
      </w:r>
      <w:r w:rsidR="000F77DA" w:rsidRPr="00A24BE1">
        <w:rPr>
          <w:i/>
        </w:rPr>
        <w:t>.</w:t>
      </w:r>
      <w:r w:rsidR="00BD6489">
        <w:rPr>
          <w:i/>
        </w:rPr>
        <w:t xml:space="preserve"> </w:t>
      </w:r>
    </w:p>
    <w:p w14:paraId="1F111673" w14:textId="4BAEC739" w:rsidR="0002451C" w:rsidRDefault="0002451C" w:rsidP="00711D36">
      <w:pPr>
        <w:widowControl/>
        <w:tabs>
          <w:tab w:val="left" w:pos="960"/>
        </w:tabs>
        <w:rPr>
          <w:rFonts w:asciiTheme="minorHAnsi" w:hAnsiTheme="minorHAnsi" w:cstheme="minorHAnsi"/>
        </w:rPr>
      </w:pPr>
    </w:p>
    <w:p w14:paraId="683E2046" w14:textId="77777777" w:rsidR="00B60E9F" w:rsidRPr="009E3B46" w:rsidRDefault="00B60E9F" w:rsidP="00B60E9F">
      <w:pPr>
        <w:widowControl/>
        <w:rPr>
          <w:rFonts w:asciiTheme="minorHAnsi" w:hAnsiTheme="minorHAnsi" w:cstheme="minorHAnsi"/>
        </w:rPr>
      </w:pPr>
      <w:r w:rsidRPr="00641B45">
        <w:rPr>
          <w:rFonts w:asciiTheme="minorHAnsi" w:hAnsiTheme="minorHAnsi" w:cstheme="minorHAnsi"/>
        </w:rPr>
        <w:t xml:space="preserve">The Chair opened the meeting and asked the Subgroup to refer to the actions requested in documents on financial and budgetary matters, noting that </w:t>
      </w:r>
      <w:r>
        <w:rPr>
          <w:rFonts w:asciiTheme="minorHAnsi" w:hAnsiTheme="minorHAnsi" w:cstheme="minorHAnsi"/>
        </w:rPr>
        <w:t xml:space="preserve">the </w:t>
      </w:r>
      <w:r w:rsidRPr="00641B45">
        <w:rPr>
          <w:rFonts w:asciiTheme="minorHAnsi" w:hAnsiTheme="minorHAnsi" w:cstheme="minorHAnsi"/>
        </w:rPr>
        <w:t>discussions</w:t>
      </w:r>
      <w:r>
        <w:rPr>
          <w:rFonts w:asciiTheme="minorHAnsi" w:hAnsiTheme="minorHAnsi" w:cstheme="minorHAnsi"/>
        </w:rPr>
        <w:t xml:space="preserve"> related to the report on financial matters for 2022 and 2023 would be considered after those on the annual contributions.</w:t>
      </w:r>
    </w:p>
    <w:p w14:paraId="1FFF2C9C" w14:textId="77777777" w:rsidR="001A64EB" w:rsidRDefault="001A64EB" w:rsidP="00B60E9F">
      <w:pPr>
        <w:widowControl/>
        <w:tabs>
          <w:tab w:val="left" w:pos="960"/>
        </w:tabs>
        <w:rPr>
          <w:rFonts w:asciiTheme="minorHAnsi" w:hAnsiTheme="minorHAnsi" w:cstheme="minorHAnsi"/>
        </w:rPr>
      </w:pPr>
    </w:p>
    <w:p w14:paraId="35EFDE8A" w14:textId="77777777" w:rsidR="00642406" w:rsidRDefault="00642406" w:rsidP="00711D36"/>
    <w:p w14:paraId="05590A90" w14:textId="72AAE4F4" w:rsidR="00356EEC" w:rsidRPr="00711D36" w:rsidRDefault="00711D36" w:rsidP="008F6EDE">
      <w:pPr>
        <w:widowControl/>
        <w:autoSpaceDE/>
        <w:autoSpaceDN/>
        <w:ind w:left="426" w:hanging="426"/>
        <w:rPr>
          <w:rFonts w:asciiTheme="minorHAnsi" w:hAnsiTheme="minorHAnsi" w:cstheme="minorHAnsi"/>
          <w:b/>
        </w:rPr>
      </w:pPr>
      <w:r w:rsidRPr="008F6EDE">
        <w:rPr>
          <w:rFonts w:asciiTheme="minorHAnsi" w:hAnsiTheme="minorHAnsi" w:cstheme="minorHAnsi"/>
          <w:b/>
        </w:rPr>
        <w:t>1.</w:t>
      </w:r>
      <w:r w:rsidRPr="008F6EDE">
        <w:rPr>
          <w:rFonts w:asciiTheme="minorHAnsi" w:hAnsiTheme="minorHAnsi" w:cstheme="minorHAnsi"/>
          <w:b/>
        </w:rPr>
        <w:tab/>
      </w:r>
      <w:r w:rsidR="00356EEC" w:rsidRPr="00711D36">
        <w:rPr>
          <w:rFonts w:asciiTheme="minorHAnsi" w:hAnsiTheme="minorHAnsi" w:cstheme="minorHAnsi"/>
          <w:b/>
        </w:rPr>
        <w:t>Status of annual contributions</w:t>
      </w:r>
    </w:p>
    <w:p w14:paraId="70C48F73" w14:textId="77777777" w:rsidR="00356EEC" w:rsidRPr="00BE1A1D" w:rsidRDefault="00356EEC" w:rsidP="00711D36">
      <w:pPr>
        <w:widowControl/>
        <w:ind w:left="426" w:hanging="426"/>
        <w:rPr>
          <w:rFonts w:asciiTheme="minorHAnsi" w:hAnsiTheme="minorHAnsi" w:cstheme="minorHAnsi"/>
        </w:rPr>
      </w:pPr>
    </w:p>
    <w:p w14:paraId="1EF5E777" w14:textId="31DC0695" w:rsidR="005E2AB1" w:rsidRPr="008949B3" w:rsidRDefault="005E2AB1" w:rsidP="005E2AB1">
      <w:pPr>
        <w:widowControl/>
      </w:pPr>
      <w:r w:rsidRPr="00641B45">
        <w:rPr>
          <w:rFonts w:asciiTheme="minorHAnsi" w:hAnsiTheme="minorHAnsi" w:cstheme="minorHAnsi"/>
        </w:rPr>
        <w:t>The Secretar</w:t>
      </w:r>
      <w:r>
        <w:rPr>
          <w:rFonts w:asciiTheme="minorHAnsi" w:hAnsiTheme="minorHAnsi" w:cstheme="minorHAnsi"/>
        </w:rPr>
        <w:t>iat</w:t>
      </w:r>
      <w:r w:rsidRPr="00641B45">
        <w:rPr>
          <w:rFonts w:asciiTheme="minorHAnsi" w:hAnsiTheme="minorHAnsi" w:cstheme="minorHAnsi"/>
        </w:rPr>
        <w:t xml:space="preserve"> briefly summarized </w:t>
      </w:r>
      <w:r w:rsidR="0061300A" w:rsidRPr="007C05B5">
        <w:rPr>
          <w:rFonts w:asciiTheme="minorHAnsi" w:hAnsiTheme="minorHAnsi" w:cstheme="minorHAnsi"/>
        </w:rPr>
        <w:t>document SC62 Doc.8.2</w:t>
      </w:r>
      <w:r w:rsidRPr="00641B4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presenting the status of </w:t>
      </w:r>
      <w:r w:rsidR="008949B3">
        <w:rPr>
          <w:rFonts w:asciiTheme="minorHAnsi" w:hAnsiTheme="minorHAnsi" w:cstheme="minorHAnsi"/>
        </w:rPr>
        <w:t xml:space="preserve">annual </w:t>
      </w:r>
      <w:r>
        <w:rPr>
          <w:rFonts w:asciiTheme="minorHAnsi" w:hAnsiTheme="minorHAnsi" w:cstheme="minorHAnsi"/>
        </w:rPr>
        <w:t>contributions as of 31 December 2022</w:t>
      </w:r>
      <w:r w:rsidR="00BA54B9">
        <w:rPr>
          <w:rFonts w:asciiTheme="minorHAnsi" w:hAnsiTheme="minorHAnsi" w:cstheme="minorHAnsi"/>
        </w:rPr>
        <w:t xml:space="preserve">, and noting </w:t>
      </w:r>
      <w:r w:rsidR="008949B3">
        <w:rPr>
          <w:rFonts w:asciiTheme="minorHAnsi" w:hAnsiTheme="minorHAnsi" w:cstheme="minorHAnsi"/>
        </w:rPr>
        <w:t xml:space="preserve">the </w:t>
      </w:r>
      <w:r w:rsidR="002A573F">
        <w:rPr>
          <w:rFonts w:asciiTheme="minorHAnsi" w:hAnsiTheme="minorHAnsi" w:cstheme="minorHAnsi"/>
        </w:rPr>
        <w:t>increase</w:t>
      </w:r>
      <w:r w:rsidR="00BA54B9">
        <w:rPr>
          <w:rFonts w:asciiTheme="minorHAnsi" w:hAnsiTheme="minorHAnsi" w:cstheme="minorHAnsi"/>
        </w:rPr>
        <w:t>s</w:t>
      </w:r>
      <w:r w:rsidR="002A573F">
        <w:rPr>
          <w:rFonts w:asciiTheme="minorHAnsi" w:hAnsiTheme="minorHAnsi" w:cstheme="minorHAnsi"/>
        </w:rPr>
        <w:t xml:space="preserve"> </w:t>
      </w:r>
      <w:r w:rsidR="00BA54B9">
        <w:rPr>
          <w:rFonts w:asciiTheme="minorHAnsi" w:hAnsiTheme="minorHAnsi" w:cstheme="minorHAnsi"/>
        </w:rPr>
        <w:t>in</w:t>
      </w:r>
      <w:r w:rsidR="002A573F">
        <w:rPr>
          <w:rFonts w:asciiTheme="minorHAnsi" w:hAnsiTheme="minorHAnsi" w:cstheme="minorHAnsi"/>
        </w:rPr>
        <w:t xml:space="preserve"> the </w:t>
      </w:r>
      <w:r w:rsidR="008949B3">
        <w:rPr>
          <w:rFonts w:asciiTheme="minorHAnsi" w:hAnsiTheme="minorHAnsi" w:cstheme="minorHAnsi"/>
        </w:rPr>
        <w:t xml:space="preserve">annual contributions receivable </w:t>
      </w:r>
      <w:r w:rsidR="001A64EB">
        <w:rPr>
          <w:rFonts w:asciiTheme="minorHAnsi" w:hAnsiTheme="minorHAnsi" w:cstheme="minorHAnsi"/>
        </w:rPr>
        <w:t xml:space="preserve">at that date </w:t>
      </w:r>
      <w:r w:rsidR="008949B3">
        <w:rPr>
          <w:rFonts w:asciiTheme="minorHAnsi" w:hAnsiTheme="minorHAnsi" w:cstheme="minorHAnsi"/>
        </w:rPr>
        <w:t xml:space="preserve">and </w:t>
      </w:r>
      <w:r w:rsidR="002A573F">
        <w:rPr>
          <w:rFonts w:asciiTheme="minorHAnsi" w:hAnsiTheme="minorHAnsi" w:cstheme="minorHAnsi"/>
        </w:rPr>
        <w:t>in</w:t>
      </w:r>
      <w:r w:rsidR="008949B3">
        <w:rPr>
          <w:rFonts w:asciiTheme="minorHAnsi" w:hAnsiTheme="minorHAnsi" w:cstheme="minorHAnsi"/>
        </w:rPr>
        <w:t xml:space="preserve"> the provision against </w:t>
      </w:r>
      <w:r w:rsidR="008949B3" w:rsidRPr="008949B3">
        <w:rPr>
          <w:rFonts w:asciiTheme="minorHAnsi" w:hAnsiTheme="minorHAnsi" w:cstheme="minorHAnsi"/>
        </w:rPr>
        <w:t xml:space="preserve">contributions </w:t>
      </w:r>
      <w:r w:rsidR="002A573F">
        <w:rPr>
          <w:rFonts w:asciiTheme="minorHAnsi" w:hAnsiTheme="minorHAnsi" w:cstheme="minorHAnsi"/>
        </w:rPr>
        <w:t>not received</w:t>
      </w:r>
      <w:r w:rsidR="00BA54B9">
        <w:rPr>
          <w:rFonts w:asciiTheme="minorHAnsi" w:hAnsiTheme="minorHAnsi" w:cstheme="minorHAnsi"/>
        </w:rPr>
        <w:t>. It listed</w:t>
      </w:r>
      <w:r w:rsidR="001A64EB">
        <w:rPr>
          <w:rFonts w:asciiTheme="minorHAnsi" w:hAnsiTheme="minorHAnsi" w:cstheme="minorHAnsi"/>
        </w:rPr>
        <w:t>:</w:t>
      </w:r>
      <w:r w:rsidR="00B60E9F" w:rsidRPr="008949B3">
        <w:rPr>
          <w:rFonts w:asciiTheme="minorHAnsi" w:hAnsiTheme="minorHAnsi" w:cstheme="minorHAnsi"/>
        </w:rPr>
        <w:t xml:space="preserve"> </w:t>
      </w:r>
      <w:r w:rsidR="008949B3" w:rsidRPr="008949B3">
        <w:rPr>
          <w:rFonts w:asciiTheme="minorHAnsi" w:hAnsiTheme="minorHAnsi" w:cstheme="minorHAnsi"/>
        </w:rPr>
        <w:t xml:space="preserve">actions </w:t>
      </w:r>
      <w:r w:rsidR="00BA54B9">
        <w:rPr>
          <w:rFonts w:asciiTheme="minorHAnsi" w:hAnsiTheme="minorHAnsi" w:cstheme="minorHAnsi"/>
        </w:rPr>
        <w:t xml:space="preserve">taken </w:t>
      </w:r>
      <w:r w:rsidR="008949B3" w:rsidRPr="008949B3">
        <w:rPr>
          <w:rFonts w:asciiTheme="minorHAnsi" w:hAnsiTheme="minorHAnsi" w:cstheme="minorHAnsi"/>
        </w:rPr>
        <w:t xml:space="preserve">on group confirmation of outstanding contributions as part of the audit process; actions to continue encouraging the payment of annual contributions; and </w:t>
      </w:r>
      <w:r w:rsidRPr="008949B3">
        <w:rPr>
          <w:rFonts w:asciiTheme="minorHAnsi" w:hAnsiTheme="minorHAnsi" w:cstheme="minorHAnsi"/>
        </w:rPr>
        <w:t xml:space="preserve">the </w:t>
      </w:r>
      <w:r w:rsidR="008949B3" w:rsidRPr="008949B3">
        <w:rPr>
          <w:rFonts w:asciiTheme="minorHAnsi" w:hAnsiTheme="minorHAnsi" w:cstheme="minorHAnsi"/>
        </w:rPr>
        <w:t>status</w:t>
      </w:r>
      <w:r w:rsidRPr="008949B3">
        <w:rPr>
          <w:rFonts w:asciiTheme="minorHAnsi" w:hAnsiTheme="minorHAnsi" w:cstheme="minorHAnsi"/>
        </w:rPr>
        <w:t xml:space="preserve"> of </w:t>
      </w:r>
      <w:r w:rsidR="008949B3" w:rsidRPr="008949B3">
        <w:rPr>
          <w:rFonts w:asciiTheme="minorHAnsi" w:hAnsiTheme="minorHAnsi" w:cstheme="minorHAnsi"/>
        </w:rPr>
        <w:t xml:space="preserve">the </w:t>
      </w:r>
      <w:r w:rsidRPr="008949B3">
        <w:rPr>
          <w:rFonts w:asciiTheme="minorHAnsi" w:hAnsiTheme="minorHAnsi" w:cstheme="minorHAnsi"/>
        </w:rPr>
        <w:t>African voluntary contributions</w:t>
      </w:r>
      <w:r w:rsidR="002A573F">
        <w:rPr>
          <w:rFonts w:asciiTheme="minorHAnsi" w:hAnsiTheme="minorHAnsi" w:cstheme="minorHAnsi"/>
        </w:rPr>
        <w:t>.</w:t>
      </w:r>
      <w:r w:rsidR="002A573F" w:rsidRPr="008949B3">
        <w:rPr>
          <w:rFonts w:asciiTheme="minorHAnsi" w:hAnsiTheme="minorHAnsi" w:cstheme="minorHAnsi"/>
        </w:rPr>
        <w:t xml:space="preserve"> </w:t>
      </w:r>
    </w:p>
    <w:p w14:paraId="5276DBAE" w14:textId="77777777" w:rsidR="002B56FE" w:rsidRPr="008949B3" w:rsidRDefault="002B56FE" w:rsidP="00711D36">
      <w:pPr>
        <w:widowControl/>
        <w:rPr>
          <w:rFonts w:asciiTheme="minorHAnsi" w:hAnsiTheme="minorHAnsi" w:cstheme="minorHAnsi"/>
        </w:rPr>
      </w:pPr>
    </w:p>
    <w:p w14:paraId="16ED0A09" w14:textId="2509396F" w:rsidR="002B56FE" w:rsidRDefault="002B56FE" w:rsidP="00711D36">
      <w:pPr>
        <w:widowControl/>
        <w:rPr>
          <w:rFonts w:asciiTheme="minorHAnsi" w:hAnsiTheme="minorHAnsi" w:cstheme="minorHAnsi"/>
        </w:rPr>
      </w:pPr>
      <w:r w:rsidRPr="008949B3">
        <w:rPr>
          <w:rFonts w:asciiTheme="minorHAnsi" w:hAnsiTheme="minorHAnsi" w:cstheme="minorHAnsi"/>
        </w:rPr>
        <w:t xml:space="preserve">The </w:t>
      </w:r>
      <w:r w:rsidR="001959BA" w:rsidRPr="008949B3">
        <w:rPr>
          <w:rFonts w:asciiTheme="minorHAnsi" w:hAnsiTheme="minorHAnsi" w:cstheme="minorHAnsi"/>
        </w:rPr>
        <w:t>Chair noted</w:t>
      </w:r>
      <w:r w:rsidR="008949B3" w:rsidRPr="008949B3">
        <w:rPr>
          <w:rFonts w:asciiTheme="minorHAnsi" w:hAnsiTheme="minorHAnsi" w:cstheme="minorHAnsi"/>
        </w:rPr>
        <w:t xml:space="preserve"> that</w:t>
      </w:r>
      <w:r w:rsidR="001959BA" w:rsidRPr="008949B3">
        <w:rPr>
          <w:rFonts w:asciiTheme="minorHAnsi" w:hAnsiTheme="minorHAnsi" w:cstheme="minorHAnsi"/>
        </w:rPr>
        <w:t xml:space="preserve"> Subgroup members had no additional comments. The </w:t>
      </w:r>
      <w:r w:rsidR="00BE7DB2">
        <w:rPr>
          <w:rFonts w:asciiTheme="minorHAnsi" w:hAnsiTheme="minorHAnsi" w:cstheme="minorHAnsi"/>
        </w:rPr>
        <w:t>Sub</w:t>
      </w:r>
      <w:r w:rsidR="001959BA" w:rsidRPr="008949B3">
        <w:rPr>
          <w:rFonts w:asciiTheme="minorHAnsi" w:hAnsiTheme="minorHAnsi" w:cstheme="minorHAnsi"/>
        </w:rPr>
        <w:t>group approved the recommendations for decisions by the Standing Committee.</w:t>
      </w:r>
    </w:p>
    <w:p w14:paraId="11A4C452" w14:textId="34F0A3B6" w:rsidR="002B56FE" w:rsidRDefault="002B56FE" w:rsidP="00711D36">
      <w:pPr>
        <w:widowControl/>
        <w:rPr>
          <w:rFonts w:asciiTheme="minorHAnsi" w:hAnsiTheme="minorHAnsi" w:cstheme="minorHAnsi"/>
        </w:rPr>
      </w:pPr>
    </w:p>
    <w:p w14:paraId="25BD72B1" w14:textId="137F756A" w:rsidR="00356EEC" w:rsidRPr="001A64EB" w:rsidRDefault="00356EEC" w:rsidP="00711D36">
      <w:pPr>
        <w:widowControl/>
        <w:rPr>
          <w:rFonts w:asciiTheme="minorHAnsi" w:hAnsiTheme="minorHAnsi" w:cstheme="minorHAnsi"/>
          <w:i/>
          <w:iCs/>
          <w:lang w:eastAsia="ja-JP"/>
        </w:rPr>
      </w:pPr>
      <w:r w:rsidRPr="001A64EB">
        <w:rPr>
          <w:rFonts w:asciiTheme="minorHAnsi" w:hAnsiTheme="minorHAnsi" w:cstheme="minorHAnsi"/>
          <w:i/>
        </w:rPr>
        <w:t>Recommendation</w:t>
      </w:r>
      <w:r w:rsidRPr="001A64EB">
        <w:rPr>
          <w:rFonts w:asciiTheme="minorHAnsi" w:hAnsiTheme="minorHAnsi" w:cstheme="minorHAnsi"/>
          <w:i/>
          <w:iCs/>
          <w:lang w:eastAsia="ja-JP"/>
        </w:rPr>
        <w:t xml:space="preserve"> for decision by the Standing Committee:</w:t>
      </w:r>
    </w:p>
    <w:p w14:paraId="6FE5BBC0" w14:textId="77777777" w:rsidR="00356EEC" w:rsidRDefault="00356EEC" w:rsidP="00711D36">
      <w:pPr>
        <w:widowControl/>
        <w:rPr>
          <w:rFonts w:asciiTheme="minorHAnsi" w:hAnsiTheme="minorHAnsi" w:cstheme="minorHAnsi"/>
          <w:b/>
          <w:i/>
        </w:rPr>
      </w:pPr>
    </w:p>
    <w:p w14:paraId="5B60B194" w14:textId="77777777" w:rsidR="00356EEC" w:rsidRPr="00065C05" w:rsidRDefault="00356EEC" w:rsidP="00711D36">
      <w:pPr>
        <w:widowControl/>
        <w:rPr>
          <w:rFonts w:asciiTheme="minorHAnsi" w:hAnsiTheme="minorHAnsi" w:cstheme="minorHAnsi"/>
          <w:b/>
          <w:i/>
        </w:rPr>
      </w:pPr>
      <w:r w:rsidRPr="00065C05">
        <w:rPr>
          <w:rFonts w:asciiTheme="minorHAnsi" w:hAnsiTheme="minorHAnsi" w:cstheme="minorHAnsi"/>
          <w:b/>
          <w:i/>
        </w:rPr>
        <w:t xml:space="preserve">The Subgroup on Finance recommends that the Standing Committee: </w:t>
      </w:r>
    </w:p>
    <w:p w14:paraId="2A98D538" w14:textId="77777777" w:rsidR="005E2AB1" w:rsidRPr="00B24FC7" w:rsidRDefault="005E2AB1" w:rsidP="005E2AB1">
      <w:pPr>
        <w:widowControl/>
        <w:ind w:left="426" w:hanging="426"/>
        <w:rPr>
          <w:rFonts w:asciiTheme="minorHAnsi" w:hAnsiTheme="minorHAnsi" w:cstheme="minorHAnsi"/>
          <w:b/>
          <w:i/>
        </w:rPr>
      </w:pPr>
      <w:r w:rsidRPr="00B24FC7">
        <w:rPr>
          <w:rFonts w:asciiTheme="minorHAnsi" w:hAnsiTheme="minorHAnsi" w:cstheme="minorHAnsi"/>
          <w:b/>
          <w:i/>
        </w:rPr>
        <w:t>i.</w:t>
      </w:r>
      <w:r w:rsidRPr="00B24FC7">
        <w:rPr>
          <w:rFonts w:asciiTheme="minorHAnsi" w:hAnsiTheme="minorHAnsi" w:cstheme="minorHAnsi"/>
          <w:b/>
          <w:i/>
        </w:rPr>
        <w:tab/>
        <w:t xml:space="preserve">take note of the status of annual contributions; </w:t>
      </w:r>
    </w:p>
    <w:p w14:paraId="44389299" w14:textId="49DA245B" w:rsidR="005E2AB1" w:rsidRPr="00B24FC7" w:rsidRDefault="005E2AB1" w:rsidP="005E2AB1">
      <w:pPr>
        <w:widowControl/>
        <w:ind w:left="426" w:hanging="426"/>
        <w:rPr>
          <w:rFonts w:asciiTheme="minorHAnsi" w:hAnsiTheme="minorHAnsi" w:cstheme="minorHAnsi"/>
          <w:b/>
          <w:i/>
        </w:rPr>
      </w:pPr>
      <w:r w:rsidRPr="00B24FC7">
        <w:rPr>
          <w:b/>
          <w:i/>
        </w:rPr>
        <w:t>ii.</w:t>
      </w:r>
      <w:r w:rsidRPr="00B24FC7">
        <w:rPr>
          <w:b/>
          <w:i/>
        </w:rPr>
        <w:tab/>
      </w:r>
      <w:r w:rsidRPr="00B24FC7">
        <w:rPr>
          <w:rFonts w:asciiTheme="minorHAnsi" w:hAnsiTheme="minorHAnsi" w:cstheme="minorHAnsi"/>
          <w:b/>
          <w:i/>
        </w:rPr>
        <w:t>note the actions listed in paragraphs 12 and 13 of document SC</w:t>
      </w:r>
      <w:r w:rsidR="00E659A0">
        <w:rPr>
          <w:rFonts w:asciiTheme="minorHAnsi" w:hAnsiTheme="minorHAnsi" w:cstheme="minorHAnsi"/>
          <w:b/>
          <w:i/>
        </w:rPr>
        <w:t>62</w:t>
      </w:r>
      <w:r w:rsidRPr="00B24FC7">
        <w:rPr>
          <w:rFonts w:asciiTheme="minorHAnsi" w:hAnsiTheme="minorHAnsi" w:cstheme="minorHAnsi"/>
          <w:b/>
          <w:i/>
        </w:rPr>
        <w:t xml:space="preserve"> Doc.8.2 on group confirmation of outstanding contributions as part of the audit process;</w:t>
      </w:r>
    </w:p>
    <w:p w14:paraId="495CC0F9" w14:textId="24C67021" w:rsidR="005E2AB1" w:rsidRPr="00B24FC7" w:rsidRDefault="005E2AB1" w:rsidP="005E2AB1">
      <w:pPr>
        <w:widowControl/>
        <w:ind w:left="426" w:hanging="426"/>
        <w:rPr>
          <w:rFonts w:asciiTheme="minorHAnsi" w:hAnsiTheme="minorHAnsi" w:cstheme="minorHAnsi"/>
          <w:b/>
          <w:i/>
        </w:rPr>
      </w:pPr>
      <w:r w:rsidRPr="00B24FC7">
        <w:rPr>
          <w:b/>
          <w:i/>
        </w:rPr>
        <w:t>iii.</w:t>
      </w:r>
      <w:r w:rsidRPr="00B24FC7">
        <w:rPr>
          <w:b/>
          <w:i/>
        </w:rPr>
        <w:tab/>
      </w:r>
      <w:r w:rsidRPr="00B24FC7">
        <w:rPr>
          <w:rFonts w:asciiTheme="minorHAnsi" w:hAnsiTheme="minorHAnsi" w:cstheme="minorHAnsi"/>
          <w:b/>
          <w:i/>
        </w:rPr>
        <w:t xml:space="preserve">note the actions listed in paragraphs </w:t>
      </w:r>
      <w:r w:rsidR="00E659A0" w:rsidRPr="00B24FC7">
        <w:rPr>
          <w:rFonts w:asciiTheme="minorHAnsi" w:hAnsiTheme="minorHAnsi" w:cstheme="minorHAnsi"/>
          <w:b/>
          <w:i/>
        </w:rPr>
        <w:t>1</w:t>
      </w:r>
      <w:r w:rsidR="00E659A0">
        <w:rPr>
          <w:rFonts w:asciiTheme="minorHAnsi" w:hAnsiTheme="minorHAnsi" w:cstheme="minorHAnsi"/>
          <w:b/>
          <w:i/>
        </w:rPr>
        <w:t>5</w:t>
      </w:r>
      <w:r w:rsidRPr="00B24FC7">
        <w:rPr>
          <w:rFonts w:asciiTheme="minorHAnsi" w:hAnsiTheme="minorHAnsi" w:cstheme="minorHAnsi"/>
          <w:b/>
          <w:i/>
        </w:rPr>
        <w:t xml:space="preserve">, </w:t>
      </w:r>
      <w:r w:rsidR="00E659A0">
        <w:rPr>
          <w:rFonts w:asciiTheme="minorHAnsi" w:hAnsiTheme="minorHAnsi" w:cstheme="minorHAnsi"/>
          <w:b/>
          <w:i/>
        </w:rPr>
        <w:t xml:space="preserve">17, </w:t>
      </w:r>
      <w:r w:rsidRPr="00B24FC7">
        <w:rPr>
          <w:rFonts w:asciiTheme="minorHAnsi" w:hAnsiTheme="minorHAnsi" w:cstheme="minorHAnsi"/>
          <w:b/>
          <w:i/>
        </w:rPr>
        <w:t xml:space="preserve">18 and </w:t>
      </w:r>
      <w:r w:rsidR="00E659A0">
        <w:rPr>
          <w:rFonts w:asciiTheme="minorHAnsi" w:hAnsiTheme="minorHAnsi" w:cstheme="minorHAnsi"/>
          <w:b/>
          <w:i/>
        </w:rPr>
        <w:t>19</w:t>
      </w:r>
      <w:r w:rsidR="00E659A0" w:rsidRPr="00B24FC7">
        <w:rPr>
          <w:rFonts w:asciiTheme="minorHAnsi" w:hAnsiTheme="minorHAnsi" w:cstheme="minorHAnsi"/>
          <w:b/>
          <w:i/>
        </w:rPr>
        <w:t xml:space="preserve"> </w:t>
      </w:r>
      <w:r w:rsidRPr="00B24FC7">
        <w:rPr>
          <w:rFonts w:asciiTheme="minorHAnsi" w:hAnsiTheme="minorHAnsi" w:cstheme="minorHAnsi"/>
          <w:b/>
          <w:i/>
        </w:rPr>
        <w:t>of document SC</w:t>
      </w:r>
      <w:r w:rsidR="00E659A0">
        <w:rPr>
          <w:rFonts w:asciiTheme="minorHAnsi" w:hAnsiTheme="minorHAnsi" w:cstheme="minorHAnsi"/>
          <w:b/>
          <w:i/>
        </w:rPr>
        <w:t>62</w:t>
      </w:r>
      <w:r w:rsidRPr="00B24FC7">
        <w:rPr>
          <w:rFonts w:asciiTheme="minorHAnsi" w:hAnsiTheme="minorHAnsi" w:cstheme="minorHAnsi"/>
          <w:b/>
          <w:i/>
        </w:rPr>
        <w:t xml:space="preserve"> Doc.8.2 to continue encouraging the payment of annual contributions</w:t>
      </w:r>
      <w:r>
        <w:rPr>
          <w:rFonts w:asciiTheme="minorHAnsi" w:hAnsiTheme="minorHAnsi" w:cstheme="minorHAnsi"/>
          <w:b/>
          <w:i/>
        </w:rPr>
        <w:t xml:space="preserve"> by the Contracting Parties</w:t>
      </w:r>
      <w:r w:rsidRPr="00B24FC7">
        <w:rPr>
          <w:rFonts w:asciiTheme="minorHAnsi" w:hAnsiTheme="minorHAnsi" w:cstheme="minorHAnsi"/>
          <w:b/>
          <w:i/>
        </w:rPr>
        <w:t>;</w:t>
      </w:r>
    </w:p>
    <w:p w14:paraId="0663FA42" w14:textId="77777777" w:rsidR="005E2AB1" w:rsidRPr="00B24FC7" w:rsidRDefault="005E2AB1" w:rsidP="005E2AB1">
      <w:pPr>
        <w:widowControl/>
        <w:ind w:left="426" w:hanging="426"/>
        <w:rPr>
          <w:rFonts w:asciiTheme="minorHAnsi" w:hAnsiTheme="minorHAnsi" w:cstheme="minorHAnsi"/>
          <w:b/>
          <w:i/>
        </w:rPr>
      </w:pPr>
      <w:r w:rsidRPr="00B24FC7">
        <w:rPr>
          <w:rFonts w:asciiTheme="minorHAnsi" w:hAnsiTheme="minorHAnsi" w:cstheme="minorHAnsi"/>
          <w:b/>
          <w:i/>
        </w:rPr>
        <w:t>iv.</w:t>
      </w:r>
      <w:r w:rsidRPr="00B24FC7">
        <w:rPr>
          <w:rFonts w:asciiTheme="minorHAnsi" w:hAnsiTheme="minorHAnsi" w:cstheme="minorHAnsi"/>
          <w:b/>
          <w:i/>
        </w:rPr>
        <w:tab/>
        <w:t>note the change</w:t>
      </w:r>
      <w:r>
        <w:rPr>
          <w:rFonts w:asciiTheme="minorHAnsi" w:hAnsiTheme="minorHAnsi" w:cstheme="minorHAnsi"/>
          <w:b/>
          <w:i/>
        </w:rPr>
        <w:t>s</w:t>
      </w:r>
      <w:r w:rsidRPr="00B24FC7">
        <w:rPr>
          <w:rFonts w:asciiTheme="minorHAnsi" w:hAnsiTheme="minorHAnsi" w:cstheme="minorHAnsi"/>
          <w:b/>
          <w:i/>
        </w:rPr>
        <w:t xml:space="preserve"> in annual contributions receivable and in the annual provision against contributions receivable; and </w:t>
      </w:r>
    </w:p>
    <w:p w14:paraId="4BF1EFAA" w14:textId="5451A339" w:rsidR="0066724B" w:rsidRDefault="005E2AB1" w:rsidP="005E2AB1">
      <w:pPr>
        <w:widowControl/>
        <w:ind w:left="426" w:hanging="426"/>
        <w:rPr>
          <w:rFonts w:asciiTheme="minorHAnsi" w:hAnsiTheme="minorHAnsi" w:cstheme="minorHAnsi"/>
          <w:b/>
          <w:i/>
        </w:rPr>
      </w:pPr>
      <w:r w:rsidRPr="00B24FC7">
        <w:rPr>
          <w:rFonts w:asciiTheme="minorHAnsi" w:hAnsiTheme="minorHAnsi" w:cstheme="minorHAnsi"/>
          <w:b/>
          <w:i/>
        </w:rPr>
        <w:t>v.</w:t>
      </w:r>
      <w:r w:rsidRPr="00B24FC7">
        <w:rPr>
          <w:rFonts w:asciiTheme="minorHAnsi" w:hAnsiTheme="minorHAnsi" w:cstheme="minorHAnsi"/>
          <w:b/>
          <w:i/>
        </w:rPr>
        <w:tab/>
        <w:t xml:space="preserve">note the status of the </w:t>
      </w:r>
      <w:r w:rsidR="000E3ACD">
        <w:rPr>
          <w:rFonts w:asciiTheme="minorHAnsi" w:hAnsiTheme="minorHAnsi" w:cstheme="minorHAnsi"/>
          <w:b/>
          <w:i/>
        </w:rPr>
        <w:t>v</w:t>
      </w:r>
      <w:r w:rsidR="000E3ACD" w:rsidRPr="000E3ACD">
        <w:rPr>
          <w:rFonts w:asciiTheme="minorHAnsi" w:hAnsiTheme="minorHAnsi" w:cstheme="minorHAnsi"/>
          <w:b/>
          <w:i/>
        </w:rPr>
        <w:t>oluntary contributions received from the Contracting Parties in the Africa region</w:t>
      </w:r>
      <w:r w:rsidR="000E3ACD">
        <w:rPr>
          <w:rFonts w:asciiTheme="minorHAnsi" w:hAnsiTheme="minorHAnsi" w:cstheme="minorHAnsi"/>
          <w:b/>
          <w:i/>
        </w:rPr>
        <w:t xml:space="preserve"> outlined </w:t>
      </w:r>
      <w:r w:rsidR="000E3ACD" w:rsidRPr="00B24FC7">
        <w:rPr>
          <w:rFonts w:asciiTheme="minorHAnsi" w:hAnsiTheme="minorHAnsi" w:cstheme="minorHAnsi"/>
          <w:b/>
          <w:i/>
        </w:rPr>
        <w:t xml:space="preserve">in paragraph </w:t>
      </w:r>
      <w:r w:rsidR="000E3ACD">
        <w:rPr>
          <w:rFonts w:asciiTheme="minorHAnsi" w:hAnsiTheme="minorHAnsi" w:cstheme="minorHAnsi"/>
          <w:b/>
          <w:i/>
        </w:rPr>
        <w:t xml:space="preserve">22 </w:t>
      </w:r>
      <w:r w:rsidR="000E3ACD" w:rsidRPr="00B24FC7">
        <w:rPr>
          <w:rFonts w:asciiTheme="minorHAnsi" w:hAnsiTheme="minorHAnsi" w:cstheme="minorHAnsi"/>
          <w:b/>
          <w:i/>
        </w:rPr>
        <w:t>of document SC</w:t>
      </w:r>
      <w:r w:rsidR="000E3ACD">
        <w:rPr>
          <w:rFonts w:asciiTheme="minorHAnsi" w:hAnsiTheme="minorHAnsi" w:cstheme="minorHAnsi"/>
          <w:b/>
          <w:i/>
        </w:rPr>
        <w:t>62</w:t>
      </w:r>
      <w:r w:rsidR="000E3ACD" w:rsidRPr="00B24FC7">
        <w:rPr>
          <w:rFonts w:asciiTheme="minorHAnsi" w:hAnsiTheme="minorHAnsi" w:cstheme="minorHAnsi"/>
          <w:b/>
          <w:i/>
        </w:rPr>
        <w:t xml:space="preserve"> Doc.8.2</w:t>
      </w:r>
      <w:r w:rsidRPr="00B24FC7">
        <w:rPr>
          <w:rFonts w:asciiTheme="minorHAnsi" w:hAnsiTheme="minorHAnsi" w:cstheme="minorHAnsi"/>
          <w:b/>
          <w:i/>
        </w:rPr>
        <w:t>.</w:t>
      </w:r>
    </w:p>
    <w:p w14:paraId="46895208" w14:textId="13C80A5F" w:rsidR="0066724B" w:rsidRDefault="0066724B" w:rsidP="00711D36">
      <w:pPr>
        <w:widowControl/>
        <w:rPr>
          <w:rFonts w:asciiTheme="minorHAnsi" w:hAnsiTheme="minorHAnsi" w:cstheme="minorHAnsi"/>
          <w:b/>
          <w:i/>
        </w:rPr>
      </w:pPr>
    </w:p>
    <w:p w14:paraId="7C42A876" w14:textId="77777777" w:rsidR="001A64EB" w:rsidRDefault="001A64EB" w:rsidP="00711D36">
      <w:pPr>
        <w:widowControl/>
        <w:rPr>
          <w:rFonts w:asciiTheme="minorHAnsi" w:hAnsiTheme="minorHAnsi" w:cstheme="minorHAnsi"/>
          <w:b/>
          <w:i/>
        </w:rPr>
      </w:pPr>
    </w:p>
    <w:p w14:paraId="23A7E0BA" w14:textId="14B319A9" w:rsidR="00A51A5D" w:rsidRPr="009B5E77" w:rsidRDefault="00711D36" w:rsidP="009B5E77">
      <w:pPr>
        <w:widowControl/>
        <w:autoSpaceDE/>
        <w:autoSpaceDN/>
        <w:ind w:left="426" w:hanging="426"/>
        <w:rPr>
          <w:rFonts w:asciiTheme="minorHAnsi" w:hAnsiTheme="minorHAnsi" w:cstheme="minorHAnsi"/>
          <w:b/>
        </w:rPr>
      </w:pPr>
      <w:r w:rsidRPr="008F6EDE">
        <w:rPr>
          <w:rFonts w:asciiTheme="minorHAnsi" w:hAnsiTheme="minorHAnsi" w:cstheme="minorHAnsi"/>
          <w:b/>
        </w:rPr>
        <w:t>2.</w:t>
      </w:r>
      <w:r w:rsidRPr="008F6EDE">
        <w:rPr>
          <w:rFonts w:asciiTheme="minorHAnsi" w:hAnsiTheme="minorHAnsi" w:cstheme="minorHAnsi"/>
          <w:b/>
        </w:rPr>
        <w:tab/>
      </w:r>
      <w:r w:rsidR="009F5EF8" w:rsidRPr="008F6EDE">
        <w:rPr>
          <w:rFonts w:asciiTheme="minorHAnsi" w:hAnsiTheme="minorHAnsi" w:cstheme="minorHAnsi"/>
          <w:b/>
        </w:rPr>
        <w:t xml:space="preserve">Report on financial matters for </w:t>
      </w:r>
      <w:r w:rsidR="00E047CD">
        <w:rPr>
          <w:rFonts w:asciiTheme="minorHAnsi" w:hAnsiTheme="minorHAnsi" w:cstheme="minorHAnsi"/>
          <w:b/>
        </w:rPr>
        <w:t>2022</w:t>
      </w:r>
      <w:r w:rsidR="009F5EF8" w:rsidRPr="008F6EDE">
        <w:rPr>
          <w:rFonts w:asciiTheme="minorHAnsi" w:hAnsiTheme="minorHAnsi" w:cstheme="minorHAnsi"/>
          <w:b/>
        </w:rPr>
        <w:t xml:space="preserve"> and 202</w:t>
      </w:r>
      <w:r w:rsidR="00E047CD">
        <w:rPr>
          <w:rFonts w:asciiTheme="minorHAnsi" w:hAnsiTheme="minorHAnsi" w:cstheme="minorHAnsi"/>
          <w:b/>
        </w:rPr>
        <w:t>3</w:t>
      </w:r>
    </w:p>
    <w:p w14:paraId="3D7835C0" w14:textId="77777777" w:rsidR="000E0AE5" w:rsidRDefault="000E0AE5" w:rsidP="00711D36">
      <w:pPr>
        <w:widowControl/>
        <w:rPr>
          <w:rFonts w:asciiTheme="minorHAnsi" w:hAnsiTheme="minorHAnsi" w:cstheme="minorHAnsi"/>
        </w:rPr>
      </w:pPr>
    </w:p>
    <w:p w14:paraId="5FD386C2" w14:textId="4A7AFFFC" w:rsidR="001959BA" w:rsidRPr="00CD6CDA" w:rsidRDefault="0061300A" w:rsidP="00711D36">
      <w:pPr>
        <w:widowControl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</w:t>
      </w:r>
      <w:r w:rsidRPr="00CB11F6">
        <w:rPr>
          <w:rFonts w:asciiTheme="minorHAnsi" w:hAnsiTheme="minorHAnsi" w:cstheme="minorHAnsi"/>
          <w:u w:val="single"/>
        </w:rPr>
        <w:t xml:space="preserve">ocument SC62 Doc.8.1, requested actions </w:t>
      </w:r>
      <w:r w:rsidR="00E659A0" w:rsidRPr="00CD6CDA">
        <w:rPr>
          <w:rFonts w:asciiTheme="minorHAnsi" w:hAnsiTheme="minorHAnsi" w:cstheme="minorHAnsi"/>
          <w:u w:val="single"/>
        </w:rPr>
        <w:t>i.</w:t>
      </w:r>
      <w:r w:rsidRPr="00CD6CDA">
        <w:rPr>
          <w:rFonts w:asciiTheme="minorHAnsi" w:hAnsiTheme="minorHAnsi" w:cstheme="minorHAnsi"/>
          <w:u w:val="single"/>
        </w:rPr>
        <w:t xml:space="preserve"> to </w:t>
      </w:r>
      <w:r w:rsidR="00E659A0" w:rsidRPr="00CD6CDA">
        <w:rPr>
          <w:rFonts w:asciiTheme="minorHAnsi" w:hAnsiTheme="minorHAnsi" w:cstheme="minorHAnsi"/>
          <w:u w:val="single"/>
        </w:rPr>
        <w:t>iv.</w:t>
      </w:r>
    </w:p>
    <w:p w14:paraId="7A79C7AC" w14:textId="77777777" w:rsidR="00E659A0" w:rsidRDefault="00E659A0" w:rsidP="00711D36">
      <w:pPr>
        <w:widowControl/>
        <w:rPr>
          <w:rFonts w:asciiTheme="minorHAnsi" w:hAnsiTheme="minorHAnsi" w:cstheme="minorHAnsi"/>
        </w:rPr>
      </w:pPr>
    </w:p>
    <w:p w14:paraId="316234EE" w14:textId="359A87DE" w:rsidR="000E0AE5" w:rsidRDefault="000E0AE5" w:rsidP="00711D36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Secretariat introduced the elements of document SC62 Doc.8.1 relating to financial matters concerning the core budget for 2022 and 2023. </w:t>
      </w:r>
      <w:r w:rsidR="00BA54B9">
        <w:rPr>
          <w:rFonts w:asciiTheme="minorHAnsi" w:hAnsiTheme="minorHAnsi" w:cstheme="minorHAnsi"/>
        </w:rPr>
        <w:t>It</w:t>
      </w:r>
      <w:r>
        <w:rPr>
          <w:rFonts w:asciiTheme="minorHAnsi" w:hAnsiTheme="minorHAnsi" w:cstheme="minorHAnsi"/>
        </w:rPr>
        <w:t xml:space="preserve"> highlighted the audited financial statements for 2022; the core budget results for 2022</w:t>
      </w:r>
      <w:r w:rsidR="001959BA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the pre-committed funds to be carried forward from 2022 to </w:t>
      </w:r>
      <w:r>
        <w:rPr>
          <w:rFonts w:asciiTheme="minorHAnsi" w:hAnsiTheme="minorHAnsi" w:cstheme="minorHAnsi"/>
        </w:rPr>
        <w:lastRenderedPageBreak/>
        <w:t xml:space="preserve">2023; and the status of non-core funding and voluntary contributions, expressing appreciation to </w:t>
      </w:r>
      <w:r w:rsidR="00BE7DB2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arties and donors that have contributed. </w:t>
      </w:r>
    </w:p>
    <w:p w14:paraId="77EB85D5" w14:textId="77777777" w:rsidR="009B5E77" w:rsidRDefault="009B5E77" w:rsidP="00711D36">
      <w:pPr>
        <w:widowControl/>
        <w:rPr>
          <w:rFonts w:asciiTheme="minorHAnsi" w:hAnsiTheme="minorHAnsi" w:cstheme="minorHAnsi"/>
        </w:rPr>
      </w:pPr>
    </w:p>
    <w:p w14:paraId="690896BC" w14:textId="31DFEB9A" w:rsidR="009B5E77" w:rsidRDefault="009B5E77" w:rsidP="00711D36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Following a request by the Subgroup, the Secretariat clarified the aggregate surplus of core funds and non-core projects, providing further explanations on the operating expenditures for non-core projects. </w:t>
      </w:r>
    </w:p>
    <w:p w14:paraId="189E9C18" w14:textId="77777777" w:rsidR="0009409C" w:rsidRDefault="0009409C" w:rsidP="00711D36">
      <w:pPr>
        <w:widowControl/>
        <w:rPr>
          <w:rFonts w:asciiTheme="minorHAnsi" w:hAnsiTheme="minorHAnsi" w:cstheme="minorHAnsi"/>
        </w:rPr>
      </w:pPr>
    </w:p>
    <w:p w14:paraId="1318A25D" w14:textId="54D0741B" w:rsidR="008949B3" w:rsidRPr="00A52340" w:rsidRDefault="0061300A" w:rsidP="00711D36">
      <w:pPr>
        <w:widowControl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</w:t>
      </w:r>
      <w:r w:rsidRPr="0010159D">
        <w:rPr>
          <w:rFonts w:asciiTheme="minorHAnsi" w:hAnsiTheme="minorHAnsi" w:cstheme="minorHAnsi"/>
          <w:u w:val="single"/>
        </w:rPr>
        <w:t xml:space="preserve">ocument SC62 Doc.8.1, requested actions </w:t>
      </w:r>
      <w:r w:rsidR="00E659A0" w:rsidRPr="00A52340">
        <w:rPr>
          <w:rFonts w:asciiTheme="minorHAnsi" w:hAnsiTheme="minorHAnsi" w:cstheme="minorHAnsi"/>
          <w:u w:val="single"/>
        </w:rPr>
        <w:t>v</w:t>
      </w:r>
      <w:r w:rsidRPr="00A52340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to </w:t>
      </w:r>
      <w:r w:rsidR="00E659A0" w:rsidRPr="00A52340">
        <w:rPr>
          <w:rFonts w:asciiTheme="minorHAnsi" w:hAnsiTheme="minorHAnsi" w:cstheme="minorHAnsi"/>
          <w:u w:val="single"/>
        </w:rPr>
        <w:t>viii.</w:t>
      </w:r>
    </w:p>
    <w:p w14:paraId="14D7E039" w14:textId="77777777" w:rsidR="00E659A0" w:rsidRDefault="00E659A0" w:rsidP="00711D36">
      <w:pPr>
        <w:widowControl/>
        <w:rPr>
          <w:rFonts w:asciiTheme="minorHAnsi" w:hAnsiTheme="minorHAnsi" w:cstheme="minorHAnsi"/>
        </w:rPr>
      </w:pPr>
    </w:p>
    <w:p w14:paraId="2EB1542E" w14:textId="619D3014" w:rsidR="0009409C" w:rsidRDefault="0009409C" w:rsidP="00711D36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Secretariat </w:t>
      </w:r>
      <w:r w:rsidR="00CB11F6">
        <w:rPr>
          <w:rFonts w:asciiTheme="minorHAnsi" w:hAnsiTheme="minorHAnsi" w:cstheme="minorHAnsi"/>
        </w:rPr>
        <w:t>summarized the items for discussion regarding the core budget allocations</w:t>
      </w:r>
      <w:r>
        <w:rPr>
          <w:rFonts w:asciiTheme="minorHAnsi" w:hAnsiTheme="minorHAnsi" w:cstheme="minorHAnsi"/>
        </w:rPr>
        <w:t>: the repurposing of un</w:t>
      </w:r>
      <w:r w:rsidR="006B0B2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pent balance for Ramsar Advisory Missions (RAMs); </w:t>
      </w:r>
      <w:r w:rsidR="004573E8">
        <w:rPr>
          <w:rFonts w:asciiTheme="minorHAnsi" w:hAnsiTheme="minorHAnsi" w:cstheme="minorHAnsi"/>
        </w:rPr>
        <w:t xml:space="preserve">the request to approve </w:t>
      </w:r>
      <w:r w:rsidR="008949B3">
        <w:rPr>
          <w:rFonts w:asciiTheme="minorHAnsi" w:hAnsiTheme="minorHAnsi" w:cstheme="minorHAnsi"/>
        </w:rPr>
        <w:t xml:space="preserve">the use of </w:t>
      </w:r>
      <w:r w:rsidR="004573E8">
        <w:rPr>
          <w:rFonts w:asciiTheme="minorHAnsi" w:hAnsiTheme="minorHAnsi" w:cstheme="minorHAnsi"/>
        </w:rPr>
        <w:t xml:space="preserve">CHF </w:t>
      </w:r>
      <w:r w:rsidR="00E659A0">
        <w:rPr>
          <w:rFonts w:asciiTheme="minorHAnsi" w:hAnsiTheme="minorHAnsi" w:cstheme="minorHAnsi"/>
        </w:rPr>
        <w:t xml:space="preserve">140,000 </w:t>
      </w:r>
      <w:r w:rsidR="004573E8">
        <w:rPr>
          <w:rFonts w:asciiTheme="minorHAnsi" w:hAnsiTheme="minorHAnsi" w:cstheme="minorHAnsi"/>
        </w:rPr>
        <w:t>to complement voluntary funding for COP14 delegate travel; the request to approve the allocation of CHF 30</w:t>
      </w:r>
      <w:r w:rsidR="00E659A0">
        <w:rPr>
          <w:rFonts w:asciiTheme="minorHAnsi" w:hAnsiTheme="minorHAnsi" w:cstheme="minorHAnsi"/>
        </w:rPr>
        <w:t>,000</w:t>
      </w:r>
      <w:r w:rsidR="004573E8">
        <w:rPr>
          <w:rFonts w:asciiTheme="minorHAnsi" w:hAnsiTheme="minorHAnsi" w:cstheme="minorHAnsi"/>
        </w:rPr>
        <w:t xml:space="preserve"> to the Southern Africa Ra</w:t>
      </w:r>
      <w:r w:rsidR="00B258C9">
        <w:rPr>
          <w:rFonts w:asciiTheme="minorHAnsi" w:hAnsiTheme="minorHAnsi" w:cstheme="minorHAnsi"/>
        </w:rPr>
        <w:t>ms</w:t>
      </w:r>
      <w:r w:rsidR="004573E8">
        <w:rPr>
          <w:rFonts w:asciiTheme="minorHAnsi" w:hAnsiTheme="minorHAnsi" w:cstheme="minorHAnsi"/>
        </w:rPr>
        <w:t xml:space="preserve">ar </w:t>
      </w:r>
      <w:r w:rsidR="0061300A">
        <w:rPr>
          <w:rFonts w:asciiTheme="minorHAnsi" w:hAnsiTheme="minorHAnsi" w:cstheme="minorHAnsi"/>
        </w:rPr>
        <w:t xml:space="preserve">Regional </w:t>
      </w:r>
      <w:r w:rsidR="004573E8">
        <w:rPr>
          <w:rFonts w:asciiTheme="minorHAnsi" w:hAnsiTheme="minorHAnsi" w:cstheme="minorHAnsi"/>
        </w:rPr>
        <w:t>Initiative (SARRI) for activities in 2023</w:t>
      </w:r>
      <w:r w:rsidR="001959BA">
        <w:rPr>
          <w:rFonts w:asciiTheme="minorHAnsi" w:hAnsiTheme="minorHAnsi" w:cstheme="minorHAnsi"/>
        </w:rPr>
        <w:t>; and</w:t>
      </w:r>
      <w:r w:rsidR="004573E8">
        <w:rPr>
          <w:rFonts w:asciiTheme="minorHAnsi" w:hAnsiTheme="minorHAnsi" w:cstheme="minorHAnsi"/>
        </w:rPr>
        <w:t xml:space="preserve"> options suggested by the Secretariat for possible uses of the 2022 surplus, including</w:t>
      </w:r>
      <w:r w:rsidR="001959BA">
        <w:rPr>
          <w:rFonts w:asciiTheme="minorHAnsi" w:hAnsiTheme="minorHAnsi" w:cstheme="minorHAnsi"/>
        </w:rPr>
        <w:t xml:space="preserve"> CHF 22,000 for the</w:t>
      </w:r>
      <w:r w:rsidR="004573E8">
        <w:rPr>
          <w:rFonts w:asciiTheme="minorHAnsi" w:hAnsiTheme="minorHAnsi" w:cstheme="minorHAnsi"/>
        </w:rPr>
        <w:t xml:space="preserve"> review of previous Resolutions and decisions, </w:t>
      </w:r>
      <w:r w:rsidR="00B22546">
        <w:rPr>
          <w:rFonts w:asciiTheme="minorHAnsi" w:hAnsiTheme="minorHAnsi" w:cstheme="minorHAnsi"/>
        </w:rPr>
        <w:t xml:space="preserve">up to </w:t>
      </w:r>
      <w:r w:rsidR="001959BA">
        <w:rPr>
          <w:rFonts w:asciiTheme="minorHAnsi" w:hAnsiTheme="minorHAnsi" w:cstheme="minorHAnsi"/>
        </w:rPr>
        <w:t xml:space="preserve">CHF 7,000 for </w:t>
      </w:r>
      <w:r w:rsidR="004573E8">
        <w:rPr>
          <w:rFonts w:asciiTheme="minorHAnsi" w:hAnsiTheme="minorHAnsi" w:cstheme="minorHAnsi"/>
        </w:rPr>
        <w:t xml:space="preserve">approaches and online systems to enhance collaboration between Contracting Parties, and </w:t>
      </w:r>
      <w:r w:rsidR="00B22546">
        <w:rPr>
          <w:rFonts w:asciiTheme="minorHAnsi" w:hAnsiTheme="minorHAnsi" w:cstheme="minorHAnsi"/>
        </w:rPr>
        <w:t xml:space="preserve">up to </w:t>
      </w:r>
      <w:r w:rsidR="001959BA">
        <w:rPr>
          <w:rFonts w:asciiTheme="minorHAnsi" w:hAnsiTheme="minorHAnsi" w:cstheme="minorHAnsi"/>
        </w:rPr>
        <w:t xml:space="preserve">CHF 90,000 for </w:t>
      </w:r>
      <w:r w:rsidR="004573E8">
        <w:rPr>
          <w:rFonts w:asciiTheme="minorHAnsi" w:hAnsiTheme="minorHAnsi" w:cstheme="minorHAnsi"/>
        </w:rPr>
        <w:t xml:space="preserve">provision of technical support to Contracting Parties to ensure that key data is available in </w:t>
      </w:r>
      <w:r w:rsidR="0061300A">
        <w:rPr>
          <w:rFonts w:asciiTheme="minorHAnsi" w:hAnsiTheme="minorHAnsi" w:cstheme="minorHAnsi"/>
        </w:rPr>
        <w:t xml:space="preserve">the </w:t>
      </w:r>
      <w:r w:rsidR="004573E8">
        <w:rPr>
          <w:rFonts w:asciiTheme="minorHAnsi" w:hAnsiTheme="minorHAnsi" w:cstheme="minorHAnsi"/>
        </w:rPr>
        <w:t>Ramsar Sites Information Service (RSIS) for all Wetlands of International Importance</w:t>
      </w:r>
      <w:r w:rsidR="0061300A">
        <w:rPr>
          <w:rFonts w:asciiTheme="minorHAnsi" w:hAnsiTheme="minorHAnsi" w:cstheme="minorHAnsi"/>
        </w:rPr>
        <w:t xml:space="preserve">, in particular regarding </w:t>
      </w:r>
      <w:r w:rsidR="004573E8">
        <w:rPr>
          <w:rFonts w:asciiTheme="minorHAnsi" w:hAnsiTheme="minorHAnsi" w:cstheme="minorHAnsi"/>
        </w:rPr>
        <w:t>Site boundaries</w:t>
      </w:r>
      <w:r w:rsidR="001959BA">
        <w:rPr>
          <w:rFonts w:asciiTheme="minorHAnsi" w:hAnsiTheme="minorHAnsi" w:cstheme="minorHAnsi"/>
        </w:rPr>
        <w:t>.</w:t>
      </w:r>
    </w:p>
    <w:p w14:paraId="151C3F21" w14:textId="77777777" w:rsidR="009B5E77" w:rsidRDefault="009B5E77" w:rsidP="00711D36">
      <w:pPr>
        <w:widowControl/>
        <w:rPr>
          <w:rFonts w:asciiTheme="minorHAnsi" w:hAnsiTheme="minorHAnsi" w:cstheme="minorHAnsi"/>
        </w:rPr>
      </w:pPr>
    </w:p>
    <w:p w14:paraId="0C665F25" w14:textId="185B8CD8" w:rsidR="002D2F4B" w:rsidRDefault="002D2F4B" w:rsidP="002D2F4B">
      <w:bookmarkStart w:id="0" w:name="_Hlk144733165"/>
      <w:r>
        <w:t xml:space="preserve">Regarding </w:t>
      </w:r>
      <w:r w:rsidR="0061300A">
        <w:t xml:space="preserve">the provision of </w:t>
      </w:r>
      <w:r>
        <w:t xml:space="preserve">support </w:t>
      </w:r>
      <w:r w:rsidR="0061300A">
        <w:t xml:space="preserve">to </w:t>
      </w:r>
      <w:r w:rsidR="00C21939">
        <w:t xml:space="preserve">Contracting Parties in relation </w:t>
      </w:r>
      <w:r>
        <w:t xml:space="preserve">to RSIS </w:t>
      </w:r>
      <w:r w:rsidR="0061300A">
        <w:t>data</w:t>
      </w:r>
      <w:r>
        <w:t xml:space="preserve">, the Subgroup </w:t>
      </w:r>
      <w:r w:rsidR="00C21939">
        <w:t xml:space="preserve">noted the importance of ensuring that </w:t>
      </w:r>
      <w:r>
        <w:t xml:space="preserve">all regions are adequately engaged in the process. Members further requested clarification on </w:t>
      </w:r>
      <w:r w:rsidR="00B22546">
        <w:t xml:space="preserve">how the Secretariat </w:t>
      </w:r>
      <w:r w:rsidR="0061300A">
        <w:t>had</w:t>
      </w:r>
      <w:r w:rsidR="00B22546">
        <w:t xml:space="preserve"> estimated </w:t>
      </w:r>
      <w:r w:rsidR="0061300A">
        <w:t xml:space="preserve">the proposed allocation </w:t>
      </w:r>
      <w:r>
        <w:t xml:space="preserve">of CHF </w:t>
      </w:r>
      <w:r w:rsidR="00E659A0">
        <w:t xml:space="preserve">90,000 </w:t>
      </w:r>
      <w:r>
        <w:t xml:space="preserve">over the </w:t>
      </w:r>
      <w:r w:rsidR="00A20573">
        <w:t>2023-2025</w:t>
      </w:r>
      <w:r w:rsidR="0061300A" w:rsidRPr="0061300A">
        <w:t xml:space="preserve"> </w:t>
      </w:r>
      <w:r w:rsidR="0061300A">
        <w:t>triennium</w:t>
      </w:r>
      <w:r w:rsidR="00A20573">
        <w:t>.</w:t>
      </w:r>
    </w:p>
    <w:p w14:paraId="6C4ACDCA" w14:textId="77777777" w:rsidR="002D2F4B" w:rsidRDefault="002D2F4B" w:rsidP="002D2F4B"/>
    <w:p w14:paraId="4E5CD65F" w14:textId="06CE3DF6" w:rsidR="002D2F4B" w:rsidRDefault="002D2F4B" w:rsidP="002D2F4B">
      <w:r>
        <w:t xml:space="preserve">The Secretariat explained that </w:t>
      </w:r>
      <w:r w:rsidR="00B22546">
        <w:t xml:space="preserve">the use of </w:t>
      </w:r>
      <w:r w:rsidR="000C2F91">
        <w:t xml:space="preserve">this amount of </w:t>
      </w:r>
      <w:r>
        <w:t>surplus funds</w:t>
      </w:r>
      <w:r w:rsidR="000D7C0D">
        <w:t xml:space="preserve"> </w:t>
      </w:r>
      <w:r>
        <w:t>will enable support</w:t>
      </w:r>
      <w:r w:rsidR="00CF5D5E">
        <w:t xml:space="preserve">, </w:t>
      </w:r>
      <w:r w:rsidR="00C957E3">
        <w:t xml:space="preserve">as </w:t>
      </w:r>
      <w:r w:rsidR="00CF5D5E">
        <w:t>request</w:t>
      </w:r>
      <w:r w:rsidR="00C957E3">
        <w:t>ed</w:t>
      </w:r>
      <w:r w:rsidR="00CF5D5E">
        <w:t>,</w:t>
      </w:r>
      <w:r>
        <w:t xml:space="preserve"> </w:t>
      </w:r>
      <w:r w:rsidR="00CF5D5E">
        <w:t>to</w:t>
      </w:r>
      <w:r>
        <w:t xml:space="preserve"> Contracting Parties</w:t>
      </w:r>
      <w:r w:rsidR="00CF5D5E">
        <w:t xml:space="preserve"> in all regions</w:t>
      </w:r>
      <w:r w:rsidR="00FC09A8">
        <w:t>.</w:t>
      </w:r>
      <w:r w:rsidR="00B22546">
        <w:t xml:space="preserve"> </w:t>
      </w:r>
      <w:r w:rsidR="00FC09A8">
        <w:t xml:space="preserve">The Secretariat </w:t>
      </w:r>
      <w:r w:rsidR="00B22546">
        <w:t>further</w:t>
      </w:r>
      <w:r>
        <w:t xml:space="preserve"> clarif</w:t>
      </w:r>
      <w:r w:rsidR="00FC09A8">
        <w:t>ied</w:t>
      </w:r>
      <w:r>
        <w:t xml:space="preserve"> that approving a lower amount would reduce the ability to provide </w:t>
      </w:r>
      <w:r w:rsidR="005F00DF">
        <w:t xml:space="preserve">support to </w:t>
      </w:r>
      <w:r>
        <w:t xml:space="preserve">all countries that require </w:t>
      </w:r>
      <w:r w:rsidR="005F00DF">
        <w:t>it</w:t>
      </w:r>
      <w:r>
        <w:t xml:space="preserve">. </w:t>
      </w:r>
      <w:r w:rsidR="00FF5DA6">
        <w:t xml:space="preserve">It </w:t>
      </w:r>
      <w:r w:rsidR="00693B20">
        <w:t xml:space="preserve">was </w:t>
      </w:r>
      <w:r w:rsidR="00FF5DA6">
        <w:t>note</w:t>
      </w:r>
      <w:r w:rsidR="00A40003">
        <w:t>d</w:t>
      </w:r>
      <w:r w:rsidR="00FF5DA6">
        <w:t xml:space="preserve"> that </w:t>
      </w:r>
      <w:r w:rsidR="00A40003">
        <w:t xml:space="preserve">a </w:t>
      </w:r>
      <w:r w:rsidR="00CF5D5E">
        <w:t xml:space="preserve">voluntary contribution </w:t>
      </w:r>
      <w:r w:rsidR="0061300A">
        <w:t xml:space="preserve">for such a purpose </w:t>
      </w:r>
      <w:r w:rsidR="00CF5D5E">
        <w:t xml:space="preserve">has </w:t>
      </w:r>
      <w:r w:rsidR="00A40003">
        <w:t xml:space="preserve">already </w:t>
      </w:r>
      <w:r w:rsidR="00CF5D5E">
        <w:t xml:space="preserve">been received </w:t>
      </w:r>
      <w:r w:rsidR="00FF5DA6">
        <w:t>in 2023</w:t>
      </w:r>
      <w:r w:rsidR="0061300A">
        <w:t>,</w:t>
      </w:r>
      <w:r w:rsidR="00FF5DA6">
        <w:t xml:space="preserve"> earmarked to </w:t>
      </w:r>
      <w:r w:rsidR="00CF5D5E">
        <w:t xml:space="preserve">the African region. </w:t>
      </w:r>
    </w:p>
    <w:p w14:paraId="190DB397" w14:textId="77777777" w:rsidR="002D2F4B" w:rsidRDefault="002D2F4B" w:rsidP="002D2F4B"/>
    <w:p w14:paraId="41E61220" w14:textId="65E6B47C" w:rsidR="000E0AE5" w:rsidRPr="002D2F4B" w:rsidRDefault="002D2F4B" w:rsidP="002D2F4B">
      <w:r>
        <w:t>The Subgroup agreed with the allocation, noting that</w:t>
      </w:r>
      <w:r w:rsidR="00C21939">
        <w:t xml:space="preserve"> </w:t>
      </w:r>
      <w:r w:rsidR="00A40003">
        <w:t>this</w:t>
      </w:r>
      <w:r w:rsidR="00C21939">
        <w:t xml:space="preserve"> support</w:t>
      </w:r>
      <w:r>
        <w:t xml:space="preserve"> should not be used for </w:t>
      </w:r>
      <w:r w:rsidR="00693B20">
        <w:t xml:space="preserve">Sites </w:t>
      </w:r>
      <w:r w:rsidR="00C21939">
        <w:t xml:space="preserve">located in areas </w:t>
      </w:r>
      <w:r w:rsidR="0061300A">
        <w:t xml:space="preserve">affected by </w:t>
      </w:r>
      <w:r>
        <w:t xml:space="preserve">conflict or </w:t>
      </w:r>
      <w:r w:rsidR="00C21939">
        <w:t xml:space="preserve">in </w:t>
      </w:r>
      <w:r>
        <w:t xml:space="preserve">disputed territories; and emphasizing that </w:t>
      </w:r>
      <w:r w:rsidR="00C21939">
        <w:t xml:space="preserve">updating </w:t>
      </w:r>
      <w:r w:rsidR="00CD6CDA">
        <w:t>Ram</w:t>
      </w:r>
      <w:r w:rsidR="0061300A">
        <w:t>s</w:t>
      </w:r>
      <w:r w:rsidR="00CD6CDA">
        <w:t>a</w:t>
      </w:r>
      <w:r w:rsidR="0061300A">
        <w:t>r S</w:t>
      </w:r>
      <w:r w:rsidR="00C21939">
        <w:t xml:space="preserve">ite data is the responsibility of </w:t>
      </w:r>
      <w:r>
        <w:t>Contracting Parties</w:t>
      </w:r>
      <w:r w:rsidR="00C21939">
        <w:t>, and Contracting Parties</w:t>
      </w:r>
      <w:r>
        <w:t xml:space="preserve"> should focus on collecting the necessary data themselves</w:t>
      </w:r>
      <w:bookmarkEnd w:id="0"/>
      <w:r>
        <w:t xml:space="preserve">. </w:t>
      </w:r>
    </w:p>
    <w:p w14:paraId="20587F9C" w14:textId="654E5970" w:rsidR="00C76FD5" w:rsidRDefault="00C76FD5" w:rsidP="00711D36">
      <w:pPr>
        <w:widowControl/>
        <w:rPr>
          <w:rFonts w:asciiTheme="minorHAnsi" w:hAnsiTheme="minorHAnsi" w:cstheme="minorHAnsi"/>
        </w:rPr>
      </w:pPr>
    </w:p>
    <w:p w14:paraId="14E4B75C" w14:textId="77777777" w:rsidR="00312AAB" w:rsidRPr="00693B20" w:rsidRDefault="00312AAB" w:rsidP="00711D36">
      <w:pPr>
        <w:widowControl/>
        <w:rPr>
          <w:rFonts w:asciiTheme="minorHAnsi" w:hAnsiTheme="minorHAnsi" w:cstheme="minorHAnsi"/>
          <w:i/>
          <w:iCs/>
          <w:lang w:eastAsia="ja-JP"/>
        </w:rPr>
      </w:pPr>
      <w:r w:rsidRPr="00693B20">
        <w:rPr>
          <w:rFonts w:asciiTheme="minorHAnsi" w:hAnsiTheme="minorHAnsi" w:cstheme="minorHAnsi"/>
          <w:i/>
        </w:rPr>
        <w:t>Recommendation</w:t>
      </w:r>
      <w:r w:rsidRPr="00693B20">
        <w:rPr>
          <w:rFonts w:asciiTheme="minorHAnsi" w:hAnsiTheme="minorHAnsi" w:cstheme="minorHAnsi"/>
          <w:i/>
          <w:iCs/>
          <w:lang w:eastAsia="ja-JP"/>
        </w:rPr>
        <w:t xml:space="preserve"> for decision by the Standing Committee:</w:t>
      </w:r>
    </w:p>
    <w:p w14:paraId="5C2B8825" w14:textId="77777777" w:rsidR="00312AAB" w:rsidRDefault="00312AAB" w:rsidP="00711D36">
      <w:pPr>
        <w:widowControl/>
        <w:ind w:left="426" w:hanging="426"/>
        <w:rPr>
          <w:rFonts w:asciiTheme="minorHAnsi" w:hAnsiTheme="minorHAnsi" w:cstheme="minorHAnsi"/>
        </w:rPr>
      </w:pPr>
    </w:p>
    <w:p w14:paraId="755DCA2A" w14:textId="77777777" w:rsidR="006302C1" w:rsidRPr="006302C1" w:rsidRDefault="006302C1" w:rsidP="00711D36">
      <w:pPr>
        <w:widowControl/>
        <w:rPr>
          <w:rFonts w:asciiTheme="minorHAnsi" w:hAnsiTheme="minorHAnsi" w:cstheme="minorHAnsi"/>
          <w:b/>
          <w:i/>
        </w:rPr>
      </w:pPr>
      <w:r w:rsidRPr="006302C1">
        <w:rPr>
          <w:rFonts w:asciiTheme="minorHAnsi" w:hAnsiTheme="minorHAnsi" w:cstheme="minorHAnsi"/>
          <w:b/>
          <w:i/>
        </w:rPr>
        <w:t>The Subgroup on Finance recommends that the Standing Committee:</w:t>
      </w:r>
    </w:p>
    <w:p w14:paraId="33DF2448" w14:textId="77777777" w:rsidR="009B5E77" w:rsidRPr="00AD486C" w:rsidRDefault="009B5E77" w:rsidP="009B5E77">
      <w:pPr>
        <w:keepNext/>
        <w:ind w:left="425" w:hanging="425"/>
        <w:contextualSpacing/>
        <w:rPr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 xml:space="preserve">i. </w:t>
      </w:r>
      <w:r w:rsidRPr="00AD486C">
        <w:rPr>
          <w:i/>
        </w:rPr>
        <w:tab/>
      </w:r>
      <w:r w:rsidRPr="00AD486C">
        <w:rPr>
          <w:b/>
          <w:bCs/>
          <w:i/>
          <w:color w:val="000000" w:themeColor="text1"/>
        </w:rPr>
        <w:t>accepts the 2022 audited financial statements as of 31 December 2022;</w:t>
      </w:r>
    </w:p>
    <w:p w14:paraId="127F9CE0" w14:textId="77777777" w:rsidR="009B5E77" w:rsidRPr="00AD486C" w:rsidRDefault="009B5E77" w:rsidP="009B5E77">
      <w:pPr>
        <w:keepNext/>
        <w:ind w:left="425" w:hanging="425"/>
        <w:contextualSpacing/>
        <w:rPr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 xml:space="preserve">ii. </w:t>
      </w:r>
      <w:r w:rsidRPr="00AD486C">
        <w:rPr>
          <w:i/>
        </w:rPr>
        <w:tab/>
      </w:r>
      <w:r w:rsidRPr="00AD486C">
        <w:rPr>
          <w:b/>
          <w:bCs/>
          <w:i/>
          <w:color w:val="000000" w:themeColor="text1"/>
        </w:rPr>
        <w:t>notes the core budget results for 2022;</w:t>
      </w:r>
    </w:p>
    <w:p w14:paraId="44B1F220" w14:textId="77777777" w:rsidR="009B5E77" w:rsidRPr="00AD486C" w:rsidRDefault="009B5E77" w:rsidP="009B5E77">
      <w:pPr>
        <w:keepNext/>
        <w:ind w:left="425" w:hanging="425"/>
        <w:contextualSpacing/>
        <w:rPr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>iii.</w:t>
      </w:r>
      <w:r w:rsidRPr="00AD486C">
        <w:rPr>
          <w:i/>
        </w:rPr>
        <w:tab/>
      </w:r>
      <w:r w:rsidRPr="00AD486C">
        <w:rPr>
          <w:b/>
          <w:bCs/>
          <w:i/>
          <w:color w:val="000000" w:themeColor="text1"/>
        </w:rPr>
        <w:t>notes the status of the non-core balances and voluntary contributions for 2022;</w:t>
      </w:r>
    </w:p>
    <w:p w14:paraId="79A28AAA" w14:textId="02F061A1" w:rsidR="009B5E77" w:rsidRPr="00AD486C" w:rsidRDefault="009B5E77" w:rsidP="009B5E77">
      <w:pPr>
        <w:keepNext/>
        <w:ind w:left="425" w:hanging="425"/>
        <w:contextualSpacing/>
        <w:rPr>
          <w:b/>
          <w:bCs/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 xml:space="preserve">iv. </w:t>
      </w:r>
      <w:r w:rsidRPr="00AD486C">
        <w:rPr>
          <w:i/>
        </w:rPr>
        <w:tab/>
      </w:r>
      <w:r w:rsidR="00693B20" w:rsidRPr="00AD486C">
        <w:rPr>
          <w:b/>
          <w:bCs/>
          <w:i/>
          <w:color w:val="000000" w:themeColor="text1"/>
        </w:rPr>
        <w:t>approves the carry forward of</w:t>
      </w:r>
      <w:r w:rsidRPr="00AD486C">
        <w:rPr>
          <w:b/>
          <w:bCs/>
          <w:i/>
          <w:color w:val="000000" w:themeColor="text1"/>
        </w:rPr>
        <w:t xml:space="preserve"> the pre-committed funds </w:t>
      </w:r>
      <w:r w:rsidR="00693B20" w:rsidRPr="00AD486C">
        <w:rPr>
          <w:b/>
          <w:bCs/>
          <w:i/>
          <w:color w:val="000000" w:themeColor="text1"/>
        </w:rPr>
        <w:t>totalling</w:t>
      </w:r>
      <w:r w:rsidRPr="00AD486C">
        <w:rPr>
          <w:b/>
          <w:bCs/>
          <w:i/>
          <w:color w:val="000000" w:themeColor="text1"/>
        </w:rPr>
        <w:t xml:space="preserve"> CHF 701,000 from 2022 to 2023, as included in column </w:t>
      </w:r>
      <w:r w:rsidR="00A52340" w:rsidRPr="00AD486C">
        <w:rPr>
          <w:b/>
          <w:bCs/>
          <w:i/>
          <w:color w:val="000000" w:themeColor="text1"/>
        </w:rPr>
        <w:t xml:space="preserve">D </w:t>
      </w:r>
      <w:r w:rsidRPr="00AD486C">
        <w:rPr>
          <w:b/>
          <w:bCs/>
          <w:i/>
          <w:color w:val="000000" w:themeColor="text1"/>
        </w:rPr>
        <w:t xml:space="preserve">of the table in Annex 1 Core </w:t>
      </w:r>
      <w:r w:rsidR="00CD6CDA" w:rsidRPr="00AD486C">
        <w:rPr>
          <w:b/>
          <w:bCs/>
          <w:i/>
          <w:color w:val="000000" w:themeColor="text1"/>
        </w:rPr>
        <w:t>b</w:t>
      </w:r>
      <w:r w:rsidRPr="00AD486C">
        <w:rPr>
          <w:b/>
          <w:bCs/>
          <w:i/>
          <w:color w:val="000000" w:themeColor="text1"/>
        </w:rPr>
        <w:t xml:space="preserve">udget 2023 of </w:t>
      </w:r>
      <w:r w:rsidR="00A52340" w:rsidRPr="00AD486C">
        <w:rPr>
          <w:b/>
          <w:bCs/>
          <w:i/>
          <w:color w:val="000000" w:themeColor="text1"/>
        </w:rPr>
        <w:t>the present</w:t>
      </w:r>
      <w:r w:rsidRPr="00AD486C">
        <w:rPr>
          <w:b/>
          <w:bCs/>
          <w:i/>
          <w:color w:val="000000" w:themeColor="text1"/>
        </w:rPr>
        <w:t xml:space="preserve"> report;</w:t>
      </w:r>
    </w:p>
    <w:p w14:paraId="6BAEA22D" w14:textId="4068E206" w:rsidR="009B5E77" w:rsidRPr="00AD486C" w:rsidRDefault="009B5E77" w:rsidP="009B5E77">
      <w:pPr>
        <w:keepNext/>
        <w:ind w:left="425" w:hanging="425"/>
        <w:contextualSpacing/>
        <w:rPr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 xml:space="preserve">v. </w:t>
      </w:r>
      <w:r w:rsidRPr="00AD486C">
        <w:rPr>
          <w:i/>
        </w:rPr>
        <w:tab/>
      </w:r>
      <w:r w:rsidRPr="00AD486C">
        <w:rPr>
          <w:b/>
          <w:bCs/>
          <w:i/>
          <w:color w:val="000000" w:themeColor="text1"/>
        </w:rPr>
        <w:t>approves the repurposing of unspent balance for R</w:t>
      </w:r>
      <w:r w:rsidR="00CD6CDA" w:rsidRPr="00AD486C">
        <w:rPr>
          <w:b/>
          <w:bCs/>
          <w:i/>
          <w:color w:val="000000" w:themeColor="text1"/>
        </w:rPr>
        <w:t xml:space="preserve">amsar </w:t>
      </w:r>
      <w:r w:rsidRPr="00AD486C">
        <w:rPr>
          <w:b/>
          <w:bCs/>
          <w:i/>
          <w:color w:val="000000" w:themeColor="text1"/>
        </w:rPr>
        <w:t>A</w:t>
      </w:r>
      <w:r w:rsidR="00CD6CDA" w:rsidRPr="00AD486C">
        <w:rPr>
          <w:b/>
          <w:bCs/>
          <w:i/>
          <w:color w:val="000000" w:themeColor="text1"/>
        </w:rPr>
        <w:t xml:space="preserve">dvisory </w:t>
      </w:r>
      <w:r w:rsidRPr="00AD486C">
        <w:rPr>
          <w:b/>
          <w:bCs/>
          <w:i/>
          <w:color w:val="000000" w:themeColor="text1"/>
        </w:rPr>
        <w:t>M</w:t>
      </w:r>
      <w:r w:rsidR="00CD6CDA" w:rsidRPr="00AD486C">
        <w:rPr>
          <w:b/>
          <w:bCs/>
          <w:i/>
          <w:color w:val="000000" w:themeColor="text1"/>
        </w:rPr>
        <w:t>ission</w:t>
      </w:r>
      <w:r w:rsidRPr="00AD486C">
        <w:rPr>
          <w:b/>
          <w:bCs/>
          <w:i/>
          <w:color w:val="000000" w:themeColor="text1"/>
        </w:rPr>
        <w:t>s, as described in par</w:t>
      </w:r>
      <w:r w:rsidR="00BD2065">
        <w:rPr>
          <w:b/>
          <w:bCs/>
          <w:i/>
          <w:color w:val="000000" w:themeColor="text1"/>
        </w:rPr>
        <w:t>agraph 11 of document SC62 Doc.</w:t>
      </w:r>
      <w:r w:rsidRPr="00AD486C">
        <w:rPr>
          <w:b/>
          <w:bCs/>
          <w:i/>
          <w:color w:val="000000" w:themeColor="text1"/>
        </w:rPr>
        <w:t>8.1;</w:t>
      </w:r>
    </w:p>
    <w:p w14:paraId="25909375" w14:textId="455B847F" w:rsidR="009B5E77" w:rsidRPr="00AD486C" w:rsidRDefault="009B5E77" w:rsidP="009B5E77">
      <w:pPr>
        <w:keepNext/>
        <w:ind w:left="425" w:hanging="425"/>
        <w:contextualSpacing/>
        <w:rPr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>vi.</w:t>
      </w:r>
      <w:r w:rsidRPr="00AD486C">
        <w:rPr>
          <w:i/>
        </w:rPr>
        <w:tab/>
      </w:r>
      <w:r w:rsidRPr="00AD486C">
        <w:rPr>
          <w:b/>
          <w:bCs/>
          <w:i/>
          <w:color w:val="000000" w:themeColor="text1"/>
        </w:rPr>
        <w:t>approves the allocation of 2022 surplus of CHF 140,000 to complement voluntary funding for COP14 delegate travel, as described in paragraph 18 of document SC62 Doc.8.1;</w:t>
      </w:r>
    </w:p>
    <w:p w14:paraId="3675B3C4" w14:textId="01EA1A56" w:rsidR="009B5E77" w:rsidRPr="00AD486C" w:rsidRDefault="009B5E77" w:rsidP="009B5E77">
      <w:pPr>
        <w:keepNext/>
        <w:ind w:left="425" w:hanging="425"/>
        <w:contextualSpacing/>
        <w:rPr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>vii.</w:t>
      </w:r>
      <w:r w:rsidRPr="00AD486C">
        <w:rPr>
          <w:i/>
        </w:rPr>
        <w:tab/>
      </w:r>
      <w:r w:rsidRPr="00AD486C">
        <w:rPr>
          <w:b/>
          <w:bCs/>
          <w:i/>
          <w:color w:val="000000" w:themeColor="text1"/>
        </w:rPr>
        <w:t xml:space="preserve">approves the allocation of CHF 30,000 from the core budget to the Southern Africa Ramsar Regional Initiative (SARRI) for activities in 2023, as described in paragraph 32 of document </w:t>
      </w:r>
      <w:r w:rsidRPr="00AD486C">
        <w:rPr>
          <w:b/>
          <w:bCs/>
          <w:i/>
          <w:color w:val="000000" w:themeColor="text1"/>
        </w:rPr>
        <w:lastRenderedPageBreak/>
        <w:t>SC62 Doc.</w:t>
      </w:r>
      <w:bookmarkStart w:id="1" w:name="_GoBack"/>
      <w:bookmarkEnd w:id="1"/>
      <w:r w:rsidRPr="00AD486C">
        <w:rPr>
          <w:b/>
          <w:bCs/>
          <w:i/>
          <w:color w:val="000000" w:themeColor="text1"/>
        </w:rPr>
        <w:t>8.1; and</w:t>
      </w:r>
    </w:p>
    <w:p w14:paraId="23CE7D16" w14:textId="77777777" w:rsidR="00A20573" w:rsidRPr="00AD486C" w:rsidRDefault="009B5E77" w:rsidP="009B5E77">
      <w:pPr>
        <w:keepNext/>
        <w:ind w:left="425" w:hanging="425"/>
        <w:contextualSpacing/>
        <w:rPr>
          <w:b/>
          <w:bCs/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>viii.</w:t>
      </w:r>
      <w:r w:rsidRPr="00AD486C">
        <w:rPr>
          <w:i/>
        </w:rPr>
        <w:tab/>
      </w:r>
      <w:r w:rsidRPr="00AD486C">
        <w:rPr>
          <w:b/>
          <w:bCs/>
          <w:i/>
          <w:color w:val="000000" w:themeColor="text1"/>
        </w:rPr>
        <w:t>approves allocation of 2022 surplus</w:t>
      </w:r>
      <w:r w:rsidR="002D2F4B" w:rsidRPr="00AD486C">
        <w:rPr>
          <w:b/>
          <w:bCs/>
          <w:i/>
          <w:color w:val="000000" w:themeColor="text1"/>
        </w:rPr>
        <w:t xml:space="preserve"> amounting to: </w:t>
      </w:r>
    </w:p>
    <w:p w14:paraId="60DD4D67" w14:textId="77777777" w:rsidR="00A20573" w:rsidRPr="00AD486C" w:rsidRDefault="009B5E77" w:rsidP="00693B20">
      <w:pPr>
        <w:pStyle w:val="ListParagraph"/>
        <w:keepNext/>
        <w:numPr>
          <w:ilvl w:val="0"/>
          <w:numId w:val="47"/>
        </w:numPr>
        <w:ind w:left="851"/>
        <w:rPr>
          <w:b/>
          <w:bCs/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>CHF</w:t>
      </w:r>
      <w:r w:rsidR="002D2F4B" w:rsidRPr="00AD486C">
        <w:rPr>
          <w:b/>
          <w:bCs/>
          <w:i/>
          <w:color w:val="000000" w:themeColor="text1"/>
        </w:rPr>
        <w:t xml:space="preserve"> 22,000 for review of previous Resolutions and decisions;</w:t>
      </w:r>
    </w:p>
    <w:p w14:paraId="600C2772" w14:textId="77777777" w:rsidR="00A20573" w:rsidRPr="00AD486C" w:rsidRDefault="002D2F4B" w:rsidP="00693B20">
      <w:pPr>
        <w:pStyle w:val="ListParagraph"/>
        <w:keepNext/>
        <w:numPr>
          <w:ilvl w:val="0"/>
          <w:numId w:val="47"/>
        </w:numPr>
        <w:ind w:left="851"/>
        <w:rPr>
          <w:b/>
          <w:bCs/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 xml:space="preserve">CHF 7,000 for approaches and online systems to enhance collaboration between Contracted Parties intersessionally; and </w:t>
      </w:r>
    </w:p>
    <w:p w14:paraId="5C7E2BE3" w14:textId="6348EC47" w:rsidR="009B5E77" w:rsidRPr="00AD486C" w:rsidRDefault="002D2F4B" w:rsidP="00693B20">
      <w:pPr>
        <w:pStyle w:val="ListParagraph"/>
        <w:keepNext/>
        <w:numPr>
          <w:ilvl w:val="0"/>
          <w:numId w:val="47"/>
        </w:numPr>
        <w:ind w:left="851"/>
        <w:rPr>
          <w:b/>
          <w:bCs/>
          <w:i/>
          <w:color w:val="000000" w:themeColor="text1"/>
        </w:rPr>
      </w:pPr>
      <w:r w:rsidRPr="00AD486C">
        <w:rPr>
          <w:b/>
          <w:bCs/>
          <w:i/>
          <w:color w:val="000000" w:themeColor="text1"/>
        </w:rPr>
        <w:t>CHF 90,000 for technical support</w:t>
      </w:r>
      <w:r w:rsidR="00A20573" w:rsidRPr="00AD486C">
        <w:rPr>
          <w:b/>
          <w:bCs/>
          <w:i/>
          <w:color w:val="000000" w:themeColor="text1"/>
        </w:rPr>
        <w:t xml:space="preserve"> </w:t>
      </w:r>
      <w:r w:rsidR="00A52340" w:rsidRPr="00AD486C">
        <w:rPr>
          <w:b/>
          <w:bCs/>
          <w:i/>
          <w:color w:val="000000" w:themeColor="text1"/>
        </w:rPr>
        <w:t xml:space="preserve">during </w:t>
      </w:r>
      <w:r w:rsidR="00A20573" w:rsidRPr="00AD486C">
        <w:rPr>
          <w:b/>
          <w:bCs/>
          <w:i/>
          <w:color w:val="000000" w:themeColor="text1"/>
        </w:rPr>
        <w:t>the 2023-2025</w:t>
      </w:r>
      <w:r w:rsidRPr="00AD486C">
        <w:rPr>
          <w:b/>
          <w:bCs/>
          <w:i/>
          <w:color w:val="000000" w:themeColor="text1"/>
        </w:rPr>
        <w:t xml:space="preserve"> </w:t>
      </w:r>
      <w:r w:rsidR="007C05B5" w:rsidRPr="00AD486C">
        <w:rPr>
          <w:b/>
          <w:bCs/>
          <w:i/>
          <w:color w:val="000000" w:themeColor="text1"/>
        </w:rPr>
        <w:t xml:space="preserve">triennium </w:t>
      </w:r>
      <w:r w:rsidRPr="00AD486C">
        <w:rPr>
          <w:b/>
          <w:bCs/>
          <w:i/>
          <w:color w:val="000000" w:themeColor="text1"/>
        </w:rPr>
        <w:t xml:space="preserve">to ensure that key data is available in </w:t>
      </w:r>
      <w:r w:rsidR="007C05B5" w:rsidRPr="00AD486C">
        <w:rPr>
          <w:b/>
          <w:bCs/>
          <w:i/>
          <w:color w:val="000000" w:themeColor="text1"/>
        </w:rPr>
        <w:t xml:space="preserve">the </w:t>
      </w:r>
      <w:r w:rsidRPr="00AD486C">
        <w:rPr>
          <w:b/>
          <w:bCs/>
          <w:i/>
          <w:color w:val="000000" w:themeColor="text1"/>
        </w:rPr>
        <w:t>Ramsar Sites Information Service (RSIS) for Wetlands of International Importance</w:t>
      </w:r>
      <w:r w:rsidR="00693B20" w:rsidRPr="00AD486C">
        <w:rPr>
          <w:b/>
          <w:bCs/>
          <w:i/>
          <w:color w:val="000000" w:themeColor="text1"/>
        </w:rPr>
        <w:t xml:space="preserve"> in all regions</w:t>
      </w:r>
      <w:r w:rsidRPr="00AD486C">
        <w:rPr>
          <w:b/>
          <w:bCs/>
          <w:i/>
          <w:color w:val="000000" w:themeColor="text1"/>
        </w:rPr>
        <w:t xml:space="preserve">, with a focus on Site boundaries, noting that funds should not be used for Sites </w:t>
      </w:r>
      <w:r w:rsidR="00C21939" w:rsidRPr="00AD486C">
        <w:rPr>
          <w:b/>
          <w:bCs/>
          <w:i/>
          <w:color w:val="000000" w:themeColor="text1"/>
        </w:rPr>
        <w:t xml:space="preserve">located in areas </w:t>
      </w:r>
      <w:r w:rsidR="007C05B5" w:rsidRPr="00AD486C">
        <w:rPr>
          <w:b/>
          <w:bCs/>
          <w:i/>
          <w:color w:val="000000" w:themeColor="text1"/>
        </w:rPr>
        <w:t xml:space="preserve">affected by </w:t>
      </w:r>
      <w:r w:rsidRPr="00AD486C">
        <w:rPr>
          <w:b/>
          <w:bCs/>
          <w:i/>
          <w:color w:val="000000" w:themeColor="text1"/>
        </w:rPr>
        <w:t>conflict or in disputed territories</w:t>
      </w:r>
      <w:r w:rsidR="00C21939" w:rsidRPr="00AD486C">
        <w:rPr>
          <w:b/>
          <w:bCs/>
          <w:i/>
          <w:color w:val="000000" w:themeColor="text1"/>
        </w:rPr>
        <w:t xml:space="preserve">, and further noting that updating </w:t>
      </w:r>
      <w:r w:rsidR="007C05B5" w:rsidRPr="00AD486C">
        <w:rPr>
          <w:b/>
          <w:bCs/>
          <w:i/>
          <w:color w:val="000000" w:themeColor="text1"/>
        </w:rPr>
        <w:t>S</w:t>
      </w:r>
      <w:r w:rsidR="00C21939" w:rsidRPr="00AD486C">
        <w:rPr>
          <w:b/>
          <w:bCs/>
          <w:i/>
          <w:color w:val="000000" w:themeColor="text1"/>
        </w:rPr>
        <w:t xml:space="preserve">ite data is </w:t>
      </w:r>
      <w:r w:rsidR="00C60C75" w:rsidRPr="00AD486C">
        <w:rPr>
          <w:rFonts w:hint="eastAsia"/>
          <w:b/>
          <w:bCs/>
          <w:i/>
          <w:color w:val="000000" w:themeColor="text1"/>
        </w:rPr>
        <w:t>p</w:t>
      </w:r>
      <w:r w:rsidR="00C60C75" w:rsidRPr="00AD486C">
        <w:rPr>
          <w:b/>
          <w:bCs/>
          <w:i/>
          <w:color w:val="000000" w:themeColor="text1"/>
        </w:rPr>
        <w:t xml:space="preserve">rimarily </w:t>
      </w:r>
      <w:r w:rsidR="00C21939" w:rsidRPr="00AD486C">
        <w:rPr>
          <w:b/>
          <w:bCs/>
          <w:i/>
          <w:color w:val="000000" w:themeColor="text1"/>
        </w:rPr>
        <w:t xml:space="preserve">the responsibility of </w:t>
      </w:r>
      <w:r w:rsidR="00590982" w:rsidRPr="00AD486C">
        <w:rPr>
          <w:b/>
          <w:bCs/>
          <w:i/>
          <w:color w:val="000000" w:themeColor="text1"/>
        </w:rPr>
        <w:t>Contracting Parties</w:t>
      </w:r>
      <w:r w:rsidR="00C60C75" w:rsidRPr="00AD486C">
        <w:rPr>
          <w:b/>
          <w:bCs/>
          <w:i/>
          <w:color w:val="000000" w:themeColor="text1"/>
        </w:rPr>
        <w:t xml:space="preserve">, </w:t>
      </w:r>
      <w:r w:rsidR="0040735E" w:rsidRPr="00AD486C">
        <w:rPr>
          <w:b/>
          <w:bCs/>
          <w:i/>
          <w:color w:val="000000" w:themeColor="text1"/>
        </w:rPr>
        <w:t>and should be encouraged before utilizing the service</w:t>
      </w:r>
      <w:r w:rsidR="00590982" w:rsidRPr="00AD486C">
        <w:rPr>
          <w:b/>
          <w:bCs/>
          <w:i/>
          <w:color w:val="000000" w:themeColor="text1"/>
        </w:rPr>
        <w:t>.</w:t>
      </w:r>
    </w:p>
    <w:p w14:paraId="6A65A0A0" w14:textId="7B618BAA" w:rsidR="00B87283" w:rsidRDefault="00B8728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2FF1D8DC" w14:textId="3AECD6A7" w:rsidR="00A733F6" w:rsidRPr="00861214" w:rsidRDefault="00A733F6" w:rsidP="00A733F6">
      <w:pPr>
        <w:rPr>
          <w:rFonts w:asciiTheme="minorHAnsi" w:hAnsiTheme="minorHAnsi" w:cs="Arial"/>
          <w:b/>
          <w:bCs/>
          <w:sz w:val="24"/>
          <w:szCs w:val="24"/>
          <w:lang w:eastAsia="en-GB"/>
        </w:rPr>
      </w:pPr>
      <w:r w:rsidRPr="00861214">
        <w:rPr>
          <w:rFonts w:asciiTheme="minorHAnsi" w:hAnsiTheme="minorHAnsi" w:cs="Arial"/>
          <w:b/>
          <w:bCs/>
          <w:sz w:val="24"/>
          <w:szCs w:val="24"/>
          <w:lang w:eastAsia="en-GB"/>
        </w:rPr>
        <w:lastRenderedPageBreak/>
        <w:t xml:space="preserve">Annex </w:t>
      </w:r>
      <w:r>
        <w:rPr>
          <w:rFonts w:asciiTheme="minorHAnsi" w:hAnsiTheme="minorHAnsi" w:cs="Arial"/>
          <w:b/>
          <w:bCs/>
          <w:sz w:val="24"/>
          <w:szCs w:val="24"/>
          <w:lang w:eastAsia="en-GB"/>
        </w:rPr>
        <w:t>1 to the report of the Subgroup on Finance</w:t>
      </w:r>
    </w:p>
    <w:p w14:paraId="6C193647" w14:textId="3F9E7595" w:rsidR="00A733F6" w:rsidRPr="00861214" w:rsidRDefault="00A733F6" w:rsidP="00A733F6">
      <w:pPr>
        <w:rPr>
          <w:rFonts w:asciiTheme="minorHAnsi" w:hAnsiTheme="minorHAnsi" w:cs="Arial"/>
          <w:b/>
          <w:bCs/>
          <w:sz w:val="24"/>
          <w:szCs w:val="24"/>
          <w:lang w:eastAsia="en-GB"/>
        </w:rPr>
      </w:pPr>
      <w:r>
        <w:rPr>
          <w:rFonts w:asciiTheme="minorHAnsi" w:hAnsiTheme="minorHAnsi" w:cs="Arial"/>
          <w:b/>
          <w:bCs/>
          <w:sz w:val="24"/>
          <w:szCs w:val="24"/>
          <w:lang w:eastAsia="en-GB"/>
        </w:rPr>
        <w:t>C</w:t>
      </w:r>
      <w:r w:rsidRPr="00861214">
        <w:rPr>
          <w:rFonts w:asciiTheme="minorHAnsi" w:hAnsiTheme="minorHAnsi" w:cs="Arial"/>
          <w:b/>
          <w:bCs/>
          <w:sz w:val="24"/>
          <w:szCs w:val="24"/>
          <w:lang w:eastAsia="en-GB"/>
        </w:rPr>
        <w:t xml:space="preserve">ore </w:t>
      </w:r>
      <w:r>
        <w:rPr>
          <w:rFonts w:asciiTheme="minorHAnsi" w:hAnsiTheme="minorHAnsi" w:cs="Arial"/>
          <w:b/>
          <w:bCs/>
          <w:sz w:val="24"/>
          <w:szCs w:val="24"/>
          <w:lang w:eastAsia="en-GB"/>
        </w:rPr>
        <w:t>b</w:t>
      </w:r>
      <w:r w:rsidRPr="00861214">
        <w:rPr>
          <w:rFonts w:asciiTheme="minorHAnsi" w:hAnsiTheme="minorHAnsi" w:cs="Arial"/>
          <w:b/>
          <w:bCs/>
          <w:sz w:val="24"/>
          <w:szCs w:val="24"/>
          <w:lang w:eastAsia="en-GB"/>
        </w:rPr>
        <w:t>udget 202</w:t>
      </w:r>
      <w:r>
        <w:rPr>
          <w:rFonts w:asciiTheme="minorHAnsi" w:hAnsiTheme="minorHAnsi" w:cs="Arial"/>
          <w:b/>
          <w:bCs/>
          <w:sz w:val="24"/>
          <w:szCs w:val="24"/>
          <w:lang w:eastAsia="en-GB"/>
        </w:rPr>
        <w:t>3</w:t>
      </w:r>
    </w:p>
    <w:p w14:paraId="1E443124" w14:textId="77777777" w:rsidR="00A733F6" w:rsidRDefault="00A733F6" w:rsidP="00A733F6">
      <w:pPr>
        <w:rPr>
          <w:rFonts w:asciiTheme="minorHAnsi" w:hAnsiTheme="minorHAnsi" w:cs="Arial"/>
          <w:bCs/>
          <w:i/>
          <w:sz w:val="20"/>
          <w:szCs w:val="20"/>
          <w:lang w:eastAsia="en-GB"/>
        </w:rPr>
      </w:pPr>
      <w:r w:rsidRPr="00861214">
        <w:rPr>
          <w:rFonts w:asciiTheme="minorHAnsi" w:hAnsiTheme="minorHAnsi" w:cs="Arial"/>
          <w:bCs/>
          <w:i/>
          <w:sz w:val="20"/>
          <w:szCs w:val="20"/>
          <w:lang w:eastAsia="en-GB"/>
        </w:rPr>
        <w:t>(CHF ‘000s, includes possible rounding differences)</w:t>
      </w:r>
    </w:p>
    <w:p w14:paraId="391DE28F" w14:textId="77777777" w:rsidR="00A733F6" w:rsidRPr="00861214" w:rsidRDefault="00A733F6" w:rsidP="00A733F6">
      <w:pPr>
        <w:rPr>
          <w:rFonts w:asciiTheme="minorHAnsi" w:hAnsiTheme="minorHAnsi" w:cs="Arial"/>
          <w:bCs/>
          <w:i/>
          <w:sz w:val="20"/>
          <w:szCs w:val="20"/>
          <w:lang w:eastAsia="en-GB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276"/>
        <w:gridCol w:w="1276"/>
        <w:gridCol w:w="1275"/>
        <w:gridCol w:w="1275"/>
      </w:tblGrid>
      <w:tr w:rsidR="004B0235" w:rsidRPr="00861214" w14:paraId="614E53E1" w14:textId="77777777" w:rsidTr="00A81B59">
        <w:trPr>
          <w:cantSplit/>
          <w:trHeight w:val="1758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6E3BC"/>
            <w:vAlign w:val="center"/>
            <w:hideMark/>
          </w:tcPr>
          <w:p w14:paraId="4A894F6E" w14:textId="77777777" w:rsidR="004B0235" w:rsidRPr="00861214" w:rsidRDefault="004B0235" w:rsidP="00C2193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202</w:t>
            </w:r>
            <w:r>
              <w:rPr>
                <w:b/>
                <w:bCs/>
                <w:sz w:val="20"/>
                <w:szCs w:val="20"/>
                <w:lang w:eastAsia="en-GB"/>
              </w:rPr>
              <w:t>3</w:t>
            </w:r>
            <w:r w:rsidRPr="00861214">
              <w:rPr>
                <w:b/>
                <w:bCs/>
                <w:sz w:val="20"/>
                <w:szCs w:val="20"/>
                <w:lang w:eastAsia="en-GB"/>
              </w:rPr>
              <w:t xml:space="preserve"> Ramsar Budget</w:t>
            </w:r>
            <w:r w:rsidRPr="00861214">
              <w:rPr>
                <w:b/>
                <w:bCs/>
                <w:sz w:val="20"/>
                <w:szCs w:val="20"/>
                <w:lang w:eastAsia="en-GB"/>
              </w:rPr>
              <w:br/>
              <w:t>COP</w:t>
            </w:r>
            <w:r>
              <w:rPr>
                <w:b/>
                <w:bCs/>
                <w:sz w:val="20"/>
                <w:szCs w:val="20"/>
                <w:lang w:eastAsia="en-GB"/>
              </w:rPr>
              <w:t>14</w:t>
            </w:r>
            <w:r w:rsidRPr="00861214">
              <w:rPr>
                <w:b/>
                <w:bCs/>
                <w:sz w:val="20"/>
                <w:szCs w:val="20"/>
                <w:lang w:eastAsia="en-GB"/>
              </w:rPr>
              <w:t xml:space="preserve"> Approved</w:t>
            </w:r>
          </w:p>
          <w:p w14:paraId="10B913BE" w14:textId="77777777" w:rsidR="004B0235" w:rsidRDefault="004B0235" w:rsidP="00C2193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7371F44" w14:textId="77777777" w:rsidR="004B0235" w:rsidRPr="00861214" w:rsidRDefault="004B0235" w:rsidP="00C2193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CHF ‘000s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8B732DF" w14:textId="77777777" w:rsidR="004B0235" w:rsidRPr="00861214" w:rsidRDefault="004B0235" w:rsidP="00C2193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Approved budget (COP</w:t>
            </w:r>
            <w:r>
              <w:rPr>
                <w:b/>
                <w:bCs/>
                <w:sz w:val="20"/>
                <w:szCs w:val="20"/>
                <w:lang w:eastAsia="en-GB"/>
              </w:rPr>
              <w:t>14</w:t>
            </w:r>
            <w:r w:rsidRPr="00861214">
              <w:rPr>
                <w:b/>
                <w:bCs/>
                <w:sz w:val="20"/>
                <w:szCs w:val="20"/>
                <w:lang w:eastAsia="en-GB"/>
              </w:rPr>
              <w:t>-approved)</w:t>
            </w:r>
          </w:p>
          <w:p w14:paraId="4E0452D7" w14:textId="77777777" w:rsidR="00C957E3" w:rsidRDefault="00C957E3" w:rsidP="00C2193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9C9CCEF" w14:textId="77777777" w:rsidR="004B0235" w:rsidRPr="00861214" w:rsidRDefault="004B0235" w:rsidP="00C2193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0DC7CF35" w14:textId="77777777" w:rsidR="004B0235" w:rsidRPr="00861214" w:rsidRDefault="004B0235" w:rsidP="00C2193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COP14</w:t>
            </w:r>
            <w:r w:rsidRPr="00861214">
              <w:rPr>
                <w:b/>
                <w:bCs/>
                <w:sz w:val="20"/>
                <w:szCs w:val="20"/>
                <w:lang w:eastAsia="en-GB"/>
              </w:rPr>
              <w:t xml:space="preserve"> authorised use of 202</w:t>
            </w:r>
            <w:r>
              <w:rPr>
                <w:b/>
                <w:bCs/>
                <w:sz w:val="20"/>
                <w:szCs w:val="20"/>
                <w:lang w:eastAsia="en-GB"/>
              </w:rPr>
              <w:t>1</w:t>
            </w:r>
            <w:r w:rsidRPr="00861214">
              <w:rPr>
                <w:b/>
                <w:bCs/>
                <w:sz w:val="20"/>
                <w:szCs w:val="20"/>
                <w:lang w:eastAsia="en-GB"/>
              </w:rPr>
              <w:t xml:space="preserve"> budget savings </w:t>
            </w:r>
          </w:p>
          <w:p w14:paraId="4564EAB0" w14:textId="77777777" w:rsidR="004B0235" w:rsidRPr="00861214" w:rsidRDefault="004B0235" w:rsidP="00C2193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4B8C31E3" w14:textId="77777777" w:rsidR="004B0235" w:rsidRPr="00861214" w:rsidRDefault="004B0235" w:rsidP="00C2193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Pre-committed 202</w:t>
            </w:r>
            <w:r>
              <w:rPr>
                <w:b/>
                <w:bCs/>
                <w:sz w:val="20"/>
                <w:szCs w:val="20"/>
                <w:lang w:eastAsia="en-GB"/>
              </w:rPr>
              <w:t>2</w:t>
            </w:r>
            <w:r w:rsidRPr="00861214">
              <w:rPr>
                <w:b/>
                <w:bCs/>
                <w:sz w:val="20"/>
                <w:szCs w:val="20"/>
                <w:lang w:eastAsia="en-GB"/>
              </w:rPr>
              <w:t xml:space="preserve"> to be spent in 202</w:t>
            </w:r>
            <w:r>
              <w:rPr>
                <w:b/>
                <w:bCs/>
                <w:sz w:val="20"/>
                <w:szCs w:val="20"/>
                <w:lang w:eastAsia="en-GB"/>
              </w:rPr>
              <w:t>3</w:t>
            </w:r>
          </w:p>
          <w:p w14:paraId="4F3BCD8D" w14:textId="77777777" w:rsidR="004B0235" w:rsidRPr="00861214" w:rsidRDefault="004B0235" w:rsidP="00C957E3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(C)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/>
            <w:vAlign w:val="center"/>
          </w:tcPr>
          <w:p w14:paraId="71905AA2" w14:textId="77777777" w:rsidR="004B0235" w:rsidRPr="001A64EB" w:rsidRDefault="004B0235" w:rsidP="00C957E3">
            <w:pPr>
              <w:jc w:val="center"/>
              <w:rPr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1A64EB">
              <w:rPr>
                <w:b/>
                <w:bCs/>
                <w:color w:val="0000FF"/>
                <w:sz w:val="20"/>
                <w:szCs w:val="20"/>
                <w:lang w:eastAsia="en-GB"/>
              </w:rPr>
              <w:t>SC62 authorised use of 2022 surplus</w:t>
            </w:r>
          </w:p>
          <w:p w14:paraId="473BCE11" w14:textId="77777777" w:rsidR="00C957E3" w:rsidRDefault="00C957E3" w:rsidP="00C957E3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  <w:p w14:paraId="3BC65160" w14:textId="4F27DC50" w:rsidR="006B0B25" w:rsidRPr="00861214" w:rsidRDefault="006B0B25" w:rsidP="00C957E3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(D)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44983B9" w14:textId="610C9BEA" w:rsidR="004B0235" w:rsidRPr="00861214" w:rsidRDefault="004B0235" w:rsidP="00C2193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Total 202</w:t>
            </w:r>
            <w:r>
              <w:rPr>
                <w:b/>
                <w:bCs/>
                <w:sz w:val="20"/>
                <w:szCs w:val="20"/>
                <w:lang w:eastAsia="en-GB"/>
              </w:rPr>
              <w:t>3</w:t>
            </w:r>
            <w:r w:rsidRPr="00861214">
              <w:rPr>
                <w:b/>
                <w:bCs/>
                <w:sz w:val="20"/>
                <w:szCs w:val="20"/>
                <w:lang w:eastAsia="en-GB"/>
              </w:rPr>
              <w:t xml:space="preserve"> budget</w:t>
            </w:r>
          </w:p>
          <w:p w14:paraId="534F2074" w14:textId="77777777" w:rsidR="004B0235" w:rsidRDefault="004B0235" w:rsidP="00C2193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8C67A4B" w14:textId="7ED57472" w:rsidR="004B0235" w:rsidRPr="00861214" w:rsidRDefault="004B0235" w:rsidP="00C21939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6B0B25">
              <w:rPr>
                <w:b/>
                <w:bCs/>
                <w:color w:val="000000"/>
                <w:sz w:val="20"/>
                <w:szCs w:val="20"/>
                <w:lang w:eastAsia="en-GB"/>
              </w:rPr>
              <w:t>E</w:t>
            </w: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)=</w:t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(A)+(B)+(C)</w:t>
            </w:r>
            <w:r w:rsidR="006B0B25">
              <w:rPr>
                <w:b/>
                <w:bCs/>
                <w:color w:val="000000"/>
                <w:sz w:val="20"/>
                <w:szCs w:val="20"/>
                <w:lang w:eastAsia="en-GB"/>
              </w:rPr>
              <w:t>+(D)</w:t>
            </w:r>
          </w:p>
        </w:tc>
      </w:tr>
      <w:tr w:rsidR="004B0235" w:rsidRPr="00861214" w14:paraId="1E786CFA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C744" w14:textId="77777777" w:rsidR="004B0235" w:rsidRDefault="004B0235" w:rsidP="00C2193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8D3E18" w14:textId="77777777" w:rsidR="004B0235" w:rsidRPr="00861214" w:rsidRDefault="004B0235" w:rsidP="00C2193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CFA5" w14:textId="77777777" w:rsidR="004B0235" w:rsidRPr="00861214" w:rsidRDefault="004B0235" w:rsidP="00C2193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DE3D" w14:textId="77777777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6FDA" w14:textId="77777777" w:rsidR="004B0235" w:rsidRPr="00861214" w:rsidRDefault="004B0235" w:rsidP="00C21939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5720EEC" w14:textId="77777777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FAE" w14:textId="422CA2E5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4B0235" w:rsidRPr="00861214" w14:paraId="414A616A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797B" w14:textId="77777777" w:rsidR="004B0235" w:rsidRPr="00861214" w:rsidRDefault="004B0235" w:rsidP="00C21939">
            <w:pPr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Parties’ Contributions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222C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3,779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E8E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EFF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801B9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535" w14:textId="43B34482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3,779</w:t>
            </w:r>
          </w:p>
        </w:tc>
      </w:tr>
      <w:tr w:rsidR="004B0235" w:rsidRPr="00861214" w14:paraId="1222D1A2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D35" w14:textId="77777777" w:rsidR="004B0235" w:rsidRPr="00861214" w:rsidRDefault="004B0235" w:rsidP="00C21939">
            <w:pPr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Voluntary contributions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F1F4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1,065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0678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E17D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FAEF1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595" w14:textId="7E46EF85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1,065</w:t>
            </w:r>
          </w:p>
        </w:tc>
      </w:tr>
      <w:tr w:rsidR="004B0235" w:rsidRPr="00861214" w14:paraId="28CEB2F9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F8C9" w14:textId="77777777" w:rsidR="004B0235" w:rsidRPr="00861214" w:rsidRDefault="004B0235" w:rsidP="00C21939">
            <w:pPr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Income Tax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150E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925B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5F7B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9FA4B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B40" w14:textId="2BC6FD23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225</w:t>
            </w:r>
          </w:p>
        </w:tc>
      </w:tr>
      <w:tr w:rsidR="004B0235" w:rsidRPr="00861214" w14:paraId="7AD9C451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384" w14:textId="77777777" w:rsidR="004B0235" w:rsidRPr="00861214" w:rsidRDefault="004B0235" w:rsidP="00C21939">
            <w:pPr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Other Income (including Interest Income)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5640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B10A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93AA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BF445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C217" w14:textId="2A33B9CF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4B0235" w:rsidRPr="00861214" w14:paraId="6DB416A2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F4D6113" w14:textId="77777777" w:rsidR="004B0235" w:rsidRPr="00861214" w:rsidRDefault="004B0235" w:rsidP="00C2193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691BCF1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00A3561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2AE9D2F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B524916" w14:textId="33F5A5F6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FD0F0D5" w14:textId="5186CC23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</w:tr>
      <w:tr w:rsidR="004B0235" w:rsidRPr="00861214" w14:paraId="6A6F1362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D56" w14:textId="77777777" w:rsidR="004B0235" w:rsidRPr="00861214" w:rsidRDefault="004B0235" w:rsidP="00C2193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913" w14:textId="77777777" w:rsidR="004B0235" w:rsidRPr="00861214" w:rsidRDefault="004B0235" w:rsidP="00C2193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022" w14:textId="77777777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024" w14:textId="77777777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7BFC69" w14:textId="77777777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9DD" w14:textId="5ECA99D2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4B0235" w:rsidRPr="00861214" w14:paraId="796D4C4A" w14:textId="77777777" w:rsidTr="00A81B59">
        <w:trPr>
          <w:cantSplit/>
          <w:trHeight w:val="27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7771C" w14:textId="77777777" w:rsidR="004B0235" w:rsidRPr="00861214" w:rsidRDefault="004B0235" w:rsidP="00C2193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EXPENDITURES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14536" w14:textId="77777777" w:rsidR="004B0235" w:rsidRPr="00861214" w:rsidRDefault="004B0235" w:rsidP="00C2193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2DE" w14:textId="77777777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97DB" w14:textId="77777777" w:rsidR="004B0235" w:rsidRPr="00861214" w:rsidRDefault="004B0235" w:rsidP="00C21939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CDBBB" w14:textId="77777777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1CB" w14:textId="388F09EF" w:rsidR="004B0235" w:rsidRPr="00861214" w:rsidRDefault="004B0235" w:rsidP="00C21939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4B0235" w:rsidRPr="00861214" w14:paraId="7846EADB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114A106" w14:textId="77777777" w:rsidR="004B0235" w:rsidRPr="00861214" w:rsidRDefault="004B0235" w:rsidP="00C21939">
            <w:pPr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A.  Secretariat Senior Management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F7263FB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1,0</w:t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2727751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C581DD1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389346E" w14:textId="71EC8AFB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B7CA806" w14:textId="6B0680D4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1,0</w:t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63</w:t>
            </w:r>
          </w:p>
        </w:tc>
      </w:tr>
      <w:tr w:rsidR="004B0235" w:rsidRPr="00861214" w14:paraId="6B2B7FEC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CDD5A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109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99DC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3A41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7648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A554" w14:textId="71AD640F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1,010</w:t>
            </w:r>
          </w:p>
        </w:tc>
      </w:tr>
      <w:tr w:rsidR="004B0235" w:rsidRPr="00861214" w14:paraId="75D623B3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7D09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CFA9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56F2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3F81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880BA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1D8B" w14:textId="0E9A721D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53</w:t>
            </w:r>
          </w:p>
        </w:tc>
      </w:tr>
      <w:tr w:rsidR="004B0235" w:rsidRPr="00861214" w14:paraId="0B25A72E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32491CC" w14:textId="77777777" w:rsidR="004B0235" w:rsidRPr="00861214" w:rsidRDefault="004B0235" w:rsidP="00C21939">
            <w:pPr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B.  Resource Mobilization and Outreach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CFA1E0C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25F6B28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19EAB3B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2BB9298" w14:textId="1A9CBD5E" w:rsidR="004B0235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F1BDE23" w14:textId="050F3046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778</w:t>
            </w:r>
          </w:p>
        </w:tc>
      </w:tr>
      <w:tr w:rsidR="004B0235" w:rsidRPr="00861214" w14:paraId="15F9BB18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479C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F27C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251C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8781" w14:textId="77777777" w:rsidR="004B0235" w:rsidRPr="00214FA7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214FA7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029E9" w14:textId="77777777" w:rsidR="004B0235" w:rsidRPr="00214FA7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2A0B" w14:textId="60F3AEA7" w:rsidR="004B0235" w:rsidRPr="00214FA7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214FA7">
              <w:rPr>
                <w:color w:val="000000"/>
                <w:sz w:val="20"/>
                <w:szCs w:val="20"/>
                <w:lang w:eastAsia="en-GB"/>
              </w:rPr>
              <w:t>352</w:t>
            </w:r>
          </w:p>
        </w:tc>
      </w:tr>
      <w:tr w:rsidR="004B0235" w:rsidRPr="00861214" w14:paraId="3909649B" w14:textId="77777777" w:rsidTr="00A81B59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4C0E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CEPA Program</w:t>
            </w:r>
            <w:r>
              <w:rPr>
                <w:sz w:val="20"/>
                <w:szCs w:val="20"/>
                <w:lang w:eastAsia="en-GB"/>
              </w:rPr>
              <w:t>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81BE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0289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F133" w14:textId="77777777" w:rsidR="004B0235" w:rsidRPr="00214FA7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214FA7">
              <w:rPr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54B3" w14:textId="77777777" w:rsidR="004B0235" w:rsidRPr="00214FA7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189" w14:textId="72D4C966" w:rsidR="004B0235" w:rsidRPr="00214FA7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214FA7">
              <w:rPr>
                <w:color w:val="000000"/>
                <w:sz w:val="20"/>
                <w:szCs w:val="20"/>
                <w:lang w:eastAsia="en-GB"/>
              </w:rPr>
              <w:t>109</w:t>
            </w:r>
          </w:p>
        </w:tc>
      </w:tr>
      <w:tr w:rsidR="004B0235" w:rsidRPr="00861214" w14:paraId="482411D6" w14:textId="77777777" w:rsidTr="00A81B59">
        <w:trPr>
          <w:cantSplit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E00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Comms, Translations, Publications and Reporting Implementation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189D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04DF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D94" w14:textId="77777777" w:rsidR="004B0235" w:rsidRPr="00214FA7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214FA7">
              <w:rPr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82B2A" w14:textId="77777777" w:rsidR="004B0235" w:rsidRPr="00214FA7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03F2" w14:textId="60A1409A" w:rsidR="004B0235" w:rsidRPr="00214FA7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214FA7">
              <w:rPr>
                <w:color w:val="000000"/>
                <w:sz w:val="20"/>
                <w:szCs w:val="20"/>
                <w:lang w:eastAsia="en-GB"/>
              </w:rPr>
              <w:t>213</w:t>
            </w:r>
          </w:p>
        </w:tc>
      </w:tr>
      <w:tr w:rsidR="004B0235" w:rsidRPr="00861214" w14:paraId="4AB8371E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E0D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Web/IT support and Development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B45D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CE2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D51" w14:textId="77777777" w:rsidR="004B0235" w:rsidRPr="00214FA7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214FA7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46A85" w14:textId="77777777" w:rsidR="004B0235" w:rsidRPr="00214FA7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D47" w14:textId="76DCAE37" w:rsidR="004B0235" w:rsidRPr="00214FA7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214FA7">
              <w:rPr>
                <w:color w:val="000000"/>
                <w:sz w:val="20"/>
                <w:szCs w:val="20"/>
                <w:lang w:eastAsia="en-GB"/>
              </w:rPr>
              <w:t>56</w:t>
            </w:r>
          </w:p>
        </w:tc>
      </w:tr>
      <w:tr w:rsidR="004B0235" w:rsidRPr="00861214" w14:paraId="07346FEC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4A13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Web re-development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C04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95F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C23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5DCA0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3079" w14:textId="29473195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4B0235" w:rsidRPr="00861214" w14:paraId="38699419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5BAC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8C08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F1BE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C08C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22BE0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6904" w14:textId="322DA225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4B0235" w:rsidRPr="00861214" w14:paraId="704CCF11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5634E29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C.  Regional Advice and Support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DBA54E3" w14:textId="77777777" w:rsidR="004B0235" w:rsidRPr="00861214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1,</w:t>
            </w:r>
            <w:r>
              <w:rPr>
                <w:b/>
                <w:bCs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05741B6" w14:textId="77777777" w:rsidR="004B0235" w:rsidRPr="00861214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E80B443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AFB42B9" w14:textId="0A196E22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A9063AD" w14:textId="1D4A0053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1,</w:t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440</w:t>
            </w:r>
          </w:p>
        </w:tc>
      </w:tr>
      <w:tr w:rsidR="004B0235" w:rsidRPr="00861214" w14:paraId="61F06101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BC9B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2D9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DED3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FCC7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60BEA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13A4" w14:textId="543B937D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1,242</w:t>
            </w:r>
          </w:p>
        </w:tc>
      </w:tr>
      <w:tr w:rsidR="004B0235" w:rsidRPr="00861214" w14:paraId="2E7D93A0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48E4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3164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5A6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ED3F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F4E45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FB7" w14:textId="7353B9E4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102</w:t>
            </w:r>
          </w:p>
        </w:tc>
      </w:tr>
      <w:tr w:rsidR="004B0235" w:rsidRPr="00861214" w14:paraId="381A9584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3A4B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Ramsar Advisory Missions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891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7ACB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889A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92E2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4108" w14:textId="5C3AA360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96</w:t>
            </w:r>
          </w:p>
        </w:tc>
      </w:tr>
      <w:tr w:rsidR="004B0235" w:rsidRPr="00861214" w14:paraId="67FD7265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EE6B8F9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D.  Support to Regional Initiatives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453285D" w14:textId="77777777" w:rsidR="004B0235" w:rsidRPr="00861214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5402DA9" w14:textId="77777777" w:rsidR="004B0235" w:rsidRPr="00861214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A2476E0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417C9513" w14:textId="0CA2BD8F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3F137FB" w14:textId="5501CF5A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4B0235" w:rsidRPr="00861214" w14:paraId="077311B0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9309" w14:textId="2584DA24" w:rsidR="007C05B5" w:rsidRPr="00EB2579" w:rsidRDefault="004B0235" w:rsidP="00A81B59">
            <w:pPr>
              <w:rPr>
                <w:i/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Regional networks and centres</w:t>
            </w:r>
            <w:r w:rsidR="006B0B25">
              <w:rPr>
                <w:sz w:val="20"/>
                <w:szCs w:val="20"/>
                <w:lang w:eastAsia="en-GB"/>
              </w:rPr>
              <w:t xml:space="preserve"> </w:t>
            </w:r>
            <w:r w:rsidR="005B4FB3">
              <w:rPr>
                <w:sz w:val="20"/>
                <w:szCs w:val="20"/>
                <w:lang w:eastAsia="en-GB"/>
              </w:rPr>
              <w:t xml:space="preserve">– available budget </w:t>
            </w:r>
            <w:r w:rsidR="006B0B25">
              <w:rPr>
                <w:sz w:val="20"/>
                <w:szCs w:val="20"/>
                <w:lang w:eastAsia="en-GB"/>
              </w:rPr>
              <w:t xml:space="preserve">not </w:t>
            </w:r>
            <w:r w:rsidR="005B4FB3">
              <w:rPr>
                <w:sz w:val="20"/>
                <w:szCs w:val="20"/>
                <w:lang w:eastAsia="en-GB"/>
              </w:rPr>
              <w:t>allocated</w:t>
            </w:r>
            <w:r w:rsidR="006B0B25">
              <w:rPr>
                <w:sz w:val="20"/>
                <w:szCs w:val="20"/>
                <w:lang w:eastAsia="en-GB"/>
              </w:rPr>
              <w:t xml:space="preserve"> in 2023</w:t>
            </w:r>
            <w:r w:rsidR="00A81B59">
              <w:rPr>
                <w:sz w:val="20"/>
                <w:szCs w:val="20"/>
                <w:lang w:eastAsia="en-GB"/>
              </w:rPr>
              <w:t xml:space="preserve"> </w:t>
            </w:r>
            <w:r w:rsidR="007C05B5" w:rsidRPr="00EB2579">
              <w:rPr>
                <w:i/>
                <w:sz w:val="20"/>
                <w:szCs w:val="20"/>
                <w:lang w:eastAsia="en-GB"/>
              </w:rPr>
              <w:t>(this will be a budget surplus at the end of 2023)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B6BC" w14:textId="4DCAC01C" w:rsidR="004B0235" w:rsidRPr="00861214" w:rsidRDefault="006B0B25" w:rsidP="00C21939">
            <w:pPr>
              <w:jc w:val="righ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7</w:t>
            </w: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100D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C70C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619A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E8CE" w14:textId="4AA38568" w:rsidR="004B0235" w:rsidRPr="00861214" w:rsidRDefault="006B0B2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70</w:t>
            </w:r>
          </w:p>
        </w:tc>
      </w:tr>
      <w:tr w:rsidR="006B0B25" w:rsidRPr="00861214" w14:paraId="4314251B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6ABA1" w14:textId="1BF99DD5" w:rsidR="006B0B25" w:rsidRPr="00861214" w:rsidRDefault="006B0B25" w:rsidP="00C21939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</w:t>
            </w:r>
            <w:r w:rsidR="007C7C77">
              <w:rPr>
                <w:sz w:val="20"/>
                <w:szCs w:val="20"/>
                <w:lang w:eastAsia="en-GB"/>
              </w:rPr>
              <w:t>outhern African RRI</w:t>
            </w:r>
            <w:r>
              <w:rPr>
                <w:sz w:val="20"/>
                <w:szCs w:val="20"/>
                <w:lang w:eastAsia="en-GB"/>
              </w:rPr>
              <w:t xml:space="preserve"> 2023 activities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EB79" w14:textId="56317A40" w:rsidR="006B0B25" w:rsidRPr="00861214" w:rsidRDefault="006B0B25" w:rsidP="00C21939">
            <w:pPr>
              <w:jc w:val="righ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4C55" w14:textId="432BBE5E" w:rsidR="006B0B25" w:rsidRPr="00861214" w:rsidRDefault="006B0B25" w:rsidP="00C21939">
            <w:pPr>
              <w:jc w:val="righ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4EBE" w14:textId="0033032E" w:rsidR="006B0B25" w:rsidRPr="00861214" w:rsidRDefault="006B0B2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29E25" w14:textId="76993002" w:rsidR="006B0B25" w:rsidRPr="00861214" w:rsidRDefault="006B0B2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EA73" w14:textId="0757E39E" w:rsidR="006B0B25" w:rsidRPr="00861214" w:rsidRDefault="006B0B2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4B0235" w:rsidRPr="00861214" w14:paraId="40AE9204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414F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Amazon Basin 2021 carry over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2A1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58CA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01C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455E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A3AA" w14:textId="2CE23281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4B0235" w:rsidRPr="00861214" w14:paraId="53FE307A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4247474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E.  Scientific and Technical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594472F" w14:textId="77777777" w:rsidR="004B0235" w:rsidRPr="00861214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8</w:t>
            </w:r>
            <w:r>
              <w:rPr>
                <w:b/>
                <w:bCs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47B7CAA" w14:textId="77777777" w:rsidR="004B0235" w:rsidRPr="00861214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06A4E24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6B645E69" w14:textId="2A37A65A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9448062" w14:textId="61ECF1F2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1,</w:t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125</w:t>
            </w:r>
          </w:p>
        </w:tc>
      </w:tr>
      <w:tr w:rsidR="004B0235" w:rsidRPr="00861214" w14:paraId="3BB04D0D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A258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E4A3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65</w:t>
            </w:r>
            <w:r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EC73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CA33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C189A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EFE1" w14:textId="0486C2CE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65</w:t>
            </w:r>
            <w:r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B0235" w:rsidRPr="00861214" w14:paraId="0E81BA7B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BC0B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E769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2E6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AD88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D1DC0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1B4A" w14:textId="3C78958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4B0235" w:rsidRPr="00861214" w14:paraId="61B58680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B6EF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Travel STRP Chair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B5C9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9405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5FE8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8487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03D4" w14:textId="073B5A6C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4B0235" w:rsidRPr="00861214" w14:paraId="7DE05903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B5F8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STRP implementation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9EC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0BB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3249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5563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F7E1" w14:textId="60D0F7B9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65</w:t>
            </w:r>
          </w:p>
        </w:tc>
      </w:tr>
      <w:tr w:rsidR="004B0235" w:rsidRPr="00861214" w14:paraId="3D4B5C57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C5F9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STRP meetings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9AED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5C27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6C8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53996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EC7E" w14:textId="1324A75C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</w:t>
            </w: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B0235" w:rsidRPr="00861214" w14:paraId="38710E5B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42C9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Strategic Plan SP5 (2022 - 2024)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CFF1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FDC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E690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4CA9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DB68" w14:textId="14EED5B5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82</w:t>
            </w:r>
          </w:p>
        </w:tc>
      </w:tr>
      <w:tr w:rsidR="004B0235" w:rsidRPr="00861214" w14:paraId="715DB635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9046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SDG 6.61 (Inventories)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B7C1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3749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2FF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525C6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548E" w14:textId="134EB151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42</w:t>
            </w:r>
          </w:p>
        </w:tc>
      </w:tr>
      <w:tr w:rsidR="004B0235" w:rsidRPr="00861214" w14:paraId="2333DCA3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FB60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Ramsar Sites Information Service (maintenance and develop</w:t>
            </w:r>
            <w:r>
              <w:rPr>
                <w:sz w:val="20"/>
                <w:szCs w:val="20"/>
                <w:lang w:eastAsia="en-GB"/>
              </w:rPr>
              <w:t>ment</w:t>
            </w:r>
            <w:r w:rsidRPr="00861214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6FEA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15E8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646F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89F83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D99B" w14:textId="73B7035B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80</w:t>
            </w:r>
          </w:p>
        </w:tc>
      </w:tr>
      <w:tr w:rsidR="004B0235" w:rsidRPr="00861214" w14:paraId="3350239E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5A83" w14:textId="5D0BDF3C" w:rsidR="004B0235" w:rsidRPr="00C957E3" w:rsidRDefault="004B0235" w:rsidP="00C21939">
            <w:pPr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lastRenderedPageBreak/>
              <w:t>Ramsar Sites Information Service (</w:t>
            </w:r>
            <w:r w:rsidR="005B4FB3" w:rsidRPr="00C957E3">
              <w:rPr>
                <w:color w:val="0000FF"/>
                <w:sz w:val="20"/>
                <w:szCs w:val="20"/>
                <w:lang w:eastAsia="en-GB"/>
              </w:rPr>
              <w:t>technical support during the</w:t>
            </w:r>
            <w:r w:rsidRPr="00C957E3">
              <w:rPr>
                <w:color w:val="0000FF"/>
                <w:sz w:val="20"/>
                <w:szCs w:val="20"/>
                <w:lang w:eastAsia="en-GB"/>
              </w:rPr>
              <w:t xml:space="preserve"> triennium 2023-2025)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1F32" w14:textId="7C929903" w:rsidR="004B0235" w:rsidRPr="00C957E3" w:rsidRDefault="004B0235" w:rsidP="007C05B5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7F34" w14:textId="1F051123" w:rsidR="004B0235" w:rsidRPr="00C957E3" w:rsidRDefault="004B0235" w:rsidP="007C05B5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D705" w14:textId="206F27BC" w:rsidR="004B0235" w:rsidRPr="00C957E3" w:rsidRDefault="004B0235" w:rsidP="007C05B5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8839" w14:textId="2D055EE2" w:rsidR="004B0235" w:rsidRPr="00C957E3" w:rsidRDefault="004B0235" w:rsidP="007C05B5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CF66" w14:textId="5AD964C4" w:rsidR="004B0235" w:rsidRPr="00C957E3" w:rsidRDefault="004B0235" w:rsidP="007C05B5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90</w:t>
            </w:r>
          </w:p>
        </w:tc>
      </w:tr>
      <w:tr w:rsidR="004B0235" w:rsidRPr="00861214" w14:paraId="67885329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7A41E14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F.  Administration/Web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E2295F9" w14:textId="77777777" w:rsidR="004B0235" w:rsidRPr="00C957E3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FE0277B" w14:textId="77777777" w:rsidR="004B0235" w:rsidRPr="00C957E3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557721A" w14:textId="77777777" w:rsidR="004B0235" w:rsidRPr="00C957E3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54035741" w14:textId="780DC728" w:rsidR="004B0235" w:rsidRPr="00C957E3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6C10FCE" w14:textId="18DC3C55" w:rsidR="004B0235" w:rsidRPr="00C957E3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color w:val="000000"/>
                <w:sz w:val="20"/>
                <w:szCs w:val="20"/>
                <w:lang w:eastAsia="en-GB"/>
              </w:rPr>
              <w:t>556</w:t>
            </w:r>
          </w:p>
        </w:tc>
      </w:tr>
      <w:tr w:rsidR="004B0235" w:rsidRPr="00861214" w14:paraId="6F99A224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B3983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Salaries, social costs and other benefits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4CD4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2CC6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4D8C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19E13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AE61" w14:textId="1F37324E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331</w:t>
            </w:r>
          </w:p>
        </w:tc>
      </w:tr>
      <w:tr w:rsidR="004B0235" w:rsidRPr="00861214" w14:paraId="0C533577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3649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Staff hiring and departure costs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E6D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A179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970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F3777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B64B" w14:textId="2469FA2C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48</w:t>
            </w:r>
          </w:p>
        </w:tc>
      </w:tr>
      <w:tr w:rsidR="004B0235" w:rsidRPr="00861214" w14:paraId="05893851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BE04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Travel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8A9A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631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440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E5494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4D6" w14:textId="2CEF7CAA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B0235" w:rsidRPr="00861214" w14:paraId="5B6F7ED0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558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Equipment/Office Supplies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5A79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DD7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F8E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9C327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405" w14:textId="414FB544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95</w:t>
            </w:r>
          </w:p>
        </w:tc>
      </w:tr>
      <w:tr w:rsidR="004B0235" w:rsidRPr="00861214" w14:paraId="14A52107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DA16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Planning and Capacity building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66BE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E50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145A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A842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B31C" w14:textId="07F073A8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82</w:t>
            </w:r>
          </w:p>
        </w:tc>
      </w:tr>
      <w:tr w:rsidR="004B0235" w:rsidRPr="00861214" w14:paraId="7C217029" w14:textId="77777777" w:rsidTr="00A81B59">
        <w:trPr>
          <w:cantSplit/>
          <w:trHeight w:val="27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DF0B395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G. Standing Committee Services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6260AC9" w14:textId="77777777" w:rsidR="004B0235" w:rsidRPr="00C957E3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C788893" w14:textId="77777777" w:rsidR="004B0235" w:rsidRPr="00C957E3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71C5B26" w14:textId="77777777" w:rsidR="004B0235" w:rsidRPr="00C957E3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419A2EDA" w14:textId="0397F7E5" w:rsidR="004B0235" w:rsidRPr="00C957E3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5E1A270" w14:textId="3386F8CB" w:rsidR="004B0235" w:rsidRPr="00C957E3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b/>
                <w:bCs/>
                <w:color w:val="000000"/>
                <w:sz w:val="20"/>
                <w:szCs w:val="20"/>
                <w:lang w:eastAsia="en-GB"/>
              </w:rPr>
              <w:t>193</w:t>
            </w:r>
          </w:p>
        </w:tc>
      </w:tr>
      <w:tr w:rsidR="004B0235" w:rsidRPr="00861214" w14:paraId="78A9DF4F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CE0E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Standing Committee delegates’ support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BDFB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0A7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E3EC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C785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92A1" w14:textId="5304332B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45</w:t>
            </w:r>
          </w:p>
        </w:tc>
      </w:tr>
      <w:tr w:rsidR="004B0235" w:rsidRPr="00861214" w14:paraId="458AE826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C14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Standing Committee meetings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A0D7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2D13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0AFE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F857B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8AFC" w14:textId="21921D6C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4B0235" w:rsidRPr="00861214" w14:paraId="4DACCA24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45B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SC translation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CCFE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8E0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1C47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DC750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8FC9" w14:textId="2030CA4E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60</w:t>
            </w:r>
          </w:p>
        </w:tc>
      </w:tr>
      <w:tr w:rsidR="004B0235" w:rsidRPr="00861214" w14:paraId="43775B6E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2CA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Simultaneous interpretation at SC meetings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05CF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BBBA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AD22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B301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ADAC" w14:textId="13640BA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4B0235" w:rsidRPr="00861214" w14:paraId="6819A6E0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58CB" w14:textId="77777777" w:rsidR="004B0235" w:rsidRPr="00C957E3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Effectiveness Working Group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3AE3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F9D2" w14:textId="77777777" w:rsidR="004B0235" w:rsidRPr="00C957E3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C957E3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C196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A50E4" w14:textId="7777777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583C" w14:textId="5B22DCB7" w:rsidR="004B0235" w:rsidRPr="00C957E3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957E3">
              <w:rPr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4B0235" w:rsidRPr="00861214" w14:paraId="43A1A540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9055" w14:textId="1DD87A5F" w:rsidR="004B0235" w:rsidRPr="00C957E3" w:rsidRDefault="004B0235" w:rsidP="00C21939">
            <w:pPr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Enhance effic</w:t>
            </w:r>
            <w:r w:rsidR="006B0B25" w:rsidRPr="00C957E3">
              <w:rPr>
                <w:color w:val="0000FF"/>
                <w:sz w:val="20"/>
                <w:szCs w:val="20"/>
                <w:lang w:eastAsia="en-GB"/>
              </w:rPr>
              <w:t>i</w:t>
            </w:r>
            <w:r w:rsidRPr="00C957E3">
              <w:rPr>
                <w:color w:val="0000FF"/>
                <w:sz w:val="20"/>
                <w:szCs w:val="20"/>
                <w:lang w:eastAsia="en-GB"/>
              </w:rPr>
              <w:t>ency and collaboration (Res. XIV.3)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067C" w14:textId="3BFB4B31" w:rsidR="004B0235" w:rsidRPr="00C957E3" w:rsidRDefault="004B0235" w:rsidP="00EB2579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BBC2" w14:textId="32805C69" w:rsidR="004B0235" w:rsidRPr="00C957E3" w:rsidRDefault="004B0235" w:rsidP="00EB2579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CCEE" w14:textId="0165F82C" w:rsidR="004B0235" w:rsidRPr="00C957E3" w:rsidRDefault="004B0235" w:rsidP="00EB2579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9CED" w14:textId="3FEE6329" w:rsidR="004B0235" w:rsidRPr="00C957E3" w:rsidRDefault="004B0235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2177" w14:textId="375EF80F" w:rsidR="004B0235" w:rsidRPr="00C957E3" w:rsidRDefault="004B0235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7</w:t>
            </w:r>
          </w:p>
        </w:tc>
      </w:tr>
      <w:tr w:rsidR="004B0235" w:rsidRPr="00861214" w14:paraId="0DA92524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6109" w14:textId="6BBC369A" w:rsidR="004B0235" w:rsidRPr="00C957E3" w:rsidRDefault="004B0235" w:rsidP="00EB2579">
            <w:pPr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R</w:t>
            </w:r>
            <w:r w:rsidR="00EB2579" w:rsidRPr="00C957E3">
              <w:rPr>
                <w:color w:val="0000FF"/>
                <w:sz w:val="20"/>
                <w:szCs w:val="20"/>
                <w:lang w:eastAsia="en-GB"/>
              </w:rPr>
              <w:t>eview of R</w:t>
            </w:r>
            <w:r w:rsidRPr="00C957E3">
              <w:rPr>
                <w:color w:val="0000FF"/>
                <w:sz w:val="20"/>
                <w:szCs w:val="20"/>
                <w:lang w:eastAsia="en-GB"/>
              </w:rPr>
              <w:t>esolutions (Res. XIII.4)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3BE2" w14:textId="054F94A6" w:rsidR="004B0235" w:rsidRPr="00C957E3" w:rsidRDefault="004B0235" w:rsidP="00C21939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2DFC" w14:textId="5906559B" w:rsidR="004B0235" w:rsidRPr="00C957E3" w:rsidRDefault="004B0235" w:rsidP="00C21939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F111" w14:textId="630F0914" w:rsidR="004B0235" w:rsidRPr="00C957E3" w:rsidRDefault="004B0235" w:rsidP="00C21939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FEED3" w14:textId="62141CA0" w:rsidR="004B0235" w:rsidRPr="00C957E3" w:rsidRDefault="004B0235" w:rsidP="00C21939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B95D" w14:textId="2F0C84E0" w:rsidR="004B0235" w:rsidRPr="00C957E3" w:rsidRDefault="004B0235" w:rsidP="00C21939">
            <w:pPr>
              <w:jc w:val="right"/>
              <w:rPr>
                <w:color w:val="0000FF"/>
                <w:sz w:val="20"/>
                <w:szCs w:val="20"/>
                <w:lang w:eastAsia="en-GB"/>
              </w:rPr>
            </w:pPr>
            <w:r w:rsidRPr="00C957E3">
              <w:rPr>
                <w:color w:val="0000FF"/>
                <w:sz w:val="20"/>
                <w:szCs w:val="20"/>
                <w:lang w:eastAsia="en-GB"/>
              </w:rPr>
              <w:t>22</w:t>
            </w:r>
          </w:p>
        </w:tc>
      </w:tr>
      <w:tr w:rsidR="004B0235" w:rsidRPr="00861214" w14:paraId="5945A77D" w14:textId="77777777" w:rsidTr="00A81B59">
        <w:trPr>
          <w:cantSplit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B23CF3E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</w:t>
            </w:r>
            <w:r w:rsidRPr="00861214">
              <w:rPr>
                <w:sz w:val="20"/>
                <w:szCs w:val="20"/>
                <w:lang w:eastAsia="en-GB"/>
              </w:rPr>
              <w:t>.  IUCN Administrative Service Charges (max.)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7D25EA1" w14:textId="77777777" w:rsidR="004B0235" w:rsidRPr="00861214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C852FEA" w14:textId="77777777" w:rsidR="004B0235" w:rsidRPr="00861214" w:rsidRDefault="004B0235" w:rsidP="00C957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C8BED49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0F7B43D2" w14:textId="5A4EDB0F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F1AFC16" w14:textId="667E1F15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541</w:t>
            </w:r>
          </w:p>
        </w:tc>
      </w:tr>
      <w:tr w:rsidR="004B0235" w:rsidRPr="00861214" w14:paraId="4A97E0BB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5BE5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Administration, Human Resources, Finance &amp; IT services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5933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E0C7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17AC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9C720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21C" w14:textId="06E584F1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541</w:t>
            </w:r>
          </w:p>
        </w:tc>
      </w:tr>
      <w:tr w:rsidR="004B0235" w:rsidRPr="00861214" w14:paraId="151652AD" w14:textId="77777777" w:rsidTr="00A81B59">
        <w:trPr>
          <w:cantSplit/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F95477E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</w:t>
            </w:r>
            <w:r w:rsidRPr="00861214">
              <w:rPr>
                <w:sz w:val="20"/>
                <w:szCs w:val="20"/>
                <w:lang w:eastAsia="en-GB"/>
              </w:rPr>
              <w:t>.  Miscellaneous - Reserve Fund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CE47348" w14:textId="77777777" w:rsidR="004B0235" w:rsidRPr="00861214" w:rsidRDefault="004B0235" w:rsidP="00C21939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3276813" w14:textId="77777777" w:rsidR="004B0235" w:rsidRPr="00861214" w:rsidRDefault="004B0235" w:rsidP="00C21939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9D06F5A" w14:textId="77777777" w:rsidR="004B0235" w:rsidRPr="00861214" w:rsidRDefault="004B0235" w:rsidP="00C2193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1E02FF50" w14:textId="1E36AC90" w:rsidR="004B0235" w:rsidRDefault="004B0235" w:rsidP="00C2193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C4CB05B" w14:textId="13C8EB99" w:rsidR="004B0235" w:rsidRPr="00861214" w:rsidRDefault="004B0235" w:rsidP="00C2193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278</w:t>
            </w:r>
          </w:p>
        </w:tc>
      </w:tr>
      <w:tr w:rsidR="004B0235" w:rsidRPr="00861214" w14:paraId="652AA893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27E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Staff Provisions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15BA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520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4D78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88BF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F46C" w14:textId="74095269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4B0235" w:rsidRPr="00861214" w14:paraId="6FA235B4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0B56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Provision for outstanding contributions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659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A8CE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C612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DA21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7548" w14:textId="63A9D1F0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150</w:t>
            </w:r>
          </w:p>
        </w:tc>
      </w:tr>
      <w:tr w:rsidR="004B0235" w:rsidRPr="00861214" w14:paraId="7AE725F6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1F78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Exchange rate gains / losses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19C8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E9AC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210F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2085F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16C" w14:textId="4DA7D3B8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B0235" w:rsidRPr="00861214" w14:paraId="6C693642" w14:textId="77777777" w:rsidTr="00A81B59">
        <w:trPr>
          <w:cantSplit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4462" w14:textId="77777777" w:rsidR="004B0235" w:rsidRPr="00861214" w:rsidRDefault="004B0235" w:rsidP="00C21939">
            <w:pPr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Legal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A60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640" w14:textId="77777777" w:rsidR="004B0235" w:rsidRPr="00861214" w:rsidRDefault="004B0235" w:rsidP="00C21939">
            <w:pPr>
              <w:jc w:val="right"/>
              <w:rPr>
                <w:sz w:val="20"/>
                <w:szCs w:val="20"/>
                <w:lang w:eastAsia="en-GB"/>
              </w:rPr>
            </w:pPr>
            <w:r w:rsidRPr="00861214">
              <w:rPr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A2C3" w14:textId="77777777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6BECA" w14:textId="77777777" w:rsidR="004B0235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17EA" w14:textId="43B7E5C6" w:rsidR="004B0235" w:rsidRPr="00861214" w:rsidRDefault="004B0235" w:rsidP="00C21939">
            <w:pPr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108</w:t>
            </w:r>
          </w:p>
        </w:tc>
      </w:tr>
      <w:tr w:rsidR="004B0235" w:rsidRPr="00861214" w14:paraId="698A8CFA" w14:textId="77777777" w:rsidTr="00A81B59">
        <w:trPr>
          <w:cantSplit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1B538268" w14:textId="77777777" w:rsidR="004B0235" w:rsidRPr="00861214" w:rsidRDefault="004B0235" w:rsidP="00C21939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TOTAL EXPENDITURES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6DBE9024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5,081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42ACB668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1214">
              <w:rPr>
                <w:b/>
                <w:bCs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76DE7B09" w14:textId="77777777" w:rsidR="004B0235" w:rsidRPr="00861214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14:paraId="09E2C0DB" w14:textId="09B4309B" w:rsidR="004B0235" w:rsidRDefault="004B023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5022FE81" w14:textId="41AE409A" w:rsidR="004B0235" w:rsidRPr="00861214" w:rsidRDefault="006B0B25" w:rsidP="00C957E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6,097</w:t>
            </w:r>
          </w:p>
        </w:tc>
      </w:tr>
    </w:tbl>
    <w:p w14:paraId="034F452A" w14:textId="77777777" w:rsidR="00A733F6" w:rsidRPr="003956B3" w:rsidRDefault="00A733F6" w:rsidP="00A733F6">
      <w:pPr>
        <w:rPr>
          <w:sz w:val="20"/>
          <w:szCs w:val="20"/>
        </w:rPr>
      </w:pPr>
    </w:p>
    <w:p w14:paraId="6837F895" w14:textId="77777777" w:rsidR="008F6EDE" w:rsidRDefault="008F6EDE" w:rsidP="00A51A5D">
      <w:pPr>
        <w:widowControl/>
        <w:ind w:left="426" w:hanging="426"/>
        <w:rPr>
          <w:rFonts w:asciiTheme="minorHAnsi" w:hAnsiTheme="minorHAnsi" w:cstheme="minorHAnsi"/>
          <w:b/>
          <w:i/>
        </w:rPr>
      </w:pPr>
    </w:p>
    <w:sectPr w:rsidR="008F6EDE" w:rsidSect="002D2F4B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ECC7" w14:textId="77777777" w:rsidR="008F72A6" w:rsidRDefault="008F72A6" w:rsidP="00A50555">
      <w:r>
        <w:separator/>
      </w:r>
    </w:p>
  </w:endnote>
  <w:endnote w:type="continuationSeparator" w:id="0">
    <w:p w14:paraId="60314670" w14:textId="77777777" w:rsidR="008F72A6" w:rsidRDefault="008F72A6" w:rsidP="00A5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A6A2" w14:textId="68007CF4" w:rsidR="00312617" w:rsidRPr="00591472" w:rsidRDefault="00312617" w:rsidP="00591472">
    <w:pPr>
      <w:tabs>
        <w:tab w:val="left" w:pos="8789"/>
      </w:tabs>
      <w:rPr>
        <w:rFonts w:cstheme="minorHAnsi"/>
        <w:sz w:val="18"/>
        <w:szCs w:val="18"/>
      </w:rPr>
    </w:pPr>
    <w:r w:rsidRPr="00591472">
      <w:rPr>
        <w:rFonts w:cstheme="minorHAnsi"/>
        <w:sz w:val="18"/>
        <w:szCs w:val="18"/>
      </w:rPr>
      <w:t>SC</w:t>
    </w:r>
    <w:r>
      <w:rPr>
        <w:rFonts w:cstheme="minorHAnsi"/>
        <w:sz w:val="18"/>
        <w:szCs w:val="18"/>
      </w:rPr>
      <w:t>62</w:t>
    </w:r>
    <w:r w:rsidRPr="00591472">
      <w:rPr>
        <w:rFonts w:cstheme="minorHAnsi"/>
        <w:sz w:val="18"/>
        <w:szCs w:val="18"/>
      </w:rPr>
      <w:t xml:space="preserve"> Com.</w:t>
    </w:r>
    <w:r w:rsidR="00152F66">
      <w:rPr>
        <w:rFonts w:cstheme="minorHAnsi"/>
        <w:sz w:val="18"/>
        <w:szCs w:val="18"/>
      </w:rPr>
      <w:t>1</w:t>
    </w:r>
    <w:r>
      <w:rPr>
        <w:rFonts w:cstheme="minorHAnsi"/>
        <w:sz w:val="18"/>
        <w:szCs w:val="18"/>
      </w:rPr>
      <w:tab/>
    </w:r>
    <w:r w:rsidRPr="003563E9">
      <w:rPr>
        <w:rFonts w:cstheme="minorHAnsi"/>
        <w:sz w:val="18"/>
        <w:szCs w:val="18"/>
      </w:rPr>
      <w:fldChar w:fldCharType="begin"/>
    </w:r>
    <w:r w:rsidRPr="003563E9">
      <w:rPr>
        <w:rFonts w:cstheme="minorHAnsi"/>
        <w:sz w:val="18"/>
        <w:szCs w:val="18"/>
      </w:rPr>
      <w:instrText xml:space="preserve"> PAGE   \* MERGEFORMAT </w:instrText>
    </w:r>
    <w:r w:rsidRPr="003563E9">
      <w:rPr>
        <w:rFonts w:cstheme="minorHAnsi"/>
        <w:sz w:val="18"/>
        <w:szCs w:val="18"/>
      </w:rPr>
      <w:fldChar w:fldCharType="separate"/>
    </w:r>
    <w:r w:rsidR="00BD2065">
      <w:rPr>
        <w:rFonts w:cstheme="minorHAnsi"/>
        <w:noProof/>
        <w:sz w:val="18"/>
        <w:szCs w:val="18"/>
      </w:rPr>
      <w:t>5</w:t>
    </w:r>
    <w:r w:rsidRPr="003563E9">
      <w:rPr>
        <w:rFonts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69D7" w14:textId="77777777" w:rsidR="008F72A6" w:rsidRDefault="008F72A6" w:rsidP="00A50555">
      <w:r>
        <w:separator/>
      </w:r>
    </w:p>
  </w:footnote>
  <w:footnote w:type="continuationSeparator" w:id="0">
    <w:p w14:paraId="234DFC03" w14:textId="77777777" w:rsidR="008F72A6" w:rsidRDefault="008F72A6" w:rsidP="00A5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632AA6"/>
    <w:multiLevelType w:val="hybridMultilevel"/>
    <w:tmpl w:val="393C444C"/>
    <w:lvl w:ilvl="0" w:tplc="D7324902">
      <w:start w:val="1"/>
      <w:numFmt w:val="lowerLetter"/>
      <w:lvlText w:val="%1."/>
      <w:lvlJc w:val="left"/>
      <w:pPr>
        <w:ind w:left="785" w:hanging="360"/>
      </w:pPr>
      <w:rPr>
        <w:rFonts w:eastAsia="Batang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C371DEF"/>
    <w:multiLevelType w:val="hybridMultilevel"/>
    <w:tmpl w:val="36443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D5A1B"/>
    <w:multiLevelType w:val="hybridMultilevel"/>
    <w:tmpl w:val="DABE2B86"/>
    <w:lvl w:ilvl="0" w:tplc="788E700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25EF6"/>
    <w:multiLevelType w:val="hybridMultilevel"/>
    <w:tmpl w:val="1B08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90BB1"/>
    <w:multiLevelType w:val="hybridMultilevel"/>
    <w:tmpl w:val="99EEC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A3CAF"/>
    <w:multiLevelType w:val="hybridMultilevel"/>
    <w:tmpl w:val="668470EA"/>
    <w:lvl w:ilvl="0" w:tplc="BE2EA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C2E81"/>
    <w:multiLevelType w:val="hybridMultilevel"/>
    <w:tmpl w:val="A0D0D50C"/>
    <w:lvl w:ilvl="0" w:tplc="089E18B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751BAD"/>
    <w:multiLevelType w:val="hybridMultilevel"/>
    <w:tmpl w:val="0B0C2C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C3034"/>
    <w:multiLevelType w:val="hybridMultilevel"/>
    <w:tmpl w:val="AEEE90FA"/>
    <w:lvl w:ilvl="0" w:tplc="B63A677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CB7151"/>
    <w:multiLevelType w:val="hybridMultilevel"/>
    <w:tmpl w:val="66B6D9AE"/>
    <w:lvl w:ilvl="0" w:tplc="E95C0D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94522"/>
    <w:multiLevelType w:val="hybridMultilevel"/>
    <w:tmpl w:val="4D86A0D6"/>
    <w:lvl w:ilvl="0" w:tplc="C486D5A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D40B0"/>
    <w:multiLevelType w:val="hybridMultilevel"/>
    <w:tmpl w:val="E600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65232E93"/>
    <w:multiLevelType w:val="hybridMultilevel"/>
    <w:tmpl w:val="B616E20C"/>
    <w:lvl w:ilvl="0" w:tplc="58844B6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67CF7"/>
    <w:multiLevelType w:val="hybridMultilevel"/>
    <w:tmpl w:val="C93E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D423E85"/>
    <w:multiLevelType w:val="hybridMultilevel"/>
    <w:tmpl w:val="A71EB950"/>
    <w:lvl w:ilvl="0" w:tplc="A00216B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4316D"/>
    <w:multiLevelType w:val="hybridMultilevel"/>
    <w:tmpl w:val="03B204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692C40"/>
    <w:multiLevelType w:val="hybridMultilevel"/>
    <w:tmpl w:val="6004D778"/>
    <w:lvl w:ilvl="0" w:tplc="DF36A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25"/>
  </w:num>
  <w:num w:numId="5">
    <w:abstractNumId w:val="24"/>
  </w:num>
  <w:num w:numId="6">
    <w:abstractNumId w:val="16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7"/>
  </w:num>
  <w:num w:numId="14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2"/>
  </w:num>
  <w:num w:numId="20">
    <w:abstractNumId w:val="14"/>
  </w:num>
  <w:num w:numId="21">
    <w:abstractNumId w:val="2"/>
  </w:num>
  <w:num w:numId="22">
    <w:abstractNumId w:val="18"/>
  </w:num>
  <w:num w:numId="23">
    <w:abstractNumId w:val="28"/>
  </w:num>
  <w:num w:numId="24">
    <w:abstractNumId w:val="42"/>
  </w:num>
  <w:num w:numId="25">
    <w:abstractNumId w:val="40"/>
  </w:num>
  <w:num w:numId="26">
    <w:abstractNumId w:val="32"/>
  </w:num>
  <w:num w:numId="27">
    <w:abstractNumId w:val="34"/>
  </w:num>
  <w:num w:numId="28">
    <w:abstractNumId w:val="20"/>
  </w:num>
  <w:num w:numId="29">
    <w:abstractNumId w:val="30"/>
  </w:num>
  <w:num w:numId="30">
    <w:abstractNumId w:val="26"/>
  </w:num>
  <w:num w:numId="31">
    <w:abstractNumId w:val="38"/>
  </w:num>
  <w:num w:numId="32">
    <w:abstractNumId w:val="10"/>
  </w:num>
  <w:num w:numId="33">
    <w:abstractNumId w:val="0"/>
  </w:num>
  <w:num w:numId="34">
    <w:abstractNumId w:val="13"/>
  </w:num>
  <w:num w:numId="35">
    <w:abstractNumId w:val="3"/>
  </w:num>
  <w:num w:numId="36">
    <w:abstractNumId w:val="15"/>
  </w:num>
  <w:num w:numId="37">
    <w:abstractNumId w:val="35"/>
  </w:num>
  <w:num w:numId="38">
    <w:abstractNumId w:val="27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"/>
  </w:num>
  <w:num w:numId="42">
    <w:abstractNumId w:val="19"/>
  </w:num>
  <w:num w:numId="43">
    <w:abstractNumId w:val="6"/>
  </w:num>
  <w:num w:numId="44">
    <w:abstractNumId w:val="41"/>
  </w:num>
  <w:num w:numId="45">
    <w:abstractNumId w:val="39"/>
  </w:num>
  <w:num w:numId="46">
    <w:abstractNumId w:val="4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A5"/>
    <w:rsid w:val="00010305"/>
    <w:rsid w:val="000159B6"/>
    <w:rsid w:val="00022CF7"/>
    <w:rsid w:val="0002451C"/>
    <w:rsid w:val="00030B65"/>
    <w:rsid w:val="000400BF"/>
    <w:rsid w:val="000418F6"/>
    <w:rsid w:val="00061146"/>
    <w:rsid w:val="0007473E"/>
    <w:rsid w:val="00075BDC"/>
    <w:rsid w:val="00080D2B"/>
    <w:rsid w:val="0008515E"/>
    <w:rsid w:val="00090AA6"/>
    <w:rsid w:val="0009289B"/>
    <w:rsid w:val="00093528"/>
    <w:rsid w:val="0009409C"/>
    <w:rsid w:val="000A03A9"/>
    <w:rsid w:val="000A365E"/>
    <w:rsid w:val="000B2E06"/>
    <w:rsid w:val="000C231F"/>
    <w:rsid w:val="000C2F91"/>
    <w:rsid w:val="000D3076"/>
    <w:rsid w:val="000D7390"/>
    <w:rsid w:val="000D7C0D"/>
    <w:rsid w:val="000E0AE5"/>
    <w:rsid w:val="000E3ACD"/>
    <w:rsid w:val="000E645B"/>
    <w:rsid w:val="000F0E85"/>
    <w:rsid w:val="000F46B6"/>
    <w:rsid w:val="000F4BA3"/>
    <w:rsid w:val="000F77DA"/>
    <w:rsid w:val="00101312"/>
    <w:rsid w:val="001019BA"/>
    <w:rsid w:val="001037CE"/>
    <w:rsid w:val="001118B5"/>
    <w:rsid w:val="0011723D"/>
    <w:rsid w:val="00126EFB"/>
    <w:rsid w:val="00143B34"/>
    <w:rsid w:val="00152F66"/>
    <w:rsid w:val="001652D1"/>
    <w:rsid w:val="0018412E"/>
    <w:rsid w:val="00187E32"/>
    <w:rsid w:val="001959BA"/>
    <w:rsid w:val="00196236"/>
    <w:rsid w:val="001A0A0B"/>
    <w:rsid w:val="001A3D68"/>
    <w:rsid w:val="001A6241"/>
    <w:rsid w:val="001A64EB"/>
    <w:rsid w:val="001B5313"/>
    <w:rsid w:val="001B7BC0"/>
    <w:rsid w:val="001C794F"/>
    <w:rsid w:val="001D2175"/>
    <w:rsid w:val="001D6A6C"/>
    <w:rsid w:val="001E583C"/>
    <w:rsid w:val="001F0201"/>
    <w:rsid w:val="001F1060"/>
    <w:rsid w:val="001F11ED"/>
    <w:rsid w:val="00204595"/>
    <w:rsid w:val="002050D5"/>
    <w:rsid w:val="00210409"/>
    <w:rsid w:val="00213D29"/>
    <w:rsid w:val="002261FB"/>
    <w:rsid w:val="002275AA"/>
    <w:rsid w:val="00230B95"/>
    <w:rsid w:val="0025113C"/>
    <w:rsid w:val="00254B41"/>
    <w:rsid w:val="00261AFB"/>
    <w:rsid w:val="002731BF"/>
    <w:rsid w:val="00273A11"/>
    <w:rsid w:val="002753A2"/>
    <w:rsid w:val="002761E2"/>
    <w:rsid w:val="00293327"/>
    <w:rsid w:val="002965DA"/>
    <w:rsid w:val="002A573F"/>
    <w:rsid w:val="002B0987"/>
    <w:rsid w:val="002B1CFE"/>
    <w:rsid w:val="002B56FE"/>
    <w:rsid w:val="002C233F"/>
    <w:rsid w:val="002C2CCE"/>
    <w:rsid w:val="002D2F4B"/>
    <w:rsid w:val="002E00B9"/>
    <w:rsid w:val="002E1AA7"/>
    <w:rsid w:val="002E1C17"/>
    <w:rsid w:val="002E2BC5"/>
    <w:rsid w:val="002E6E44"/>
    <w:rsid w:val="002F01C2"/>
    <w:rsid w:val="00302AF5"/>
    <w:rsid w:val="0031045A"/>
    <w:rsid w:val="003120C7"/>
    <w:rsid w:val="00312617"/>
    <w:rsid w:val="00312AAB"/>
    <w:rsid w:val="003367DB"/>
    <w:rsid w:val="00347815"/>
    <w:rsid w:val="0035107E"/>
    <w:rsid w:val="003563E9"/>
    <w:rsid w:val="00356EEC"/>
    <w:rsid w:val="003621B6"/>
    <w:rsid w:val="003625AF"/>
    <w:rsid w:val="003636C0"/>
    <w:rsid w:val="00370162"/>
    <w:rsid w:val="003765E9"/>
    <w:rsid w:val="00381076"/>
    <w:rsid w:val="00383621"/>
    <w:rsid w:val="003836D6"/>
    <w:rsid w:val="003857D7"/>
    <w:rsid w:val="003A3C66"/>
    <w:rsid w:val="003A57E5"/>
    <w:rsid w:val="003B1DC5"/>
    <w:rsid w:val="003C0BB1"/>
    <w:rsid w:val="003C0CBD"/>
    <w:rsid w:val="003C3176"/>
    <w:rsid w:val="003C5B18"/>
    <w:rsid w:val="003C7862"/>
    <w:rsid w:val="003D0E8A"/>
    <w:rsid w:val="003E07B1"/>
    <w:rsid w:val="003E1E49"/>
    <w:rsid w:val="003F3625"/>
    <w:rsid w:val="003F688F"/>
    <w:rsid w:val="0040088B"/>
    <w:rsid w:val="00401F37"/>
    <w:rsid w:val="0040735E"/>
    <w:rsid w:val="00413A35"/>
    <w:rsid w:val="00426C7C"/>
    <w:rsid w:val="0042785D"/>
    <w:rsid w:val="00443D01"/>
    <w:rsid w:val="00444C8C"/>
    <w:rsid w:val="00450D67"/>
    <w:rsid w:val="004573E8"/>
    <w:rsid w:val="004575A6"/>
    <w:rsid w:val="004576D6"/>
    <w:rsid w:val="00464A2A"/>
    <w:rsid w:val="00473610"/>
    <w:rsid w:val="00477F88"/>
    <w:rsid w:val="00480521"/>
    <w:rsid w:val="0049087F"/>
    <w:rsid w:val="00497B52"/>
    <w:rsid w:val="004A0C1C"/>
    <w:rsid w:val="004A35A2"/>
    <w:rsid w:val="004B0235"/>
    <w:rsid w:val="004C2818"/>
    <w:rsid w:val="004C2A35"/>
    <w:rsid w:val="004D5C37"/>
    <w:rsid w:val="004E5AFB"/>
    <w:rsid w:val="004E6BCE"/>
    <w:rsid w:val="00503237"/>
    <w:rsid w:val="00503383"/>
    <w:rsid w:val="0051214A"/>
    <w:rsid w:val="00513537"/>
    <w:rsid w:val="0051680D"/>
    <w:rsid w:val="0052223D"/>
    <w:rsid w:val="00522262"/>
    <w:rsid w:val="00537C58"/>
    <w:rsid w:val="005410AA"/>
    <w:rsid w:val="005439A5"/>
    <w:rsid w:val="00543D97"/>
    <w:rsid w:val="00544F74"/>
    <w:rsid w:val="00556BA9"/>
    <w:rsid w:val="0056281F"/>
    <w:rsid w:val="00574D80"/>
    <w:rsid w:val="005818D9"/>
    <w:rsid w:val="00590982"/>
    <w:rsid w:val="00590B54"/>
    <w:rsid w:val="00591472"/>
    <w:rsid w:val="00595B92"/>
    <w:rsid w:val="005A32A8"/>
    <w:rsid w:val="005A5E14"/>
    <w:rsid w:val="005B2BCA"/>
    <w:rsid w:val="005B2C0F"/>
    <w:rsid w:val="005B4FB3"/>
    <w:rsid w:val="005B5816"/>
    <w:rsid w:val="005D6745"/>
    <w:rsid w:val="005E2AB1"/>
    <w:rsid w:val="005E3216"/>
    <w:rsid w:val="005E3F07"/>
    <w:rsid w:val="005E5094"/>
    <w:rsid w:val="005F00DF"/>
    <w:rsid w:val="005F25FF"/>
    <w:rsid w:val="005F38A9"/>
    <w:rsid w:val="005F39F0"/>
    <w:rsid w:val="0061300A"/>
    <w:rsid w:val="0061413D"/>
    <w:rsid w:val="00620874"/>
    <w:rsid w:val="0062629D"/>
    <w:rsid w:val="006302C1"/>
    <w:rsid w:val="00632CDE"/>
    <w:rsid w:val="00637101"/>
    <w:rsid w:val="00637803"/>
    <w:rsid w:val="00641B45"/>
    <w:rsid w:val="00642406"/>
    <w:rsid w:val="006460CC"/>
    <w:rsid w:val="00656511"/>
    <w:rsid w:val="00662D91"/>
    <w:rsid w:val="0066441B"/>
    <w:rsid w:val="0066724B"/>
    <w:rsid w:val="00687B72"/>
    <w:rsid w:val="006935FD"/>
    <w:rsid w:val="00693B20"/>
    <w:rsid w:val="006A43CF"/>
    <w:rsid w:val="006B0B25"/>
    <w:rsid w:val="006B7A8C"/>
    <w:rsid w:val="006C211A"/>
    <w:rsid w:val="006C516B"/>
    <w:rsid w:val="006D71F2"/>
    <w:rsid w:val="006E54A5"/>
    <w:rsid w:val="006F0A7A"/>
    <w:rsid w:val="006F2D4D"/>
    <w:rsid w:val="006F417C"/>
    <w:rsid w:val="006F4234"/>
    <w:rsid w:val="006F7F31"/>
    <w:rsid w:val="007019C8"/>
    <w:rsid w:val="00711D36"/>
    <w:rsid w:val="00715C47"/>
    <w:rsid w:val="007163B4"/>
    <w:rsid w:val="007221BA"/>
    <w:rsid w:val="00742432"/>
    <w:rsid w:val="007438C3"/>
    <w:rsid w:val="00743F0F"/>
    <w:rsid w:val="00755019"/>
    <w:rsid w:val="00763805"/>
    <w:rsid w:val="00763865"/>
    <w:rsid w:val="00763D3E"/>
    <w:rsid w:val="0077382A"/>
    <w:rsid w:val="00777E80"/>
    <w:rsid w:val="00782AC6"/>
    <w:rsid w:val="00785920"/>
    <w:rsid w:val="0078596A"/>
    <w:rsid w:val="00791E82"/>
    <w:rsid w:val="00792BD0"/>
    <w:rsid w:val="007A4062"/>
    <w:rsid w:val="007A443A"/>
    <w:rsid w:val="007B46A8"/>
    <w:rsid w:val="007B6E89"/>
    <w:rsid w:val="007C05B5"/>
    <w:rsid w:val="007C1B17"/>
    <w:rsid w:val="007C7587"/>
    <w:rsid w:val="007C7C77"/>
    <w:rsid w:val="007E32B3"/>
    <w:rsid w:val="007F588F"/>
    <w:rsid w:val="007F65D6"/>
    <w:rsid w:val="00807EFD"/>
    <w:rsid w:val="00821625"/>
    <w:rsid w:val="008224CD"/>
    <w:rsid w:val="00823CED"/>
    <w:rsid w:val="00826D90"/>
    <w:rsid w:val="00840681"/>
    <w:rsid w:val="008519D6"/>
    <w:rsid w:val="00857A89"/>
    <w:rsid w:val="00871B5A"/>
    <w:rsid w:val="008758DC"/>
    <w:rsid w:val="008949B3"/>
    <w:rsid w:val="00895B66"/>
    <w:rsid w:val="008A1322"/>
    <w:rsid w:val="008A6071"/>
    <w:rsid w:val="008A630E"/>
    <w:rsid w:val="008B6868"/>
    <w:rsid w:val="008B6D4C"/>
    <w:rsid w:val="008E1AA5"/>
    <w:rsid w:val="008E3818"/>
    <w:rsid w:val="008F0C0C"/>
    <w:rsid w:val="008F3ABA"/>
    <w:rsid w:val="008F6EDE"/>
    <w:rsid w:val="008F72A6"/>
    <w:rsid w:val="00912996"/>
    <w:rsid w:val="00913612"/>
    <w:rsid w:val="009261DF"/>
    <w:rsid w:val="0094344E"/>
    <w:rsid w:val="00951EDA"/>
    <w:rsid w:val="009548E8"/>
    <w:rsid w:val="00955845"/>
    <w:rsid w:val="00957482"/>
    <w:rsid w:val="00963971"/>
    <w:rsid w:val="00972660"/>
    <w:rsid w:val="00974A00"/>
    <w:rsid w:val="00975200"/>
    <w:rsid w:val="0098108D"/>
    <w:rsid w:val="0098498D"/>
    <w:rsid w:val="009850A6"/>
    <w:rsid w:val="00986334"/>
    <w:rsid w:val="00986D94"/>
    <w:rsid w:val="00991376"/>
    <w:rsid w:val="00995583"/>
    <w:rsid w:val="009A732E"/>
    <w:rsid w:val="009B30CB"/>
    <w:rsid w:val="009B5E77"/>
    <w:rsid w:val="009B7E58"/>
    <w:rsid w:val="009C4830"/>
    <w:rsid w:val="009D0254"/>
    <w:rsid w:val="009D2CB4"/>
    <w:rsid w:val="009D60D2"/>
    <w:rsid w:val="009E5AEF"/>
    <w:rsid w:val="009F5EF8"/>
    <w:rsid w:val="009F696A"/>
    <w:rsid w:val="00A00F0F"/>
    <w:rsid w:val="00A03544"/>
    <w:rsid w:val="00A0399C"/>
    <w:rsid w:val="00A0542A"/>
    <w:rsid w:val="00A16B54"/>
    <w:rsid w:val="00A20573"/>
    <w:rsid w:val="00A24BE1"/>
    <w:rsid w:val="00A25CC9"/>
    <w:rsid w:val="00A2640A"/>
    <w:rsid w:val="00A40003"/>
    <w:rsid w:val="00A464D1"/>
    <w:rsid w:val="00A50555"/>
    <w:rsid w:val="00A51A5D"/>
    <w:rsid w:val="00A52340"/>
    <w:rsid w:val="00A621D6"/>
    <w:rsid w:val="00A672A1"/>
    <w:rsid w:val="00A6732F"/>
    <w:rsid w:val="00A71988"/>
    <w:rsid w:val="00A733F6"/>
    <w:rsid w:val="00A74EB8"/>
    <w:rsid w:val="00A7738E"/>
    <w:rsid w:val="00A81B59"/>
    <w:rsid w:val="00A90931"/>
    <w:rsid w:val="00A9722C"/>
    <w:rsid w:val="00AB178F"/>
    <w:rsid w:val="00AC086D"/>
    <w:rsid w:val="00AD079A"/>
    <w:rsid w:val="00AD486C"/>
    <w:rsid w:val="00AE2CB9"/>
    <w:rsid w:val="00AF4B37"/>
    <w:rsid w:val="00AF5120"/>
    <w:rsid w:val="00B00120"/>
    <w:rsid w:val="00B0237C"/>
    <w:rsid w:val="00B07F57"/>
    <w:rsid w:val="00B1398E"/>
    <w:rsid w:val="00B15073"/>
    <w:rsid w:val="00B1795F"/>
    <w:rsid w:val="00B17B8E"/>
    <w:rsid w:val="00B22546"/>
    <w:rsid w:val="00B24305"/>
    <w:rsid w:val="00B24FC7"/>
    <w:rsid w:val="00B258C9"/>
    <w:rsid w:val="00B307DB"/>
    <w:rsid w:val="00B44B75"/>
    <w:rsid w:val="00B45EE7"/>
    <w:rsid w:val="00B4675C"/>
    <w:rsid w:val="00B47F4D"/>
    <w:rsid w:val="00B501A6"/>
    <w:rsid w:val="00B515C1"/>
    <w:rsid w:val="00B60E9F"/>
    <w:rsid w:val="00B633CD"/>
    <w:rsid w:val="00B87283"/>
    <w:rsid w:val="00B87646"/>
    <w:rsid w:val="00B93A4E"/>
    <w:rsid w:val="00B94F63"/>
    <w:rsid w:val="00BA28A6"/>
    <w:rsid w:val="00BA4C84"/>
    <w:rsid w:val="00BA54B9"/>
    <w:rsid w:val="00BB5461"/>
    <w:rsid w:val="00BC0A3B"/>
    <w:rsid w:val="00BC35EB"/>
    <w:rsid w:val="00BD015F"/>
    <w:rsid w:val="00BD2065"/>
    <w:rsid w:val="00BD255E"/>
    <w:rsid w:val="00BD381C"/>
    <w:rsid w:val="00BD3891"/>
    <w:rsid w:val="00BD6489"/>
    <w:rsid w:val="00BE0434"/>
    <w:rsid w:val="00BE7DB2"/>
    <w:rsid w:val="00C07ED3"/>
    <w:rsid w:val="00C113FB"/>
    <w:rsid w:val="00C21939"/>
    <w:rsid w:val="00C369B5"/>
    <w:rsid w:val="00C4108F"/>
    <w:rsid w:val="00C60C75"/>
    <w:rsid w:val="00C71068"/>
    <w:rsid w:val="00C72496"/>
    <w:rsid w:val="00C726E1"/>
    <w:rsid w:val="00C76EEE"/>
    <w:rsid w:val="00C76FD5"/>
    <w:rsid w:val="00C77D35"/>
    <w:rsid w:val="00C80233"/>
    <w:rsid w:val="00C910A1"/>
    <w:rsid w:val="00C92947"/>
    <w:rsid w:val="00C957E3"/>
    <w:rsid w:val="00CA2A73"/>
    <w:rsid w:val="00CA406A"/>
    <w:rsid w:val="00CA47DD"/>
    <w:rsid w:val="00CB11F6"/>
    <w:rsid w:val="00CC7060"/>
    <w:rsid w:val="00CD1507"/>
    <w:rsid w:val="00CD6CDA"/>
    <w:rsid w:val="00CE0166"/>
    <w:rsid w:val="00CE1C6A"/>
    <w:rsid w:val="00CE26BB"/>
    <w:rsid w:val="00CE4E7D"/>
    <w:rsid w:val="00CE5A38"/>
    <w:rsid w:val="00CF5D5E"/>
    <w:rsid w:val="00D12344"/>
    <w:rsid w:val="00D21AB0"/>
    <w:rsid w:val="00D22755"/>
    <w:rsid w:val="00D23279"/>
    <w:rsid w:val="00D32871"/>
    <w:rsid w:val="00D41DE9"/>
    <w:rsid w:val="00D434D9"/>
    <w:rsid w:val="00D528C2"/>
    <w:rsid w:val="00D55468"/>
    <w:rsid w:val="00D5694F"/>
    <w:rsid w:val="00D65981"/>
    <w:rsid w:val="00D740A9"/>
    <w:rsid w:val="00D816CB"/>
    <w:rsid w:val="00D86184"/>
    <w:rsid w:val="00D869E7"/>
    <w:rsid w:val="00DA7A62"/>
    <w:rsid w:val="00DB0BED"/>
    <w:rsid w:val="00DB2974"/>
    <w:rsid w:val="00DB76E9"/>
    <w:rsid w:val="00DC0469"/>
    <w:rsid w:val="00DC109C"/>
    <w:rsid w:val="00DC23F7"/>
    <w:rsid w:val="00DD5F2D"/>
    <w:rsid w:val="00E047CD"/>
    <w:rsid w:val="00E04963"/>
    <w:rsid w:val="00E10F8A"/>
    <w:rsid w:val="00E113B3"/>
    <w:rsid w:val="00E1293D"/>
    <w:rsid w:val="00E15918"/>
    <w:rsid w:val="00E207B9"/>
    <w:rsid w:val="00E25D01"/>
    <w:rsid w:val="00E34FA3"/>
    <w:rsid w:val="00E35FAB"/>
    <w:rsid w:val="00E36717"/>
    <w:rsid w:val="00E41F24"/>
    <w:rsid w:val="00E523A5"/>
    <w:rsid w:val="00E54426"/>
    <w:rsid w:val="00E56E08"/>
    <w:rsid w:val="00E61FC3"/>
    <w:rsid w:val="00E64E4A"/>
    <w:rsid w:val="00E659A0"/>
    <w:rsid w:val="00E75400"/>
    <w:rsid w:val="00E8197F"/>
    <w:rsid w:val="00E842B7"/>
    <w:rsid w:val="00E9401C"/>
    <w:rsid w:val="00E96FBF"/>
    <w:rsid w:val="00E97A2C"/>
    <w:rsid w:val="00EB2579"/>
    <w:rsid w:val="00EB3C86"/>
    <w:rsid w:val="00EB4C55"/>
    <w:rsid w:val="00EC10F2"/>
    <w:rsid w:val="00EC1418"/>
    <w:rsid w:val="00EC34F8"/>
    <w:rsid w:val="00EC44E1"/>
    <w:rsid w:val="00EC5FE9"/>
    <w:rsid w:val="00ED15B4"/>
    <w:rsid w:val="00ED45B0"/>
    <w:rsid w:val="00ED4BF2"/>
    <w:rsid w:val="00F02BAA"/>
    <w:rsid w:val="00F068B4"/>
    <w:rsid w:val="00F10FCB"/>
    <w:rsid w:val="00F237D4"/>
    <w:rsid w:val="00F303B7"/>
    <w:rsid w:val="00F30DD3"/>
    <w:rsid w:val="00F34442"/>
    <w:rsid w:val="00F430ED"/>
    <w:rsid w:val="00F517A5"/>
    <w:rsid w:val="00F578A3"/>
    <w:rsid w:val="00F60AB1"/>
    <w:rsid w:val="00F63469"/>
    <w:rsid w:val="00F71148"/>
    <w:rsid w:val="00F837E1"/>
    <w:rsid w:val="00F91FE6"/>
    <w:rsid w:val="00FA0892"/>
    <w:rsid w:val="00FB512A"/>
    <w:rsid w:val="00FB515D"/>
    <w:rsid w:val="00FB66BD"/>
    <w:rsid w:val="00FC09A8"/>
    <w:rsid w:val="00FC5734"/>
    <w:rsid w:val="00FC5C2F"/>
    <w:rsid w:val="00FD6050"/>
    <w:rsid w:val="00FE408D"/>
    <w:rsid w:val="00FF19B1"/>
    <w:rsid w:val="00FF5DA6"/>
    <w:rsid w:val="00FF65F3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871BA"/>
  <w15:chartTrackingRefBased/>
  <w15:docId w15:val="{078A3970-D28C-4D77-9744-9C197CE6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E1AA5"/>
    <w:pPr>
      <w:ind w:left="240"/>
      <w:jc w:val="both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AA5"/>
    <w:rPr>
      <w:rFonts w:ascii="Calibri" w:eastAsia="Times New Roman" w:hAnsi="Calibri" w:cs="Calibri"/>
      <w:b/>
      <w:bCs/>
      <w:i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8E1AA5"/>
  </w:style>
  <w:style w:type="character" w:customStyle="1" w:styleId="BodyTextChar">
    <w:name w:val="Body Text Char"/>
    <w:basedOn w:val="DefaultParagraphFont"/>
    <w:link w:val="BodyText"/>
    <w:uiPriority w:val="1"/>
    <w:rsid w:val="008E1AA5"/>
    <w:rPr>
      <w:rFonts w:ascii="Calibri" w:eastAsia="Times New Roman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9F0"/>
    <w:rPr>
      <w:rFonts w:ascii="Calibri" w:eastAsia="Times New Roman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9F0"/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9F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6302C1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30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555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A50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555"/>
    <w:rPr>
      <w:rFonts w:ascii="Calibri" w:eastAsia="Times New Roman" w:hAnsi="Calibri" w:cs="Calibri"/>
      <w:lang w:val="en-US"/>
    </w:rPr>
  </w:style>
  <w:style w:type="paragraph" w:styleId="Revision">
    <w:name w:val="Revision"/>
    <w:hidden/>
    <w:uiPriority w:val="99"/>
    <w:semiHidden/>
    <w:rsid w:val="00912996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367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717"/>
    <w:rPr>
      <w:rFonts w:ascii="Calibri" w:eastAsia="Times New Roman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E36717"/>
    <w:rPr>
      <w:vertAlign w:val="superscript"/>
    </w:rPr>
  </w:style>
  <w:style w:type="paragraph" w:customStyle="1" w:styleId="MGfulltext">
    <w:name w:val="MG_fulltext"/>
    <w:basedOn w:val="Normal"/>
    <w:link w:val="MGfulltextChar"/>
    <w:qFormat/>
    <w:rsid w:val="009548E8"/>
    <w:pPr>
      <w:widowControl/>
      <w:autoSpaceDE/>
      <w:autoSpaceDN/>
      <w:spacing w:after="120"/>
    </w:pPr>
    <w:rPr>
      <w:rFonts w:ascii="Arial" w:hAnsi="Arial" w:cs="Arial"/>
      <w:sz w:val="24"/>
      <w:szCs w:val="24"/>
    </w:rPr>
  </w:style>
  <w:style w:type="character" w:customStyle="1" w:styleId="MGfulltextChar">
    <w:name w:val="MG_fulltext Char"/>
    <w:basedOn w:val="DefaultParagraphFont"/>
    <w:link w:val="MGfulltext"/>
    <w:rsid w:val="009548E8"/>
    <w:rPr>
      <w:rFonts w:ascii="Arial" w:eastAsia="Times New Roman" w:hAnsi="Arial" w:cs="Arial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C7862"/>
    <w:pPr>
      <w:widowControl/>
      <w:autoSpaceDE/>
      <w:autoSpaceDN/>
      <w:ind w:left="720" w:hanging="425"/>
      <w:contextualSpacing/>
    </w:pPr>
    <w:rPr>
      <w:rFonts w:eastAsia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3C78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C7862"/>
    <w:pPr>
      <w:spacing w:after="0" w:line="240" w:lineRule="auto"/>
      <w:ind w:left="425" w:hanging="425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3C7862"/>
    <w:pPr>
      <w:widowControl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customStyle="1" w:styleId="xl65">
    <w:name w:val="xl65"/>
    <w:basedOn w:val="Normal"/>
    <w:rsid w:val="003C7862"/>
    <w:pPr>
      <w:widowControl/>
      <w:autoSpaceDE/>
      <w:autoSpaceDN/>
      <w:spacing w:before="100" w:beforeAutospacing="1" w:after="100" w:afterAutospacing="1"/>
      <w:textAlignment w:val="top"/>
    </w:pPr>
    <w:rPr>
      <w:rFonts w:cs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spacing w:before="100" w:beforeAutospacing="1" w:after="100" w:afterAutospacing="1"/>
      <w:jc w:val="center"/>
      <w:textAlignment w:val="top"/>
    </w:pPr>
    <w:rPr>
      <w:rFonts w:cs="Times New Roman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rFonts w:cs="Times New Roman"/>
      <w:b/>
      <w:bCs/>
      <w:sz w:val="24"/>
      <w:szCs w:val="24"/>
      <w:lang w:val="en-GB" w:eastAsia="en-GB"/>
    </w:rPr>
  </w:style>
  <w:style w:type="paragraph" w:customStyle="1" w:styleId="xl69">
    <w:name w:val="xl69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  <w:jc w:val="center"/>
      <w:textAlignment w:val="top"/>
    </w:pPr>
    <w:rPr>
      <w:rFonts w:cs="Times New Roman"/>
      <w:b/>
      <w:bCs/>
      <w:sz w:val="24"/>
      <w:szCs w:val="24"/>
      <w:lang w:val="en-GB" w:eastAsia="en-GB"/>
    </w:rPr>
  </w:style>
  <w:style w:type="paragraph" w:customStyle="1" w:styleId="xl70">
    <w:name w:val="xl70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  <w:textAlignment w:val="top"/>
    </w:pPr>
    <w:rPr>
      <w:rFonts w:cs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  <w:textAlignment w:val="top"/>
    </w:pPr>
    <w:rPr>
      <w:rFonts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5">
    <w:name w:val="xl85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86">
    <w:name w:val="xl86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7">
    <w:name w:val="xl87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l88">
    <w:name w:val="xl88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9">
    <w:name w:val="xl89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90">
    <w:name w:val="xl90"/>
    <w:basedOn w:val="Normal"/>
    <w:rsid w:val="003C7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5" ma:contentTypeDescription="Create a new document." ma:contentTypeScope="" ma:versionID="edb5a81cb33a773fd150dd174133c226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3d13f0ae6bc4881104d4d0908c0caaea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73C1-965B-461B-9B96-8FACCB921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AA82B-735F-4E56-A668-76BF86035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539E6-AACE-44B3-8AC1-70F9BED8C537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aedd258d-19a7-41ba-8260-b0918f25313d"/>
    <ds:schemaRef ds:uri="8c0b6b05-eb82-4bda-97e8-cd82d0d6b45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43DAAF0-79FE-4458-9F2F-BF30FD4E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Ed Jennings</cp:lastModifiedBy>
  <cp:revision>4</cp:revision>
  <cp:lastPrinted>2023-09-04T11:01:00Z</cp:lastPrinted>
  <dcterms:created xsi:type="dcterms:W3CDTF">2023-09-05T11:26:00Z</dcterms:created>
  <dcterms:modified xsi:type="dcterms:W3CDTF">2023-09-05T11:47:00Z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DeRosaBM@state.gov</vt:lpwstr>
  </property>
  <property fmtid="{D5CDD505-2E9C-101B-9397-08002B2CF9AE}" pid="5" name="MSIP_Label_1665d9ee-429a-4d5f-97cc-cfb56e044a6e_SetDate">
    <vt:lpwstr>2021-06-22T23:34:57.4971171Z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83324181-f610-4c7c-8725-5a98adbf0d4b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0x01010020C2866174F1EB4584C940634C144C32</vt:lpwstr>
  </property>
</Properties>
</file>