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39DB0E86" w:rsidR="009C2848" w:rsidRPr="00022A36" w:rsidRDefault="0012186F"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noProof/>
          <w:lang w:val="es-ES" w:eastAsia="en-GB"/>
        </w:rPr>
      </w:pPr>
      <w:r w:rsidRPr="00022A36">
        <w:rPr>
          <w:rFonts w:eastAsia="Times New Roman" w:cstheme="minorHAnsi"/>
          <w:bCs/>
          <w:noProof/>
          <w:lang w:val="es-ES" w:eastAsia="en-GB"/>
        </w:rPr>
        <w:t>LA CONVENCIÓN SOBRE LOS HUMEDALES</w:t>
      </w:r>
    </w:p>
    <w:p w14:paraId="3F1C0530" w14:textId="115B2270" w:rsidR="009C2848" w:rsidRPr="00022A36" w:rsidRDefault="007F09F7"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noProof/>
          <w:lang w:val="es-ES" w:eastAsia="en-GB"/>
        </w:rPr>
      </w:pPr>
      <w:r w:rsidRPr="00022A36">
        <w:rPr>
          <w:rFonts w:eastAsia="Times New Roman" w:cstheme="minorHAnsi"/>
          <w:bCs/>
          <w:noProof/>
          <w:lang w:val="es-ES" w:eastAsia="en-GB"/>
        </w:rPr>
        <w:t>62</w:t>
      </w:r>
      <w:r w:rsidR="0004360C" w:rsidRPr="00022A36">
        <w:rPr>
          <w:noProof/>
          <w:lang w:val="es-ES"/>
        </w:rPr>
        <w:t>ª</w:t>
      </w:r>
      <w:r w:rsidR="009C2848" w:rsidRPr="00022A36">
        <w:rPr>
          <w:rFonts w:eastAsia="Times New Roman" w:cstheme="minorHAnsi"/>
          <w:bCs/>
          <w:noProof/>
          <w:lang w:val="es-ES" w:eastAsia="en-GB"/>
        </w:rPr>
        <w:t xml:space="preserve"> </w:t>
      </w:r>
      <w:r w:rsidR="0012186F" w:rsidRPr="00022A36">
        <w:rPr>
          <w:rFonts w:eastAsia="Times New Roman" w:cstheme="minorHAnsi"/>
          <w:bCs/>
          <w:noProof/>
          <w:lang w:val="es-ES" w:eastAsia="en-GB"/>
        </w:rPr>
        <w:t>reunión del Comité Permanente</w:t>
      </w:r>
    </w:p>
    <w:p w14:paraId="30FFE100" w14:textId="64E19803" w:rsidR="009C2848" w:rsidRPr="00022A36"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noProof/>
          <w:lang w:val="es-ES" w:eastAsia="en-GB"/>
        </w:rPr>
      </w:pPr>
      <w:r w:rsidRPr="00022A36">
        <w:rPr>
          <w:rFonts w:eastAsia="Times New Roman" w:cstheme="minorHAnsi"/>
          <w:bCs/>
          <w:noProof/>
          <w:lang w:val="es-ES" w:eastAsia="en-GB"/>
        </w:rPr>
        <w:t xml:space="preserve">Gland, </w:t>
      </w:r>
      <w:r w:rsidR="0012186F" w:rsidRPr="00022A36">
        <w:rPr>
          <w:rFonts w:eastAsia="Times New Roman" w:cstheme="minorHAnsi"/>
          <w:bCs/>
          <w:noProof/>
          <w:lang w:val="es-ES" w:eastAsia="en-GB"/>
        </w:rPr>
        <w:t>Suiza</w:t>
      </w:r>
      <w:r w:rsidRPr="00022A36">
        <w:rPr>
          <w:rFonts w:eastAsia="Times New Roman" w:cstheme="minorHAnsi"/>
          <w:bCs/>
          <w:noProof/>
          <w:lang w:val="es-ES" w:eastAsia="en-GB"/>
        </w:rPr>
        <w:t xml:space="preserve">, </w:t>
      </w:r>
      <w:r w:rsidR="007F09F7" w:rsidRPr="00022A36">
        <w:rPr>
          <w:rFonts w:eastAsia="Times New Roman" w:cstheme="minorHAnsi"/>
          <w:bCs/>
          <w:noProof/>
          <w:lang w:val="es-ES" w:eastAsia="en-GB"/>
        </w:rPr>
        <w:t>4</w:t>
      </w:r>
      <w:r w:rsidR="0012186F" w:rsidRPr="00022A36">
        <w:rPr>
          <w:rFonts w:eastAsia="Times New Roman" w:cstheme="minorHAnsi"/>
          <w:bCs/>
          <w:noProof/>
          <w:lang w:val="es-ES" w:eastAsia="en-GB"/>
        </w:rPr>
        <w:t xml:space="preserve"> a </w:t>
      </w:r>
      <w:r w:rsidR="007F09F7" w:rsidRPr="00022A36">
        <w:rPr>
          <w:rFonts w:eastAsia="Times New Roman" w:cstheme="minorHAnsi"/>
          <w:bCs/>
          <w:noProof/>
          <w:lang w:val="es-ES" w:eastAsia="en-GB"/>
        </w:rPr>
        <w:t>8</w:t>
      </w:r>
      <w:r w:rsidRPr="00022A36">
        <w:rPr>
          <w:rFonts w:eastAsia="Times New Roman" w:cstheme="minorHAnsi"/>
          <w:bCs/>
          <w:noProof/>
          <w:lang w:val="es-ES" w:eastAsia="en-GB"/>
        </w:rPr>
        <w:t xml:space="preserve"> </w:t>
      </w:r>
      <w:r w:rsidR="0012186F" w:rsidRPr="00022A36">
        <w:rPr>
          <w:rFonts w:eastAsia="Times New Roman" w:cstheme="minorHAnsi"/>
          <w:bCs/>
          <w:noProof/>
          <w:lang w:val="es-ES" w:eastAsia="en-GB"/>
        </w:rPr>
        <w:t>de septiembre de</w:t>
      </w:r>
      <w:r w:rsidR="001E050F" w:rsidRPr="00022A36">
        <w:rPr>
          <w:rFonts w:eastAsia="Times New Roman" w:cstheme="minorHAnsi"/>
          <w:bCs/>
          <w:noProof/>
          <w:lang w:val="es-ES" w:eastAsia="en-GB"/>
        </w:rPr>
        <w:t xml:space="preserve"> </w:t>
      </w:r>
      <w:r w:rsidRPr="00022A36">
        <w:rPr>
          <w:rFonts w:eastAsia="Times New Roman" w:cstheme="minorHAnsi"/>
          <w:bCs/>
          <w:noProof/>
          <w:lang w:val="es-ES" w:eastAsia="en-GB"/>
        </w:rPr>
        <w:t>202</w:t>
      </w:r>
      <w:r w:rsidR="007F09F7" w:rsidRPr="00022A36">
        <w:rPr>
          <w:rFonts w:eastAsia="Times New Roman" w:cstheme="minorHAnsi"/>
          <w:bCs/>
          <w:noProof/>
          <w:lang w:val="es-ES" w:eastAsia="en-GB"/>
        </w:rPr>
        <w:t>3</w:t>
      </w:r>
    </w:p>
    <w:p w14:paraId="13A5FABC" w14:textId="77777777" w:rsidR="009C2848" w:rsidRPr="00022A36" w:rsidRDefault="009C2848" w:rsidP="000A264B">
      <w:pPr>
        <w:spacing w:after="0" w:line="240" w:lineRule="auto"/>
        <w:jc w:val="both"/>
        <w:rPr>
          <w:noProof/>
          <w:sz w:val="28"/>
          <w:lang w:val="es-ES"/>
        </w:rPr>
      </w:pPr>
    </w:p>
    <w:p w14:paraId="6190BDC2" w14:textId="3DCA8129" w:rsidR="009C2848" w:rsidRPr="00022A36" w:rsidRDefault="009C2848" w:rsidP="000A264B">
      <w:pPr>
        <w:spacing w:after="0" w:line="240" w:lineRule="auto"/>
        <w:jc w:val="right"/>
        <w:rPr>
          <w:rFonts w:eastAsia="Times New Roman" w:cstheme="minorHAnsi"/>
          <w:b/>
          <w:noProof/>
          <w:sz w:val="28"/>
          <w:szCs w:val="28"/>
          <w:lang w:val="es-ES" w:eastAsia="en-GB"/>
        </w:rPr>
      </w:pPr>
      <w:r w:rsidRPr="00022A36">
        <w:rPr>
          <w:rFonts w:eastAsia="Times New Roman" w:cstheme="minorHAnsi"/>
          <w:b/>
          <w:noProof/>
          <w:sz w:val="28"/>
          <w:szCs w:val="28"/>
          <w:lang w:val="es-ES" w:eastAsia="en-GB"/>
        </w:rPr>
        <w:t>SC</w:t>
      </w:r>
      <w:r w:rsidR="007F09F7" w:rsidRPr="00022A36">
        <w:rPr>
          <w:rFonts w:eastAsia="Times New Roman" w:cstheme="minorHAnsi"/>
          <w:b/>
          <w:noProof/>
          <w:sz w:val="28"/>
          <w:szCs w:val="28"/>
          <w:lang w:val="es-ES" w:eastAsia="en-GB"/>
        </w:rPr>
        <w:t>62</w:t>
      </w:r>
      <w:r w:rsidRPr="00022A36">
        <w:rPr>
          <w:rFonts w:eastAsia="Times New Roman" w:cstheme="minorHAnsi"/>
          <w:b/>
          <w:noProof/>
          <w:sz w:val="28"/>
          <w:szCs w:val="28"/>
          <w:lang w:val="es-ES" w:eastAsia="en-GB"/>
        </w:rPr>
        <w:t xml:space="preserve"> Doc.</w:t>
      </w:r>
      <w:r w:rsidR="006D0E5D" w:rsidRPr="00022A36">
        <w:rPr>
          <w:rFonts w:eastAsia="Times New Roman" w:cstheme="minorHAnsi"/>
          <w:b/>
          <w:noProof/>
          <w:sz w:val="28"/>
          <w:szCs w:val="28"/>
          <w:lang w:val="es-ES" w:eastAsia="en-GB"/>
        </w:rPr>
        <w:t>1</w:t>
      </w:r>
      <w:r w:rsidR="007F09F7" w:rsidRPr="00022A36">
        <w:rPr>
          <w:rFonts w:eastAsia="Times New Roman" w:cstheme="minorHAnsi"/>
          <w:b/>
          <w:noProof/>
          <w:sz w:val="28"/>
          <w:szCs w:val="28"/>
          <w:lang w:val="es-ES" w:eastAsia="en-GB"/>
        </w:rPr>
        <w:t>4</w:t>
      </w:r>
    </w:p>
    <w:p w14:paraId="08CCB5EA" w14:textId="77777777" w:rsidR="009C2848" w:rsidRPr="00022A36" w:rsidRDefault="009C2848" w:rsidP="000A264B">
      <w:pPr>
        <w:spacing w:after="0" w:line="240" w:lineRule="auto"/>
        <w:jc w:val="right"/>
        <w:rPr>
          <w:rFonts w:eastAsia="Times New Roman" w:cstheme="minorHAnsi"/>
          <w:b/>
          <w:noProof/>
          <w:sz w:val="28"/>
          <w:szCs w:val="28"/>
          <w:lang w:val="es-ES" w:eastAsia="en-GB"/>
        </w:rPr>
      </w:pPr>
      <w:bookmarkStart w:id="0" w:name="_GoBack"/>
    </w:p>
    <w:p w14:paraId="26C784E9" w14:textId="654720FD" w:rsidR="009C2848" w:rsidRDefault="003D7F4E" w:rsidP="00CF3168">
      <w:pPr>
        <w:autoSpaceDE w:val="0"/>
        <w:autoSpaceDN w:val="0"/>
        <w:adjustRightInd w:val="0"/>
        <w:spacing w:after="0" w:line="240" w:lineRule="auto"/>
        <w:jc w:val="center"/>
        <w:rPr>
          <w:b/>
          <w:noProof/>
          <w:sz w:val="28"/>
          <w:lang w:val="es-ES"/>
        </w:rPr>
      </w:pPr>
      <w:r w:rsidRPr="00022A36">
        <w:rPr>
          <w:b/>
          <w:noProof/>
          <w:sz w:val="28"/>
          <w:lang w:val="es-ES"/>
        </w:rPr>
        <w:t xml:space="preserve">Mejora de la visibilidad de la Convención y </w:t>
      </w:r>
      <w:r w:rsidR="006E7E78" w:rsidRPr="00022A36">
        <w:rPr>
          <w:b/>
          <w:noProof/>
          <w:sz w:val="28"/>
          <w:lang w:val="es-ES"/>
        </w:rPr>
        <w:t xml:space="preserve">de </w:t>
      </w:r>
      <w:r w:rsidRPr="00022A36">
        <w:rPr>
          <w:b/>
          <w:noProof/>
          <w:sz w:val="28"/>
          <w:lang w:val="es-ES"/>
        </w:rPr>
        <w:t xml:space="preserve">las sinergias </w:t>
      </w:r>
      <w:r w:rsidR="002B1B44">
        <w:rPr>
          <w:b/>
          <w:noProof/>
          <w:sz w:val="28"/>
          <w:lang w:val="es-ES"/>
        </w:rPr>
        <w:br/>
      </w:r>
      <w:r w:rsidR="002B1B44" w:rsidRPr="002B1B44">
        <w:rPr>
          <w:b/>
          <w:noProof/>
          <w:sz w:val="28"/>
          <w:lang w:val="es-ES"/>
        </w:rPr>
        <w:t>en colaboración</w:t>
      </w:r>
      <w:r w:rsidR="002B1B44">
        <w:rPr>
          <w:b/>
          <w:noProof/>
          <w:sz w:val="28"/>
          <w:lang w:val="es-ES"/>
        </w:rPr>
        <w:t xml:space="preserve"> </w:t>
      </w:r>
      <w:r w:rsidRPr="00022A36">
        <w:rPr>
          <w:b/>
          <w:noProof/>
          <w:sz w:val="28"/>
          <w:lang w:val="es-ES"/>
        </w:rPr>
        <w:t xml:space="preserve">con acuerdos multilaterales sobre el medio ambiente </w:t>
      </w:r>
      <w:r w:rsidR="002B1B44">
        <w:rPr>
          <w:b/>
          <w:noProof/>
          <w:sz w:val="28"/>
          <w:lang w:val="es-ES"/>
        </w:rPr>
        <w:br/>
      </w:r>
      <w:r w:rsidRPr="00022A36">
        <w:rPr>
          <w:b/>
          <w:noProof/>
          <w:sz w:val="28"/>
          <w:lang w:val="es-ES"/>
        </w:rPr>
        <w:t xml:space="preserve">e </w:t>
      </w:r>
      <w:r w:rsidR="002B1B44">
        <w:rPr>
          <w:b/>
          <w:noProof/>
          <w:sz w:val="28"/>
          <w:lang w:val="es-ES"/>
        </w:rPr>
        <w:t xml:space="preserve">otras </w:t>
      </w:r>
      <w:r w:rsidRPr="00022A36">
        <w:rPr>
          <w:b/>
          <w:noProof/>
          <w:sz w:val="28"/>
          <w:lang w:val="es-ES"/>
        </w:rPr>
        <w:t xml:space="preserve">instituciones internacionales </w:t>
      </w:r>
    </w:p>
    <w:bookmarkEnd w:id="0"/>
    <w:p w14:paraId="7441E2C5" w14:textId="77777777" w:rsidR="00CF3168" w:rsidRPr="00022A36" w:rsidRDefault="00CF3168" w:rsidP="00CF3168">
      <w:pPr>
        <w:autoSpaceDE w:val="0"/>
        <w:autoSpaceDN w:val="0"/>
        <w:adjustRightInd w:val="0"/>
        <w:spacing w:after="0" w:line="240" w:lineRule="auto"/>
        <w:jc w:val="center"/>
        <w:rPr>
          <w:b/>
          <w:noProof/>
          <w:sz w:val="28"/>
          <w:lang w:val="es-ES"/>
        </w:rPr>
      </w:pPr>
    </w:p>
    <w:p w14:paraId="4F42B663" w14:textId="77777777" w:rsidR="009C2848" w:rsidRPr="00022A36" w:rsidRDefault="009C2848" w:rsidP="000A264B">
      <w:pPr>
        <w:autoSpaceDE w:val="0"/>
        <w:autoSpaceDN w:val="0"/>
        <w:adjustRightInd w:val="0"/>
        <w:spacing w:after="0" w:line="240" w:lineRule="auto"/>
        <w:ind w:left="357" w:hanging="357"/>
        <w:jc w:val="both"/>
        <w:rPr>
          <w:rFonts w:cstheme="minorHAnsi"/>
          <w:noProof/>
          <w:lang w:val="es-ES"/>
        </w:rPr>
      </w:pPr>
      <w:r w:rsidRPr="00022A36">
        <w:rPr>
          <w:rFonts w:eastAsia="Times New Roman" w:cstheme="minorHAnsi"/>
          <w:noProof/>
          <w:color w:val="2B579A"/>
          <w:shd w:val="clear" w:color="auto" w:fill="E6E6E6"/>
          <w:lang w:eastAsia="en-GB"/>
        </w:rPr>
        <mc:AlternateContent>
          <mc:Choice Requires="wps">
            <w:drawing>
              <wp:inline distT="0" distB="0" distL="0" distR="0" wp14:anchorId="0A4D4371" wp14:editId="117D4355">
                <wp:extent cx="5854535" cy="1055915"/>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55915"/>
                        </a:xfrm>
                        <a:prstGeom prst="rect">
                          <a:avLst/>
                        </a:prstGeom>
                        <a:solidFill>
                          <a:srgbClr val="FFFFFF"/>
                        </a:solidFill>
                        <a:ln w="9525">
                          <a:solidFill>
                            <a:srgbClr val="000000"/>
                          </a:solidFill>
                          <a:miter lim="800000"/>
                          <a:headEnd/>
                          <a:tailEnd/>
                        </a:ln>
                      </wps:spPr>
                      <wps:txbx>
                        <w:txbxContent>
                          <w:p w14:paraId="410FD682" w14:textId="27B2E9D1" w:rsidR="00000B89" w:rsidRPr="003D7F4E" w:rsidRDefault="003D7F4E" w:rsidP="009D2419">
                            <w:pPr>
                              <w:spacing w:after="0" w:line="240" w:lineRule="auto"/>
                              <w:rPr>
                                <w:rFonts w:ascii="Calibri" w:hAnsi="Calibri"/>
                                <w:b/>
                                <w:bCs/>
                                <w:noProof/>
                                <w:lang w:val="es-ES"/>
                              </w:rPr>
                            </w:pPr>
                            <w:r w:rsidRPr="003D7F4E">
                              <w:rPr>
                                <w:rFonts w:ascii="Calibri" w:hAnsi="Calibri"/>
                                <w:b/>
                                <w:bCs/>
                                <w:noProof/>
                                <w:lang w:val="es-ES"/>
                              </w:rPr>
                              <w:t>Acciones solicitadas</w:t>
                            </w:r>
                          </w:p>
                          <w:p w14:paraId="4690A93D" w14:textId="77777777" w:rsidR="009D2419" w:rsidRPr="003D7F4E" w:rsidRDefault="009D2419" w:rsidP="009D2419">
                            <w:pPr>
                              <w:spacing w:after="0" w:line="240" w:lineRule="auto"/>
                              <w:rPr>
                                <w:rFonts w:ascii="Calibri" w:hAnsi="Calibri"/>
                                <w:b/>
                                <w:bCs/>
                                <w:noProof/>
                                <w:lang w:val="es-ES"/>
                              </w:rPr>
                            </w:pPr>
                          </w:p>
                          <w:p w14:paraId="09907D18" w14:textId="18F223DD" w:rsidR="00000B89" w:rsidRPr="0004360C" w:rsidRDefault="00860F75" w:rsidP="0004360C">
                            <w:pPr>
                              <w:spacing w:after="0" w:line="240" w:lineRule="auto"/>
                              <w:rPr>
                                <w:noProof/>
                                <w:lang w:val="es-ES"/>
                              </w:rPr>
                            </w:pPr>
                            <w:r>
                              <w:rPr>
                                <w:noProof/>
                                <w:lang w:val="es-ES"/>
                              </w:rPr>
                              <w:t>Se invita al Comité Permanente a tomar nota</w:t>
                            </w:r>
                            <w:r w:rsidR="0004360C">
                              <w:rPr>
                                <w:noProof/>
                                <w:lang w:val="es-ES"/>
                              </w:rPr>
                              <w:t xml:space="preserve"> de los progresos realizados en la aplicación de las Resoluciones XIV.6 y XIII.7 sobre la </w:t>
                            </w:r>
                            <w:r w:rsidR="0004360C" w:rsidRPr="0004360C">
                              <w:rPr>
                                <w:bCs/>
                                <w:i/>
                                <w:iCs/>
                                <w:lang w:val="es-ES_tradnl"/>
                              </w:rPr>
                              <w:t>Mejora de la visibilidad de la Convención y</w:t>
                            </w:r>
                            <w:r w:rsidR="006E7E78">
                              <w:rPr>
                                <w:bCs/>
                                <w:i/>
                                <w:iCs/>
                                <w:lang w:val="es-ES_tradnl"/>
                              </w:rPr>
                              <w:t xml:space="preserve"> de</w:t>
                            </w:r>
                            <w:r w:rsidR="0004360C" w:rsidRPr="0004360C">
                              <w:rPr>
                                <w:bCs/>
                                <w:i/>
                                <w:iCs/>
                                <w:lang w:val="es-ES_tradnl"/>
                              </w:rPr>
                              <w:t xml:space="preserve"> las sinergias con otros acuerdos multilaterales sobre el medio ambiente e instituciones internacionales</w:t>
                            </w:r>
                            <w:r w:rsidR="0004360C">
                              <w:rPr>
                                <w:noProof/>
                                <w:lang w:val="es-ES"/>
                              </w:rPr>
                              <w:t>.</w:t>
                            </w:r>
                          </w:p>
                        </w:txbxContent>
                      </wps:txbx>
                      <wps:bodyPr rot="0" vert="horz" wrap="square" lIns="91440" tIns="45720" rIns="91440" bIns="45720" anchor="t" anchorCtr="0" upright="1">
                        <a:noAutofit/>
                      </wps:bodyPr>
                    </wps:wsp>
                  </a:graphicData>
                </a:graphic>
              </wp:inline>
            </w:drawing>
          </mc:Choice>
          <mc:Fallback>
            <w:pict>
              <v:shapetype w14:anchorId="0A4D4371" id="_x0000_t202" coordsize="21600,21600" o:spt="202" path="m,l,21600r21600,l21600,xe">
                <v:stroke joinstyle="miter"/>
                <v:path gradientshapeok="t" o:connecttype="rect"/>
              </v:shapetype>
              <v:shape id="Text Box 1" o:spid="_x0000_s1026" type="#_x0000_t202" style="width:461pt;height: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">
                <v:textbox>
                  <w:txbxContent>
                    <w:p w14:paraId="410FD682" w14:textId="27B2E9D1" w:rsidR="00000B89" w:rsidRPr="003D7F4E" w:rsidRDefault="003D7F4E" w:rsidP="009D2419">
                      <w:pPr>
                        <w:spacing w:after="0" w:line="240" w:lineRule="auto"/>
                        <w:rPr>
                          <w:rFonts w:ascii="Calibri" w:hAnsi="Calibri"/>
                          <w:b/>
                          <w:bCs/>
                          <w:noProof/>
                          <w:lang w:val="es-ES"/>
                        </w:rPr>
                      </w:pPr>
                      <w:r w:rsidRPr="003D7F4E">
                        <w:rPr>
                          <w:rFonts w:ascii="Calibri" w:hAnsi="Calibri"/>
                          <w:b/>
                          <w:bCs/>
                          <w:noProof/>
                          <w:lang w:val="es-ES"/>
                        </w:rPr>
                        <w:t>Acciones solicitadas</w:t>
                      </w:r>
                    </w:p>
                    <w:p w14:paraId="4690A93D" w14:textId="77777777" w:rsidR="009D2419" w:rsidRPr="003D7F4E" w:rsidRDefault="009D2419" w:rsidP="009D2419">
                      <w:pPr>
                        <w:spacing w:after="0" w:line="240" w:lineRule="auto"/>
                        <w:rPr>
                          <w:rFonts w:ascii="Calibri" w:hAnsi="Calibri"/>
                          <w:b/>
                          <w:bCs/>
                          <w:noProof/>
                          <w:lang w:val="es-ES"/>
                        </w:rPr>
                      </w:pPr>
                    </w:p>
                    <w:p w14:paraId="09907D18" w14:textId="18F223DD" w:rsidR="00000B89" w:rsidRPr="0004360C" w:rsidRDefault="00860F75" w:rsidP="0004360C">
                      <w:pPr>
                        <w:spacing w:after="0" w:line="240" w:lineRule="auto"/>
                        <w:rPr>
                          <w:noProof/>
                          <w:lang w:val="es-ES"/>
                        </w:rPr>
                      </w:pPr>
                      <w:r>
                        <w:rPr>
                          <w:noProof/>
                          <w:lang w:val="es-ES"/>
                        </w:rPr>
                        <w:t>Se invita al Comité Permanente a tomar nota</w:t>
                      </w:r>
                      <w:r w:rsidR="0004360C">
                        <w:rPr>
                          <w:noProof/>
                          <w:lang w:val="es-ES"/>
                        </w:rPr>
                        <w:t xml:space="preserve"> de los progresos realizados en la aplicación de las Resoluciones XIV.6 y XIII.7 sobre la </w:t>
                      </w:r>
                      <w:r w:rsidR="0004360C" w:rsidRPr="0004360C">
                        <w:rPr>
                          <w:bCs/>
                          <w:i/>
                          <w:iCs/>
                          <w:lang w:val="es-ES_tradnl"/>
                        </w:rPr>
                        <w:t>Mejora de la visibilidad de la Convención y</w:t>
                      </w:r>
                      <w:r w:rsidR="006E7E78">
                        <w:rPr>
                          <w:bCs/>
                          <w:i/>
                          <w:iCs/>
                          <w:lang w:val="es-ES_tradnl"/>
                        </w:rPr>
                        <w:t xml:space="preserve"> de</w:t>
                      </w:r>
                      <w:r w:rsidR="0004360C" w:rsidRPr="0004360C">
                        <w:rPr>
                          <w:bCs/>
                          <w:i/>
                          <w:iCs/>
                          <w:lang w:val="es-ES_tradnl"/>
                        </w:rPr>
                        <w:t xml:space="preserve"> las sinergias con otros acuerdos multilaterales sobre el medio ambiente e instituciones internacionales</w:t>
                      </w:r>
                      <w:r w:rsidR="0004360C">
                        <w:rPr>
                          <w:noProof/>
                          <w:lang w:val="es-ES"/>
                        </w:rPr>
                        <w:t>.</w:t>
                      </w:r>
                    </w:p>
                  </w:txbxContent>
                </v:textbox>
                <w10:anchorlock/>
              </v:shape>
            </w:pict>
          </mc:Fallback>
        </mc:AlternateContent>
      </w:r>
    </w:p>
    <w:p w14:paraId="4D5BC257" w14:textId="77777777" w:rsidR="009C2848" w:rsidRPr="00022A36" w:rsidRDefault="009C2848" w:rsidP="000A264B">
      <w:pPr>
        <w:autoSpaceDE w:val="0"/>
        <w:autoSpaceDN w:val="0"/>
        <w:adjustRightInd w:val="0"/>
        <w:spacing w:after="0" w:line="240" w:lineRule="auto"/>
        <w:ind w:left="357" w:hanging="357"/>
        <w:jc w:val="both"/>
        <w:rPr>
          <w:rFonts w:cstheme="minorHAnsi"/>
          <w:b/>
          <w:bCs/>
          <w:noProof/>
          <w:lang w:val="es-ES"/>
        </w:rPr>
      </w:pPr>
    </w:p>
    <w:p w14:paraId="543B5D4B" w14:textId="77777777" w:rsidR="009C2848" w:rsidRPr="00022A36" w:rsidRDefault="009C2848" w:rsidP="000A264B">
      <w:pPr>
        <w:autoSpaceDE w:val="0"/>
        <w:autoSpaceDN w:val="0"/>
        <w:adjustRightInd w:val="0"/>
        <w:spacing w:after="0" w:line="240" w:lineRule="auto"/>
        <w:ind w:left="357" w:hanging="357"/>
        <w:jc w:val="both"/>
        <w:rPr>
          <w:rFonts w:cstheme="minorHAnsi"/>
          <w:b/>
          <w:bCs/>
          <w:noProof/>
          <w:lang w:val="es-ES"/>
        </w:rPr>
      </w:pPr>
    </w:p>
    <w:p w14:paraId="0476F059" w14:textId="4F4F6EF2" w:rsidR="009C2848" w:rsidRPr="00022A36" w:rsidRDefault="0004360C" w:rsidP="000A264B">
      <w:pPr>
        <w:keepNext/>
        <w:spacing w:after="0" w:line="240" w:lineRule="auto"/>
        <w:ind w:left="357" w:hanging="357"/>
        <w:rPr>
          <w:rFonts w:cstheme="minorHAnsi"/>
          <w:b/>
          <w:bCs/>
          <w:noProof/>
          <w:lang w:val="es-ES"/>
        </w:rPr>
      </w:pPr>
      <w:r w:rsidRPr="00022A36">
        <w:rPr>
          <w:rFonts w:cstheme="minorHAnsi"/>
          <w:b/>
          <w:bCs/>
          <w:noProof/>
          <w:lang w:val="es-ES"/>
        </w:rPr>
        <w:t>Antecedentes</w:t>
      </w:r>
    </w:p>
    <w:p w14:paraId="61EF4199" w14:textId="77777777" w:rsidR="009C2848" w:rsidRPr="00022A36" w:rsidRDefault="009C2848" w:rsidP="000A264B">
      <w:pPr>
        <w:keepNext/>
        <w:spacing w:after="0" w:line="240" w:lineRule="auto"/>
        <w:ind w:left="426" w:hanging="426"/>
        <w:rPr>
          <w:rFonts w:eastAsia="Times New Roman" w:cstheme="minorHAnsi"/>
          <w:noProof/>
          <w:lang w:val="es-ES" w:eastAsia="en-GB"/>
        </w:rPr>
      </w:pPr>
    </w:p>
    <w:p w14:paraId="460D7E27" w14:textId="42395328" w:rsidR="0004360C" w:rsidRPr="00022A36" w:rsidRDefault="0004360C" w:rsidP="000163D4">
      <w:pPr>
        <w:pStyle w:val="ListParagraph"/>
        <w:numPr>
          <w:ilvl w:val="0"/>
          <w:numId w:val="30"/>
        </w:numPr>
        <w:autoSpaceDE w:val="0"/>
        <w:autoSpaceDN w:val="0"/>
        <w:adjustRightInd w:val="0"/>
        <w:jc w:val="left"/>
        <w:rPr>
          <w:rFonts w:asciiTheme="minorHAnsi" w:eastAsia="Times New Roman" w:hAnsiTheme="minorHAnsi" w:cstheme="minorHAnsi"/>
          <w:noProof/>
          <w:lang w:val="es-ES" w:eastAsia="es-ES_tradnl"/>
        </w:rPr>
      </w:pPr>
      <w:r w:rsidRPr="00022A36">
        <w:rPr>
          <w:rFonts w:asciiTheme="minorHAnsi" w:hAnsiTheme="minorHAnsi" w:cstheme="minorHAnsi"/>
          <w:noProof/>
          <w:color w:val="000000" w:themeColor="text1"/>
          <w:lang w:val="es-ES"/>
        </w:rPr>
        <w:t>La</w:t>
      </w:r>
      <w:r w:rsidRPr="00022A36">
        <w:rPr>
          <w:rFonts w:asciiTheme="minorHAnsi" w:hAnsiTheme="minorHAnsi" w:cstheme="minorHAnsi"/>
          <w:noProof/>
          <w:lang w:val="es-ES"/>
        </w:rPr>
        <w:t xml:space="preserve"> Resolución XIII.7 sobre la </w:t>
      </w:r>
      <w:r w:rsidRPr="00022A36">
        <w:rPr>
          <w:rFonts w:asciiTheme="minorHAnsi" w:hAnsiTheme="minorHAnsi" w:cstheme="minorHAnsi"/>
          <w:i/>
          <w:iCs/>
          <w:noProof/>
          <w:lang w:val="es-ES"/>
        </w:rPr>
        <w:t>Mejora de la visibilidad de la Convención y</w:t>
      </w:r>
      <w:r w:rsidR="001A5FF3" w:rsidRPr="00022A36">
        <w:rPr>
          <w:rFonts w:asciiTheme="minorHAnsi" w:hAnsiTheme="minorHAnsi" w:cstheme="minorHAnsi"/>
          <w:i/>
          <w:iCs/>
          <w:noProof/>
          <w:lang w:val="es-ES"/>
        </w:rPr>
        <w:t xml:space="preserve"> de</w:t>
      </w:r>
      <w:r w:rsidRPr="00022A36">
        <w:rPr>
          <w:rFonts w:asciiTheme="minorHAnsi" w:hAnsiTheme="minorHAnsi" w:cstheme="minorHAnsi"/>
          <w:i/>
          <w:iCs/>
          <w:noProof/>
          <w:lang w:val="es-ES"/>
        </w:rPr>
        <w:t xml:space="preserve"> las sinergias con otros acuerdos multilaterales sobre medio ambiente </w:t>
      </w:r>
      <w:r w:rsidR="001A5FF3" w:rsidRPr="00022A36">
        <w:rPr>
          <w:rFonts w:asciiTheme="minorHAnsi" w:hAnsiTheme="minorHAnsi" w:cstheme="minorHAnsi"/>
          <w:i/>
          <w:iCs/>
          <w:noProof/>
          <w:lang w:val="es-ES"/>
        </w:rPr>
        <w:t>e</w:t>
      </w:r>
      <w:r w:rsidRPr="00022A36">
        <w:rPr>
          <w:rFonts w:asciiTheme="minorHAnsi" w:hAnsiTheme="minorHAnsi" w:cstheme="minorHAnsi"/>
          <w:i/>
          <w:iCs/>
          <w:noProof/>
          <w:lang w:val="es-ES"/>
        </w:rPr>
        <w:t xml:space="preserve"> instituciones internacionales</w:t>
      </w:r>
      <w:r w:rsidRPr="00022A36">
        <w:rPr>
          <w:rFonts w:asciiTheme="minorHAnsi" w:hAnsiTheme="minorHAnsi" w:cstheme="minorHAnsi"/>
          <w:noProof/>
          <w:lang w:val="es-ES"/>
        </w:rPr>
        <w:t xml:space="preserve"> encarga a la Secretaría que informe periódicamente al Comité Permanente sobre los progresos realizados en la aplicación de esta Resolución y de la Resolución XI.6 sobre las </w:t>
      </w:r>
      <w:r w:rsidRPr="00022A36">
        <w:rPr>
          <w:rFonts w:asciiTheme="minorHAnsi" w:eastAsia="Times New Roman" w:hAnsiTheme="minorHAnsi" w:cstheme="minorHAnsi"/>
          <w:i/>
          <w:iCs/>
          <w:noProof/>
          <w:lang w:val="es-ES" w:eastAsia="es-ES_tradnl"/>
        </w:rPr>
        <w:t xml:space="preserve">Asociaciones de </w:t>
      </w:r>
      <w:r w:rsidR="00960722" w:rsidRPr="00022A36">
        <w:rPr>
          <w:rFonts w:asciiTheme="minorHAnsi" w:eastAsia="Times New Roman" w:hAnsiTheme="minorHAnsi" w:cstheme="minorHAnsi"/>
          <w:i/>
          <w:iCs/>
          <w:noProof/>
          <w:lang w:val="es-ES" w:eastAsia="es-ES_tradnl"/>
        </w:rPr>
        <w:t>colaboración</w:t>
      </w:r>
      <w:r w:rsidRPr="00022A36">
        <w:rPr>
          <w:rFonts w:asciiTheme="minorHAnsi" w:eastAsia="Times New Roman" w:hAnsiTheme="minorHAnsi" w:cstheme="minorHAnsi"/>
          <w:i/>
          <w:iCs/>
          <w:noProof/>
          <w:lang w:val="es-ES" w:eastAsia="es-ES_tradnl"/>
        </w:rPr>
        <w:t xml:space="preserve"> y sinergias con acuerdos multilaterales sobre el medio ambiente y otras instituciones</w:t>
      </w:r>
      <w:r w:rsidRPr="00022A36">
        <w:rPr>
          <w:rFonts w:asciiTheme="minorHAnsi" w:eastAsia="Times New Roman" w:hAnsiTheme="minorHAnsi" w:cstheme="minorHAnsi"/>
          <w:noProof/>
          <w:lang w:val="es-ES" w:eastAsia="es-ES_tradnl"/>
        </w:rPr>
        <w:t xml:space="preserve">. </w:t>
      </w:r>
    </w:p>
    <w:p w14:paraId="5162C808" w14:textId="77777777" w:rsidR="00B7760D" w:rsidRPr="00022A36" w:rsidRDefault="00B7760D" w:rsidP="0004360C">
      <w:pPr>
        <w:suppressAutoHyphens/>
        <w:spacing w:after="0" w:line="240" w:lineRule="auto"/>
        <w:rPr>
          <w:rFonts w:eastAsia="Times New Roman" w:cstheme="minorHAnsi"/>
          <w:bCs/>
          <w:noProof/>
          <w:lang w:val="es-ES" w:eastAsia="en-GB"/>
        </w:rPr>
      </w:pPr>
    </w:p>
    <w:p w14:paraId="1CA714BD" w14:textId="15146E5C" w:rsidR="0004360C" w:rsidRPr="00022A36" w:rsidRDefault="0004360C" w:rsidP="00B23A28">
      <w:pPr>
        <w:pStyle w:val="ListParagraph"/>
        <w:numPr>
          <w:ilvl w:val="0"/>
          <w:numId w:val="30"/>
        </w:numPr>
        <w:autoSpaceDE w:val="0"/>
        <w:autoSpaceDN w:val="0"/>
        <w:adjustRightInd w:val="0"/>
        <w:jc w:val="left"/>
        <w:rPr>
          <w:rFonts w:asciiTheme="minorHAnsi" w:hAnsiTheme="minorHAnsi" w:cstheme="minorHAnsi"/>
          <w:noProof/>
          <w:lang w:val="es-ES"/>
        </w:rPr>
      </w:pPr>
      <w:r w:rsidRPr="00022A36">
        <w:rPr>
          <w:rFonts w:asciiTheme="minorHAnsi" w:hAnsiTheme="minorHAnsi" w:cstheme="minorHAnsi"/>
          <w:noProof/>
          <w:lang w:val="es-ES"/>
        </w:rPr>
        <w:t>Este informe se refiere a las principales actividades realizadas desde la reanudación de la 59ª reunión del Comité Permanente en 2022 (SC59/2022)</w:t>
      </w:r>
      <w:r w:rsidR="00695B04" w:rsidRPr="00022A36">
        <w:rPr>
          <w:rFonts w:asciiTheme="minorHAnsi" w:hAnsiTheme="minorHAnsi" w:cstheme="minorHAnsi"/>
          <w:noProof/>
          <w:lang w:val="es-ES"/>
        </w:rPr>
        <w:t>,</w:t>
      </w:r>
      <w:r w:rsidRPr="00022A36">
        <w:rPr>
          <w:rFonts w:asciiTheme="minorHAnsi" w:hAnsiTheme="minorHAnsi" w:cstheme="minorHAnsi"/>
          <w:noProof/>
          <w:lang w:val="es-ES"/>
        </w:rPr>
        <w:t xml:space="preserve"> con arreglo a las Resoluciones </w:t>
      </w:r>
      <w:r w:rsidR="00B23A28" w:rsidRPr="00022A36">
        <w:rPr>
          <w:rFonts w:asciiTheme="minorHAnsi" w:hAnsiTheme="minorHAnsi" w:cstheme="minorHAnsi"/>
          <w:noProof/>
          <w:lang w:val="es-ES"/>
        </w:rPr>
        <w:t xml:space="preserve">XIII.7, XI.6 y </w:t>
      </w:r>
      <w:r w:rsidRPr="00022A36">
        <w:rPr>
          <w:rFonts w:asciiTheme="minorHAnsi" w:hAnsiTheme="minorHAnsi" w:cstheme="minorHAnsi"/>
          <w:noProof/>
          <w:lang w:val="es-ES"/>
        </w:rPr>
        <w:t xml:space="preserve">XIV.6 (también sobre la </w:t>
      </w:r>
      <w:r w:rsidRPr="00022A36">
        <w:rPr>
          <w:rFonts w:asciiTheme="minorHAnsi" w:hAnsiTheme="minorHAnsi" w:cstheme="minorHAnsi"/>
          <w:i/>
          <w:iCs/>
          <w:noProof/>
          <w:lang w:val="es-ES"/>
        </w:rPr>
        <w:t xml:space="preserve">Mejora de la visibilidad de la Convención y </w:t>
      </w:r>
      <w:r w:rsidR="00892428" w:rsidRPr="00022A36">
        <w:rPr>
          <w:rFonts w:asciiTheme="minorHAnsi" w:hAnsiTheme="minorHAnsi" w:cstheme="minorHAnsi"/>
          <w:i/>
          <w:iCs/>
          <w:noProof/>
          <w:lang w:val="es-ES"/>
        </w:rPr>
        <w:t xml:space="preserve">de </w:t>
      </w:r>
      <w:r w:rsidRPr="00022A36">
        <w:rPr>
          <w:rFonts w:asciiTheme="minorHAnsi" w:hAnsiTheme="minorHAnsi" w:cstheme="minorHAnsi"/>
          <w:i/>
          <w:iCs/>
          <w:noProof/>
          <w:lang w:val="es-ES"/>
        </w:rPr>
        <w:t xml:space="preserve">las sinergias con otros acuerdos multilaterales sobre </w:t>
      </w:r>
      <w:r w:rsidR="001A5FF3" w:rsidRPr="00022A36">
        <w:rPr>
          <w:rFonts w:asciiTheme="minorHAnsi" w:hAnsiTheme="minorHAnsi" w:cstheme="minorHAnsi"/>
          <w:i/>
          <w:iCs/>
          <w:noProof/>
          <w:lang w:val="es-ES"/>
        </w:rPr>
        <w:t xml:space="preserve">el </w:t>
      </w:r>
      <w:r w:rsidRPr="00022A36">
        <w:rPr>
          <w:rFonts w:asciiTheme="minorHAnsi" w:hAnsiTheme="minorHAnsi" w:cstheme="minorHAnsi"/>
          <w:i/>
          <w:iCs/>
          <w:noProof/>
          <w:lang w:val="es-ES"/>
        </w:rPr>
        <w:t>medio ambiente y otras instituciones internacionales</w:t>
      </w:r>
      <w:r w:rsidRPr="00022A36">
        <w:rPr>
          <w:rFonts w:asciiTheme="minorHAnsi" w:hAnsiTheme="minorHAnsi" w:cstheme="minorHAnsi"/>
          <w:noProof/>
          <w:lang w:val="es-ES"/>
        </w:rPr>
        <w:t>), y específicamente</w:t>
      </w:r>
      <w:r w:rsidR="00B23A28" w:rsidRPr="00022A36">
        <w:rPr>
          <w:rFonts w:asciiTheme="minorHAnsi" w:hAnsiTheme="minorHAnsi" w:cstheme="minorHAnsi"/>
          <w:noProof/>
          <w:lang w:val="es-ES"/>
        </w:rPr>
        <w:t xml:space="preserve"> </w:t>
      </w:r>
      <w:r w:rsidRPr="00022A36">
        <w:rPr>
          <w:rFonts w:asciiTheme="minorHAnsi" w:hAnsiTheme="minorHAnsi" w:cstheme="minorHAnsi"/>
          <w:noProof/>
          <w:lang w:val="es-ES"/>
        </w:rPr>
        <w:t xml:space="preserve">las actividades relacionadas con el </w:t>
      </w:r>
      <w:r w:rsidR="00892428" w:rsidRPr="00022A36">
        <w:rPr>
          <w:rFonts w:asciiTheme="minorHAnsi" w:hAnsiTheme="minorHAnsi" w:cstheme="minorHAnsi"/>
          <w:noProof/>
          <w:lang w:val="es-ES"/>
        </w:rPr>
        <w:t>g</w:t>
      </w:r>
      <w:r w:rsidR="001A5FF3" w:rsidRPr="00022A36">
        <w:rPr>
          <w:rFonts w:asciiTheme="minorHAnsi" w:hAnsiTheme="minorHAnsi" w:cstheme="minorHAnsi"/>
          <w:noProof/>
          <w:lang w:val="es-ES"/>
        </w:rPr>
        <w:t>rupo de </w:t>
      </w:r>
      <w:r w:rsidR="00892428" w:rsidRPr="00022A36">
        <w:rPr>
          <w:rFonts w:asciiTheme="minorHAnsi" w:hAnsiTheme="minorHAnsi" w:cstheme="minorHAnsi"/>
          <w:noProof/>
          <w:lang w:val="es-ES"/>
        </w:rPr>
        <w:t>e</w:t>
      </w:r>
      <w:r w:rsidR="001A5FF3" w:rsidRPr="00022A36">
        <w:rPr>
          <w:rFonts w:asciiTheme="minorHAnsi" w:hAnsiTheme="minorHAnsi" w:cstheme="minorHAnsi"/>
          <w:noProof/>
          <w:lang w:val="es-ES"/>
        </w:rPr>
        <w:t>nlace de las</w:t>
      </w:r>
      <w:r w:rsidR="00022A36">
        <w:rPr>
          <w:rFonts w:asciiTheme="minorHAnsi" w:hAnsiTheme="minorHAnsi" w:cstheme="minorHAnsi"/>
          <w:noProof/>
          <w:lang w:val="es-ES"/>
        </w:rPr>
        <w:t xml:space="preserve"> </w:t>
      </w:r>
      <w:r w:rsidR="001A5FF3" w:rsidRPr="00022A36">
        <w:rPr>
          <w:rFonts w:asciiTheme="minorHAnsi" w:hAnsiTheme="minorHAnsi" w:cstheme="minorHAnsi"/>
          <w:noProof/>
          <w:lang w:val="es-ES"/>
        </w:rPr>
        <w:t xml:space="preserve">convenciones relacionadas con la biodiversidad </w:t>
      </w:r>
      <w:r w:rsidRPr="00022A36">
        <w:rPr>
          <w:rFonts w:asciiTheme="minorHAnsi" w:hAnsiTheme="minorHAnsi" w:cstheme="minorHAnsi"/>
          <w:noProof/>
          <w:lang w:val="es-ES"/>
        </w:rPr>
        <w:t>(BLG), la Plataforma Intergubernamental Científico-</w:t>
      </w:r>
      <w:r w:rsidR="000163D4" w:rsidRPr="00022A36">
        <w:rPr>
          <w:rFonts w:asciiTheme="minorHAnsi" w:hAnsiTheme="minorHAnsi" w:cstheme="minorHAnsi"/>
          <w:noProof/>
          <w:lang w:val="es-ES"/>
        </w:rPr>
        <w:t>n</w:t>
      </w:r>
      <w:r w:rsidRPr="00022A36">
        <w:rPr>
          <w:rFonts w:asciiTheme="minorHAnsi" w:hAnsiTheme="minorHAnsi" w:cstheme="minorHAnsi"/>
          <w:noProof/>
          <w:lang w:val="es-ES"/>
        </w:rPr>
        <w:t xml:space="preserve">ormativa sobre Diversidad Biológica y Servicios de los Ecosistemas (IPBES), </w:t>
      </w:r>
      <w:r w:rsidR="00892428" w:rsidRPr="00022A36">
        <w:rPr>
          <w:rFonts w:asciiTheme="minorHAnsi" w:hAnsiTheme="minorHAnsi" w:cstheme="minorHAnsi"/>
          <w:noProof/>
          <w:lang w:val="es-ES"/>
        </w:rPr>
        <w:t xml:space="preserve">así como </w:t>
      </w:r>
      <w:r w:rsidRPr="00022A36">
        <w:rPr>
          <w:rFonts w:asciiTheme="minorHAnsi" w:hAnsiTheme="minorHAnsi" w:cstheme="minorHAnsi"/>
          <w:noProof/>
          <w:lang w:val="es-ES"/>
        </w:rPr>
        <w:t xml:space="preserve">los progresos realizados en relación con los Objetivos de Desarrollo Sostenible (ODS) </w:t>
      </w:r>
      <w:r w:rsidR="001A5FF3" w:rsidRPr="00022A36">
        <w:rPr>
          <w:rFonts w:asciiTheme="minorHAnsi" w:hAnsiTheme="minorHAnsi" w:cstheme="minorHAnsi"/>
          <w:noProof/>
          <w:lang w:val="es-ES"/>
        </w:rPr>
        <w:t>y</w:t>
      </w:r>
      <w:r w:rsidR="00695B04" w:rsidRPr="00022A36">
        <w:rPr>
          <w:rFonts w:asciiTheme="minorHAnsi" w:hAnsiTheme="minorHAnsi" w:cstheme="minorHAnsi"/>
          <w:noProof/>
          <w:lang w:val="es-ES"/>
        </w:rPr>
        <w:t xml:space="preserve"> con</w:t>
      </w:r>
      <w:r w:rsidR="001A5FF3" w:rsidRPr="00022A36">
        <w:rPr>
          <w:rFonts w:asciiTheme="minorHAnsi" w:hAnsiTheme="minorHAnsi" w:cstheme="minorHAnsi"/>
          <w:noProof/>
          <w:lang w:val="es-ES"/>
        </w:rPr>
        <w:t xml:space="preserve"> </w:t>
      </w:r>
      <w:r w:rsidRPr="00022A36">
        <w:rPr>
          <w:rFonts w:asciiTheme="minorHAnsi" w:hAnsiTheme="minorHAnsi" w:cstheme="minorHAnsi"/>
          <w:noProof/>
          <w:lang w:val="es-ES"/>
        </w:rPr>
        <w:t>los AMMA, el Programa de las Naciones Unidas para el Medio Ambiente (PNUMA) y otras instituciones.</w:t>
      </w:r>
    </w:p>
    <w:p w14:paraId="280813B8" w14:textId="77777777" w:rsidR="00017673" w:rsidRPr="00022A36" w:rsidRDefault="00017673" w:rsidP="009D2419">
      <w:pPr>
        <w:spacing w:after="0" w:line="240" w:lineRule="auto"/>
        <w:rPr>
          <w:rFonts w:eastAsia="Times New Roman" w:cstheme="minorHAnsi"/>
          <w:b/>
          <w:noProof/>
          <w:lang w:val="es-ES" w:eastAsia="en-GB"/>
        </w:rPr>
      </w:pPr>
    </w:p>
    <w:p w14:paraId="71BA670E" w14:textId="171071DC" w:rsidR="001A5FF3" w:rsidRPr="00022A36" w:rsidRDefault="001A5FF3" w:rsidP="00017673">
      <w:pPr>
        <w:keepNext/>
        <w:spacing w:after="0" w:line="240" w:lineRule="auto"/>
        <w:rPr>
          <w:rFonts w:eastAsia="Times New Roman" w:cstheme="minorHAnsi"/>
          <w:b/>
          <w:bCs/>
          <w:noProof/>
          <w:lang w:val="es-ES" w:eastAsia="en-GB"/>
        </w:rPr>
      </w:pPr>
      <w:r w:rsidRPr="00022A36">
        <w:rPr>
          <w:b/>
          <w:bCs/>
          <w:noProof/>
          <w:lang w:val="es-ES"/>
        </w:rPr>
        <w:t>Plataforma Intergubernamental sobre Diversidad Biológica y Servicios de los Ecosistemas</w:t>
      </w:r>
      <w:r w:rsidRPr="00022A36">
        <w:rPr>
          <w:rFonts w:eastAsia="Times New Roman" w:cstheme="minorHAnsi"/>
          <w:b/>
          <w:bCs/>
          <w:noProof/>
          <w:lang w:val="es-ES" w:eastAsia="en-GB"/>
        </w:rPr>
        <w:t xml:space="preserve"> </w:t>
      </w:r>
    </w:p>
    <w:p w14:paraId="162DA8C5" w14:textId="77777777" w:rsidR="00017673" w:rsidRPr="00022A36" w:rsidRDefault="00017673" w:rsidP="00017673">
      <w:pPr>
        <w:keepNext/>
        <w:spacing w:after="0" w:line="240" w:lineRule="auto"/>
        <w:ind w:left="357" w:hanging="357"/>
        <w:rPr>
          <w:rFonts w:eastAsia="Times New Roman" w:cstheme="minorHAnsi"/>
          <w:b/>
          <w:noProof/>
          <w:lang w:val="es-ES" w:eastAsia="en-GB"/>
        </w:rPr>
      </w:pPr>
    </w:p>
    <w:p w14:paraId="0175520D" w14:textId="40C36F7A" w:rsidR="001A5FF3" w:rsidRPr="00022A36" w:rsidRDefault="00017673" w:rsidP="00017673">
      <w:pPr>
        <w:spacing w:after="0" w:line="240" w:lineRule="auto"/>
        <w:ind w:left="426" w:hanging="426"/>
        <w:rPr>
          <w:noProof/>
          <w:lang w:val="es-ES"/>
        </w:rPr>
      </w:pPr>
      <w:r w:rsidRPr="00022A36">
        <w:rPr>
          <w:noProof/>
          <w:lang w:val="es-ES"/>
        </w:rPr>
        <w:t>3.</w:t>
      </w:r>
      <w:r w:rsidRPr="00022A36">
        <w:rPr>
          <w:noProof/>
          <w:lang w:val="es-ES"/>
        </w:rPr>
        <w:tab/>
      </w:r>
      <w:r w:rsidR="001A5FF3" w:rsidRPr="00022A36">
        <w:rPr>
          <w:noProof/>
          <w:lang w:val="es-ES"/>
        </w:rPr>
        <w:t xml:space="preserve">La cooperación con la IPBES continúa en el contexto del </w:t>
      </w:r>
      <w:r w:rsidR="0042531B" w:rsidRPr="00022A36">
        <w:rPr>
          <w:noProof/>
          <w:lang w:val="es-ES"/>
        </w:rPr>
        <w:t>m</w:t>
      </w:r>
      <w:r w:rsidR="001A5FF3" w:rsidRPr="00022A36">
        <w:rPr>
          <w:noProof/>
          <w:lang w:val="es-ES"/>
        </w:rPr>
        <w:t xml:space="preserve">emorando de </w:t>
      </w:r>
      <w:r w:rsidR="0042531B" w:rsidRPr="00022A36">
        <w:rPr>
          <w:noProof/>
          <w:lang w:val="es-ES"/>
        </w:rPr>
        <w:t>c</w:t>
      </w:r>
      <w:r w:rsidR="001A5FF3" w:rsidRPr="00022A36">
        <w:rPr>
          <w:noProof/>
          <w:lang w:val="es-ES"/>
        </w:rPr>
        <w:t xml:space="preserve">ooperación existente. La Secretaría participó </w:t>
      </w:r>
      <w:r w:rsidR="00E030B7" w:rsidRPr="00022A36">
        <w:rPr>
          <w:noProof/>
          <w:lang w:val="es-ES"/>
        </w:rPr>
        <w:t>de</w:t>
      </w:r>
      <w:r w:rsidR="00CE4602" w:rsidRPr="00022A36">
        <w:rPr>
          <w:noProof/>
          <w:lang w:val="es-ES"/>
        </w:rPr>
        <w:t xml:space="preserve"> forma </w:t>
      </w:r>
      <w:r w:rsidR="001A5FF3" w:rsidRPr="00022A36">
        <w:rPr>
          <w:noProof/>
          <w:lang w:val="es-ES"/>
        </w:rPr>
        <w:t>virtual</w:t>
      </w:r>
      <w:r w:rsidR="00CE4602" w:rsidRPr="00022A36">
        <w:rPr>
          <w:noProof/>
          <w:lang w:val="es-ES"/>
        </w:rPr>
        <w:t xml:space="preserve"> </w:t>
      </w:r>
      <w:r w:rsidR="001A5FF3" w:rsidRPr="00022A36">
        <w:rPr>
          <w:noProof/>
          <w:lang w:val="es-ES"/>
        </w:rPr>
        <w:t xml:space="preserve">en la novena </w:t>
      </w:r>
      <w:r w:rsidR="00E030B7" w:rsidRPr="00022A36">
        <w:rPr>
          <w:noProof/>
          <w:lang w:val="es-ES"/>
        </w:rPr>
        <w:t>reunión</w:t>
      </w:r>
      <w:r w:rsidR="001A5FF3" w:rsidRPr="00022A36">
        <w:rPr>
          <w:noProof/>
          <w:lang w:val="es-ES"/>
        </w:rPr>
        <w:t xml:space="preserve"> plenaria de la IPBES (IPBES9) en julio de 2022, inclus</w:t>
      </w:r>
      <w:r w:rsidR="00E030B7" w:rsidRPr="00022A36">
        <w:rPr>
          <w:noProof/>
          <w:lang w:val="es-ES"/>
        </w:rPr>
        <w:t>o</w:t>
      </w:r>
      <w:r w:rsidR="001A5FF3" w:rsidRPr="00022A36">
        <w:rPr>
          <w:noProof/>
          <w:lang w:val="es-ES"/>
        </w:rPr>
        <w:t xml:space="preserve"> </w:t>
      </w:r>
      <w:r w:rsidR="00E030B7" w:rsidRPr="00022A36">
        <w:rPr>
          <w:noProof/>
          <w:lang w:val="es-ES"/>
        </w:rPr>
        <w:t>en</w:t>
      </w:r>
      <w:r w:rsidR="001A5FF3" w:rsidRPr="00022A36">
        <w:rPr>
          <w:noProof/>
          <w:lang w:val="es-ES"/>
        </w:rPr>
        <w:t xml:space="preserve"> una declaración conjunta de los </w:t>
      </w:r>
      <w:r w:rsidR="00CE4602" w:rsidRPr="00022A36">
        <w:rPr>
          <w:noProof/>
          <w:lang w:val="es-ES"/>
        </w:rPr>
        <w:t>AMMA</w:t>
      </w:r>
      <w:r w:rsidR="001A5FF3" w:rsidRPr="00022A36">
        <w:rPr>
          <w:noProof/>
          <w:lang w:val="es-ES"/>
        </w:rPr>
        <w:t xml:space="preserve">, </w:t>
      </w:r>
      <w:r w:rsidR="00E030B7" w:rsidRPr="00022A36">
        <w:rPr>
          <w:noProof/>
          <w:lang w:val="es-ES"/>
        </w:rPr>
        <w:t>en colaboración</w:t>
      </w:r>
      <w:r w:rsidR="001A5FF3" w:rsidRPr="00022A36">
        <w:rPr>
          <w:noProof/>
          <w:lang w:val="es-ES"/>
        </w:rPr>
        <w:t xml:space="preserve"> con el Convenio sobre la Diversidad Biológica (CDB), la Convención sobre las Especies Migratorias (CEM), la Convención sobre el Comercio Internacional de Especies Amenazadas de Fauna y Flora Silvestres (CITES), el Tratado Internacional sobre los Recursos Fitogenéticos para la Alimentación y la Agricultura (TIRFAA) y la Comisión Ballenera Internacional. </w:t>
      </w:r>
      <w:r w:rsidR="00E030B7" w:rsidRPr="00022A36">
        <w:rPr>
          <w:noProof/>
          <w:lang w:val="es-ES"/>
        </w:rPr>
        <w:t>La</w:t>
      </w:r>
      <w:r w:rsidR="001A5FF3" w:rsidRPr="00022A36">
        <w:rPr>
          <w:noProof/>
          <w:lang w:val="es-ES"/>
        </w:rPr>
        <w:t xml:space="preserve"> declaración </w:t>
      </w:r>
      <w:r w:rsidR="00695B04" w:rsidRPr="00022A36">
        <w:rPr>
          <w:noProof/>
          <w:lang w:val="es-ES"/>
        </w:rPr>
        <w:t>pone de relieve</w:t>
      </w:r>
      <w:r w:rsidR="001A5FF3" w:rsidRPr="00022A36">
        <w:rPr>
          <w:noProof/>
          <w:lang w:val="es-ES"/>
        </w:rPr>
        <w:t xml:space="preserve"> que las evaluaciones </w:t>
      </w:r>
      <w:r w:rsidR="00E030B7" w:rsidRPr="00022A36">
        <w:rPr>
          <w:noProof/>
          <w:lang w:val="es-ES"/>
        </w:rPr>
        <w:t>analizadas</w:t>
      </w:r>
      <w:r w:rsidR="001A5FF3" w:rsidRPr="00022A36">
        <w:rPr>
          <w:noProof/>
          <w:lang w:val="es-ES"/>
        </w:rPr>
        <w:t xml:space="preserve"> </w:t>
      </w:r>
      <w:r w:rsidR="00E030B7" w:rsidRPr="00022A36">
        <w:rPr>
          <w:noProof/>
          <w:lang w:val="es-ES"/>
        </w:rPr>
        <w:t>en la reunión</w:t>
      </w:r>
      <w:r w:rsidR="001A5FF3" w:rsidRPr="00022A36">
        <w:rPr>
          <w:noProof/>
          <w:lang w:val="es-ES"/>
        </w:rPr>
        <w:t xml:space="preserve"> IPBES9 </w:t>
      </w:r>
      <w:r w:rsidR="00E030B7" w:rsidRPr="00022A36">
        <w:rPr>
          <w:noProof/>
          <w:lang w:val="es-ES"/>
        </w:rPr>
        <w:t>–</w:t>
      </w:r>
      <w:r w:rsidR="001A5FF3" w:rsidRPr="00022A36">
        <w:rPr>
          <w:noProof/>
          <w:lang w:val="es-ES"/>
        </w:rPr>
        <w:t xml:space="preserve">la evaluación metodológica de los </w:t>
      </w:r>
      <w:r w:rsidR="00E030B7" w:rsidRPr="00022A36">
        <w:rPr>
          <w:noProof/>
          <w:lang w:val="es-ES"/>
        </w:rPr>
        <w:t>diversos</w:t>
      </w:r>
      <w:r w:rsidR="001A5FF3" w:rsidRPr="00022A36">
        <w:rPr>
          <w:noProof/>
          <w:lang w:val="es-ES"/>
        </w:rPr>
        <w:t xml:space="preserve"> valores de la naturaleza y sus beneficios y la evaluación sobre el uso sostenible de las especies silvestres</w:t>
      </w:r>
      <w:r w:rsidR="00E030B7" w:rsidRPr="00022A36">
        <w:rPr>
          <w:noProof/>
          <w:lang w:val="es-ES"/>
        </w:rPr>
        <w:t>–</w:t>
      </w:r>
      <w:r w:rsidR="001A5FF3" w:rsidRPr="00022A36">
        <w:rPr>
          <w:noProof/>
          <w:lang w:val="es-ES"/>
        </w:rPr>
        <w:t xml:space="preserve"> son relevantes para </w:t>
      </w:r>
      <w:r w:rsidR="00750EEA" w:rsidRPr="00022A36">
        <w:rPr>
          <w:noProof/>
          <w:lang w:val="es-ES"/>
        </w:rPr>
        <w:t>la labor</w:t>
      </w:r>
      <w:r w:rsidR="001A5FF3" w:rsidRPr="00022A36">
        <w:rPr>
          <w:noProof/>
          <w:lang w:val="es-ES"/>
        </w:rPr>
        <w:t xml:space="preserve"> de cada un</w:t>
      </w:r>
      <w:r w:rsidR="00E030B7" w:rsidRPr="00022A36">
        <w:rPr>
          <w:noProof/>
          <w:lang w:val="es-ES"/>
        </w:rPr>
        <w:t>a</w:t>
      </w:r>
      <w:r w:rsidR="001A5FF3" w:rsidRPr="00022A36">
        <w:rPr>
          <w:noProof/>
          <w:lang w:val="es-ES"/>
        </w:rPr>
        <w:t xml:space="preserve"> de </w:t>
      </w:r>
      <w:r w:rsidR="00E030B7" w:rsidRPr="00022A36">
        <w:rPr>
          <w:noProof/>
          <w:lang w:val="es-ES"/>
        </w:rPr>
        <w:t>las</w:t>
      </w:r>
      <w:r w:rsidR="001A5FF3" w:rsidRPr="00022A36">
        <w:rPr>
          <w:noProof/>
          <w:lang w:val="es-ES"/>
        </w:rPr>
        <w:t xml:space="preserve"> </w:t>
      </w:r>
      <w:r w:rsidR="001A5FF3" w:rsidRPr="00022A36">
        <w:rPr>
          <w:noProof/>
          <w:lang w:val="es-ES"/>
        </w:rPr>
        <w:lastRenderedPageBreak/>
        <w:t>Conve</w:t>
      </w:r>
      <w:r w:rsidR="00E030B7" w:rsidRPr="00022A36">
        <w:rPr>
          <w:noProof/>
          <w:lang w:val="es-ES"/>
        </w:rPr>
        <w:t>ncione</w:t>
      </w:r>
      <w:r w:rsidR="001A5FF3" w:rsidRPr="00022A36">
        <w:rPr>
          <w:noProof/>
          <w:lang w:val="es-ES"/>
        </w:rPr>
        <w:t>s</w:t>
      </w:r>
      <w:r w:rsidR="00695B04" w:rsidRPr="00022A36">
        <w:rPr>
          <w:noProof/>
          <w:lang w:val="es-ES"/>
        </w:rPr>
        <w:t>,</w:t>
      </w:r>
      <w:r w:rsidR="001A5FF3" w:rsidRPr="00022A36">
        <w:rPr>
          <w:noProof/>
          <w:lang w:val="es-ES"/>
        </w:rPr>
        <w:t xml:space="preserve"> reforzarán la base científica para la </w:t>
      </w:r>
      <w:r w:rsidR="00750EEA" w:rsidRPr="00022A36">
        <w:rPr>
          <w:noProof/>
          <w:lang w:val="es-ES"/>
        </w:rPr>
        <w:t>adopción</w:t>
      </w:r>
      <w:r w:rsidR="001A5FF3" w:rsidRPr="00022A36">
        <w:rPr>
          <w:noProof/>
          <w:lang w:val="es-ES"/>
        </w:rPr>
        <w:t xml:space="preserve"> de decisiones </w:t>
      </w:r>
      <w:r w:rsidR="00750EEA" w:rsidRPr="00022A36">
        <w:rPr>
          <w:noProof/>
          <w:lang w:val="es-ES"/>
        </w:rPr>
        <w:t xml:space="preserve">por </w:t>
      </w:r>
      <w:r w:rsidR="001A5FF3" w:rsidRPr="00022A36">
        <w:rPr>
          <w:noProof/>
          <w:lang w:val="es-ES"/>
        </w:rPr>
        <w:t xml:space="preserve">las Partes Contratantes e </w:t>
      </w:r>
      <w:r w:rsidR="00E030B7" w:rsidRPr="00022A36">
        <w:rPr>
          <w:noProof/>
          <w:lang w:val="es-ES"/>
        </w:rPr>
        <w:t>incidirán en</w:t>
      </w:r>
      <w:r w:rsidR="001A5FF3" w:rsidRPr="00022A36">
        <w:rPr>
          <w:noProof/>
          <w:lang w:val="es-ES"/>
        </w:rPr>
        <w:t xml:space="preserve"> el desarrollo y la </w:t>
      </w:r>
      <w:r w:rsidR="00E030B7" w:rsidRPr="00022A36">
        <w:rPr>
          <w:noProof/>
          <w:lang w:val="es-ES"/>
        </w:rPr>
        <w:t>aplicación</w:t>
      </w:r>
      <w:r w:rsidR="001A5FF3" w:rsidRPr="00022A36">
        <w:rPr>
          <w:noProof/>
          <w:lang w:val="es-ES"/>
        </w:rPr>
        <w:t xml:space="preserve"> del Marco </w:t>
      </w:r>
      <w:r w:rsidR="00C51B39" w:rsidRPr="00022A36">
        <w:rPr>
          <w:noProof/>
          <w:lang w:val="es-ES"/>
        </w:rPr>
        <w:t>mundial</w:t>
      </w:r>
      <w:r w:rsidR="001A5FF3" w:rsidRPr="00022A36">
        <w:rPr>
          <w:noProof/>
          <w:lang w:val="es-ES"/>
        </w:rPr>
        <w:t xml:space="preserve"> </w:t>
      </w:r>
      <w:r w:rsidR="00CE28F7" w:rsidRPr="00022A36">
        <w:rPr>
          <w:noProof/>
          <w:lang w:val="es-ES"/>
        </w:rPr>
        <w:t>de</w:t>
      </w:r>
      <w:r w:rsidR="00A844C1" w:rsidRPr="00022A36">
        <w:rPr>
          <w:noProof/>
          <w:lang w:val="es-ES"/>
        </w:rPr>
        <w:t xml:space="preserve"> la</w:t>
      </w:r>
      <w:r w:rsidR="001A5FF3" w:rsidRPr="00022A36">
        <w:rPr>
          <w:noProof/>
          <w:lang w:val="es-ES"/>
        </w:rPr>
        <w:t xml:space="preserve"> </w:t>
      </w:r>
      <w:r w:rsidR="00C51B39" w:rsidRPr="00022A36">
        <w:rPr>
          <w:noProof/>
          <w:lang w:val="es-ES"/>
        </w:rPr>
        <w:t>b</w:t>
      </w:r>
      <w:r w:rsidR="001A5FF3" w:rsidRPr="00022A36">
        <w:rPr>
          <w:noProof/>
          <w:lang w:val="es-ES"/>
        </w:rPr>
        <w:t xml:space="preserve">iodiversidad </w:t>
      </w:r>
      <w:r w:rsidR="00CE28F7" w:rsidRPr="00022A36">
        <w:rPr>
          <w:noProof/>
          <w:lang w:val="es-ES"/>
        </w:rPr>
        <w:t xml:space="preserve">posterior a </w:t>
      </w:r>
      <w:r w:rsidR="00E030B7" w:rsidRPr="00022A36">
        <w:rPr>
          <w:noProof/>
          <w:lang w:val="es-ES"/>
        </w:rPr>
        <w:t xml:space="preserve">2020 </w:t>
      </w:r>
      <w:r w:rsidR="001A5FF3" w:rsidRPr="00022A36">
        <w:rPr>
          <w:noProof/>
          <w:lang w:val="es-ES"/>
        </w:rPr>
        <w:t>(GBF).</w:t>
      </w:r>
    </w:p>
    <w:p w14:paraId="385C8AE5" w14:textId="77777777" w:rsidR="00017673" w:rsidRPr="00022A36" w:rsidRDefault="00017673" w:rsidP="00750EEA">
      <w:pPr>
        <w:spacing w:after="0" w:line="240" w:lineRule="auto"/>
        <w:rPr>
          <w:rStyle w:val="ui-provider"/>
          <w:noProof/>
          <w:lang w:val="es-ES"/>
        </w:rPr>
      </w:pPr>
    </w:p>
    <w:p w14:paraId="6C2B2400" w14:textId="6ACD97B9" w:rsidR="00ED059A" w:rsidRPr="00022A36" w:rsidRDefault="00017673" w:rsidP="00017673">
      <w:pPr>
        <w:spacing w:after="0" w:line="240" w:lineRule="auto"/>
        <w:ind w:left="426" w:hanging="426"/>
        <w:rPr>
          <w:rStyle w:val="ui-provider"/>
          <w:noProof/>
          <w:lang w:val="es-ES"/>
        </w:rPr>
      </w:pPr>
      <w:r w:rsidRPr="00022A36">
        <w:rPr>
          <w:rStyle w:val="ui-provider"/>
          <w:noProof/>
          <w:lang w:val="es-ES"/>
        </w:rPr>
        <w:t>4.</w:t>
      </w:r>
      <w:r w:rsidRPr="00022A36">
        <w:rPr>
          <w:rStyle w:val="ui-provider"/>
          <w:noProof/>
          <w:lang w:val="es-ES"/>
        </w:rPr>
        <w:tab/>
      </w:r>
      <w:r w:rsidR="00ED059A" w:rsidRPr="00022A36">
        <w:rPr>
          <w:rStyle w:val="ui-provider"/>
          <w:noProof/>
          <w:lang w:val="es-ES"/>
        </w:rPr>
        <w:t>La Presidencia del Grupo de Examen Científico y Técnico (GECT) de la Convención participó en la reunión virtual de la Mesa y del Grupo Multidisciplinario de Expertos de la IPBES que se celebró de forma virtual en marzo de 2023, y presentó las tareas de alta prioridad del GECT (5.1, 3.1, 1.1a, 1.1c y 1.2) que se ajustan al programa de trabajo de la IPBES.</w:t>
      </w:r>
    </w:p>
    <w:p w14:paraId="05CC2A2F" w14:textId="77777777" w:rsidR="00017673" w:rsidRPr="00022A36" w:rsidRDefault="00017673" w:rsidP="009D2419">
      <w:pPr>
        <w:spacing w:after="0" w:line="240" w:lineRule="auto"/>
        <w:rPr>
          <w:rFonts w:eastAsia="Times New Roman"/>
          <w:b/>
          <w:bCs/>
          <w:noProof/>
          <w:lang w:val="es-ES" w:eastAsia="en-GB"/>
        </w:rPr>
      </w:pPr>
    </w:p>
    <w:p w14:paraId="4F8C85C1" w14:textId="64C40A42" w:rsidR="00ED059A" w:rsidRPr="00022A36" w:rsidRDefault="00ED059A" w:rsidP="009D2419">
      <w:pPr>
        <w:keepNext/>
        <w:spacing w:after="0" w:line="240" w:lineRule="auto"/>
        <w:rPr>
          <w:rFonts w:eastAsia="Times New Roman"/>
          <w:b/>
          <w:bCs/>
          <w:noProof/>
          <w:lang w:val="es-ES" w:eastAsia="en-GB"/>
        </w:rPr>
      </w:pPr>
      <w:r w:rsidRPr="00022A36">
        <w:rPr>
          <w:rFonts w:eastAsia="Times New Roman"/>
          <w:b/>
          <w:bCs/>
          <w:noProof/>
          <w:lang w:val="es-ES" w:eastAsia="en-GB"/>
        </w:rPr>
        <w:t>Grupo Intergubernamental de Expertos sobre el Cambio Climático</w:t>
      </w:r>
    </w:p>
    <w:p w14:paraId="7D18FB2B" w14:textId="77777777" w:rsidR="00017673" w:rsidRPr="00022A36" w:rsidRDefault="00017673" w:rsidP="009D2419">
      <w:pPr>
        <w:keepNext/>
        <w:spacing w:after="0" w:line="240" w:lineRule="auto"/>
        <w:rPr>
          <w:rFonts w:cstheme="minorHAnsi"/>
          <w:noProof/>
          <w:lang w:val="es-ES"/>
        </w:rPr>
      </w:pPr>
    </w:p>
    <w:p w14:paraId="02527565" w14:textId="5B028F3C" w:rsidR="00ED059A" w:rsidRPr="00022A36" w:rsidRDefault="00017673" w:rsidP="00017673">
      <w:pPr>
        <w:spacing w:after="0" w:line="240" w:lineRule="auto"/>
        <w:ind w:left="425" w:hanging="425"/>
        <w:rPr>
          <w:rFonts w:cstheme="minorHAnsi"/>
          <w:noProof/>
          <w:lang w:val="es-ES"/>
        </w:rPr>
      </w:pPr>
      <w:r w:rsidRPr="00022A36">
        <w:rPr>
          <w:rFonts w:cstheme="minorHAnsi"/>
          <w:noProof/>
          <w:lang w:val="es-ES"/>
        </w:rPr>
        <w:t>5.</w:t>
      </w:r>
      <w:r w:rsidRPr="00022A36">
        <w:rPr>
          <w:rFonts w:cstheme="minorHAnsi"/>
          <w:noProof/>
          <w:lang w:val="es-ES"/>
        </w:rPr>
        <w:tab/>
      </w:r>
      <w:r w:rsidR="00ED059A" w:rsidRPr="00022A36">
        <w:rPr>
          <w:rFonts w:cstheme="minorHAnsi"/>
          <w:noProof/>
          <w:lang w:val="es-ES"/>
        </w:rPr>
        <w:t>La Secretaría participó en la 58ª reunión del Grupo Intergubernamental de Expertos sobre el Cambio Climático (IPCC-58) en Interlaken</w:t>
      </w:r>
      <w:r w:rsidR="00695B04" w:rsidRPr="00022A36">
        <w:rPr>
          <w:rFonts w:cstheme="minorHAnsi"/>
          <w:noProof/>
          <w:lang w:val="es-ES"/>
        </w:rPr>
        <w:t xml:space="preserve"> (</w:t>
      </w:r>
      <w:r w:rsidR="00ED059A" w:rsidRPr="00022A36">
        <w:rPr>
          <w:rFonts w:cstheme="minorHAnsi"/>
          <w:noProof/>
          <w:lang w:val="es-ES"/>
        </w:rPr>
        <w:t>Suiza</w:t>
      </w:r>
      <w:r w:rsidR="00695B04" w:rsidRPr="00022A36">
        <w:rPr>
          <w:rFonts w:cstheme="minorHAnsi"/>
          <w:noProof/>
          <w:lang w:val="es-ES"/>
        </w:rPr>
        <w:t>)</w:t>
      </w:r>
      <w:r w:rsidR="00C57A2F" w:rsidRPr="00022A36">
        <w:rPr>
          <w:rFonts w:cstheme="minorHAnsi"/>
          <w:noProof/>
          <w:lang w:val="es-ES"/>
        </w:rPr>
        <w:t xml:space="preserve"> en marzo de 2023</w:t>
      </w:r>
      <w:r w:rsidR="00ED059A" w:rsidRPr="00022A36">
        <w:rPr>
          <w:rFonts w:cstheme="minorHAnsi"/>
          <w:noProof/>
          <w:lang w:val="es-ES"/>
        </w:rPr>
        <w:t xml:space="preserve">. </w:t>
      </w:r>
      <w:r w:rsidR="00C57A2F" w:rsidRPr="00022A36">
        <w:rPr>
          <w:rFonts w:cstheme="minorHAnsi"/>
          <w:noProof/>
          <w:lang w:val="es-ES"/>
        </w:rPr>
        <w:t>Asimismo, la</w:t>
      </w:r>
      <w:r w:rsidR="00ED059A" w:rsidRPr="00022A36">
        <w:rPr>
          <w:rFonts w:cstheme="minorHAnsi"/>
          <w:noProof/>
          <w:lang w:val="es-ES"/>
        </w:rPr>
        <w:t xml:space="preserve"> Secretaría ha intercambiado información con la Secretaría del IPCC y con los copresidentes de los grupos de trabajo del IPCC y el </w:t>
      </w:r>
      <w:r w:rsidR="000163D4" w:rsidRPr="00022A36">
        <w:rPr>
          <w:rFonts w:cstheme="minorHAnsi"/>
          <w:noProof/>
          <w:lang w:val="es-ES"/>
        </w:rPr>
        <w:t>G</w:t>
      </w:r>
      <w:r w:rsidR="00ED059A" w:rsidRPr="00022A36">
        <w:rPr>
          <w:rFonts w:cstheme="minorHAnsi"/>
          <w:noProof/>
          <w:lang w:val="es-ES"/>
        </w:rPr>
        <w:t xml:space="preserve">rupo de trabajo sobre inventarios nacionales de gases de efecto </w:t>
      </w:r>
      <w:r w:rsidR="00695B04" w:rsidRPr="00022A36">
        <w:rPr>
          <w:rFonts w:cstheme="minorHAnsi"/>
          <w:noProof/>
          <w:lang w:val="es-ES"/>
        </w:rPr>
        <w:t>i</w:t>
      </w:r>
      <w:r w:rsidR="00ED059A" w:rsidRPr="00022A36">
        <w:rPr>
          <w:rFonts w:cstheme="minorHAnsi"/>
          <w:noProof/>
          <w:lang w:val="es-ES"/>
        </w:rPr>
        <w:t>nvernadero (GTI) sobre las prioridades científicas y técnicas identificadas en la Resolución XIV.14</w:t>
      </w:r>
      <w:r w:rsidR="00C57A2F" w:rsidRPr="00022A36">
        <w:rPr>
          <w:rFonts w:cstheme="minorHAnsi"/>
          <w:noProof/>
          <w:lang w:val="es-ES"/>
        </w:rPr>
        <w:t xml:space="preserve">, </w:t>
      </w:r>
      <w:r w:rsidR="000163D4" w:rsidRPr="00022A36">
        <w:rPr>
          <w:rFonts w:cstheme="minorHAnsi"/>
          <w:i/>
          <w:iCs/>
          <w:noProof/>
          <w:lang w:val="es-ES"/>
        </w:rPr>
        <w:t>A</w:t>
      </w:r>
      <w:r w:rsidR="00ED059A" w:rsidRPr="00022A36">
        <w:rPr>
          <w:rFonts w:cstheme="minorHAnsi"/>
          <w:i/>
          <w:iCs/>
          <w:noProof/>
          <w:lang w:val="es-ES"/>
        </w:rPr>
        <w:t xml:space="preserve">plicación </w:t>
      </w:r>
      <w:r w:rsidR="000163D4" w:rsidRPr="00022A36">
        <w:rPr>
          <w:rFonts w:cstheme="minorHAnsi"/>
          <w:i/>
          <w:iCs/>
          <w:noProof/>
          <w:lang w:val="es-ES"/>
        </w:rPr>
        <w:t xml:space="preserve">futura </w:t>
      </w:r>
      <w:r w:rsidR="00ED059A" w:rsidRPr="00022A36">
        <w:rPr>
          <w:rFonts w:cstheme="minorHAnsi"/>
          <w:i/>
          <w:iCs/>
          <w:noProof/>
          <w:lang w:val="es-ES"/>
        </w:rPr>
        <w:t>de los aspectos científicos y técnicos de la Convención para 2023-2025</w:t>
      </w:r>
      <w:r w:rsidR="00C57A2F" w:rsidRPr="00022A36">
        <w:rPr>
          <w:rFonts w:cstheme="minorHAnsi"/>
          <w:i/>
          <w:iCs/>
          <w:noProof/>
          <w:lang w:val="es-ES"/>
        </w:rPr>
        <w:t>,</w:t>
      </w:r>
      <w:r w:rsidR="00ED059A" w:rsidRPr="00022A36">
        <w:rPr>
          <w:rFonts w:cstheme="minorHAnsi"/>
          <w:noProof/>
          <w:lang w:val="es-ES"/>
        </w:rPr>
        <w:t xml:space="preserve"> y la labor del GECT en el trienio 2023-2025.</w:t>
      </w:r>
    </w:p>
    <w:p w14:paraId="42255974" w14:textId="77777777" w:rsidR="00017673" w:rsidRPr="00022A36" w:rsidRDefault="00017673" w:rsidP="000163D4">
      <w:pPr>
        <w:spacing w:after="0" w:line="240" w:lineRule="auto"/>
        <w:rPr>
          <w:rFonts w:cstheme="minorHAnsi"/>
          <w:noProof/>
          <w:lang w:val="es-ES"/>
        </w:rPr>
      </w:pPr>
    </w:p>
    <w:p w14:paraId="7E70BEA8" w14:textId="101D3613" w:rsidR="000163D4" w:rsidRPr="00022A36" w:rsidRDefault="000163D4" w:rsidP="00017673">
      <w:pPr>
        <w:keepNext/>
        <w:spacing w:after="0" w:line="240" w:lineRule="auto"/>
        <w:ind w:left="357" w:hanging="357"/>
        <w:rPr>
          <w:rFonts w:eastAsia="Times New Roman"/>
          <w:b/>
          <w:bCs/>
          <w:noProof/>
          <w:lang w:val="es-ES" w:eastAsia="en-GB"/>
        </w:rPr>
      </w:pPr>
      <w:r w:rsidRPr="00022A36">
        <w:rPr>
          <w:rFonts w:eastAsia="Times New Roman"/>
          <w:b/>
          <w:bCs/>
          <w:noProof/>
          <w:lang w:val="es-ES" w:eastAsia="en-GB"/>
        </w:rPr>
        <w:t>Cooperación con otros acuerdos multilaterales sobre el medio ambiente</w:t>
      </w:r>
    </w:p>
    <w:p w14:paraId="592EB36B" w14:textId="77777777" w:rsidR="00017673" w:rsidRPr="00022A36" w:rsidRDefault="00017673" w:rsidP="002E77BF">
      <w:pPr>
        <w:keepNext/>
        <w:spacing w:after="0" w:line="240" w:lineRule="auto"/>
        <w:ind w:left="357" w:hanging="357"/>
        <w:rPr>
          <w:b/>
          <w:noProof/>
          <w:lang w:val="es-ES"/>
        </w:rPr>
      </w:pPr>
    </w:p>
    <w:p w14:paraId="41A12E0A" w14:textId="4A90FC5B" w:rsidR="000163D4" w:rsidRPr="00022A36" w:rsidRDefault="00017673" w:rsidP="00017673">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6.</w:t>
      </w:r>
      <w:r w:rsidRPr="00022A36">
        <w:rPr>
          <w:rFonts w:eastAsia="Times New Roman" w:cstheme="minorHAnsi"/>
          <w:noProof/>
          <w:lang w:val="es-ES" w:eastAsia="en-GB"/>
        </w:rPr>
        <w:tab/>
      </w:r>
      <w:r w:rsidR="000163D4" w:rsidRPr="00022A36">
        <w:rPr>
          <w:rFonts w:eastAsia="Times New Roman" w:cstheme="minorHAnsi"/>
          <w:noProof/>
          <w:lang w:val="es-ES" w:eastAsia="en-GB"/>
        </w:rPr>
        <w:t xml:space="preserve">La Secretaría </w:t>
      </w:r>
      <w:r w:rsidR="00C57A2F" w:rsidRPr="00022A36">
        <w:rPr>
          <w:rFonts w:eastAsia="Times New Roman" w:cstheme="minorHAnsi"/>
          <w:noProof/>
          <w:lang w:val="es-ES" w:eastAsia="en-GB"/>
        </w:rPr>
        <w:t>se mantiene en estrecha colaboración</w:t>
      </w:r>
      <w:r w:rsidR="000163D4" w:rsidRPr="00022A36">
        <w:rPr>
          <w:rFonts w:eastAsia="Times New Roman" w:cstheme="minorHAnsi"/>
          <w:noProof/>
          <w:lang w:val="es-ES" w:eastAsia="en-GB"/>
        </w:rPr>
        <w:t xml:space="preserve"> con otros AMMA y ha </w:t>
      </w:r>
      <w:r w:rsidR="006D65EA" w:rsidRPr="00022A36">
        <w:rPr>
          <w:rFonts w:eastAsia="Times New Roman" w:cstheme="minorHAnsi"/>
          <w:noProof/>
          <w:lang w:val="es-ES" w:eastAsia="en-GB"/>
        </w:rPr>
        <w:t>centrado</w:t>
      </w:r>
      <w:r w:rsidR="000163D4" w:rsidRPr="00022A36">
        <w:rPr>
          <w:rFonts w:eastAsia="Times New Roman" w:cstheme="minorHAnsi"/>
          <w:noProof/>
          <w:lang w:val="es-ES" w:eastAsia="en-GB"/>
        </w:rPr>
        <w:t xml:space="preserve"> sus </w:t>
      </w:r>
      <w:r w:rsidR="006D65EA" w:rsidRPr="00022A36">
        <w:rPr>
          <w:rFonts w:eastAsia="Times New Roman" w:cstheme="minorHAnsi"/>
          <w:noProof/>
          <w:lang w:val="es-ES" w:eastAsia="en-GB"/>
        </w:rPr>
        <w:t>actividades</w:t>
      </w:r>
      <w:r w:rsidR="000163D4" w:rsidRPr="00022A36">
        <w:rPr>
          <w:rFonts w:eastAsia="Times New Roman" w:cstheme="minorHAnsi"/>
          <w:noProof/>
          <w:lang w:val="es-ES" w:eastAsia="en-GB"/>
        </w:rPr>
        <w:t xml:space="preserve"> </w:t>
      </w:r>
      <w:r w:rsidR="006D65EA" w:rsidRPr="00022A36">
        <w:rPr>
          <w:rFonts w:eastAsia="Times New Roman" w:cstheme="minorHAnsi"/>
          <w:noProof/>
          <w:lang w:val="es-ES" w:eastAsia="en-GB"/>
        </w:rPr>
        <w:t>con arreglo al</w:t>
      </w:r>
      <w:r w:rsidR="000163D4" w:rsidRPr="00022A36">
        <w:rPr>
          <w:rFonts w:eastAsia="Times New Roman" w:cstheme="minorHAnsi"/>
          <w:noProof/>
          <w:lang w:val="es-ES" w:eastAsia="en-GB"/>
        </w:rPr>
        <w:t xml:space="preserve"> párrafo 36 de la Resolución XIV.6 sobre </w:t>
      </w:r>
      <w:r w:rsidR="000163D4" w:rsidRPr="00022A36">
        <w:rPr>
          <w:rFonts w:cstheme="minorHAnsi"/>
          <w:noProof/>
          <w:lang w:val="es-ES"/>
        </w:rPr>
        <w:t>cooperación y sinergias con las Convenciones relacionadas con la diversidad biológica.</w:t>
      </w:r>
      <w:r w:rsidR="000163D4" w:rsidRPr="00022A36">
        <w:rPr>
          <w:noProof/>
          <w:lang w:val="es-ES"/>
        </w:rPr>
        <w:t xml:space="preserve"> </w:t>
      </w:r>
      <w:r w:rsidR="000163D4" w:rsidRPr="00022A36">
        <w:rPr>
          <w:rFonts w:cstheme="minorHAnsi"/>
          <w:noProof/>
          <w:lang w:val="es-ES"/>
        </w:rPr>
        <w:t>Se siguen aplicando aspectos de</w:t>
      </w:r>
      <w:r w:rsidR="006D65EA" w:rsidRPr="00022A36">
        <w:rPr>
          <w:rFonts w:cstheme="minorHAnsi"/>
          <w:noProof/>
          <w:lang w:val="es-ES"/>
        </w:rPr>
        <w:t xml:space="preserve"> </w:t>
      </w:r>
      <w:r w:rsidR="000163D4" w:rsidRPr="00022A36">
        <w:rPr>
          <w:rFonts w:cstheme="minorHAnsi"/>
          <w:noProof/>
          <w:lang w:val="es-ES"/>
        </w:rPr>
        <w:t xml:space="preserve">cooperación más específicos con estos AMMA en el marco de los memorandos existentes, en </w:t>
      </w:r>
      <w:r w:rsidR="006D65EA" w:rsidRPr="00022A36">
        <w:rPr>
          <w:rFonts w:cstheme="minorHAnsi"/>
          <w:noProof/>
          <w:lang w:val="es-ES"/>
        </w:rPr>
        <w:t>especial</w:t>
      </w:r>
      <w:r w:rsidR="000163D4" w:rsidRPr="00022A36">
        <w:rPr>
          <w:rFonts w:cstheme="minorHAnsi"/>
          <w:noProof/>
          <w:lang w:val="es-ES"/>
        </w:rPr>
        <w:t xml:space="preserve"> con el CDB, la CMS y la Convención para la Protección del Patrimonio Mundial Cultural y Natural (WHC), así como con </w:t>
      </w:r>
      <w:r w:rsidR="006D65EA" w:rsidRPr="00022A36">
        <w:rPr>
          <w:rFonts w:cstheme="minorHAnsi"/>
          <w:noProof/>
          <w:lang w:val="es-ES"/>
        </w:rPr>
        <w:t xml:space="preserve">la Convención de </w:t>
      </w:r>
      <w:r w:rsidR="000163D4" w:rsidRPr="00022A36">
        <w:rPr>
          <w:rFonts w:cstheme="minorHAnsi"/>
          <w:noProof/>
          <w:lang w:val="es-ES"/>
        </w:rPr>
        <w:t>las Naciones Unidas de Lucha contra la Desertificación (</w:t>
      </w:r>
      <w:r w:rsidR="006D65EA" w:rsidRPr="00022A36">
        <w:rPr>
          <w:rFonts w:cstheme="minorHAnsi"/>
          <w:noProof/>
          <w:lang w:val="es-ES"/>
        </w:rPr>
        <w:t>CNULD</w:t>
      </w:r>
      <w:r w:rsidR="000163D4" w:rsidRPr="00022A36">
        <w:rPr>
          <w:rFonts w:cstheme="minorHAnsi"/>
          <w:noProof/>
          <w:lang w:val="es-ES"/>
        </w:rPr>
        <w:t>).</w:t>
      </w:r>
    </w:p>
    <w:p w14:paraId="1BE6B30F" w14:textId="77777777" w:rsidR="009C2848" w:rsidRPr="00022A36" w:rsidRDefault="009C2848" w:rsidP="000A264B">
      <w:pPr>
        <w:suppressAutoHyphens/>
        <w:spacing w:after="0" w:line="240" w:lineRule="auto"/>
        <w:ind w:left="425" w:hanging="425"/>
        <w:rPr>
          <w:rFonts w:eastAsia="Times New Roman" w:cstheme="minorHAnsi"/>
          <w:noProof/>
          <w:lang w:val="es-ES" w:eastAsia="en-GB"/>
        </w:rPr>
      </w:pPr>
    </w:p>
    <w:p w14:paraId="19F0EC10" w14:textId="2AFC727D" w:rsidR="006D65EA" w:rsidRPr="00022A36" w:rsidRDefault="006D65EA" w:rsidP="000A264B">
      <w:pPr>
        <w:keepNext/>
        <w:spacing w:after="0" w:line="240" w:lineRule="auto"/>
        <w:ind w:left="357" w:hanging="357"/>
        <w:rPr>
          <w:i/>
          <w:iCs/>
          <w:noProof/>
          <w:lang w:val="es-ES"/>
        </w:rPr>
      </w:pPr>
      <w:r w:rsidRPr="00022A36">
        <w:rPr>
          <w:i/>
          <w:iCs/>
          <w:noProof/>
          <w:lang w:val="es-ES"/>
        </w:rPr>
        <w:t>Trabajo en el marco del Grupo de Enlace sobre la Diversidad Biológica</w:t>
      </w:r>
      <w:r w:rsidR="00DA13A7" w:rsidRPr="00022A36">
        <w:rPr>
          <w:i/>
          <w:iCs/>
          <w:noProof/>
          <w:lang w:val="es-ES"/>
        </w:rPr>
        <w:t xml:space="preserve"> (BLG)</w:t>
      </w:r>
      <w:r w:rsidRPr="00022A36">
        <w:rPr>
          <w:i/>
          <w:iCs/>
          <w:noProof/>
          <w:lang w:val="es-ES"/>
        </w:rPr>
        <w:t xml:space="preserve"> </w:t>
      </w:r>
    </w:p>
    <w:p w14:paraId="6F91823B" w14:textId="7490BBDC" w:rsidR="009C2848" w:rsidRPr="00022A36" w:rsidRDefault="009C2848" w:rsidP="000A264B">
      <w:pPr>
        <w:keepNext/>
        <w:spacing w:after="0" w:line="240" w:lineRule="auto"/>
        <w:ind w:left="357" w:hanging="357"/>
        <w:rPr>
          <w:rFonts w:eastAsia="Times New Roman" w:cstheme="minorHAnsi"/>
          <w:noProof/>
          <w:lang w:val="es-ES" w:eastAsia="en-GB"/>
        </w:rPr>
      </w:pPr>
    </w:p>
    <w:p w14:paraId="6D035C51" w14:textId="138D03F7" w:rsidR="006D65EA" w:rsidRPr="00022A36" w:rsidRDefault="00017673" w:rsidP="00F76544">
      <w:pPr>
        <w:suppressAutoHyphens/>
        <w:spacing w:after="0" w:line="240" w:lineRule="auto"/>
        <w:ind w:left="426" w:hanging="425"/>
        <w:rPr>
          <w:noProof/>
          <w:lang w:val="es-ES"/>
        </w:rPr>
      </w:pPr>
      <w:r w:rsidRPr="00022A36">
        <w:rPr>
          <w:rFonts w:eastAsia="Times New Roman"/>
          <w:noProof/>
          <w:lang w:val="es-ES" w:eastAsia="en-GB"/>
        </w:rPr>
        <w:t>7</w:t>
      </w:r>
      <w:r w:rsidR="009C2848" w:rsidRPr="00022A36">
        <w:rPr>
          <w:rFonts w:eastAsia="Times New Roman"/>
          <w:noProof/>
          <w:lang w:val="es-ES" w:eastAsia="en-GB"/>
        </w:rPr>
        <w:t>.</w:t>
      </w:r>
      <w:r w:rsidR="0068263E" w:rsidRPr="00022A36">
        <w:rPr>
          <w:noProof/>
          <w:lang w:val="es-ES"/>
        </w:rPr>
        <w:tab/>
      </w:r>
      <w:r w:rsidR="006D65EA" w:rsidRPr="00022A36">
        <w:rPr>
          <w:noProof/>
          <w:lang w:val="es-ES"/>
        </w:rPr>
        <w:t>La Secretaría participa en las reuniones y acciones conjuntas del BLG</w:t>
      </w:r>
      <w:r w:rsidR="0077313A" w:rsidRPr="00022A36">
        <w:rPr>
          <w:noProof/>
          <w:lang w:val="es-ES"/>
        </w:rPr>
        <w:t>,</w:t>
      </w:r>
      <w:r w:rsidR="006D65EA" w:rsidRPr="00022A36">
        <w:rPr>
          <w:noProof/>
          <w:lang w:val="es-ES"/>
        </w:rPr>
        <w:t xml:space="preserve"> con </w:t>
      </w:r>
      <w:r w:rsidR="0077313A" w:rsidRPr="00022A36">
        <w:rPr>
          <w:noProof/>
          <w:lang w:val="es-ES"/>
        </w:rPr>
        <w:t>arreglo al</w:t>
      </w:r>
      <w:r w:rsidR="006D65EA" w:rsidRPr="00022A36">
        <w:rPr>
          <w:noProof/>
          <w:lang w:val="es-ES"/>
        </w:rPr>
        <w:t xml:space="preserve"> plan de actividades conjuntas del grupo.</w:t>
      </w:r>
    </w:p>
    <w:p w14:paraId="6BA6A594" w14:textId="77777777" w:rsidR="00B50680" w:rsidRPr="00022A36" w:rsidRDefault="00B50680" w:rsidP="006D65EA">
      <w:pPr>
        <w:suppressAutoHyphens/>
        <w:spacing w:after="0" w:line="240" w:lineRule="auto"/>
        <w:rPr>
          <w:noProof/>
          <w:lang w:val="es-ES"/>
        </w:rPr>
      </w:pPr>
    </w:p>
    <w:p w14:paraId="5CC02493" w14:textId="787AD444" w:rsidR="006D65EA" w:rsidRPr="00022A36" w:rsidRDefault="00017673" w:rsidP="00F76544">
      <w:pPr>
        <w:suppressAutoHyphens/>
        <w:spacing w:after="0" w:line="240" w:lineRule="auto"/>
        <w:ind w:left="426" w:hanging="425"/>
        <w:rPr>
          <w:rFonts w:eastAsia="Times New Roman"/>
          <w:noProof/>
          <w:lang w:val="es-ES" w:eastAsia="en-GB"/>
        </w:rPr>
      </w:pPr>
      <w:r w:rsidRPr="00022A36">
        <w:rPr>
          <w:rFonts w:eastAsia="Times New Roman"/>
          <w:noProof/>
          <w:lang w:val="es-ES" w:eastAsia="en-GB"/>
        </w:rPr>
        <w:t>8</w:t>
      </w:r>
      <w:r w:rsidR="00590CC1" w:rsidRPr="00022A36">
        <w:rPr>
          <w:rFonts w:eastAsia="Times New Roman"/>
          <w:noProof/>
          <w:lang w:val="es-ES" w:eastAsia="en-GB"/>
        </w:rPr>
        <w:t>.</w:t>
      </w:r>
      <w:r w:rsidR="00590CC1" w:rsidRPr="00022A36">
        <w:rPr>
          <w:rFonts w:eastAsia="Times New Roman"/>
          <w:noProof/>
          <w:lang w:val="es-ES" w:eastAsia="en-GB"/>
        </w:rPr>
        <w:tab/>
      </w:r>
      <w:r w:rsidR="00A327A5" w:rsidRPr="00022A36">
        <w:rPr>
          <w:rFonts w:eastAsia="Times New Roman"/>
          <w:noProof/>
          <w:lang w:val="es-ES" w:eastAsia="en-GB"/>
        </w:rPr>
        <w:t>E</w:t>
      </w:r>
      <w:r w:rsidR="00FC3B6B" w:rsidRPr="00022A36">
        <w:rPr>
          <w:rFonts w:eastAsia="Times New Roman"/>
          <w:noProof/>
          <w:lang w:val="es-ES" w:eastAsia="en-GB"/>
        </w:rPr>
        <w:t>n la reanudación de las sesiones de la 24ª reunión del Órgano Subsidiario de Asesoramiento Científico, Técnico y Tecnológico (OSACTT24) del CDB, la tercera reunión del Órgano Subsidiario sobre la Aplicación del CDB (OSE3) y</w:t>
      </w:r>
      <w:r w:rsidR="00A327A5" w:rsidRPr="00022A36">
        <w:rPr>
          <w:rFonts w:eastAsia="Times New Roman"/>
          <w:noProof/>
          <w:lang w:val="es-ES" w:eastAsia="en-GB"/>
        </w:rPr>
        <w:t xml:space="preserve"> </w:t>
      </w:r>
      <w:r w:rsidR="00FC3B6B" w:rsidRPr="00022A36">
        <w:rPr>
          <w:rFonts w:eastAsia="Times New Roman"/>
          <w:noProof/>
          <w:lang w:val="es-ES" w:eastAsia="en-GB"/>
        </w:rPr>
        <w:t xml:space="preserve">la tercera reunión de su </w:t>
      </w:r>
      <w:r w:rsidR="0077313A" w:rsidRPr="00022A36">
        <w:rPr>
          <w:rFonts w:eastAsia="Times New Roman"/>
          <w:noProof/>
          <w:lang w:val="es-ES" w:eastAsia="en-GB"/>
        </w:rPr>
        <w:t>g</w:t>
      </w:r>
      <w:r w:rsidR="00FC3B6B" w:rsidRPr="00022A36">
        <w:rPr>
          <w:rFonts w:eastAsia="Times New Roman"/>
          <w:noProof/>
          <w:lang w:val="es-ES" w:eastAsia="en-GB"/>
        </w:rPr>
        <w:t xml:space="preserve">rupo de </w:t>
      </w:r>
      <w:r w:rsidR="0077313A" w:rsidRPr="00022A36">
        <w:rPr>
          <w:rFonts w:eastAsia="Times New Roman"/>
          <w:noProof/>
          <w:lang w:val="es-ES" w:eastAsia="en-GB"/>
        </w:rPr>
        <w:t>t</w:t>
      </w:r>
      <w:r w:rsidR="00FC3B6B" w:rsidRPr="00022A36">
        <w:rPr>
          <w:rFonts w:eastAsia="Times New Roman"/>
          <w:noProof/>
          <w:lang w:val="es-ES" w:eastAsia="en-GB"/>
        </w:rPr>
        <w:t>rabajo de composición abierta sobre el GBF (GTCA3) en Ginebra</w:t>
      </w:r>
      <w:r w:rsidR="0077313A" w:rsidRPr="00022A36">
        <w:rPr>
          <w:rFonts w:eastAsia="Times New Roman"/>
          <w:noProof/>
          <w:lang w:val="es-ES" w:eastAsia="en-GB"/>
        </w:rPr>
        <w:t xml:space="preserve"> (</w:t>
      </w:r>
      <w:r w:rsidR="00FC3B6B" w:rsidRPr="00022A36">
        <w:rPr>
          <w:rFonts w:eastAsia="Times New Roman"/>
          <w:noProof/>
          <w:lang w:val="es-ES" w:eastAsia="en-GB"/>
        </w:rPr>
        <w:t>Suiza</w:t>
      </w:r>
      <w:r w:rsidR="0077313A" w:rsidRPr="00022A36">
        <w:rPr>
          <w:rFonts w:eastAsia="Times New Roman"/>
          <w:noProof/>
          <w:lang w:val="es-ES" w:eastAsia="en-GB"/>
        </w:rPr>
        <w:t>)</w:t>
      </w:r>
      <w:r w:rsidR="00A327A5" w:rsidRPr="00022A36">
        <w:rPr>
          <w:rFonts w:eastAsia="Times New Roman"/>
          <w:noProof/>
          <w:lang w:val="es-ES" w:eastAsia="en-GB"/>
        </w:rPr>
        <w:t xml:space="preserve"> en marzo de 2022</w:t>
      </w:r>
      <w:r w:rsidR="0077313A" w:rsidRPr="00022A36">
        <w:rPr>
          <w:rFonts w:eastAsia="Times New Roman"/>
          <w:noProof/>
          <w:lang w:val="es-ES" w:eastAsia="en-GB"/>
        </w:rPr>
        <w:t>,</w:t>
      </w:r>
      <w:r w:rsidR="00FC3B6B" w:rsidRPr="00022A36">
        <w:rPr>
          <w:rFonts w:eastAsia="Times New Roman"/>
          <w:noProof/>
          <w:lang w:val="es-ES" w:eastAsia="en-GB"/>
        </w:rPr>
        <w:t xml:space="preserve"> las Secretarías de las Convenciones relacionadas con la biodiversidad organizaron el evento paralelo “Fortalecimiento de la función de los Convenios relacionados con la biodiversidad en el desarrollo del Marco </w:t>
      </w:r>
      <w:r w:rsidR="00C51B39" w:rsidRPr="00022A36">
        <w:rPr>
          <w:rFonts w:eastAsia="Times New Roman"/>
          <w:noProof/>
          <w:lang w:val="es-ES" w:eastAsia="en-GB"/>
        </w:rPr>
        <w:t>mundial</w:t>
      </w:r>
      <w:r w:rsidR="00FC3B6B" w:rsidRPr="00022A36">
        <w:rPr>
          <w:rFonts w:eastAsia="Times New Roman"/>
          <w:noProof/>
          <w:lang w:val="es-ES" w:eastAsia="en-GB"/>
        </w:rPr>
        <w:t xml:space="preserve"> de </w:t>
      </w:r>
      <w:r w:rsidR="00A844C1" w:rsidRPr="00022A36">
        <w:rPr>
          <w:rFonts w:eastAsia="Times New Roman"/>
          <w:noProof/>
          <w:lang w:val="es-ES" w:eastAsia="en-GB"/>
        </w:rPr>
        <w:t>la</w:t>
      </w:r>
      <w:r w:rsidR="00C51B39" w:rsidRPr="00022A36">
        <w:rPr>
          <w:rFonts w:eastAsia="Times New Roman"/>
          <w:noProof/>
          <w:lang w:val="es-ES" w:eastAsia="en-GB"/>
        </w:rPr>
        <w:t xml:space="preserve"> b</w:t>
      </w:r>
      <w:r w:rsidR="00FC3B6B" w:rsidRPr="00022A36">
        <w:rPr>
          <w:rFonts w:eastAsia="Times New Roman"/>
          <w:noProof/>
          <w:lang w:val="es-ES" w:eastAsia="en-GB"/>
        </w:rPr>
        <w:t xml:space="preserve">iodiversidad </w:t>
      </w:r>
      <w:r w:rsidR="00CB5199" w:rsidRPr="00022A36">
        <w:rPr>
          <w:rFonts w:eastAsia="Times New Roman"/>
          <w:noProof/>
          <w:lang w:val="es-ES" w:eastAsia="en-GB"/>
        </w:rPr>
        <w:t xml:space="preserve">posterior a </w:t>
      </w:r>
      <w:r w:rsidR="00FC3B6B" w:rsidRPr="00022A36">
        <w:rPr>
          <w:rFonts w:eastAsia="Times New Roman"/>
          <w:noProof/>
          <w:lang w:val="es-ES" w:eastAsia="en-GB"/>
        </w:rPr>
        <w:t>2020” y se presentó una declaración conjunta en nombre del BLG.</w:t>
      </w:r>
    </w:p>
    <w:p w14:paraId="6D032B3D" w14:textId="77777777" w:rsidR="000B0585" w:rsidRPr="00022A36" w:rsidRDefault="000B0585" w:rsidP="00FC3B6B">
      <w:pPr>
        <w:suppressAutoHyphens/>
        <w:spacing w:after="0" w:line="240" w:lineRule="auto"/>
        <w:rPr>
          <w:noProof/>
          <w:lang w:val="es-ES"/>
        </w:rPr>
      </w:pPr>
    </w:p>
    <w:p w14:paraId="4C09CC7B" w14:textId="04FB72E0" w:rsidR="00FC3B6B" w:rsidRPr="00022A36" w:rsidRDefault="00017673" w:rsidP="000B0585">
      <w:pPr>
        <w:suppressAutoHyphens/>
        <w:spacing w:after="0" w:line="240" w:lineRule="auto"/>
        <w:ind w:left="426" w:hanging="425"/>
        <w:rPr>
          <w:noProof/>
          <w:lang w:val="es-ES"/>
        </w:rPr>
      </w:pPr>
      <w:r w:rsidRPr="00022A36">
        <w:rPr>
          <w:noProof/>
          <w:lang w:val="es-ES"/>
        </w:rPr>
        <w:t>9</w:t>
      </w:r>
      <w:r w:rsidR="00F20CB7" w:rsidRPr="00022A36">
        <w:rPr>
          <w:noProof/>
          <w:lang w:val="es-ES"/>
        </w:rPr>
        <w:t>.</w:t>
      </w:r>
      <w:r w:rsidR="00F20CB7" w:rsidRPr="00022A36">
        <w:rPr>
          <w:noProof/>
          <w:lang w:val="es-ES"/>
        </w:rPr>
        <w:tab/>
      </w:r>
      <w:r w:rsidR="00FC3B6B" w:rsidRPr="00022A36">
        <w:rPr>
          <w:noProof/>
          <w:lang w:val="es-ES"/>
        </w:rPr>
        <w:t xml:space="preserve">En la reunión </w:t>
      </w:r>
      <w:r w:rsidR="0077313A" w:rsidRPr="00022A36">
        <w:rPr>
          <w:rFonts w:eastAsia="Times New Roman"/>
          <w:noProof/>
          <w:lang w:val="es-ES" w:eastAsia="en-GB"/>
        </w:rPr>
        <w:t>GTCA3</w:t>
      </w:r>
      <w:r w:rsidR="00FC3B6B" w:rsidRPr="00022A36">
        <w:rPr>
          <w:noProof/>
          <w:lang w:val="es-ES"/>
        </w:rPr>
        <w:t xml:space="preserve"> celebrada en Nairobi</w:t>
      </w:r>
      <w:r w:rsidR="0077313A" w:rsidRPr="00022A36">
        <w:rPr>
          <w:noProof/>
          <w:lang w:val="es-ES"/>
        </w:rPr>
        <w:t xml:space="preserve"> (</w:t>
      </w:r>
      <w:r w:rsidR="00FC3B6B" w:rsidRPr="00022A36">
        <w:rPr>
          <w:noProof/>
          <w:lang w:val="es-ES"/>
        </w:rPr>
        <w:t>Kenya</w:t>
      </w:r>
      <w:r w:rsidR="0077313A" w:rsidRPr="00022A36">
        <w:rPr>
          <w:noProof/>
          <w:lang w:val="es-ES"/>
        </w:rPr>
        <w:t>)</w:t>
      </w:r>
      <w:r w:rsidR="00FC3B6B" w:rsidRPr="00022A36">
        <w:rPr>
          <w:noProof/>
          <w:lang w:val="es-ES"/>
        </w:rPr>
        <w:t xml:space="preserve"> en junio de 2022 se presentó otra declaración conjunta del BLG.</w:t>
      </w:r>
    </w:p>
    <w:p w14:paraId="20316812" w14:textId="77777777" w:rsidR="000B0585" w:rsidRPr="00022A36" w:rsidRDefault="000B0585" w:rsidP="00FC3B6B">
      <w:pPr>
        <w:suppressAutoHyphens/>
        <w:spacing w:after="0" w:line="240" w:lineRule="auto"/>
        <w:rPr>
          <w:noProof/>
          <w:lang w:val="es-ES"/>
        </w:rPr>
      </w:pPr>
    </w:p>
    <w:p w14:paraId="35518C75" w14:textId="19798C91" w:rsidR="00A844C1" w:rsidRPr="00022A36" w:rsidRDefault="00017673" w:rsidP="00A844C1">
      <w:pPr>
        <w:suppressAutoHyphens/>
        <w:spacing w:after="0" w:line="240" w:lineRule="auto"/>
        <w:ind w:left="426" w:hanging="425"/>
        <w:rPr>
          <w:noProof/>
          <w:lang w:val="es-ES"/>
        </w:rPr>
      </w:pPr>
      <w:r w:rsidRPr="00022A36">
        <w:rPr>
          <w:noProof/>
          <w:lang w:val="es-ES"/>
        </w:rPr>
        <w:t>10</w:t>
      </w:r>
      <w:r w:rsidR="00F20CB7" w:rsidRPr="00022A36">
        <w:rPr>
          <w:noProof/>
          <w:lang w:val="es-ES"/>
        </w:rPr>
        <w:t>.</w:t>
      </w:r>
      <w:r w:rsidR="00F20CB7" w:rsidRPr="00022A36">
        <w:rPr>
          <w:noProof/>
          <w:lang w:val="es-ES"/>
        </w:rPr>
        <w:tab/>
      </w:r>
      <w:r w:rsidR="00FC3B6B" w:rsidRPr="00022A36">
        <w:rPr>
          <w:noProof/>
          <w:lang w:val="es-ES"/>
        </w:rPr>
        <w:t xml:space="preserve">La Secretaría </w:t>
      </w:r>
      <w:r w:rsidR="0077313A" w:rsidRPr="00022A36">
        <w:rPr>
          <w:noProof/>
          <w:lang w:val="es-ES"/>
        </w:rPr>
        <w:t>asistió a</w:t>
      </w:r>
      <w:r w:rsidR="00FC3B6B" w:rsidRPr="00022A36">
        <w:rPr>
          <w:noProof/>
          <w:lang w:val="es-ES"/>
        </w:rPr>
        <w:t xml:space="preserve"> una reunión virtual del BLG en septiembre de 2022 sobre su participación en el GTCA5 y </w:t>
      </w:r>
      <w:r w:rsidR="00A327A5" w:rsidRPr="00022A36">
        <w:rPr>
          <w:noProof/>
          <w:lang w:val="es-ES"/>
        </w:rPr>
        <w:t>a</w:t>
      </w:r>
      <w:r w:rsidR="00FC3B6B" w:rsidRPr="00022A36">
        <w:rPr>
          <w:noProof/>
          <w:lang w:val="es-ES"/>
        </w:rPr>
        <w:t xml:space="preserve"> la segunda parte, celebrada </w:t>
      </w:r>
      <w:r w:rsidR="0077313A" w:rsidRPr="00022A36">
        <w:rPr>
          <w:noProof/>
          <w:lang w:val="es-ES"/>
        </w:rPr>
        <w:t>de</w:t>
      </w:r>
      <w:r w:rsidR="00FC3B6B" w:rsidRPr="00022A36">
        <w:rPr>
          <w:noProof/>
          <w:lang w:val="es-ES"/>
        </w:rPr>
        <w:t xml:space="preserve"> forma presencial, de la decimoquinta reunión de la Conferencia de las Partes en el CDB (CDB COP15) </w:t>
      </w:r>
      <w:r w:rsidR="0077313A" w:rsidRPr="00022A36">
        <w:rPr>
          <w:noProof/>
          <w:lang w:val="es-ES"/>
        </w:rPr>
        <w:t xml:space="preserve">celebrada </w:t>
      </w:r>
      <w:r w:rsidR="00FC3B6B" w:rsidRPr="00022A36">
        <w:rPr>
          <w:noProof/>
          <w:lang w:val="es-ES"/>
        </w:rPr>
        <w:t>en Montreal</w:t>
      </w:r>
      <w:r w:rsidR="0077313A" w:rsidRPr="00022A36">
        <w:rPr>
          <w:noProof/>
          <w:lang w:val="es-ES"/>
        </w:rPr>
        <w:t xml:space="preserve"> (</w:t>
      </w:r>
      <w:r w:rsidR="00FC3B6B" w:rsidRPr="00022A36">
        <w:rPr>
          <w:noProof/>
          <w:lang w:val="es-ES"/>
        </w:rPr>
        <w:t>Canadá</w:t>
      </w:r>
      <w:r w:rsidR="0077313A" w:rsidRPr="00022A36">
        <w:rPr>
          <w:noProof/>
          <w:lang w:val="es-ES"/>
        </w:rPr>
        <w:t>) y</w:t>
      </w:r>
      <w:r w:rsidR="00FC3B6B" w:rsidRPr="00022A36">
        <w:rPr>
          <w:noProof/>
          <w:lang w:val="es-ES"/>
        </w:rPr>
        <w:t xml:space="preserve"> </w:t>
      </w:r>
      <w:r w:rsidR="0077313A" w:rsidRPr="00022A36">
        <w:rPr>
          <w:noProof/>
          <w:lang w:val="es-ES"/>
        </w:rPr>
        <w:t>presidida por</w:t>
      </w:r>
      <w:r w:rsidR="00FC3B6B" w:rsidRPr="00022A36">
        <w:rPr>
          <w:noProof/>
          <w:lang w:val="es-ES"/>
        </w:rPr>
        <w:t xml:space="preserve"> China</w:t>
      </w:r>
      <w:r w:rsidR="0077313A" w:rsidRPr="00022A36">
        <w:rPr>
          <w:noProof/>
          <w:lang w:val="es-ES"/>
        </w:rPr>
        <w:t>, en diciembre de 2022</w:t>
      </w:r>
      <w:r w:rsidR="00FC3B6B" w:rsidRPr="00022A36">
        <w:rPr>
          <w:noProof/>
          <w:lang w:val="es-ES"/>
        </w:rPr>
        <w:t xml:space="preserve">. Se </w:t>
      </w:r>
      <w:r w:rsidR="00CC37E1" w:rsidRPr="00022A36">
        <w:rPr>
          <w:noProof/>
          <w:lang w:val="es-ES"/>
        </w:rPr>
        <w:t>presentaron</w:t>
      </w:r>
      <w:r w:rsidR="00FC3B6B" w:rsidRPr="00022A36">
        <w:rPr>
          <w:noProof/>
          <w:lang w:val="es-ES"/>
        </w:rPr>
        <w:t xml:space="preserve"> declaraciones conjuntas del BLG en estas reuniones y en el Segmento de Alto Nivel de la COP15 del CDB. </w:t>
      </w:r>
      <w:r w:rsidR="00CC37E1" w:rsidRPr="00022A36">
        <w:rPr>
          <w:noProof/>
          <w:lang w:val="es-ES"/>
        </w:rPr>
        <w:t>Además,</w:t>
      </w:r>
      <w:r w:rsidR="00FC3B6B" w:rsidRPr="00022A36">
        <w:rPr>
          <w:noProof/>
          <w:lang w:val="es-ES"/>
        </w:rPr>
        <w:t xml:space="preserve"> </w:t>
      </w:r>
      <w:r w:rsidR="00CC37E1" w:rsidRPr="00022A36">
        <w:rPr>
          <w:noProof/>
          <w:lang w:val="es-ES"/>
        </w:rPr>
        <w:t xml:space="preserve">en la COP15 del CDB </w:t>
      </w:r>
      <w:r w:rsidR="00FC3B6B" w:rsidRPr="00022A36">
        <w:rPr>
          <w:noProof/>
          <w:lang w:val="es-ES"/>
        </w:rPr>
        <w:t xml:space="preserve">el </w:t>
      </w:r>
      <w:r w:rsidR="00CC37E1" w:rsidRPr="00022A36">
        <w:rPr>
          <w:noProof/>
          <w:lang w:val="es-ES"/>
        </w:rPr>
        <w:lastRenderedPageBreak/>
        <w:t>S</w:t>
      </w:r>
      <w:r w:rsidR="00FC3B6B" w:rsidRPr="00022A36">
        <w:rPr>
          <w:noProof/>
          <w:lang w:val="es-ES"/>
        </w:rPr>
        <w:t>ecretario General</w:t>
      </w:r>
      <w:r w:rsidR="00CC37E1" w:rsidRPr="00022A36">
        <w:rPr>
          <w:noProof/>
          <w:lang w:val="es-ES"/>
        </w:rPr>
        <w:t xml:space="preserve"> Adjunto</w:t>
      </w:r>
      <w:r w:rsidR="00FC3B6B" w:rsidRPr="00022A36">
        <w:rPr>
          <w:noProof/>
          <w:lang w:val="es-ES"/>
        </w:rPr>
        <w:t xml:space="preserve"> participó</w:t>
      </w:r>
      <w:r w:rsidR="00CC37E1" w:rsidRPr="00022A36">
        <w:rPr>
          <w:noProof/>
          <w:lang w:val="es-ES"/>
        </w:rPr>
        <w:t xml:space="preserve"> </w:t>
      </w:r>
      <w:r w:rsidR="00FC3B6B" w:rsidRPr="00022A36">
        <w:rPr>
          <w:noProof/>
          <w:lang w:val="es-ES"/>
        </w:rPr>
        <w:t xml:space="preserve">en el </w:t>
      </w:r>
      <w:r w:rsidR="00CC37E1" w:rsidRPr="00022A36">
        <w:rPr>
          <w:noProof/>
          <w:lang w:val="es-ES"/>
        </w:rPr>
        <w:t>evento</w:t>
      </w:r>
      <w:r w:rsidR="00FC3B6B" w:rsidRPr="00022A36">
        <w:rPr>
          <w:noProof/>
          <w:lang w:val="es-ES"/>
        </w:rPr>
        <w:t xml:space="preserve"> paralelo del BLG </w:t>
      </w:r>
      <w:r w:rsidR="00CC37E1" w:rsidRPr="00022A36">
        <w:rPr>
          <w:noProof/>
          <w:lang w:val="es-ES"/>
        </w:rPr>
        <w:t>“</w:t>
      </w:r>
      <w:r w:rsidR="00FC3B6B" w:rsidRPr="00022A36">
        <w:rPr>
          <w:noProof/>
          <w:lang w:val="es-ES"/>
        </w:rPr>
        <w:t xml:space="preserve">Movilización de </w:t>
      </w:r>
      <w:r w:rsidR="005A6782" w:rsidRPr="00022A36">
        <w:rPr>
          <w:noProof/>
          <w:lang w:val="es-ES"/>
        </w:rPr>
        <w:t>las Convenciones</w:t>
      </w:r>
      <w:r w:rsidR="00FC3B6B" w:rsidRPr="00022A36">
        <w:rPr>
          <w:noProof/>
          <w:lang w:val="es-ES"/>
        </w:rPr>
        <w:t xml:space="preserve"> relacionad</w:t>
      </w:r>
      <w:r w:rsidR="005A6782" w:rsidRPr="00022A36">
        <w:rPr>
          <w:noProof/>
          <w:lang w:val="es-ES"/>
        </w:rPr>
        <w:t>a</w:t>
      </w:r>
      <w:r w:rsidR="00FC3B6B" w:rsidRPr="00022A36">
        <w:rPr>
          <w:noProof/>
          <w:lang w:val="es-ES"/>
        </w:rPr>
        <w:t xml:space="preserve">s con la biodiversidad para la aplicación del Marco </w:t>
      </w:r>
      <w:r w:rsidR="00C51B39" w:rsidRPr="00022A36">
        <w:rPr>
          <w:noProof/>
          <w:lang w:val="es-ES"/>
        </w:rPr>
        <w:t>mundial</w:t>
      </w:r>
      <w:r w:rsidR="00CC37E1" w:rsidRPr="00022A36">
        <w:rPr>
          <w:noProof/>
          <w:lang w:val="es-ES"/>
        </w:rPr>
        <w:t xml:space="preserve"> de</w:t>
      </w:r>
      <w:r w:rsidR="00FC3B6B" w:rsidRPr="00022A36">
        <w:rPr>
          <w:noProof/>
          <w:lang w:val="es-ES"/>
        </w:rPr>
        <w:t xml:space="preserve"> </w:t>
      </w:r>
      <w:r w:rsidR="00A844C1" w:rsidRPr="00022A36">
        <w:rPr>
          <w:noProof/>
          <w:lang w:val="es-ES"/>
        </w:rPr>
        <w:t xml:space="preserve">la </w:t>
      </w:r>
      <w:r w:rsidR="00C51B39" w:rsidRPr="00022A36">
        <w:rPr>
          <w:noProof/>
          <w:lang w:val="es-ES"/>
        </w:rPr>
        <w:t>b</w:t>
      </w:r>
      <w:r w:rsidR="00FC3B6B" w:rsidRPr="00022A36">
        <w:rPr>
          <w:noProof/>
          <w:lang w:val="es-ES"/>
        </w:rPr>
        <w:t xml:space="preserve">iodiversidad </w:t>
      </w:r>
      <w:r w:rsidR="00CB5199" w:rsidRPr="00022A36">
        <w:rPr>
          <w:noProof/>
          <w:lang w:val="es-ES"/>
        </w:rPr>
        <w:t xml:space="preserve">posterior a </w:t>
      </w:r>
      <w:r w:rsidR="00FC3B6B" w:rsidRPr="00022A36">
        <w:rPr>
          <w:noProof/>
          <w:lang w:val="es-ES"/>
        </w:rPr>
        <w:t>2020</w:t>
      </w:r>
      <w:r w:rsidR="00CC37E1" w:rsidRPr="00022A36">
        <w:rPr>
          <w:noProof/>
          <w:lang w:val="es-ES"/>
        </w:rPr>
        <w:t>”</w:t>
      </w:r>
      <w:r w:rsidR="00FC3B6B" w:rsidRPr="00022A36">
        <w:rPr>
          <w:noProof/>
          <w:lang w:val="es-ES"/>
        </w:rPr>
        <w:t>.</w:t>
      </w:r>
    </w:p>
    <w:p w14:paraId="7DF49233" w14:textId="77777777" w:rsidR="007678F1" w:rsidRPr="00022A36" w:rsidRDefault="007678F1" w:rsidP="009D2419">
      <w:pPr>
        <w:spacing w:after="0" w:line="240" w:lineRule="auto"/>
        <w:rPr>
          <w:rFonts w:eastAsia="Times New Roman" w:cstheme="minorHAnsi"/>
          <w:noProof/>
          <w:lang w:val="es-ES" w:eastAsia="en-GB"/>
        </w:rPr>
      </w:pPr>
    </w:p>
    <w:p w14:paraId="2B2510D8" w14:textId="77777777" w:rsidR="005A6782" w:rsidRPr="00022A36" w:rsidRDefault="005A6782" w:rsidP="000A264B">
      <w:pPr>
        <w:keepNext/>
        <w:spacing w:after="0" w:line="240" w:lineRule="auto"/>
        <w:contextualSpacing/>
        <w:rPr>
          <w:i/>
          <w:iCs/>
          <w:noProof/>
          <w:lang w:val="es-ES"/>
        </w:rPr>
      </w:pPr>
      <w:r w:rsidRPr="00022A36">
        <w:rPr>
          <w:i/>
          <w:iCs/>
          <w:noProof/>
          <w:lang w:val="es-ES"/>
        </w:rPr>
        <w:t xml:space="preserve">Convenio sobre la Diversidad Biológica </w:t>
      </w:r>
    </w:p>
    <w:p w14:paraId="66D78891" w14:textId="77777777" w:rsidR="009C2848" w:rsidRPr="00022A36" w:rsidRDefault="009C2848" w:rsidP="000A264B">
      <w:pPr>
        <w:keepNext/>
        <w:spacing w:after="0" w:line="240" w:lineRule="auto"/>
        <w:contextualSpacing/>
        <w:rPr>
          <w:rFonts w:eastAsia="Calibri" w:cstheme="minorHAnsi"/>
          <w:noProof/>
          <w:lang w:val="es-ES"/>
        </w:rPr>
      </w:pPr>
    </w:p>
    <w:p w14:paraId="58E5C83D" w14:textId="0FEC5730" w:rsidR="005A6782" w:rsidRPr="00022A36" w:rsidRDefault="00017673" w:rsidP="000A264B">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11</w:t>
      </w:r>
      <w:r w:rsidR="00EE3447" w:rsidRPr="00022A36">
        <w:rPr>
          <w:rFonts w:eastAsia="Times New Roman" w:cstheme="minorHAnsi"/>
          <w:noProof/>
          <w:lang w:val="es-ES" w:eastAsia="en-GB"/>
        </w:rPr>
        <w:t>.</w:t>
      </w:r>
      <w:r w:rsidR="009C2848" w:rsidRPr="00022A36">
        <w:rPr>
          <w:rFonts w:eastAsia="Times New Roman" w:cstheme="minorHAnsi"/>
          <w:noProof/>
          <w:lang w:val="es-ES" w:eastAsia="en-GB"/>
        </w:rPr>
        <w:tab/>
      </w:r>
      <w:r w:rsidR="005A6782" w:rsidRPr="00022A36">
        <w:rPr>
          <w:rFonts w:eastAsia="Times New Roman" w:cstheme="minorHAnsi"/>
          <w:noProof/>
          <w:lang w:val="es-ES" w:eastAsia="en-GB"/>
        </w:rPr>
        <w:t xml:space="preserve">La Secretaría ha </w:t>
      </w:r>
      <w:r w:rsidR="00A327A5" w:rsidRPr="00022A36">
        <w:rPr>
          <w:rFonts w:eastAsia="Times New Roman" w:cstheme="minorHAnsi"/>
          <w:noProof/>
          <w:lang w:val="es-ES" w:eastAsia="en-GB"/>
        </w:rPr>
        <w:t>continuado su labor</w:t>
      </w:r>
      <w:r w:rsidR="005A6782" w:rsidRPr="00022A36">
        <w:rPr>
          <w:rFonts w:eastAsia="Times New Roman" w:cstheme="minorHAnsi"/>
          <w:noProof/>
          <w:lang w:val="es-ES" w:eastAsia="en-GB"/>
        </w:rPr>
        <w:t xml:space="preserve"> para reforzar la colaboración con el CDB, </w:t>
      </w:r>
      <w:r w:rsidR="00431B94" w:rsidRPr="00022A36">
        <w:rPr>
          <w:rFonts w:eastAsia="Times New Roman" w:cstheme="minorHAnsi"/>
          <w:noProof/>
          <w:lang w:val="es-ES" w:eastAsia="en-GB"/>
        </w:rPr>
        <w:t>realizando contribuciones en</w:t>
      </w:r>
      <w:r w:rsidR="005A6782" w:rsidRPr="00022A36">
        <w:rPr>
          <w:rFonts w:eastAsia="Times New Roman" w:cstheme="minorHAnsi"/>
          <w:noProof/>
          <w:lang w:val="es-ES" w:eastAsia="en-GB"/>
        </w:rPr>
        <w:t xml:space="preserve"> diferentes procesos, sobre todo </w:t>
      </w:r>
      <w:r w:rsidR="00A327A5" w:rsidRPr="00022A36">
        <w:rPr>
          <w:rFonts w:eastAsia="Times New Roman" w:cstheme="minorHAnsi"/>
          <w:noProof/>
          <w:lang w:val="es-ES" w:eastAsia="en-GB"/>
        </w:rPr>
        <w:t>relacionados con</w:t>
      </w:r>
      <w:r w:rsidR="005A6782" w:rsidRPr="00022A36">
        <w:rPr>
          <w:rFonts w:eastAsia="Times New Roman" w:cstheme="minorHAnsi"/>
          <w:noProof/>
          <w:lang w:val="es-ES" w:eastAsia="en-GB"/>
        </w:rPr>
        <w:t xml:space="preserve"> la preparación del </w:t>
      </w:r>
      <w:r w:rsidR="00CB5199" w:rsidRPr="00022A36">
        <w:rPr>
          <w:rFonts w:eastAsia="Times New Roman" w:cstheme="minorHAnsi"/>
          <w:noProof/>
          <w:lang w:val="es-ES" w:eastAsia="en-GB"/>
        </w:rPr>
        <w:t>GBF</w:t>
      </w:r>
      <w:r w:rsidR="005A6782" w:rsidRPr="00022A36">
        <w:rPr>
          <w:rFonts w:eastAsia="Times New Roman" w:cstheme="minorHAnsi"/>
          <w:noProof/>
          <w:lang w:val="es-ES" w:eastAsia="en-GB"/>
        </w:rPr>
        <w:t xml:space="preserve">. </w:t>
      </w:r>
      <w:r w:rsidR="00A327A5" w:rsidRPr="00022A36">
        <w:rPr>
          <w:rFonts w:eastAsia="Times New Roman" w:cstheme="minorHAnsi"/>
          <w:noProof/>
          <w:lang w:val="es-ES" w:eastAsia="en-GB"/>
        </w:rPr>
        <w:t>Con este objetivo</w:t>
      </w:r>
      <w:r w:rsidR="00CB5199" w:rsidRPr="00022A36">
        <w:rPr>
          <w:rFonts w:eastAsia="Times New Roman" w:cstheme="minorHAnsi"/>
          <w:noProof/>
          <w:lang w:val="es-ES" w:eastAsia="en-GB"/>
        </w:rPr>
        <w:t xml:space="preserve">, </w:t>
      </w:r>
      <w:r w:rsidR="0077313A" w:rsidRPr="00022A36">
        <w:rPr>
          <w:rFonts w:eastAsia="Times New Roman" w:cstheme="minorHAnsi"/>
          <w:noProof/>
          <w:lang w:val="es-ES" w:eastAsia="en-GB"/>
        </w:rPr>
        <w:t xml:space="preserve">en marzo de 2022 </w:t>
      </w:r>
      <w:r w:rsidR="00CB5199" w:rsidRPr="00022A36">
        <w:rPr>
          <w:rFonts w:eastAsia="Times New Roman" w:cstheme="minorHAnsi"/>
          <w:noProof/>
          <w:lang w:val="es-ES" w:eastAsia="en-GB"/>
        </w:rPr>
        <w:t>difundió</w:t>
      </w:r>
      <w:r w:rsidR="005A6782" w:rsidRPr="00022A36">
        <w:rPr>
          <w:rFonts w:eastAsia="Times New Roman" w:cstheme="minorHAnsi"/>
          <w:noProof/>
          <w:lang w:val="es-ES" w:eastAsia="en-GB"/>
        </w:rPr>
        <w:t xml:space="preserve"> un documento </w:t>
      </w:r>
      <w:r w:rsidR="00CB5199" w:rsidRPr="00022A36">
        <w:rPr>
          <w:rFonts w:eastAsia="Times New Roman" w:cstheme="minorHAnsi"/>
          <w:noProof/>
          <w:lang w:val="es-ES" w:eastAsia="en-GB"/>
        </w:rPr>
        <w:t>entre</w:t>
      </w:r>
      <w:r w:rsidR="005A6782" w:rsidRPr="00022A36">
        <w:rPr>
          <w:rFonts w:eastAsia="Times New Roman" w:cstheme="minorHAnsi"/>
          <w:noProof/>
          <w:lang w:val="es-ES" w:eastAsia="en-GB"/>
        </w:rPr>
        <w:t xml:space="preserve"> todas las Partes Contratantes</w:t>
      </w:r>
      <w:r w:rsidR="00A327A5" w:rsidRPr="00022A36">
        <w:rPr>
          <w:rFonts w:eastAsia="Times New Roman" w:cstheme="minorHAnsi"/>
          <w:noProof/>
          <w:lang w:val="es-ES" w:eastAsia="en-GB"/>
        </w:rPr>
        <w:t xml:space="preserve"> que resaltaba </w:t>
      </w:r>
      <w:r w:rsidR="005A6782" w:rsidRPr="00022A36">
        <w:rPr>
          <w:rFonts w:eastAsia="Times New Roman" w:cstheme="minorHAnsi"/>
          <w:noProof/>
          <w:lang w:val="es-ES" w:eastAsia="en-GB"/>
        </w:rPr>
        <w:t xml:space="preserve">cuestiones identificadas como </w:t>
      </w:r>
      <w:r w:rsidR="00431B94" w:rsidRPr="00022A36">
        <w:rPr>
          <w:rFonts w:eastAsia="Times New Roman" w:cstheme="minorHAnsi"/>
          <w:noProof/>
          <w:lang w:val="es-ES" w:eastAsia="en-GB"/>
        </w:rPr>
        <w:t xml:space="preserve">de mayor relevancia </w:t>
      </w:r>
      <w:r w:rsidR="005A6782" w:rsidRPr="00022A36">
        <w:rPr>
          <w:rFonts w:eastAsia="Times New Roman" w:cstheme="minorHAnsi"/>
          <w:noProof/>
          <w:lang w:val="es-ES" w:eastAsia="en-GB"/>
        </w:rPr>
        <w:t xml:space="preserve">para </w:t>
      </w:r>
      <w:r w:rsidR="00D008AA" w:rsidRPr="00022A36">
        <w:rPr>
          <w:rFonts w:eastAsia="Times New Roman" w:cstheme="minorHAnsi"/>
          <w:noProof/>
          <w:lang w:val="es-ES" w:eastAsia="en-GB"/>
        </w:rPr>
        <w:t>la Convención</w:t>
      </w:r>
      <w:r w:rsidR="005A6782" w:rsidRPr="00022A36">
        <w:rPr>
          <w:rFonts w:eastAsia="Times New Roman" w:cstheme="minorHAnsi"/>
          <w:noProof/>
          <w:lang w:val="es-ES" w:eastAsia="en-GB"/>
        </w:rPr>
        <w:t xml:space="preserve">, </w:t>
      </w:r>
      <w:r w:rsidR="00431B94" w:rsidRPr="00022A36">
        <w:rPr>
          <w:rFonts w:eastAsia="Times New Roman" w:cstheme="minorHAnsi"/>
          <w:noProof/>
          <w:lang w:val="es-ES" w:eastAsia="en-GB"/>
        </w:rPr>
        <w:t>a</w:t>
      </w:r>
      <w:r w:rsidR="005A6782" w:rsidRPr="00022A36">
        <w:rPr>
          <w:rFonts w:eastAsia="Times New Roman" w:cstheme="minorHAnsi"/>
          <w:noProof/>
          <w:lang w:val="es-ES" w:eastAsia="en-GB"/>
        </w:rPr>
        <w:t xml:space="preserve"> fin de </w:t>
      </w:r>
      <w:r w:rsidR="00CB5199" w:rsidRPr="00022A36">
        <w:rPr>
          <w:rFonts w:eastAsia="Times New Roman" w:cstheme="minorHAnsi"/>
          <w:noProof/>
          <w:lang w:val="es-ES" w:eastAsia="en-GB"/>
        </w:rPr>
        <w:t>lograr</w:t>
      </w:r>
      <w:r w:rsidR="005A6782" w:rsidRPr="00022A36">
        <w:rPr>
          <w:rFonts w:eastAsia="Times New Roman" w:cstheme="minorHAnsi"/>
          <w:noProof/>
          <w:lang w:val="es-ES" w:eastAsia="en-GB"/>
        </w:rPr>
        <w:t xml:space="preserve"> que las Partes que </w:t>
      </w:r>
      <w:r w:rsidR="00CB5199" w:rsidRPr="00022A36">
        <w:rPr>
          <w:rFonts w:eastAsia="Times New Roman" w:cstheme="minorHAnsi"/>
          <w:noProof/>
          <w:lang w:val="es-ES" w:eastAsia="en-GB"/>
        </w:rPr>
        <w:t>participaran en</w:t>
      </w:r>
      <w:r w:rsidR="005A6782" w:rsidRPr="00022A36">
        <w:rPr>
          <w:rFonts w:eastAsia="Times New Roman" w:cstheme="minorHAnsi"/>
          <w:noProof/>
          <w:lang w:val="es-ES" w:eastAsia="en-GB"/>
        </w:rPr>
        <w:t xml:space="preserve"> la reanudación de las reuniones OSACTT24, OSE3 y GTCA3 pudieran </w:t>
      </w:r>
      <w:r w:rsidR="00CB5199" w:rsidRPr="00022A36">
        <w:rPr>
          <w:rFonts w:eastAsia="Times New Roman" w:cstheme="minorHAnsi"/>
          <w:noProof/>
          <w:lang w:val="es-ES" w:eastAsia="en-GB"/>
        </w:rPr>
        <w:t>explicar</w:t>
      </w:r>
      <w:r w:rsidR="005A6782" w:rsidRPr="00022A36">
        <w:rPr>
          <w:rFonts w:eastAsia="Times New Roman" w:cstheme="minorHAnsi"/>
          <w:noProof/>
          <w:lang w:val="es-ES" w:eastAsia="en-GB"/>
        </w:rPr>
        <w:t xml:space="preserve"> la importancia de los humedales.</w:t>
      </w:r>
    </w:p>
    <w:p w14:paraId="01804E25" w14:textId="77777777" w:rsidR="000246E1" w:rsidRPr="00022A36" w:rsidRDefault="000246E1" w:rsidP="00CB5199">
      <w:pPr>
        <w:suppressAutoHyphens/>
        <w:spacing w:after="0" w:line="240" w:lineRule="auto"/>
        <w:rPr>
          <w:rFonts w:cstheme="minorHAnsi"/>
          <w:noProof/>
          <w:lang w:val="es-ES"/>
        </w:rPr>
      </w:pPr>
    </w:p>
    <w:p w14:paraId="0C5F83CF" w14:textId="67A8FA1A" w:rsidR="00CB5199" w:rsidRPr="00022A36" w:rsidRDefault="00017673" w:rsidP="000A264B">
      <w:pPr>
        <w:suppressAutoHyphens/>
        <w:spacing w:after="0" w:line="240" w:lineRule="auto"/>
        <w:ind w:left="425" w:hanging="425"/>
        <w:rPr>
          <w:rFonts w:cstheme="minorHAnsi"/>
          <w:noProof/>
          <w:lang w:val="es-ES"/>
        </w:rPr>
      </w:pPr>
      <w:r w:rsidRPr="00022A36">
        <w:rPr>
          <w:rFonts w:cstheme="minorHAnsi"/>
          <w:noProof/>
          <w:lang w:val="es-ES"/>
        </w:rPr>
        <w:t>12.</w:t>
      </w:r>
      <w:r w:rsidRPr="00022A36">
        <w:rPr>
          <w:rFonts w:cstheme="minorHAnsi"/>
          <w:noProof/>
          <w:lang w:val="es-ES"/>
        </w:rPr>
        <w:tab/>
      </w:r>
      <w:r w:rsidR="00CB5199" w:rsidRPr="00022A36">
        <w:rPr>
          <w:rFonts w:cstheme="minorHAnsi"/>
          <w:noProof/>
          <w:lang w:val="es-ES"/>
        </w:rPr>
        <w:t xml:space="preserve">Asimismo, la Secretaría recordó a las Partes Contratantes la Decisión SC57-26 </w:t>
      </w:r>
      <w:r w:rsidR="00A04ED6" w:rsidRPr="00022A36">
        <w:rPr>
          <w:rFonts w:cstheme="minorHAnsi"/>
          <w:noProof/>
          <w:lang w:val="es-ES"/>
        </w:rPr>
        <w:t>en la que el</w:t>
      </w:r>
      <w:r w:rsidR="00CB5199" w:rsidRPr="00022A36">
        <w:rPr>
          <w:rFonts w:cstheme="minorHAnsi"/>
          <w:noProof/>
          <w:lang w:val="es-ES"/>
        </w:rPr>
        <w:t xml:space="preserve"> Comité Permanente </w:t>
      </w:r>
      <w:r w:rsidR="00A04ED6" w:rsidRPr="00022A36">
        <w:rPr>
          <w:rFonts w:cstheme="minorHAnsi"/>
          <w:noProof/>
          <w:lang w:val="es-ES"/>
        </w:rPr>
        <w:t>alentó</w:t>
      </w:r>
      <w:r w:rsidR="00CB5199" w:rsidRPr="00022A36">
        <w:rPr>
          <w:rFonts w:cstheme="minorHAnsi"/>
          <w:noProof/>
          <w:lang w:val="es-ES"/>
        </w:rPr>
        <w:t xml:space="preserve"> a las Partes a que, </w:t>
      </w:r>
      <w:r w:rsidR="00A04ED6" w:rsidRPr="00022A36">
        <w:rPr>
          <w:rFonts w:cstheme="minorHAnsi"/>
          <w:noProof/>
          <w:lang w:val="es-ES"/>
        </w:rPr>
        <w:t>mediante</w:t>
      </w:r>
      <w:r w:rsidR="00CB5199" w:rsidRPr="00022A36">
        <w:rPr>
          <w:rFonts w:cstheme="minorHAnsi"/>
          <w:noProof/>
          <w:lang w:val="es-ES"/>
        </w:rPr>
        <w:t xml:space="preserve"> sus </w:t>
      </w:r>
      <w:r w:rsidR="00A04ED6" w:rsidRPr="00022A36">
        <w:rPr>
          <w:rFonts w:cstheme="minorHAnsi"/>
          <w:noProof/>
          <w:lang w:val="es-ES"/>
        </w:rPr>
        <w:t>c</w:t>
      </w:r>
      <w:r w:rsidR="00CB5199" w:rsidRPr="00022A36">
        <w:rPr>
          <w:rFonts w:cstheme="minorHAnsi"/>
          <w:noProof/>
          <w:lang w:val="es-ES"/>
        </w:rPr>
        <w:t xml:space="preserve">oordinadores </w:t>
      </w:r>
      <w:r w:rsidR="00A04ED6" w:rsidRPr="00022A36">
        <w:rPr>
          <w:rFonts w:cstheme="minorHAnsi"/>
          <w:noProof/>
          <w:lang w:val="es-ES"/>
        </w:rPr>
        <w:t>n</w:t>
      </w:r>
      <w:r w:rsidR="00CB5199" w:rsidRPr="00022A36">
        <w:rPr>
          <w:rFonts w:cstheme="minorHAnsi"/>
          <w:noProof/>
          <w:lang w:val="es-ES"/>
        </w:rPr>
        <w:t xml:space="preserve">acionales de Ramsar, </w:t>
      </w:r>
      <w:r w:rsidR="00A04ED6" w:rsidRPr="00022A36">
        <w:rPr>
          <w:rFonts w:cstheme="minorHAnsi"/>
          <w:noProof/>
          <w:lang w:val="es-ES"/>
        </w:rPr>
        <w:t>establecieran contactos</w:t>
      </w:r>
      <w:r w:rsidR="00CB5199" w:rsidRPr="00022A36">
        <w:rPr>
          <w:rFonts w:cstheme="minorHAnsi"/>
          <w:noProof/>
          <w:lang w:val="es-ES"/>
        </w:rPr>
        <w:t xml:space="preserve"> y </w:t>
      </w:r>
      <w:r w:rsidR="00A04ED6" w:rsidRPr="00022A36">
        <w:rPr>
          <w:rFonts w:cstheme="minorHAnsi"/>
          <w:noProof/>
          <w:lang w:val="es-ES"/>
        </w:rPr>
        <w:t>trabajaran</w:t>
      </w:r>
      <w:r w:rsidR="00CB5199" w:rsidRPr="00022A36">
        <w:rPr>
          <w:rFonts w:cstheme="minorHAnsi"/>
          <w:noProof/>
          <w:lang w:val="es-ES"/>
        </w:rPr>
        <w:t xml:space="preserve"> con sus homólogos en el </w:t>
      </w:r>
      <w:r w:rsidR="00A04ED6" w:rsidRPr="00022A36">
        <w:rPr>
          <w:rFonts w:cstheme="minorHAnsi"/>
          <w:noProof/>
          <w:lang w:val="es-ES"/>
        </w:rPr>
        <w:t>Convenio sobre la Diversidad Biológica</w:t>
      </w:r>
      <w:r w:rsidR="00CB5199" w:rsidRPr="00022A36">
        <w:rPr>
          <w:rFonts w:cstheme="minorHAnsi"/>
          <w:noProof/>
          <w:lang w:val="es-ES"/>
        </w:rPr>
        <w:t xml:space="preserve"> y participaran en la </w:t>
      </w:r>
      <w:r w:rsidR="00A04ED6" w:rsidRPr="00022A36">
        <w:rPr>
          <w:rFonts w:cstheme="minorHAnsi"/>
          <w:noProof/>
          <w:lang w:val="es-ES"/>
        </w:rPr>
        <w:t>prepar</w:t>
      </w:r>
      <w:r w:rsidR="00CB5199" w:rsidRPr="00022A36">
        <w:rPr>
          <w:rFonts w:cstheme="minorHAnsi"/>
          <w:noProof/>
          <w:lang w:val="es-ES"/>
        </w:rPr>
        <w:t xml:space="preserve">ación de sus posiciones nacionales </w:t>
      </w:r>
      <w:r w:rsidR="00A04ED6" w:rsidRPr="00022A36">
        <w:rPr>
          <w:rFonts w:cstheme="minorHAnsi"/>
          <w:noProof/>
          <w:lang w:val="es-ES"/>
        </w:rPr>
        <w:t>en relación</w:t>
      </w:r>
      <w:r w:rsidR="00CB5199" w:rsidRPr="00022A36">
        <w:rPr>
          <w:rFonts w:cstheme="minorHAnsi"/>
          <w:noProof/>
          <w:lang w:val="es-ES"/>
        </w:rPr>
        <w:t xml:space="preserve"> con el proceso del</w:t>
      </w:r>
      <w:r w:rsidR="00431B94" w:rsidRPr="00022A36">
        <w:rPr>
          <w:rFonts w:cstheme="minorHAnsi"/>
          <w:noProof/>
          <w:lang w:val="es-ES"/>
        </w:rPr>
        <w:t xml:space="preserve"> M</w:t>
      </w:r>
      <w:r w:rsidR="00A04ED6" w:rsidRPr="00022A36">
        <w:rPr>
          <w:rFonts w:cstheme="minorHAnsi"/>
          <w:noProof/>
          <w:lang w:val="es-ES"/>
        </w:rPr>
        <w:t>arco de la diversidad biológica posterior a 2020</w:t>
      </w:r>
      <w:r w:rsidR="00CB5199" w:rsidRPr="00022A36">
        <w:rPr>
          <w:rFonts w:cstheme="minorHAnsi"/>
          <w:noProof/>
          <w:lang w:val="es-ES"/>
        </w:rPr>
        <w:t xml:space="preserve"> del CDB, a fin de garantizar </w:t>
      </w:r>
      <w:r w:rsidR="00A04ED6" w:rsidRPr="00022A36">
        <w:rPr>
          <w:rFonts w:cstheme="minorHAnsi"/>
          <w:noProof/>
          <w:lang w:val="es-ES"/>
        </w:rPr>
        <w:t>la inclusión de</w:t>
      </w:r>
      <w:r w:rsidR="00CB5199" w:rsidRPr="00022A36">
        <w:rPr>
          <w:rFonts w:cstheme="minorHAnsi"/>
          <w:noProof/>
          <w:lang w:val="es-ES"/>
        </w:rPr>
        <w:t xml:space="preserve"> elementos pertinentes para Ramsar en las posiciones </w:t>
      </w:r>
      <w:r w:rsidR="00A04ED6" w:rsidRPr="00022A36">
        <w:rPr>
          <w:rFonts w:cstheme="minorHAnsi"/>
          <w:noProof/>
          <w:lang w:val="es-ES"/>
        </w:rPr>
        <w:t xml:space="preserve">y aportaciones </w:t>
      </w:r>
      <w:r w:rsidR="00CB5199" w:rsidRPr="00022A36">
        <w:rPr>
          <w:rFonts w:cstheme="minorHAnsi"/>
          <w:noProof/>
          <w:lang w:val="es-ES"/>
        </w:rPr>
        <w:t xml:space="preserve">de los países en </w:t>
      </w:r>
      <w:r w:rsidR="00431B94" w:rsidRPr="00022A36">
        <w:rPr>
          <w:rFonts w:cstheme="minorHAnsi"/>
          <w:noProof/>
          <w:lang w:val="es-ES"/>
        </w:rPr>
        <w:t>el trabajo de preparación</w:t>
      </w:r>
      <w:r w:rsidR="00CB5199" w:rsidRPr="00022A36">
        <w:rPr>
          <w:rFonts w:cstheme="minorHAnsi"/>
          <w:noProof/>
          <w:lang w:val="es-ES"/>
        </w:rPr>
        <w:t xml:space="preserve">. Con estos elementos, la Secretaría </w:t>
      </w:r>
      <w:r w:rsidR="00A04ED6" w:rsidRPr="00022A36">
        <w:rPr>
          <w:rFonts w:cstheme="minorHAnsi"/>
          <w:noProof/>
          <w:lang w:val="es-ES"/>
        </w:rPr>
        <w:t>realizó</w:t>
      </w:r>
      <w:r w:rsidR="00CB5199" w:rsidRPr="00022A36">
        <w:rPr>
          <w:rFonts w:cstheme="minorHAnsi"/>
          <w:noProof/>
          <w:lang w:val="es-ES"/>
        </w:rPr>
        <w:t xml:space="preserve"> </w:t>
      </w:r>
      <w:r w:rsidR="00A04ED6" w:rsidRPr="00022A36">
        <w:rPr>
          <w:rFonts w:cstheme="minorHAnsi"/>
          <w:noProof/>
          <w:lang w:val="es-ES"/>
        </w:rPr>
        <w:t>contribuciones</w:t>
      </w:r>
      <w:r w:rsidR="00CB5199" w:rsidRPr="00022A36">
        <w:rPr>
          <w:rFonts w:cstheme="minorHAnsi"/>
          <w:noProof/>
          <w:lang w:val="es-ES"/>
        </w:rPr>
        <w:t xml:space="preserve"> </w:t>
      </w:r>
      <w:r w:rsidR="00431B94" w:rsidRPr="00022A36">
        <w:rPr>
          <w:rFonts w:cstheme="minorHAnsi"/>
          <w:noProof/>
          <w:lang w:val="es-ES"/>
        </w:rPr>
        <w:t>en</w:t>
      </w:r>
      <w:r w:rsidR="00CB5199" w:rsidRPr="00022A36">
        <w:rPr>
          <w:rFonts w:cstheme="minorHAnsi"/>
          <w:noProof/>
          <w:lang w:val="es-ES"/>
        </w:rPr>
        <w:t xml:space="preserve"> las reuniones del CDB mencionadas anteriormente.</w:t>
      </w:r>
    </w:p>
    <w:p w14:paraId="1A9B4A39" w14:textId="77777777" w:rsidR="000B29EF" w:rsidRPr="00022A36" w:rsidRDefault="000B29EF" w:rsidP="00A04ED6">
      <w:pPr>
        <w:suppressAutoHyphens/>
        <w:spacing w:after="0" w:line="240" w:lineRule="auto"/>
        <w:rPr>
          <w:rFonts w:cstheme="minorHAnsi"/>
          <w:noProof/>
          <w:lang w:val="es-ES"/>
        </w:rPr>
      </w:pPr>
    </w:p>
    <w:p w14:paraId="707A0A59" w14:textId="2E17B939" w:rsidR="00A04ED6" w:rsidRPr="00022A36" w:rsidRDefault="00017673" w:rsidP="002E77BF">
      <w:pPr>
        <w:spacing w:after="0" w:line="240" w:lineRule="auto"/>
        <w:ind w:left="426" w:hanging="426"/>
        <w:rPr>
          <w:rFonts w:cstheme="minorHAnsi"/>
          <w:noProof/>
          <w:lang w:val="es-ES"/>
        </w:rPr>
      </w:pPr>
      <w:r w:rsidRPr="00022A36">
        <w:rPr>
          <w:rFonts w:cstheme="minorHAnsi"/>
          <w:noProof/>
          <w:lang w:val="es-ES"/>
        </w:rPr>
        <w:t>13</w:t>
      </w:r>
      <w:r w:rsidR="00344BCB" w:rsidRPr="00022A36">
        <w:rPr>
          <w:rFonts w:cstheme="minorHAnsi"/>
          <w:noProof/>
          <w:lang w:val="es-ES"/>
        </w:rPr>
        <w:t>.</w:t>
      </w:r>
      <w:r w:rsidR="00A31E10" w:rsidRPr="00022A36">
        <w:rPr>
          <w:rFonts w:cstheme="minorHAnsi"/>
          <w:noProof/>
          <w:lang w:val="es-ES"/>
        </w:rPr>
        <w:tab/>
      </w:r>
      <w:r w:rsidR="00A04ED6" w:rsidRPr="00022A36">
        <w:rPr>
          <w:rFonts w:cstheme="minorHAnsi"/>
          <w:noProof/>
          <w:lang w:val="es-ES"/>
        </w:rPr>
        <w:t xml:space="preserve">El Secretario General Adjunto participó en la sesión informativa ejecutiva </w:t>
      </w:r>
      <w:r w:rsidR="00887A15" w:rsidRPr="00022A36">
        <w:rPr>
          <w:rFonts w:cstheme="minorHAnsi"/>
          <w:noProof/>
          <w:lang w:val="es-ES"/>
        </w:rPr>
        <w:t xml:space="preserve">que </w:t>
      </w:r>
      <w:r w:rsidR="00A04ED6" w:rsidRPr="00022A36">
        <w:rPr>
          <w:rFonts w:cstheme="minorHAnsi"/>
          <w:noProof/>
          <w:lang w:val="es-ES"/>
        </w:rPr>
        <w:t xml:space="preserve">la </w:t>
      </w:r>
      <w:r w:rsidR="00887A15" w:rsidRPr="00022A36">
        <w:rPr>
          <w:rFonts w:cstheme="minorHAnsi"/>
          <w:noProof/>
          <w:lang w:val="es-ES"/>
        </w:rPr>
        <w:t xml:space="preserve">organización Geneva Network </w:t>
      </w:r>
      <w:r w:rsidR="00D008AA" w:rsidRPr="00022A36">
        <w:rPr>
          <w:rFonts w:cstheme="minorHAnsi"/>
          <w:noProof/>
          <w:lang w:val="es-ES"/>
        </w:rPr>
        <w:t xml:space="preserve">organizó </w:t>
      </w:r>
      <w:r w:rsidR="00A04ED6" w:rsidRPr="00022A36">
        <w:rPr>
          <w:rFonts w:cstheme="minorHAnsi"/>
          <w:noProof/>
          <w:lang w:val="es-ES"/>
        </w:rPr>
        <w:t>en noviembre de 2022 sobre los preparativos para la COP15 del CDB y los resultados de la COP14 de la Convención sobre los Humedales, la COP27 de la Conferencia de las Partes en la Convención Marco de las Naciones Unidas sobre el Cambio Climático (CMNUCC) y la COP19 de la CITES.</w:t>
      </w:r>
    </w:p>
    <w:p w14:paraId="09588039" w14:textId="77777777" w:rsidR="00A844C1" w:rsidRPr="00022A36" w:rsidDel="000B29EF" w:rsidRDefault="00A844C1" w:rsidP="00887A15">
      <w:pPr>
        <w:spacing w:after="0" w:line="240" w:lineRule="auto"/>
        <w:rPr>
          <w:noProof/>
          <w:lang w:val="es-ES"/>
        </w:rPr>
      </w:pPr>
    </w:p>
    <w:p w14:paraId="76829987" w14:textId="5D5C2EE2" w:rsidR="00887A15" w:rsidRPr="00022A36" w:rsidRDefault="00017673" w:rsidP="002E77BF">
      <w:pPr>
        <w:spacing w:after="0" w:line="240" w:lineRule="auto"/>
        <w:ind w:left="426" w:hanging="426"/>
        <w:rPr>
          <w:rFonts w:cstheme="minorHAnsi"/>
          <w:noProof/>
          <w:lang w:val="es-ES"/>
        </w:rPr>
      </w:pPr>
      <w:r w:rsidRPr="00022A36">
        <w:rPr>
          <w:noProof/>
          <w:lang w:val="es-ES"/>
        </w:rPr>
        <w:t>14</w:t>
      </w:r>
      <w:r w:rsidR="396190B6" w:rsidRPr="00022A36">
        <w:rPr>
          <w:noProof/>
          <w:lang w:val="es-ES"/>
        </w:rPr>
        <w:t>.</w:t>
      </w:r>
      <w:r w:rsidR="00EE3447" w:rsidRPr="00022A36">
        <w:rPr>
          <w:rFonts w:cstheme="minorHAnsi"/>
          <w:noProof/>
          <w:lang w:val="es-ES"/>
        </w:rPr>
        <w:tab/>
      </w:r>
      <w:r w:rsidR="00887A15" w:rsidRPr="00022A36">
        <w:rPr>
          <w:rFonts w:cstheme="minorHAnsi"/>
          <w:noProof/>
          <w:lang w:val="es-ES"/>
        </w:rPr>
        <w:t>En la COP15 del CDB, la Secretaría</w:t>
      </w:r>
      <w:r w:rsidR="002C7603" w:rsidRPr="00022A36">
        <w:rPr>
          <w:rFonts w:cstheme="minorHAnsi"/>
          <w:noProof/>
          <w:lang w:val="es-ES"/>
        </w:rPr>
        <w:t xml:space="preserve"> </w:t>
      </w:r>
      <w:r w:rsidR="00CE28F7" w:rsidRPr="00022A36">
        <w:rPr>
          <w:rFonts w:cstheme="minorHAnsi"/>
          <w:noProof/>
          <w:lang w:val="es-ES"/>
        </w:rPr>
        <w:t>pronunció un discurso</w:t>
      </w:r>
      <w:r w:rsidR="00887A15" w:rsidRPr="00022A36">
        <w:rPr>
          <w:rFonts w:cstheme="minorHAnsi"/>
          <w:noProof/>
          <w:lang w:val="es-ES"/>
        </w:rPr>
        <w:t xml:space="preserve"> </w:t>
      </w:r>
      <w:r w:rsidR="00D008AA" w:rsidRPr="00022A36">
        <w:rPr>
          <w:rFonts w:cstheme="minorHAnsi"/>
          <w:noProof/>
          <w:lang w:val="es-ES"/>
        </w:rPr>
        <w:t>acerca de</w:t>
      </w:r>
      <w:r w:rsidR="00887A15" w:rsidRPr="00022A36">
        <w:rPr>
          <w:rFonts w:cstheme="minorHAnsi"/>
          <w:noProof/>
          <w:lang w:val="es-ES"/>
        </w:rPr>
        <w:t xml:space="preserve"> los resultados de la COP14 de la Convención sobre los Humedales que se publicó en el sitio web de la COP15 del CDB. El Secretario General Adjunto participó en el debate de alto nivel “Diálogo de jefes de organismos de las Naciones Unidas: Compromisos contraídos para aplicar el enfoque común </w:t>
      </w:r>
      <w:r w:rsidR="00CE28F7" w:rsidRPr="00022A36">
        <w:rPr>
          <w:rFonts w:cstheme="minorHAnsi"/>
          <w:noProof/>
          <w:lang w:val="es-ES"/>
        </w:rPr>
        <w:t>de</w:t>
      </w:r>
      <w:r w:rsidR="00887A15" w:rsidRPr="00022A36">
        <w:rPr>
          <w:rFonts w:cstheme="minorHAnsi"/>
          <w:noProof/>
          <w:lang w:val="es-ES"/>
        </w:rPr>
        <w:t xml:space="preserve"> biodiversidad y el </w:t>
      </w:r>
      <w:r w:rsidR="00CE28F7" w:rsidRPr="00022A36">
        <w:rPr>
          <w:rFonts w:eastAsia="Times New Roman"/>
          <w:noProof/>
          <w:lang w:val="es-ES" w:eastAsia="en-GB"/>
        </w:rPr>
        <w:t xml:space="preserve">Marco </w:t>
      </w:r>
      <w:r w:rsidR="00C51B39" w:rsidRPr="00022A36">
        <w:rPr>
          <w:rFonts w:eastAsia="Times New Roman"/>
          <w:noProof/>
          <w:lang w:val="es-ES" w:eastAsia="en-GB"/>
        </w:rPr>
        <w:t>mundial</w:t>
      </w:r>
      <w:r w:rsidR="00CE28F7" w:rsidRPr="00022A36">
        <w:rPr>
          <w:rFonts w:eastAsia="Times New Roman"/>
          <w:noProof/>
          <w:lang w:val="es-ES" w:eastAsia="en-GB"/>
        </w:rPr>
        <w:t xml:space="preserve"> de</w:t>
      </w:r>
      <w:r w:rsidR="00A844C1" w:rsidRPr="00022A36">
        <w:rPr>
          <w:rFonts w:eastAsia="Times New Roman"/>
          <w:noProof/>
          <w:lang w:val="es-ES" w:eastAsia="en-GB"/>
        </w:rPr>
        <w:t xml:space="preserve"> la</w:t>
      </w:r>
      <w:r w:rsidR="00CE28F7" w:rsidRPr="00022A36">
        <w:rPr>
          <w:rFonts w:eastAsia="Times New Roman"/>
          <w:noProof/>
          <w:lang w:val="es-ES" w:eastAsia="en-GB"/>
        </w:rPr>
        <w:t xml:space="preserve"> </w:t>
      </w:r>
      <w:r w:rsidR="001152CC" w:rsidRPr="00022A36">
        <w:rPr>
          <w:rFonts w:eastAsia="Times New Roman"/>
          <w:noProof/>
          <w:lang w:val="es-ES" w:eastAsia="en-GB"/>
        </w:rPr>
        <w:t>b</w:t>
      </w:r>
      <w:r w:rsidR="00CE28F7" w:rsidRPr="00022A36">
        <w:rPr>
          <w:rFonts w:eastAsia="Times New Roman"/>
          <w:noProof/>
          <w:lang w:val="es-ES" w:eastAsia="en-GB"/>
        </w:rPr>
        <w:t>iodiversidad posterior a 2020</w:t>
      </w:r>
      <w:r w:rsidR="00887A15" w:rsidRPr="00022A36">
        <w:rPr>
          <w:rFonts w:cstheme="minorHAnsi"/>
          <w:noProof/>
          <w:lang w:val="es-ES"/>
        </w:rPr>
        <w:t xml:space="preserve">” y en el evento paralelo “Más allá de las fronteras: </w:t>
      </w:r>
      <w:r w:rsidR="00CE28F7" w:rsidRPr="00022A36">
        <w:rPr>
          <w:rFonts w:cstheme="minorHAnsi"/>
          <w:noProof/>
          <w:lang w:val="es-ES"/>
        </w:rPr>
        <w:t>La función</w:t>
      </w:r>
      <w:r w:rsidR="00887A15" w:rsidRPr="00022A36">
        <w:rPr>
          <w:rFonts w:cstheme="minorHAnsi"/>
          <w:noProof/>
          <w:lang w:val="es-ES"/>
        </w:rPr>
        <w:t xml:space="preserve"> de las ciudades y las regiones en la </w:t>
      </w:r>
      <w:r w:rsidR="00CE28F7" w:rsidRPr="00022A36">
        <w:rPr>
          <w:rFonts w:cstheme="minorHAnsi"/>
          <w:noProof/>
          <w:lang w:val="es-ES"/>
        </w:rPr>
        <w:t>aplicación</w:t>
      </w:r>
      <w:r w:rsidR="00887A15" w:rsidRPr="00022A36">
        <w:rPr>
          <w:rFonts w:cstheme="minorHAnsi"/>
          <w:noProof/>
          <w:lang w:val="es-ES"/>
        </w:rPr>
        <w:t xml:space="preserve"> de medidas </w:t>
      </w:r>
      <w:r w:rsidR="00CE28F7" w:rsidRPr="00022A36">
        <w:rPr>
          <w:rFonts w:cstheme="minorHAnsi"/>
          <w:noProof/>
          <w:lang w:val="es-ES"/>
        </w:rPr>
        <w:t>a escala local</w:t>
      </w:r>
      <w:r w:rsidR="00887A15" w:rsidRPr="00022A36">
        <w:rPr>
          <w:rFonts w:cstheme="minorHAnsi"/>
          <w:noProof/>
          <w:lang w:val="es-ES"/>
        </w:rPr>
        <w:t xml:space="preserve"> en </w:t>
      </w:r>
      <w:r w:rsidR="00CE28F7" w:rsidRPr="00022A36">
        <w:rPr>
          <w:rFonts w:cstheme="minorHAnsi"/>
          <w:noProof/>
          <w:lang w:val="es-ES"/>
        </w:rPr>
        <w:t>pro</w:t>
      </w:r>
      <w:r w:rsidR="00887A15" w:rsidRPr="00022A36">
        <w:rPr>
          <w:rFonts w:cstheme="minorHAnsi"/>
          <w:noProof/>
          <w:lang w:val="es-ES"/>
        </w:rPr>
        <w:t xml:space="preserve"> de los humedales del planeta”. </w:t>
      </w:r>
      <w:r w:rsidR="00CE28F7" w:rsidRPr="00022A36">
        <w:rPr>
          <w:rFonts w:cstheme="minorHAnsi"/>
          <w:noProof/>
          <w:lang w:val="es-ES"/>
        </w:rPr>
        <w:t>Asimismo,</w:t>
      </w:r>
      <w:r w:rsidR="00887A15" w:rsidRPr="00022A36">
        <w:rPr>
          <w:rFonts w:cstheme="minorHAnsi"/>
          <w:noProof/>
          <w:lang w:val="es-ES"/>
        </w:rPr>
        <w:t xml:space="preserve"> en el sitio web del </w:t>
      </w:r>
      <w:r w:rsidR="00CE28F7" w:rsidRPr="00022A36">
        <w:rPr>
          <w:rFonts w:cstheme="minorHAnsi"/>
          <w:noProof/>
          <w:lang w:val="es-ES"/>
        </w:rPr>
        <w:t>s</w:t>
      </w:r>
      <w:r w:rsidR="00887A15" w:rsidRPr="00022A36">
        <w:rPr>
          <w:rFonts w:cstheme="minorHAnsi"/>
          <w:noProof/>
          <w:lang w:val="es-ES"/>
        </w:rPr>
        <w:t xml:space="preserve">egmento de </w:t>
      </w:r>
      <w:r w:rsidR="00CE28F7" w:rsidRPr="00022A36">
        <w:rPr>
          <w:rFonts w:cstheme="minorHAnsi"/>
          <w:noProof/>
          <w:lang w:val="es-ES"/>
        </w:rPr>
        <w:t>a</w:t>
      </w:r>
      <w:r w:rsidR="00887A15" w:rsidRPr="00022A36">
        <w:rPr>
          <w:rFonts w:cstheme="minorHAnsi"/>
          <w:noProof/>
          <w:lang w:val="es-ES"/>
        </w:rPr>
        <w:t xml:space="preserve">lto </w:t>
      </w:r>
      <w:r w:rsidR="00CE28F7" w:rsidRPr="00022A36">
        <w:rPr>
          <w:rFonts w:cstheme="minorHAnsi"/>
          <w:noProof/>
          <w:lang w:val="es-ES"/>
        </w:rPr>
        <w:t>n</w:t>
      </w:r>
      <w:r w:rsidR="00887A15" w:rsidRPr="00022A36">
        <w:rPr>
          <w:rFonts w:cstheme="minorHAnsi"/>
          <w:noProof/>
          <w:lang w:val="es-ES"/>
        </w:rPr>
        <w:t xml:space="preserve">ivel </w:t>
      </w:r>
      <w:r w:rsidR="00D008AA" w:rsidRPr="00022A36">
        <w:rPr>
          <w:rFonts w:cstheme="minorHAnsi"/>
          <w:noProof/>
          <w:lang w:val="es-ES"/>
        </w:rPr>
        <w:t xml:space="preserve">se publicó </w:t>
      </w:r>
      <w:r w:rsidR="00887A15" w:rsidRPr="00022A36">
        <w:rPr>
          <w:rFonts w:cstheme="minorHAnsi"/>
          <w:noProof/>
          <w:lang w:val="es-ES"/>
        </w:rPr>
        <w:t xml:space="preserve">una declaración </w:t>
      </w:r>
      <w:r w:rsidR="00CE28F7" w:rsidRPr="00022A36">
        <w:rPr>
          <w:rFonts w:cstheme="minorHAnsi"/>
          <w:noProof/>
          <w:lang w:val="es-ES"/>
        </w:rPr>
        <w:t>que se presentó en</w:t>
      </w:r>
      <w:r w:rsidR="00887A15" w:rsidRPr="00022A36">
        <w:rPr>
          <w:rFonts w:cstheme="minorHAnsi"/>
          <w:noProof/>
          <w:lang w:val="es-ES"/>
        </w:rPr>
        <w:t xml:space="preserve"> la sesión plenaria </w:t>
      </w:r>
      <w:r w:rsidR="00D008AA" w:rsidRPr="00022A36">
        <w:rPr>
          <w:rFonts w:cstheme="minorHAnsi"/>
          <w:noProof/>
          <w:lang w:val="es-ES"/>
        </w:rPr>
        <w:t>acerca de</w:t>
      </w:r>
      <w:r w:rsidR="00887A15" w:rsidRPr="00022A36">
        <w:rPr>
          <w:rFonts w:cstheme="minorHAnsi"/>
          <w:noProof/>
          <w:lang w:val="es-ES"/>
        </w:rPr>
        <w:t xml:space="preserve"> la contribución </w:t>
      </w:r>
      <w:r w:rsidR="00CE28F7" w:rsidRPr="00022A36">
        <w:rPr>
          <w:rFonts w:cstheme="minorHAnsi"/>
          <w:noProof/>
          <w:lang w:val="es-ES"/>
        </w:rPr>
        <w:t>de la Convención par</w:t>
      </w:r>
      <w:r w:rsidR="00887A15" w:rsidRPr="00022A36">
        <w:rPr>
          <w:rFonts w:cstheme="minorHAnsi"/>
          <w:noProof/>
          <w:lang w:val="es-ES"/>
        </w:rPr>
        <w:t>a la acción urgente</w:t>
      </w:r>
      <w:r w:rsidR="001152CC" w:rsidRPr="00022A36">
        <w:rPr>
          <w:rFonts w:cstheme="minorHAnsi"/>
          <w:noProof/>
          <w:lang w:val="es-ES"/>
        </w:rPr>
        <w:t xml:space="preserve"> </w:t>
      </w:r>
      <w:r w:rsidR="002C7603" w:rsidRPr="00022A36">
        <w:rPr>
          <w:rFonts w:cstheme="minorHAnsi"/>
          <w:noProof/>
          <w:lang w:val="es-ES"/>
        </w:rPr>
        <w:t>por</w:t>
      </w:r>
      <w:r w:rsidR="00887A15" w:rsidRPr="00022A36">
        <w:rPr>
          <w:rFonts w:cstheme="minorHAnsi"/>
          <w:noProof/>
          <w:lang w:val="es-ES"/>
        </w:rPr>
        <w:t xml:space="preserve"> </w:t>
      </w:r>
      <w:r w:rsidR="00912228" w:rsidRPr="00022A36">
        <w:rPr>
          <w:rFonts w:cstheme="minorHAnsi"/>
          <w:noProof/>
          <w:lang w:val="es-ES"/>
        </w:rPr>
        <w:t xml:space="preserve">la </w:t>
      </w:r>
      <w:r w:rsidR="002C7603" w:rsidRPr="00022A36">
        <w:rPr>
          <w:rFonts w:cstheme="minorHAnsi"/>
          <w:noProof/>
          <w:lang w:val="es-ES"/>
        </w:rPr>
        <w:t>b</w:t>
      </w:r>
      <w:r w:rsidR="001152CC" w:rsidRPr="00022A36">
        <w:rPr>
          <w:rFonts w:cstheme="minorHAnsi"/>
          <w:noProof/>
          <w:lang w:val="es-ES"/>
        </w:rPr>
        <w:t>iodiversidad para el</w:t>
      </w:r>
      <w:r w:rsidR="00887A15" w:rsidRPr="00022A36">
        <w:rPr>
          <w:rFonts w:cstheme="minorHAnsi"/>
          <w:noProof/>
          <w:lang w:val="es-ES"/>
        </w:rPr>
        <w:t xml:space="preserve"> </w:t>
      </w:r>
      <w:r w:rsidR="002C7603" w:rsidRPr="00022A36">
        <w:rPr>
          <w:rFonts w:cstheme="minorHAnsi"/>
          <w:noProof/>
          <w:lang w:val="es-ES"/>
        </w:rPr>
        <w:t>d</w:t>
      </w:r>
      <w:r w:rsidR="00887A15" w:rsidRPr="00022A36">
        <w:rPr>
          <w:rFonts w:cstheme="minorHAnsi"/>
          <w:noProof/>
          <w:lang w:val="es-ES"/>
        </w:rPr>
        <w:t>esarrollo</w:t>
      </w:r>
      <w:r w:rsidR="00912228" w:rsidRPr="00022A36">
        <w:rPr>
          <w:rFonts w:cstheme="minorHAnsi"/>
          <w:noProof/>
          <w:lang w:val="es-ES"/>
        </w:rPr>
        <w:t xml:space="preserve"> </w:t>
      </w:r>
      <w:r w:rsidR="002C7603" w:rsidRPr="00022A36">
        <w:rPr>
          <w:rFonts w:cstheme="minorHAnsi"/>
          <w:noProof/>
          <w:lang w:val="es-ES"/>
        </w:rPr>
        <w:t>s</w:t>
      </w:r>
      <w:r w:rsidR="00887A15" w:rsidRPr="00022A36">
        <w:rPr>
          <w:rFonts w:cstheme="minorHAnsi"/>
          <w:noProof/>
          <w:lang w:val="es-ES"/>
        </w:rPr>
        <w:t xml:space="preserve">ostenible. </w:t>
      </w:r>
      <w:r w:rsidR="00CE28F7" w:rsidRPr="00022A36">
        <w:rPr>
          <w:rFonts w:cstheme="minorHAnsi"/>
          <w:noProof/>
          <w:lang w:val="es-ES"/>
        </w:rPr>
        <w:t>Por otro lado, la</w:t>
      </w:r>
      <w:r w:rsidR="00887A15" w:rsidRPr="00022A36">
        <w:rPr>
          <w:rFonts w:cstheme="minorHAnsi"/>
          <w:noProof/>
          <w:lang w:val="es-ES"/>
        </w:rPr>
        <w:t xml:space="preserve"> Secretaría participó como ponente en </w:t>
      </w:r>
      <w:r w:rsidR="00D008AA" w:rsidRPr="00022A36">
        <w:rPr>
          <w:rFonts w:cstheme="minorHAnsi"/>
          <w:noProof/>
          <w:lang w:val="es-ES"/>
        </w:rPr>
        <w:t xml:space="preserve">los </w:t>
      </w:r>
      <w:r w:rsidR="00CE28F7" w:rsidRPr="00022A36">
        <w:rPr>
          <w:rFonts w:cstheme="minorHAnsi"/>
          <w:noProof/>
          <w:lang w:val="es-ES"/>
        </w:rPr>
        <w:t>eventos</w:t>
      </w:r>
      <w:r w:rsidR="00887A15" w:rsidRPr="00022A36">
        <w:rPr>
          <w:rFonts w:cstheme="minorHAnsi"/>
          <w:noProof/>
          <w:lang w:val="es-ES"/>
        </w:rPr>
        <w:t xml:space="preserve"> paralelos sobre </w:t>
      </w:r>
      <w:r w:rsidR="00CE28F7" w:rsidRPr="00022A36">
        <w:rPr>
          <w:rFonts w:cstheme="minorHAnsi"/>
          <w:noProof/>
          <w:lang w:val="es-ES"/>
        </w:rPr>
        <w:t>“</w:t>
      </w:r>
      <w:r w:rsidR="00887A15" w:rsidRPr="00022A36">
        <w:rPr>
          <w:rFonts w:cstheme="minorHAnsi"/>
          <w:noProof/>
          <w:lang w:val="es-ES"/>
        </w:rPr>
        <w:t xml:space="preserve">Herramientas y soluciones para la aplicación del </w:t>
      </w:r>
      <w:r w:rsidR="00CE28F7" w:rsidRPr="00022A36">
        <w:rPr>
          <w:rFonts w:eastAsia="Times New Roman"/>
          <w:noProof/>
          <w:lang w:val="es-ES" w:eastAsia="en-GB"/>
        </w:rPr>
        <w:t xml:space="preserve">Marco </w:t>
      </w:r>
      <w:r w:rsidR="00C51B39" w:rsidRPr="00022A36">
        <w:rPr>
          <w:rFonts w:eastAsia="Times New Roman"/>
          <w:noProof/>
          <w:lang w:val="es-ES" w:eastAsia="en-GB"/>
        </w:rPr>
        <w:t>mundial</w:t>
      </w:r>
      <w:r w:rsidR="00CE28F7" w:rsidRPr="00022A36">
        <w:rPr>
          <w:rFonts w:eastAsia="Times New Roman"/>
          <w:noProof/>
          <w:lang w:val="es-ES" w:eastAsia="en-GB"/>
        </w:rPr>
        <w:t xml:space="preserve"> de </w:t>
      </w:r>
      <w:r w:rsidR="00A844C1" w:rsidRPr="00022A36">
        <w:rPr>
          <w:rFonts w:eastAsia="Times New Roman"/>
          <w:noProof/>
          <w:lang w:val="es-ES" w:eastAsia="en-GB"/>
        </w:rPr>
        <w:t xml:space="preserve">la </w:t>
      </w:r>
      <w:r w:rsidR="002C7603" w:rsidRPr="00022A36">
        <w:rPr>
          <w:rFonts w:eastAsia="Times New Roman"/>
          <w:noProof/>
          <w:lang w:val="es-ES" w:eastAsia="en-GB"/>
        </w:rPr>
        <w:t>b</w:t>
      </w:r>
      <w:r w:rsidR="00CE28F7" w:rsidRPr="00022A36">
        <w:rPr>
          <w:rFonts w:eastAsia="Times New Roman"/>
          <w:noProof/>
          <w:lang w:val="es-ES" w:eastAsia="en-GB"/>
        </w:rPr>
        <w:t>iodiversidad posterior a 2020</w:t>
      </w:r>
      <w:r w:rsidR="00887A15" w:rsidRPr="00022A36">
        <w:rPr>
          <w:rFonts w:cstheme="minorHAnsi"/>
          <w:noProof/>
          <w:lang w:val="es-ES"/>
        </w:rPr>
        <w:t>: mejora de las sinergias y la cooperación</w:t>
      </w:r>
      <w:r w:rsidR="00CE28F7" w:rsidRPr="00022A36">
        <w:rPr>
          <w:rFonts w:cstheme="minorHAnsi"/>
          <w:noProof/>
          <w:lang w:val="es-ES"/>
        </w:rPr>
        <w:t>”</w:t>
      </w:r>
      <w:r w:rsidR="00D008AA" w:rsidRPr="00022A36">
        <w:rPr>
          <w:rFonts w:cstheme="minorHAnsi"/>
          <w:noProof/>
          <w:lang w:val="es-ES"/>
        </w:rPr>
        <w:t xml:space="preserve"> (</w:t>
      </w:r>
      <w:r w:rsidR="00887A15" w:rsidRPr="00022A36">
        <w:rPr>
          <w:rFonts w:cstheme="minorHAnsi"/>
          <w:noProof/>
          <w:lang w:val="es-ES"/>
        </w:rPr>
        <w:t>organizado por el PNUMA</w:t>
      </w:r>
      <w:r w:rsidR="00D008AA" w:rsidRPr="00022A36">
        <w:rPr>
          <w:rFonts w:cstheme="minorHAnsi"/>
          <w:noProof/>
          <w:lang w:val="es-ES"/>
        </w:rPr>
        <w:t>)</w:t>
      </w:r>
      <w:r w:rsidR="00A844C1" w:rsidRPr="00022A36">
        <w:rPr>
          <w:rFonts w:cstheme="minorHAnsi"/>
          <w:noProof/>
          <w:lang w:val="es-ES"/>
        </w:rPr>
        <w:t>,</w:t>
      </w:r>
      <w:r w:rsidR="00887A15" w:rsidRPr="00022A36">
        <w:rPr>
          <w:rFonts w:cstheme="minorHAnsi"/>
          <w:noProof/>
          <w:lang w:val="es-ES"/>
        </w:rPr>
        <w:t xml:space="preserve"> </w:t>
      </w:r>
      <w:r w:rsidR="00CE28F7" w:rsidRPr="00022A36">
        <w:rPr>
          <w:rFonts w:cstheme="minorHAnsi"/>
          <w:noProof/>
          <w:lang w:val="es-ES"/>
        </w:rPr>
        <w:t>“</w:t>
      </w:r>
      <w:r w:rsidR="00887A15" w:rsidRPr="00022A36">
        <w:rPr>
          <w:rFonts w:cstheme="minorHAnsi"/>
          <w:noProof/>
          <w:lang w:val="es-ES"/>
        </w:rPr>
        <w:t xml:space="preserve">Vías para las aguas continentales en el Marco </w:t>
      </w:r>
      <w:r w:rsidR="00C51B39" w:rsidRPr="00022A36">
        <w:rPr>
          <w:rFonts w:cstheme="minorHAnsi"/>
          <w:noProof/>
          <w:lang w:val="es-ES"/>
        </w:rPr>
        <w:t>mundial</w:t>
      </w:r>
      <w:r w:rsidR="00A844C1" w:rsidRPr="00022A36">
        <w:rPr>
          <w:rFonts w:cstheme="minorHAnsi"/>
          <w:noProof/>
          <w:lang w:val="es-ES"/>
        </w:rPr>
        <w:t xml:space="preserve"> de </w:t>
      </w:r>
      <w:r w:rsidR="00887A15" w:rsidRPr="00022A36">
        <w:rPr>
          <w:rFonts w:cstheme="minorHAnsi"/>
          <w:noProof/>
          <w:lang w:val="es-ES"/>
        </w:rPr>
        <w:t xml:space="preserve">la </w:t>
      </w:r>
      <w:r w:rsidR="00912228" w:rsidRPr="00022A36">
        <w:rPr>
          <w:rFonts w:cstheme="minorHAnsi"/>
          <w:noProof/>
          <w:lang w:val="es-ES"/>
        </w:rPr>
        <w:t>b</w:t>
      </w:r>
      <w:r w:rsidR="00A844C1" w:rsidRPr="00022A36">
        <w:rPr>
          <w:rFonts w:cstheme="minorHAnsi"/>
          <w:noProof/>
          <w:lang w:val="es-ES"/>
        </w:rPr>
        <w:t>iodiversidad</w:t>
      </w:r>
      <w:r w:rsidR="00887A15" w:rsidRPr="00022A36">
        <w:rPr>
          <w:rFonts w:cstheme="minorHAnsi"/>
          <w:noProof/>
          <w:lang w:val="es-ES"/>
        </w:rPr>
        <w:t xml:space="preserve"> posterior a 2020</w:t>
      </w:r>
      <w:r w:rsidR="00A844C1" w:rsidRPr="00022A36">
        <w:rPr>
          <w:rFonts w:cstheme="minorHAnsi"/>
          <w:noProof/>
          <w:lang w:val="es-ES"/>
        </w:rPr>
        <w:t>,</w:t>
      </w:r>
      <w:r w:rsidR="00887A15" w:rsidRPr="00022A36">
        <w:rPr>
          <w:rFonts w:cstheme="minorHAnsi"/>
          <w:noProof/>
          <w:lang w:val="es-ES"/>
        </w:rPr>
        <w:t xml:space="preserve"> </w:t>
      </w:r>
      <w:r w:rsidR="00A844C1" w:rsidRPr="00022A36">
        <w:rPr>
          <w:rFonts w:cstheme="minorHAnsi"/>
          <w:noProof/>
          <w:lang w:val="es-ES"/>
        </w:rPr>
        <w:t>c</w:t>
      </w:r>
      <w:r w:rsidR="00887A15" w:rsidRPr="00022A36">
        <w:rPr>
          <w:rFonts w:cstheme="minorHAnsi"/>
          <w:noProof/>
          <w:lang w:val="es-ES"/>
        </w:rPr>
        <w:t>on enfoque en el agua dulce y las comunidades</w:t>
      </w:r>
      <w:r w:rsidR="00CE28F7" w:rsidRPr="00022A36">
        <w:rPr>
          <w:rFonts w:cstheme="minorHAnsi"/>
          <w:noProof/>
          <w:lang w:val="es-ES"/>
        </w:rPr>
        <w:t>”</w:t>
      </w:r>
      <w:r w:rsidR="00D008AA" w:rsidRPr="00022A36">
        <w:rPr>
          <w:rFonts w:cstheme="minorHAnsi"/>
          <w:noProof/>
          <w:lang w:val="es-ES"/>
        </w:rPr>
        <w:t xml:space="preserve"> (</w:t>
      </w:r>
      <w:r w:rsidR="00887A15" w:rsidRPr="00022A36">
        <w:rPr>
          <w:rFonts w:cstheme="minorHAnsi"/>
          <w:noProof/>
          <w:lang w:val="es-ES"/>
        </w:rPr>
        <w:t xml:space="preserve">organizado por The Nature Conservancy y </w:t>
      </w:r>
      <w:r w:rsidR="00A844C1" w:rsidRPr="00022A36">
        <w:rPr>
          <w:rFonts w:cstheme="minorHAnsi"/>
          <w:noProof/>
          <w:lang w:val="es-ES"/>
        </w:rPr>
        <w:t xml:space="preserve">el </w:t>
      </w:r>
      <w:r w:rsidR="00961CAE" w:rsidRPr="00022A36">
        <w:rPr>
          <w:rFonts w:cstheme="minorHAnsi"/>
          <w:noProof/>
          <w:lang w:val="es-ES"/>
        </w:rPr>
        <w:t xml:space="preserve">Fondo Mundial para la Naturaleza </w:t>
      </w:r>
      <w:r w:rsidR="00D008AA" w:rsidRPr="00022A36">
        <w:rPr>
          <w:rFonts w:cstheme="minorHAnsi"/>
          <w:noProof/>
          <w:lang w:val="es-ES"/>
        </w:rPr>
        <w:t>-</w:t>
      </w:r>
      <w:r w:rsidR="00887A15" w:rsidRPr="00022A36">
        <w:rPr>
          <w:rFonts w:cstheme="minorHAnsi"/>
          <w:noProof/>
          <w:lang w:val="es-ES"/>
        </w:rPr>
        <w:t>WWF</w:t>
      </w:r>
      <w:r w:rsidR="00D008AA" w:rsidRPr="00022A36">
        <w:rPr>
          <w:rFonts w:cstheme="minorHAnsi"/>
          <w:noProof/>
          <w:lang w:val="es-ES"/>
        </w:rPr>
        <w:t>-</w:t>
      </w:r>
      <w:r w:rsidR="00961CAE" w:rsidRPr="00022A36">
        <w:rPr>
          <w:rFonts w:cstheme="minorHAnsi"/>
          <w:noProof/>
          <w:lang w:val="es-ES"/>
        </w:rPr>
        <w:t>)</w:t>
      </w:r>
      <w:r w:rsidR="00A844C1" w:rsidRPr="00022A36">
        <w:rPr>
          <w:rFonts w:cstheme="minorHAnsi"/>
          <w:noProof/>
          <w:lang w:val="es-ES"/>
        </w:rPr>
        <w:t xml:space="preserve"> </w:t>
      </w:r>
      <w:r w:rsidR="00887A15" w:rsidRPr="00022A36">
        <w:rPr>
          <w:rFonts w:cstheme="minorHAnsi"/>
          <w:noProof/>
          <w:lang w:val="es-ES"/>
        </w:rPr>
        <w:t xml:space="preserve">y </w:t>
      </w:r>
      <w:r w:rsidR="00CE28F7" w:rsidRPr="00022A36">
        <w:rPr>
          <w:rFonts w:cstheme="minorHAnsi"/>
          <w:noProof/>
          <w:lang w:val="es-ES"/>
        </w:rPr>
        <w:t>“</w:t>
      </w:r>
      <w:r w:rsidR="00887A15" w:rsidRPr="00022A36">
        <w:rPr>
          <w:rFonts w:cstheme="minorHAnsi"/>
          <w:noProof/>
          <w:lang w:val="es-ES"/>
        </w:rPr>
        <w:t xml:space="preserve">Los ecosistemas de agua dulce y su </w:t>
      </w:r>
      <w:r w:rsidR="00A844C1" w:rsidRPr="00022A36">
        <w:rPr>
          <w:rFonts w:cstheme="minorHAnsi"/>
          <w:noProof/>
          <w:lang w:val="es-ES"/>
        </w:rPr>
        <w:t>función</w:t>
      </w:r>
      <w:r w:rsidR="00887A15" w:rsidRPr="00022A36">
        <w:rPr>
          <w:rFonts w:cstheme="minorHAnsi"/>
          <w:noProof/>
          <w:lang w:val="es-ES"/>
        </w:rPr>
        <w:t xml:space="preserve"> en la consecución de los objetivos del </w:t>
      </w:r>
      <w:r w:rsidR="00CE28F7" w:rsidRPr="00022A36">
        <w:rPr>
          <w:rFonts w:eastAsia="Times New Roman"/>
          <w:noProof/>
          <w:lang w:val="es-ES" w:eastAsia="en-GB"/>
        </w:rPr>
        <w:t xml:space="preserve">Marco </w:t>
      </w:r>
      <w:r w:rsidR="00C51B39" w:rsidRPr="00022A36">
        <w:rPr>
          <w:rFonts w:eastAsia="Times New Roman"/>
          <w:noProof/>
          <w:lang w:val="es-ES" w:eastAsia="en-GB"/>
        </w:rPr>
        <w:t>mundial</w:t>
      </w:r>
      <w:r w:rsidR="00CE28F7" w:rsidRPr="00022A36">
        <w:rPr>
          <w:rFonts w:eastAsia="Times New Roman"/>
          <w:noProof/>
          <w:lang w:val="es-ES" w:eastAsia="en-GB"/>
        </w:rPr>
        <w:t xml:space="preserve"> de</w:t>
      </w:r>
      <w:r w:rsidR="00A844C1" w:rsidRPr="00022A36">
        <w:rPr>
          <w:rFonts w:eastAsia="Times New Roman"/>
          <w:noProof/>
          <w:lang w:val="es-ES" w:eastAsia="en-GB"/>
        </w:rPr>
        <w:t xml:space="preserve"> la</w:t>
      </w:r>
      <w:r w:rsidR="00CE28F7" w:rsidRPr="00022A36">
        <w:rPr>
          <w:rFonts w:eastAsia="Times New Roman"/>
          <w:noProof/>
          <w:lang w:val="es-ES" w:eastAsia="en-GB"/>
        </w:rPr>
        <w:t xml:space="preserve"> </w:t>
      </w:r>
      <w:r w:rsidR="00912228" w:rsidRPr="00022A36">
        <w:rPr>
          <w:rFonts w:eastAsia="Times New Roman"/>
          <w:noProof/>
          <w:lang w:val="es-ES" w:eastAsia="en-GB"/>
        </w:rPr>
        <w:t>b</w:t>
      </w:r>
      <w:r w:rsidR="00CE28F7" w:rsidRPr="00022A36">
        <w:rPr>
          <w:rFonts w:eastAsia="Times New Roman"/>
          <w:noProof/>
          <w:lang w:val="es-ES" w:eastAsia="en-GB"/>
        </w:rPr>
        <w:t>iodiversidad posterior a 2020</w:t>
      </w:r>
      <w:r w:rsidR="00A844C1" w:rsidRPr="00022A36">
        <w:rPr>
          <w:rFonts w:cstheme="minorHAnsi"/>
          <w:noProof/>
          <w:lang w:val="es-ES"/>
        </w:rPr>
        <w:t>:</w:t>
      </w:r>
      <w:r w:rsidR="00887A15" w:rsidRPr="00022A36">
        <w:rPr>
          <w:rFonts w:cstheme="minorHAnsi"/>
          <w:noProof/>
          <w:lang w:val="es-ES"/>
        </w:rPr>
        <w:t xml:space="preserve"> llamado a la acción para fortalecer la protección y restauración de las aguas continentales</w:t>
      </w:r>
      <w:r w:rsidR="00CE28F7" w:rsidRPr="00022A36">
        <w:rPr>
          <w:rFonts w:cstheme="minorHAnsi"/>
          <w:noProof/>
          <w:lang w:val="es-ES"/>
        </w:rPr>
        <w:t>”</w:t>
      </w:r>
      <w:r w:rsidR="00D008AA" w:rsidRPr="00022A36">
        <w:rPr>
          <w:rFonts w:cstheme="minorHAnsi"/>
          <w:noProof/>
          <w:lang w:val="es-ES"/>
        </w:rPr>
        <w:t xml:space="preserve"> (</w:t>
      </w:r>
      <w:r w:rsidR="00887A15" w:rsidRPr="00022A36">
        <w:rPr>
          <w:rFonts w:cstheme="minorHAnsi"/>
          <w:noProof/>
          <w:lang w:val="es-ES"/>
        </w:rPr>
        <w:t xml:space="preserve">organizado por el Ministerio de Ambiente </w:t>
      </w:r>
      <w:r w:rsidR="00A844C1" w:rsidRPr="00022A36">
        <w:rPr>
          <w:rFonts w:cstheme="minorHAnsi"/>
          <w:noProof/>
          <w:lang w:val="es-ES"/>
        </w:rPr>
        <w:t xml:space="preserve">y Desarrollo Sostenible </w:t>
      </w:r>
      <w:r w:rsidR="00887A15" w:rsidRPr="00022A36">
        <w:rPr>
          <w:rFonts w:cstheme="minorHAnsi"/>
          <w:noProof/>
          <w:lang w:val="es-ES"/>
        </w:rPr>
        <w:t xml:space="preserve">de Colombia y </w:t>
      </w:r>
      <w:r w:rsidR="00CE28F7" w:rsidRPr="00022A36">
        <w:rPr>
          <w:rFonts w:cstheme="minorHAnsi"/>
          <w:noProof/>
          <w:lang w:val="es-ES"/>
        </w:rPr>
        <w:t xml:space="preserve">el </w:t>
      </w:r>
      <w:r w:rsidR="00887A15" w:rsidRPr="00022A36">
        <w:rPr>
          <w:rFonts w:cstheme="minorHAnsi"/>
          <w:noProof/>
          <w:lang w:val="es-ES"/>
        </w:rPr>
        <w:t>WWF</w:t>
      </w:r>
      <w:r w:rsidR="00D008AA" w:rsidRPr="00022A36">
        <w:rPr>
          <w:rFonts w:cstheme="minorHAnsi"/>
          <w:noProof/>
          <w:lang w:val="es-ES"/>
        </w:rPr>
        <w:t>)</w:t>
      </w:r>
      <w:r w:rsidR="00887A15" w:rsidRPr="00022A36">
        <w:rPr>
          <w:rFonts w:cstheme="minorHAnsi"/>
          <w:noProof/>
          <w:lang w:val="es-ES"/>
        </w:rPr>
        <w:t>.</w:t>
      </w:r>
    </w:p>
    <w:p w14:paraId="6C5212A1" w14:textId="77777777" w:rsidR="00F678E0" w:rsidRPr="00022A36" w:rsidRDefault="00F678E0" w:rsidP="00961CAE">
      <w:pPr>
        <w:suppressAutoHyphens/>
        <w:spacing w:after="0" w:line="240" w:lineRule="auto"/>
        <w:rPr>
          <w:rFonts w:eastAsia="Times New Roman" w:cstheme="minorHAnsi"/>
          <w:noProof/>
          <w:lang w:val="es-ES" w:eastAsia="en-GB"/>
        </w:rPr>
      </w:pPr>
    </w:p>
    <w:p w14:paraId="67C71ABE" w14:textId="56FA15B0" w:rsidR="00D06E11" w:rsidRPr="00022A36" w:rsidRDefault="00017673" w:rsidP="009C4D22">
      <w:pPr>
        <w:spacing w:after="0" w:line="240" w:lineRule="auto"/>
        <w:ind w:left="426" w:hanging="426"/>
        <w:rPr>
          <w:rFonts w:eastAsia="Times New Roman"/>
          <w:noProof/>
          <w:lang w:val="es-ES" w:eastAsia="en-GB"/>
        </w:rPr>
      </w:pPr>
      <w:r w:rsidRPr="00022A36">
        <w:rPr>
          <w:rFonts w:eastAsia="Times New Roman"/>
          <w:noProof/>
          <w:lang w:val="es-ES" w:eastAsia="en-GB"/>
        </w:rPr>
        <w:t>15</w:t>
      </w:r>
      <w:r w:rsidR="33EAF271" w:rsidRPr="00022A36">
        <w:rPr>
          <w:rFonts w:eastAsia="Times New Roman"/>
          <w:noProof/>
          <w:lang w:val="es-ES" w:eastAsia="en-GB"/>
        </w:rPr>
        <w:t>.</w:t>
      </w:r>
      <w:r w:rsidR="00A56F0D" w:rsidRPr="00022A36">
        <w:rPr>
          <w:rFonts w:eastAsia="Times New Roman"/>
          <w:noProof/>
          <w:lang w:val="es-ES" w:eastAsia="en-GB"/>
        </w:rPr>
        <w:tab/>
      </w:r>
      <w:r w:rsidR="00961CAE" w:rsidRPr="00022A36">
        <w:rPr>
          <w:rFonts w:eastAsia="Times New Roman"/>
          <w:noProof/>
          <w:lang w:val="es-ES" w:eastAsia="en-GB"/>
        </w:rPr>
        <w:t xml:space="preserve">Con la aprobación del </w:t>
      </w:r>
      <w:r w:rsidR="00961CAE" w:rsidRPr="00022A36">
        <w:rPr>
          <w:rFonts w:cstheme="minorHAnsi"/>
          <w:noProof/>
          <w:lang w:val="es-ES"/>
        </w:rPr>
        <w:t xml:space="preserve">Marco </w:t>
      </w:r>
      <w:r w:rsidR="00C51B39" w:rsidRPr="00022A36">
        <w:rPr>
          <w:rFonts w:cstheme="minorHAnsi"/>
          <w:noProof/>
          <w:lang w:val="es-ES"/>
        </w:rPr>
        <w:t>mundial</w:t>
      </w:r>
      <w:r w:rsidR="00961CAE" w:rsidRPr="00022A36">
        <w:rPr>
          <w:rFonts w:cstheme="minorHAnsi"/>
          <w:noProof/>
          <w:lang w:val="es-ES"/>
        </w:rPr>
        <w:t xml:space="preserve"> de la </w:t>
      </w:r>
      <w:r w:rsidR="00D7429B" w:rsidRPr="00022A36">
        <w:rPr>
          <w:rFonts w:cstheme="minorHAnsi"/>
          <w:noProof/>
          <w:lang w:val="es-ES"/>
        </w:rPr>
        <w:t>b</w:t>
      </w:r>
      <w:r w:rsidR="00961CAE" w:rsidRPr="00022A36">
        <w:rPr>
          <w:rFonts w:cstheme="minorHAnsi"/>
          <w:noProof/>
          <w:lang w:val="es-ES"/>
        </w:rPr>
        <w:t>iodiversidad posterior a 2020</w:t>
      </w:r>
      <w:r w:rsidR="00E46E84" w:rsidRPr="00022A36">
        <w:rPr>
          <w:rFonts w:cstheme="minorHAnsi"/>
          <w:noProof/>
          <w:lang w:val="es-ES"/>
        </w:rPr>
        <w:t xml:space="preserve"> (GBF), </w:t>
      </w:r>
      <w:r w:rsidR="00961CAE" w:rsidRPr="00022A36">
        <w:rPr>
          <w:rFonts w:eastAsia="Times New Roman"/>
          <w:noProof/>
          <w:lang w:val="es-ES" w:eastAsia="en-GB"/>
        </w:rPr>
        <w:t xml:space="preserve">las Secretarías del CDB y de la Convención sobre los Humedales han </w:t>
      </w:r>
      <w:r w:rsidR="009C4D22" w:rsidRPr="00022A36">
        <w:rPr>
          <w:rFonts w:eastAsia="Times New Roman"/>
          <w:noProof/>
          <w:lang w:val="es-ES" w:eastAsia="en-GB"/>
        </w:rPr>
        <w:t>avanzado en</w:t>
      </w:r>
      <w:r w:rsidR="00961CAE" w:rsidRPr="00022A36">
        <w:rPr>
          <w:rFonts w:eastAsia="Times New Roman"/>
          <w:noProof/>
          <w:lang w:val="es-ES" w:eastAsia="en-GB"/>
        </w:rPr>
        <w:t xml:space="preserve"> la </w:t>
      </w:r>
      <w:r w:rsidR="009C4D22" w:rsidRPr="00022A36">
        <w:rPr>
          <w:rFonts w:eastAsia="Times New Roman"/>
          <w:noProof/>
          <w:lang w:val="es-ES" w:eastAsia="en-GB"/>
        </w:rPr>
        <w:t>elabo</w:t>
      </w:r>
      <w:r w:rsidR="00961CAE" w:rsidRPr="00022A36">
        <w:rPr>
          <w:rFonts w:eastAsia="Times New Roman"/>
          <w:noProof/>
          <w:lang w:val="es-ES" w:eastAsia="en-GB"/>
        </w:rPr>
        <w:t xml:space="preserve">ración del </w:t>
      </w:r>
      <w:r w:rsidR="009C4D22" w:rsidRPr="00022A36">
        <w:rPr>
          <w:rFonts w:eastAsia="Times New Roman"/>
          <w:noProof/>
          <w:lang w:val="es-ES" w:eastAsia="en-GB"/>
        </w:rPr>
        <w:t>S</w:t>
      </w:r>
      <w:r w:rsidR="00961CAE" w:rsidRPr="00022A36">
        <w:rPr>
          <w:rFonts w:eastAsia="Times New Roman"/>
          <w:noProof/>
          <w:lang w:val="es-ES" w:eastAsia="en-GB"/>
        </w:rPr>
        <w:t xml:space="preserve">exto </w:t>
      </w:r>
      <w:r w:rsidR="009C4D22" w:rsidRPr="00022A36">
        <w:rPr>
          <w:rFonts w:eastAsia="Times New Roman"/>
          <w:noProof/>
          <w:lang w:val="es-ES" w:eastAsia="en-GB"/>
        </w:rPr>
        <w:t>p</w:t>
      </w:r>
      <w:r w:rsidR="00961CAE" w:rsidRPr="00022A36">
        <w:rPr>
          <w:rFonts w:eastAsia="Times New Roman"/>
          <w:noProof/>
          <w:lang w:val="es-ES" w:eastAsia="en-GB"/>
        </w:rPr>
        <w:t xml:space="preserve">lan de </w:t>
      </w:r>
      <w:r w:rsidR="009C4D22" w:rsidRPr="00022A36">
        <w:rPr>
          <w:rFonts w:eastAsia="Times New Roman"/>
          <w:noProof/>
          <w:lang w:val="es-ES" w:eastAsia="en-GB"/>
        </w:rPr>
        <w:t>t</w:t>
      </w:r>
      <w:r w:rsidR="00961CAE" w:rsidRPr="00022A36">
        <w:rPr>
          <w:rFonts w:eastAsia="Times New Roman"/>
          <w:noProof/>
          <w:lang w:val="es-ES" w:eastAsia="en-GB"/>
        </w:rPr>
        <w:t xml:space="preserve">rabajo </w:t>
      </w:r>
      <w:r w:rsidR="009C4D22" w:rsidRPr="00022A36">
        <w:rPr>
          <w:rFonts w:eastAsia="Times New Roman"/>
          <w:noProof/>
          <w:lang w:val="es-ES" w:eastAsia="en-GB"/>
        </w:rPr>
        <w:t>c</w:t>
      </w:r>
      <w:r w:rsidR="00961CAE" w:rsidRPr="00022A36">
        <w:rPr>
          <w:rFonts w:eastAsia="Times New Roman"/>
          <w:noProof/>
          <w:lang w:val="es-ES" w:eastAsia="en-GB"/>
        </w:rPr>
        <w:t xml:space="preserve">onjunto y </w:t>
      </w:r>
      <w:r w:rsidR="009C4D22" w:rsidRPr="00022A36">
        <w:rPr>
          <w:rFonts w:eastAsia="Times New Roman"/>
          <w:noProof/>
          <w:lang w:val="es-ES" w:eastAsia="en-GB"/>
        </w:rPr>
        <w:t>m</w:t>
      </w:r>
      <w:r w:rsidR="00961CAE" w:rsidRPr="00022A36">
        <w:rPr>
          <w:rFonts w:eastAsia="Times New Roman"/>
          <w:noProof/>
          <w:lang w:val="es-ES" w:eastAsia="en-GB"/>
        </w:rPr>
        <w:t xml:space="preserve">emorando de </w:t>
      </w:r>
      <w:r w:rsidR="009C4D22" w:rsidRPr="00022A36">
        <w:rPr>
          <w:rFonts w:eastAsia="Times New Roman"/>
          <w:noProof/>
          <w:lang w:val="es-ES" w:eastAsia="en-GB"/>
        </w:rPr>
        <w:t>e</w:t>
      </w:r>
      <w:r w:rsidR="00961CAE" w:rsidRPr="00022A36">
        <w:rPr>
          <w:rFonts w:eastAsia="Times New Roman"/>
          <w:noProof/>
          <w:lang w:val="es-ES" w:eastAsia="en-GB"/>
        </w:rPr>
        <w:t>ntendimiento</w:t>
      </w:r>
      <w:r w:rsidR="009C4D22" w:rsidRPr="00022A36">
        <w:rPr>
          <w:rFonts w:eastAsia="Times New Roman"/>
          <w:noProof/>
          <w:lang w:val="es-ES" w:eastAsia="en-GB"/>
        </w:rPr>
        <w:t>,</w:t>
      </w:r>
      <w:r w:rsidR="00961CAE" w:rsidRPr="00022A36">
        <w:rPr>
          <w:rFonts w:eastAsia="Times New Roman"/>
          <w:noProof/>
          <w:lang w:val="es-ES" w:eastAsia="en-GB"/>
        </w:rPr>
        <w:t xml:space="preserve"> en </w:t>
      </w:r>
      <w:r w:rsidR="009C4D22" w:rsidRPr="00022A36">
        <w:rPr>
          <w:rFonts w:eastAsia="Times New Roman"/>
          <w:noProof/>
          <w:lang w:val="es-ES" w:eastAsia="en-GB"/>
        </w:rPr>
        <w:t>consonancia</w:t>
      </w:r>
      <w:r w:rsidR="00961CAE" w:rsidRPr="00022A36">
        <w:rPr>
          <w:rFonts w:eastAsia="Times New Roman"/>
          <w:noProof/>
          <w:lang w:val="es-ES" w:eastAsia="en-GB"/>
        </w:rPr>
        <w:t xml:space="preserve"> con los procesos de gobierno de ambas Convenciones y </w:t>
      </w:r>
      <w:r w:rsidR="009C4D22" w:rsidRPr="00022A36">
        <w:rPr>
          <w:rFonts w:eastAsia="Times New Roman"/>
          <w:noProof/>
          <w:lang w:val="es-ES" w:eastAsia="en-GB"/>
        </w:rPr>
        <w:t>el examen de</w:t>
      </w:r>
      <w:r w:rsidR="00961CAE" w:rsidRPr="00022A36">
        <w:rPr>
          <w:rFonts w:eastAsia="Times New Roman"/>
          <w:noProof/>
          <w:lang w:val="es-ES" w:eastAsia="en-GB"/>
        </w:rPr>
        <w:t xml:space="preserve"> 2021 </w:t>
      </w:r>
      <w:r w:rsidR="009C4D22" w:rsidRPr="00022A36">
        <w:rPr>
          <w:rFonts w:eastAsia="Times New Roman"/>
          <w:noProof/>
          <w:lang w:val="es-ES" w:eastAsia="en-GB"/>
        </w:rPr>
        <w:t>que</w:t>
      </w:r>
      <w:r w:rsidR="00961CAE" w:rsidRPr="00022A36">
        <w:rPr>
          <w:rFonts w:eastAsia="Times New Roman"/>
          <w:noProof/>
          <w:lang w:val="es-ES" w:eastAsia="en-GB"/>
        </w:rPr>
        <w:t xml:space="preserve"> ambas Secretarías </w:t>
      </w:r>
      <w:r w:rsidR="009C4D22" w:rsidRPr="00022A36">
        <w:rPr>
          <w:rFonts w:eastAsia="Times New Roman"/>
          <w:noProof/>
          <w:lang w:val="es-ES" w:eastAsia="en-GB"/>
        </w:rPr>
        <w:t xml:space="preserve">realizaron </w:t>
      </w:r>
      <w:r w:rsidR="00961CAE" w:rsidRPr="00022A36">
        <w:rPr>
          <w:rFonts w:eastAsia="Times New Roman"/>
          <w:noProof/>
          <w:lang w:val="es-ES" w:eastAsia="en-GB"/>
        </w:rPr>
        <w:t xml:space="preserve">del </w:t>
      </w:r>
      <w:r w:rsidR="009C4D22" w:rsidRPr="00022A36">
        <w:rPr>
          <w:rFonts w:eastAsia="Times New Roman"/>
          <w:noProof/>
          <w:lang w:val="es-ES" w:eastAsia="en-GB"/>
        </w:rPr>
        <w:lastRenderedPageBreak/>
        <w:t>Q</w:t>
      </w:r>
      <w:r w:rsidR="00961CAE" w:rsidRPr="00022A36">
        <w:rPr>
          <w:rFonts w:eastAsia="Times New Roman"/>
          <w:noProof/>
          <w:lang w:val="es-ES" w:eastAsia="en-GB"/>
        </w:rPr>
        <w:t xml:space="preserve">uinto </w:t>
      </w:r>
      <w:r w:rsidR="009C4D22" w:rsidRPr="00022A36">
        <w:rPr>
          <w:rFonts w:eastAsia="Times New Roman"/>
          <w:noProof/>
          <w:lang w:val="es-ES" w:eastAsia="en-GB"/>
        </w:rPr>
        <w:t>p</w:t>
      </w:r>
      <w:r w:rsidR="00961CAE" w:rsidRPr="00022A36">
        <w:rPr>
          <w:rFonts w:eastAsia="Times New Roman"/>
          <w:noProof/>
          <w:lang w:val="es-ES" w:eastAsia="en-GB"/>
        </w:rPr>
        <w:t xml:space="preserve">lan de </w:t>
      </w:r>
      <w:r w:rsidR="009C4D22" w:rsidRPr="00022A36">
        <w:rPr>
          <w:rFonts w:eastAsia="Times New Roman"/>
          <w:noProof/>
          <w:lang w:val="es-ES" w:eastAsia="en-GB"/>
        </w:rPr>
        <w:t>t</w:t>
      </w:r>
      <w:r w:rsidR="00961CAE" w:rsidRPr="00022A36">
        <w:rPr>
          <w:rFonts w:eastAsia="Times New Roman"/>
          <w:noProof/>
          <w:lang w:val="es-ES" w:eastAsia="en-GB"/>
        </w:rPr>
        <w:t xml:space="preserve">rabajo </w:t>
      </w:r>
      <w:r w:rsidR="009C4D22" w:rsidRPr="00022A36">
        <w:rPr>
          <w:rFonts w:eastAsia="Times New Roman"/>
          <w:noProof/>
          <w:lang w:val="es-ES" w:eastAsia="en-GB"/>
        </w:rPr>
        <w:t>c</w:t>
      </w:r>
      <w:r w:rsidR="00961CAE" w:rsidRPr="00022A36">
        <w:rPr>
          <w:rFonts w:eastAsia="Times New Roman"/>
          <w:noProof/>
          <w:lang w:val="es-ES" w:eastAsia="en-GB"/>
        </w:rPr>
        <w:t xml:space="preserve">onjunto. </w:t>
      </w:r>
      <w:r w:rsidR="009C4D22" w:rsidRPr="00022A36">
        <w:rPr>
          <w:rFonts w:eastAsia="Times New Roman"/>
          <w:noProof/>
          <w:lang w:val="es-ES" w:eastAsia="en-GB"/>
        </w:rPr>
        <w:t>El examen</w:t>
      </w:r>
      <w:r w:rsidR="00D7429B" w:rsidRPr="00022A36">
        <w:rPr>
          <w:rFonts w:eastAsia="Times New Roman"/>
          <w:noProof/>
          <w:lang w:val="es-ES" w:eastAsia="en-GB"/>
        </w:rPr>
        <w:t>, que</w:t>
      </w:r>
      <w:r w:rsidR="009C4D22" w:rsidRPr="00022A36">
        <w:rPr>
          <w:rFonts w:eastAsia="Times New Roman"/>
          <w:noProof/>
          <w:lang w:val="es-ES" w:eastAsia="en-GB"/>
        </w:rPr>
        <w:t xml:space="preserve"> presenta </w:t>
      </w:r>
      <w:r w:rsidR="00961CAE" w:rsidRPr="00022A36">
        <w:rPr>
          <w:rFonts w:eastAsia="Times New Roman"/>
          <w:noProof/>
          <w:lang w:val="es-ES" w:eastAsia="en-GB"/>
        </w:rPr>
        <w:t xml:space="preserve">una </w:t>
      </w:r>
      <w:r w:rsidR="001C2524" w:rsidRPr="00022A36">
        <w:rPr>
          <w:rFonts w:eastAsia="Times New Roman"/>
          <w:noProof/>
          <w:lang w:val="es-ES" w:eastAsia="en-GB"/>
        </w:rPr>
        <w:t>perspectiva</w:t>
      </w:r>
      <w:r w:rsidR="00961CAE" w:rsidRPr="00022A36">
        <w:rPr>
          <w:rFonts w:eastAsia="Times New Roman"/>
          <w:noProof/>
          <w:lang w:val="es-ES" w:eastAsia="en-GB"/>
        </w:rPr>
        <w:t xml:space="preserve"> general de los </w:t>
      </w:r>
      <w:r w:rsidR="00E46E84" w:rsidRPr="00022A36">
        <w:rPr>
          <w:rFonts w:eastAsia="Times New Roman"/>
          <w:noProof/>
          <w:lang w:val="es-ES" w:eastAsia="en-GB"/>
        </w:rPr>
        <w:t>progresos</w:t>
      </w:r>
      <w:r w:rsidR="00961CAE" w:rsidRPr="00022A36">
        <w:rPr>
          <w:rFonts w:eastAsia="Times New Roman"/>
          <w:noProof/>
          <w:lang w:val="es-ES" w:eastAsia="en-GB"/>
        </w:rPr>
        <w:t xml:space="preserve"> </w:t>
      </w:r>
      <w:r w:rsidR="009C4D22" w:rsidRPr="00022A36">
        <w:rPr>
          <w:rFonts w:eastAsia="Times New Roman"/>
          <w:noProof/>
          <w:lang w:val="es-ES" w:eastAsia="en-GB"/>
        </w:rPr>
        <w:t xml:space="preserve">realizados </w:t>
      </w:r>
      <w:r w:rsidR="00961CAE" w:rsidRPr="00022A36">
        <w:rPr>
          <w:rFonts w:eastAsia="Times New Roman"/>
          <w:noProof/>
          <w:lang w:val="es-ES" w:eastAsia="en-GB"/>
        </w:rPr>
        <w:t xml:space="preserve">en su </w:t>
      </w:r>
      <w:r w:rsidR="009C4D22" w:rsidRPr="00022A36">
        <w:rPr>
          <w:rFonts w:eastAsia="Times New Roman"/>
          <w:noProof/>
          <w:lang w:val="es-ES" w:eastAsia="en-GB"/>
        </w:rPr>
        <w:t xml:space="preserve">ejecución, </w:t>
      </w:r>
      <w:r w:rsidR="00961CAE" w:rsidRPr="00022A36">
        <w:rPr>
          <w:rFonts w:eastAsia="Times New Roman"/>
          <w:noProof/>
          <w:lang w:val="es-ES" w:eastAsia="en-GB"/>
        </w:rPr>
        <w:t>identifica las lecciones aprendidas e informa</w:t>
      </w:r>
      <w:r w:rsidR="009C4D22" w:rsidRPr="00022A36">
        <w:rPr>
          <w:rFonts w:eastAsia="Times New Roman"/>
          <w:noProof/>
          <w:lang w:val="es-ES" w:eastAsia="en-GB"/>
        </w:rPr>
        <w:t xml:space="preserve"> sobre</w:t>
      </w:r>
      <w:r w:rsidR="00961CAE" w:rsidRPr="00022A36">
        <w:rPr>
          <w:rFonts w:eastAsia="Times New Roman"/>
          <w:noProof/>
          <w:lang w:val="es-ES" w:eastAsia="en-GB"/>
        </w:rPr>
        <w:t xml:space="preserve"> la </w:t>
      </w:r>
      <w:r w:rsidR="009C4D22" w:rsidRPr="00022A36">
        <w:rPr>
          <w:rFonts w:eastAsia="Times New Roman"/>
          <w:noProof/>
          <w:lang w:val="es-ES" w:eastAsia="en-GB"/>
        </w:rPr>
        <w:t>elabo</w:t>
      </w:r>
      <w:r w:rsidR="00961CAE" w:rsidRPr="00022A36">
        <w:rPr>
          <w:rFonts w:eastAsia="Times New Roman"/>
          <w:noProof/>
          <w:lang w:val="es-ES" w:eastAsia="en-GB"/>
        </w:rPr>
        <w:t xml:space="preserve">ración de un plan de trabajo conjunto actualizado que también </w:t>
      </w:r>
      <w:r w:rsidR="00D7429B" w:rsidRPr="00022A36">
        <w:rPr>
          <w:rFonts w:eastAsia="Times New Roman"/>
          <w:noProof/>
          <w:lang w:val="es-ES" w:eastAsia="en-GB"/>
        </w:rPr>
        <w:t>tiene</w:t>
      </w:r>
      <w:r w:rsidR="00961CAE" w:rsidRPr="00022A36">
        <w:rPr>
          <w:rFonts w:eastAsia="Times New Roman"/>
          <w:noProof/>
          <w:lang w:val="es-ES" w:eastAsia="en-GB"/>
        </w:rPr>
        <w:t xml:space="preserve"> en cuenta el GBF</w:t>
      </w:r>
      <w:r w:rsidR="009C4D22" w:rsidRPr="00022A36">
        <w:rPr>
          <w:rFonts w:eastAsia="Times New Roman"/>
          <w:noProof/>
          <w:lang w:val="es-ES" w:eastAsia="en-GB"/>
        </w:rPr>
        <w:t xml:space="preserve"> y </w:t>
      </w:r>
      <w:r w:rsidR="00961CAE" w:rsidRPr="00022A36">
        <w:rPr>
          <w:rFonts w:eastAsia="Times New Roman"/>
          <w:noProof/>
          <w:lang w:val="es-ES" w:eastAsia="en-GB"/>
        </w:rPr>
        <w:t>se publica como documento SC59 Doc.16.1</w:t>
      </w:r>
      <w:r w:rsidR="001851B6" w:rsidRPr="00022A36">
        <w:rPr>
          <w:rStyle w:val="FootnoteReference"/>
          <w:rFonts w:eastAsia="MS Mincho"/>
          <w:noProof/>
          <w:lang w:val="es-ES" w:eastAsia="ja-JP"/>
        </w:rPr>
        <w:footnoteReference w:id="2"/>
      </w:r>
      <w:r w:rsidR="1408EBAA" w:rsidRPr="00022A36">
        <w:rPr>
          <w:rFonts w:eastAsia="MS Mincho"/>
          <w:noProof/>
          <w:lang w:val="es-ES" w:eastAsia="ja-JP"/>
        </w:rPr>
        <w:t>.</w:t>
      </w:r>
    </w:p>
    <w:p w14:paraId="18F11727" w14:textId="7D14278B" w:rsidR="000A264B" w:rsidRPr="00022A36" w:rsidRDefault="000A264B" w:rsidP="000A264B">
      <w:pPr>
        <w:spacing w:after="0" w:line="240" w:lineRule="auto"/>
        <w:ind w:left="426" w:hanging="426"/>
        <w:rPr>
          <w:rFonts w:eastAsia="Times New Roman" w:cstheme="minorHAnsi"/>
          <w:noProof/>
          <w:lang w:val="es-ES" w:eastAsia="en-GB"/>
        </w:rPr>
      </w:pPr>
    </w:p>
    <w:p w14:paraId="71BAF01A" w14:textId="0F7BA734" w:rsidR="009C4D22" w:rsidRPr="00022A36" w:rsidRDefault="00017673" w:rsidP="002E77BF">
      <w:pPr>
        <w:spacing w:after="0" w:line="240" w:lineRule="auto"/>
        <w:ind w:left="426" w:hanging="426"/>
        <w:rPr>
          <w:rFonts w:eastAsia="Times New Roman" w:cstheme="minorHAnsi"/>
          <w:noProof/>
          <w:lang w:val="es-ES" w:eastAsia="en-GB"/>
        </w:rPr>
      </w:pPr>
      <w:r w:rsidRPr="00022A36">
        <w:rPr>
          <w:rFonts w:eastAsia="Times New Roman" w:cstheme="minorHAnsi"/>
          <w:noProof/>
          <w:lang w:val="es-ES" w:eastAsia="en-GB"/>
        </w:rPr>
        <w:t>16</w:t>
      </w:r>
      <w:r w:rsidR="00E32A20" w:rsidRPr="00022A36">
        <w:rPr>
          <w:rFonts w:eastAsia="Times New Roman" w:cstheme="minorHAnsi"/>
          <w:noProof/>
          <w:lang w:val="es-ES" w:eastAsia="en-GB"/>
        </w:rPr>
        <w:t>.</w:t>
      </w:r>
      <w:r w:rsidR="00A56F0D" w:rsidRPr="00022A36">
        <w:rPr>
          <w:rFonts w:eastAsia="Times New Roman" w:cstheme="minorHAnsi"/>
          <w:noProof/>
          <w:lang w:val="es-ES" w:eastAsia="en-GB"/>
        </w:rPr>
        <w:tab/>
      </w:r>
      <w:r w:rsidR="009C4D22" w:rsidRPr="00022A36">
        <w:rPr>
          <w:rFonts w:eastAsia="Times New Roman" w:cstheme="minorHAnsi"/>
          <w:noProof/>
          <w:lang w:val="es-ES" w:eastAsia="en-GB"/>
        </w:rPr>
        <w:t xml:space="preserve">De conformidad con la Decisión 15/5 del CDB sobre el </w:t>
      </w:r>
      <w:r w:rsidR="009C4D22" w:rsidRPr="00022A36">
        <w:rPr>
          <w:rFonts w:eastAsia="Times New Roman" w:cstheme="minorHAnsi"/>
          <w:i/>
          <w:iCs/>
          <w:noProof/>
          <w:lang w:val="es-ES" w:eastAsia="en-GB"/>
        </w:rPr>
        <w:t>Marco de seguimiento para el Marco Mundial Kunming-Montreal de la Diversidad Biológica</w:t>
      </w:r>
      <w:r w:rsidR="009C4D22" w:rsidRPr="00022A36">
        <w:rPr>
          <w:rFonts w:eastAsia="Times New Roman" w:cstheme="minorHAnsi"/>
          <w:noProof/>
          <w:lang w:val="es-ES" w:eastAsia="en-GB"/>
        </w:rPr>
        <w:t>, así como con los párrafos 42 y 44 de la Resolución XIV.6, la Secretaría propuso al Vicepresidente del Grupo de Examen Científico y Técnico (GECT) y al Director de Ciencia y Política de la Secretaría para que participaran en el Grupo especial de expertos técnicos sobre indicadores para el Marco Mundial Kunming-Montreal de la Diversidad Biológica. Sin embargo, no fueron seleccionados.</w:t>
      </w:r>
    </w:p>
    <w:p w14:paraId="30ACD6A8" w14:textId="77777777" w:rsidR="00462A24" w:rsidRPr="00022A36" w:rsidRDefault="00462A24" w:rsidP="000A264B">
      <w:pPr>
        <w:spacing w:after="0" w:line="240" w:lineRule="auto"/>
        <w:contextualSpacing/>
        <w:rPr>
          <w:rFonts w:eastAsia="Times New Roman" w:cstheme="minorHAnsi"/>
          <w:noProof/>
          <w:lang w:val="es-ES" w:eastAsia="en-GB"/>
        </w:rPr>
      </w:pPr>
    </w:p>
    <w:p w14:paraId="0A861820" w14:textId="13FCBB1F" w:rsidR="008430C6" w:rsidRPr="00022A36" w:rsidRDefault="009C4D22" w:rsidP="000A264B">
      <w:pPr>
        <w:keepNext/>
        <w:spacing w:after="0" w:line="240" w:lineRule="auto"/>
        <w:rPr>
          <w:rFonts w:eastAsia="Times New Roman"/>
          <w:i/>
          <w:iCs/>
          <w:noProof/>
          <w:lang w:val="es-ES" w:eastAsia="en-GB"/>
        </w:rPr>
      </w:pPr>
      <w:r w:rsidRPr="00022A36">
        <w:rPr>
          <w:rFonts w:eastAsia="Times New Roman"/>
          <w:i/>
          <w:iCs/>
          <w:noProof/>
          <w:lang w:val="es-ES" w:eastAsia="en-GB"/>
        </w:rPr>
        <w:t>Convención sobre la Conservación de las Especies Migratorias de Animales Silvestres</w:t>
      </w:r>
      <w:r w:rsidR="001C2524" w:rsidRPr="00022A36">
        <w:rPr>
          <w:rFonts w:eastAsia="Times New Roman"/>
          <w:i/>
          <w:iCs/>
          <w:noProof/>
          <w:lang w:val="es-ES" w:eastAsia="en-GB"/>
        </w:rPr>
        <w:t xml:space="preserve"> (CMS)</w:t>
      </w:r>
    </w:p>
    <w:p w14:paraId="4A492454" w14:textId="775CA0F6" w:rsidR="00B05B72" w:rsidRPr="00022A36" w:rsidRDefault="00B05B72" w:rsidP="000A264B">
      <w:pPr>
        <w:keepNext/>
        <w:spacing w:after="0" w:line="240" w:lineRule="auto"/>
        <w:rPr>
          <w:noProof/>
          <w:lang w:val="es-ES"/>
        </w:rPr>
      </w:pPr>
    </w:p>
    <w:p w14:paraId="32248AB1" w14:textId="5A1F6C01" w:rsidR="008430C6" w:rsidRPr="00022A36" w:rsidRDefault="00B30AE1" w:rsidP="008430C6">
      <w:pPr>
        <w:spacing w:after="0" w:line="240" w:lineRule="auto"/>
        <w:ind w:left="426" w:hanging="426"/>
        <w:rPr>
          <w:rFonts w:eastAsia="Times New Roman"/>
          <w:i/>
          <w:iCs/>
          <w:noProof/>
          <w:lang w:val="es-ES" w:eastAsia="en-GB"/>
        </w:rPr>
      </w:pPr>
      <w:r w:rsidRPr="00022A36">
        <w:rPr>
          <w:rFonts w:eastAsia="Times New Roman"/>
          <w:noProof/>
          <w:lang w:val="es-ES" w:eastAsia="en-GB"/>
        </w:rPr>
        <w:t>1</w:t>
      </w:r>
      <w:r w:rsidR="000A2989" w:rsidRPr="00022A36">
        <w:rPr>
          <w:rFonts w:eastAsia="Times New Roman"/>
          <w:noProof/>
          <w:lang w:val="es-ES" w:eastAsia="en-GB"/>
        </w:rPr>
        <w:t>7</w:t>
      </w:r>
      <w:r w:rsidRPr="00022A36">
        <w:rPr>
          <w:rFonts w:eastAsia="Times New Roman"/>
          <w:noProof/>
          <w:lang w:val="es-ES" w:eastAsia="en-GB"/>
        </w:rPr>
        <w:t>.</w:t>
      </w:r>
      <w:r w:rsidR="00A56F0D" w:rsidRPr="00022A36">
        <w:rPr>
          <w:rFonts w:eastAsia="Times New Roman"/>
          <w:noProof/>
          <w:lang w:val="es-ES" w:eastAsia="en-GB"/>
        </w:rPr>
        <w:tab/>
      </w:r>
      <w:r w:rsidR="008430C6" w:rsidRPr="00022A36">
        <w:rPr>
          <w:rFonts w:eastAsia="Times New Roman" w:cstheme="minorHAnsi"/>
          <w:noProof/>
          <w:lang w:val="es-ES" w:eastAsia="en-GB"/>
        </w:rPr>
        <w:t>La</w:t>
      </w:r>
      <w:r w:rsidR="008430C6" w:rsidRPr="00022A36">
        <w:rPr>
          <w:rFonts w:eastAsia="Times New Roman"/>
          <w:noProof/>
          <w:lang w:val="es-ES" w:eastAsia="en-GB"/>
        </w:rPr>
        <w:t xml:space="preserve"> Secretaría participa en el Grupo de trabajo sobre las rutas aéreas de la CMS y asistió a una reunión del grupo de trabajo que se celebró </w:t>
      </w:r>
      <w:r w:rsidR="00D7429B" w:rsidRPr="00022A36">
        <w:rPr>
          <w:rFonts w:eastAsia="Times New Roman"/>
          <w:noProof/>
          <w:lang w:val="es-ES" w:eastAsia="en-GB"/>
        </w:rPr>
        <w:t>de</w:t>
      </w:r>
      <w:r w:rsidR="008430C6" w:rsidRPr="00022A36">
        <w:rPr>
          <w:rFonts w:eastAsia="Times New Roman"/>
          <w:noProof/>
          <w:lang w:val="es-ES" w:eastAsia="en-GB"/>
        </w:rPr>
        <w:t xml:space="preserve"> forma virtual en febrero de 2023, ofreciendo información sobre un examen estratégico en curso que la Secretaría de la CMS está realizando sobre los mandatos de las rutas aéreas en virtud de </w:t>
      </w:r>
      <w:r w:rsidR="00D7429B" w:rsidRPr="00022A36">
        <w:rPr>
          <w:rFonts w:eastAsia="Times New Roman"/>
          <w:noProof/>
          <w:lang w:val="es-ES" w:eastAsia="en-GB"/>
        </w:rPr>
        <w:t>dicha</w:t>
      </w:r>
      <w:r w:rsidR="008430C6" w:rsidRPr="00022A36">
        <w:rPr>
          <w:rFonts w:eastAsia="Times New Roman"/>
          <w:noProof/>
          <w:lang w:val="es-ES" w:eastAsia="en-GB"/>
        </w:rPr>
        <w:t xml:space="preserve"> Convención.</w:t>
      </w:r>
    </w:p>
    <w:p w14:paraId="4DFB5C1B" w14:textId="77777777" w:rsidR="00B05B72" w:rsidRPr="00022A36" w:rsidRDefault="00B05B72" w:rsidP="002E77BF">
      <w:pPr>
        <w:spacing w:after="0" w:line="240" w:lineRule="auto"/>
        <w:rPr>
          <w:noProof/>
          <w:lang w:val="es-ES"/>
        </w:rPr>
      </w:pPr>
    </w:p>
    <w:p w14:paraId="76C1EBAE" w14:textId="4643EBF5" w:rsidR="008430C6" w:rsidRPr="00022A36" w:rsidRDefault="008430C6" w:rsidP="000A264B">
      <w:pPr>
        <w:keepNext/>
        <w:spacing w:after="0" w:line="240" w:lineRule="auto"/>
        <w:rPr>
          <w:rFonts w:eastAsia="Times New Roman"/>
          <w:i/>
          <w:iCs/>
          <w:noProof/>
          <w:lang w:val="es-ES" w:eastAsia="en-GB"/>
        </w:rPr>
      </w:pPr>
      <w:r w:rsidRPr="00022A36">
        <w:rPr>
          <w:rFonts w:eastAsia="Times New Roman"/>
          <w:i/>
          <w:iCs/>
          <w:noProof/>
          <w:lang w:val="es-ES" w:eastAsia="en-GB"/>
        </w:rPr>
        <w:t>Conservación de aves acuáticas migratorias de África y Eurasia</w:t>
      </w:r>
    </w:p>
    <w:p w14:paraId="255F5161" w14:textId="77777777" w:rsidR="00FE4127" w:rsidRPr="00022A36" w:rsidRDefault="00FE4127" w:rsidP="000A264B">
      <w:pPr>
        <w:keepNext/>
        <w:spacing w:after="0" w:line="240" w:lineRule="auto"/>
        <w:rPr>
          <w:noProof/>
          <w:lang w:val="es-ES"/>
        </w:rPr>
      </w:pPr>
    </w:p>
    <w:p w14:paraId="7AC8D580" w14:textId="4EEABD60" w:rsidR="008430C6" w:rsidRPr="00022A36" w:rsidRDefault="00A82144" w:rsidP="00A56F0D">
      <w:pPr>
        <w:spacing w:after="0" w:line="240" w:lineRule="auto"/>
        <w:ind w:left="425" w:hanging="425"/>
        <w:contextualSpacing/>
        <w:rPr>
          <w:rFonts w:ascii="Calibri" w:eastAsia="Calibri" w:hAnsi="Calibri" w:cs="Calibri"/>
          <w:noProof/>
          <w:lang w:val="es-ES"/>
        </w:rPr>
      </w:pPr>
      <w:r w:rsidRPr="00022A36">
        <w:rPr>
          <w:rFonts w:ascii="Calibri" w:eastAsia="Calibri" w:hAnsi="Calibri" w:cs="Calibri"/>
          <w:noProof/>
          <w:lang w:val="es-ES"/>
        </w:rPr>
        <w:t>18</w:t>
      </w:r>
      <w:r w:rsidR="00E93BA4" w:rsidRPr="00022A36">
        <w:rPr>
          <w:rFonts w:ascii="Calibri" w:eastAsia="Calibri" w:hAnsi="Calibri" w:cs="Calibri"/>
          <w:noProof/>
          <w:lang w:val="es-ES"/>
        </w:rPr>
        <w:t>.</w:t>
      </w:r>
      <w:r w:rsidR="00A56F0D" w:rsidRPr="00022A36">
        <w:rPr>
          <w:rFonts w:ascii="Calibri" w:eastAsia="Calibri" w:hAnsi="Calibri" w:cs="Calibri"/>
          <w:noProof/>
          <w:lang w:val="es-ES"/>
        </w:rPr>
        <w:tab/>
      </w:r>
      <w:r w:rsidR="008430C6" w:rsidRPr="00022A36">
        <w:rPr>
          <w:rFonts w:ascii="Calibri" w:eastAsia="Calibri" w:hAnsi="Calibri" w:cs="Calibri"/>
          <w:noProof/>
          <w:lang w:val="es-ES"/>
        </w:rPr>
        <w:t xml:space="preserve">La Secretaría participó activamente en la 8ª reunión de las Partes (MOP8) del Acuerdo sobre la conservación de las aves acuáticas migratorias de África y Eurasia (AEWA) </w:t>
      </w:r>
      <w:r w:rsidR="00BB1D64" w:rsidRPr="00022A36">
        <w:rPr>
          <w:rFonts w:ascii="Calibri" w:eastAsia="Calibri" w:hAnsi="Calibri" w:cs="Calibri"/>
          <w:noProof/>
          <w:lang w:val="es-ES"/>
        </w:rPr>
        <w:t>que se celebró</w:t>
      </w:r>
      <w:r w:rsidR="008430C6" w:rsidRPr="00022A36">
        <w:rPr>
          <w:rFonts w:ascii="Calibri" w:eastAsia="Calibri" w:hAnsi="Calibri" w:cs="Calibri"/>
          <w:noProof/>
          <w:lang w:val="es-ES"/>
        </w:rPr>
        <w:t xml:space="preserve"> </w:t>
      </w:r>
      <w:r w:rsidR="00BB1D64" w:rsidRPr="00022A36">
        <w:rPr>
          <w:rFonts w:ascii="Calibri" w:eastAsia="Calibri" w:hAnsi="Calibri" w:cs="Calibri"/>
          <w:noProof/>
          <w:lang w:val="es-ES"/>
        </w:rPr>
        <w:t xml:space="preserve">en Budapest (Hungría) </w:t>
      </w:r>
      <w:r w:rsidR="008430C6" w:rsidRPr="00022A36">
        <w:rPr>
          <w:rFonts w:ascii="Calibri" w:eastAsia="Calibri" w:hAnsi="Calibri" w:cs="Calibri"/>
          <w:noProof/>
          <w:lang w:val="es-ES"/>
        </w:rPr>
        <w:t xml:space="preserve">en septiembre de 2022. </w:t>
      </w:r>
      <w:r w:rsidR="00BB1D64" w:rsidRPr="00022A36">
        <w:rPr>
          <w:rFonts w:ascii="Calibri" w:eastAsia="Calibri" w:hAnsi="Calibri" w:cs="Calibri"/>
          <w:noProof/>
          <w:lang w:val="es-ES"/>
        </w:rPr>
        <w:t>En la</w:t>
      </w:r>
      <w:r w:rsidR="008430C6" w:rsidRPr="00022A36">
        <w:rPr>
          <w:rFonts w:ascii="Calibri" w:eastAsia="Calibri" w:hAnsi="Calibri" w:cs="Calibri"/>
          <w:noProof/>
          <w:lang w:val="es-ES"/>
        </w:rPr>
        <w:t xml:space="preserve"> reunión </w:t>
      </w:r>
      <w:r w:rsidR="00BB1D64" w:rsidRPr="00022A36">
        <w:rPr>
          <w:rFonts w:ascii="Calibri" w:eastAsia="Calibri" w:hAnsi="Calibri" w:cs="Calibri"/>
          <w:noProof/>
          <w:lang w:val="es-ES"/>
        </w:rPr>
        <w:t xml:space="preserve">se </w:t>
      </w:r>
      <w:r w:rsidR="008430C6" w:rsidRPr="00022A36">
        <w:rPr>
          <w:rFonts w:ascii="Calibri" w:eastAsia="Calibri" w:hAnsi="Calibri" w:cs="Calibri"/>
          <w:noProof/>
          <w:lang w:val="es-ES"/>
        </w:rPr>
        <w:t xml:space="preserve">destacó el papel vital </w:t>
      </w:r>
      <w:r w:rsidR="006A5A4D" w:rsidRPr="00022A36">
        <w:rPr>
          <w:rFonts w:ascii="Calibri" w:eastAsia="Calibri" w:hAnsi="Calibri" w:cs="Calibri"/>
          <w:noProof/>
          <w:lang w:val="es-ES"/>
        </w:rPr>
        <w:t>que desempeñan</w:t>
      </w:r>
      <w:r w:rsidR="008430C6" w:rsidRPr="00022A36">
        <w:rPr>
          <w:rFonts w:ascii="Calibri" w:eastAsia="Calibri" w:hAnsi="Calibri" w:cs="Calibri"/>
          <w:noProof/>
          <w:lang w:val="es-ES"/>
        </w:rPr>
        <w:t xml:space="preserve"> la</w:t>
      </w:r>
      <w:r w:rsidR="00BB1D64" w:rsidRPr="00022A36">
        <w:rPr>
          <w:rFonts w:ascii="Calibri" w:eastAsia="Calibri" w:hAnsi="Calibri" w:cs="Calibri"/>
          <w:noProof/>
          <w:lang w:val="es-ES"/>
        </w:rPr>
        <w:t>s</w:t>
      </w:r>
      <w:r w:rsidR="008430C6" w:rsidRPr="00022A36">
        <w:rPr>
          <w:rFonts w:ascii="Calibri" w:eastAsia="Calibri" w:hAnsi="Calibri" w:cs="Calibri"/>
          <w:noProof/>
          <w:lang w:val="es-ES"/>
        </w:rPr>
        <w:t xml:space="preserve"> política</w:t>
      </w:r>
      <w:r w:rsidR="00BB1D64" w:rsidRPr="00022A36">
        <w:rPr>
          <w:rFonts w:ascii="Calibri" w:eastAsia="Calibri" w:hAnsi="Calibri" w:cs="Calibri"/>
          <w:noProof/>
          <w:lang w:val="es-ES"/>
        </w:rPr>
        <w:t>s</w:t>
      </w:r>
      <w:r w:rsidR="008430C6" w:rsidRPr="00022A36">
        <w:rPr>
          <w:rFonts w:ascii="Calibri" w:eastAsia="Calibri" w:hAnsi="Calibri" w:cs="Calibri"/>
          <w:noProof/>
          <w:lang w:val="es-ES"/>
        </w:rPr>
        <w:t xml:space="preserve"> y la contribución técnica del AEWA en la aplicación de la CMS, el CDB y la Convención sobre los Humedales </w:t>
      </w:r>
      <w:r w:rsidR="00BB1D64" w:rsidRPr="00022A36">
        <w:rPr>
          <w:rFonts w:ascii="Calibri" w:eastAsia="Calibri" w:hAnsi="Calibri" w:cs="Calibri"/>
          <w:noProof/>
          <w:lang w:val="es-ES"/>
        </w:rPr>
        <w:t>y se</w:t>
      </w:r>
      <w:r w:rsidR="008430C6" w:rsidRPr="00022A36">
        <w:rPr>
          <w:rFonts w:ascii="Calibri" w:eastAsia="Calibri" w:hAnsi="Calibri" w:cs="Calibri"/>
          <w:noProof/>
          <w:lang w:val="es-ES"/>
        </w:rPr>
        <w:t xml:space="preserve"> invitó a su Secretario Ejecutivo a </w:t>
      </w:r>
      <w:r w:rsidR="00BB1D64" w:rsidRPr="00022A36">
        <w:rPr>
          <w:rFonts w:ascii="Calibri" w:eastAsia="Calibri" w:hAnsi="Calibri" w:cs="Calibri"/>
          <w:noProof/>
          <w:lang w:val="es-ES"/>
        </w:rPr>
        <w:t>reforzar</w:t>
      </w:r>
      <w:r w:rsidR="008430C6" w:rsidRPr="00022A36">
        <w:rPr>
          <w:rFonts w:ascii="Calibri" w:eastAsia="Calibri" w:hAnsi="Calibri" w:cs="Calibri"/>
          <w:noProof/>
          <w:lang w:val="es-ES"/>
        </w:rPr>
        <w:t xml:space="preserve"> las sinergias con estos </w:t>
      </w:r>
      <w:r w:rsidR="00BB1D64" w:rsidRPr="00022A36">
        <w:rPr>
          <w:rFonts w:ascii="Calibri" w:eastAsia="Calibri" w:hAnsi="Calibri" w:cs="Calibri"/>
          <w:noProof/>
          <w:lang w:val="es-ES"/>
        </w:rPr>
        <w:t>AMMA</w:t>
      </w:r>
      <w:r w:rsidR="008430C6" w:rsidRPr="00022A36">
        <w:rPr>
          <w:rFonts w:ascii="Calibri" w:eastAsia="Calibri" w:hAnsi="Calibri" w:cs="Calibri"/>
          <w:noProof/>
          <w:lang w:val="es-ES"/>
        </w:rPr>
        <w:t xml:space="preserve">. La MOP8 revisó y </w:t>
      </w:r>
      <w:r w:rsidR="00BB1D64" w:rsidRPr="00022A36">
        <w:rPr>
          <w:rFonts w:ascii="Calibri" w:eastAsia="Calibri" w:hAnsi="Calibri" w:cs="Calibri"/>
          <w:noProof/>
          <w:lang w:val="es-ES"/>
        </w:rPr>
        <w:t>aprob</w:t>
      </w:r>
      <w:r w:rsidR="008430C6" w:rsidRPr="00022A36">
        <w:rPr>
          <w:rFonts w:ascii="Calibri" w:eastAsia="Calibri" w:hAnsi="Calibri" w:cs="Calibri"/>
          <w:noProof/>
          <w:lang w:val="es-ES"/>
        </w:rPr>
        <w:t xml:space="preserve">ó 18 </w:t>
      </w:r>
      <w:r w:rsidR="00BB1D64" w:rsidRPr="00022A36">
        <w:rPr>
          <w:rFonts w:ascii="Calibri" w:eastAsia="Calibri" w:hAnsi="Calibri" w:cs="Calibri"/>
          <w:noProof/>
          <w:lang w:val="es-ES"/>
        </w:rPr>
        <w:t>r</w:t>
      </w:r>
      <w:r w:rsidR="008430C6" w:rsidRPr="00022A36">
        <w:rPr>
          <w:rFonts w:ascii="Calibri" w:eastAsia="Calibri" w:hAnsi="Calibri" w:cs="Calibri"/>
          <w:noProof/>
          <w:lang w:val="es-ES"/>
        </w:rPr>
        <w:t>esoluciones</w:t>
      </w:r>
      <w:r w:rsidR="006A5A4D" w:rsidRPr="00022A36">
        <w:rPr>
          <w:rFonts w:ascii="Calibri" w:eastAsia="Calibri" w:hAnsi="Calibri" w:cs="Calibri"/>
          <w:noProof/>
          <w:lang w:val="es-ES"/>
        </w:rPr>
        <w:t>.</w:t>
      </w:r>
      <w:r w:rsidR="008430C6" w:rsidRPr="00022A36">
        <w:rPr>
          <w:rFonts w:ascii="Calibri" w:eastAsia="Calibri" w:hAnsi="Calibri" w:cs="Calibri"/>
          <w:noProof/>
          <w:lang w:val="es-ES"/>
        </w:rPr>
        <w:t xml:space="preserve"> </w:t>
      </w:r>
      <w:r w:rsidR="006A5A4D" w:rsidRPr="00022A36">
        <w:rPr>
          <w:rFonts w:ascii="Calibri" w:eastAsia="Calibri" w:hAnsi="Calibri" w:cs="Calibri"/>
          <w:noProof/>
          <w:lang w:val="es-ES"/>
        </w:rPr>
        <w:t>Seis de estas resoluciones</w:t>
      </w:r>
      <w:r w:rsidR="008430C6" w:rsidRPr="00022A36">
        <w:rPr>
          <w:rFonts w:ascii="Calibri" w:eastAsia="Calibri" w:hAnsi="Calibri" w:cs="Calibri"/>
          <w:noProof/>
          <w:lang w:val="es-ES"/>
        </w:rPr>
        <w:t xml:space="preserve"> </w:t>
      </w:r>
      <w:r w:rsidR="00BB1D64" w:rsidRPr="00022A36">
        <w:rPr>
          <w:rFonts w:ascii="Calibri" w:eastAsia="Calibri" w:hAnsi="Calibri" w:cs="Calibri"/>
          <w:noProof/>
          <w:lang w:val="es-ES"/>
        </w:rPr>
        <w:t>están</w:t>
      </w:r>
      <w:r w:rsidR="008430C6" w:rsidRPr="00022A36">
        <w:rPr>
          <w:rFonts w:ascii="Calibri" w:eastAsia="Calibri" w:hAnsi="Calibri" w:cs="Calibri"/>
          <w:noProof/>
          <w:lang w:val="es-ES"/>
        </w:rPr>
        <w:t xml:space="preserve"> </w:t>
      </w:r>
      <w:r w:rsidR="00BB1D64" w:rsidRPr="00022A36">
        <w:rPr>
          <w:rFonts w:ascii="Calibri" w:eastAsia="Calibri" w:hAnsi="Calibri" w:cs="Calibri"/>
          <w:noProof/>
          <w:lang w:val="es-ES"/>
        </w:rPr>
        <w:t>directamente</w:t>
      </w:r>
      <w:r w:rsidR="008430C6" w:rsidRPr="00022A36">
        <w:rPr>
          <w:rFonts w:ascii="Calibri" w:eastAsia="Calibri" w:hAnsi="Calibri" w:cs="Calibri"/>
          <w:noProof/>
          <w:lang w:val="es-ES"/>
        </w:rPr>
        <w:t xml:space="preserve"> </w:t>
      </w:r>
      <w:r w:rsidR="006A5A4D" w:rsidRPr="00022A36">
        <w:rPr>
          <w:rFonts w:ascii="Calibri" w:eastAsia="Calibri" w:hAnsi="Calibri" w:cs="Calibri"/>
          <w:noProof/>
          <w:lang w:val="es-ES"/>
        </w:rPr>
        <w:t xml:space="preserve">relacionadas </w:t>
      </w:r>
      <w:r w:rsidR="008430C6" w:rsidRPr="00022A36">
        <w:rPr>
          <w:rFonts w:ascii="Calibri" w:eastAsia="Calibri" w:hAnsi="Calibri" w:cs="Calibri"/>
          <w:noProof/>
          <w:lang w:val="es-ES"/>
        </w:rPr>
        <w:t>con el uso racional de los humedales y las sinergias.</w:t>
      </w:r>
    </w:p>
    <w:p w14:paraId="7A399DD1" w14:textId="77777777" w:rsidR="00A82144" w:rsidRPr="00022A36" w:rsidRDefault="00A82144" w:rsidP="00BB1D64">
      <w:pPr>
        <w:spacing w:after="0" w:line="240" w:lineRule="auto"/>
        <w:contextualSpacing/>
        <w:rPr>
          <w:rFonts w:ascii="Calibri" w:eastAsia="Calibri" w:hAnsi="Calibri" w:cs="Calibri"/>
          <w:noProof/>
          <w:lang w:val="es-ES"/>
        </w:rPr>
      </w:pPr>
    </w:p>
    <w:p w14:paraId="431EDB2C" w14:textId="1E6FED6F" w:rsidR="00BB1D64" w:rsidRPr="00022A36" w:rsidRDefault="00A82144" w:rsidP="002E77BF">
      <w:pPr>
        <w:spacing w:after="0" w:line="240" w:lineRule="auto"/>
        <w:ind w:left="425" w:hanging="425"/>
        <w:contextualSpacing/>
        <w:rPr>
          <w:rFonts w:ascii="Calibri" w:eastAsia="Calibri" w:hAnsi="Calibri" w:cs="Calibri"/>
          <w:noProof/>
          <w:lang w:val="es-ES"/>
        </w:rPr>
      </w:pPr>
      <w:r w:rsidRPr="00022A36">
        <w:rPr>
          <w:rFonts w:ascii="Calibri" w:eastAsia="Calibri" w:hAnsi="Calibri" w:cs="Calibri"/>
          <w:noProof/>
          <w:lang w:val="es-ES"/>
        </w:rPr>
        <w:t>19.</w:t>
      </w:r>
      <w:r w:rsidRPr="00022A36">
        <w:rPr>
          <w:rFonts w:ascii="Calibri" w:eastAsia="Calibri" w:hAnsi="Calibri" w:cs="Calibri"/>
          <w:noProof/>
          <w:lang w:val="es-ES"/>
        </w:rPr>
        <w:tab/>
      </w:r>
      <w:r w:rsidR="00BB1D64" w:rsidRPr="00022A36">
        <w:rPr>
          <w:rFonts w:ascii="Calibri" w:eastAsia="Calibri" w:hAnsi="Calibri" w:cs="Calibri"/>
          <w:noProof/>
          <w:lang w:val="es-ES"/>
        </w:rPr>
        <w:t>Asimismo, la Secretaría participó en la 18ª reunión del Comité Técnico del AEWA que se celebró en Bonn (Alemania) en marzo de 2023. Los participantes examinaron y aprobaron las tareas del plan de trabajo del Comité Técnico</w:t>
      </w:r>
      <w:r w:rsidR="006A5A4D" w:rsidRPr="00022A36">
        <w:rPr>
          <w:rFonts w:ascii="Calibri" w:eastAsia="Calibri" w:hAnsi="Calibri" w:cs="Calibri"/>
          <w:noProof/>
          <w:lang w:val="es-ES"/>
        </w:rPr>
        <w:t>,</w:t>
      </w:r>
      <w:r w:rsidR="00BB1D64" w:rsidRPr="00022A36">
        <w:rPr>
          <w:rFonts w:ascii="Calibri" w:eastAsia="Calibri" w:hAnsi="Calibri" w:cs="Calibri"/>
          <w:noProof/>
          <w:lang w:val="es-ES"/>
        </w:rPr>
        <w:t xml:space="preserve"> cuya ejecución está prevista para el trienio 2023-2025.</w:t>
      </w:r>
    </w:p>
    <w:p w14:paraId="500EEA9C" w14:textId="77777777" w:rsidR="00765608" w:rsidRPr="00022A36" w:rsidRDefault="00765608" w:rsidP="00BB1D64">
      <w:pPr>
        <w:spacing w:after="0" w:line="240" w:lineRule="auto"/>
        <w:contextualSpacing/>
        <w:rPr>
          <w:rFonts w:ascii="Calibri" w:eastAsia="Calibri" w:hAnsi="Calibri" w:cs="Calibri"/>
          <w:noProof/>
          <w:color w:val="000000" w:themeColor="text1"/>
          <w:lang w:val="es-ES"/>
        </w:rPr>
      </w:pPr>
    </w:p>
    <w:p w14:paraId="4D8DD242" w14:textId="77777777" w:rsidR="00BB1D64" w:rsidRPr="00022A36" w:rsidRDefault="00BB1D64" w:rsidP="009D2419">
      <w:pPr>
        <w:keepNext/>
        <w:spacing w:after="0" w:line="240" w:lineRule="auto"/>
        <w:contextualSpacing/>
        <w:rPr>
          <w:rFonts w:eastAsia="Times New Roman" w:cstheme="minorHAnsi"/>
          <w:i/>
          <w:noProof/>
          <w:lang w:val="es-ES" w:eastAsia="en-GB"/>
        </w:rPr>
      </w:pPr>
      <w:r w:rsidRPr="00022A36">
        <w:rPr>
          <w:rFonts w:eastAsia="Times New Roman" w:cstheme="minorHAnsi"/>
          <w:i/>
          <w:noProof/>
          <w:lang w:val="es-ES" w:eastAsia="en-GB"/>
        </w:rPr>
        <w:t xml:space="preserve">Foro Costero Mundial </w:t>
      </w:r>
    </w:p>
    <w:p w14:paraId="29B92005" w14:textId="77777777" w:rsidR="00B677F9" w:rsidRPr="00022A36" w:rsidRDefault="00B677F9" w:rsidP="009D2419">
      <w:pPr>
        <w:keepNext/>
        <w:spacing w:after="0" w:line="240" w:lineRule="auto"/>
        <w:ind w:left="425" w:hanging="425"/>
        <w:contextualSpacing/>
        <w:rPr>
          <w:rFonts w:eastAsia="Times New Roman" w:cstheme="minorHAnsi"/>
          <w:noProof/>
          <w:lang w:val="es-ES" w:eastAsia="en-GB"/>
        </w:rPr>
      </w:pPr>
    </w:p>
    <w:p w14:paraId="197BE79E" w14:textId="69490520" w:rsidR="00BB1D64" w:rsidRPr="00022A36" w:rsidRDefault="00BB1D64" w:rsidP="000635E6">
      <w:pPr>
        <w:spacing w:after="0" w:line="240" w:lineRule="auto"/>
        <w:ind w:left="425" w:hanging="425"/>
        <w:contextualSpacing/>
        <w:rPr>
          <w:rFonts w:ascii="Calibri" w:eastAsia="Calibri" w:hAnsi="Calibri" w:cs="Calibri"/>
          <w:noProof/>
          <w:lang w:val="es-ES"/>
        </w:rPr>
      </w:pPr>
      <w:bookmarkStart w:id="1" w:name="_Hlk52804242"/>
      <w:r w:rsidRPr="00022A36">
        <w:rPr>
          <w:rFonts w:ascii="Calibri" w:eastAsia="Calibri" w:hAnsi="Calibri" w:cs="Calibri"/>
          <w:noProof/>
          <w:lang w:val="es-ES"/>
        </w:rPr>
        <w:t>20.</w:t>
      </w:r>
      <w:r w:rsidRPr="00022A36">
        <w:rPr>
          <w:rFonts w:ascii="Calibri" w:eastAsia="Calibri" w:hAnsi="Calibri" w:cs="Calibri"/>
          <w:noProof/>
          <w:lang w:val="es-ES"/>
        </w:rPr>
        <w:tab/>
        <w:t xml:space="preserve">La Secretaría participó como panelista en el </w:t>
      </w:r>
      <w:r w:rsidR="00D7429B" w:rsidRPr="00022A36">
        <w:rPr>
          <w:rFonts w:ascii="Calibri" w:eastAsia="Calibri" w:hAnsi="Calibri" w:cs="Calibri"/>
          <w:noProof/>
          <w:lang w:val="es-ES"/>
        </w:rPr>
        <w:t>s</w:t>
      </w:r>
      <w:r w:rsidRPr="00022A36">
        <w:rPr>
          <w:rFonts w:ascii="Calibri" w:eastAsia="Calibri" w:hAnsi="Calibri" w:cs="Calibri"/>
          <w:noProof/>
          <w:lang w:val="es-ES"/>
        </w:rPr>
        <w:t xml:space="preserve">imposio del Foro Costero Mundial (WCF), un evento paralelo de la COP14 que se celebró en noviembre de 2022. El WCF ha sido desarrollado por un consorcio de ONG internacionales </w:t>
      </w:r>
      <w:r w:rsidR="000635E6" w:rsidRPr="00022A36">
        <w:rPr>
          <w:rFonts w:ascii="Calibri" w:eastAsia="Calibri" w:hAnsi="Calibri" w:cs="Calibri"/>
          <w:noProof/>
          <w:lang w:val="es-ES"/>
        </w:rPr>
        <w:t>en</w:t>
      </w:r>
      <w:r w:rsidRPr="00022A36">
        <w:rPr>
          <w:rFonts w:ascii="Calibri" w:eastAsia="Calibri" w:hAnsi="Calibri" w:cs="Calibri"/>
          <w:noProof/>
          <w:lang w:val="es-ES"/>
        </w:rPr>
        <w:t xml:space="preserve"> respuesta a la Resolución XIII.20 sobre el </w:t>
      </w:r>
      <w:r w:rsidRPr="00022A36">
        <w:rPr>
          <w:rFonts w:ascii="Calibri" w:eastAsia="Calibri" w:hAnsi="Calibri" w:cs="Calibri"/>
          <w:i/>
          <w:iCs/>
          <w:noProof/>
          <w:lang w:val="es-ES"/>
        </w:rPr>
        <w:t>Fomento de la conservación y el uso racional de los humedales intermareales y hábitats ecológicamente relacionados</w:t>
      </w:r>
      <w:r w:rsidR="000635E6" w:rsidRPr="00022A36">
        <w:rPr>
          <w:rFonts w:ascii="Calibri" w:eastAsia="Calibri" w:hAnsi="Calibri" w:cs="Calibri"/>
          <w:noProof/>
          <w:lang w:val="es-ES"/>
        </w:rPr>
        <w:t xml:space="preserve">, </w:t>
      </w:r>
      <w:r w:rsidR="00DA09FE" w:rsidRPr="00022A36">
        <w:rPr>
          <w:rFonts w:eastAsia="Times New Roman" w:cstheme="minorHAnsi"/>
          <w:noProof/>
          <w:lang w:val="es-ES" w:eastAsia="en-GB"/>
        </w:rPr>
        <w:t>y también en respuesta</w:t>
      </w:r>
      <w:r w:rsidRPr="00022A36">
        <w:rPr>
          <w:rFonts w:eastAsia="Times New Roman" w:cstheme="minorHAnsi"/>
          <w:noProof/>
          <w:lang w:val="es-ES" w:eastAsia="en-GB"/>
        </w:rPr>
        <w:t xml:space="preserve"> a la Resolución 12.25 de la CMS, la Decisión 14/30 del CDB y la Resolución 030 del Congreso Mundial de la Naturaleza 2020 de la UICN. </w:t>
      </w:r>
      <w:r w:rsidR="00DA09FE" w:rsidRPr="00022A36">
        <w:rPr>
          <w:rFonts w:eastAsia="Times New Roman" w:cstheme="minorHAnsi"/>
          <w:noProof/>
          <w:lang w:val="es-ES" w:eastAsia="en-GB"/>
        </w:rPr>
        <w:t>E</w:t>
      </w:r>
      <w:r w:rsidRPr="00022A36">
        <w:rPr>
          <w:rFonts w:eastAsia="Times New Roman" w:cstheme="minorHAnsi"/>
          <w:noProof/>
          <w:lang w:val="es-ES" w:eastAsia="en-GB"/>
        </w:rPr>
        <w:t>ntre otr</w:t>
      </w:r>
      <w:r w:rsidR="00DA09FE" w:rsidRPr="00022A36">
        <w:rPr>
          <w:rFonts w:eastAsia="Times New Roman" w:cstheme="minorHAnsi"/>
          <w:noProof/>
          <w:lang w:val="es-ES" w:eastAsia="en-GB"/>
        </w:rPr>
        <w:t>os,</w:t>
      </w:r>
      <w:r w:rsidRPr="00022A36">
        <w:rPr>
          <w:rFonts w:eastAsia="Times New Roman" w:cstheme="minorHAnsi"/>
          <w:noProof/>
          <w:lang w:val="es-ES" w:eastAsia="en-GB"/>
        </w:rPr>
        <w:t xml:space="preserve"> </w:t>
      </w:r>
      <w:r w:rsidR="00DA09FE" w:rsidRPr="00022A36">
        <w:rPr>
          <w:rFonts w:eastAsia="Times New Roman" w:cstheme="minorHAnsi"/>
          <w:noProof/>
          <w:lang w:val="es-ES" w:eastAsia="en-GB"/>
        </w:rPr>
        <w:t xml:space="preserve">el simposio se centró </w:t>
      </w:r>
      <w:r w:rsidRPr="00022A36">
        <w:rPr>
          <w:rFonts w:eastAsia="Times New Roman" w:cstheme="minorHAnsi"/>
          <w:noProof/>
          <w:lang w:val="es-ES" w:eastAsia="en-GB"/>
        </w:rPr>
        <w:t xml:space="preserve">en la preparación de la Conferencia </w:t>
      </w:r>
      <w:r w:rsidR="000635E6" w:rsidRPr="00022A36">
        <w:rPr>
          <w:rFonts w:eastAsia="Times New Roman" w:cstheme="minorHAnsi"/>
          <w:noProof/>
          <w:lang w:val="es-ES" w:eastAsia="en-GB"/>
        </w:rPr>
        <w:t xml:space="preserve">del </w:t>
      </w:r>
      <w:r w:rsidRPr="00022A36">
        <w:rPr>
          <w:rFonts w:eastAsia="Times New Roman" w:cstheme="minorHAnsi"/>
          <w:noProof/>
          <w:lang w:val="es-ES" w:eastAsia="en-GB"/>
        </w:rPr>
        <w:t xml:space="preserve">WCF </w:t>
      </w:r>
      <w:r w:rsidR="000635E6" w:rsidRPr="00022A36">
        <w:rPr>
          <w:rFonts w:eastAsia="Times New Roman" w:cstheme="minorHAnsi"/>
          <w:noProof/>
          <w:lang w:val="es-ES" w:eastAsia="en-GB"/>
        </w:rPr>
        <w:t xml:space="preserve">de </w:t>
      </w:r>
      <w:r w:rsidRPr="00022A36">
        <w:rPr>
          <w:rFonts w:eastAsia="Times New Roman" w:cstheme="minorHAnsi"/>
          <w:noProof/>
          <w:lang w:val="es-ES" w:eastAsia="en-GB"/>
        </w:rPr>
        <w:t>2023.</w:t>
      </w:r>
    </w:p>
    <w:p w14:paraId="6615F0CC" w14:textId="62C35031" w:rsidR="00BF6BED" w:rsidRPr="00022A36" w:rsidRDefault="00BF6BED" w:rsidP="000635E6">
      <w:pPr>
        <w:tabs>
          <w:tab w:val="left" w:pos="0"/>
        </w:tabs>
        <w:suppressAutoHyphens/>
        <w:spacing w:after="0" w:line="240" w:lineRule="auto"/>
        <w:rPr>
          <w:rFonts w:cstheme="minorHAnsi"/>
          <w:noProof/>
          <w:lang w:val="es-ES"/>
        </w:rPr>
      </w:pPr>
    </w:p>
    <w:bookmarkEnd w:id="1"/>
    <w:p w14:paraId="7BECB32B" w14:textId="77777777" w:rsidR="000635E6" w:rsidRPr="00022A36" w:rsidRDefault="000635E6" w:rsidP="000A264B">
      <w:pPr>
        <w:keepNext/>
        <w:spacing w:after="0" w:line="240" w:lineRule="auto"/>
        <w:ind w:left="425" w:hanging="425"/>
        <w:rPr>
          <w:rFonts w:eastAsia="Times New Roman" w:cstheme="minorHAnsi"/>
          <w:i/>
          <w:noProof/>
          <w:lang w:val="es-ES" w:eastAsia="en-GB"/>
        </w:rPr>
      </w:pPr>
      <w:r w:rsidRPr="00022A36">
        <w:rPr>
          <w:rFonts w:eastAsia="Times New Roman" w:cstheme="minorHAnsi"/>
          <w:i/>
          <w:noProof/>
          <w:lang w:val="es-ES" w:eastAsia="en-GB"/>
        </w:rPr>
        <w:t>Convención sobre la Protección del Patrimonio Mundial Cultural y Natural</w:t>
      </w:r>
    </w:p>
    <w:p w14:paraId="18905759" w14:textId="77777777" w:rsidR="009C2848" w:rsidRPr="00022A36" w:rsidRDefault="009C2848" w:rsidP="000A264B">
      <w:pPr>
        <w:keepNext/>
        <w:spacing w:after="0" w:line="240" w:lineRule="auto"/>
        <w:ind w:left="425" w:hanging="425"/>
        <w:rPr>
          <w:rFonts w:eastAsia="Times New Roman" w:cstheme="minorHAnsi"/>
          <w:noProof/>
          <w:lang w:val="es-ES" w:eastAsia="en-GB"/>
        </w:rPr>
      </w:pPr>
    </w:p>
    <w:p w14:paraId="6C21FDEB" w14:textId="61D9AE24" w:rsidR="000635E6" w:rsidRPr="00022A36" w:rsidRDefault="009D2419" w:rsidP="000A264B">
      <w:pPr>
        <w:suppressAutoHyphens/>
        <w:spacing w:after="0" w:line="240" w:lineRule="auto"/>
        <w:ind w:left="425" w:hanging="425"/>
        <w:rPr>
          <w:rFonts w:eastAsia="Times New Roman"/>
          <w:noProof/>
          <w:lang w:val="es-ES" w:eastAsia="en-GB"/>
        </w:rPr>
      </w:pPr>
      <w:r w:rsidRPr="00022A36">
        <w:rPr>
          <w:rFonts w:eastAsia="Times New Roman"/>
          <w:noProof/>
          <w:lang w:val="es-ES" w:eastAsia="en-GB"/>
        </w:rPr>
        <w:t>21</w:t>
      </w:r>
      <w:r w:rsidR="009C2848" w:rsidRPr="00022A36">
        <w:rPr>
          <w:rFonts w:eastAsia="Times New Roman"/>
          <w:noProof/>
          <w:lang w:val="es-ES" w:eastAsia="en-GB"/>
        </w:rPr>
        <w:t>.</w:t>
      </w:r>
      <w:r w:rsidR="00A56F0D" w:rsidRPr="00022A36">
        <w:rPr>
          <w:rFonts w:eastAsia="Times New Roman"/>
          <w:noProof/>
          <w:lang w:val="es-ES" w:eastAsia="en-GB"/>
        </w:rPr>
        <w:tab/>
      </w:r>
      <w:r w:rsidR="000635E6" w:rsidRPr="00022A36">
        <w:rPr>
          <w:rFonts w:eastAsia="Times New Roman"/>
          <w:noProof/>
          <w:lang w:val="es-ES" w:eastAsia="en-GB"/>
        </w:rPr>
        <w:t xml:space="preserve">La Secretaría ha contribuido </w:t>
      </w:r>
      <w:r w:rsidR="00DA09FE" w:rsidRPr="00022A36">
        <w:rPr>
          <w:rFonts w:eastAsia="Times New Roman"/>
          <w:noProof/>
          <w:lang w:val="es-ES" w:eastAsia="en-GB"/>
        </w:rPr>
        <w:t>a</w:t>
      </w:r>
      <w:r w:rsidR="000635E6" w:rsidRPr="00022A36">
        <w:rPr>
          <w:rFonts w:eastAsia="Times New Roman"/>
          <w:noProof/>
          <w:lang w:val="es-ES" w:eastAsia="en-GB"/>
        </w:rPr>
        <w:t xml:space="preserve"> la iniciativa de la UNESCO </w:t>
      </w:r>
      <w:r w:rsidR="00DA09FE" w:rsidRPr="00022A36">
        <w:rPr>
          <w:rFonts w:eastAsia="Times New Roman"/>
          <w:noProof/>
          <w:lang w:val="es-ES" w:eastAsia="en-GB"/>
        </w:rPr>
        <w:t>relativa a</w:t>
      </w:r>
      <w:r w:rsidR="000635E6" w:rsidRPr="00022A36">
        <w:rPr>
          <w:rFonts w:eastAsia="Times New Roman"/>
          <w:noProof/>
          <w:lang w:val="es-ES" w:eastAsia="en-GB"/>
        </w:rPr>
        <w:t xml:space="preserve"> las áreas</w:t>
      </w:r>
      <w:r w:rsidR="008233B6" w:rsidRPr="00022A36">
        <w:rPr>
          <w:rFonts w:eastAsia="Times New Roman"/>
          <w:noProof/>
          <w:lang w:val="es-ES" w:eastAsia="en-GB"/>
        </w:rPr>
        <w:t xml:space="preserve"> </w:t>
      </w:r>
      <w:r w:rsidR="00DA09FE" w:rsidRPr="00022A36">
        <w:rPr>
          <w:rFonts w:eastAsia="Times New Roman"/>
          <w:noProof/>
          <w:lang w:val="es-ES" w:eastAsia="en-GB"/>
        </w:rPr>
        <w:t xml:space="preserve">que poseen diversas designaciones internacionales </w:t>
      </w:r>
      <w:r w:rsidR="000635E6" w:rsidRPr="00022A36">
        <w:rPr>
          <w:rFonts w:eastAsia="Times New Roman"/>
          <w:noProof/>
          <w:lang w:val="es-ES" w:eastAsia="en-GB"/>
        </w:rPr>
        <w:t>(MIDAS)</w:t>
      </w:r>
      <w:r w:rsidR="00DA09FE" w:rsidRPr="00022A36">
        <w:rPr>
          <w:rFonts w:eastAsia="Times New Roman"/>
          <w:noProof/>
          <w:lang w:val="es-ES" w:eastAsia="en-GB"/>
        </w:rPr>
        <w:t xml:space="preserve"> con el </w:t>
      </w:r>
      <w:r w:rsidR="000635E6" w:rsidRPr="00022A36">
        <w:rPr>
          <w:rFonts w:eastAsia="Times New Roman"/>
          <w:noProof/>
          <w:lang w:val="es-ES" w:eastAsia="en-GB"/>
        </w:rPr>
        <w:t xml:space="preserve">objetivo </w:t>
      </w:r>
      <w:r w:rsidR="00DA09FE" w:rsidRPr="00022A36">
        <w:rPr>
          <w:rFonts w:eastAsia="Times New Roman"/>
          <w:noProof/>
          <w:lang w:val="es-ES" w:eastAsia="en-GB"/>
        </w:rPr>
        <w:t>de</w:t>
      </w:r>
      <w:r w:rsidR="000635E6" w:rsidRPr="00022A36">
        <w:rPr>
          <w:rFonts w:eastAsia="Times New Roman"/>
          <w:noProof/>
          <w:lang w:val="es-ES" w:eastAsia="en-GB"/>
        </w:rPr>
        <w:t xml:space="preserve"> armonizar </w:t>
      </w:r>
      <w:r w:rsidR="00DA09FE" w:rsidRPr="00022A36">
        <w:rPr>
          <w:rFonts w:eastAsia="Times New Roman"/>
          <w:noProof/>
          <w:lang w:val="es-ES" w:eastAsia="en-GB"/>
        </w:rPr>
        <w:t>su</w:t>
      </w:r>
      <w:r w:rsidR="000635E6" w:rsidRPr="00022A36">
        <w:rPr>
          <w:rFonts w:eastAsia="Times New Roman"/>
          <w:noProof/>
          <w:lang w:val="es-ES" w:eastAsia="en-GB"/>
        </w:rPr>
        <w:t xml:space="preserve"> gestión</w:t>
      </w:r>
      <w:r w:rsidR="00DA09FE" w:rsidRPr="00022A36">
        <w:rPr>
          <w:rFonts w:eastAsia="Times New Roman"/>
          <w:noProof/>
          <w:lang w:val="es-ES" w:eastAsia="en-GB"/>
        </w:rPr>
        <w:t>.</w:t>
      </w:r>
      <w:r w:rsidR="000635E6" w:rsidRPr="00022A36">
        <w:rPr>
          <w:rFonts w:eastAsia="Times New Roman"/>
          <w:noProof/>
          <w:lang w:val="es-ES" w:eastAsia="en-GB"/>
        </w:rPr>
        <w:t xml:space="preserve"> </w:t>
      </w:r>
      <w:r w:rsidR="00DA09FE" w:rsidRPr="00022A36">
        <w:rPr>
          <w:rFonts w:eastAsia="Times New Roman"/>
          <w:noProof/>
          <w:lang w:val="es-ES" w:eastAsia="en-GB"/>
        </w:rPr>
        <w:t>Entre estas figuran</w:t>
      </w:r>
      <w:r w:rsidR="000635E6" w:rsidRPr="00022A36">
        <w:rPr>
          <w:rFonts w:eastAsia="Times New Roman"/>
          <w:noProof/>
          <w:lang w:val="es-ES" w:eastAsia="en-GB"/>
        </w:rPr>
        <w:t xml:space="preserve"> los </w:t>
      </w:r>
      <w:r w:rsidR="00DA09FE" w:rsidRPr="00022A36">
        <w:rPr>
          <w:rFonts w:eastAsia="Times New Roman"/>
          <w:noProof/>
          <w:lang w:val="es-ES" w:eastAsia="en-GB"/>
        </w:rPr>
        <w:t>H</w:t>
      </w:r>
      <w:r w:rsidR="000635E6" w:rsidRPr="00022A36">
        <w:rPr>
          <w:rFonts w:eastAsia="Times New Roman"/>
          <w:noProof/>
          <w:lang w:val="es-ES" w:eastAsia="en-GB"/>
        </w:rPr>
        <w:t xml:space="preserve">umedales de </w:t>
      </w:r>
      <w:r w:rsidR="00DA09FE" w:rsidRPr="00022A36">
        <w:rPr>
          <w:rFonts w:eastAsia="Times New Roman"/>
          <w:noProof/>
          <w:lang w:val="es-ES" w:eastAsia="en-GB"/>
        </w:rPr>
        <w:t>I</w:t>
      </w:r>
      <w:r w:rsidR="000635E6" w:rsidRPr="00022A36">
        <w:rPr>
          <w:rFonts w:eastAsia="Times New Roman"/>
          <w:noProof/>
          <w:lang w:val="es-ES" w:eastAsia="en-GB"/>
        </w:rPr>
        <w:t xml:space="preserve">mportancia </w:t>
      </w:r>
      <w:r w:rsidR="00DA09FE" w:rsidRPr="00022A36">
        <w:rPr>
          <w:rFonts w:eastAsia="Times New Roman"/>
          <w:noProof/>
          <w:lang w:val="es-ES" w:eastAsia="en-GB"/>
        </w:rPr>
        <w:t>I</w:t>
      </w:r>
      <w:r w:rsidR="000635E6" w:rsidRPr="00022A36">
        <w:rPr>
          <w:rFonts w:eastAsia="Times New Roman"/>
          <w:noProof/>
          <w:lang w:val="es-ES" w:eastAsia="en-GB"/>
        </w:rPr>
        <w:t xml:space="preserve">nternacional, los sitios de </w:t>
      </w:r>
      <w:r w:rsidR="00DF0315" w:rsidRPr="00022A36">
        <w:rPr>
          <w:rFonts w:eastAsia="Times New Roman"/>
          <w:noProof/>
          <w:lang w:val="es-ES" w:eastAsia="en-GB"/>
        </w:rPr>
        <w:t>P</w:t>
      </w:r>
      <w:r w:rsidR="000635E6" w:rsidRPr="00022A36">
        <w:rPr>
          <w:rFonts w:eastAsia="Times New Roman"/>
          <w:noProof/>
          <w:lang w:val="es-ES" w:eastAsia="en-GB"/>
        </w:rPr>
        <w:t xml:space="preserve">atrimonio </w:t>
      </w:r>
      <w:r w:rsidR="00DF0315" w:rsidRPr="00022A36">
        <w:rPr>
          <w:rFonts w:eastAsia="Times New Roman"/>
          <w:noProof/>
          <w:lang w:val="es-ES" w:eastAsia="en-GB"/>
        </w:rPr>
        <w:t>de la Humanidad</w:t>
      </w:r>
      <w:r w:rsidR="000635E6" w:rsidRPr="00022A36">
        <w:rPr>
          <w:rFonts w:eastAsia="Times New Roman"/>
          <w:noProof/>
          <w:lang w:val="es-ES" w:eastAsia="en-GB"/>
        </w:rPr>
        <w:t xml:space="preserve">, las reservas de biosfera y los </w:t>
      </w:r>
      <w:r w:rsidR="00DF0315" w:rsidRPr="00022A36">
        <w:rPr>
          <w:rFonts w:eastAsia="Times New Roman"/>
          <w:noProof/>
          <w:lang w:val="es-ES" w:eastAsia="en-GB"/>
        </w:rPr>
        <w:t>G</w:t>
      </w:r>
      <w:r w:rsidR="000635E6" w:rsidRPr="00022A36">
        <w:rPr>
          <w:rFonts w:eastAsia="Times New Roman"/>
          <w:noProof/>
          <w:lang w:val="es-ES" w:eastAsia="en-GB"/>
        </w:rPr>
        <w:t xml:space="preserve">eoparques </w:t>
      </w:r>
      <w:r w:rsidR="00DF0315" w:rsidRPr="00022A36">
        <w:rPr>
          <w:rFonts w:eastAsia="Times New Roman"/>
          <w:noProof/>
          <w:lang w:val="es-ES" w:eastAsia="en-GB"/>
        </w:rPr>
        <w:t>M</w:t>
      </w:r>
      <w:r w:rsidR="000635E6" w:rsidRPr="00022A36">
        <w:rPr>
          <w:rFonts w:eastAsia="Times New Roman"/>
          <w:noProof/>
          <w:lang w:val="es-ES" w:eastAsia="en-GB"/>
        </w:rPr>
        <w:t xml:space="preserve">undiales. La Secretaría participó en una reunión de </w:t>
      </w:r>
      <w:r w:rsidR="000635E6" w:rsidRPr="00022A36">
        <w:rPr>
          <w:rFonts w:eastAsia="Times New Roman"/>
          <w:noProof/>
          <w:lang w:val="es-ES" w:eastAsia="en-GB"/>
        </w:rPr>
        <w:lastRenderedPageBreak/>
        <w:t>la UNESCO en diciembre de 2022, aportando información para la elaboración de una guía</w:t>
      </w:r>
      <w:r w:rsidR="00DF0315" w:rsidRPr="00022A36">
        <w:rPr>
          <w:rFonts w:eastAsia="Times New Roman"/>
          <w:noProof/>
          <w:lang w:val="es-ES" w:eastAsia="en-GB"/>
        </w:rPr>
        <w:t xml:space="preserve"> sobre las</w:t>
      </w:r>
      <w:r w:rsidR="000635E6" w:rsidRPr="00022A36">
        <w:rPr>
          <w:rFonts w:eastAsia="Times New Roman"/>
          <w:noProof/>
          <w:lang w:val="es-ES" w:eastAsia="en-GB"/>
        </w:rPr>
        <w:t xml:space="preserve"> MIDAS.</w:t>
      </w:r>
    </w:p>
    <w:p w14:paraId="652C60E6" w14:textId="77777777" w:rsidR="00DA5E4B" w:rsidRPr="00022A36" w:rsidRDefault="00DA5E4B" w:rsidP="00DF0315">
      <w:pPr>
        <w:suppressAutoHyphens/>
        <w:spacing w:after="0" w:line="240" w:lineRule="auto"/>
        <w:rPr>
          <w:rFonts w:eastAsia="Times New Roman" w:cstheme="minorHAnsi"/>
          <w:noProof/>
          <w:lang w:val="es-ES" w:eastAsia="en-GB"/>
        </w:rPr>
      </w:pPr>
    </w:p>
    <w:p w14:paraId="24625D5E" w14:textId="77777777" w:rsidR="00DF0315" w:rsidRPr="00022A36" w:rsidRDefault="00DF0315" w:rsidP="002E77BF">
      <w:pPr>
        <w:keepNext/>
        <w:autoSpaceDE w:val="0"/>
        <w:autoSpaceDN w:val="0"/>
        <w:adjustRightInd w:val="0"/>
        <w:spacing w:after="0" w:line="240" w:lineRule="auto"/>
        <w:rPr>
          <w:rFonts w:eastAsia="Times New Roman" w:cstheme="minorHAnsi"/>
          <w:i/>
          <w:noProof/>
          <w:lang w:val="es-ES" w:eastAsia="en-GB"/>
        </w:rPr>
      </w:pPr>
      <w:r w:rsidRPr="00022A36">
        <w:rPr>
          <w:rFonts w:eastAsia="Times New Roman" w:cstheme="minorHAnsi"/>
          <w:i/>
          <w:noProof/>
          <w:lang w:val="es-ES" w:eastAsia="en-GB"/>
        </w:rPr>
        <w:t xml:space="preserve">Convención Marco de las Naciones Unidas sobre el Cambio Climático </w:t>
      </w:r>
    </w:p>
    <w:p w14:paraId="7A1EB1C4" w14:textId="77777777" w:rsidR="009C2848" w:rsidRPr="00022A36" w:rsidRDefault="009C2848" w:rsidP="0098275E">
      <w:pPr>
        <w:keepNext/>
        <w:autoSpaceDE w:val="0"/>
        <w:autoSpaceDN w:val="0"/>
        <w:adjustRightInd w:val="0"/>
        <w:spacing w:after="0" w:line="240" w:lineRule="auto"/>
        <w:ind w:left="357" w:hanging="357"/>
        <w:rPr>
          <w:rFonts w:eastAsia="Times New Roman" w:cstheme="minorHAnsi"/>
          <w:bCs/>
          <w:noProof/>
          <w:lang w:val="es-ES" w:eastAsia="en-GB"/>
        </w:rPr>
      </w:pPr>
    </w:p>
    <w:p w14:paraId="0639F502" w14:textId="2C37F601" w:rsidR="00DF0315" w:rsidRPr="00022A36" w:rsidRDefault="009D2419" w:rsidP="0098275E">
      <w:pPr>
        <w:spacing w:after="0" w:line="240" w:lineRule="auto"/>
        <w:ind w:left="426" w:hanging="426"/>
        <w:rPr>
          <w:rFonts w:cstheme="minorHAnsi"/>
          <w:noProof/>
          <w:lang w:val="es-ES"/>
        </w:rPr>
      </w:pPr>
      <w:r w:rsidRPr="00022A36">
        <w:rPr>
          <w:rFonts w:eastAsia="Times New Roman" w:cstheme="minorHAnsi"/>
          <w:noProof/>
          <w:lang w:val="es-ES" w:eastAsia="en-GB"/>
        </w:rPr>
        <w:t>22</w:t>
      </w:r>
      <w:r w:rsidR="009C2848" w:rsidRPr="00022A36">
        <w:rPr>
          <w:rFonts w:eastAsia="Times New Roman" w:cstheme="minorHAnsi"/>
          <w:noProof/>
          <w:lang w:val="es-ES" w:eastAsia="en-GB"/>
        </w:rPr>
        <w:t>.</w:t>
      </w:r>
      <w:r w:rsidR="0006611C" w:rsidRPr="00022A36">
        <w:rPr>
          <w:rFonts w:cstheme="minorHAnsi"/>
          <w:noProof/>
          <w:lang w:val="es-ES"/>
        </w:rPr>
        <w:tab/>
      </w:r>
      <w:r w:rsidR="00DF0315" w:rsidRPr="00022A36">
        <w:rPr>
          <w:rFonts w:cstheme="minorHAnsi"/>
          <w:noProof/>
          <w:lang w:val="es-ES"/>
        </w:rPr>
        <w:t>La Secretaría participó en la COP27 de la CMNUCC, celebrada en Sharm El Sheikh (Egipto) en noviembre de 2022, pronunciando discursos en eventos paralelos oficiales, entre ellos los siguientes:</w:t>
      </w:r>
    </w:p>
    <w:p w14:paraId="0460F190" w14:textId="5B25EAA1" w:rsidR="00DF0315" w:rsidRPr="00022A36" w:rsidRDefault="00DF0315" w:rsidP="0098275E">
      <w:pPr>
        <w:pStyle w:val="ListParagraph"/>
        <w:numPr>
          <w:ilvl w:val="0"/>
          <w:numId w:val="28"/>
        </w:numPr>
        <w:ind w:left="851" w:hanging="425"/>
        <w:jc w:val="left"/>
        <w:rPr>
          <w:rFonts w:asciiTheme="minorHAnsi" w:hAnsiTheme="minorHAnsi" w:cstheme="minorHAnsi"/>
          <w:noProof/>
          <w:lang w:val="es-ES"/>
        </w:rPr>
      </w:pPr>
      <w:r w:rsidRPr="00022A36">
        <w:rPr>
          <w:rFonts w:asciiTheme="minorHAnsi" w:hAnsiTheme="minorHAnsi" w:cstheme="minorHAnsi"/>
          <w:noProof/>
          <w:lang w:val="es-ES"/>
        </w:rPr>
        <w:t>la presentación oficial de la Evaluación Mundial de las Turberas organizada por el PNUMA y otros aso</w:t>
      </w:r>
      <w:r w:rsidR="00B138B8" w:rsidRPr="00022A36">
        <w:rPr>
          <w:rFonts w:asciiTheme="minorHAnsi" w:hAnsiTheme="minorHAnsi" w:cstheme="minorHAnsi"/>
          <w:noProof/>
          <w:lang w:val="es-ES"/>
        </w:rPr>
        <w:t>c</w:t>
      </w:r>
      <w:r w:rsidRPr="00022A36">
        <w:rPr>
          <w:rFonts w:asciiTheme="minorHAnsi" w:hAnsiTheme="minorHAnsi" w:cstheme="minorHAnsi"/>
          <w:noProof/>
          <w:lang w:val="es-ES"/>
        </w:rPr>
        <w:t>iados en la Iniciativa Mundial sobre las Turberas (GPI)</w:t>
      </w:r>
      <w:r w:rsidR="00085AD6" w:rsidRPr="00022A36">
        <w:rPr>
          <w:rFonts w:asciiTheme="minorHAnsi" w:hAnsiTheme="minorHAnsi" w:cstheme="minorHAnsi"/>
          <w:noProof/>
          <w:lang w:val="es-ES"/>
        </w:rPr>
        <w:t xml:space="preserve">, evento en que se </w:t>
      </w:r>
      <w:r w:rsidR="00D7429B" w:rsidRPr="00022A36">
        <w:rPr>
          <w:rFonts w:asciiTheme="minorHAnsi" w:hAnsiTheme="minorHAnsi" w:cstheme="minorHAnsi"/>
          <w:noProof/>
          <w:lang w:val="es-ES"/>
        </w:rPr>
        <w:t>presentó</w:t>
      </w:r>
      <w:r w:rsidR="00085AD6" w:rsidRPr="00022A36">
        <w:rPr>
          <w:rFonts w:asciiTheme="minorHAnsi" w:hAnsiTheme="minorHAnsi" w:cstheme="minorHAnsi"/>
          <w:noProof/>
          <w:lang w:val="es-ES"/>
        </w:rPr>
        <w:t xml:space="preserve"> </w:t>
      </w:r>
      <w:r w:rsidR="00D7429B" w:rsidRPr="00022A36">
        <w:rPr>
          <w:rFonts w:asciiTheme="minorHAnsi" w:hAnsiTheme="minorHAnsi" w:cstheme="minorHAnsi"/>
          <w:noProof/>
          <w:lang w:val="es-ES"/>
        </w:rPr>
        <w:t>un</w:t>
      </w:r>
      <w:r w:rsidR="00085AD6" w:rsidRPr="00022A36">
        <w:rPr>
          <w:rFonts w:asciiTheme="minorHAnsi" w:hAnsiTheme="minorHAnsi" w:cstheme="minorHAnsi"/>
          <w:noProof/>
          <w:lang w:val="es-ES"/>
        </w:rPr>
        <w:t xml:space="preserve"> video </w:t>
      </w:r>
      <w:r w:rsidR="00D7429B" w:rsidRPr="00022A36">
        <w:rPr>
          <w:rFonts w:asciiTheme="minorHAnsi" w:hAnsiTheme="minorHAnsi" w:cstheme="minorHAnsi"/>
          <w:noProof/>
          <w:lang w:val="es-ES"/>
        </w:rPr>
        <w:t xml:space="preserve">con </w:t>
      </w:r>
      <w:r w:rsidR="00085AD6" w:rsidRPr="00022A36">
        <w:rPr>
          <w:rFonts w:asciiTheme="minorHAnsi" w:hAnsiTheme="minorHAnsi" w:cstheme="minorHAnsi"/>
          <w:noProof/>
          <w:lang w:val="es-ES"/>
        </w:rPr>
        <w:t>un mensaje de la Secretaria General</w:t>
      </w:r>
      <w:r w:rsidRPr="00022A36">
        <w:rPr>
          <w:rFonts w:asciiTheme="minorHAnsi" w:hAnsiTheme="minorHAnsi" w:cstheme="minorHAnsi"/>
          <w:noProof/>
          <w:lang w:val="es-ES"/>
        </w:rPr>
        <w:t>;</w:t>
      </w:r>
    </w:p>
    <w:p w14:paraId="75E25BB6" w14:textId="32288055" w:rsidR="00B138B8" w:rsidRPr="00022A36" w:rsidRDefault="00B138B8" w:rsidP="0098275E">
      <w:pPr>
        <w:pStyle w:val="ListParagraph"/>
        <w:numPr>
          <w:ilvl w:val="0"/>
          <w:numId w:val="28"/>
        </w:numPr>
        <w:ind w:left="851" w:hanging="425"/>
        <w:jc w:val="left"/>
        <w:rPr>
          <w:rFonts w:asciiTheme="minorHAnsi" w:hAnsiTheme="minorHAnsi" w:cstheme="minorHAnsi"/>
          <w:noProof/>
          <w:lang w:val="es-ES"/>
        </w:rPr>
      </w:pPr>
      <w:r w:rsidRPr="00022A36">
        <w:rPr>
          <w:rFonts w:asciiTheme="minorHAnsi" w:hAnsiTheme="minorHAnsi" w:cstheme="minorHAnsi"/>
          <w:noProof/>
          <w:lang w:val="es-ES"/>
        </w:rPr>
        <w:t xml:space="preserve">un evento paralelo sobre las turberas en las contribuciones determinadas a nivel nacional (CDN), organizado por el </w:t>
      </w:r>
      <w:r w:rsidRPr="00022A36">
        <w:rPr>
          <w:rFonts w:asciiTheme="minorHAnsi" w:hAnsiTheme="minorHAnsi"/>
          <w:noProof/>
          <w:lang w:val="es-ES"/>
        </w:rPr>
        <w:t>Global Environment Centre</w:t>
      </w:r>
      <w:r w:rsidRPr="00022A36">
        <w:rPr>
          <w:rFonts w:asciiTheme="minorHAnsi" w:hAnsiTheme="minorHAnsi" w:cstheme="minorHAnsi"/>
          <w:noProof/>
          <w:lang w:val="es-ES"/>
        </w:rPr>
        <w:t xml:space="preserve"> y Wetlands International en colaboración con la Organización de las Naciones Unidas para la Alimentación y la Agricultura (FAO) y otros asociados de la</w:t>
      </w:r>
      <w:r w:rsidR="00085AD6" w:rsidRPr="00022A36">
        <w:rPr>
          <w:rFonts w:asciiTheme="minorHAnsi" w:hAnsiTheme="minorHAnsi" w:cstheme="minorHAnsi"/>
          <w:noProof/>
          <w:lang w:val="es-ES"/>
        </w:rPr>
        <w:t xml:space="preserve"> iniciativa</w:t>
      </w:r>
      <w:r w:rsidRPr="00022A36">
        <w:rPr>
          <w:rFonts w:asciiTheme="minorHAnsi" w:hAnsiTheme="minorHAnsi" w:cstheme="minorHAnsi"/>
          <w:noProof/>
          <w:lang w:val="es-ES"/>
        </w:rPr>
        <w:t xml:space="preserve"> IAG; y</w:t>
      </w:r>
    </w:p>
    <w:p w14:paraId="6BA31458" w14:textId="51BE5B3C" w:rsidR="00B138B8" w:rsidRPr="00022A36" w:rsidRDefault="00B138B8" w:rsidP="0098275E">
      <w:pPr>
        <w:pStyle w:val="ListParagraph"/>
        <w:numPr>
          <w:ilvl w:val="0"/>
          <w:numId w:val="28"/>
        </w:numPr>
        <w:ind w:left="851" w:hanging="425"/>
        <w:jc w:val="left"/>
        <w:rPr>
          <w:rFonts w:asciiTheme="minorHAnsi" w:hAnsiTheme="minorHAnsi" w:cstheme="minorHAnsi"/>
          <w:noProof/>
          <w:lang w:val="es-ES"/>
        </w:rPr>
      </w:pPr>
      <w:r w:rsidRPr="00022A36">
        <w:rPr>
          <w:rFonts w:asciiTheme="minorHAnsi" w:hAnsiTheme="minorHAnsi" w:cstheme="minorHAnsi"/>
          <w:noProof/>
          <w:lang w:val="es-ES"/>
        </w:rPr>
        <w:t xml:space="preserve">un evento paralelo titulado “Alianzas para acelerar la acción </w:t>
      </w:r>
      <w:r w:rsidR="006C67DA" w:rsidRPr="00022A36">
        <w:rPr>
          <w:rFonts w:asciiTheme="minorHAnsi" w:hAnsiTheme="minorHAnsi" w:cstheme="minorHAnsi"/>
          <w:noProof/>
          <w:lang w:val="es-ES"/>
        </w:rPr>
        <w:t>dirigida a</w:t>
      </w:r>
      <w:r w:rsidRPr="00022A36">
        <w:rPr>
          <w:rFonts w:asciiTheme="minorHAnsi" w:hAnsiTheme="minorHAnsi" w:cstheme="minorHAnsi"/>
          <w:noProof/>
          <w:lang w:val="es-ES"/>
        </w:rPr>
        <w:t xml:space="preserve"> proteger los ecosistemas de carbono azul para la mitigación</w:t>
      </w:r>
      <w:r w:rsidR="006C67DA" w:rsidRPr="00022A36">
        <w:rPr>
          <w:rFonts w:asciiTheme="minorHAnsi" w:hAnsiTheme="minorHAnsi" w:cstheme="minorHAnsi"/>
          <w:noProof/>
          <w:lang w:val="es-ES"/>
        </w:rPr>
        <w:t xml:space="preserve"> del cambio climático</w:t>
      </w:r>
      <w:r w:rsidRPr="00022A36">
        <w:rPr>
          <w:rFonts w:asciiTheme="minorHAnsi" w:hAnsiTheme="minorHAnsi" w:cstheme="minorHAnsi"/>
          <w:noProof/>
          <w:lang w:val="es-ES"/>
        </w:rPr>
        <w:t xml:space="preserve"> y la adaptación</w:t>
      </w:r>
      <w:r w:rsidR="006C67DA" w:rsidRPr="00022A36">
        <w:rPr>
          <w:rFonts w:asciiTheme="minorHAnsi" w:hAnsiTheme="minorHAnsi" w:cstheme="minorHAnsi"/>
          <w:noProof/>
          <w:lang w:val="es-ES"/>
        </w:rPr>
        <w:t xml:space="preserve"> a él</w:t>
      </w:r>
      <w:r w:rsidRPr="00022A36">
        <w:rPr>
          <w:rFonts w:asciiTheme="minorHAnsi" w:hAnsiTheme="minorHAnsi" w:cstheme="minorHAnsi"/>
          <w:noProof/>
          <w:lang w:val="es-ES"/>
        </w:rPr>
        <w:t>”, organizado por la Asociación Internacional de Carbono Azul y el Pew Charitable Trust.</w:t>
      </w:r>
    </w:p>
    <w:p w14:paraId="2A94DA09" w14:textId="77777777" w:rsidR="0098275E" w:rsidRPr="00022A36" w:rsidRDefault="0098275E" w:rsidP="0098275E">
      <w:pPr>
        <w:spacing w:after="0" w:line="240" w:lineRule="auto"/>
        <w:ind w:left="851" w:hanging="426"/>
        <w:rPr>
          <w:noProof/>
          <w:lang w:val="es-ES"/>
        </w:rPr>
      </w:pPr>
    </w:p>
    <w:p w14:paraId="06DD7C88" w14:textId="45D1471C" w:rsidR="006C67DA" w:rsidRPr="00022A36" w:rsidRDefault="009D2419" w:rsidP="002E77BF">
      <w:pPr>
        <w:spacing w:after="0" w:line="240" w:lineRule="auto"/>
        <w:ind w:left="426" w:hanging="426"/>
        <w:rPr>
          <w:noProof/>
          <w:lang w:val="es-ES"/>
        </w:rPr>
      </w:pPr>
      <w:r w:rsidRPr="00022A36">
        <w:rPr>
          <w:noProof/>
          <w:lang w:val="es-ES"/>
        </w:rPr>
        <w:t>23</w:t>
      </w:r>
      <w:r w:rsidR="0098275E" w:rsidRPr="00022A36">
        <w:rPr>
          <w:noProof/>
          <w:lang w:val="es-ES"/>
        </w:rPr>
        <w:t>.</w:t>
      </w:r>
      <w:r w:rsidR="0098275E" w:rsidRPr="00022A36">
        <w:rPr>
          <w:noProof/>
          <w:lang w:val="es-ES"/>
        </w:rPr>
        <w:tab/>
      </w:r>
      <w:r w:rsidR="00960722" w:rsidRPr="00022A36">
        <w:rPr>
          <w:noProof/>
          <w:lang w:val="es-ES"/>
        </w:rPr>
        <w:t>Asimismo</w:t>
      </w:r>
      <w:r w:rsidR="006C67DA" w:rsidRPr="00022A36">
        <w:rPr>
          <w:noProof/>
          <w:lang w:val="es-ES"/>
        </w:rPr>
        <w:t xml:space="preserve">, la Secretaría participó como ponente en el evento paralelo “Laboratorio de carbono azul”, organizado en el contexto del Día </w:t>
      </w:r>
      <w:r w:rsidR="00085AD6" w:rsidRPr="00022A36">
        <w:rPr>
          <w:noProof/>
          <w:lang w:val="es-ES"/>
        </w:rPr>
        <w:t>de Acción por</w:t>
      </w:r>
      <w:r w:rsidR="006C67DA" w:rsidRPr="00022A36">
        <w:rPr>
          <w:noProof/>
          <w:lang w:val="es-ES"/>
        </w:rPr>
        <w:t xml:space="preserve"> los Océanos y convocado en el marco de la Alianza de Marrakech, y asistió al Evento de Acción </w:t>
      </w:r>
      <w:r w:rsidR="00D4386D" w:rsidRPr="00022A36">
        <w:rPr>
          <w:noProof/>
          <w:lang w:val="es-ES"/>
        </w:rPr>
        <w:t xml:space="preserve">por </w:t>
      </w:r>
      <w:r w:rsidR="006C67DA" w:rsidRPr="00022A36">
        <w:rPr>
          <w:noProof/>
          <w:lang w:val="es-ES"/>
        </w:rPr>
        <w:t xml:space="preserve">el Agua organizado por la Alianza de Marrakech. En preparación de la COP27, la Secretaría realizó contribuciones a dos iniciativas </w:t>
      </w:r>
      <w:r w:rsidR="00D4386D" w:rsidRPr="00022A36">
        <w:rPr>
          <w:noProof/>
          <w:lang w:val="es-ES"/>
        </w:rPr>
        <w:t>presidenciales</w:t>
      </w:r>
      <w:r w:rsidR="006C67DA" w:rsidRPr="00022A36">
        <w:rPr>
          <w:noProof/>
          <w:lang w:val="es-ES"/>
        </w:rPr>
        <w:t xml:space="preserve"> </w:t>
      </w:r>
      <w:r w:rsidR="00D4386D" w:rsidRPr="00022A36">
        <w:rPr>
          <w:noProof/>
          <w:lang w:val="es-ES"/>
        </w:rPr>
        <w:t>que se presentaron</w:t>
      </w:r>
      <w:r w:rsidR="006C67DA" w:rsidRPr="00022A36">
        <w:rPr>
          <w:noProof/>
          <w:lang w:val="es-ES"/>
        </w:rPr>
        <w:t xml:space="preserve"> en la reunión sobre “</w:t>
      </w:r>
      <w:r w:rsidR="00D4386D" w:rsidRPr="00022A36">
        <w:rPr>
          <w:noProof/>
          <w:lang w:val="es-ES"/>
        </w:rPr>
        <w:t xml:space="preserve">Acción para la Adaptación </w:t>
      </w:r>
      <w:r w:rsidR="006C67DA" w:rsidRPr="00022A36">
        <w:rPr>
          <w:noProof/>
          <w:lang w:val="es-ES"/>
        </w:rPr>
        <w:t xml:space="preserve">y </w:t>
      </w:r>
      <w:r w:rsidR="00D4386D" w:rsidRPr="00022A36">
        <w:rPr>
          <w:noProof/>
          <w:lang w:val="es-ES"/>
        </w:rPr>
        <w:t>R</w:t>
      </w:r>
      <w:r w:rsidR="006C67DA" w:rsidRPr="00022A36">
        <w:rPr>
          <w:noProof/>
          <w:lang w:val="es-ES"/>
        </w:rPr>
        <w:t xml:space="preserve">esiliencia del </w:t>
      </w:r>
      <w:r w:rsidR="00D4386D" w:rsidRPr="00022A36">
        <w:rPr>
          <w:noProof/>
          <w:lang w:val="es-ES"/>
        </w:rPr>
        <w:t>A</w:t>
      </w:r>
      <w:r w:rsidR="006C67DA" w:rsidRPr="00022A36">
        <w:rPr>
          <w:noProof/>
          <w:lang w:val="es-ES"/>
        </w:rPr>
        <w:t>gua” (AWARe) y “Mejora de las soluciones basadas en la naturaleza para una transformación climática acelerada” (ENACT).</w:t>
      </w:r>
    </w:p>
    <w:p w14:paraId="59B136F0" w14:textId="77777777" w:rsidR="00FE7A27" w:rsidRPr="00022A36" w:rsidRDefault="00FE7A27" w:rsidP="00D4386D">
      <w:pPr>
        <w:tabs>
          <w:tab w:val="left" w:pos="426"/>
        </w:tabs>
        <w:spacing w:after="0" w:line="240" w:lineRule="auto"/>
        <w:rPr>
          <w:rFonts w:cstheme="minorHAnsi"/>
          <w:noProof/>
          <w:lang w:val="es-ES"/>
        </w:rPr>
      </w:pPr>
    </w:p>
    <w:p w14:paraId="23C675EA" w14:textId="77777777" w:rsidR="00BC46F7" w:rsidRPr="00022A36" w:rsidRDefault="00BC46F7" w:rsidP="000A264B">
      <w:pPr>
        <w:keepNext/>
        <w:spacing w:after="0" w:line="240" w:lineRule="auto"/>
        <w:ind w:left="425" w:hanging="425"/>
        <w:rPr>
          <w:rFonts w:eastAsia="Times New Roman" w:cstheme="minorHAnsi"/>
          <w:i/>
          <w:noProof/>
          <w:lang w:val="es-ES" w:eastAsia="en-GB"/>
        </w:rPr>
      </w:pPr>
      <w:r w:rsidRPr="00022A36">
        <w:rPr>
          <w:rFonts w:eastAsia="Times New Roman" w:cstheme="minorHAnsi"/>
          <w:i/>
          <w:noProof/>
          <w:lang w:val="es-ES" w:eastAsia="en-GB"/>
        </w:rPr>
        <w:t>Convención de las Naciones Unidas de Lucha contra la Desertificación</w:t>
      </w:r>
    </w:p>
    <w:p w14:paraId="42029C08" w14:textId="77777777" w:rsidR="009C2848" w:rsidRPr="00022A36" w:rsidRDefault="009C2848" w:rsidP="000A264B">
      <w:pPr>
        <w:keepNext/>
        <w:spacing w:after="0" w:line="240" w:lineRule="auto"/>
        <w:ind w:left="425" w:hanging="425"/>
        <w:rPr>
          <w:rFonts w:eastAsia="Times New Roman" w:cstheme="minorHAnsi"/>
          <w:noProof/>
          <w:lang w:val="es-ES" w:eastAsia="en-GB"/>
        </w:rPr>
      </w:pPr>
    </w:p>
    <w:p w14:paraId="7C50CED9" w14:textId="0188DAC9" w:rsidR="00BC46F7" w:rsidRPr="00022A36" w:rsidRDefault="009D2419" w:rsidP="000A264B">
      <w:pPr>
        <w:spacing w:after="0" w:line="240" w:lineRule="auto"/>
        <w:ind w:left="426" w:hanging="426"/>
        <w:rPr>
          <w:rFonts w:eastAsia="Times New Roman" w:cstheme="minorHAnsi"/>
          <w:noProof/>
          <w:lang w:val="es-ES" w:eastAsia="en-GB"/>
        </w:rPr>
      </w:pPr>
      <w:r w:rsidRPr="00022A36">
        <w:rPr>
          <w:rFonts w:eastAsia="Times New Roman" w:cstheme="minorHAnsi"/>
          <w:noProof/>
          <w:lang w:val="es-ES" w:eastAsia="en-GB"/>
        </w:rPr>
        <w:t>24</w:t>
      </w:r>
      <w:r w:rsidR="009C2848" w:rsidRPr="00022A36">
        <w:rPr>
          <w:rFonts w:eastAsia="Times New Roman" w:cstheme="minorHAnsi"/>
          <w:noProof/>
          <w:lang w:val="es-ES" w:eastAsia="en-GB"/>
        </w:rPr>
        <w:t>.</w:t>
      </w:r>
      <w:r w:rsidR="0006113B" w:rsidRPr="00022A36">
        <w:rPr>
          <w:rFonts w:eastAsia="Times New Roman" w:cstheme="minorHAnsi"/>
          <w:noProof/>
          <w:lang w:val="es-ES" w:eastAsia="en-GB"/>
        </w:rPr>
        <w:tab/>
      </w:r>
      <w:r w:rsidR="00BC46F7" w:rsidRPr="00022A36">
        <w:rPr>
          <w:rFonts w:eastAsia="Times New Roman" w:cstheme="minorHAnsi"/>
          <w:noProof/>
          <w:lang w:val="es-ES" w:eastAsia="en-GB"/>
        </w:rPr>
        <w:t xml:space="preserve">El </w:t>
      </w:r>
      <w:r w:rsidR="00D4386D" w:rsidRPr="00022A36">
        <w:rPr>
          <w:rFonts w:eastAsia="Times New Roman" w:cstheme="minorHAnsi"/>
          <w:noProof/>
          <w:lang w:val="es-ES" w:eastAsia="en-GB"/>
        </w:rPr>
        <w:t>vínculo</w:t>
      </w:r>
      <w:r w:rsidR="00BC46F7" w:rsidRPr="00022A36">
        <w:rPr>
          <w:rFonts w:eastAsia="Times New Roman" w:cstheme="minorHAnsi"/>
          <w:noProof/>
          <w:lang w:val="es-ES" w:eastAsia="en-GB"/>
        </w:rPr>
        <w:t xml:space="preserve"> con la Secretaría de la CNULD se ha centrado en los resultados de la COP</w:t>
      </w:r>
      <w:r w:rsidR="008A77AD" w:rsidRPr="00022A36">
        <w:rPr>
          <w:rFonts w:eastAsia="Times New Roman" w:cstheme="minorHAnsi"/>
          <w:noProof/>
          <w:lang w:val="es-ES" w:eastAsia="en-GB"/>
        </w:rPr>
        <w:t>.</w:t>
      </w:r>
      <w:r w:rsidR="00BC46F7" w:rsidRPr="00022A36">
        <w:rPr>
          <w:rFonts w:eastAsia="Times New Roman" w:cstheme="minorHAnsi"/>
          <w:noProof/>
          <w:lang w:val="es-ES" w:eastAsia="en-GB"/>
        </w:rPr>
        <w:t>15 de la CNULD que se celebró en Abiy</w:t>
      </w:r>
      <w:r w:rsidR="00DE0113" w:rsidRPr="00022A36">
        <w:rPr>
          <w:rFonts w:eastAsia="Times New Roman" w:cstheme="minorHAnsi"/>
          <w:noProof/>
          <w:lang w:val="es-ES" w:eastAsia="en-GB"/>
        </w:rPr>
        <w:t>á</w:t>
      </w:r>
      <w:r w:rsidR="00BC46F7" w:rsidRPr="00022A36">
        <w:rPr>
          <w:rFonts w:eastAsia="Times New Roman" w:cstheme="minorHAnsi"/>
          <w:noProof/>
          <w:lang w:val="es-ES" w:eastAsia="en-GB"/>
        </w:rPr>
        <w:t>n (</w:t>
      </w:r>
      <w:r w:rsidR="00DE0113" w:rsidRPr="00022A36">
        <w:rPr>
          <w:rFonts w:cstheme="minorHAnsi"/>
          <w:noProof/>
          <w:color w:val="000000"/>
          <w:shd w:val="clear" w:color="auto" w:fill="FFFFFF"/>
          <w:lang w:val="es-ES"/>
        </w:rPr>
        <w:t>Côte d’Ivoire</w:t>
      </w:r>
      <w:r w:rsidR="00BC46F7" w:rsidRPr="00022A36">
        <w:rPr>
          <w:rFonts w:eastAsia="Times New Roman" w:cstheme="minorHAnsi"/>
          <w:noProof/>
          <w:lang w:val="es-ES" w:eastAsia="en-GB"/>
        </w:rPr>
        <w:t>) en mayo de 2022, incluida la Decisión 20/COP</w:t>
      </w:r>
      <w:r w:rsidR="008A77AD" w:rsidRPr="00022A36">
        <w:rPr>
          <w:rFonts w:eastAsia="Times New Roman" w:cstheme="minorHAnsi"/>
          <w:noProof/>
          <w:lang w:val="es-ES" w:eastAsia="en-GB"/>
        </w:rPr>
        <w:t>.</w:t>
      </w:r>
      <w:r w:rsidR="00BC46F7" w:rsidRPr="00022A36">
        <w:rPr>
          <w:rFonts w:eastAsia="Times New Roman" w:cstheme="minorHAnsi"/>
          <w:noProof/>
          <w:lang w:val="es-ES" w:eastAsia="en-GB"/>
        </w:rPr>
        <w:t xml:space="preserve">15 sobre </w:t>
      </w:r>
      <w:r w:rsidR="00BC46F7" w:rsidRPr="00022A36">
        <w:rPr>
          <w:rFonts w:eastAsia="Times New Roman" w:cstheme="minorHAnsi"/>
          <w:i/>
          <w:iCs/>
          <w:noProof/>
          <w:lang w:val="es-ES" w:eastAsia="en-GB"/>
        </w:rPr>
        <w:t>Recomendaciones orientadas a la formulación de políticas dimanantes de la cooperación con otros paneles y órganos científicos intergubernamentales</w:t>
      </w:r>
      <w:r w:rsidR="00BC46F7" w:rsidRPr="00022A36">
        <w:rPr>
          <w:rFonts w:eastAsia="Times New Roman" w:cstheme="minorHAnsi"/>
          <w:noProof/>
          <w:lang w:val="es-ES" w:eastAsia="en-GB"/>
        </w:rPr>
        <w:t xml:space="preserve">, que </w:t>
      </w:r>
      <w:r w:rsidR="00DE0113" w:rsidRPr="00022A36">
        <w:rPr>
          <w:rFonts w:eastAsia="Times New Roman" w:cstheme="minorHAnsi"/>
          <w:noProof/>
          <w:lang w:val="es-ES" w:eastAsia="en-GB"/>
        </w:rPr>
        <w:t xml:space="preserve">insta </w:t>
      </w:r>
      <w:r w:rsidR="008A77AD" w:rsidRPr="00022A36">
        <w:rPr>
          <w:rFonts w:eastAsia="Times New Roman" w:cstheme="minorHAnsi"/>
          <w:noProof/>
          <w:lang w:val="es-ES" w:eastAsia="en-GB"/>
        </w:rPr>
        <w:t>a la elaboración de “</w:t>
      </w:r>
      <w:r w:rsidR="00BC46F7" w:rsidRPr="00022A36">
        <w:rPr>
          <w:rFonts w:eastAsia="Times New Roman" w:cstheme="minorHAnsi"/>
          <w:noProof/>
          <w:lang w:val="es-ES" w:eastAsia="en-GB"/>
        </w:rPr>
        <w:t xml:space="preserve">una serie de guías técnicas </w:t>
      </w:r>
      <w:r w:rsidR="00902253" w:rsidRPr="00022A36">
        <w:rPr>
          <w:rFonts w:eastAsia="Times New Roman" w:cstheme="minorHAnsi"/>
          <w:noProof/>
          <w:lang w:val="es-ES" w:eastAsia="en-GB"/>
        </w:rPr>
        <w:t xml:space="preserve">sobre las </w:t>
      </w:r>
      <w:r w:rsidR="00BC46F7" w:rsidRPr="00022A36">
        <w:rPr>
          <w:rFonts w:eastAsia="Times New Roman" w:cstheme="minorHAnsi"/>
          <w:noProof/>
          <w:lang w:val="es-ES" w:eastAsia="en-GB"/>
        </w:rPr>
        <w:t xml:space="preserve">opciones de respuesta </w:t>
      </w:r>
      <w:r w:rsidR="00DE0113" w:rsidRPr="00022A36">
        <w:rPr>
          <w:rFonts w:eastAsia="Times New Roman" w:cstheme="minorHAnsi"/>
          <w:noProof/>
          <w:lang w:val="es-ES" w:eastAsia="en-GB"/>
        </w:rPr>
        <w:t>para la</w:t>
      </w:r>
      <w:r w:rsidR="00BC46F7" w:rsidRPr="00022A36">
        <w:rPr>
          <w:rFonts w:eastAsia="Times New Roman" w:cstheme="minorHAnsi"/>
          <w:noProof/>
          <w:lang w:val="es-ES" w:eastAsia="en-GB"/>
        </w:rPr>
        <w:t xml:space="preserve"> </w:t>
      </w:r>
      <w:r w:rsidR="00902253" w:rsidRPr="00022A36">
        <w:rPr>
          <w:rFonts w:eastAsia="Times New Roman" w:cstheme="minorHAnsi"/>
          <w:noProof/>
          <w:lang w:val="es-ES" w:eastAsia="en-GB"/>
        </w:rPr>
        <w:t>ordenación</w:t>
      </w:r>
      <w:r w:rsidR="00BC46F7" w:rsidRPr="00022A36">
        <w:rPr>
          <w:rFonts w:eastAsia="Times New Roman" w:cstheme="minorHAnsi"/>
          <w:noProof/>
          <w:lang w:val="es-ES" w:eastAsia="en-GB"/>
        </w:rPr>
        <w:t xml:space="preserve"> integra</w:t>
      </w:r>
      <w:r w:rsidR="00902253" w:rsidRPr="00022A36">
        <w:rPr>
          <w:rFonts w:eastAsia="Times New Roman" w:cstheme="minorHAnsi"/>
          <w:noProof/>
          <w:lang w:val="es-ES" w:eastAsia="en-GB"/>
        </w:rPr>
        <w:t>da</w:t>
      </w:r>
      <w:r w:rsidR="00BC46F7" w:rsidRPr="00022A36">
        <w:rPr>
          <w:rFonts w:eastAsia="Times New Roman" w:cstheme="minorHAnsi"/>
          <w:noProof/>
          <w:lang w:val="es-ES" w:eastAsia="en-GB"/>
        </w:rPr>
        <w:t xml:space="preserve"> de la</w:t>
      </w:r>
      <w:r w:rsidR="00902253" w:rsidRPr="00022A36">
        <w:rPr>
          <w:rFonts w:eastAsia="Times New Roman" w:cstheme="minorHAnsi"/>
          <w:noProof/>
          <w:lang w:val="es-ES" w:eastAsia="en-GB"/>
        </w:rPr>
        <w:t>s</w:t>
      </w:r>
      <w:r w:rsidR="00BC46F7" w:rsidRPr="00022A36">
        <w:rPr>
          <w:rFonts w:eastAsia="Times New Roman" w:cstheme="minorHAnsi"/>
          <w:noProof/>
          <w:lang w:val="es-ES" w:eastAsia="en-GB"/>
        </w:rPr>
        <w:t xml:space="preserve"> tierra</w:t>
      </w:r>
      <w:r w:rsidR="00902253" w:rsidRPr="00022A36">
        <w:rPr>
          <w:rFonts w:eastAsia="Times New Roman" w:cstheme="minorHAnsi"/>
          <w:noProof/>
          <w:lang w:val="es-ES" w:eastAsia="en-GB"/>
        </w:rPr>
        <w:t>s</w:t>
      </w:r>
      <w:r w:rsidR="00BC46F7" w:rsidRPr="00022A36">
        <w:rPr>
          <w:rFonts w:eastAsia="Times New Roman" w:cstheme="minorHAnsi"/>
          <w:noProof/>
          <w:lang w:val="es-ES" w:eastAsia="en-GB"/>
        </w:rPr>
        <w:t xml:space="preserve"> </w:t>
      </w:r>
      <w:r w:rsidR="00DE0113" w:rsidRPr="00022A36">
        <w:rPr>
          <w:rFonts w:eastAsia="Times New Roman" w:cstheme="minorHAnsi"/>
          <w:noProof/>
          <w:lang w:val="es-ES" w:eastAsia="en-GB"/>
        </w:rPr>
        <w:t>en</w:t>
      </w:r>
      <w:r w:rsidR="00BC46F7" w:rsidRPr="00022A36">
        <w:rPr>
          <w:rFonts w:eastAsia="Times New Roman" w:cstheme="minorHAnsi"/>
          <w:noProof/>
          <w:lang w:val="es-ES" w:eastAsia="en-GB"/>
        </w:rPr>
        <w:t xml:space="preserve"> </w:t>
      </w:r>
      <w:r w:rsidR="00DE0113" w:rsidRPr="00022A36">
        <w:rPr>
          <w:rFonts w:eastAsia="Times New Roman" w:cstheme="minorHAnsi"/>
          <w:noProof/>
          <w:lang w:val="es-ES" w:eastAsia="en-GB"/>
        </w:rPr>
        <w:t xml:space="preserve">los </w:t>
      </w:r>
      <w:r w:rsidR="00BC46F7" w:rsidRPr="00022A36">
        <w:rPr>
          <w:rFonts w:eastAsia="Times New Roman" w:cstheme="minorHAnsi"/>
          <w:noProof/>
          <w:lang w:val="es-ES" w:eastAsia="en-GB"/>
        </w:rPr>
        <w:t xml:space="preserve">ecosistemas de </w:t>
      </w:r>
      <w:r w:rsidR="008A77AD" w:rsidRPr="00022A36">
        <w:rPr>
          <w:rFonts w:eastAsia="Times New Roman" w:cstheme="minorHAnsi"/>
          <w:noProof/>
          <w:lang w:val="es-ES" w:eastAsia="en-GB"/>
        </w:rPr>
        <w:t>las</w:t>
      </w:r>
      <w:r w:rsidR="00902253" w:rsidRPr="00022A36">
        <w:rPr>
          <w:rFonts w:eastAsia="Times New Roman" w:cstheme="minorHAnsi"/>
          <w:noProof/>
          <w:lang w:val="es-ES" w:eastAsia="en-GB"/>
        </w:rPr>
        <w:t xml:space="preserve"> tierras secas</w:t>
      </w:r>
      <w:r w:rsidR="00BC46F7" w:rsidRPr="00022A36">
        <w:rPr>
          <w:rFonts w:eastAsia="Times New Roman" w:cstheme="minorHAnsi"/>
          <w:noProof/>
          <w:lang w:val="es-ES" w:eastAsia="en-GB"/>
        </w:rPr>
        <w:t>, teniendo en cuenta los contextos nacionales y la interacción entre la degradación de la</w:t>
      </w:r>
      <w:r w:rsidR="00902253" w:rsidRPr="00022A36">
        <w:rPr>
          <w:rFonts w:eastAsia="Times New Roman" w:cstheme="minorHAnsi"/>
          <w:noProof/>
          <w:lang w:val="es-ES" w:eastAsia="en-GB"/>
        </w:rPr>
        <w:t>s</w:t>
      </w:r>
      <w:r w:rsidR="00BC46F7" w:rsidRPr="00022A36">
        <w:rPr>
          <w:rFonts w:eastAsia="Times New Roman" w:cstheme="minorHAnsi"/>
          <w:noProof/>
          <w:lang w:val="es-ES" w:eastAsia="en-GB"/>
        </w:rPr>
        <w:t xml:space="preserve"> tierra</w:t>
      </w:r>
      <w:r w:rsidR="00902253" w:rsidRPr="00022A36">
        <w:rPr>
          <w:rFonts w:eastAsia="Times New Roman" w:cstheme="minorHAnsi"/>
          <w:noProof/>
          <w:lang w:val="es-ES" w:eastAsia="en-GB"/>
        </w:rPr>
        <w:t>s</w:t>
      </w:r>
      <w:r w:rsidR="00BC46F7" w:rsidRPr="00022A36">
        <w:rPr>
          <w:rFonts w:eastAsia="Times New Roman" w:cstheme="minorHAnsi"/>
          <w:noProof/>
          <w:lang w:val="es-ES" w:eastAsia="en-GB"/>
        </w:rPr>
        <w:t xml:space="preserve">, la pérdida de biodiversidad y el cambio climático”, </w:t>
      </w:r>
      <w:r w:rsidR="00DE0113" w:rsidRPr="00022A36">
        <w:rPr>
          <w:rFonts w:eastAsia="Times New Roman" w:cstheme="minorHAnsi"/>
          <w:noProof/>
          <w:lang w:val="es-ES" w:eastAsia="en-GB"/>
        </w:rPr>
        <w:t>así como a</w:t>
      </w:r>
      <w:r w:rsidR="00BC46F7" w:rsidRPr="00022A36">
        <w:rPr>
          <w:rFonts w:eastAsia="Times New Roman" w:cstheme="minorHAnsi"/>
          <w:noProof/>
          <w:lang w:val="es-ES" w:eastAsia="en-GB"/>
        </w:rPr>
        <w:t xml:space="preserve"> la posibilidad de colaboración a través del GECT. </w:t>
      </w:r>
      <w:r w:rsidR="00DE0113" w:rsidRPr="00022A36">
        <w:rPr>
          <w:rFonts w:eastAsia="Times New Roman" w:cstheme="minorHAnsi"/>
          <w:noProof/>
          <w:lang w:val="es-ES" w:eastAsia="en-GB"/>
        </w:rPr>
        <w:t>Asimismo,</w:t>
      </w:r>
      <w:r w:rsidR="00BC46F7" w:rsidRPr="00022A36">
        <w:rPr>
          <w:rFonts w:eastAsia="Times New Roman" w:cstheme="minorHAnsi"/>
          <w:noProof/>
          <w:lang w:val="es-ES" w:eastAsia="en-GB"/>
        </w:rPr>
        <w:t xml:space="preserve"> ha habido un amplio intercambio sobre</w:t>
      </w:r>
      <w:r w:rsidR="00DE0113" w:rsidRPr="00022A36">
        <w:rPr>
          <w:rFonts w:eastAsia="Times New Roman" w:cstheme="minorHAnsi"/>
          <w:noProof/>
          <w:lang w:val="es-ES" w:eastAsia="en-GB"/>
        </w:rPr>
        <w:t xml:space="preserve"> las actividades de</w:t>
      </w:r>
      <w:r w:rsidR="00BC46F7" w:rsidRPr="00022A36">
        <w:rPr>
          <w:rFonts w:eastAsia="Times New Roman" w:cstheme="minorHAnsi"/>
          <w:noProof/>
          <w:lang w:val="es-ES" w:eastAsia="en-GB"/>
        </w:rPr>
        <w:t xml:space="preserve"> divulgación, incluso en relación con el Día Mundial de los Humedales 2023. </w:t>
      </w:r>
      <w:r w:rsidR="00DE0113" w:rsidRPr="00022A36">
        <w:rPr>
          <w:rFonts w:eastAsia="Times New Roman" w:cstheme="minorHAnsi"/>
          <w:noProof/>
          <w:lang w:val="es-ES" w:eastAsia="en-GB"/>
        </w:rPr>
        <w:t>La</w:t>
      </w:r>
      <w:r w:rsidR="00BC46F7" w:rsidRPr="00022A36">
        <w:rPr>
          <w:rFonts w:eastAsia="Times New Roman" w:cstheme="minorHAnsi"/>
          <w:noProof/>
          <w:lang w:val="es-ES" w:eastAsia="en-GB"/>
        </w:rPr>
        <w:t xml:space="preserve"> Secretari</w:t>
      </w:r>
      <w:r w:rsidR="00DE0113" w:rsidRPr="00022A36">
        <w:rPr>
          <w:rFonts w:eastAsia="Times New Roman" w:cstheme="minorHAnsi"/>
          <w:noProof/>
          <w:lang w:val="es-ES" w:eastAsia="en-GB"/>
        </w:rPr>
        <w:t>a</w:t>
      </w:r>
      <w:r w:rsidR="00BC46F7" w:rsidRPr="00022A36">
        <w:rPr>
          <w:rFonts w:eastAsia="Times New Roman" w:cstheme="minorHAnsi"/>
          <w:noProof/>
          <w:lang w:val="es-ES" w:eastAsia="en-GB"/>
        </w:rPr>
        <w:t xml:space="preserve"> General se reunió con el Secretario Ejecutivo de la CNULD en mayo de 2023.</w:t>
      </w:r>
    </w:p>
    <w:p w14:paraId="20D2AEB4" w14:textId="77777777" w:rsidR="006C431C" w:rsidRPr="00022A36" w:rsidRDefault="006C431C" w:rsidP="00DE0113">
      <w:pPr>
        <w:spacing w:after="0" w:line="240" w:lineRule="auto"/>
        <w:rPr>
          <w:rFonts w:eastAsia="Times New Roman" w:cstheme="minorHAnsi"/>
          <w:noProof/>
          <w:lang w:val="es-ES" w:eastAsia="en-GB"/>
        </w:rPr>
      </w:pPr>
    </w:p>
    <w:p w14:paraId="7F6D252B" w14:textId="09C28C9E" w:rsidR="00DE0113" w:rsidRPr="00022A36" w:rsidRDefault="006C431C" w:rsidP="000A264B">
      <w:pPr>
        <w:spacing w:after="0" w:line="240" w:lineRule="auto"/>
        <w:ind w:left="426" w:hanging="426"/>
        <w:rPr>
          <w:rFonts w:cstheme="minorHAnsi"/>
          <w:noProof/>
          <w:color w:val="212121"/>
          <w:lang w:val="es-ES"/>
        </w:rPr>
      </w:pPr>
      <w:r w:rsidRPr="00022A36">
        <w:rPr>
          <w:rFonts w:cstheme="minorHAnsi"/>
          <w:noProof/>
          <w:color w:val="212121"/>
          <w:lang w:val="es-ES"/>
        </w:rPr>
        <w:t>2</w:t>
      </w:r>
      <w:r w:rsidR="00BB6EA8" w:rsidRPr="00022A36">
        <w:rPr>
          <w:rFonts w:cstheme="minorHAnsi"/>
          <w:noProof/>
          <w:color w:val="212121"/>
          <w:lang w:val="es-ES"/>
        </w:rPr>
        <w:t>5</w:t>
      </w:r>
      <w:r w:rsidRPr="00022A36">
        <w:rPr>
          <w:rFonts w:cstheme="minorHAnsi"/>
          <w:noProof/>
          <w:color w:val="212121"/>
          <w:lang w:val="es-ES"/>
        </w:rPr>
        <w:t>.</w:t>
      </w:r>
      <w:r w:rsidRPr="00022A36">
        <w:rPr>
          <w:rFonts w:cstheme="minorHAnsi"/>
          <w:noProof/>
          <w:color w:val="212121"/>
          <w:lang w:val="es-ES"/>
        </w:rPr>
        <w:tab/>
      </w:r>
      <w:r w:rsidR="00DE0113" w:rsidRPr="00022A36">
        <w:rPr>
          <w:rFonts w:cstheme="minorHAnsi"/>
          <w:noProof/>
          <w:color w:val="212121"/>
          <w:lang w:val="es-ES"/>
        </w:rPr>
        <w:t>La CNULD ejerce la Secretaría de la Iniciativa Global del G20 para reducir la degradación de la tierra y mejorar la conservación de los hábitats terrestres</w:t>
      </w:r>
      <w:r w:rsidR="00DE0113" w:rsidRPr="00022A36">
        <w:rPr>
          <w:rStyle w:val="FootnoteReference"/>
          <w:rFonts w:cstheme="minorHAnsi"/>
          <w:noProof/>
          <w:lang w:val="es-ES"/>
        </w:rPr>
        <w:footnoteReference w:id="3"/>
      </w:r>
      <w:r w:rsidR="00DE0113" w:rsidRPr="00022A36">
        <w:rPr>
          <w:rFonts w:cstheme="minorHAnsi"/>
          <w:noProof/>
          <w:color w:val="212121"/>
          <w:lang w:val="es-ES"/>
        </w:rPr>
        <w:t xml:space="preserve">, </w:t>
      </w:r>
      <w:r w:rsidR="00195FE2" w:rsidRPr="00022A36">
        <w:rPr>
          <w:rFonts w:cstheme="minorHAnsi"/>
          <w:noProof/>
          <w:color w:val="212121"/>
          <w:lang w:val="es-ES"/>
        </w:rPr>
        <w:t>cuyo</w:t>
      </w:r>
      <w:r w:rsidR="00DE0113" w:rsidRPr="00022A36">
        <w:rPr>
          <w:rFonts w:cstheme="minorHAnsi"/>
          <w:noProof/>
          <w:color w:val="212121"/>
          <w:lang w:val="es-ES"/>
        </w:rPr>
        <w:t xml:space="preserve"> objetivo </w:t>
      </w:r>
      <w:r w:rsidR="00195FE2" w:rsidRPr="00022A36">
        <w:rPr>
          <w:rFonts w:cstheme="minorHAnsi"/>
          <w:noProof/>
          <w:color w:val="212121"/>
          <w:lang w:val="es-ES"/>
        </w:rPr>
        <w:t xml:space="preserve">es </w:t>
      </w:r>
      <w:r w:rsidR="00DE0113" w:rsidRPr="00022A36">
        <w:rPr>
          <w:rFonts w:cstheme="minorHAnsi"/>
          <w:noProof/>
          <w:color w:val="212121"/>
          <w:lang w:val="es-ES"/>
        </w:rPr>
        <w:t>reducir las tierras degradadas en un 50</w:t>
      </w:r>
      <w:r w:rsidR="00195FE2" w:rsidRPr="00022A36">
        <w:rPr>
          <w:rFonts w:cstheme="minorHAnsi"/>
          <w:noProof/>
          <w:color w:val="212121"/>
          <w:lang w:val="es-ES"/>
        </w:rPr>
        <w:t xml:space="preserve"> </w:t>
      </w:r>
      <w:r w:rsidR="00DE0113" w:rsidRPr="00022A36">
        <w:rPr>
          <w:rFonts w:cstheme="minorHAnsi"/>
          <w:noProof/>
          <w:color w:val="212121"/>
          <w:lang w:val="es-ES"/>
        </w:rPr>
        <w:t xml:space="preserve">% </w:t>
      </w:r>
      <w:r w:rsidR="008A77AD" w:rsidRPr="00022A36">
        <w:rPr>
          <w:rFonts w:cstheme="minorHAnsi"/>
          <w:noProof/>
          <w:color w:val="212121"/>
          <w:lang w:val="es-ES"/>
        </w:rPr>
        <w:t>hasta el año</w:t>
      </w:r>
      <w:r w:rsidR="00DE0113" w:rsidRPr="00022A36">
        <w:rPr>
          <w:rFonts w:cstheme="minorHAnsi"/>
          <w:noProof/>
          <w:color w:val="212121"/>
          <w:lang w:val="es-ES"/>
        </w:rPr>
        <w:t xml:space="preserve"> 2040, </w:t>
      </w:r>
      <w:r w:rsidR="007122E1" w:rsidRPr="00022A36">
        <w:rPr>
          <w:rFonts w:cstheme="minorHAnsi"/>
          <w:noProof/>
          <w:color w:val="212121"/>
          <w:lang w:val="es-ES"/>
        </w:rPr>
        <w:t>a partir de</w:t>
      </w:r>
      <w:r w:rsidR="00DE0113" w:rsidRPr="00022A36">
        <w:rPr>
          <w:rFonts w:cstheme="minorHAnsi"/>
          <w:noProof/>
          <w:color w:val="212121"/>
          <w:lang w:val="es-ES"/>
        </w:rPr>
        <w:t xml:space="preserve"> iniciativas existentes y </w:t>
      </w:r>
      <w:r w:rsidR="007122E1" w:rsidRPr="00022A36">
        <w:rPr>
          <w:rFonts w:cstheme="minorHAnsi"/>
          <w:noProof/>
          <w:color w:val="212121"/>
          <w:lang w:val="es-ES"/>
        </w:rPr>
        <w:t>de</w:t>
      </w:r>
      <w:r w:rsidR="00DE0113" w:rsidRPr="00022A36">
        <w:rPr>
          <w:rFonts w:cstheme="minorHAnsi"/>
          <w:noProof/>
          <w:color w:val="212121"/>
          <w:lang w:val="es-ES"/>
        </w:rPr>
        <w:t xml:space="preserve"> forma voluntaria. La Secretaría se reunió con el Director de la Iniciativa en julio de 2022 para </w:t>
      </w:r>
      <w:r w:rsidR="00195FE2" w:rsidRPr="00022A36">
        <w:rPr>
          <w:rFonts w:cstheme="minorHAnsi"/>
          <w:noProof/>
          <w:color w:val="212121"/>
          <w:lang w:val="es-ES"/>
        </w:rPr>
        <w:t>deliberar sobre</w:t>
      </w:r>
      <w:r w:rsidR="00DE0113" w:rsidRPr="00022A36">
        <w:rPr>
          <w:rFonts w:cstheme="minorHAnsi"/>
          <w:noProof/>
          <w:color w:val="212121"/>
          <w:lang w:val="es-ES"/>
        </w:rPr>
        <w:t xml:space="preserve"> la </w:t>
      </w:r>
      <w:r w:rsidR="00195FE2" w:rsidRPr="00022A36">
        <w:rPr>
          <w:rFonts w:cstheme="minorHAnsi"/>
          <w:noProof/>
          <w:color w:val="212121"/>
          <w:lang w:val="es-ES"/>
        </w:rPr>
        <w:t>importancia</w:t>
      </w:r>
      <w:r w:rsidR="00DE0113" w:rsidRPr="00022A36">
        <w:rPr>
          <w:rFonts w:cstheme="minorHAnsi"/>
          <w:noProof/>
          <w:color w:val="212121"/>
          <w:lang w:val="es-ES"/>
        </w:rPr>
        <w:t xml:space="preserve"> </w:t>
      </w:r>
      <w:r w:rsidR="008A77AD" w:rsidRPr="00022A36">
        <w:rPr>
          <w:rFonts w:cstheme="minorHAnsi"/>
          <w:noProof/>
          <w:color w:val="212121"/>
          <w:lang w:val="es-ES"/>
        </w:rPr>
        <w:t xml:space="preserve">de que </w:t>
      </w:r>
      <w:r w:rsidR="00DE0113" w:rsidRPr="00022A36">
        <w:rPr>
          <w:rFonts w:cstheme="minorHAnsi"/>
          <w:noProof/>
          <w:color w:val="212121"/>
          <w:lang w:val="es-ES"/>
        </w:rPr>
        <w:t xml:space="preserve">los humedales </w:t>
      </w:r>
      <w:r w:rsidR="008A77AD" w:rsidRPr="00022A36">
        <w:rPr>
          <w:rFonts w:cstheme="minorHAnsi"/>
          <w:noProof/>
          <w:color w:val="212121"/>
          <w:lang w:val="es-ES"/>
        </w:rPr>
        <w:t xml:space="preserve">se tengan en cuenta </w:t>
      </w:r>
      <w:r w:rsidR="00DE0113" w:rsidRPr="00022A36">
        <w:rPr>
          <w:rFonts w:cstheme="minorHAnsi"/>
          <w:noProof/>
          <w:color w:val="212121"/>
          <w:lang w:val="es-ES"/>
        </w:rPr>
        <w:t>en el contexto de la Iniciativa, así como</w:t>
      </w:r>
      <w:r w:rsidR="00195FE2" w:rsidRPr="00022A36">
        <w:rPr>
          <w:rFonts w:cstheme="minorHAnsi"/>
          <w:noProof/>
          <w:color w:val="212121"/>
          <w:lang w:val="es-ES"/>
        </w:rPr>
        <w:t xml:space="preserve"> sobre</w:t>
      </w:r>
      <w:r w:rsidR="00DE0113" w:rsidRPr="00022A36">
        <w:rPr>
          <w:rFonts w:cstheme="minorHAnsi"/>
          <w:noProof/>
          <w:color w:val="212121"/>
          <w:lang w:val="es-ES"/>
        </w:rPr>
        <w:t xml:space="preserve"> la reunión de 2022 del </w:t>
      </w:r>
      <w:r w:rsidR="00195FE2" w:rsidRPr="00022A36">
        <w:rPr>
          <w:rFonts w:cstheme="minorHAnsi"/>
          <w:noProof/>
          <w:color w:val="212121"/>
          <w:lang w:val="es-ES"/>
        </w:rPr>
        <w:t>g</w:t>
      </w:r>
      <w:r w:rsidR="00DE0113" w:rsidRPr="00022A36">
        <w:rPr>
          <w:rFonts w:cstheme="minorHAnsi"/>
          <w:noProof/>
          <w:color w:val="212121"/>
          <w:lang w:val="es-ES"/>
        </w:rPr>
        <w:t xml:space="preserve">rupo de </w:t>
      </w:r>
      <w:r w:rsidR="00195FE2" w:rsidRPr="00022A36">
        <w:rPr>
          <w:rFonts w:cstheme="minorHAnsi"/>
          <w:noProof/>
          <w:color w:val="212121"/>
          <w:lang w:val="es-ES"/>
        </w:rPr>
        <w:t>t</w:t>
      </w:r>
      <w:r w:rsidR="00DE0113" w:rsidRPr="00022A36">
        <w:rPr>
          <w:rFonts w:cstheme="minorHAnsi"/>
          <w:noProof/>
          <w:color w:val="212121"/>
          <w:lang w:val="es-ES"/>
        </w:rPr>
        <w:t xml:space="preserve">rabajo sobre </w:t>
      </w:r>
      <w:r w:rsidR="00195FE2" w:rsidRPr="00022A36">
        <w:rPr>
          <w:rFonts w:cstheme="minorHAnsi"/>
          <w:noProof/>
          <w:color w:val="212121"/>
          <w:lang w:val="es-ES"/>
        </w:rPr>
        <w:t>m</w:t>
      </w:r>
      <w:r w:rsidR="00DE0113" w:rsidRPr="00022A36">
        <w:rPr>
          <w:rFonts w:cstheme="minorHAnsi"/>
          <w:noProof/>
          <w:color w:val="212121"/>
          <w:lang w:val="es-ES"/>
        </w:rPr>
        <w:t xml:space="preserve">edio </w:t>
      </w:r>
      <w:r w:rsidR="00195FE2" w:rsidRPr="00022A36">
        <w:rPr>
          <w:rFonts w:cstheme="minorHAnsi"/>
          <w:noProof/>
          <w:color w:val="212121"/>
          <w:lang w:val="es-ES"/>
        </w:rPr>
        <w:t>a</w:t>
      </w:r>
      <w:r w:rsidR="00DE0113" w:rsidRPr="00022A36">
        <w:rPr>
          <w:rFonts w:cstheme="minorHAnsi"/>
          <w:noProof/>
          <w:color w:val="212121"/>
          <w:lang w:val="es-ES"/>
        </w:rPr>
        <w:t xml:space="preserve">mbiente del G20. La Secretaría participó como ponente en un </w:t>
      </w:r>
      <w:r w:rsidR="00195FE2" w:rsidRPr="00022A36">
        <w:rPr>
          <w:rFonts w:cstheme="minorHAnsi"/>
          <w:noProof/>
          <w:color w:val="212121"/>
          <w:lang w:val="es-ES"/>
        </w:rPr>
        <w:t>evento</w:t>
      </w:r>
      <w:r w:rsidR="00DE0113" w:rsidRPr="00022A36">
        <w:rPr>
          <w:rFonts w:cstheme="minorHAnsi"/>
          <w:noProof/>
          <w:color w:val="212121"/>
          <w:lang w:val="es-ES"/>
        </w:rPr>
        <w:t xml:space="preserve"> de la </w:t>
      </w:r>
      <w:r w:rsidR="00195FE2" w:rsidRPr="00022A36">
        <w:rPr>
          <w:rFonts w:cstheme="minorHAnsi"/>
          <w:noProof/>
          <w:color w:val="212121"/>
          <w:lang w:val="es-ES"/>
        </w:rPr>
        <w:t>r</w:t>
      </w:r>
      <w:r w:rsidR="00DE0113" w:rsidRPr="00022A36">
        <w:rPr>
          <w:rFonts w:cstheme="minorHAnsi"/>
          <w:noProof/>
          <w:color w:val="212121"/>
          <w:lang w:val="es-ES"/>
        </w:rPr>
        <w:t xml:space="preserve">eunión de </w:t>
      </w:r>
      <w:r w:rsidR="00195FE2" w:rsidRPr="00022A36">
        <w:rPr>
          <w:rFonts w:cstheme="minorHAnsi"/>
          <w:noProof/>
          <w:color w:val="212121"/>
          <w:lang w:val="es-ES"/>
        </w:rPr>
        <w:t>delegados</w:t>
      </w:r>
      <w:r w:rsidR="00DE0113" w:rsidRPr="00022A36">
        <w:rPr>
          <w:rFonts w:cstheme="minorHAnsi"/>
          <w:noProof/>
          <w:color w:val="212121"/>
          <w:lang w:val="es-ES"/>
        </w:rPr>
        <w:t xml:space="preserve"> de </w:t>
      </w:r>
      <w:r w:rsidR="00195FE2" w:rsidRPr="00022A36">
        <w:rPr>
          <w:rFonts w:cstheme="minorHAnsi"/>
          <w:noProof/>
          <w:color w:val="212121"/>
          <w:lang w:val="es-ES"/>
        </w:rPr>
        <w:t>m</w:t>
      </w:r>
      <w:r w:rsidR="00DE0113" w:rsidRPr="00022A36">
        <w:rPr>
          <w:rFonts w:cstheme="minorHAnsi"/>
          <w:noProof/>
          <w:color w:val="212121"/>
          <w:lang w:val="es-ES"/>
        </w:rPr>
        <w:t xml:space="preserve">edio </w:t>
      </w:r>
      <w:r w:rsidR="00195FE2" w:rsidRPr="00022A36">
        <w:rPr>
          <w:rFonts w:cstheme="minorHAnsi"/>
          <w:noProof/>
          <w:color w:val="212121"/>
          <w:lang w:val="es-ES"/>
        </w:rPr>
        <w:t>a</w:t>
      </w:r>
      <w:r w:rsidR="00DE0113" w:rsidRPr="00022A36">
        <w:rPr>
          <w:rFonts w:cstheme="minorHAnsi"/>
          <w:noProof/>
          <w:color w:val="212121"/>
          <w:lang w:val="es-ES"/>
        </w:rPr>
        <w:t xml:space="preserve">mbiente </w:t>
      </w:r>
      <w:r w:rsidR="00DE0113" w:rsidRPr="00022A36">
        <w:rPr>
          <w:rFonts w:cstheme="minorHAnsi"/>
          <w:noProof/>
          <w:color w:val="212121"/>
          <w:lang w:val="es-ES"/>
        </w:rPr>
        <w:lastRenderedPageBreak/>
        <w:t xml:space="preserve">del G20 sobre la </w:t>
      </w:r>
      <w:r w:rsidR="00195FE2" w:rsidRPr="00022A36">
        <w:rPr>
          <w:rFonts w:cstheme="minorHAnsi"/>
          <w:noProof/>
          <w:color w:val="212121"/>
          <w:lang w:val="es-ES"/>
        </w:rPr>
        <w:t>r</w:t>
      </w:r>
      <w:r w:rsidR="00DE0113" w:rsidRPr="00022A36">
        <w:rPr>
          <w:rFonts w:cstheme="minorHAnsi"/>
          <w:noProof/>
          <w:color w:val="212121"/>
          <w:lang w:val="es-ES"/>
        </w:rPr>
        <w:t xml:space="preserve">educción de la </w:t>
      </w:r>
      <w:r w:rsidR="00195FE2" w:rsidRPr="00022A36">
        <w:rPr>
          <w:rFonts w:cstheme="minorHAnsi"/>
          <w:noProof/>
          <w:color w:val="212121"/>
          <w:lang w:val="es-ES"/>
        </w:rPr>
        <w:t>d</w:t>
      </w:r>
      <w:r w:rsidR="00DE0113" w:rsidRPr="00022A36">
        <w:rPr>
          <w:rFonts w:cstheme="minorHAnsi"/>
          <w:noProof/>
          <w:color w:val="212121"/>
          <w:lang w:val="es-ES"/>
        </w:rPr>
        <w:t xml:space="preserve">egradación </w:t>
      </w:r>
      <w:r w:rsidR="008A77AD" w:rsidRPr="00022A36">
        <w:rPr>
          <w:rFonts w:cstheme="minorHAnsi"/>
          <w:noProof/>
          <w:color w:val="212121"/>
          <w:lang w:val="es-ES"/>
        </w:rPr>
        <w:t>de las tierras</w:t>
      </w:r>
      <w:r w:rsidR="00DE0113" w:rsidRPr="00022A36">
        <w:rPr>
          <w:rFonts w:cstheme="minorHAnsi"/>
          <w:noProof/>
          <w:color w:val="212121"/>
          <w:lang w:val="es-ES"/>
        </w:rPr>
        <w:t xml:space="preserve"> y la </w:t>
      </w:r>
      <w:r w:rsidR="00195FE2" w:rsidRPr="00022A36">
        <w:rPr>
          <w:rFonts w:cstheme="minorHAnsi"/>
          <w:noProof/>
          <w:color w:val="212121"/>
          <w:lang w:val="es-ES"/>
        </w:rPr>
        <w:t>r</w:t>
      </w:r>
      <w:r w:rsidR="00DE0113" w:rsidRPr="00022A36">
        <w:rPr>
          <w:rFonts w:cstheme="minorHAnsi"/>
          <w:noProof/>
          <w:color w:val="212121"/>
          <w:lang w:val="es-ES"/>
        </w:rPr>
        <w:t xml:space="preserve">estauración del </w:t>
      </w:r>
      <w:r w:rsidR="00195FE2" w:rsidRPr="00022A36">
        <w:rPr>
          <w:rFonts w:cstheme="minorHAnsi"/>
          <w:noProof/>
          <w:color w:val="212121"/>
          <w:lang w:val="es-ES"/>
        </w:rPr>
        <w:t>e</w:t>
      </w:r>
      <w:r w:rsidR="00DE0113" w:rsidRPr="00022A36">
        <w:rPr>
          <w:rFonts w:cstheme="minorHAnsi"/>
          <w:noProof/>
          <w:color w:val="212121"/>
          <w:lang w:val="es-ES"/>
        </w:rPr>
        <w:t xml:space="preserve">cosistema de </w:t>
      </w:r>
      <w:r w:rsidR="00195FE2" w:rsidRPr="00022A36">
        <w:rPr>
          <w:rFonts w:cstheme="minorHAnsi"/>
          <w:noProof/>
          <w:color w:val="212121"/>
          <w:lang w:val="es-ES"/>
        </w:rPr>
        <w:t>m</w:t>
      </w:r>
      <w:r w:rsidR="00DE0113" w:rsidRPr="00022A36">
        <w:rPr>
          <w:rFonts w:cstheme="minorHAnsi"/>
          <w:noProof/>
          <w:color w:val="212121"/>
          <w:lang w:val="es-ES"/>
        </w:rPr>
        <w:t xml:space="preserve">anglar, organizada </w:t>
      </w:r>
      <w:r w:rsidR="00195FE2" w:rsidRPr="00022A36">
        <w:rPr>
          <w:rFonts w:cstheme="minorHAnsi"/>
          <w:noProof/>
          <w:color w:val="212121"/>
          <w:lang w:val="es-ES"/>
        </w:rPr>
        <w:t>en el marco de</w:t>
      </w:r>
      <w:r w:rsidR="00DE0113" w:rsidRPr="00022A36">
        <w:rPr>
          <w:rFonts w:cstheme="minorHAnsi"/>
          <w:noProof/>
          <w:color w:val="212121"/>
          <w:lang w:val="es-ES"/>
        </w:rPr>
        <w:t xml:space="preserve"> la Presidencia </w:t>
      </w:r>
      <w:r w:rsidR="00195FE2" w:rsidRPr="00022A36">
        <w:rPr>
          <w:rFonts w:cstheme="minorHAnsi"/>
          <w:noProof/>
          <w:color w:val="212121"/>
          <w:lang w:val="es-ES"/>
        </w:rPr>
        <w:t>de I</w:t>
      </w:r>
      <w:r w:rsidR="00DE0113" w:rsidRPr="00022A36">
        <w:rPr>
          <w:rFonts w:cstheme="minorHAnsi"/>
          <w:noProof/>
          <w:color w:val="212121"/>
          <w:lang w:val="es-ES"/>
        </w:rPr>
        <w:t>ndonesia del G20 en agosto de 2022.</w:t>
      </w:r>
    </w:p>
    <w:p w14:paraId="3AA660C9" w14:textId="77777777" w:rsidR="004B0254" w:rsidRPr="00022A36" w:rsidRDefault="004B0254" w:rsidP="00195FE2">
      <w:pPr>
        <w:spacing w:after="0" w:line="240" w:lineRule="auto"/>
        <w:rPr>
          <w:rFonts w:eastAsia="Times New Roman" w:cstheme="minorHAnsi"/>
          <w:noProof/>
          <w:lang w:val="es-ES" w:eastAsia="en-GB"/>
        </w:rPr>
      </w:pPr>
    </w:p>
    <w:p w14:paraId="0FC94380" w14:textId="51ED92B9" w:rsidR="0049344D" w:rsidRPr="00022A36" w:rsidRDefault="0049344D" w:rsidP="000A264B">
      <w:pPr>
        <w:keepNext/>
        <w:spacing w:after="0" w:line="240" w:lineRule="auto"/>
        <w:ind w:left="425" w:hanging="425"/>
        <w:rPr>
          <w:rFonts w:eastAsia="Times New Roman" w:cstheme="minorHAnsi"/>
          <w:i/>
          <w:noProof/>
          <w:lang w:val="es-ES" w:eastAsia="en-GB"/>
        </w:rPr>
      </w:pPr>
      <w:r w:rsidRPr="00022A36">
        <w:rPr>
          <w:rFonts w:eastAsia="Times New Roman" w:cstheme="minorHAnsi"/>
          <w:i/>
          <w:noProof/>
          <w:lang w:val="es-ES" w:eastAsia="en-GB"/>
        </w:rPr>
        <w:t xml:space="preserve">Convenio sobre la protección y utilización de los cursos de agua transfronterizos y de los lagos internacionales </w:t>
      </w:r>
    </w:p>
    <w:p w14:paraId="77DE02E7" w14:textId="77777777" w:rsidR="009C2848" w:rsidRPr="00022A36" w:rsidRDefault="009C2848" w:rsidP="000A264B">
      <w:pPr>
        <w:keepNext/>
        <w:spacing w:after="0" w:line="240" w:lineRule="auto"/>
        <w:ind w:left="425" w:hanging="425"/>
        <w:rPr>
          <w:rFonts w:eastAsia="Times New Roman" w:cstheme="minorHAnsi"/>
          <w:noProof/>
          <w:spacing w:val="-4"/>
          <w:lang w:val="es-ES" w:eastAsia="en-GB"/>
        </w:rPr>
      </w:pPr>
    </w:p>
    <w:p w14:paraId="75034EEA" w14:textId="38ADE844" w:rsidR="008F21C0" w:rsidRPr="00022A36" w:rsidRDefault="00403AEE" w:rsidP="009B6EFF">
      <w:pPr>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2</w:t>
      </w:r>
      <w:r w:rsidR="00BB6EA8" w:rsidRPr="00022A36">
        <w:rPr>
          <w:rFonts w:eastAsia="Times New Roman" w:cstheme="minorHAnsi"/>
          <w:noProof/>
          <w:lang w:val="es-ES" w:eastAsia="en-GB"/>
        </w:rPr>
        <w:t>6</w:t>
      </w:r>
      <w:r w:rsidR="0006611C" w:rsidRPr="00022A36">
        <w:rPr>
          <w:rFonts w:eastAsia="Times New Roman" w:cstheme="minorHAnsi"/>
          <w:noProof/>
          <w:lang w:val="es-ES" w:eastAsia="en-GB"/>
        </w:rPr>
        <w:t>.</w:t>
      </w:r>
      <w:r w:rsidR="009C2848" w:rsidRPr="00022A36">
        <w:rPr>
          <w:rFonts w:eastAsia="Times New Roman" w:cstheme="minorHAnsi"/>
          <w:noProof/>
          <w:lang w:val="es-ES" w:eastAsia="en-GB"/>
        </w:rPr>
        <w:tab/>
      </w:r>
      <w:r w:rsidR="0049344D" w:rsidRPr="00022A36">
        <w:rPr>
          <w:rFonts w:eastAsia="Times New Roman" w:cstheme="minorHAnsi"/>
          <w:noProof/>
          <w:lang w:val="es-ES" w:eastAsia="en-GB"/>
        </w:rPr>
        <w:t>La Secretaría participó en la Séptima reunión del grupo de tareas sobre el nexo agua-alimentos-energía-ecosistemas del Convenio de las Naciones Unidas sobre el Agua, así como en el taller mundial sobre gestión desde la fuente al mar, organizado en el marco del Convenio, en diciembre de 2022.</w:t>
      </w:r>
    </w:p>
    <w:p w14:paraId="66817125" w14:textId="3E8F2E92" w:rsidR="008F21C0" w:rsidRPr="00022A36" w:rsidRDefault="008F21C0" w:rsidP="002E77BF">
      <w:pPr>
        <w:spacing w:after="0" w:line="240" w:lineRule="auto"/>
        <w:ind w:left="425" w:hanging="425"/>
        <w:rPr>
          <w:noProof/>
          <w:lang w:val="es-ES"/>
        </w:rPr>
      </w:pPr>
    </w:p>
    <w:p w14:paraId="590F0457" w14:textId="079936F5" w:rsidR="009B6EFF" w:rsidRPr="00022A36" w:rsidRDefault="00403AEE" w:rsidP="002E77BF">
      <w:pPr>
        <w:spacing w:after="0" w:line="240" w:lineRule="auto"/>
        <w:ind w:left="425" w:hanging="425"/>
        <w:rPr>
          <w:noProof/>
          <w:lang w:val="es-ES"/>
        </w:rPr>
      </w:pPr>
      <w:r w:rsidRPr="00022A36">
        <w:rPr>
          <w:noProof/>
          <w:lang w:val="es-ES"/>
        </w:rPr>
        <w:t>2</w:t>
      </w:r>
      <w:r w:rsidR="00BB6EA8" w:rsidRPr="00022A36">
        <w:rPr>
          <w:noProof/>
          <w:lang w:val="es-ES"/>
        </w:rPr>
        <w:t>7</w:t>
      </w:r>
      <w:r w:rsidR="00DD0941" w:rsidRPr="00022A36">
        <w:rPr>
          <w:noProof/>
          <w:lang w:val="es-ES"/>
        </w:rPr>
        <w:t>.</w:t>
      </w:r>
      <w:r w:rsidR="00A56F0D" w:rsidRPr="00022A36">
        <w:rPr>
          <w:noProof/>
          <w:lang w:val="es-ES"/>
        </w:rPr>
        <w:tab/>
      </w:r>
      <w:r w:rsidR="009B6EFF" w:rsidRPr="00022A36">
        <w:rPr>
          <w:noProof/>
          <w:lang w:val="es-ES"/>
        </w:rPr>
        <w:t xml:space="preserve">La Secretaria General se reunió con el Secretario del Convenio del Agua en febrero de 2023 para deliberar sobre la colaboración </w:t>
      </w:r>
      <w:r w:rsidR="0025214E" w:rsidRPr="00022A36">
        <w:rPr>
          <w:noProof/>
          <w:lang w:val="es-ES"/>
        </w:rPr>
        <w:t>en</w:t>
      </w:r>
      <w:r w:rsidR="009B6EFF" w:rsidRPr="00022A36">
        <w:rPr>
          <w:noProof/>
          <w:lang w:val="es-ES"/>
        </w:rPr>
        <w:t xml:space="preserve"> </w:t>
      </w:r>
      <w:r w:rsidR="00D840F5" w:rsidRPr="00022A36">
        <w:rPr>
          <w:noProof/>
          <w:lang w:val="es-ES"/>
        </w:rPr>
        <w:t xml:space="preserve">relación con </w:t>
      </w:r>
      <w:r w:rsidR="009B6EFF" w:rsidRPr="00022A36">
        <w:rPr>
          <w:noProof/>
          <w:lang w:val="es-ES"/>
        </w:rPr>
        <w:t xml:space="preserve">las reuniones intergubernamentales de las Convenciones, los procesos mundiales como la Conferencia del Agua de las Naciones Unidas 2023, la cumbre de los ODS y la COP28 de la CMNUCC, así como áreas temáticas, entre </w:t>
      </w:r>
      <w:r w:rsidR="00D840F5" w:rsidRPr="00022A36">
        <w:rPr>
          <w:noProof/>
          <w:lang w:val="es-ES"/>
        </w:rPr>
        <w:t>ellas</w:t>
      </w:r>
      <w:r w:rsidR="009B6EFF" w:rsidRPr="00022A36">
        <w:rPr>
          <w:noProof/>
          <w:lang w:val="es-ES"/>
        </w:rPr>
        <w:t xml:space="preserve"> la adaptación al cambio climático y el nexo agua-energía-alimentos-ecosistemas.</w:t>
      </w:r>
    </w:p>
    <w:p w14:paraId="704D6B26" w14:textId="77777777" w:rsidR="008F21C0" w:rsidRPr="00022A36" w:rsidRDefault="008F21C0" w:rsidP="009B6EFF">
      <w:pPr>
        <w:spacing w:after="0" w:line="240" w:lineRule="auto"/>
        <w:rPr>
          <w:rFonts w:eastAsia="Times New Roman" w:cstheme="minorHAnsi"/>
          <w:noProof/>
          <w:lang w:val="es-ES" w:eastAsia="en-GB"/>
        </w:rPr>
      </w:pPr>
    </w:p>
    <w:p w14:paraId="51E5DF24" w14:textId="7FFC2B2D" w:rsidR="009B6EFF" w:rsidRPr="00022A36" w:rsidRDefault="00403AEE" w:rsidP="002E77BF">
      <w:pPr>
        <w:spacing w:after="0" w:line="240" w:lineRule="auto"/>
        <w:ind w:left="425" w:hanging="426"/>
        <w:rPr>
          <w:rFonts w:eastAsia="Times New Roman"/>
          <w:noProof/>
          <w:lang w:val="es-ES" w:eastAsia="en-GB"/>
        </w:rPr>
      </w:pPr>
      <w:r w:rsidRPr="00022A36">
        <w:rPr>
          <w:rFonts w:eastAsia="Times New Roman"/>
          <w:noProof/>
          <w:lang w:val="es-ES" w:eastAsia="en-GB"/>
        </w:rPr>
        <w:t>2</w:t>
      </w:r>
      <w:r w:rsidR="00BB6EA8" w:rsidRPr="00022A36">
        <w:rPr>
          <w:rFonts w:eastAsia="Times New Roman"/>
          <w:noProof/>
          <w:lang w:val="es-ES" w:eastAsia="en-GB"/>
        </w:rPr>
        <w:t>8</w:t>
      </w:r>
      <w:r w:rsidR="00DD0941" w:rsidRPr="00022A36">
        <w:rPr>
          <w:rFonts w:eastAsia="Times New Roman"/>
          <w:noProof/>
          <w:lang w:val="es-ES" w:eastAsia="en-GB"/>
        </w:rPr>
        <w:t>.</w:t>
      </w:r>
      <w:r w:rsidR="00A56F0D" w:rsidRPr="00022A36">
        <w:rPr>
          <w:rFonts w:eastAsia="Times New Roman"/>
          <w:noProof/>
          <w:lang w:val="es-ES" w:eastAsia="en-GB"/>
        </w:rPr>
        <w:tab/>
      </w:r>
      <w:r w:rsidR="009B6EFF" w:rsidRPr="00022A36">
        <w:rPr>
          <w:rFonts w:eastAsia="Times New Roman"/>
          <w:noProof/>
          <w:lang w:val="es-ES" w:eastAsia="en-GB"/>
        </w:rPr>
        <w:t>En marzo de 2023, funcionarios directivos de las dos Secretarías celebraron una reunión de seguimiento para analizar ámbitos concretos de posible colaboración, incluso a través de las iniciativas regionales de Ramsar. La Secretaría y un representante de la iniciativa regional de Ramsar Indo-Birmana tenían previsto participar en la 7ª reunión de la Red mundial de cuencas que trabaja</w:t>
      </w:r>
      <w:r w:rsidR="00D840F5" w:rsidRPr="00022A36">
        <w:rPr>
          <w:rFonts w:eastAsia="Times New Roman"/>
          <w:noProof/>
          <w:lang w:val="es-ES" w:eastAsia="en-GB"/>
        </w:rPr>
        <w:t>ba</w:t>
      </w:r>
      <w:r w:rsidR="009B6EFF" w:rsidRPr="00022A36">
        <w:rPr>
          <w:rFonts w:eastAsia="Times New Roman"/>
          <w:noProof/>
          <w:lang w:val="es-ES" w:eastAsia="en-GB"/>
        </w:rPr>
        <w:t xml:space="preserve"> </w:t>
      </w:r>
      <w:r w:rsidR="00D840F5" w:rsidRPr="00022A36">
        <w:rPr>
          <w:rFonts w:eastAsia="Times New Roman"/>
          <w:noProof/>
          <w:lang w:val="es-ES" w:eastAsia="en-GB"/>
        </w:rPr>
        <w:t>en</w:t>
      </w:r>
      <w:r w:rsidR="009B6EFF" w:rsidRPr="00022A36">
        <w:rPr>
          <w:rFonts w:eastAsia="Times New Roman"/>
          <w:noProof/>
          <w:lang w:val="es-ES" w:eastAsia="en-GB"/>
        </w:rPr>
        <w:t xml:space="preserve"> la adaptación al cambio climático </w:t>
      </w:r>
      <w:r w:rsidR="00436D56" w:rsidRPr="00022A36">
        <w:rPr>
          <w:rFonts w:eastAsia="Times New Roman"/>
          <w:noProof/>
          <w:lang w:val="es-ES" w:eastAsia="en-GB"/>
        </w:rPr>
        <w:t>con vistas a</w:t>
      </w:r>
      <w:r w:rsidR="009B6EFF" w:rsidRPr="00022A36">
        <w:rPr>
          <w:rFonts w:eastAsia="Times New Roman"/>
          <w:noProof/>
          <w:lang w:val="es-ES" w:eastAsia="en-GB"/>
        </w:rPr>
        <w:t xml:space="preserve"> la Segunda </w:t>
      </w:r>
      <w:r w:rsidR="00436D56" w:rsidRPr="00022A36">
        <w:rPr>
          <w:rFonts w:eastAsia="Times New Roman"/>
          <w:noProof/>
          <w:lang w:val="es-ES" w:eastAsia="en-GB"/>
        </w:rPr>
        <w:t>reunión</w:t>
      </w:r>
      <w:r w:rsidR="009B6EFF" w:rsidRPr="00022A36">
        <w:rPr>
          <w:rFonts w:eastAsia="Times New Roman"/>
          <w:noProof/>
          <w:lang w:val="es-ES" w:eastAsia="en-GB"/>
        </w:rPr>
        <w:t xml:space="preserve"> sobre cooperación transfronteriza, organizada por </w:t>
      </w:r>
      <w:r w:rsidR="00436D56" w:rsidRPr="00022A36">
        <w:rPr>
          <w:rFonts w:eastAsia="Times New Roman"/>
          <w:noProof/>
          <w:lang w:val="es-ES" w:eastAsia="en-GB"/>
        </w:rPr>
        <w:t>el Convenio</w:t>
      </w:r>
      <w:r w:rsidR="009B6EFF" w:rsidRPr="00022A36">
        <w:rPr>
          <w:rFonts w:eastAsia="Times New Roman"/>
          <w:noProof/>
          <w:lang w:val="es-ES" w:eastAsia="en-GB"/>
        </w:rPr>
        <w:t xml:space="preserve"> del Agua en mayo de 2023.</w:t>
      </w:r>
    </w:p>
    <w:p w14:paraId="0CDEAA01" w14:textId="77777777" w:rsidR="00605783" w:rsidRPr="00022A36" w:rsidRDefault="00605783" w:rsidP="00436D56">
      <w:pPr>
        <w:tabs>
          <w:tab w:val="left" w:pos="426"/>
        </w:tabs>
        <w:spacing w:after="0" w:line="240" w:lineRule="auto"/>
        <w:rPr>
          <w:rFonts w:eastAsia="Times New Roman" w:cstheme="minorHAnsi"/>
          <w:noProof/>
          <w:lang w:val="es-ES" w:eastAsia="en-GB"/>
        </w:rPr>
      </w:pPr>
    </w:p>
    <w:p w14:paraId="031C31B2" w14:textId="77777777" w:rsidR="00436D56" w:rsidRPr="00022A36" w:rsidRDefault="00436D56" w:rsidP="000A264B">
      <w:pPr>
        <w:keepNext/>
        <w:spacing w:after="0" w:line="240" w:lineRule="auto"/>
        <w:contextualSpacing/>
        <w:rPr>
          <w:i/>
          <w:iCs/>
          <w:noProof/>
          <w:lang w:val="es-ES"/>
        </w:rPr>
      </w:pPr>
      <w:r w:rsidRPr="00022A36">
        <w:rPr>
          <w:i/>
          <w:iCs/>
          <w:noProof/>
          <w:lang w:val="es-ES"/>
        </w:rPr>
        <w:t xml:space="preserve">Convención Interamericana para la Protección y Conservación de las Tortugas Marinas </w:t>
      </w:r>
    </w:p>
    <w:p w14:paraId="4BC97EF6" w14:textId="3E26C9F3" w:rsidR="00FB5F08" w:rsidRPr="00022A36" w:rsidRDefault="00FB5F08" w:rsidP="000A264B">
      <w:pPr>
        <w:keepNext/>
        <w:tabs>
          <w:tab w:val="left" w:pos="426"/>
        </w:tabs>
        <w:spacing w:after="0" w:line="240" w:lineRule="auto"/>
        <w:ind w:left="425" w:hanging="425"/>
        <w:rPr>
          <w:rFonts w:cstheme="minorHAnsi"/>
          <w:bCs/>
          <w:i/>
          <w:noProof/>
          <w:lang w:val="es-ES"/>
        </w:rPr>
      </w:pPr>
    </w:p>
    <w:p w14:paraId="1F7FA04F" w14:textId="3D354BB7" w:rsidR="00436D56" w:rsidRPr="00022A36" w:rsidRDefault="00BB6EA8" w:rsidP="002E77BF">
      <w:pPr>
        <w:spacing w:after="0" w:line="240" w:lineRule="auto"/>
        <w:ind w:left="426" w:hanging="426"/>
        <w:rPr>
          <w:rFonts w:cstheme="minorHAnsi"/>
          <w:noProof/>
          <w:lang w:val="es-ES"/>
        </w:rPr>
      </w:pPr>
      <w:r w:rsidRPr="00022A36">
        <w:rPr>
          <w:noProof/>
          <w:lang w:val="es-ES"/>
        </w:rPr>
        <w:t>29</w:t>
      </w:r>
      <w:r w:rsidR="00981D9A" w:rsidRPr="00022A36">
        <w:rPr>
          <w:noProof/>
          <w:lang w:val="es-ES"/>
        </w:rPr>
        <w:t>.</w:t>
      </w:r>
      <w:r w:rsidR="00981D9A" w:rsidRPr="00022A36">
        <w:rPr>
          <w:rFonts w:cstheme="minorHAnsi"/>
          <w:noProof/>
          <w:lang w:val="es-ES"/>
        </w:rPr>
        <w:tab/>
      </w:r>
      <w:r w:rsidR="00436D56" w:rsidRPr="00022A36">
        <w:rPr>
          <w:rFonts w:cstheme="minorHAnsi"/>
          <w:noProof/>
          <w:lang w:val="es-ES"/>
        </w:rPr>
        <w:t xml:space="preserve">En virtud del memorando de entendimiento suscrito en 2020, la Secretaría de la Convención sobre los Humedales y la Secretaría </w:t>
      </w:r>
      <w:r w:rsidR="00436D56" w:rsidRPr="00022A36">
        <w:rPr>
          <w:rFonts w:cstheme="minorHAnsi"/>
          <w:i/>
          <w:iCs/>
          <w:noProof/>
          <w:lang w:val="es-ES"/>
        </w:rPr>
        <w:t>pro tempore</w:t>
      </w:r>
      <w:r w:rsidR="00436D56" w:rsidRPr="00022A36">
        <w:rPr>
          <w:rFonts w:cstheme="minorHAnsi"/>
          <w:noProof/>
          <w:lang w:val="es-ES"/>
        </w:rPr>
        <w:t xml:space="preserve"> de la Convención Interamericana para la Protección y Conservación de las Tortugas Marinas (CIT) continúan intercambiando información sobre actividades y materiales pertinentes para permitir la inclusión de Humedales de Importancia Internacional </w:t>
      </w:r>
      <w:r w:rsidR="00D840F5" w:rsidRPr="00022A36">
        <w:rPr>
          <w:rFonts w:cstheme="minorHAnsi"/>
          <w:noProof/>
          <w:lang w:val="es-ES"/>
        </w:rPr>
        <w:t>que son primordiales</w:t>
      </w:r>
      <w:r w:rsidR="00436D56" w:rsidRPr="00022A36">
        <w:rPr>
          <w:rFonts w:cstheme="minorHAnsi"/>
          <w:noProof/>
          <w:lang w:val="es-ES"/>
        </w:rPr>
        <w:t xml:space="preserve"> para las tortugas marinas. Las dos Secretarías participaron en el evento paralelo “Aplicación de la Resolución XIII.24 de Ramsar sobre hábitats de las tortugas marinas en las Américas, y perspectivas de colaboración de la CIT y la Convención sobre los Humedales” organizado por el Ministerio de Transición Ecológica </w:t>
      </w:r>
      <w:r w:rsidR="008E02C0" w:rsidRPr="00022A36">
        <w:rPr>
          <w:rFonts w:cstheme="minorHAnsi"/>
          <w:noProof/>
          <w:lang w:val="es-ES"/>
        </w:rPr>
        <w:t xml:space="preserve">y Solidaria </w:t>
      </w:r>
      <w:r w:rsidR="00436D56" w:rsidRPr="00022A36">
        <w:rPr>
          <w:rFonts w:cstheme="minorHAnsi"/>
          <w:noProof/>
          <w:lang w:val="es-ES"/>
        </w:rPr>
        <w:t xml:space="preserve">de Francia y la </w:t>
      </w:r>
      <w:r w:rsidR="008E02C0" w:rsidRPr="00022A36">
        <w:rPr>
          <w:noProof/>
          <w:lang w:val="es-ES"/>
        </w:rPr>
        <w:t xml:space="preserve">Association </w:t>
      </w:r>
      <w:r w:rsidR="00436D56" w:rsidRPr="00022A36">
        <w:rPr>
          <w:rFonts w:cstheme="minorHAnsi"/>
          <w:noProof/>
          <w:lang w:val="es-ES"/>
        </w:rPr>
        <w:t xml:space="preserve">Chélonée. Presentaron los resultados de una encuesta conjunta sobre la aplicación de la Resolución XIII.24 que </w:t>
      </w:r>
      <w:r w:rsidR="008E02C0" w:rsidRPr="00022A36">
        <w:rPr>
          <w:rFonts w:cstheme="minorHAnsi"/>
          <w:noProof/>
          <w:lang w:val="es-ES"/>
        </w:rPr>
        <w:t>fundamentará</w:t>
      </w:r>
      <w:r w:rsidR="00436D56" w:rsidRPr="00022A36">
        <w:rPr>
          <w:rFonts w:cstheme="minorHAnsi"/>
          <w:noProof/>
          <w:lang w:val="es-ES"/>
        </w:rPr>
        <w:t xml:space="preserve"> una actualización del informe de 2013 sobre los humedales y la conservación de las tortugas marinas en las Américas.</w:t>
      </w:r>
    </w:p>
    <w:p w14:paraId="4FDE46C7" w14:textId="43C7FA9D" w:rsidR="008E4A4B" w:rsidRPr="00022A36" w:rsidRDefault="008E4A4B" w:rsidP="000A264B">
      <w:pPr>
        <w:spacing w:after="0" w:line="240" w:lineRule="auto"/>
        <w:rPr>
          <w:rFonts w:cstheme="minorHAnsi"/>
          <w:noProof/>
          <w:lang w:val="es-ES"/>
        </w:rPr>
      </w:pPr>
    </w:p>
    <w:p w14:paraId="57C2B85E" w14:textId="77777777" w:rsidR="008E02C0" w:rsidRPr="00022A36" w:rsidRDefault="008E02C0" w:rsidP="000A264B">
      <w:pPr>
        <w:keepNext/>
        <w:spacing w:after="0" w:line="240" w:lineRule="auto"/>
        <w:contextualSpacing/>
        <w:rPr>
          <w:rFonts w:eastAsia="Times New Roman" w:cstheme="minorHAnsi"/>
          <w:b/>
          <w:bCs/>
          <w:noProof/>
          <w:lang w:val="es-ES" w:eastAsia="en-GB"/>
        </w:rPr>
      </w:pPr>
      <w:r w:rsidRPr="00022A36">
        <w:rPr>
          <w:rFonts w:eastAsia="Times New Roman" w:cstheme="minorHAnsi"/>
          <w:b/>
          <w:bCs/>
          <w:noProof/>
          <w:lang w:val="es-ES" w:eastAsia="en-GB"/>
        </w:rPr>
        <w:t xml:space="preserve">Objetivos de Desarrollo Sostenible </w:t>
      </w:r>
    </w:p>
    <w:p w14:paraId="3930AE64" w14:textId="7431DAA5" w:rsidR="009C2848" w:rsidRPr="00022A36" w:rsidRDefault="009C2848" w:rsidP="000A264B">
      <w:pPr>
        <w:keepNext/>
        <w:spacing w:after="0" w:line="240" w:lineRule="auto"/>
        <w:ind w:left="357" w:hanging="357"/>
        <w:rPr>
          <w:rFonts w:eastAsia="Times New Roman" w:cstheme="minorHAnsi"/>
          <w:b/>
          <w:bCs/>
          <w:noProof/>
          <w:lang w:val="es-ES" w:eastAsia="en-GB"/>
        </w:rPr>
      </w:pPr>
    </w:p>
    <w:p w14:paraId="04B81F0E" w14:textId="0800FAD8" w:rsidR="008F0A55" w:rsidRPr="00022A36" w:rsidRDefault="00BB6EA8" w:rsidP="000A264B">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30</w:t>
      </w:r>
      <w:r w:rsidR="009C2848" w:rsidRPr="00022A36">
        <w:rPr>
          <w:rFonts w:eastAsia="Times New Roman" w:cstheme="minorHAnsi"/>
          <w:noProof/>
          <w:lang w:val="es-ES" w:eastAsia="en-GB"/>
        </w:rPr>
        <w:t>.</w:t>
      </w:r>
      <w:r w:rsidR="009C2848" w:rsidRPr="00022A36">
        <w:rPr>
          <w:rFonts w:eastAsia="Times New Roman" w:cstheme="minorHAnsi"/>
          <w:noProof/>
          <w:lang w:val="es-ES" w:eastAsia="en-GB"/>
        </w:rPr>
        <w:tab/>
      </w:r>
      <w:r w:rsidR="008F0A55" w:rsidRPr="00022A36">
        <w:rPr>
          <w:rFonts w:eastAsia="Times New Roman" w:cstheme="minorHAnsi"/>
          <w:noProof/>
          <w:lang w:val="es-ES" w:eastAsia="en-GB"/>
        </w:rPr>
        <w:t xml:space="preserve">De conformidad con la Decisión SC53-17 del Comité Permanente y la Resolución XIII.7, la Secretaría sigue participando activamente en el trabajo en curso sobre los ODS, incluso en las reuniones del Grupo Interinstitucional y de Expertos sobre los Indicadores de los Objetivos de Desarrollo Sostenible (IAEG-SDG) como </w:t>
      </w:r>
      <w:r w:rsidR="00B23D04" w:rsidRPr="00022A36">
        <w:rPr>
          <w:rFonts w:eastAsia="Times New Roman" w:cstheme="minorHAnsi"/>
          <w:noProof/>
          <w:lang w:val="es-ES" w:eastAsia="en-GB"/>
        </w:rPr>
        <w:t>custodio conjunto</w:t>
      </w:r>
      <w:r w:rsidR="008F0A55" w:rsidRPr="00022A36">
        <w:rPr>
          <w:rFonts w:eastAsia="Times New Roman" w:cstheme="minorHAnsi"/>
          <w:noProof/>
          <w:lang w:val="es-ES" w:eastAsia="en-GB"/>
        </w:rPr>
        <w:t xml:space="preserve"> del ODS 6 (agua y saneamiento)</w:t>
      </w:r>
      <w:r w:rsidR="00471394" w:rsidRPr="00022A36">
        <w:rPr>
          <w:rFonts w:eastAsia="Times New Roman" w:cstheme="minorHAnsi"/>
          <w:noProof/>
          <w:lang w:val="es-ES" w:eastAsia="en-GB"/>
        </w:rPr>
        <w:t xml:space="preserve">, </w:t>
      </w:r>
      <w:r w:rsidR="007C3A83" w:rsidRPr="00022A36">
        <w:rPr>
          <w:rFonts w:eastAsia="Times New Roman" w:cstheme="minorHAnsi"/>
          <w:noProof/>
          <w:lang w:val="es-ES" w:eastAsia="en-GB"/>
        </w:rPr>
        <w:t>I</w:t>
      </w:r>
      <w:r w:rsidR="008F0A55" w:rsidRPr="00022A36">
        <w:rPr>
          <w:rFonts w:eastAsia="Times New Roman" w:cstheme="minorHAnsi"/>
          <w:noProof/>
          <w:lang w:val="es-ES" w:eastAsia="en-GB"/>
        </w:rPr>
        <w:t>ndicador 6.6.1 (cambio en la extensión de los ecosistemas relacionados con el agua a lo largo del tiempo).</w:t>
      </w:r>
    </w:p>
    <w:p w14:paraId="2779FA34" w14:textId="77777777" w:rsidR="009C2848" w:rsidRPr="00022A36" w:rsidRDefault="009C2848" w:rsidP="008F0A55">
      <w:pPr>
        <w:spacing w:after="0" w:line="240" w:lineRule="auto"/>
        <w:rPr>
          <w:rFonts w:eastAsia="Times New Roman" w:cstheme="minorHAnsi"/>
          <w:noProof/>
          <w:lang w:val="es-ES" w:eastAsia="en-GB"/>
        </w:rPr>
      </w:pPr>
    </w:p>
    <w:p w14:paraId="134C50E9" w14:textId="0EBD4907" w:rsidR="008F0A55" w:rsidRPr="00022A36" w:rsidRDefault="00403AEE" w:rsidP="002E77BF">
      <w:pPr>
        <w:tabs>
          <w:tab w:val="left" w:pos="426"/>
        </w:tab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3</w:t>
      </w:r>
      <w:r w:rsidR="00BB6EA8" w:rsidRPr="00022A36">
        <w:rPr>
          <w:rFonts w:eastAsia="Times New Roman" w:cstheme="minorHAnsi"/>
          <w:noProof/>
          <w:lang w:val="es-ES" w:eastAsia="en-GB"/>
        </w:rPr>
        <w:t>1</w:t>
      </w:r>
      <w:r w:rsidR="009C2848" w:rsidRPr="00022A36">
        <w:rPr>
          <w:rFonts w:eastAsia="Times New Roman" w:cstheme="minorHAnsi"/>
          <w:noProof/>
          <w:lang w:val="es-ES" w:eastAsia="en-GB"/>
        </w:rPr>
        <w:t>.</w:t>
      </w:r>
      <w:r w:rsidR="009C2848" w:rsidRPr="00022A36">
        <w:rPr>
          <w:rFonts w:eastAsia="Times New Roman" w:cstheme="minorHAnsi"/>
          <w:noProof/>
          <w:lang w:val="es-ES" w:eastAsia="en-GB"/>
        </w:rPr>
        <w:tab/>
      </w:r>
      <w:r w:rsidR="00725649" w:rsidRPr="00022A36">
        <w:rPr>
          <w:rFonts w:eastAsia="Times New Roman" w:cstheme="minorHAnsi"/>
          <w:noProof/>
          <w:lang w:val="es-ES" w:eastAsia="en-GB"/>
        </w:rPr>
        <w:t xml:space="preserve">En este contexto, </w:t>
      </w:r>
      <w:r w:rsidR="00471394" w:rsidRPr="00022A36">
        <w:rPr>
          <w:rFonts w:eastAsia="Times New Roman" w:cstheme="minorHAnsi"/>
          <w:noProof/>
          <w:lang w:val="es-ES" w:eastAsia="en-GB"/>
        </w:rPr>
        <w:t xml:space="preserve">en junio y noviembre de 2022 </w:t>
      </w:r>
      <w:r w:rsidR="00725649" w:rsidRPr="00022A36">
        <w:rPr>
          <w:rFonts w:eastAsia="Times New Roman" w:cstheme="minorHAnsi"/>
          <w:noProof/>
          <w:lang w:val="es-ES" w:eastAsia="en-GB"/>
        </w:rPr>
        <w:t xml:space="preserve">la Secretaría participó en las reuniones </w:t>
      </w:r>
      <w:r w:rsidR="007C3A83" w:rsidRPr="00022A36">
        <w:rPr>
          <w:rFonts w:eastAsia="Times New Roman" w:cstheme="minorHAnsi"/>
          <w:noProof/>
          <w:lang w:val="es-ES" w:eastAsia="en-GB"/>
        </w:rPr>
        <w:t>que el</w:t>
      </w:r>
      <w:r w:rsidR="00725649" w:rsidRPr="00022A36">
        <w:rPr>
          <w:rFonts w:eastAsia="Times New Roman" w:cstheme="minorHAnsi"/>
          <w:noProof/>
          <w:lang w:val="es-ES" w:eastAsia="en-GB"/>
        </w:rPr>
        <w:t xml:space="preserve"> Departamento de Asuntos Económicos y Sociales de las Naciones Unidas </w:t>
      </w:r>
      <w:r w:rsidR="007C3A83" w:rsidRPr="00022A36">
        <w:rPr>
          <w:rFonts w:eastAsia="Times New Roman" w:cstheme="minorHAnsi"/>
          <w:noProof/>
          <w:lang w:val="es-ES" w:eastAsia="en-GB"/>
        </w:rPr>
        <w:t xml:space="preserve">celebró </w:t>
      </w:r>
      <w:r w:rsidR="00725649" w:rsidRPr="00022A36">
        <w:rPr>
          <w:rFonts w:eastAsia="Times New Roman" w:cstheme="minorHAnsi"/>
          <w:noProof/>
          <w:lang w:val="es-ES" w:eastAsia="en-GB"/>
        </w:rPr>
        <w:t>con los organismos</w:t>
      </w:r>
      <w:r w:rsidR="007C3A83" w:rsidRPr="00022A36">
        <w:rPr>
          <w:rFonts w:eastAsia="Times New Roman" w:cstheme="minorHAnsi"/>
          <w:noProof/>
          <w:lang w:val="es-ES" w:eastAsia="en-GB"/>
        </w:rPr>
        <w:t>,</w:t>
      </w:r>
      <w:r w:rsidR="00725649" w:rsidRPr="00022A36">
        <w:rPr>
          <w:rFonts w:eastAsia="Times New Roman" w:cstheme="minorHAnsi"/>
          <w:noProof/>
          <w:lang w:val="es-ES" w:eastAsia="en-GB"/>
        </w:rPr>
        <w:t xml:space="preserve"> para deliberar sobre las presentaciones de datos y metadatos de los ODS</w:t>
      </w:r>
      <w:r w:rsidR="00471394" w:rsidRPr="00022A36">
        <w:rPr>
          <w:rFonts w:eastAsia="Times New Roman" w:cstheme="minorHAnsi"/>
          <w:noProof/>
          <w:lang w:val="es-ES" w:eastAsia="en-GB"/>
        </w:rPr>
        <w:t>,</w:t>
      </w:r>
      <w:r w:rsidR="00725649" w:rsidRPr="00022A36">
        <w:rPr>
          <w:rFonts w:eastAsia="Times New Roman" w:cstheme="minorHAnsi"/>
          <w:noProof/>
          <w:lang w:val="es-ES" w:eastAsia="en-GB"/>
        </w:rPr>
        <w:t xml:space="preserve"> y </w:t>
      </w:r>
      <w:r w:rsidR="00471394" w:rsidRPr="00022A36">
        <w:rPr>
          <w:rFonts w:eastAsia="Times New Roman" w:cstheme="minorHAnsi"/>
          <w:noProof/>
          <w:lang w:val="es-ES" w:eastAsia="en-GB"/>
        </w:rPr>
        <w:t>en junio de 2022</w:t>
      </w:r>
      <w:r w:rsidR="00725649" w:rsidRPr="00022A36">
        <w:rPr>
          <w:rFonts w:eastAsia="Times New Roman" w:cstheme="minorHAnsi"/>
          <w:noProof/>
          <w:lang w:val="es-ES" w:eastAsia="en-GB"/>
        </w:rPr>
        <w:t xml:space="preserve"> </w:t>
      </w:r>
      <w:r w:rsidR="00471394" w:rsidRPr="00022A36">
        <w:rPr>
          <w:rFonts w:eastAsia="Times New Roman" w:cstheme="minorHAnsi"/>
          <w:noProof/>
          <w:lang w:val="es-ES" w:eastAsia="en-GB"/>
        </w:rPr>
        <w:t xml:space="preserve">tomó parte en </w:t>
      </w:r>
      <w:r w:rsidR="00725649" w:rsidRPr="00022A36">
        <w:rPr>
          <w:rFonts w:eastAsia="Times New Roman" w:cstheme="minorHAnsi"/>
          <w:noProof/>
          <w:lang w:val="es-ES" w:eastAsia="en-GB"/>
        </w:rPr>
        <w:t>la reunión virtual del IAEG-SDG sobre “Datos, COVID-19 y los ODS”.</w:t>
      </w:r>
    </w:p>
    <w:p w14:paraId="1C227BF0" w14:textId="788DA045" w:rsidR="00AC02AC" w:rsidRPr="00022A36" w:rsidRDefault="00AC02AC" w:rsidP="00725649">
      <w:pPr>
        <w:spacing w:after="0" w:line="240" w:lineRule="auto"/>
        <w:rPr>
          <w:rFonts w:eastAsia="Times New Roman" w:cstheme="minorHAnsi"/>
          <w:noProof/>
          <w:lang w:val="es-ES" w:eastAsia="en-GB"/>
        </w:rPr>
      </w:pPr>
    </w:p>
    <w:p w14:paraId="3E8C4B80" w14:textId="47DB2251" w:rsidR="00725649" w:rsidRPr="00022A36" w:rsidRDefault="00403AEE" w:rsidP="002E77BF">
      <w:pPr>
        <w:spacing w:after="0" w:line="240" w:lineRule="auto"/>
        <w:ind w:left="425" w:hanging="425"/>
        <w:rPr>
          <w:noProof/>
          <w:lang w:val="es-ES"/>
        </w:rPr>
      </w:pPr>
      <w:r w:rsidRPr="00022A36">
        <w:rPr>
          <w:noProof/>
          <w:lang w:val="es-ES"/>
        </w:rPr>
        <w:t>3</w:t>
      </w:r>
      <w:r w:rsidR="00BB6EA8" w:rsidRPr="00022A36">
        <w:rPr>
          <w:noProof/>
          <w:lang w:val="es-ES"/>
        </w:rPr>
        <w:t>2</w:t>
      </w:r>
      <w:r w:rsidR="0006611C" w:rsidRPr="00022A36">
        <w:rPr>
          <w:noProof/>
          <w:lang w:val="es-ES"/>
        </w:rPr>
        <w:t>.</w:t>
      </w:r>
      <w:r w:rsidR="00EB5D3E" w:rsidRPr="00022A36">
        <w:rPr>
          <w:noProof/>
          <w:lang w:val="es-ES"/>
        </w:rPr>
        <w:tab/>
      </w:r>
      <w:r w:rsidR="00725649" w:rsidRPr="00022A36">
        <w:rPr>
          <w:noProof/>
          <w:lang w:val="es-ES"/>
        </w:rPr>
        <w:t xml:space="preserve">Para el Foro Político de Alto Nivel sobre el Desarrollo Sostenible de 2022, la Secretaría </w:t>
      </w:r>
      <w:r w:rsidR="007C3A83" w:rsidRPr="00022A36">
        <w:rPr>
          <w:noProof/>
          <w:lang w:val="es-ES"/>
        </w:rPr>
        <w:t xml:space="preserve">elaboró un </w:t>
      </w:r>
      <w:r w:rsidR="00F043E7" w:rsidRPr="00022A36">
        <w:rPr>
          <w:noProof/>
          <w:lang w:val="es-ES"/>
        </w:rPr>
        <w:t>argumento</w:t>
      </w:r>
      <w:r w:rsidR="007C3A83" w:rsidRPr="00022A36">
        <w:rPr>
          <w:noProof/>
          <w:lang w:val="es-ES"/>
        </w:rPr>
        <w:t xml:space="preserve"> en conjunto con el PNUMA </w:t>
      </w:r>
      <w:r w:rsidR="00725649" w:rsidRPr="00022A36">
        <w:rPr>
          <w:noProof/>
          <w:lang w:val="es-ES"/>
        </w:rPr>
        <w:t>para el Informe del Secretario General de las Naciones Unidas ante el Foro Político de Alto Nivel. Asimismo, la Secretaría sigue colaborando con ONU-Agua en el programa de trabajo para el ODS 6.</w:t>
      </w:r>
    </w:p>
    <w:p w14:paraId="0BA8EE24" w14:textId="77777777" w:rsidR="001052EE" w:rsidRPr="00022A36" w:rsidRDefault="001052EE" w:rsidP="000A264B">
      <w:pPr>
        <w:spacing w:after="0" w:line="240" w:lineRule="auto"/>
        <w:rPr>
          <w:rFonts w:cstheme="minorHAnsi"/>
          <w:noProof/>
          <w:lang w:val="es-ES"/>
        </w:rPr>
      </w:pPr>
    </w:p>
    <w:p w14:paraId="6C3B55C8" w14:textId="3976DE50" w:rsidR="00725649" w:rsidRPr="00022A36" w:rsidRDefault="00403AEE" w:rsidP="000A264B">
      <w:pPr>
        <w:spacing w:after="0" w:line="240" w:lineRule="auto"/>
        <w:ind w:left="425" w:hanging="425"/>
        <w:rPr>
          <w:noProof/>
          <w:lang w:val="es-ES"/>
        </w:rPr>
      </w:pPr>
      <w:r w:rsidRPr="00022A36">
        <w:rPr>
          <w:noProof/>
          <w:lang w:val="es-ES"/>
        </w:rPr>
        <w:t>3</w:t>
      </w:r>
      <w:r w:rsidR="00BB6EA8" w:rsidRPr="00022A36">
        <w:rPr>
          <w:noProof/>
          <w:lang w:val="es-ES"/>
        </w:rPr>
        <w:t>3</w:t>
      </w:r>
      <w:r w:rsidR="0682B626" w:rsidRPr="00022A36">
        <w:rPr>
          <w:noProof/>
          <w:lang w:val="es-ES"/>
        </w:rPr>
        <w:t>.</w:t>
      </w:r>
      <w:r w:rsidR="0006611C" w:rsidRPr="00022A36">
        <w:rPr>
          <w:noProof/>
          <w:lang w:val="es-ES"/>
        </w:rPr>
        <w:tab/>
      </w:r>
      <w:r w:rsidR="004864A0" w:rsidRPr="00022A36">
        <w:rPr>
          <w:noProof/>
          <w:lang w:val="es-ES"/>
        </w:rPr>
        <w:t>Con arreglo a</w:t>
      </w:r>
      <w:r w:rsidR="00725649" w:rsidRPr="00022A36">
        <w:rPr>
          <w:noProof/>
          <w:lang w:val="es-ES"/>
        </w:rPr>
        <w:t xml:space="preserve"> la Resolución XIII.7 y la Decisión SC57-47 sobre </w:t>
      </w:r>
      <w:r w:rsidR="004864A0" w:rsidRPr="00022A36">
        <w:rPr>
          <w:noProof/>
          <w:lang w:val="es-ES"/>
        </w:rPr>
        <w:t xml:space="preserve">los </w:t>
      </w:r>
      <w:r w:rsidR="00725649" w:rsidRPr="00022A36">
        <w:rPr>
          <w:noProof/>
          <w:lang w:val="es-ES"/>
        </w:rPr>
        <w:t xml:space="preserve">inventarios de humedales, la Secretaría sigue </w:t>
      </w:r>
      <w:r w:rsidR="001D6492" w:rsidRPr="00022A36">
        <w:rPr>
          <w:noProof/>
          <w:lang w:val="es-ES"/>
        </w:rPr>
        <w:t>colaborando</w:t>
      </w:r>
      <w:r w:rsidR="00A70E99" w:rsidRPr="00022A36">
        <w:rPr>
          <w:noProof/>
          <w:lang w:val="es-ES"/>
        </w:rPr>
        <w:t xml:space="preserve"> </w:t>
      </w:r>
      <w:r w:rsidR="00725649" w:rsidRPr="00022A36">
        <w:rPr>
          <w:noProof/>
          <w:lang w:val="es-ES"/>
        </w:rPr>
        <w:t xml:space="preserve">con las Partes Contratantes para completar y mejorar la información sobre la extensión de los humedales que se presentó en los Informes Nacionales a la COP14. Hay iniciativas adicionales en curso para apoyar a las Partes Contratantes en la elaboración de inventarios de humedales y la recopilación de datos faltantes sobre la extensión de los humedales para informar sobre el </w:t>
      </w:r>
      <w:r w:rsidR="001D6492" w:rsidRPr="00022A36">
        <w:rPr>
          <w:noProof/>
          <w:lang w:val="es-ES"/>
        </w:rPr>
        <w:t>I</w:t>
      </w:r>
      <w:r w:rsidR="00725649" w:rsidRPr="00022A36">
        <w:rPr>
          <w:noProof/>
          <w:lang w:val="es-ES"/>
        </w:rPr>
        <w:t xml:space="preserve">ndicador 6.6.1 del ODS 6. A este respecto, en los documentos SC58 Doc.9, SC59 Doc.9 y SC62 Doc.9 se describen los progresos </w:t>
      </w:r>
      <w:r w:rsidR="00A70E99" w:rsidRPr="00022A36">
        <w:rPr>
          <w:noProof/>
          <w:lang w:val="es-ES"/>
        </w:rPr>
        <w:t xml:space="preserve">realizados </w:t>
      </w:r>
      <w:r w:rsidR="00BF394F" w:rsidRPr="00022A36">
        <w:rPr>
          <w:noProof/>
          <w:lang w:val="es-ES"/>
        </w:rPr>
        <w:t xml:space="preserve">por la Convención </w:t>
      </w:r>
      <w:r w:rsidR="00A70E99" w:rsidRPr="00022A36">
        <w:rPr>
          <w:noProof/>
          <w:lang w:val="es-ES"/>
        </w:rPr>
        <w:t>respecto a</w:t>
      </w:r>
      <w:r w:rsidR="00725649" w:rsidRPr="00022A36">
        <w:rPr>
          <w:noProof/>
          <w:lang w:val="es-ES"/>
        </w:rPr>
        <w:t xml:space="preserve"> </w:t>
      </w:r>
      <w:r w:rsidR="004864A0" w:rsidRPr="00022A36">
        <w:rPr>
          <w:noProof/>
          <w:lang w:val="es-ES"/>
        </w:rPr>
        <w:t>las medidas</w:t>
      </w:r>
      <w:r w:rsidR="00725649" w:rsidRPr="00022A36">
        <w:rPr>
          <w:noProof/>
          <w:lang w:val="es-ES"/>
        </w:rPr>
        <w:t xml:space="preserve"> </w:t>
      </w:r>
      <w:r w:rsidR="00BF394F" w:rsidRPr="00022A36">
        <w:rPr>
          <w:noProof/>
          <w:lang w:val="es-ES"/>
        </w:rPr>
        <w:t>para acelerar el logro</w:t>
      </w:r>
      <w:r w:rsidR="00725649" w:rsidRPr="00022A36">
        <w:rPr>
          <w:noProof/>
          <w:lang w:val="es-ES"/>
        </w:rPr>
        <w:t xml:space="preserve"> los ODS</w:t>
      </w:r>
      <w:r w:rsidR="001D6492" w:rsidRPr="00022A36">
        <w:rPr>
          <w:noProof/>
          <w:lang w:val="es-ES"/>
        </w:rPr>
        <w:t>,</w:t>
      </w:r>
      <w:r w:rsidR="00725649" w:rsidRPr="00022A36">
        <w:rPr>
          <w:noProof/>
          <w:lang w:val="es-ES"/>
        </w:rPr>
        <w:t xml:space="preserve"> “Inventarios de humedales para ayudar a las Partes Contratantes a alcanzar el </w:t>
      </w:r>
      <w:r w:rsidR="001D6492" w:rsidRPr="00022A36">
        <w:rPr>
          <w:noProof/>
          <w:lang w:val="es-ES"/>
        </w:rPr>
        <w:t>I</w:t>
      </w:r>
      <w:r w:rsidR="00725649" w:rsidRPr="00022A36">
        <w:rPr>
          <w:noProof/>
          <w:lang w:val="es-ES"/>
        </w:rPr>
        <w:t>ndicador 6.6.1”</w:t>
      </w:r>
      <w:r w:rsidR="001D6492" w:rsidRPr="00022A36">
        <w:rPr>
          <w:noProof/>
          <w:lang w:val="es-ES"/>
        </w:rPr>
        <w:t>,</w:t>
      </w:r>
      <w:r w:rsidR="00725649" w:rsidRPr="00022A36">
        <w:rPr>
          <w:noProof/>
          <w:lang w:val="es-ES"/>
        </w:rPr>
        <w:t xml:space="preserve"> en </w:t>
      </w:r>
      <w:r w:rsidR="00665B4E" w:rsidRPr="00022A36">
        <w:rPr>
          <w:noProof/>
          <w:lang w:val="es-ES"/>
        </w:rPr>
        <w:t>el marco</w:t>
      </w:r>
      <w:r w:rsidR="00725649" w:rsidRPr="00022A36">
        <w:rPr>
          <w:noProof/>
          <w:lang w:val="es-ES"/>
        </w:rPr>
        <w:t xml:space="preserve"> del ODS 6.</w:t>
      </w:r>
    </w:p>
    <w:p w14:paraId="08FCF7C8" w14:textId="77777777" w:rsidR="00725649" w:rsidRPr="00022A36" w:rsidRDefault="00725649" w:rsidP="000A264B">
      <w:pPr>
        <w:spacing w:after="0" w:line="240" w:lineRule="auto"/>
        <w:ind w:left="425" w:hanging="425"/>
        <w:rPr>
          <w:noProof/>
          <w:lang w:val="es-ES"/>
        </w:rPr>
      </w:pPr>
    </w:p>
    <w:p w14:paraId="03C806AF" w14:textId="203B6DEB" w:rsidR="004864A0" w:rsidRPr="00022A36" w:rsidRDefault="00403AEE" w:rsidP="000A264B">
      <w:pPr>
        <w:suppressAutoHyphens/>
        <w:spacing w:after="0" w:line="240" w:lineRule="auto"/>
        <w:ind w:left="425" w:hanging="425"/>
        <w:rPr>
          <w:noProof/>
          <w:lang w:val="es-ES"/>
        </w:rPr>
      </w:pPr>
      <w:r w:rsidRPr="00022A36">
        <w:rPr>
          <w:rFonts w:eastAsia="Times New Roman"/>
          <w:noProof/>
          <w:lang w:val="es-ES" w:eastAsia="en-GB"/>
        </w:rPr>
        <w:t>3</w:t>
      </w:r>
      <w:r w:rsidR="00BB6EA8" w:rsidRPr="00022A36">
        <w:rPr>
          <w:rFonts w:eastAsia="Times New Roman"/>
          <w:noProof/>
          <w:lang w:val="es-ES" w:eastAsia="en-GB"/>
        </w:rPr>
        <w:t>4</w:t>
      </w:r>
      <w:r w:rsidR="009C2848" w:rsidRPr="00022A36">
        <w:rPr>
          <w:rFonts w:eastAsia="Times New Roman"/>
          <w:noProof/>
          <w:lang w:val="es-ES" w:eastAsia="en-GB"/>
        </w:rPr>
        <w:t>.</w:t>
      </w:r>
      <w:r w:rsidR="009C2848" w:rsidRPr="00022A36">
        <w:rPr>
          <w:noProof/>
          <w:lang w:val="es-ES"/>
        </w:rPr>
        <w:tab/>
      </w:r>
      <w:r w:rsidR="004864A0" w:rsidRPr="00022A36">
        <w:rPr>
          <w:noProof/>
          <w:lang w:val="es-ES"/>
        </w:rPr>
        <w:t>En cuanto a la consecución del ODS 14</w:t>
      </w:r>
      <w:r w:rsidR="001D6492" w:rsidRPr="00022A36">
        <w:rPr>
          <w:noProof/>
          <w:lang w:val="es-ES"/>
        </w:rPr>
        <w:t>,</w:t>
      </w:r>
      <w:r w:rsidR="004864A0" w:rsidRPr="00022A36">
        <w:rPr>
          <w:noProof/>
          <w:lang w:val="es-ES"/>
        </w:rPr>
        <w:t xml:space="preserve"> “Conservar y utilizar de forma sostenible los océanos, los mares y los recursos marinos para el desarrollo sostenible”, la Secretaría participó en la segunda Conferencia de las Naciones Unidas sobre los Océanos para apoyar la aplicación del ODS 14</w:t>
      </w:r>
      <w:r w:rsidR="00665B4E" w:rsidRPr="00022A36">
        <w:rPr>
          <w:noProof/>
          <w:lang w:val="es-ES"/>
        </w:rPr>
        <w:t>, celebrada</w:t>
      </w:r>
      <w:r w:rsidR="004864A0" w:rsidRPr="00022A36">
        <w:rPr>
          <w:noProof/>
          <w:lang w:val="es-ES"/>
        </w:rPr>
        <w:t xml:space="preserve"> en Lisboa (Portugal) en junio y julio de 2022. La Secretaria General </w:t>
      </w:r>
      <w:r w:rsidR="00665B4E" w:rsidRPr="00022A36">
        <w:rPr>
          <w:noProof/>
          <w:lang w:val="es-ES"/>
        </w:rPr>
        <w:t>tomó parte</w:t>
      </w:r>
      <w:r w:rsidR="004864A0" w:rsidRPr="00022A36">
        <w:rPr>
          <w:noProof/>
          <w:lang w:val="es-ES"/>
        </w:rPr>
        <w:t xml:space="preserve"> en el diálogo interactivo “Gestionar, proteger y restaurar los ecosistemas marinos y costeros” y en la mesa redonda de alto nivel sobre las sinergias entre el ODS 6 y el ODS 14 del Simposio de Alto Nivel sobre el Agua. </w:t>
      </w:r>
      <w:r w:rsidR="00216F0F" w:rsidRPr="00022A36">
        <w:rPr>
          <w:noProof/>
          <w:lang w:val="es-ES"/>
        </w:rPr>
        <w:t>Asimismo, la</w:t>
      </w:r>
      <w:r w:rsidR="004864A0" w:rsidRPr="00022A36">
        <w:rPr>
          <w:noProof/>
          <w:lang w:val="es-ES"/>
        </w:rPr>
        <w:t xml:space="preserve"> Secretaría </w:t>
      </w:r>
      <w:r w:rsidR="00665B4E" w:rsidRPr="00022A36">
        <w:rPr>
          <w:noProof/>
          <w:lang w:val="es-ES"/>
        </w:rPr>
        <w:t>concurrió a</w:t>
      </w:r>
      <w:r w:rsidR="004864A0" w:rsidRPr="00022A36">
        <w:rPr>
          <w:noProof/>
          <w:lang w:val="es-ES"/>
        </w:rPr>
        <w:t xml:space="preserve"> varios </w:t>
      </w:r>
      <w:r w:rsidR="00216F0F" w:rsidRPr="00022A36">
        <w:rPr>
          <w:noProof/>
          <w:lang w:val="es-ES"/>
        </w:rPr>
        <w:t>eventos</w:t>
      </w:r>
      <w:r w:rsidR="004864A0" w:rsidRPr="00022A36">
        <w:rPr>
          <w:noProof/>
          <w:lang w:val="es-ES"/>
        </w:rPr>
        <w:t xml:space="preserve"> paralelos, entre ellos sobre el </w:t>
      </w:r>
      <w:r w:rsidR="00665B4E" w:rsidRPr="00022A36">
        <w:rPr>
          <w:noProof/>
          <w:lang w:val="es-ES"/>
        </w:rPr>
        <w:t>m</w:t>
      </w:r>
      <w:r w:rsidR="00216F0F" w:rsidRPr="00022A36">
        <w:rPr>
          <w:noProof/>
          <w:lang w:val="es-ES"/>
        </w:rPr>
        <w:t>arco mundial de la diversidad biológica</w:t>
      </w:r>
      <w:r w:rsidR="004864A0" w:rsidRPr="00022A36">
        <w:rPr>
          <w:noProof/>
          <w:lang w:val="es-ES"/>
        </w:rPr>
        <w:t>, la conservación de especies, el carbono azul y la restauración.</w:t>
      </w:r>
    </w:p>
    <w:p w14:paraId="44F3CC19" w14:textId="3C20AB2A" w:rsidR="00947D80" w:rsidRPr="00022A36" w:rsidRDefault="00947D80" w:rsidP="00216F0F">
      <w:pPr>
        <w:suppressAutoHyphens/>
        <w:spacing w:after="0" w:line="240" w:lineRule="auto"/>
        <w:rPr>
          <w:rFonts w:eastAsia="Times New Roman" w:cstheme="minorHAnsi"/>
          <w:noProof/>
          <w:lang w:val="es-ES" w:eastAsia="en-GB"/>
        </w:rPr>
      </w:pPr>
    </w:p>
    <w:p w14:paraId="4AA5E457" w14:textId="5AB7D35A" w:rsidR="00216F0F" w:rsidRPr="00022A36" w:rsidRDefault="00216F0F" w:rsidP="009D2419">
      <w:pPr>
        <w:keepNext/>
        <w:suppressAutoHyphens/>
        <w:spacing w:after="0" w:line="240" w:lineRule="auto"/>
        <w:ind w:left="425" w:hanging="425"/>
        <w:rPr>
          <w:b/>
          <w:bCs/>
          <w:noProof/>
          <w:lang w:val="es-ES"/>
        </w:rPr>
      </w:pPr>
      <w:r w:rsidRPr="00022A36">
        <w:rPr>
          <w:b/>
          <w:bCs/>
          <w:noProof/>
          <w:lang w:val="es-ES"/>
        </w:rPr>
        <w:t>Conferencia de las Naciones Unidas</w:t>
      </w:r>
      <w:r w:rsidR="001D6492" w:rsidRPr="00022A36">
        <w:rPr>
          <w:b/>
          <w:bCs/>
          <w:noProof/>
          <w:lang w:val="es-ES"/>
        </w:rPr>
        <w:t xml:space="preserve"> sobre el Agua</w:t>
      </w:r>
      <w:r w:rsidRPr="00022A36">
        <w:rPr>
          <w:b/>
          <w:bCs/>
          <w:noProof/>
          <w:lang w:val="es-ES"/>
        </w:rPr>
        <w:t xml:space="preserve"> 2023</w:t>
      </w:r>
    </w:p>
    <w:p w14:paraId="1C3F681B" w14:textId="3C8D505E" w:rsidR="00F04E34" w:rsidRPr="00022A36" w:rsidRDefault="00F04E34" w:rsidP="009D2419">
      <w:pPr>
        <w:keepNext/>
        <w:suppressAutoHyphens/>
        <w:spacing w:after="0" w:line="240" w:lineRule="auto"/>
        <w:ind w:left="425" w:hanging="425"/>
        <w:rPr>
          <w:rFonts w:eastAsia="Times New Roman" w:cstheme="minorHAnsi"/>
          <w:noProof/>
          <w:lang w:val="es-ES" w:eastAsia="en-GB"/>
        </w:rPr>
      </w:pPr>
    </w:p>
    <w:p w14:paraId="000FDC75" w14:textId="6B514876" w:rsidR="00216F0F" w:rsidRPr="00022A36" w:rsidRDefault="00403AEE" w:rsidP="002E77BF">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3</w:t>
      </w:r>
      <w:r w:rsidR="00BB6EA8" w:rsidRPr="00022A36">
        <w:rPr>
          <w:rFonts w:eastAsia="Times New Roman" w:cstheme="minorHAnsi"/>
          <w:noProof/>
          <w:lang w:val="es-ES" w:eastAsia="en-GB"/>
        </w:rPr>
        <w:t>5</w:t>
      </w:r>
      <w:r w:rsidR="00A56F0D" w:rsidRPr="00022A36">
        <w:rPr>
          <w:rFonts w:eastAsia="Times New Roman" w:cstheme="minorHAnsi"/>
          <w:noProof/>
          <w:lang w:val="es-ES" w:eastAsia="en-GB"/>
        </w:rPr>
        <w:t>.</w:t>
      </w:r>
      <w:r w:rsidR="00A547DF" w:rsidRPr="00022A36">
        <w:rPr>
          <w:rFonts w:eastAsia="Times New Roman" w:cstheme="minorHAnsi"/>
          <w:noProof/>
          <w:lang w:val="es-ES" w:eastAsia="en-GB"/>
        </w:rPr>
        <w:tab/>
      </w:r>
      <w:r w:rsidR="00216F0F" w:rsidRPr="00022A36">
        <w:rPr>
          <w:rFonts w:eastAsia="Times New Roman" w:cstheme="minorHAnsi"/>
          <w:noProof/>
          <w:lang w:val="es-ES" w:eastAsia="en-GB"/>
        </w:rPr>
        <w:t>La Secretaría realizó amplias contribuciones a la Conferencia de las Naciones Unidas sobre el examen exhaustivo de mitad de período de la aplicación de los objetivos del Decenio Internacional para la Acción</w:t>
      </w:r>
      <w:r w:rsidR="003C39F6" w:rsidRPr="00022A36">
        <w:rPr>
          <w:rFonts w:eastAsia="Times New Roman" w:cstheme="minorHAnsi"/>
          <w:noProof/>
          <w:lang w:val="es-ES" w:eastAsia="en-GB"/>
        </w:rPr>
        <w:t>,</w:t>
      </w:r>
      <w:r w:rsidR="00216F0F" w:rsidRPr="00022A36">
        <w:rPr>
          <w:rFonts w:eastAsia="Times New Roman" w:cstheme="minorHAnsi"/>
          <w:noProof/>
          <w:lang w:val="es-ES" w:eastAsia="en-GB"/>
        </w:rPr>
        <w:t xml:space="preserve"> “Agua para el desarrollo sostenible”, 2018-2028 (Conferencia de las Naciones Unidas sobre el Agua 2023, celebrada en Nueva York (Estados Unidos</w:t>
      </w:r>
      <w:r w:rsidR="00312AC3" w:rsidRPr="00022A36">
        <w:rPr>
          <w:rFonts w:eastAsia="Times New Roman" w:cstheme="minorHAnsi"/>
          <w:noProof/>
          <w:lang w:val="es-ES" w:eastAsia="en-GB"/>
        </w:rPr>
        <w:t xml:space="preserve"> de América</w:t>
      </w:r>
      <w:r w:rsidR="00216F0F" w:rsidRPr="00022A36">
        <w:rPr>
          <w:rFonts w:eastAsia="Times New Roman" w:cstheme="minorHAnsi"/>
          <w:noProof/>
          <w:lang w:val="es-ES" w:eastAsia="en-GB"/>
        </w:rPr>
        <w:t>) en marzo de 2023</w:t>
      </w:r>
      <w:r w:rsidR="00312AC3" w:rsidRPr="00022A36">
        <w:rPr>
          <w:rFonts w:eastAsia="Times New Roman" w:cstheme="minorHAnsi"/>
          <w:noProof/>
          <w:lang w:val="es-ES" w:eastAsia="en-GB"/>
        </w:rPr>
        <w:t>)</w:t>
      </w:r>
      <w:r w:rsidR="00216F0F" w:rsidRPr="00022A36">
        <w:rPr>
          <w:rFonts w:eastAsia="Times New Roman" w:cstheme="minorHAnsi"/>
          <w:noProof/>
          <w:lang w:val="es-ES" w:eastAsia="en-GB"/>
        </w:rPr>
        <w:t>, destacando la forma en que la Convención y sus materiales y orientaciones pueden catalizar la consecución de la Agenda de Acción para el Agua.</w:t>
      </w:r>
    </w:p>
    <w:p w14:paraId="0F807D04" w14:textId="77777777" w:rsidR="00BF3C4B" w:rsidRPr="00022A36" w:rsidRDefault="00BF3C4B" w:rsidP="00216F0F">
      <w:pPr>
        <w:suppressAutoHyphens/>
        <w:spacing w:after="0" w:line="240" w:lineRule="auto"/>
        <w:rPr>
          <w:rStyle w:val="normaltextrun"/>
          <w:rFonts w:ascii="Calibri" w:hAnsi="Calibri"/>
          <w:noProof/>
          <w:color w:val="000000"/>
          <w:shd w:val="clear" w:color="auto" w:fill="FFFFFF"/>
          <w:lang w:val="es-ES"/>
        </w:rPr>
      </w:pPr>
    </w:p>
    <w:p w14:paraId="7CA184F8" w14:textId="4813490E" w:rsidR="00A56F0D" w:rsidRPr="00022A36" w:rsidRDefault="00403AEE" w:rsidP="00B07C20">
      <w:pPr>
        <w:suppressAutoHyphens/>
        <w:spacing w:after="0" w:line="240" w:lineRule="auto"/>
        <w:ind w:left="425" w:hanging="425"/>
        <w:rPr>
          <w:rStyle w:val="normaltextrun"/>
          <w:rFonts w:ascii="Calibri" w:hAnsi="Calibri" w:cs="Calibri"/>
          <w:noProof/>
          <w:color w:val="000000"/>
          <w:shd w:val="clear" w:color="auto" w:fill="FFFFFF"/>
          <w:lang w:val="es-ES"/>
        </w:rPr>
      </w:pPr>
      <w:r w:rsidRPr="00022A36">
        <w:rPr>
          <w:rStyle w:val="normaltextrun"/>
          <w:rFonts w:ascii="Calibri" w:hAnsi="Calibri" w:cs="Calibri"/>
          <w:noProof/>
          <w:color w:val="000000"/>
          <w:shd w:val="clear" w:color="auto" w:fill="FFFFFF"/>
          <w:lang w:val="es-ES"/>
        </w:rPr>
        <w:t>3</w:t>
      </w:r>
      <w:r w:rsidR="00BB6EA8" w:rsidRPr="00022A36">
        <w:rPr>
          <w:rStyle w:val="normaltextrun"/>
          <w:rFonts w:ascii="Calibri" w:hAnsi="Calibri" w:cs="Calibri"/>
          <w:noProof/>
          <w:color w:val="000000"/>
          <w:shd w:val="clear" w:color="auto" w:fill="FFFFFF"/>
          <w:lang w:val="es-ES"/>
        </w:rPr>
        <w:t>6</w:t>
      </w:r>
      <w:r w:rsidR="0AA777C1" w:rsidRPr="00022A36">
        <w:rPr>
          <w:rStyle w:val="normaltextrun"/>
          <w:rFonts w:ascii="Calibri" w:hAnsi="Calibri" w:cs="Calibri"/>
          <w:noProof/>
          <w:color w:val="000000"/>
          <w:shd w:val="clear" w:color="auto" w:fill="FFFFFF"/>
          <w:lang w:val="es-ES"/>
        </w:rPr>
        <w:t>.</w:t>
      </w:r>
      <w:r w:rsidR="00A56F0D" w:rsidRPr="00022A36">
        <w:rPr>
          <w:rStyle w:val="normaltextrun"/>
          <w:rFonts w:ascii="Calibri" w:hAnsi="Calibri" w:cs="Calibri"/>
          <w:noProof/>
          <w:color w:val="000000"/>
          <w:shd w:val="clear" w:color="auto" w:fill="FFFFFF"/>
          <w:lang w:val="es-ES"/>
        </w:rPr>
        <w:tab/>
      </w:r>
      <w:r w:rsidR="00B07C20" w:rsidRPr="00022A36">
        <w:rPr>
          <w:rStyle w:val="normaltextrun"/>
          <w:rFonts w:ascii="Calibri" w:hAnsi="Calibri" w:cs="Calibri"/>
          <w:noProof/>
          <w:color w:val="000000"/>
          <w:shd w:val="clear" w:color="auto" w:fill="FFFFFF"/>
          <w:lang w:val="es-ES"/>
        </w:rPr>
        <w:t>La Secretaria General formuló una declaración en la sesión plenaria</w:t>
      </w:r>
      <w:r w:rsidR="00B07C20" w:rsidRPr="00022A36">
        <w:rPr>
          <w:rStyle w:val="FootnoteReference"/>
          <w:rFonts w:ascii="Calibri" w:eastAsia="Calibri" w:hAnsi="Calibri" w:cs="Times New Roman"/>
          <w:noProof/>
          <w:lang w:val="es-ES"/>
        </w:rPr>
        <w:footnoteReference w:id="4"/>
      </w:r>
      <w:r w:rsidR="00B07C20" w:rsidRPr="00022A36">
        <w:rPr>
          <w:rStyle w:val="normaltextrun"/>
          <w:rFonts w:ascii="Calibri" w:hAnsi="Calibri" w:cs="Calibri"/>
          <w:noProof/>
          <w:color w:val="000000"/>
          <w:shd w:val="clear" w:color="auto" w:fill="FFFFFF"/>
          <w:lang w:val="es-ES"/>
        </w:rPr>
        <w:t xml:space="preserve"> durante el debate general, haciendo hincapié en que nuestras necesidades de agua y desarrollo sostenible no pueden </w:t>
      </w:r>
      <w:r w:rsidR="001D6492" w:rsidRPr="00022A36">
        <w:rPr>
          <w:rStyle w:val="normaltextrun"/>
          <w:rFonts w:ascii="Calibri" w:hAnsi="Calibri" w:cs="Calibri"/>
          <w:noProof/>
          <w:color w:val="000000"/>
          <w:shd w:val="clear" w:color="auto" w:fill="FFFFFF"/>
          <w:lang w:val="es-ES"/>
        </w:rPr>
        <w:t>satisfacerse</w:t>
      </w:r>
      <w:r w:rsidR="00B07C20" w:rsidRPr="00022A36">
        <w:rPr>
          <w:rStyle w:val="normaltextrun"/>
          <w:rFonts w:ascii="Calibri" w:hAnsi="Calibri" w:cs="Calibri"/>
          <w:noProof/>
          <w:color w:val="000000"/>
          <w:shd w:val="clear" w:color="auto" w:fill="FFFFFF"/>
          <w:lang w:val="es-ES"/>
        </w:rPr>
        <w:t xml:space="preserve"> sin los humedales. Asimismo, se presentó una declaración para el </w:t>
      </w:r>
      <w:r w:rsidR="001D6492" w:rsidRPr="00022A36">
        <w:rPr>
          <w:rStyle w:val="normaltextrun"/>
          <w:rFonts w:ascii="Calibri" w:hAnsi="Calibri" w:cs="Calibri"/>
          <w:noProof/>
          <w:color w:val="000000"/>
          <w:shd w:val="clear" w:color="auto" w:fill="FFFFFF"/>
          <w:lang w:val="es-ES"/>
        </w:rPr>
        <w:t>D</w:t>
      </w:r>
      <w:r w:rsidR="00B07C20" w:rsidRPr="00022A36">
        <w:rPr>
          <w:rStyle w:val="normaltextrun"/>
          <w:rFonts w:ascii="Calibri" w:hAnsi="Calibri" w:cs="Calibri"/>
          <w:noProof/>
          <w:color w:val="000000"/>
          <w:shd w:val="clear" w:color="auto" w:fill="FFFFFF"/>
          <w:lang w:val="es-ES"/>
        </w:rPr>
        <w:t>iálogo interactivo 3 sobre “Agua para el clima, la resiliencia y el medio ambiente”</w:t>
      </w:r>
      <w:r w:rsidR="00AB27CF" w:rsidRPr="00022A36">
        <w:rPr>
          <w:rStyle w:val="FootnoteReference"/>
          <w:noProof/>
          <w:lang w:val="es-ES"/>
        </w:rPr>
        <w:footnoteReference w:id="5"/>
      </w:r>
      <w:r w:rsidR="00A56F0D" w:rsidRPr="00022A36">
        <w:rPr>
          <w:rStyle w:val="normaltextrun"/>
          <w:rFonts w:ascii="Calibri" w:hAnsi="Calibri" w:cs="Calibri"/>
          <w:noProof/>
          <w:color w:val="000000"/>
          <w:shd w:val="clear" w:color="auto" w:fill="FFFFFF"/>
          <w:lang w:val="es-ES"/>
        </w:rPr>
        <w:t>.</w:t>
      </w:r>
    </w:p>
    <w:p w14:paraId="3EDCB6C6" w14:textId="77777777" w:rsidR="00A56F0D" w:rsidRPr="00022A36" w:rsidRDefault="00A56F0D" w:rsidP="002E77BF">
      <w:pPr>
        <w:suppressAutoHyphens/>
        <w:spacing w:after="0" w:line="240" w:lineRule="auto"/>
        <w:ind w:left="425" w:hanging="425"/>
        <w:rPr>
          <w:rStyle w:val="normaltextrun"/>
          <w:rFonts w:ascii="Calibri" w:hAnsi="Calibri" w:cs="Calibri"/>
          <w:noProof/>
          <w:color w:val="000000"/>
          <w:shd w:val="clear" w:color="auto" w:fill="FFFFFF"/>
          <w:lang w:val="es-ES"/>
        </w:rPr>
      </w:pPr>
    </w:p>
    <w:p w14:paraId="07D5233F" w14:textId="2D605E7E" w:rsidR="00B07C20" w:rsidRPr="00022A36" w:rsidRDefault="00403AEE" w:rsidP="002E77BF">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3</w:t>
      </w:r>
      <w:r w:rsidR="00BB6EA8" w:rsidRPr="00022A36">
        <w:rPr>
          <w:rFonts w:eastAsia="Times New Roman" w:cstheme="minorHAnsi"/>
          <w:noProof/>
          <w:lang w:val="es-ES" w:eastAsia="en-GB"/>
        </w:rPr>
        <w:t>7</w:t>
      </w:r>
      <w:r w:rsidR="002D0F0F" w:rsidRPr="00022A36">
        <w:rPr>
          <w:rFonts w:eastAsia="Times New Roman" w:cstheme="minorHAnsi"/>
          <w:noProof/>
          <w:lang w:val="es-ES" w:eastAsia="en-GB"/>
        </w:rPr>
        <w:t>.</w:t>
      </w:r>
      <w:r w:rsidR="00A56F0D" w:rsidRPr="00022A36">
        <w:rPr>
          <w:rFonts w:eastAsia="Times New Roman" w:cstheme="minorHAnsi"/>
          <w:noProof/>
          <w:lang w:val="es-ES" w:eastAsia="en-GB"/>
        </w:rPr>
        <w:tab/>
      </w:r>
      <w:r w:rsidR="00B07C20" w:rsidRPr="00022A36">
        <w:rPr>
          <w:rFonts w:eastAsia="Times New Roman" w:cstheme="minorHAnsi"/>
          <w:noProof/>
          <w:lang w:val="es-ES" w:eastAsia="en-GB"/>
        </w:rPr>
        <w:t>La Secretaria General participó como ponente en el Evento Especial “Colaboración radical para la resiliencia del agua: Acción con nuestros mayores aliados en la crisis climática”, así como en dos eventos con los medios de comunicación junto con el Secretario Ejecutivo en funciones del CDB.</w:t>
      </w:r>
    </w:p>
    <w:p w14:paraId="726CC11C" w14:textId="77777777" w:rsidR="00221769" w:rsidRPr="00022A36" w:rsidRDefault="00221769" w:rsidP="00B07C20">
      <w:pPr>
        <w:suppressAutoHyphens/>
        <w:spacing w:after="0" w:line="240" w:lineRule="auto"/>
        <w:rPr>
          <w:rFonts w:eastAsia="Times New Roman" w:cstheme="minorHAnsi"/>
          <w:noProof/>
          <w:lang w:val="es-ES" w:eastAsia="en-GB"/>
        </w:rPr>
      </w:pPr>
    </w:p>
    <w:p w14:paraId="77FA1448" w14:textId="276AE431" w:rsidR="00B07C20" w:rsidRPr="00022A36" w:rsidRDefault="00403AEE" w:rsidP="00B07C20">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3</w:t>
      </w:r>
      <w:r w:rsidR="00BB6EA8" w:rsidRPr="00022A36">
        <w:rPr>
          <w:rFonts w:eastAsia="Times New Roman" w:cstheme="minorHAnsi"/>
          <w:noProof/>
          <w:lang w:val="es-ES" w:eastAsia="en-GB"/>
        </w:rPr>
        <w:t>8</w:t>
      </w:r>
      <w:r w:rsidR="004157DF" w:rsidRPr="00022A36">
        <w:rPr>
          <w:rFonts w:eastAsia="Times New Roman" w:cstheme="minorHAnsi"/>
          <w:noProof/>
          <w:lang w:val="es-ES" w:eastAsia="en-GB"/>
        </w:rPr>
        <w:t>.</w:t>
      </w:r>
      <w:r w:rsidR="00A56F0D" w:rsidRPr="00022A36">
        <w:rPr>
          <w:rFonts w:eastAsia="Times New Roman" w:cstheme="minorHAnsi"/>
          <w:noProof/>
          <w:lang w:val="es-ES" w:eastAsia="en-GB"/>
        </w:rPr>
        <w:tab/>
      </w:r>
      <w:r w:rsidR="00B07C20" w:rsidRPr="00022A36">
        <w:rPr>
          <w:rFonts w:eastAsia="Times New Roman" w:cstheme="minorHAnsi"/>
          <w:noProof/>
          <w:lang w:val="es-ES" w:eastAsia="en-GB"/>
        </w:rPr>
        <w:t>Asimismo, la Secretaria General intervino como ponente en varios actos paralelos, entre ellos:</w:t>
      </w:r>
    </w:p>
    <w:p w14:paraId="237C4919" w14:textId="7AF8B1F6" w:rsidR="00B07C20" w:rsidRPr="00022A36" w:rsidRDefault="00B07C20" w:rsidP="00B07C20">
      <w:pPr>
        <w:pStyle w:val="ListParagraph"/>
        <w:numPr>
          <w:ilvl w:val="0"/>
          <w:numId w:val="29"/>
        </w:numPr>
        <w:suppressAutoHyphens/>
        <w:rPr>
          <w:rFonts w:asciiTheme="minorHAnsi" w:eastAsia="Times New Roman" w:hAnsiTheme="minorHAnsi" w:cstheme="minorHAnsi"/>
          <w:noProof/>
          <w:lang w:val="es-ES" w:eastAsia="en-GB"/>
        </w:rPr>
      </w:pPr>
      <w:r w:rsidRPr="00022A36">
        <w:rPr>
          <w:rFonts w:asciiTheme="minorHAnsi" w:eastAsia="Times New Roman" w:hAnsiTheme="minorHAnsi" w:cstheme="minorHAnsi"/>
          <w:noProof/>
          <w:lang w:val="es-ES" w:eastAsia="en-GB"/>
        </w:rPr>
        <w:lastRenderedPageBreak/>
        <w:t>“El desafío del agua dulce:</w:t>
      </w:r>
      <w:r w:rsidR="00312AC3" w:rsidRPr="00022A36">
        <w:rPr>
          <w:rFonts w:asciiTheme="minorHAnsi" w:eastAsia="Times New Roman" w:hAnsiTheme="minorHAnsi" w:cstheme="minorHAnsi"/>
          <w:noProof/>
          <w:lang w:val="es-ES" w:eastAsia="en-GB"/>
        </w:rPr>
        <w:t xml:space="preserve"> </w:t>
      </w:r>
      <w:r w:rsidRPr="00022A36">
        <w:rPr>
          <w:rFonts w:asciiTheme="minorHAnsi" w:eastAsia="Times New Roman" w:hAnsiTheme="minorHAnsi" w:cstheme="minorHAnsi"/>
          <w:noProof/>
          <w:lang w:val="es-ES" w:eastAsia="en-GB"/>
        </w:rPr>
        <w:t>Movilizar la acción para restaurar los ecosistemas de agua dulce”, en el que se presentó el Desafío del Agua Dulce;</w:t>
      </w:r>
    </w:p>
    <w:p w14:paraId="41A20A7D" w14:textId="77777777" w:rsidR="00AE4CE8" w:rsidRPr="00022A36" w:rsidRDefault="00AE4CE8" w:rsidP="00AE4CE8">
      <w:pPr>
        <w:pStyle w:val="ListParagraph"/>
        <w:numPr>
          <w:ilvl w:val="0"/>
          <w:numId w:val="29"/>
        </w:numPr>
        <w:suppressAutoHyphens/>
        <w:rPr>
          <w:rFonts w:asciiTheme="minorHAnsi" w:eastAsia="Times New Roman" w:hAnsiTheme="minorHAnsi" w:cstheme="minorHAnsi"/>
          <w:noProof/>
          <w:lang w:val="es-ES" w:eastAsia="en-GB"/>
        </w:rPr>
      </w:pPr>
      <w:r w:rsidRPr="00022A36">
        <w:rPr>
          <w:rFonts w:asciiTheme="minorHAnsi" w:eastAsia="Times New Roman" w:hAnsiTheme="minorHAnsi" w:cstheme="minorHAnsi"/>
          <w:noProof/>
          <w:lang w:val="es-ES" w:eastAsia="en-GB"/>
        </w:rPr>
        <w:t xml:space="preserve">“Panel de alto nivel de los gobiernos locales y las autoridades municipales (LGMA): </w:t>
      </w:r>
      <w:r w:rsidR="00B07C20" w:rsidRPr="00022A36">
        <w:rPr>
          <w:rFonts w:asciiTheme="minorHAnsi" w:eastAsia="Times New Roman" w:hAnsiTheme="minorHAnsi" w:cstheme="minorHAnsi"/>
          <w:noProof/>
          <w:lang w:val="es-ES" w:eastAsia="en-GB"/>
        </w:rPr>
        <w:t>El nexo conocimiento-política</w:t>
      </w:r>
      <w:r w:rsidRPr="00022A36">
        <w:rPr>
          <w:rFonts w:asciiTheme="minorHAnsi" w:eastAsia="Times New Roman" w:hAnsiTheme="minorHAnsi" w:cstheme="minorHAnsi"/>
          <w:noProof/>
          <w:lang w:val="es-ES" w:eastAsia="en-GB"/>
        </w:rPr>
        <w:t>s</w:t>
      </w:r>
      <w:r w:rsidR="00B07C20" w:rsidRPr="00022A36">
        <w:rPr>
          <w:rFonts w:asciiTheme="minorHAnsi" w:eastAsia="Times New Roman" w:hAnsiTheme="minorHAnsi" w:cstheme="minorHAnsi"/>
          <w:noProof/>
          <w:lang w:val="es-ES" w:eastAsia="en-GB"/>
        </w:rPr>
        <w:t>-práctica entre la COP27, la COP15, la Convención sobre los Humedales y su sistema de acreditación de Ciudad de Humedal y el agua”; y</w:t>
      </w:r>
    </w:p>
    <w:p w14:paraId="5B7B47BF" w14:textId="42851DA2" w:rsidR="00B07C20" w:rsidRPr="00022A36" w:rsidRDefault="00AE4CE8" w:rsidP="00AE4CE8">
      <w:pPr>
        <w:pStyle w:val="ListParagraph"/>
        <w:numPr>
          <w:ilvl w:val="0"/>
          <w:numId w:val="29"/>
        </w:numPr>
        <w:suppressAutoHyphens/>
        <w:rPr>
          <w:rFonts w:asciiTheme="minorHAnsi" w:eastAsia="Times New Roman" w:hAnsiTheme="minorHAnsi" w:cstheme="minorHAnsi"/>
          <w:noProof/>
          <w:lang w:val="es-ES" w:eastAsia="en-GB"/>
        </w:rPr>
      </w:pPr>
      <w:r w:rsidRPr="00022A36">
        <w:rPr>
          <w:rFonts w:asciiTheme="minorHAnsi" w:eastAsia="Times New Roman" w:hAnsiTheme="minorHAnsi" w:cstheme="minorHAnsi"/>
          <w:noProof/>
          <w:lang w:val="es-ES" w:eastAsia="en-GB"/>
        </w:rPr>
        <w:t>"De la UNEA a la Asamblea General: Tomar medidas para la gestión sostenible de los lagos, como catalizador para acelerar el compromiso mundial en la Agenda de Acción para el Agua".</w:t>
      </w:r>
    </w:p>
    <w:p w14:paraId="6130600C" w14:textId="77777777" w:rsidR="00221769" w:rsidRPr="00022A36" w:rsidRDefault="00221769" w:rsidP="002E77BF">
      <w:pPr>
        <w:suppressAutoHyphens/>
        <w:spacing w:after="0" w:line="240" w:lineRule="auto"/>
        <w:ind w:left="425" w:hanging="425"/>
        <w:rPr>
          <w:rStyle w:val="normaltextrun"/>
          <w:rFonts w:ascii="Calibri" w:hAnsi="Calibri" w:cs="Calibri"/>
          <w:noProof/>
          <w:color w:val="000000"/>
          <w:shd w:val="clear" w:color="auto" w:fill="FFFFFF"/>
          <w:lang w:val="es-ES"/>
        </w:rPr>
      </w:pPr>
    </w:p>
    <w:p w14:paraId="209282FB" w14:textId="08A096D7" w:rsidR="00AE4CE8" w:rsidRPr="00022A36" w:rsidRDefault="00BB6EA8" w:rsidP="000A264B">
      <w:pPr>
        <w:suppressAutoHyphens/>
        <w:spacing w:after="0" w:line="240" w:lineRule="auto"/>
        <w:ind w:left="425" w:hanging="425"/>
        <w:rPr>
          <w:rFonts w:eastAsia="Times New Roman"/>
          <w:noProof/>
          <w:lang w:val="es-ES" w:eastAsia="en-GB"/>
        </w:rPr>
      </w:pPr>
      <w:r w:rsidRPr="00022A36">
        <w:rPr>
          <w:rFonts w:eastAsia="Times New Roman"/>
          <w:noProof/>
          <w:lang w:val="es-ES" w:eastAsia="en-GB"/>
        </w:rPr>
        <w:t>39</w:t>
      </w:r>
      <w:r w:rsidR="68F8B673" w:rsidRPr="00022A36">
        <w:rPr>
          <w:rFonts w:eastAsia="Times New Roman"/>
          <w:noProof/>
          <w:lang w:val="es-ES" w:eastAsia="en-GB"/>
        </w:rPr>
        <w:t>.</w:t>
      </w:r>
      <w:r w:rsidR="00A56F0D" w:rsidRPr="00022A36">
        <w:rPr>
          <w:rFonts w:eastAsia="Times New Roman"/>
          <w:noProof/>
          <w:lang w:val="es-ES" w:eastAsia="en-GB"/>
        </w:rPr>
        <w:tab/>
      </w:r>
      <w:r w:rsidR="00AE4CE8" w:rsidRPr="00022A36">
        <w:rPr>
          <w:rFonts w:eastAsia="Times New Roman"/>
          <w:noProof/>
          <w:lang w:val="es-ES" w:eastAsia="en-GB"/>
        </w:rPr>
        <w:t>La Secretaría contribuyó como ponente en eventos paralelos, entre otros</w:t>
      </w:r>
      <w:r w:rsidR="00312AC3" w:rsidRPr="00022A36">
        <w:rPr>
          <w:rFonts w:eastAsia="Times New Roman"/>
          <w:noProof/>
          <w:lang w:val="es-ES" w:eastAsia="en-GB"/>
        </w:rPr>
        <w:t xml:space="preserve">, </w:t>
      </w:r>
      <w:r w:rsidR="00AE4CE8" w:rsidRPr="00022A36">
        <w:rPr>
          <w:rFonts w:eastAsia="Times New Roman"/>
          <w:noProof/>
          <w:lang w:val="es-ES" w:eastAsia="en-GB"/>
        </w:rPr>
        <w:t>“</w:t>
      </w:r>
      <w:r w:rsidR="00312AC3" w:rsidRPr="00022A36">
        <w:rPr>
          <w:rFonts w:eastAsia="Times New Roman"/>
          <w:noProof/>
          <w:lang w:val="es-ES" w:eastAsia="en-GB"/>
        </w:rPr>
        <w:t>El a</w:t>
      </w:r>
      <w:r w:rsidR="00AE4CE8" w:rsidRPr="00022A36">
        <w:rPr>
          <w:rFonts w:eastAsia="Times New Roman"/>
          <w:noProof/>
          <w:lang w:val="es-ES" w:eastAsia="en-GB"/>
        </w:rPr>
        <w:t xml:space="preserve">gua para la naturaleza, </w:t>
      </w:r>
      <w:r w:rsidR="00312AC3" w:rsidRPr="00022A36">
        <w:rPr>
          <w:rFonts w:eastAsia="Times New Roman"/>
          <w:noProof/>
          <w:lang w:val="es-ES" w:eastAsia="en-GB"/>
        </w:rPr>
        <w:t xml:space="preserve">la </w:t>
      </w:r>
      <w:r w:rsidR="00AE4CE8" w:rsidRPr="00022A36">
        <w:rPr>
          <w:rFonts w:eastAsia="Times New Roman"/>
          <w:noProof/>
          <w:lang w:val="es-ES" w:eastAsia="en-GB"/>
        </w:rPr>
        <w:t>naturaleza para el agua: Políticas, soluciones y compromisos para el desarrollo sostenible” e “</w:t>
      </w:r>
      <w:r w:rsidR="00312AC3" w:rsidRPr="00022A36">
        <w:rPr>
          <w:rFonts w:eastAsia="Times New Roman"/>
          <w:noProof/>
          <w:lang w:val="es-ES" w:eastAsia="en-GB"/>
        </w:rPr>
        <w:t>Invertir las tendencias de la crisis de la diversidad biológica del agua dulce</w:t>
      </w:r>
      <w:r w:rsidR="00AE4CE8" w:rsidRPr="00022A36">
        <w:rPr>
          <w:rFonts w:eastAsia="Times New Roman"/>
          <w:noProof/>
          <w:lang w:val="es-ES" w:eastAsia="en-GB"/>
        </w:rPr>
        <w:t>”, así como en el evento paralelo virtual sobre “Observaci</w:t>
      </w:r>
      <w:r w:rsidR="002808BA" w:rsidRPr="00022A36">
        <w:rPr>
          <w:rFonts w:eastAsia="Times New Roman"/>
          <w:noProof/>
          <w:lang w:val="es-ES" w:eastAsia="en-GB"/>
        </w:rPr>
        <w:t>ón</w:t>
      </w:r>
      <w:r w:rsidR="00AE4CE8" w:rsidRPr="00022A36">
        <w:rPr>
          <w:rFonts w:eastAsia="Times New Roman"/>
          <w:noProof/>
          <w:lang w:val="es-ES" w:eastAsia="en-GB"/>
        </w:rPr>
        <w:t xml:space="preserve"> de la Tierra en apoyo de la acción por el agua”.</w:t>
      </w:r>
    </w:p>
    <w:p w14:paraId="56CC18FC" w14:textId="77777777" w:rsidR="00404DA0" w:rsidRPr="00022A36" w:rsidRDefault="00404DA0" w:rsidP="00AE4CE8">
      <w:pPr>
        <w:suppressAutoHyphens/>
        <w:spacing w:after="0" w:line="240" w:lineRule="auto"/>
        <w:rPr>
          <w:rFonts w:eastAsia="Times New Roman" w:cstheme="minorHAnsi"/>
          <w:noProof/>
          <w:lang w:val="es-ES" w:eastAsia="en-GB"/>
        </w:rPr>
      </w:pPr>
    </w:p>
    <w:p w14:paraId="16037E4F" w14:textId="43692103" w:rsidR="00AE4CE8" w:rsidRPr="00022A36" w:rsidRDefault="00403AEE" w:rsidP="000A264B">
      <w:pPr>
        <w:suppressAutoHyphens/>
        <w:spacing w:after="0" w:line="240" w:lineRule="auto"/>
        <w:ind w:left="425" w:hanging="425"/>
        <w:rPr>
          <w:rFonts w:eastAsia="Times New Roman"/>
          <w:noProof/>
          <w:lang w:val="es-ES" w:eastAsia="en-GB"/>
        </w:rPr>
      </w:pPr>
      <w:r w:rsidRPr="00022A36">
        <w:rPr>
          <w:rFonts w:eastAsia="Times New Roman"/>
          <w:noProof/>
          <w:lang w:val="es-ES" w:eastAsia="en-GB"/>
        </w:rPr>
        <w:t>4</w:t>
      </w:r>
      <w:r w:rsidR="00BB6EA8" w:rsidRPr="00022A36">
        <w:rPr>
          <w:rFonts w:eastAsia="Times New Roman"/>
          <w:noProof/>
          <w:lang w:val="es-ES" w:eastAsia="en-GB"/>
        </w:rPr>
        <w:t>0</w:t>
      </w:r>
      <w:r w:rsidR="75C5E33B" w:rsidRPr="00022A36">
        <w:rPr>
          <w:rFonts w:eastAsia="Times New Roman"/>
          <w:noProof/>
          <w:lang w:val="es-ES" w:eastAsia="en-GB"/>
        </w:rPr>
        <w:t>.</w:t>
      </w:r>
      <w:r w:rsidR="00A56F0D" w:rsidRPr="00022A36">
        <w:rPr>
          <w:rFonts w:eastAsia="Times New Roman"/>
          <w:noProof/>
          <w:lang w:val="es-ES" w:eastAsia="en-GB"/>
        </w:rPr>
        <w:tab/>
      </w:r>
      <w:r w:rsidR="00AE4CE8" w:rsidRPr="00022A36">
        <w:rPr>
          <w:rFonts w:eastAsia="Times New Roman"/>
          <w:noProof/>
          <w:lang w:val="es-ES" w:eastAsia="en-GB"/>
        </w:rPr>
        <w:t xml:space="preserve">Se celebraron varias reuniones bilaterales con delegados </w:t>
      </w:r>
      <w:r w:rsidR="003A6040" w:rsidRPr="00022A36">
        <w:rPr>
          <w:rFonts w:eastAsia="Times New Roman"/>
          <w:noProof/>
          <w:lang w:val="es-ES" w:eastAsia="en-GB"/>
        </w:rPr>
        <w:t>de</w:t>
      </w:r>
      <w:r w:rsidR="00AE4CE8" w:rsidRPr="00022A36">
        <w:rPr>
          <w:rFonts w:eastAsia="Times New Roman"/>
          <w:noProof/>
          <w:lang w:val="es-ES" w:eastAsia="en-GB"/>
        </w:rPr>
        <w:t xml:space="preserve"> Partes</w:t>
      </w:r>
      <w:r w:rsidR="003A6040" w:rsidRPr="00022A36">
        <w:rPr>
          <w:rFonts w:eastAsia="Times New Roman"/>
          <w:noProof/>
          <w:lang w:val="es-ES" w:eastAsia="en-GB"/>
        </w:rPr>
        <w:t xml:space="preserve"> Contratantes</w:t>
      </w:r>
      <w:r w:rsidR="00AE4CE8" w:rsidRPr="00022A36">
        <w:rPr>
          <w:rFonts w:eastAsia="Times New Roman"/>
          <w:noProof/>
          <w:lang w:val="es-ES" w:eastAsia="en-GB"/>
        </w:rPr>
        <w:t xml:space="preserve"> como el Gabón, los Estados Unidos de América y el Uruguay, y con representantes </w:t>
      </w:r>
      <w:r w:rsidR="003A6040" w:rsidRPr="00022A36">
        <w:rPr>
          <w:rFonts w:eastAsia="Times New Roman"/>
          <w:noProof/>
          <w:lang w:val="es-ES" w:eastAsia="en-GB"/>
        </w:rPr>
        <w:t xml:space="preserve">de alto nivel </w:t>
      </w:r>
      <w:r w:rsidR="00AE4CE8" w:rsidRPr="00022A36">
        <w:rPr>
          <w:rFonts w:eastAsia="Times New Roman"/>
          <w:noProof/>
          <w:lang w:val="es-ES" w:eastAsia="en-GB"/>
        </w:rPr>
        <w:t>del CDB, TNC, ONU-Hábitat, el Programa de las Naciones Unidas para el Desarrollo y el PNUMA.</w:t>
      </w:r>
    </w:p>
    <w:p w14:paraId="2B4C9056" w14:textId="36796932" w:rsidR="00404DA0" w:rsidRPr="00022A36" w:rsidRDefault="00404DA0" w:rsidP="000A264B">
      <w:pPr>
        <w:suppressAutoHyphens/>
        <w:spacing w:after="0" w:line="240" w:lineRule="auto"/>
        <w:ind w:left="425" w:hanging="425"/>
        <w:rPr>
          <w:rFonts w:eastAsia="Times New Roman" w:cstheme="minorHAnsi"/>
          <w:noProof/>
          <w:lang w:val="es-ES" w:eastAsia="en-GB"/>
        </w:rPr>
      </w:pPr>
    </w:p>
    <w:p w14:paraId="6751507C" w14:textId="77777777" w:rsidR="00AE4CE8" w:rsidRPr="00022A36" w:rsidRDefault="00AE4CE8" w:rsidP="000A264B">
      <w:pPr>
        <w:keepNext/>
        <w:spacing w:after="0" w:line="240" w:lineRule="auto"/>
        <w:rPr>
          <w:rFonts w:eastAsia="Times New Roman" w:cstheme="minorHAnsi"/>
          <w:b/>
          <w:bCs/>
          <w:noProof/>
          <w:lang w:val="es-ES" w:eastAsia="en-GB"/>
        </w:rPr>
      </w:pPr>
      <w:r w:rsidRPr="00022A36">
        <w:rPr>
          <w:rFonts w:eastAsia="Times New Roman" w:cstheme="minorHAnsi"/>
          <w:b/>
          <w:bCs/>
          <w:noProof/>
          <w:lang w:val="es-ES" w:eastAsia="en-GB"/>
        </w:rPr>
        <w:t xml:space="preserve">Acciones para reforzar la cooperación con el Programa de las Naciones Unidas para el Medio Ambiente y otras instituciones internacionales </w:t>
      </w:r>
    </w:p>
    <w:p w14:paraId="7A6E5675" w14:textId="77777777" w:rsidR="009C2848" w:rsidRPr="00022A36" w:rsidRDefault="009C2848" w:rsidP="000A264B">
      <w:pPr>
        <w:keepNext/>
        <w:spacing w:after="0" w:line="240" w:lineRule="auto"/>
        <w:rPr>
          <w:rFonts w:eastAsia="Times New Roman" w:cstheme="minorHAnsi"/>
          <w:b/>
          <w:bCs/>
          <w:noProof/>
          <w:lang w:val="es-ES" w:eastAsia="en-GB"/>
        </w:rPr>
      </w:pPr>
    </w:p>
    <w:p w14:paraId="77B5D20C" w14:textId="65C133C0" w:rsidR="00AE4CE8" w:rsidRPr="00022A36" w:rsidRDefault="009510FB" w:rsidP="000A264B">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4</w:t>
      </w:r>
      <w:r w:rsidR="00BB6EA8" w:rsidRPr="00022A36">
        <w:rPr>
          <w:rFonts w:eastAsia="Times New Roman" w:cstheme="minorHAnsi"/>
          <w:noProof/>
          <w:lang w:val="es-ES" w:eastAsia="en-GB"/>
        </w:rPr>
        <w:t>1</w:t>
      </w:r>
      <w:r w:rsidR="009C2848" w:rsidRPr="00022A36">
        <w:rPr>
          <w:rFonts w:eastAsia="Times New Roman" w:cstheme="minorHAnsi"/>
          <w:noProof/>
          <w:lang w:val="es-ES" w:eastAsia="en-GB"/>
        </w:rPr>
        <w:t>.</w:t>
      </w:r>
      <w:r w:rsidR="009C2848" w:rsidRPr="00022A36">
        <w:rPr>
          <w:rFonts w:eastAsia="Times New Roman" w:cstheme="minorHAnsi"/>
          <w:noProof/>
          <w:lang w:val="es-ES" w:eastAsia="en-GB"/>
        </w:rPr>
        <w:tab/>
      </w:r>
      <w:r w:rsidR="00AE4CE8" w:rsidRPr="00022A36">
        <w:rPr>
          <w:rFonts w:eastAsia="Times New Roman" w:cstheme="minorHAnsi"/>
          <w:noProof/>
          <w:lang w:val="es-ES" w:eastAsia="en-GB"/>
        </w:rPr>
        <w:t>Como se señaló en informes anteriores presentados al Comité Permanente, la Secretaría sigue trabajando para reforzar la colaboración con los organismos de las Naciones Unidas y otras instituciones internacionales.</w:t>
      </w:r>
    </w:p>
    <w:p w14:paraId="39F14925" w14:textId="77777777" w:rsidR="009C2848" w:rsidRPr="00022A36" w:rsidRDefault="009C2848" w:rsidP="009B1469">
      <w:pPr>
        <w:autoSpaceDE w:val="0"/>
        <w:autoSpaceDN w:val="0"/>
        <w:adjustRightInd w:val="0"/>
        <w:spacing w:after="0" w:line="240" w:lineRule="auto"/>
        <w:rPr>
          <w:rFonts w:cstheme="minorHAnsi"/>
          <w:noProof/>
          <w:lang w:val="es-ES"/>
        </w:rPr>
      </w:pPr>
    </w:p>
    <w:p w14:paraId="2277AB7D" w14:textId="6B9EC73E" w:rsidR="009C2848" w:rsidRDefault="007B5CDD" w:rsidP="000A264B">
      <w:pPr>
        <w:keepNext/>
        <w:spacing w:after="0" w:line="240" w:lineRule="auto"/>
        <w:ind w:left="425" w:hanging="425"/>
        <w:rPr>
          <w:rFonts w:eastAsia="Times New Roman" w:cstheme="minorHAnsi"/>
          <w:i/>
          <w:noProof/>
          <w:lang w:val="es-ES" w:eastAsia="en-GB"/>
        </w:rPr>
      </w:pPr>
      <w:r w:rsidRPr="007B5CDD">
        <w:rPr>
          <w:rFonts w:eastAsia="Times New Roman" w:cstheme="minorHAnsi"/>
          <w:i/>
          <w:noProof/>
          <w:lang w:val="es-ES" w:eastAsia="en-GB"/>
        </w:rPr>
        <w:t>Grupo de Gestión Ambiental</w:t>
      </w:r>
    </w:p>
    <w:p w14:paraId="454E90DB" w14:textId="77777777" w:rsidR="007B5CDD" w:rsidRPr="00022A36" w:rsidRDefault="007B5CDD" w:rsidP="000A264B">
      <w:pPr>
        <w:keepNext/>
        <w:spacing w:after="0" w:line="240" w:lineRule="auto"/>
        <w:ind w:left="425" w:hanging="425"/>
        <w:rPr>
          <w:noProof/>
          <w:lang w:val="es-ES"/>
        </w:rPr>
      </w:pPr>
    </w:p>
    <w:p w14:paraId="7933FAFB" w14:textId="016D215E" w:rsidR="003054BE" w:rsidRPr="00022A36" w:rsidRDefault="009510FB" w:rsidP="003054BE">
      <w:pPr>
        <w:keepNext/>
        <w:spacing w:after="0" w:line="240" w:lineRule="auto"/>
        <w:ind w:left="426" w:hanging="426"/>
        <w:contextualSpacing/>
        <w:rPr>
          <w:rFonts w:eastAsia="Calibri" w:cstheme="minorHAnsi"/>
          <w:i/>
          <w:noProof/>
          <w:lang w:val="es-ES"/>
        </w:rPr>
      </w:pPr>
      <w:r w:rsidRPr="00022A36">
        <w:rPr>
          <w:rFonts w:eastAsia="Times New Roman" w:cstheme="minorHAnsi"/>
          <w:noProof/>
          <w:lang w:val="es-ES" w:eastAsia="en-GB"/>
        </w:rPr>
        <w:t>4</w:t>
      </w:r>
      <w:r w:rsidR="00BB6EA8" w:rsidRPr="00022A36">
        <w:rPr>
          <w:rFonts w:eastAsia="Times New Roman" w:cstheme="minorHAnsi"/>
          <w:noProof/>
          <w:lang w:val="es-ES" w:eastAsia="en-GB"/>
        </w:rPr>
        <w:t>2</w:t>
      </w:r>
      <w:r w:rsidR="009C2848" w:rsidRPr="00022A36">
        <w:rPr>
          <w:rFonts w:eastAsia="Times New Roman" w:cstheme="minorHAnsi"/>
          <w:noProof/>
          <w:lang w:val="es-ES" w:eastAsia="en-GB"/>
        </w:rPr>
        <w:t>.</w:t>
      </w:r>
      <w:r w:rsidR="009C2848" w:rsidRPr="00022A36">
        <w:rPr>
          <w:rFonts w:eastAsia="Times New Roman" w:cstheme="minorHAnsi"/>
          <w:noProof/>
          <w:lang w:val="es-ES" w:eastAsia="en-GB"/>
        </w:rPr>
        <w:tab/>
      </w:r>
      <w:r w:rsidR="003054BE" w:rsidRPr="00022A36">
        <w:rPr>
          <w:rFonts w:eastAsia="Times New Roman" w:cstheme="minorHAnsi"/>
          <w:noProof/>
          <w:lang w:val="es-ES" w:eastAsia="en-GB"/>
        </w:rPr>
        <w:t xml:space="preserve">La Secretaría sigue participando en la labor que realiza el </w:t>
      </w:r>
      <w:r w:rsidR="007B5CDD" w:rsidRPr="007B5CDD">
        <w:rPr>
          <w:rFonts w:eastAsia="Times New Roman" w:cstheme="minorHAnsi"/>
          <w:iCs/>
          <w:noProof/>
          <w:lang w:val="es-ES" w:eastAsia="en-GB"/>
        </w:rPr>
        <w:t xml:space="preserve">Grupo de Gestión Ambiental </w:t>
      </w:r>
      <w:r w:rsidR="003054BE" w:rsidRPr="00022A36">
        <w:rPr>
          <w:rFonts w:eastAsia="Times New Roman" w:cstheme="minorHAnsi"/>
          <w:noProof/>
          <w:lang w:val="es-ES" w:eastAsia="en-GB"/>
        </w:rPr>
        <w:t>(</w:t>
      </w:r>
      <w:r w:rsidR="007B5CDD" w:rsidRPr="007B5CDD">
        <w:rPr>
          <w:rFonts w:eastAsia="Times New Roman" w:cstheme="minorHAnsi"/>
          <w:i/>
          <w:noProof/>
          <w:lang w:val="es-ES" w:eastAsia="en-GB"/>
        </w:rPr>
        <w:t xml:space="preserve">Environment Management Group, </w:t>
      </w:r>
      <w:r w:rsidR="003054BE" w:rsidRPr="007B5CDD">
        <w:rPr>
          <w:rFonts w:eastAsia="Times New Roman" w:cstheme="minorHAnsi"/>
          <w:noProof/>
          <w:lang w:val="es-ES" w:eastAsia="en-GB"/>
        </w:rPr>
        <w:t>EMG</w:t>
      </w:r>
      <w:r w:rsidR="003054BE" w:rsidRPr="00022A36">
        <w:rPr>
          <w:rFonts w:eastAsia="Times New Roman" w:cstheme="minorHAnsi"/>
          <w:noProof/>
          <w:lang w:val="es-ES" w:eastAsia="en-GB"/>
        </w:rPr>
        <w:t xml:space="preserve">) de las Naciones Unidas. La Secretaria General participó en la 28ª </w:t>
      </w:r>
      <w:r w:rsidR="00D7085C" w:rsidRPr="00022A36">
        <w:rPr>
          <w:rFonts w:eastAsia="Times New Roman" w:cstheme="minorHAnsi"/>
          <w:noProof/>
          <w:lang w:val="es-ES" w:eastAsia="en-GB"/>
        </w:rPr>
        <w:t>r</w:t>
      </w:r>
      <w:r w:rsidR="003054BE" w:rsidRPr="00022A36">
        <w:rPr>
          <w:rFonts w:eastAsia="Times New Roman" w:cstheme="minorHAnsi"/>
          <w:noProof/>
          <w:lang w:val="es-ES" w:eastAsia="en-GB"/>
        </w:rPr>
        <w:t xml:space="preserve">eunión de </w:t>
      </w:r>
      <w:r w:rsidR="00D7085C" w:rsidRPr="00022A36">
        <w:rPr>
          <w:rFonts w:eastAsia="Times New Roman" w:cstheme="minorHAnsi"/>
          <w:noProof/>
          <w:lang w:val="es-ES" w:eastAsia="en-GB"/>
        </w:rPr>
        <w:t>f</w:t>
      </w:r>
      <w:r w:rsidR="003054BE" w:rsidRPr="00022A36">
        <w:rPr>
          <w:rFonts w:eastAsia="Times New Roman" w:cstheme="minorHAnsi"/>
          <w:noProof/>
          <w:lang w:val="es-ES" w:eastAsia="en-GB"/>
        </w:rPr>
        <w:t xml:space="preserve">uncionarios </w:t>
      </w:r>
      <w:r w:rsidR="00D7085C" w:rsidRPr="00022A36">
        <w:rPr>
          <w:rFonts w:eastAsia="Times New Roman" w:cstheme="minorHAnsi"/>
          <w:noProof/>
          <w:lang w:val="es-ES" w:eastAsia="en-GB"/>
        </w:rPr>
        <w:t>d</w:t>
      </w:r>
      <w:r w:rsidR="003054BE" w:rsidRPr="00022A36">
        <w:rPr>
          <w:rFonts w:eastAsia="Times New Roman" w:cstheme="minorHAnsi"/>
          <w:noProof/>
          <w:lang w:val="es-ES" w:eastAsia="en-GB"/>
        </w:rPr>
        <w:t>irectivos del EMG que se celebró de forma virtual en noviembre de 2022</w:t>
      </w:r>
      <w:r w:rsidR="009F5B43" w:rsidRPr="00022A36">
        <w:rPr>
          <w:rFonts w:eastAsia="Times New Roman" w:cstheme="minorHAnsi"/>
          <w:noProof/>
          <w:lang w:val="es-ES" w:eastAsia="en-GB"/>
        </w:rPr>
        <w:t xml:space="preserve">, en el que se </w:t>
      </w:r>
      <w:r w:rsidR="003054BE" w:rsidRPr="00022A36">
        <w:rPr>
          <w:rFonts w:eastAsia="Times New Roman" w:cstheme="minorHAnsi"/>
          <w:noProof/>
          <w:lang w:val="es-ES" w:eastAsia="en-GB"/>
        </w:rPr>
        <w:t xml:space="preserve">estableció un Grupo de </w:t>
      </w:r>
      <w:r w:rsidR="00D7085C" w:rsidRPr="00022A36">
        <w:rPr>
          <w:rFonts w:eastAsia="Times New Roman" w:cstheme="minorHAnsi"/>
          <w:noProof/>
          <w:lang w:val="es-ES" w:eastAsia="en-GB"/>
        </w:rPr>
        <w:t>g</w:t>
      </w:r>
      <w:r w:rsidR="003054BE" w:rsidRPr="00022A36">
        <w:rPr>
          <w:rFonts w:eastAsia="Times New Roman" w:cstheme="minorHAnsi"/>
          <w:noProof/>
          <w:lang w:val="es-ES" w:eastAsia="en-GB"/>
        </w:rPr>
        <w:t xml:space="preserve">estión </w:t>
      </w:r>
      <w:r w:rsidR="00D7085C" w:rsidRPr="00022A36">
        <w:rPr>
          <w:rFonts w:eastAsia="Times New Roman" w:cstheme="minorHAnsi"/>
          <w:noProof/>
          <w:lang w:val="es-ES" w:eastAsia="en-GB"/>
        </w:rPr>
        <w:t>t</w:t>
      </w:r>
      <w:r w:rsidR="003054BE" w:rsidRPr="00022A36">
        <w:rPr>
          <w:rFonts w:eastAsia="Times New Roman" w:cstheme="minorHAnsi"/>
          <w:noProof/>
          <w:lang w:val="es-ES" w:eastAsia="en-GB"/>
        </w:rPr>
        <w:t>emática del EMG sobre</w:t>
      </w:r>
      <w:r w:rsidR="009F5B43" w:rsidRPr="00022A36">
        <w:rPr>
          <w:rFonts w:eastAsia="Times New Roman" w:cstheme="minorHAnsi"/>
          <w:noProof/>
          <w:lang w:val="es-ES" w:eastAsia="en-GB"/>
        </w:rPr>
        <w:t xml:space="preserve"> la</w:t>
      </w:r>
      <w:r w:rsidR="003054BE" w:rsidRPr="00022A36">
        <w:rPr>
          <w:rFonts w:eastAsia="Times New Roman" w:cstheme="minorHAnsi"/>
          <w:noProof/>
          <w:lang w:val="es-ES" w:eastAsia="en-GB"/>
        </w:rPr>
        <w:t xml:space="preserve"> </w:t>
      </w:r>
      <w:r w:rsidR="009F5B43" w:rsidRPr="00022A36">
        <w:rPr>
          <w:rFonts w:eastAsia="Times New Roman" w:cstheme="minorHAnsi"/>
          <w:noProof/>
          <w:lang w:val="es-ES" w:eastAsia="en-GB"/>
        </w:rPr>
        <w:t>diversidad biológica</w:t>
      </w:r>
      <w:r w:rsidR="00D7085C" w:rsidRPr="00022A36">
        <w:rPr>
          <w:rFonts w:eastAsia="Times New Roman" w:cstheme="minorHAnsi"/>
          <w:noProof/>
          <w:lang w:val="es-ES" w:eastAsia="en-GB"/>
        </w:rPr>
        <w:t>,</w:t>
      </w:r>
      <w:r w:rsidR="009F5B43" w:rsidRPr="00022A36">
        <w:rPr>
          <w:rFonts w:eastAsia="Times New Roman" w:cstheme="minorHAnsi"/>
          <w:noProof/>
          <w:lang w:val="es-ES" w:eastAsia="en-GB"/>
        </w:rPr>
        <w:t xml:space="preserve"> </w:t>
      </w:r>
      <w:r w:rsidR="003054BE" w:rsidRPr="00022A36">
        <w:rPr>
          <w:rFonts w:eastAsia="Times New Roman" w:cstheme="minorHAnsi"/>
          <w:noProof/>
          <w:lang w:val="es-ES" w:eastAsia="en-GB"/>
        </w:rPr>
        <w:t xml:space="preserve">para agilizar y posibilitar un enfoque racionalizado y apoyar la aplicación del </w:t>
      </w:r>
      <w:r w:rsidR="003054BE" w:rsidRPr="00022A36">
        <w:rPr>
          <w:noProof/>
          <w:lang w:val="es-ES"/>
        </w:rPr>
        <w:t>Marco mundial de la diversidad biológica</w:t>
      </w:r>
      <w:r w:rsidR="003054BE" w:rsidRPr="00022A36">
        <w:rPr>
          <w:rFonts w:eastAsia="Times New Roman" w:cstheme="minorHAnsi"/>
          <w:noProof/>
          <w:lang w:val="es-ES" w:eastAsia="en-GB"/>
        </w:rPr>
        <w:t xml:space="preserve">, el </w:t>
      </w:r>
      <w:r w:rsidR="009F5B43" w:rsidRPr="00022A36">
        <w:rPr>
          <w:rFonts w:eastAsia="Times New Roman" w:cstheme="minorHAnsi"/>
          <w:noProof/>
          <w:lang w:val="es-ES" w:eastAsia="en-GB"/>
        </w:rPr>
        <w:t>Planteamiento</w:t>
      </w:r>
      <w:r w:rsidR="003054BE" w:rsidRPr="00022A36">
        <w:rPr>
          <w:rFonts w:eastAsia="Times New Roman" w:cstheme="minorHAnsi"/>
          <w:noProof/>
          <w:lang w:val="es-ES" w:eastAsia="en-GB"/>
        </w:rPr>
        <w:t xml:space="preserve"> de las Naciones Unidas sobre</w:t>
      </w:r>
      <w:r w:rsidR="009F5B43" w:rsidRPr="00022A36">
        <w:rPr>
          <w:rFonts w:eastAsia="Times New Roman" w:cstheme="minorHAnsi"/>
          <w:noProof/>
          <w:lang w:val="es-ES" w:eastAsia="en-GB"/>
        </w:rPr>
        <w:t xml:space="preserve"> la</w:t>
      </w:r>
      <w:r w:rsidR="003054BE" w:rsidRPr="00022A36">
        <w:rPr>
          <w:rFonts w:eastAsia="Times New Roman" w:cstheme="minorHAnsi"/>
          <w:noProof/>
          <w:lang w:val="es-ES" w:eastAsia="en-GB"/>
        </w:rPr>
        <w:t xml:space="preserve"> </w:t>
      </w:r>
      <w:r w:rsidR="009F5B43" w:rsidRPr="00022A36">
        <w:rPr>
          <w:rFonts w:eastAsia="Times New Roman" w:cstheme="minorHAnsi"/>
          <w:noProof/>
          <w:lang w:val="es-ES" w:eastAsia="en-GB"/>
        </w:rPr>
        <w:t>d</w:t>
      </w:r>
      <w:r w:rsidR="003054BE" w:rsidRPr="00022A36">
        <w:rPr>
          <w:rFonts w:eastAsia="Times New Roman" w:cstheme="minorHAnsi"/>
          <w:noProof/>
          <w:lang w:val="es-ES" w:eastAsia="en-GB"/>
        </w:rPr>
        <w:t>iversidad</w:t>
      </w:r>
      <w:r w:rsidR="009F5B43" w:rsidRPr="00022A36">
        <w:rPr>
          <w:rFonts w:eastAsia="Times New Roman" w:cstheme="minorHAnsi"/>
          <w:noProof/>
          <w:lang w:val="es-ES" w:eastAsia="en-GB"/>
        </w:rPr>
        <w:t xml:space="preserve"> biológica</w:t>
      </w:r>
      <w:r w:rsidR="003054BE" w:rsidRPr="00022A36">
        <w:rPr>
          <w:rFonts w:eastAsia="Times New Roman" w:cstheme="minorHAnsi"/>
          <w:noProof/>
          <w:lang w:val="es-ES" w:eastAsia="en-GB"/>
        </w:rPr>
        <w:t xml:space="preserve">, el Decenio de las Naciones Unidas sobre la </w:t>
      </w:r>
      <w:r w:rsidR="009F5B43" w:rsidRPr="00022A36">
        <w:rPr>
          <w:rFonts w:eastAsia="Times New Roman" w:cstheme="minorHAnsi"/>
          <w:noProof/>
          <w:lang w:val="es-ES" w:eastAsia="en-GB"/>
        </w:rPr>
        <w:t>r</w:t>
      </w:r>
      <w:r w:rsidR="003054BE" w:rsidRPr="00022A36">
        <w:rPr>
          <w:rFonts w:eastAsia="Times New Roman" w:cstheme="minorHAnsi"/>
          <w:noProof/>
          <w:lang w:val="es-ES" w:eastAsia="en-GB"/>
        </w:rPr>
        <w:t xml:space="preserve">estauración de los </w:t>
      </w:r>
      <w:r w:rsidR="009F5B43" w:rsidRPr="00022A36">
        <w:rPr>
          <w:rFonts w:eastAsia="Times New Roman" w:cstheme="minorHAnsi"/>
          <w:noProof/>
          <w:lang w:val="es-ES" w:eastAsia="en-GB"/>
        </w:rPr>
        <w:t>e</w:t>
      </w:r>
      <w:r w:rsidR="003054BE" w:rsidRPr="00022A36">
        <w:rPr>
          <w:rFonts w:eastAsia="Times New Roman" w:cstheme="minorHAnsi"/>
          <w:noProof/>
          <w:lang w:val="es-ES" w:eastAsia="en-GB"/>
        </w:rPr>
        <w:t xml:space="preserve">cosistemas y el Proceso </w:t>
      </w:r>
      <w:r w:rsidR="00D7085C" w:rsidRPr="00022A36">
        <w:rPr>
          <w:rFonts w:eastAsia="Times New Roman" w:cstheme="minorHAnsi"/>
          <w:noProof/>
          <w:lang w:val="es-ES" w:eastAsia="en-GB"/>
        </w:rPr>
        <w:t>c</w:t>
      </w:r>
      <w:r w:rsidR="003054BE" w:rsidRPr="00022A36">
        <w:rPr>
          <w:rFonts w:eastAsia="Times New Roman" w:cstheme="minorHAnsi"/>
          <w:noProof/>
          <w:lang w:val="es-ES" w:eastAsia="en-GB"/>
        </w:rPr>
        <w:t xml:space="preserve">onsultivo </w:t>
      </w:r>
      <w:r w:rsidR="00D7085C" w:rsidRPr="00022A36">
        <w:rPr>
          <w:rFonts w:eastAsia="Times New Roman" w:cstheme="minorHAnsi"/>
          <w:noProof/>
          <w:lang w:val="es-ES" w:eastAsia="en-GB"/>
        </w:rPr>
        <w:t xml:space="preserve">para trabajar por </w:t>
      </w:r>
      <w:r w:rsidR="003054BE" w:rsidRPr="00022A36">
        <w:rPr>
          <w:rFonts w:eastAsia="Times New Roman" w:cstheme="minorHAnsi"/>
          <w:noProof/>
          <w:lang w:val="es-ES" w:eastAsia="en-GB"/>
        </w:rPr>
        <w:t xml:space="preserve">un </w:t>
      </w:r>
      <w:r w:rsidR="00D7085C" w:rsidRPr="00022A36">
        <w:rPr>
          <w:rFonts w:eastAsia="Times New Roman" w:cstheme="minorHAnsi"/>
          <w:noProof/>
          <w:lang w:val="es-ES" w:eastAsia="en-GB"/>
        </w:rPr>
        <w:t>p</w:t>
      </w:r>
      <w:r w:rsidR="003054BE" w:rsidRPr="00022A36">
        <w:rPr>
          <w:rFonts w:eastAsia="Times New Roman" w:cstheme="minorHAnsi"/>
          <w:noProof/>
          <w:lang w:val="es-ES" w:eastAsia="en-GB"/>
        </w:rPr>
        <w:t xml:space="preserve">laneta </w:t>
      </w:r>
      <w:r w:rsidR="00D7085C" w:rsidRPr="00022A36">
        <w:rPr>
          <w:rFonts w:eastAsia="Times New Roman" w:cstheme="minorHAnsi"/>
          <w:noProof/>
          <w:lang w:val="es-ES" w:eastAsia="en-GB"/>
        </w:rPr>
        <w:t>sin</w:t>
      </w:r>
      <w:r w:rsidR="003054BE" w:rsidRPr="00022A36">
        <w:rPr>
          <w:rFonts w:eastAsia="Times New Roman" w:cstheme="minorHAnsi"/>
          <w:noProof/>
          <w:lang w:val="es-ES" w:eastAsia="en-GB"/>
        </w:rPr>
        <w:t xml:space="preserve"> </w:t>
      </w:r>
      <w:r w:rsidR="00D7085C" w:rsidRPr="00022A36">
        <w:rPr>
          <w:rFonts w:eastAsia="Times New Roman" w:cstheme="minorHAnsi"/>
          <w:noProof/>
          <w:lang w:val="es-ES" w:eastAsia="en-GB"/>
        </w:rPr>
        <w:t>c</w:t>
      </w:r>
      <w:r w:rsidR="003054BE" w:rsidRPr="00022A36">
        <w:rPr>
          <w:rFonts w:eastAsia="Times New Roman" w:cstheme="minorHAnsi"/>
          <w:noProof/>
          <w:lang w:val="es-ES" w:eastAsia="en-GB"/>
        </w:rPr>
        <w:t>ontaminación.</w:t>
      </w:r>
    </w:p>
    <w:p w14:paraId="7BF57AA2" w14:textId="6BC5459F" w:rsidR="0094492C" w:rsidRPr="00022A36" w:rsidRDefault="0094492C" w:rsidP="003054BE">
      <w:pPr>
        <w:autoSpaceDE w:val="0"/>
        <w:autoSpaceDN w:val="0"/>
        <w:adjustRightInd w:val="0"/>
        <w:spacing w:after="0" w:line="240" w:lineRule="auto"/>
        <w:rPr>
          <w:rFonts w:cstheme="minorHAnsi"/>
          <w:noProof/>
          <w:lang w:val="es-ES"/>
        </w:rPr>
      </w:pPr>
    </w:p>
    <w:p w14:paraId="1B0FAA0E" w14:textId="469D50CA" w:rsidR="003054BE" w:rsidRPr="00022A36" w:rsidRDefault="009510FB" w:rsidP="000A264B">
      <w:pPr>
        <w:autoSpaceDE w:val="0"/>
        <w:autoSpaceDN w:val="0"/>
        <w:adjustRightInd w:val="0"/>
        <w:spacing w:after="0" w:line="240" w:lineRule="auto"/>
        <w:ind w:left="426" w:hanging="426"/>
        <w:rPr>
          <w:rFonts w:eastAsia="Times New Roman" w:cstheme="minorHAnsi"/>
          <w:noProof/>
          <w:lang w:val="es-ES" w:eastAsia="en-GB"/>
        </w:rPr>
      </w:pPr>
      <w:r w:rsidRPr="00022A36">
        <w:rPr>
          <w:rFonts w:eastAsia="Times New Roman" w:cstheme="minorHAnsi"/>
          <w:noProof/>
          <w:lang w:val="es-ES" w:eastAsia="en-GB"/>
        </w:rPr>
        <w:t>4</w:t>
      </w:r>
      <w:r w:rsidR="00BB6EA8" w:rsidRPr="00022A36">
        <w:rPr>
          <w:rFonts w:eastAsia="Times New Roman" w:cstheme="minorHAnsi"/>
          <w:noProof/>
          <w:lang w:val="es-ES" w:eastAsia="en-GB"/>
        </w:rPr>
        <w:t>3</w:t>
      </w:r>
      <w:r w:rsidR="00981447" w:rsidRPr="00022A36">
        <w:rPr>
          <w:rFonts w:eastAsia="Times New Roman" w:cstheme="minorHAnsi"/>
          <w:noProof/>
          <w:lang w:val="es-ES" w:eastAsia="en-GB"/>
        </w:rPr>
        <w:t>.</w:t>
      </w:r>
      <w:r w:rsidR="00C6182C" w:rsidRPr="00022A36">
        <w:rPr>
          <w:rFonts w:eastAsia="Times New Roman" w:cstheme="minorHAnsi"/>
          <w:noProof/>
          <w:lang w:val="es-ES" w:eastAsia="en-GB"/>
        </w:rPr>
        <w:tab/>
      </w:r>
      <w:r w:rsidR="00B23D04" w:rsidRPr="00022A36">
        <w:rPr>
          <w:rFonts w:eastAsia="Times New Roman" w:cstheme="minorHAnsi"/>
          <w:noProof/>
          <w:lang w:val="es-ES" w:eastAsia="en-GB"/>
        </w:rPr>
        <w:t>Por encargo del EMG, la</w:t>
      </w:r>
      <w:r w:rsidR="003054BE" w:rsidRPr="00022A36">
        <w:rPr>
          <w:rFonts w:eastAsia="Times New Roman" w:cstheme="minorHAnsi"/>
          <w:noProof/>
          <w:lang w:val="es-ES" w:eastAsia="en-GB"/>
        </w:rPr>
        <w:t xml:space="preserve"> Secretaría participó en la elaboración del informe </w:t>
      </w:r>
      <w:r w:rsidR="003054BE" w:rsidRPr="00022A36">
        <w:rPr>
          <w:rFonts w:eastAsia="Times New Roman" w:cstheme="minorHAnsi"/>
          <w:i/>
          <w:iCs/>
          <w:noProof/>
          <w:lang w:val="es-ES" w:eastAsia="en-GB"/>
        </w:rPr>
        <w:t>An overview of UN Activities and Initiatives related to Marine Litter and Microplastics</w:t>
      </w:r>
      <w:r w:rsidR="00B23D04" w:rsidRPr="00022A36">
        <w:rPr>
          <w:rFonts w:eastAsia="Times New Roman" w:cstheme="minorHAnsi"/>
          <w:i/>
          <w:iCs/>
          <w:noProof/>
          <w:lang w:val="es-ES" w:eastAsia="en-GB"/>
        </w:rPr>
        <w:t xml:space="preserve"> </w:t>
      </w:r>
      <w:r w:rsidR="00B23D04" w:rsidRPr="00022A36">
        <w:rPr>
          <w:rFonts w:eastAsia="Times New Roman" w:cstheme="minorHAnsi"/>
          <w:noProof/>
          <w:lang w:val="es-ES" w:eastAsia="en-GB"/>
        </w:rPr>
        <w:t>[Sinopsis de las actividades e iniciativas de las Naciones Unidas relacionadas con los desechos marinos y los microplásticos]</w:t>
      </w:r>
      <w:r w:rsidR="003054BE" w:rsidRPr="00022A36">
        <w:rPr>
          <w:rFonts w:eastAsia="Times New Roman" w:cstheme="minorHAnsi"/>
          <w:noProof/>
          <w:lang w:val="es-ES" w:eastAsia="en-GB"/>
        </w:rPr>
        <w:t xml:space="preserve">, </w:t>
      </w:r>
      <w:r w:rsidR="00B23D04" w:rsidRPr="00022A36">
        <w:rPr>
          <w:rFonts w:eastAsia="Times New Roman" w:cstheme="minorHAnsi"/>
          <w:noProof/>
          <w:lang w:val="es-ES" w:eastAsia="en-GB"/>
        </w:rPr>
        <w:t>destacando que</w:t>
      </w:r>
      <w:r w:rsidR="003054BE" w:rsidRPr="00022A36">
        <w:rPr>
          <w:rFonts w:eastAsia="Times New Roman" w:cstheme="minorHAnsi"/>
          <w:noProof/>
          <w:lang w:val="es-ES" w:eastAsia="en-GB"/>
        </w:rPr>
        <w:t xml:space="preserve"> los desechos marinos y los microplásticos </w:t>
      </w:r>
      <w:r w:rsidR="003B0874" w:rsidRPr="00022A36">
        <w:rPr>
          <w:rFonts w:eastAsia="Times New Roman" w:cstheme="minorHAnsi"/>
          <w:noProof/>
          <w:lang w:val="es-ES" w:eastAsia="en-GB"/>
        </w:rPr>
        <w:t>se</w:t>
      </w:r>
      <w:r w:rsidR="003054BE" w:rsidRPr="00022A36">
        <w:rPr>
          <w:rFonts w:eastAsia="Times New Roman" w:cstheme="minorHAnsi"/>
          <w:noProof/>
          <w:lang w:val="es-ES" w:eastAsia="en-GB"/>
        </w:rPr>
        <w:t xml:space="preserve"> transporta</w:t>
      </w:r>
      <w:r w:rsidR="003B0874" w:rsidRPr="00022A36">
        <w:rPr>
          <w:rFonts w:eastAsia="Times New Roman" w:cstheme="minorHAnsi"/>
          <w:noProof/>
          <w:lang w:val="es-ES" w:eastAsia="en-GB"/>
        </w:rPr>
        <w:t>n</w:t>
      </w:r>
      <w:r w:rsidR="003054BE" w:rsidRPr="00022A36">
        <w:rPr>
          <w:rFonts w:eastAsia="Times New Roman" w:cstheme="minorHAnsi"/>
          <w:noProof/>
          <w:lang w:val="es-ES" w:eastAsia="en-GB"/>
        </w:rPr>
        <w:t xml:space="preserve"> a los mares y océanos </w:t>
      </w:r>
      <w:r w:rsidR="00B23D04" w:rsidRPr="00022A36">
        <w:rPr>
          <w:rFonts w:eastAsia="Times New Roman" w:cstheme="minorHAnsi"/>
          <w:noProof/>
          <w:lang w:val="es-ES" w:eastAsia="en-GB"/>
        </w:rPr>
        <w:t>sobre todo</w:t>
      </w:r>
      <w:r w:rsidR="003054BE" w:rsidRPr="00022A36">
        <w:rPr>
          <w:rFonts w:eastAsia="Times New Roman" w:cstheme="minorHAnsi"/>
          <w:noProof/>
          <w:lang w:val="es-ES" w:eastAsia="en-GB"/>
        </w:rPr>
        <w:t xml:space="preserve"> a través de los humedales continentales y costeros, que la contaminación </w:t>
      </w:r>
      <w:r w:rsidR="00851CB6" w:rsidRPr="00022A36">
        <w:rPr>
          <w:rFonts w:eastAsia="Times New Roman" w:cstheme="minorHAnsi"/>
          <w:noProof/>
          <w:lang w:val="es-ES" w:eastAsia="en-GB"/>
        </w:rPr>
        <w:t xml:space="preserve">por </w:t>
      </w:r>
      <w:r w:rsidR="003054BE" w:rsidRPr="00022A36">
        <w:rPr>
          <w:rFonts w:eastAsia="Times New Roman" w:cstheme="minorHAnsi"/>
          <w:noProof/>
          <w:lang w:val="es-ES" w:eastAsia="en-GB"/>
        </w:rPr>
        <w:t>plástic</w:t>
      </w:r>
      <w:r w:rsidR="00851CB6" w:rsidRPr="00022A36">
        <w:rPr>
          <w:rFonts w:eastAsia="Times New Roman" w:cstheme="minorHAnsi"/>
          <w:noProof/>
          <w:lang w:val="es-ES" w:eastAsia="en-GB"/>
        </w:rPr>
        <w:t>os</w:t>
      </w:r>
      <w:r w:rsidR="003054BE" w:rsidRPr="00022A36">
        <w:rPr>
          <w:rFonts w:eastAsia="Times New Roman" w:cstheme="minorHAnsi"/>
          <w:noProof/>
          <w:lang w:val="es-ES" w:eastAsia="en-GB"/>
        </w:rPr>
        <w:t xml:space="preserve"> puede causar una degradación </w:t>
      </w:r>
      <w:r w:rsidR="00B23D04" w:rsidRPr="00022A36">
        <w:rPr>
          <w:rFonts w:eastAsia="Times New Roman" w:cstheme="minorHAnsi"/>
          <w:noProof/>
          <w:lang w:val="es-ES" w:eastAsia="en-GB"/>
        </w:rPr>
        <w:t>considerable</w:t>
      </w:r>
      <w:r w:rsidR="003054BE" w:rsidRPr="00022A36">
        <w:rPr>
          <w:rFonts w:eastAsia="Times New Roman" w:cstheme="minorHAnsi"/>
          <w:noProof/>
          <w:lang w:val="es-ES" w:eastAsia="en-GB"/>
        </w:rPr>
        <w:t xml:space="preserve"> de los humedales y sus servicios, que algunas especies dependientes de los humedales son </w:t>
      </w:r>
      <w:r w:rsidR="00B23D04" w:rsidRPr="00022A36">
        <w:rPr>
          <w:rFonts w:eastAsia="Times New Roman" w:cstheme="minorHAnsi"/>
          <w:noProof/>
          <w:lang w:val="es-ES" w:eastAsia="en-GB"/>
        </w:rPr>
        <w:t>especial</w:t>
      </w:r>
      <w:r w:rsidR="003054BE" w:rsidRPr="00022A36">
        <w:rPr>
          <w:rFonts w:eastAsia="Times New Roman" w:cstheme="minorHAnsi"/>
          <w:noProof/>
          <w:lang w:val="es-ES" w:eastAsia="en-GB"/>
        </w:rPr>
        <w:t xml:space="preserve">mente vulnerables a la contaminación </w:t>
      </w:r>
      <w:r w:rsidR="00B23D04" w:rsidRPr="00022A36">
        <w:rPr>
          <w:rFonts w:eastAsia="Times New Roman" w:cstheme="minorHAnsi"/>
          <w:noProof/>
          <w:lang w:val="es-ES" w:eastAsia="en-GB"/>
        </w:rPr>
        <w:t xml:space="preserve">por </w:t>
      </w:r>
      <w:r w:rsidR="003054BE" w:rsidRPr="00022A36">
        <w:rPr>
          <w:rFonts w:eastAsia="Times New Roman" w:cstheme="minorHAnsi"/>
          <w:noProof/>
          <w:lang w:val="es-ES" w:eastAsia="en-GB"/>
        </w:rPr>
        <w:t>plástic</w:t>
      </w:r>
      <w:r w:rsidR="00B23D04" w:rsidRPr="00022A36">
        <w:rPr>
          <w:rFonts w:eastAsia="Times New Roman" w:cstheme="minorHAnsi"/>
          <w:noProof/>
          <w:lang w:val="es-ES" w:eastAsia="en-GB"/>
        </w:rPr>
        <w:t>o</w:t>
      </w:r>
      <w:r w:rsidR="00D7085C" w:rsidRPr="00022A36">
        <w:rPr>
          <w:rFonts w:eastAsia="Times New Roman" w:cstheme="minorHAnsi"/>
          <w:noProof/>
          <w:lang w:val="es-ES" w:eastAsia="en-GB"/>
        </w:rPr>
        <w:t>s</w:t>
      </w:r>
      <w:r w:rsidR="00B23D04" w:rsidRPr="00022A36">
        <w:rPr>
          <w:rFonts w:eastAsia="Times New Roman" w:cstheme="minorHAnsi"/>
          <w:noProof/>
          <w:lang w:val="es-ES" w:eastAsia="en-GB"/>
        </w:rPr>
        <w:t xml:space="preserve"> </w:t>
      </w:r>
      <w:r w:rsidR="003054BE" w:rsidRPr="00022A36">
        <w:rPr>
          <w:rFonts w:eastAsia="Times New Roman" w:cstheme="minorHAnsi"/>
          <w:noProof/>
          <w:lang w:val="es-ES" w:eastAsia="en-GB"/>
        </w:rPr>
        <w:t xml:space="preserve">debido a </w:t>
      </w:r>
      <w:r w:rsidR="003B0874" w:rsidRPr="00022A36">
        <w:rPr>
          <w:rFonts w:eastAsia="Times New Roman" w:cstheme="minorHAnsi"/>
          <w:noProof/>
          <w:lang w:val="es-ES" w:eastAsia="en-GB"/>
        </w:rPr>
        <w:t>sus rasgos de conducta y ecología</w:t>
      </w:r>
      <w:r w:rsidR="003054BE" w:rsidRPr="00022A36">
        <w:rPr>
          <w:rFonts w:eastAsia="Times New Roman" w:cstheme="minorHAnsi"/>
          <w:noProof/>
          <w:lang w:val="es-ES" w:eastAsia="en-GB"/>
        </w:rPr>
        <w:t>, y que esto debe tenerse en cuenta en las soluciones para reducir dicha contaminación.</w:t>
      </w:r>
    </w:p>
    <w:p w14:paraId="0A0CC38D" w14:textId="77777777" w:rsidR="0094492C" w:rsidRPr="00022A36" w:rsidRDefault="0094492C" w:rsidP="00B23D04">
      <w:pPr>
        <w:autoSpaceDE w:val="0"/>
        <w:autoSpaceDN w:val="0"/>
        <w:adjustRightInd w:val="0"/>
        <w:spacing w:after="0" w:line="240" w:lineRule="auto"/>
        <w:rPr>
          <w:rFonts w:cstheme="minorHAnsi"/>
          <w:noProof/>
          <w:lang w:val="es-ES"/>
        </w:rPr>
      </w:pPr>
    </w:p>
    <w:p w14:paraId="6A04F0B6" w14:textId="3A13E099" w:rsidR="00FD2EFA" w:rsidRPr="00022A36" w:rsidRDefault="00B23D04" w:rsidP="000A264B">
      <w:pPr>
        <w:keepNext/>
        <w:autoSpaceDE w:val="0"/>
        <w:autoSpaceDN w:val="0"/>
        <w:adjustRightInd w:val="0"/>
        <w:spacing w:after="0" w:line="240" w:lineRule="auto"/>
        <w:ind w:left="426" w:hanging="426"/>
        <w:rPr>
          <w:rFonts w:cstheme="minorHAnsi"/>
          <w:i/>
          <w:noProof/>
          <w:lang w:val="es-ES"/>
        </w:rPr>
      </w:pPr>
      <w:r w:rsidRPr="00022A36">
        <w:rPr>
          <w:rFonts w:cstheme="minorHAnsi"/>
          <w:i/>
          <w:noProof/>
          <w:lang w:val="es-ES"/>
        </w:rPr>
        <w:t>Colaboración con el PNUMA</w:t>
      </w:r>
    </w:p>
    <w:p w14:paraId="2FB3160D" w14:textId="7EEB1CFB" w:rsidR="009C2848" w:rsidRPr="00022A36" w:rsidRDefault="009C2848" w:rsidP="00D7085C">
      <w:pPr>
        <w:keepNext/>
        <w:spacing w:after="0" w:line="240" w:lineRule="auto"/>
        <w:rPr>
          <w:rFonts w:eastAsia="Times New Roman" w:cstheme="minorHAnsi"/>
          <w:noProof/>
          <w:lang w:val="es-ES" w:eastAsia="en-GB"/>
        </w:rPr>
      </w:pPr>
    </w:p>
    <w:p w14:paraId="2931937B" w14:textId="71D0B84C" w:rsidR="00B23D04" w:rsidRPr="00022A36" w:rsidRDefault="009510FB" w:rsidP="000A264B">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4</w:t>
      </w:r>
      <w:r w:rsidR="00BB6EA8" w:rsidRPr="00022A36">
        <w:rPr>
          <w:rFonts w:eastAsia="Times New Roman" w:cstheme="minorHAnsi"/>
          <w:noProof/>
          <w:lang w:val="es-ES" w:eastAsia="en-GB"/>
        </w:rPr>
        <w:t>4</w:t>
      </w:r>
      <w:r w:rsidR="009C2848" w:rsidRPr="00022A36">
        <w:rPr>
          <w:rFonts w:eastAsia="Times New Roman" w:cstheme="minorHAnsi"/>
          <w:noProof/>
          <w:lang w:val="es-ES" w:eastAsia="en-GB"/>
        </w:rPr>
        <w:t>.</w:t>
      </w:r>
      <w:r w:rsidR="009C2848" w:rsidRPr="00022A36">
        <w:rPr>
          <w:rFonts w:eastAsia="Times New Roman" w:cstheme="minorHAnsi"/>
          <w:noProof/>
          <w:lang w:val="es-ES" w:eastAsia="en-GB"/>
        </w:rPr>
        <w:tab/>
      </w:r>
      <w:r w:rsidR="00B23D04" w:rsidRPr="00022A36">
        <w:rPr>
          <w:rFonts w:eastAsia="Times New Roman" w:cstheme="minorHAnsi"/>
          <w:noProof/>
          <w:lang w:val="es-ES" w:eastAsia="en-GB"/>
        </w:rPr>
        <w:t xml:space="preserve">La Secretaría y el PNUMA continúan realizando actividades </w:t>
      </w:r>
      <w:r w:rsidR="00F55865" w:rsidRPr="00022A36">
        <w:rPr>
          <w:rFonts w:eastAsia="Times New Roman" w:cstheme="minorHAnsi"/>
          <w:noProof/>
          <w:lang w:val="es-ES" w:eastAsia="en-GB"/>
        </w:rPr>
        <w:t>en</w:t>
      </w:r>
      <w:r w:rsidR="00B23D04" w:rsidRPr="00022A36">
        <w:rPr>
          <w:rFonts w:eastAsia="Times New Roman" w:cstheme="minorHAnsi"/>
          <w:noProof/>
          <w:lang w:val="es-ES" w:eastAsia="en-GB"/>
        </w:rPr>
        <w:t xml:space="preserve"> </w:t>
      </w:r>
      <w:r w:rsidR="00F55865" w:rsidRPr="00022A36">
        <w:rPr>
          <w:rFonts w:eastAsia="Times New Roman" w:cstheme="minorHAnsi"/>
          <w:noProof/>
          <w:lang w:val="es-ES" w:eastAsia="en-GB"/>
        </w:rPr>
        <w:t>colaboración</w:t>
      </w:r>
      <w:r w:rsidR="00B23D04" w:rsidRPr="00022A36">
        <w:rPr>
          <w:rFonts w:eastAsia="Times New Roman" w:cstheme="minorHAnsi"/>
          <w:noProof/>
          <w:lang w:val="es-ES" w:eastAsia="en-GB"/>
        </w:rPr>
        <w:t xml:space="preserve"> para promover sinergias y mejorar la aplicación de la Convención, y se están tomando medidas para </w:t>
      </w:r>
      <w:r w:rsidR="00F55865" w:rsidRPr="00022A36">
        <w:rPr>
          <w:rFonts w:eastAsia="Times New Roman" w:cstheme="minorHAnsi"/>
          <w:noProof/>
          <w:lang w:val="es-ES" w:eastAsia="en-GB"/>
        </w:rPr>
        <w:t>renovar</w:t>
      </w:r>
      <w:r w:rsidR="00B23D04" w:rsidRPr="00022A36">
        <w:rPr>
          <w:rFonts w:eastAsia="Times New Roman" w:cstheme="minorHAnsi"/>
          <w:noProof/>
          <w:lang w:val="es-ES" w:eastAsia="en-GB"/>
        </w:rPr>
        <w:t xml:space="preserve"> el memorando de entendimiento.</w:t>
      </w:r>
    </w:p>
    <w:p w14:paraId="33203B94" w14:textId="77777777" w:rsidR="0062622F" w:rsidRPr="00022A36" w:rsidRDefault="0062622F" w:rsidP="00B23D04">
      <w:pPr>
        <w:suppressAutoHyphens/>
        <w:spacing w:after="0" w:line="240" w:lineRule="auto"/>
        <w:rPr>
          <w:rFonts w:eastAsia="Times New Roman" w:cstheme="minorHAnsi"/>
          <w:noProof/>
          <w:color w:val="000000"/>
          <w:lang w:val="es-ES" w:eastAsia="en-GB"/>
        </w:rPr>
      </w:pPr>
    </w:p>
    <w:p w14:paraId="371C8F66" w14:textId="1DC6B915" w:rsidR="00B23D04" w:rsidRPr="00022A36" w:rsidRDefault="00BB6EA8" w:rsidP="002E77BF">
      <w:pPr>
        <w:tabs>
          <w:tab w:val="left" w:pos="426"/>
        </w:tabs>
        <w:autoSpaceDE w:val="0"/>
        <w:autoSpaceDN w:val="0"/>
        <w:adjustRightInd w:val="0"/>
        <w:spacing w:after="0" w:line="240" w:lineRule="auto"/>
        <w:ind w:left="425" w:hanging="425"/>
        <w:rPr>
          <w:rFonts w:eastAsia="Times New Roman" w:cstheme="minorHAnsi"/>
          <w:noProof/>
          <w:color w:val="000000"/>
          <w:lang w:val="es-ES" w:eastAsia="en-GB"/>
        </w:rPr>
      </w:pPr>
      <w:r w:rsidRPr="00022A36">
        <w:rPr>
          <w:rFonts w:eastAsia="Times New Roman" w:cstheme="minorHAnsi"/>
          <w:noProof/>
          <w:color w:val="000000"/>
          <w:lang w:val="es-ES" w:eastAsia="en-GB"/>
        </w:rPr>
        <w:t>45</w:t>
      </w:r>
      <w:r w:rsidR="00FD2EFA" w:rsidRPr="00022A36">
        <w:rPr>
          <w:rFonts w:eastAsia="Times New Roman" w:cstheme="minorHAnsi"/>
          <w:noProof/>
          <w:color w:val="000000"/>
          <w:lang w:val="es-ES" w:eastAsia="en-GB"/>
        </w:rPr>
        <w:t>.</w:t>
      </w:r>
      <w:r w:rsidR="00FD2EFA" w:rsidRPr="00022A36">
        <w:rPr>
          <w:rFonts w:eastAsia="Times New Roman" w:cstheme="minorHAnsi"/>
          <w:noProof/>
          <w:color w:val="000000"/>
          <w:lang w:val="es-ES" w:eastAsia="en-GB"/>
        </w:rPr>
        <w:tab/>
      </w:r>
      <w:r w:rsidR="00B23D04" w:rsidRPr="00022A36">
        <w:rPr>
          <w:rFonts w:eastAsia="Times New Roman" w:cstheme="minorHAnsi"/>
          <w:noProof/>
          <w:color w:val="000000"/>
          <w:lang w:val="es-ES" w:eastAsia="en-GB"/>
        </w:rPr>
        <w:t xml:space="preserve">Como se indicó en el párrafo 3, más arriba, la Convención sobre los Humedales, en su calidad de custodio conjunto con el PNUMA del Indicador 6.6.1 de los ODS, preparó un argumento en colaboración con el PNUMA para el Informe del Secretario General de las Naciones Unidas sobre los ODS para el Foro Político de Alto Nivel </w:t>
      </w:r>
      <w:r w:rsidR="009704A0" w:rsidRPr="00022A36">
        <w:rPr>
          <w:rFonts w:eastAsia="Times New Roman" w:cstheme="minorHAnsi"/>
          <w:noProof/>
          <w:color w:val="000000"/>
          <w:lang w:val="es-ES" w:eastAsia="en-GB"/>
        </w:rPr>
        <w:t>de</w:t>
      </w:r>
      <w:r w:rsidR="00B23D04" w:rsidRPr="00022A36">
        <w:rPr>
          <w:rFonts w:eastAsia="Times New Roman" w:cstheme="minorHAnsi"/>
          <w:noProof/>
          <w:color w:val="000000"/>
          <w:lang w:val="es-ES" w:eastAsia="en-GB"/>
        </w:rPr>
        <w:t xml:space="preserve"> julio de 2022.</w:t>
      </w:r>
    </w:p>
    <w:p w14:paraId="07939D22" w14:textId="77777777" w:rsidR="009C2848" w:rsidRPr="00022A36" w:rsidRDefault="009C2848" w:rsidP="009704A0">
      <w:pPr>
        <w:suppressAutoHyphens/>
        <w:spacing w:after="0" w:line="240" w:lineRule="auto"/>
        <w:rPr>
          <w:rFonts w:eastAsia="Times New Roman" w:cstheme="minorHAnsi"/>
          <w:noProof/>
          <w:color w:val="000000"/>
          <w:lang w:val="es-ES" w:eastAsia="en-GB"/>
        </w:rPr>
      </w:pPr>
    </w:p>
    <w:p w14:paraId="0F79DFF5" w14:textId="599457EF" w:rsidR="009704A0" w:rsidRPr="00022A36" w:rsidRDefault="00BB6EA8" w:rsidP="000A264B">
      <w:pPr>
        <w:suppressAutoHyphens/>
        <w:spacing w:after="0" w:line="240" w:lineRule="auto"/>
        <w:ind w:left="425" w:hanging="425"/>
        <w:rPr>
          <w:rFonts w:eastAsia="Times New Roman" w:cstheme="minorHAnsi"/>
          <w:noProof/>
          <w:color w:val="000000"/>
          <w:lang w:val="es-ES" w:eastAsia="en-GB"/>
        </w:rPr>
      </w:pPr>
      <w:r w:rsidRPr="00022A36">
        <w:rPr>
          <w:rFonts w:eastAsia="Times New Roman" w:cstheme="minorHAnsi"/>
          <w:noProof/>
          <w:color w:val="000000"/>
          <w:lang w:val="es-ES" w:eastAsia="en-GB"/>
        </w:rPr>
        <w:t>46.</w:t>
      </w:r>
      <w:r w:rsidR="009C2848" w:rsidRPr="00022A36">
        <w:rPr>
          <w:rFonts w:eastAsia="Times New Roman" w:cstheme="minorHAnsi"/>
          <w:noProof/>
          <w:color w:val="000000"/>
          <w:lang w:val="es-ES" w:eastAsia="en-GB"/>
        </w:rPr>
        <w:tab/>
      </w:r>
      <w:r w:rsidR="009704A0" w:rsidRPr="00022A36">
        <w:rPr>
          <w:rFonts w:eastAsia="Times New Roman" w:cstheme="minorHAnsi"/>
          <w:noProof/>
          <w:color w:val="000000"/>
          <w:lang w:val="es-ES" w:eastAsia="en-GB"/>
        </w:rPr>
        <w:t>La Secretaría continuó participando en el proyecto de sinergias “Realizing Synergies for Biodiversity” [</w:t>
      </w:r>
      <w:r w:rsidR="00AB232C" w:rsidRPr="00022A36">
        <w:rPr>
          <w:rFonts w:eastAsia="Times New Roman" w:cstheme="minorHAnsi"/>
          <w:noProof/>
          <w:color w:val="000000"/>
          <w:lang w:val="es-ES" w:eastAsia="en-GB"/>
        </w:rPr>
        <w:t>S</w:t>
      </w:r>
      <w:r w:rsidR="009704A0" w:rsidRPr="00022A36">
        <w:rPr>
          <w:rFonts w:eastAsia="Times New Roman" w:cstheme="minorHAnsi"/>
          <w:noProof/>
          <w:color w:val="000000"/>
          <w:lang w:val="es-ES" w:eastAsia="en-GB"/>
        </w:rPr>
        <w:t xml:space="preserve">inergias </w:t>
      </w:r>
      <w:r w:rsidR="00AB232C" w:rsidRPr="00022A36">
        <w:rPr>
          <w:rFonts w:eastAsia="Times New Roman" w:cstheme="minorHAnsi"/>
          <w:noProof/>
          <w:color w:val="000000"/>
          <w:lang w:val="es-ES" w:eastAsia="en-GB"/>
        </w:rPr>
        <w:t>a favor de</w:t>
      </w:r>
      <w:r w:rsidR="009704A0" w:rsidRPr="00022A36">
        <w:rPr>
          <w:rFonts w:eastAsia="Times New Roman" w:cstheme="minorHAnsi"/>
          <w:noProof/>
          <w:color w:val="000000"/>
          <w:lang w:val="es-ES" w:eastAsia="en-GB"/>
        </w:rPr>
        <w:t xml:space="preserve"> la biodiversidad] dirigido por el PNUMA con la participación de los otras Convenciones relacionadas con la biodiversidad, en respuesta a la Resolución 2/17 de la Asamblea de las Naciones Unidas para el Medio Ambiente (UNEA).</w:t>
      </w:r>
    </w:p>
    <w:p w14:paraId="254EDFEE" w14:textId="0AD4C8BE" w:rsidR="00F57B2D" w:rsidRPr="00022A36" w:rsidRDefault="00F57B2D" w:rsidP="009704A0">
      <w:pPr>
        <w:suppressAutoHyphens/>
        <w:spacing w:after="0" w:line="240" w:lineRule="auto"/>
        <w:rPr>
          <w:rFonts w:eastAsia="Times New Roman" w:cstheme="minorHAnsi"/>
          <w:noProof/>
          <w:color w:val="000000"/>
          <w:lang w:val="es-ES" w:eastAsia="en-GB"/>
        </w:rPr>
      </w:pPr>
    </w:p>
    <w:p w14:paraId="2E8C9339" w14:textId="4F65EE8F" w:rsidR="009704A0" w:rsidRPr="00022A36" w:rsidRDefault="002E389B" w:rsidP="002E77BF">
      <w:pPr>
        <w:spacing w:after="0" w:line="240" w:lineRule="auto"/>
        <w:ind w:left="425" w:hanging="425"/>
        <w:rPr>
          <w:rFonts w:eastAsia="Times New Roman" w:cstheme="minorHAnsi"/>
          <w:noProof/>
          <w:color w:val="000000"/>
          <w:lang w:val="es-ES" w:eastAsia="en-GB"/>
        </w:rPr>
      </w:pPr>
      <w:r w:rsidRPr="00022A36">
        <w:rPr>
          <w:rFonts w:eastAsia="Times New Roman" w:cstheme="minorHAnsi"/>
          <w:noProof/>
          <w:color w:val="000000"/>
          <w:lang w:val="es-ES" w:eastAsia="en-GB"/>
        </w:rPr>
        <w:t>4</w:t>
      </w:r>
      <w:r w:rsidR="00BB6EA8" w:rsidRPr="00022A36">
        <w:rPr>
          <w:rFonts w:eastAsia="Times New Roman" w:cstheme="minorHAnsi"/>
          <w:noProof/>
          <w:color w:val="000000"/>
          <w:lang w:val="es-ES" w:eastAsia="en-GB"/>
        </w:rPr>
        <w:t>7</w:t>
      </w:r>
      <w:r w:rsidR="00981447" w:rsidRPr="00022A36">
        <w:rPr>
          <w:rFonts w:eastAsia="Times New Roman" w:cstheme="minorHAnsi"/>
          <w:noProof/>
          <w:color w:val="000000"/>
          <w:lang w:val="es-ES" w:eastAsia="en-GB"/>
        </w:rPr>
        <w:t>.</w:t>
      </w:r>
      <w:r w:rsidR="00EB5D3E" w:rsidRPr="00022A36">
        <w:rPr>
          <w:rFonts w:eastAsia="Times New Roman" w:cstheme="minorHAnsi"/>
          <w:noProof/>
          <w:color w:val="000000"/>
          <w:lang w:val="es-ES" w:eastAsia="en-GB"/>
        </w:rPr>
        <w:tab/>
      </w:r>
      <w:r w:rsidR="009704A0" w:rsidRPr="00022A36">
        <w:rPr>
          <w:rFonts w:eastAsia="Times New Roman" w:cstheme="minorHAnsi"/>
          <w:noProof/>
          <w:color w:val="000000"/>
          <w:lang w:val="es-ES" w:eastAsia="en-GB"/>
        </w:rPr>
        <w:t>La Secretaría participó como conferenciante en un curso interactivo en línea sobre “aplicación de acuerdos multilaterales” organizado por el PNUMA y el Centro de Gobernanza y Sostenibilidad de la Universidad de Massachusetts Boston en noviembre de 2022, con especial énfasis en los países de la Comunidad para el Desarrollo del África Austral.</w:t>
      </w:r>
    </w:p>
    <w:p w14:paraId="2A7F9F6D" w14:textId="5EA914FF" w:rsidR="0056447C" w:rsidRPr="00022A36" w:rsidRDefault="0056447C" w:rsidP="009704A0">
      <w:pPr>
        <w:suppressAutoHyphens/>
        <w:spacing w:after="0" w:line="240" w:lineRule="auto"/>
        <w:rPr>
          <w:rFonts w:eastAsia="Times New Roman" w:cstheme="minorHAnsi"/>
          <w:noProof/>
          <w:color w:val="000000"/>
          <w:lang w:val="es-ES" w:eastAsia="en-GB"/>
        </w:rPr>
      </w:pPr>
    </w:p>
    <w:p w14:paraId="392E45CD" w14:textId="5ADFF80C" w:rsidR="009704A0" w:rsidRPr="00022A36" w:rsidRDefault="002E389B" w:rsidP="000A264B">
      <w:pPr>
        <w:suppressAutoHyphens/>
        <w:spacing w:after="0" w:line="240" w:lineRule="auto"/>
        <w:ind w:left="425" w:hanging="425"/>
        <w:rPr>
          <w:rFonts w:eastAsia="Times New Roman" w:cstheme="minorHAnsi"/>
          <w:noProof/>
          <w:color w:val="000000"/>
          <w:lang w:val="es-ES" w:eastAsia="en-GB"/>
        </w:rPr>
      </w:pPr>
      <w:r w:rsidRPr="00022A36">
        <w:rPr>
          <w:rFonts w:eastAsia="Times New Roman" w:cstheme="minorHAnsi"/>
          <w:noProof/>
          <w:color w:val="000000"/>
          <w:lang w:val="es-ES" w:eastAsia="en-GB"/>
        </w:rPr>
        <w:t>4</w:t>
      </w:r>
      <w:r w:rsidR="00BB6EA8" w:rsidRPr="00022A36">
        <w:rPr>
          <w:rFonts w:eastAsia="Times New Roman" w:cstheme="minorHAnsi"/>
          <w:noProof/>
          <w:color w:val="000000"/>
          <w:lang w:val="es-ES" w:eastAsia="en-GB"/>
        </w:rPr>
        <w:t>8</w:t>
      </w:r>
      <w:r w:rsidR="009C2848" w:rsidRPr="00022A36">
        <w:rPr>
          <w:rFonts w:eastAsia="Times New Roman" w:cstheme="minorHAnsi"/>
          <w:noProof/>
          <w:color w:val="000000"/>
          <w:lang w:val="es-ES" w:eastAsia="en-GB"/>
        </w:rPr>
        <w:t>.</w:t>
      </w:r>
      <w:r w:rsidR="009C2848" w:rsidRPr="00022A36">
        <w:rPr>
          <w:rFonts w:eastAsia="Times New Roman" w:cstheme="minorHAnsi"/>
          <w:noProof/>
          <w:color w:val="000000"/>
          <w:lang w:val="es-ES" w:eastAsia="en-GB"/>
        </w:rPr>
        <w:tab/>
      </w:r>
      <w:r w:rsidR="009704A0" w:rsidRPr="00022A36">
        <w:rPr>
          <w:rFonts w:eastAsia="Times New Roman" w:cstheme="minorHAnsi"/>
          <w:noProof/>
          <w:color w:val="000000"/>
          <w:lang w:val="es-ES" w:eastAsia="en-GB"/>
        </w:rPr>
        <w:t xml:space="preserve">La Secretaría siguió </w:t>
      </w:r>
      <w:r w:rsidR="00AB232C" w:rsidRPr="00022A36">
        <w:rPr>
          <w:rFonts w:eastAsia="Times New Roman" w:cstheme="minorHAnsi"/>
          <w:noProof/>
          <w:color w:val="000000"/>
          <w:lang w:val="es-ES" w:eastAsia="en-GB"/>
        </w:rPr>
        <w:t>aportando</w:t>
      </w:r>
      <w:r w:rsidR="009704A0" w:rsidRPr="00022A36">
        <w:rPr>
          <w:rFonts w:eastAsia="Times New Roman" w:cstheme="minorHAnsi"/>
          <w:noProof/>
          <w:color w:val="000000"/>
          <w:lang w:val="es-ES" w:eastAsia="en-GB"/>
        </w:rPr>
        <w:t xml:space="preserve"> a la iniciativa InforMEA y participó en la 13ª reunión del Comité Directivo de InforMEA que se celebró en Montreux (Suiza) en octubre de 2022. La Secretaría contribuyó en temas como la aplicación de la API (interoperabilidad de sitios web), indexación semántica y aprendizaje por Internet.</w:t>
      </w:r>
    </w:p>
    <w:p w14:paraId="1E3F3633" w14:textId="5BB01D66" w:rsidR="00590992" w:rsidRPr="00022A36" w:rsidRDefault="00590992" w:rsidP="009704A0">
      <w:pPr>
        <w:spacing w:after="0" w:line="240" w:lineRule="auto"/>
        <w:rPr>
          <w:rFonts w:eastAsia="Times New Roman" w:cstheme="minorHAnsi"/>
          <w:noProof/>
          <w:color w:val="000000"/>
          <w:highlight w:val="yellow"/>
          <w:lang w:val="es-ES" w:eastAsia="en-GB"/>
        </w:rPr>
      </w:pPr>
    </w:p>
    <w:p w14:paraId="408EF80C" w14:textId="6CDB4FC7" w:rsidR="009704A0" w:rsidRPr="00022A36" w:rsidRDefault="00655BD4" w:rsidP="002E77BF">
      <w:pPr>
        <w:spacing w:after="0" w:line="240" w:lineRule="auto"/>
        <w:ind w:left="425" w:hanging="425"/>
        <w:rPr>
          <w:rFonts w:cstheme="minorHAnsi"/>
          <w:noProof/>
          <w:lang w:val="es-ES"/>
        </w:rPr>
      </w:pPr>
      <w:r w:rsidRPr="00022A36">
        <w:rPr>
          <w:rFonts w:cstheme="minorHAnsi"/>
          <w:noProof/>
          <w:lang w:val="es-ES"/>
        </w:rPr>
        <w:t>4</w:t>
      </w:r>
      <w:r w:rsidR="00BB6EA8" w:rsidRPr="00022A36">
        <w:rPr>
          <w:rFonts w:cstheme="minorHAnsi"/>
          <w:noProof/>
          <w:lang w:val="es-ES"/>
        </w:rPr>
        <w:t>9</w:t>
      </w:r>
      <w:r w:rsidR="00D822C8" w:rsidRPr="00022A36">
        <w:rPr>
          <w:rFonts w:cstheme="minorHAnsi"/>
          <w:noProof/>
          <w:lang w:val="es-ES"/>
        </w:rPr>
        <w:t>.</w:t>
      </w:r>
      <w:r w:rsidR="00D822C8" w:rsidRPr="00022A36">
        <w:rPr>
          <w:rFonts w:cstheme="minorHAnsi"/>
          <w:noProof/>
          <w:lang w:val="es-ES"/>
        </w:rPr>
        <w:tab/>
      </w:r>
      <w:r w:rsidR="009704A0" w:rsidRPr="00022A36">
        <w:rPr>
          <w:rFonts w:cstheme="minorHAnsi"/>
          <w:noProof/>
          <w:lang w:val="es-ES"/>
        </w:rPr>
        <w:t xml:space="preserve">Se ha </w:t>
      </w:r>
      <w:r w:rsidR="00AB232C" w:rsidRPr="00022A36">
        <w:rPr>
          <w:rFonts w:cstheme="minorHAnsi"/>
          <w:noProof/>
          <w:lang w:val="es-ES"/>
        </w:rPr>
        <w:t>elaborado</w:t>
      </w:r>
      <w:r w:rsidR="009704A0" w:rsidRPr="00022A36">
        <w:rPr>
          <w:rFonts w:cstheme="minorHAnsi"/>
          <w:noProof/>
          <w:lang w:val="es-ES"/>
        </w:rPr>
        <w:t xml:space="preserve"> un curso introductorio sobre la Convención</w:t>
      </w:r>
      <w:r w:rsidR="00AB232C" w:rsidRPr="00022A36">
        <w:rPr>
          <w:rFonts w:cstheme="minorHAnsi"/>
          <w:noProof/>
          <w:lang w:val="es-ES"/>
        </w:rPr>
        <w:t xml:space="preserve"> y se ha </w:t>
      </w:r>
      <w:r w:rsidR="00183CA3" w:rsidRPr="00022A36">
        <w:rPr>
          <w:rFonts w:cstheme="minorHAnsi"/>
          <w:noProof/>
          <w:lang w:val="es-ES"/>
        </w:rPr>
        <w:t>publicado</w:t>
      </w:r>
      <w:r w:rsidR="009704A0" w:rsidRPr="00022A36">
        <w:rPr>
          <w:rFonts w:cstheme="minorHAnsi"/>
          <w:noProof/>
          <w:lang w:val="es-ES"/>
        </w:rPr>
        <w:t xml:space="preserve"> </w:t>
      </w:r>
      <w:r w:rsidR="00AB232C" w:rsidRPr="00022A36">
        <w:rPr>
          <w:rFonts w:cstheme="minorHAnsi"/>
          <w:noProof/>
          <w:lang w:val="es-ES"/>
        </w:rPr>
        <w:t xml:space="preserve">un enlace </w:t>
      </w:r>
      <w:r w:rsidR="009704A0" w:rsidRPr="00022A36">
        <w:rPr>
          <w:rFonts w:cstheme="minorHAnsi"/>
          <w:noProof/>
          <w:lang w:val="es-ES"/>
        </w:rPr>
        <w:t xml:space="preserve">en su sitio web. El curso </w:t>
      </w:r>
      <w:r w:rsidR="00183CA3" w:rsidRPr="00022A36">
        <w:rPr>
          <w:rFonts w:cstheme="minorHAnsi"/>
          <w:noProof/>
          <w:lang w:val="es-ES"/>
        </w:rPr>
        <w:t>se encuentra en</w:t>
      </w:r>
      <w:r w:rsidR="009704A0" w:rsidRPr="00022A36">
        <w:rPr>
          <w:rFonts w:cstheme="minorHAnsi"/>
          <w:noProof/>
          <w:lang w:val="es-ES"/>
        </w:rPr>
        <w:t xml:space="preserve"> la plataforma de aprendizaje y conocimiento </w:t>
      </w:r>
      <w:r w:rsidR="00183CA3" w:rsidRPr="00022A36">
        <w:rPr>
          <w:rFonts w:cstheme="minorHAnsi"/>
          <w:noProof/>
          <w:lang w:val="es-ES"/>
        </w:rPr>
        <w:t xml:space="preserve">de </w:t>
      </w:r>
      <w:r w:rsidR="009704A0" w:rsidRPr="00022A36">
        <w:rPr>
          <w:rFonts w:cstheme="minorHAnsi"/>
          <w:noProof/>
          <w:lang w:val="es-ES"/>
        </w:rPr>
        <w:t xml:space="preserve">InforMEA en </w:t>
      </w:r>
      <w:r w:rsidR="00183CA3" w:rsidRPr="00022A36">
        <w:rPr>
          <w:rFonts w:cstheme="minorHAnsi"/>
          <w:noProof/>
          <w:lang w:val="es-ES"/>
        </w:rPr>
        <w:t>los tres idiomas de la Convención</w:t>
      </w:r>
      <w:r w:rsidR="009704A0" w:rsidRPr="00022A36">
        <w:rPr>
          <w:rFonts w:cstheme="minorHAnsi"/>
          <w:noProof/>
          <w:lang w:val="es-ES"/>
        </w:rPr>
        <w:t>.</w:t>
      </w:r>
    </w:p>
    <w:p w14:paraId="57F6E9DA" w14:textId="77777777" w:rsidR="00EB5D3E" w:rsidRPr="00022A36" w:rsidRDefault="00EB5D3E" w:rsidP="00183CA3">
      <w:pPr>
        <w:spacing w:after="0" w:line="240" w:lineRule="auto"/>
        <w:rPr>
          <w:rFonts w:cstheme="minorHAnsi"/>
          <w:noProof/>
          <w:lang w:val="es-ES"/>
        </w:rPr>
      </w:pPr>
    </w:p>
    <w:p w14:paraId="0F0C9491" w14:textId="6809BA76" w:rsidR="00183CA3" w:rsidRPr="00022A36" w:rsidRDefault="00BB6EA8" w:rsidP="00A31E10">
      <w:pPr>
        <w:suppressAutoHyphens/>
        <w:spacing w:after="0" w:line="240" w:lineRule="auto"/>
        <w:ind w:left="425" w:hanging="425"/>
        <w:rPr>
          <w:noProof/>
          <w:lang w:val="es-ES"/>
        </w:rPr>
      </w:pPr>
      <w:r w:rsidRPr="00022A36">
        <w:rPr>
          <w:rFonts w:eastAsia="Times New Roman"/>
          <w:noProof/>
          <w:color w:val="000000" w:themeColor="text1"/>
          <w:lang w:val="es-ES" w:eastAsia="en-GB"/>
        </w:rPr>
        <w:t>50</w:t>
      </w:r>
      <w:r w:rsidR="2A049287" w:rsidRPr="00022A36">
        <w:rPr>
          <w:rFonts w:eastAsia="Times New Roman"/>
          <w:noProof/>
          <w:color w:val="000000" w:themeColor="text1"/>
          <w:lang w:val="es-ES" w:eastAsia="en-GB"/>
        </w:rPr>
        <w:t>.</w:t>
      </w:r>
      <w:r w:rsidR="00655BD4" w:rsidRPr="00022A36">
        <w:rPr>
          <w:noProof/>
          <w:lang w:val="es-ES"/>
        </w:rPr>
        <w:tab/>
      </w:r>
      <w:r w:rsidR="00183CA3" w:rsidRPr="00022A36">
        <w:rPr>
          <w:noProof/>
          <w:lang w:val="es-ES"/>
        </w:rPr>
        <w:t xml:space="preserve">En su calidad de asociado mundial del Decenio de las Naciones Unidas para la Restauración de los Ecosistemas, la Secretaría sigue participando activamente en este programa y en el grupo de trabajo sobre </w:t>
      </w:r>
      <w:r w:rsidR="00C76294" w:rsidRPr="00022A36">
        <w:rPr>
          <w:noProof/>
          <w:lang w:val="es-ES"/>
        </w:rPr>
        <w:t>la vigilancia</w:t>
      </w:r>
      <w:r w:rsidR="00183CA3" w:rsidRPr="00022A36">
        <w:rPr>
          <w:noProof/>
          <w:lang w:val="es-ES"/>
        </w:rPr>
        <w:t xml:space="preserve"> de los ecosistemas acuáticos y de transición. Est</w:t>
      </w:r>
      <w:r w:rsidR="00C76294" w:rsidRPr="00022A36">
        <w:rPr>
          <w:noProof/>
          <w:lang w:val="es-ES"/>
        </w:rPr>
        <w:t xml:space="preserve">as iniciativas </w:t>
      </w:r>
      <w:r w:rsidR="00183CA3" w:rsidRPr="00022A36">
        <w:rPr>
          <w:noProof/>
          <w:lang w:val="es-ES"/>
        </w:rPr>
        <w:t xml:space="preserve">fundamentaron la evaluación del </w:t>
      </w:r>
      <w:r w:rsidR="00C51B39" w:rsidRPr="00022A36">
        <w:rPr>
          <w:noProof/>
          <w:lang w:val="es-ES"/>
        </w:rPr>
        <w:t>I</w:t>
      </w:r>
      <w:r w:rsidR="00183CA3" w:rsidRPr="00022A36">
        <w:rPr>
          <w:noProof/>
          <w:lang w:val="es-ES"/>
        </w:rPr>
        <w:t xml:space="preserve">ndicador 6.6.1 del ODS 6 para el que la Convención es custodio conjunto. La Secretaría participó en una reunión del grupo de trabajo sobre la Meta 2 del Marco mundial de la diversidad biológica </w:t>
      </w:r>
      <w:r w:rsidR="00C76294" w:rsidRPr="00022A36">
        <w:rPr>
          <w:noProof/>
          <w:lang w:val="es-ES"/>
        </w:rPr>
        <w:t>en virtud</w:t>
      </w:r>
      <w:r w:rsidR="00183CA3" w:rsidRPr="00022A36">
        <w:rPr>
          <w:noProof/>
          <w:lang w:val="es-ES"/>
        </w:rPr>
        <w:t xml:space="preserve"> del Grupo de trabajo sobre vigilancia que se celebró de forma </w:t>
      </w:r>
      <w:r w:rsidR="00C76294" w:rsidRPr="00022A36">
        <w:rPr>
          <w:noProof/>
          <w:lang w:val="es-ES"/>
        </w:rPr>
        <w:t xml:space="preserve">virtual </w:t>
      </w:r>
      <w:r w:rsidR="00183CA3" w:rsidRPr="00022A36">
        <w:rPr>
          <w:noProof/>
          <w:lang w:val="es-ES"/>
        </w:rPr>
        <w:t xml:space="preserve">en febrero de 2023. En el Plan de Acción para el Decenio de las Naciones Unidas para la Restauración de los Ecosistemas para 2021-2030 se nombra a la Convención sobre los Humedales como codirectora </w:t>
      </w:r>
      <w:r w:rsidR="00C76294" w:rsidRPr="00022A36">
        <w:rPr>
          <w:noProof/>
          <w:lang w:val="es-ES"/>
        </w:rPr>
        <w:t>en</w:t>
      </w:r>
      <w:r w:rsidR="00183CA3" w:rsidRPr="00022A36">
        <w:rPr>
          <w:noProof/>
          <w:lang w:val="es-ES"/>
        </w:rPr>
        <w:t xml:space="preserve"> los retos de restauración de “Ciudades nominadas como insignias mundiales de la restauración y defensoras de la restauración urbana” y “Agua marina y dulce”.</w:t>
      </w:r>
    </w:p>
    <w:p w14:paraId="44582747" w14:textId="14B8BE2E" w:rsidR="00E75006" w:rsidRPr="00022A36" w:rsidRDefault="00E75006" w:rsidP="00167226">
      <w:pPr>
        <w:suppressAutoHyphens/>
        <w:spacing w:after="0" w:line="240" w:lineRule="auto"/>
        <w:rPr>
          <w:rFonts w:eastAsia="Times New Roman"/>
          <w:noProof/>
          <w:color w:val="000000"/>
          <w:lang w:val="es-ES" w:eastAsia="en-GB"/>
        </w:rPr>
      </w:pPr>
    </w:p>
    <w:p w14:paraId="5CB6686A" w14:textId="119A3ECF" w:rsidR="00167226" w:rsidRPr="00022A36" w:rsidRDefault="009E5708" w:rsidP="002E77BF">
      <w:pPr>
        <w:spacing w:after="0" w:line="240" w:lineRule="auto"/>
        <w:ind w:left="425" w:hanging="425"/>
        <w:rPr>
          <w:rFonts w:cstheme="minorHAnsi"/>
          <w:noProof/>
          <w:lang w:val="es-ES"/>
        </w:rPr>
      </w:pPr>
      <w:r w:rsidRPr="00022A36">
        <w:rPr>
          <w:rFonts w:cstheme="minorHAnsi"/>
          <w:noProof/>
          <w:lang w:val="es-ES"/>
        </w:rPr>
        <w:t>51</w:t>
      </w:r>
      <w:r w:rsidR="00F3006D" w:rsidRPr="00022A36">
        <w:rPr>
          <w:rFonts w:cstheme="minorHAnsi"/>
          <w:noProof/>
          <w:lang w:val="es-ES"/>
        </w:rPr>
        <w:t>.</w:t>
      </w:r>
      <w:r w:rsidR="00F60271" w:rsidRPr="00022A36">
        <w:rPr>
          <w:rFonts w:cstheme="minorHAnsi"/>
          <w:noProof/>
          <w:lang w:val="es-ES"/>
        </w:rPr>
        <w:tab/>
      </w:r>
      <w:r w:rsidR="00167226" w:rsidRPr="00022A36">
        <w:rPr>
          <w:rFonts w:cstheme="minorHAnsi"/>
          <w:noProof/>
          <w:lang w:val="es-ES"/>
        </w:rPr>
        <w:t xml:space="preserve">Junto con el PNUMA y la FAO, la Secretaría participó en el equipo de redacción de la Evaluación Mundial de las Turberas (GPA), una actividad de la Iniciativa Mundial sobre las Turberas coordinada por el Centro Mundial de Vigilancia de la Conservación (WCMC) del PNUMA. En julio y agosto de 2022, la Secretaría recabó aportaciones de las Partes Contratantes en relación con la Evaluación Mundial de las Turberas, lo que incluyó información sobre políticas nacionales, estudios de casos y propuestas para examinar el borrador de la </w:t>
      </w:r>
      <w:r w:rsidR="00C76294" w:rsidRPr="00022A36">
        <w:rPr>
          <w:rFonts w:cstheme="minorHAnsi"/>
          <w:noProof/>
          <w:lang w:val="es-ES"/>
        </w:rPr>
        <w:t>evaluación</w:t>
      </w:r>
      <w:r w:rsidR="00167226" w:rsidRPr="00022A36">
        <w:rPr>
          <w:rFonts w:cstheme="minorHAnsi"/>
          <w:noProof/>
          <w:lang w:val="es-ES"/>
        </w:rPr>
        <w:t xml:space="preserve">. Funcionarios de la Secretaría se desempeñaron como editores de </w:t>
      </w:r>
      <w:r w:rsidR="00C76294" w:rsidRPr="00022A36">
        <w:rPr>
          <w:rFonts w:cstheme="minorHAnsi"/>
          <w:noProof/>
          <w:lang w:val="es-ES"/>
        </w:rPr>
        <w:t xml:space="preserve">algunas </w:t>
      </w:r>
      <w:r w:rsidR="00167226" w:rsidRPr="00022A36">
        <w:rPr>
          <w:rFonts w:cstheme="minorHAnsi"/>
          <w:noProof/>
          <w:lang w:val="es-ES"/>
        </w:rPr>
        <w:t xml:space="preserve">partes de la </w:t>
      </w:r>
      <w:r w:rsidR="00C76294" w:rsidRPr="00022A36">
        <w:rPr>
          <w:rFonts w:cstheme="minorHAnsi"/>
          <w:noProof/>
          <w:lang w:val="es-ES"/>
        </w:rPr>
        <w:t>evaluación</w:t>
      </w:r>
      <w:r w:rsidR="00167226" w:rsidRPr="00022A36">
        <w:rPr>
          <w:rFonts w:cstheme="minorHAnsi"/>
          <w:noProof/>
          <w:lang w:val="es-ES"/>
        </w:rPr>
        <w:t xml:space="preserve">, </w:t>
      </w:r>
      <w:r w:rsidR="00C76294" w:rsidRPr="00022A36">
        <w:rPr>
          <w:rFonts w:cstheme="minorHAnsi"/>
          <w:noProof/>
          <w:lang w:val="es-ES"/>
        </w:rPr>
        <w:t>incluido</w:t>
      </w:r>
      <w:r w:rsidR="00167226" w:rsidRPr="00022A36">
        <w:rPr>
          <w:rFonts w:cstheme="minorHAnsi"/>
          <w:noProof/>
          <w:lang w:val="es-ES"/>
        </w:rPr>
        <w:t xml:space="preserve"> el marco político internacional. La Evaluación Mundial de las Turberas se presentó en un evento paralelo durante la COP27 de la CMNUCC.</w:t>
      </w:r>
    </w:p>
    <w:p w14:paraId="6876876B" w14:textId="50F59377" w:rsidR="2704313D" w:rsidRPr="00022A36" w:rsidRDefault="2704313D" w:rsidP="001F786E">
      <w:pPr>
        <w:tabs>
          <w:tab w:val="left" w:pos="284"/>
        </w:tabs>
        <w:spacing w:after="0" w:line="240" w:lineRule="auto"/>
        <w:rPr>
          <w:noProof/>
          <w:lang w:val="es-ES"/>
        </w:rPr>
      </w:pPr>
    </w:p>
    <w:p w14:paraId="4152FE76" w14:textId="0C442447" w:rsidR="001F786E" w:rsidRPr="00022A36" w:rsidRDefault="009E5708" w:rsidP="002E77BF">
      <w:pPr>
        <w:spacing w:after="0" w:line="240" w:lineRule="auto"/>
        <w:ind w:left="425" w:hanging="425"/>
        <w:rPr>
          <w:noProof/>
          <w:lang w:val="es-ES"/>
        </w:rPr>
      </w:pPr>
      <w:r w:rsidRPr="00022A36">
        <w:rPr>
          <w:noProof/>
          <w:lang w:val="es-ES"/>
        </w:rPr>
        <w:t>52</w:t>
      </w:r>
      <w:r w:rsidR="17B2A2EC" w:rsidRPr="00022A36">
        <w:rPr>
          <w:noProof/>
          <w:lang w:val="es-ES"/>
        </w:rPr>
        <w:t>.</w:t>
      </w:r>
      <w:r w:rsidR="00A56F0D" w:rsidRPr="00022A36">
        <w:rPr>
          <w:noProof/>
          <w:lang w:val="es-ES"/>
        </w:rPr>
        <w:tab/>
      </w:r>
      <w:r w:rsidR="005240E8" w:rsidRPr="00022A36">
        <w:rPr>
          <w:noProof/>
          <w:lang w:val="es-ES"/>
        </w:rPr>
        <w:t xml:space="preserve">Junto con el Centro Regional de Ramsar para Asia Oriental (RRC-EA) y Wetlands International, la Secretaría colaboró con la Asociación para el Medio Ambiente y la Reducción del Riesgo de Desastres (PEDRR) del PNUMA para ayudar a los administradores de humedales a integrar las políticas de reducción del riesgo de desastres en la gestión de los humedales. En junio de 2022 </w:t>
      </w:r>
      <w:r w:rsidR="005240E8" w:rsidRPr="00022A36">
        <w:rPr>
          <w:noProof/>
          <w:lang w:val="es-ES"/>
        </w:rPr>
        <w:lastRenderedPageBreak/>
        <w:t xml:space="preserve">se celebró un taller regional para </w:t>
      </w:r>
      <w:r w:rsidR="00E23F32" w:rsidRPr="00022A36">
        <w:rPr>
          <w:noProof/>
          <w:lang w:val="es-ES"/>
        </w:rPr>
        <w:t>administradores</w:t>
      </w:r>
      <w:r w:rsidR="005240E8" w:rsidRPr="00022A36">
        <w:rPr>
          <w:noProof/>
          <w:lang w:val="es-ES"/>
        </w:rPr>
        <w:t xml:space="preserve"> de humedales de Asia. </w:t>
      </w:r>
      <w:r w:rsidR="00E23F32" w:rsidRPr="00022A36">
        <w:rPr>
          <w:noProof/>
          <w:lang w:val="es-ES"/>
        </w:rPr>
        <w:t>A partir de</w:t>
      </w:r>
      <w:r w:rsidR="005240E8" w:rsidRPr="00022A36">
        <w:rPr>
          <w:noProof/>
          <w:lang w:val="es-ES"/>
        </w:rPr>
        <w:t xml:space="preserve"> sus comentarios, en diciembre de 2022 se publicó “Wetlands and DRR: A Guide for Wetland Managers” [Humedales y RRD: Guía para </w:t>
      </w:r>
      <w:r w:rsidR="00E23F32" w:rsidRPr="00022A36">
        <w:rPr>
          <w:noProof/>
          <w:lang w:val="es-ES"/>
        </w:rPr>
        <w:t>administradores</w:t>
      </w:r>
      <w:r w:rsidR="005240E8" w:rsidRPr="00022A36">
        <w:rPr>
          <w:noProof/>
          <w:lang w:val="es-ES"/>
        </w:rPr>
        <w:t xml:space="preserve"> de humedales], </w:t>
      </w:r>
      <w:r w:rsidR="00C76294" w:rsidRPr="00022A36">
        <w:rPr>
          <w:noProof/>
          <w:lang w:val="es-ES"/>
        </w:rPr>
        <w:t xml:space="preserve">y se realizó </w:t>
      </w:r>
      <w:r w:rsidR="005240E8" w:rsidRPr="00022A36">
        <w:rPr>
          <w:noProof/>
          <w:lang w:val="es-ES"/>
        </w:rPr>
        <w:t>un seminario</w:t>
      </w:r>
      <w:r w:rsidR="00C76294" w:rsidRPr="00022A36">
        <w:rPr>
          <w:noProof/>
          <w:lang w:val="es-ES"/>
        </w:rPr>
        <w:t xml:space="preserve"> mundial</w:t>
      </w:r>
      <w:r w:rsidR="005240E8" w:rsidRPr="00022A36">
        <w:rPr>
          <w:noProof/>
          <w:lang w:val="es-ES"/>
        </w:rPr>
        <w:t xml:space="preserve"> por Internet para promover la publicación.</w:t>
      </w:r>
    </w:p>
    <w:p w14:paraId="5132DF05" w14:textId="414C94E2" w:rsidR="2704313D" w:rsidRPr="00022A36" w:rsidRDefault="2704313D" w:rsidP="00E23F32">
      <w:pPr>
        <w:tabs>
          <w:tab w:val="left" w:pos="284"/>
          <w:tab w:val="left" w:pos="426"/>
        </w:tabs>
        <w:spacing w:after="0" w:line="240" w:lineRule="auto"/>
        <w:rPr>
          <w:noProof/>
          <w:lang w:val="es-ES"/>
        </w:rPr>
      </w:pPr>
    </w:p>
    <w:p w14:paraId="6ACFD4F3" w14:textId="01054CD6" w:rsidR="00842B23" w:rsidRPr="00022A36" w:rsidRDefault="00E23F32" w:rsidP="000A264B">
      <w:pPr>
        <w:keepNext/>
        <w:tabs>
          <w:tab w:val="left" w:pos="0"/>
        </w:tabs>
        <w:autoSpaceDE w:val="0"/>
        <w:autoSpaceDN w:val="0"/>
        <w:adjustRightInd w:val="0"/>
        <w:spacing w:after="0" w:line="240" w:lineRule="auto"/>
        <w:rPr>
          <w:rFonts w:cstheme="minorHAnsi"/>
          <w:i/>
          <w:noProof/>
          <w:lang w:val="es-ES" w:eastAsia="en-GB"/>
        </w:rPr>
      </w:pPr>
      <w:r w:rsidRPr="00022A36">
        <w:rPr>
          <w:rFonts w:cstheme="minorHAnsi"/>
          <w:i/>
          <w:noProof/>
          <w:lang w:val="es-ES" w:eastAsia="en-GB"/>
        </w:rPr>
        <w:t>Colaboración con la FAO</w:t>
      </w:r>
    </w:p>
    <w:p w14:paraId="47417BE1" w14:textId="1FA665BA" w:rsidR="00842B23" w:rsidRPr="00022A36" w:rsidRDefault="00842B23" w:rsidP="000A264B">
      <w:pPr>
        <w:keepNext/>
        <w:tabs>
          <w:tab w:val="left" w:pos="0"/>
        </w:tabs>
        <w:autoSpaceDE w:val="0"/>
        <w:autoSpaceDN w:val="0"/>
        <w:adjustRightInd w:val="0"/>
        <w:spacing w:after="0" w:line="240" w:lineRule="auto"/>
        <w:rPr>
          <w:noProof/>
          <w:lang w:val="es-ES"/>
        </w:rPr>
      </w:pPr>
    </w:p>
    <w:p w14:paraId="3CA38FF7" w14:textId="5F0CC277" w:rsidR="003C64DA" w:rsidRPr="00022A36" w:rsidRDefault="009E5708" w:rsidP="002E77BF">
      <w:pPr>
        <w:autoSpaceDE w:val="0"/>
        <w:autoSpaceDN w:val="0"/>
        <w:adjustRightInd w:val="0"/>
        <w:spacing w:after="0" w:line="240" w:lineRule="auto"/>
        <w:ind w:left="426" w:hanging="426"/>
        <w:rPr>
          <w:rFonts w:ascii="Calibri" w:hAnsi="Calibri" w:cs="Calibri"/>
          <w:noProof/>
          <w:color w:val="000000"/>
          <w:lang w:val="es-ES"/>
        </w:rPr>
      </w:pPr>
      <w:r w:rsidRPr="00022A36">
        <w:rPr>
          <w:rFonts w:ascii="Calibri" w:hAnsi="Calibri" w:cs="Calibri"/>
          <w:noProof/>
          <w:color w:val="000000"/>
          <w:lang w:val="es-ES"/>
        </w:rPr>
        <w:t>53</w:t>
      </w:r>
      <w:r w:rsidR="00227DAA" w:rsidRPr="00022A36">
        <w:rPr>
          <w:rFonts w:ascii="Calibri" w:hAnsi="Calibri" w:cs="Calibri"/>
          <w:noProof/>
          <w:color w:val="000000"/>
          <w:lang w:val="es-ES"/>
        </w:rPr>
        <w:t>.</w:t>
      </w:r>
      <w:r w:rsidR="00A56F0D" w:rsidRPr="00022A36">
        <w:rPr>
          <w:rFonts w:ascii="Calibri" w:hAnsi="Calibri" w:cs="Calibri"/>
          <w:noProof/>
          <w:color w:val="000000"/>
          <w:lang w:val="es-ES"/>
        </w:rPr>
        <w:tab/>
      </w:r>
      <w:r w:rsidR="003C64DA" w:rsidRPr="00022A36">
        <w:rPr>
          <w:rFonts w:ascii="Calibri" w:hAnsi="Calibri" w:cs="Calibri"/>
          <w:noProof/>
          <w:color w:val="000000"/>
          <w:lang w:val="es-ES"/>
        </w:rPr>
        <w:t xml:space="preserve">La Secretaría participó en una sesión técnica de la FAO sobre “Gestión integrada de los recursos hídricos en favor de la seguridad alimentaria y la resiliencia al cambio climático”, celebrada en formato híbrido en octubre de 2022. La Secretaría intervino como conferenciante y panelista en una sesión técnica sobre </w:t>
      </w:r>
      <w:r w:rsidR="00A9778F" w:rsidRPr="00022A36">
        <w:rPr>
          <w:rFonts w:ascii="Calibri" w:hAnsi="Calibri" w:cs="Calibri"/>
          <w:noProof/>
          <w:color w:val="000000"/>
          <w:lang w:val="es-ES"/>
        </w:rPr>
        <w:t>El a</w:t>
      </w:r>
      <w:r w:rsidR="003C64DA" w:rsidRPr="00022A36">
        <w:rPr>
          <w:rFonts w:ascii="Calibri" w:hAnsi="Calibri" w:cs="Calibri"/>
          <w:noProof/>
          <w:color w:val="000000"/>
          <w:lang w:val="es-ES"/>
        </w:rPr>
        <w:t>gua para el medio ambiente y la biodiversidad.</w:t>
      </w:r>
    </w:p>
    <w:p w14:paraId="476FC4A9" w14:textId="77777777" w:rsidR="00067A04" w:rsidRPr="00022A36" w:rsidRDefault="00067A04" w:rsidP="003C64DA">
      <w:pPr>
        <w:tabs>
          <w:tab w:val="left" w:pos="0"/>
        </w:tabs>
        <w:autoSpaceDE w:val="0"/>
        <w:autoSpaceDN w:val="0"/>
        <w:adjustRightInd w:val="0"/>
        <w:spacing w:after="0" w:line="240" w:lineRule="auto"/>
        <w:rPr>
          <w:noProof/>
          <w:lang w:val="es-ES"/>
        </w:rPr>
      </w:pPr>
    </w:p>
    <w:p w14:paraId="2D7FD207" w14:textId="33AE3BCE" w:rsidR="003C64DA" w:rsidRPr="00022A36" w:rsidRDefault="009E5708" w:rsidP="002E77BF">
      <w:pPr>
        <w:autoSpaceDE w:val="0"/>
        <w:autoSpaceDN w:val="0"/>
        <w:adjustRightInd w:val="0"/>
        <w:spacing w:after="0" w:line="240" w:lineRule="auto"/>
        <w:ind w:left="426" w:hanging="426"/>
        <w:rPr>
          <w:rFonts w:cstheme="minorHAnsi"/>
          <w:noProof/>
          <w:lang w:val="es-ES" w:eastAsia="en-GB"/>
        </w:rPr>
      </w:pPr>
      <w:r w:rsidRPr="00022A36">
        <w:rPr>
          <w:rFonts w:cstheme="minorHAnsi"/>
          <w:noProof/>
          <w:lang w:val="es-ES" w:eastAsia="en-GB"/>
        </w:rPr>
        <w:t>54</w:t>
      </w:r>
      <w:r w:rsidR="00227DAA" w:rsidRPr="00022A36">
        <w:rPr>
          <w:rFonts w:cstheme="minorHAnsi"/>
          <w:noProof/>
          <w:lang w:val="es-ES" w:eastAsia="en-GB"/>
        </w:rPr>
        <w:t>.</w:t>
      </w:r>
      <w:r w:rsidR="00A56F0D" w:rsidRPr="00022A36">
        <w:rPr>
          <w:rFonts w:cstheme="minorHAnsi"/>
          <w:noProof/>
          <w:lang w:val="es-ES" w:eastAsia="en-GB"/>
        </w:rPr>
        <w:tab/>
      </w:r>
      <w:r w:rsidR="003C64DA" w:rsidRPr="00022A36">
        <w:rPr>
          <w:rFonts w:cstheme="minorHAnsi"/>
          <w:noProof/>
          <w:lang w:val="es-ES" w:eastAsia="en-GB"/>
        </w:rPr>
        <w:t xml:space="preserve">La Secretaría realizó contribuciones técnicas </w:t>
      </w:r>
      <w:r w:rsidR="00132BEE" w:rsidRPr="00022A36">
        <w:rPr>
          <w:rFonts w:cstheme="minorHAnsi"/>
          <w:noProof/>
          <w:lang w:val="es-ES" w:eastAsia="en-GB"/>
        </w:rPr>
        <w:t>par</w:t>
      </w:r>
      <w:r w:rsidR="003C64DA" w:rsidRPr="00022A36">
        <w:rPr>
          <w:rFonts w:cstheme="minorHAnsi"/>
          <w:noProof/>
          <w:lang w:val="es-ES" w:eastAsia="en-GB"/>
        </w:rPr>
        <w:t xml:space="preserve">a las publicaciones de la FAO sobre </w:t>
      </w:r>
      <w:r w:rsidR="00A9778F" w:rsidRPr="00022A36">
        <w:rPr>
          <w:rFonts w:cstheme="minorHAnsi"/>
          <w:noProof/>
          <w:lang w:val="es-ES" w:eastAsia="en-GB"/>
        </w:rPr>
        <w:t xml:space="preserve">las </w:t>
      </w:r>
      <w:r w:rsidR="003C64DA" w:rsidRPr="00022A36">
        <w:rPr>
          <w:rFonts w:cstheme="minorHAnsi"/>
          <w:noProof/>
          <w:lang w:val="es-ES" w:eastAsia="en-GB"/>
        </w:rPr>
        <w:t>turberas y compromisos climáticos, incluido</w:t>
      </w:r>
      <w:r w:rsidR="00A9778F" w:rsidRPr="00022A36">
        <w:rPr>
          <w:rFonts w:cstheme="minorHAnsi"/>
          <w:noProof/>
          <w:lang w:val="es-ES" w:eastAsia="en-GB"/>
        </w:rPr>
        <w:t>s</w:t>
      </w:r>
      <w:r w:rsidR="003C64DA" w:rsidRPr="00022A36">
        <w:rPr>
          <w:rFonts w:cstheme="minorHAnsi"/>
          <w:noProof/>
          <w:lang w:val="es-ES" w:eastAsia="en-GB"/>
        </w:rPr>
        <w:t xml:space="preserve"> </w:t>
      </w:r>
      <w:r w:rsidR="00132BEE" w:rsidRPr="00022A36">
        <w:rPr>
          <w:rFonts w:cstheme="minorHAnsi"/>
          <w:noProof/>
          <w:lang w:val="es-ES" w:eastAsia="en-GB"/>
        </w:rPr>
        <w:t>los</w:t>
      </w:r>
      <w:r w:rsidR="003C64DA" w:rsidRPr="00022A36">
        <w:rPr>
          <w:rFonts w:cstheme="minorHAnsi"/>
          <w:noProof/>
          <w:lang w:val="es-ES" w:eastAsia="en-GB"/>
        </w:rPr>
        <w:t xml:space="preserve"> informe</w:t>
      </w:r>
      <w:r w:rsidR="00132BEE" w:rsidRPr="00022A36">
        <w:rPr>
          <w:rFonts w:cstheme="minorHAnsi"/>
          <w:noProof/>
          <w:lang w:val="es-ES" w:eastAsia="en-GB"/>
        </w:rPr>
        <w:t>s</w:t>
      </w:r>
      <w:r w:rsidR="003C64DA" w:rsidRPr="00022A36">
        <w:rPr>
          <w:rFonts w:cstheme="minorHAnsi"/>
          <w:noProof/>
          <w:lang w:val="es-ES" w:eastAsia="en-GB"/>
        </w:rPr>
        <w:t xml:space="preserve"> </w:t>
      </w:r>
      <w:r w:rsidR="00132BEE" w:rsidRPr="00022A36">
        <w:rPr>
          <w:rFonts w:cstheme="minorHAnsi"/>
          <w:noProof/>
          <w:lang w:val="es-ES" w:eastAsia="en-GB"/>
        </w:rPr>
        <w:t>“</w:t>
      </w:r>
      <w:r w:rsidR="003C64DA" w:rsidRPr="00022A36">
        <w:rPr>
          <w:rFonts w:cstheme="minorHAnsi"/>
          <w:noProof/>
          <w:lang w:val="es-ES" w:eastAsia="en-GB"/>
        </w:rPr>
        <w:t>Peatlands and climate planning</w:t>
      </w:r>
      <w:r w:rsidR="00132BEE" w:rsidRPr="00022A36">
        <w:rPr>
          <w:rFonts w:cstheme="minorHAnsi"/>
          <w:noProof/>
          <w:lang w:val="es-ES" w:eastAsia="en-GB"/>
        </w:rPr>
        <w:t>”</w:t>
      </w:r>
      <w:r w:rsidR="003C64DA" w:rsidRPr="00022A36">
        <w:rPr>
          <w:rFonts w:cstheme="minorHAnsi"/>
          <w:noProof/>
          <w:lang w:val="es-ES" w:eastAsia="en-GB"/>
        </w:rPr>
        <w:t xml:space="preserve"> </w:t>
      </w:r>
      <w:r w:rsidR="00132BEE" w:rsidRPr="00022A36">
        <w:rPr>
          <w:rFonts w:cstheme="minorHAnsi"/>
          <w:noProof/>
          <w:lang w:val="es-ES" w:eastAsia="en-GB"/>
        </w:rPr>
        <w:t>[Las t</w:t>
      </w:r>
      <w:r w:rsidR="003C64DA" w:rsidRPr="00022A36">
        <w:rPr>
          <w:rFonts w:cstheme="minorHAnsi"/>
          <w:noProof/>
          <w:lang w:val="es-ES" w:eastAsia="en-GB"/>
        </w:rPr>
        <w:t xml:space="preserve">urberas y </w:t>
      </w:r>
      <w:r w:rsidR="00132BEE" w:rsidRPr="00022A36">
        <w:rPr>
          <w:rFonts w:cstheme="minorHAnsi"/>
          <w:noProof/>
          <w:lang w:val="es-ES" w:eastAsia="en-GB"/>
        </w:rPr>
        <w:t xml:space="preserve">la </w:t>
      </w:r>
      <w:r w:rsidR="003C64DA" w:rsidRPr="00022A36">
        <w:rPr>
          <w:rFonts w:cstheme="minorHAnsi"/>
          <w:noProof/>
          <w:lang w:val="es-ES" w:eastAsia="en-GB"/>
        </w:rPr>
        <w:t>planificación climática</w:t>
      </w:r>
      <w:r w:rsidR="00132BEE" w:rsidRPr="00022A36">
        <w:rPr>
          <w:rFonts w:cstheme="minorHAnsi"/>
          <w:noProof/>
          <w:lang w:val="es-ES" w:eastAsia="en-GB"/>
        </w:rPr>
        <w:t>]</w:t>
      </w:r>
      <w:r w:rsidR="003C64DA" w:rsidRPr="00022A36">
        <w:rPr>
          <w:rFonts w:cstheme="minorHAnsi"/>
          <w:noProof/>
          <w:lang w:val="es-ES" w:eastAsia="en-GB"/>
        </w:rPr>
        <w:t xml:space="preserve"> </w:t>
      </w:r>
      <w:r w:rsidR="00132BEE" w:rsidRPr="00022A36">
        <w:rPr>
          <w:rFonts w:cstheme="minorHAnsi"/>
          <w:noProof/>
          <w:lang w:val="es-ES" w:eastAsia="en-GB"/>
        </w:rPr>
        <w:t>y</w:t>
      </w:r>
      <w:r w:rsidR="003C64DA" w:rsidRPr="00022A36">
        <w:rPr>
          <w:rFonts w:cstheme="minorHAnsi"/>
          <w:noProof/>
          <w:lang w:val="es-ES" w:eastAsia="en-GB"/>
        </w:rPr>
        <w:t xml:space="preserve"> </w:t>
      </w:r>
      <w:r w:rsidR="00132BEE" w:rsidRPr="00022A36">
        <w:rPr>
          <w:rFonts w:cstheme="minorHAnsi"/>
          <w:noProof/>
          <w:lang w:val="es-ES" w:eastAsia="en-GB"/>
        </w:rPr>
        <w:t>“</w:t>
      </w:r>
      <w:r w:rsidR="003C64DA" w:rsidRPr="00022A36">
        <w:rPr>
          <w:rFonts w:cstheme="minorHAnsi"/>
          <w:noProof/>
          <w:lang w:val="es-ES" w:eastAsia="en-GB"/>
        </w:rPr>
        <w:t xml:space="preserve">Wetlands in climate commitments: </w:t>
      </w:r>
      <w:r w:rsidR="00132BEE" w:rsidRPr="00022A36">
        <w:rPr>
          <w:rFonts w:cstheme="minorHAnsi"/>
          <w:noProof/>
          <w:lang w:val="es-ES" w:eastAsia="en-GB"/>
        </w:rPr>
        <w:t>Preliminary results” [Los humedales en los compromisos climáticos: Resultados preliminares],</w:t>
      </w:r>
      <w:r w:rsidR="003C64DA" w:rsidRPr="00022A36">
        <w:rPr>
          <w:rFonts w:cstheme="minorHAnsi"/>
          <w:noProof/>
          <w:lang w:val="es-ES" w:eastAsia="en-GB"/>
        </w:rPr>
        <w:t xml:space="preserve"> </w:t>
      </w:r>
      <w:r w:rsidR="00C51B39" w:rsidRPr="00022A36">
        <w:rPr>
          <w:rFonts w:cstheme="minorHAnsi"/>
          <w:noProof/>
          <w:lang w:val="es-ES" w:eastAsia="en-GB"/>
        </w:rPr>
        <w:t xml:space="preserve">que constituyen </w:t>
      </w:r>
      <w:r w:rsidR="003C64DA" w:rsidRPr="00022A36">
        <w:rPr>
          <w:rFonts w:cstheme="minorHAnsi"/>
          <w:noProof/>
          <w:lang w:val="es-ES" w:eastAsia="en-GB"/>
        </w:rPr>
        <w:t xml:space="preserve">un análisis </w:t>
      </w:r>
      <w:r w:rsidR="00132BEE" w:rsidRPr="00022A36">
        <w:rPr>
          <w:rFonts w:cstheme="minorHAnsi"/>
          <w:noProof/>
          <w:lang w:val="es-ES" w:eastAsia="en-GB"/>
        </w:rPr>
        <w:t>sobre</w:t>
      </w:r>
      <w:r w:rsidR="003C64DA" w:rsidRPr="00022A36">
        <w:rPr>
          <w:rFonts w:cstheme="minorHAnsi"/>
          <w:noProof/>
          <w:lang w:val="es-ES" w:eastAsia="en-GB"/>
        </w:rPr>
        <w:t xml:space="preserve"> la </w:t>
      </w:r>
      <w:r w:rsidR="00132BEE" w:rsidRPr="00022A36">
        <w:rPr>
          <w:rFonts w:cstheme="minorHAnsi"/>
          <w:noProof/>
          <w:lang w:val="es-ES" w:eastAsia="en-GB"/>
        </w:rPr>
        <w:t>magnitud</w:t>
      </w:r>
      <w:r w:rsidR="003C64DA" w:rsidRPr="00022A36">
        <w:rPr>
          <w:rFonts w:cstheme="minorHAnsi"/>
          <w:noProof/>
          <w:lang w:val="es-ES" w:eastAsia="en-GB"/>
        </w:rPr>
        <w:t xml:space="preserve"> en que las </w:t>
      </w:r>
      <w:r w:rsidR="00132BEE" w:rsidRPr="00022A36">
        <w:rPr>
          <w:rFonts w:cstheme="minorHAnsi"/>
          <w:noProof/>
          <w:lang w:val="es-ES" w:eastAsia="en-GB"/>
        </w:rPr>
        <w:t>iniciativas</w:t>
      </w:r>
      <w:r w:rsidR="003C64DA" w:rsidRPr="00022A36">
        <w:rPr>
          <w:rFonts w:cstheme="minorHAnsi"/>
          <w:noProof/>
          <w:lang w:val="es-ES" w:eastAsia="en-GB"/>
        </w:rPr>
        <w:t xml:space="preserve"> relativas a los humedales </w:t>
      </w:r>
      <w:r w:rsidR="00132BEE" w:rsidRPr="00022A36">
        <w:rPr>
          <w:rFonts w:cstheme="minorHAnsi"/>
          <w:noProof/>
          <w:lang w:val="es-ES" w:eastAsia="en-GB"/>
        </w:rPr>
        <w:t>figuran</w:t>
      </w:r>
      <w:r w:rsidR="003C64DA" w:rsidRPr="00022A36">
        <w:rPr>
          <w:rFonts w:cstheme="minorHAnsi"/>
          <w:noProof/>
          <w:lang w:val="es-ES" w:eastAsia="en-GB"/>
        </w:rPr>
        <w:t xml:space="preserve"> en las </w:t>
      </w:r>
      <w:r w:rsidR="00132BEE" w:rsidRPr="00022A36">
        <w:rPr>
          <w:rFonts w:cstheme="minorHAnsi"/>
          <w:noProof/>
          <w:lang w:val="es-ES" w:eastAsia="en-GB"/>
        </w:rPr>
        <w:t>CDN.</w:t>
      </w:r>
      <w:r w:rsidR="003C64DA" w:rsidRPr="00022A36">
        <w:rPr>
          <w:rFonts w:cstheme="minorHAnsi"/>
          <w:noProof/>
          <w:lang w:val="es-ES" w:eastAsia="en-GB"/>
        </w:rPr>
        <w:t xml:space="preserve"> </w:t>
      </w:r>
      <w:r w:rsidR="00132BEE" w:rsidRPr="00022A36">
        <w:rPr>
          <w:rFonts w:cstheme="minorHAnsi"/>
          <w:noProof/>
          <w:lang w:val="es-ES" w:eastAsia="en-GB"/>
        </w:rPr>
        <w:t>Este informe</w:t>
      </w:r>
      <w:r w:rsidR="003C64DA" w:rsidRPr="00022A36">
        <w:rPr>
          <w:rFonts w:cstheme="minorHAnsi"/>
          <w:noProof/>
          <w:lang w:val="es-ES" w:eastAsia="en-GB"/>
        </w:rPr>
        <w:t xml:space="preserve"> se dio a conocer en un evento paralelo celebrado durante la COP14.</w:t>
      </w:r>
    </w:p>
    <w:p w14:paraId="1244249C" w14:textId="77777777" w:rsidR="00103E6F" w:rsidRPr="00022A36" w:rsidRDefault="00103E6F" w:rsidP="00132BEE">
      <w:pPr>
        <w:tabs>
          <w:tab w:val="left" w:pos="0"/>
        </w:tabs>
        <w:autoSpaceDE w:val="0"/>
        <w:autoSpaceDN w:val="0"/>
        <w:adjustRightInd w:val="0"/>
        <w:spacing w:after="0" w:line="240" w:lineRule="auto"/>
        <w:rPr>
          <w:rFonts w:cstheme="minorHAnsi"/>
          <w:noProof/>
          <w:lang w:val="es-ES" w:eastAsia="en-GB"/>
        </w:rPr>
      </w:pPr>
    </w:p>
    <w:p w14:paraId="532507A5" w14:textId="61AF3ED1" w:rsidR="00132BEE" w:rsidRPr="00022A36" w:rsidRDefault="009E5708" w:rsidP="00EF01B8">
      <w:pPr>
        <w:tabs>
          <w:tab w:val="left" w:pos="426"/>
        </w:tabs>
        <w:autoSpaceDE w:val="0"/>
        <w:autoSpaceDN w:val="0"/>
        <w:adjustRightInd w:val="0"/>
        <w:spacing w:after="0" w:line="240" w:lineRule="auto"/>
        <w:ind w:left="426" w:hanging="426"/>
        <w:rPr>
          <w:rFonts w:cstheme="minorHAnsi"/>
          <w:noProof/>
          <w:lang w:val="es-ES" w:eastAsia="en-GB"/>
        </w:rPr>
      </w:pPr>
      <w:r w:rsidRPr="00022A36">
        <w:rPr>
          <w:rFonts w:cstheme="minorHAnsi"/>
          <w:noProof/>
          <w:lang w:val="es-ES" w:eastAsia="en-GB"/>
        </w:rPr>
        <w:t>55</w:t>
      </w:r>
      <w:r w:rsidR="00227DAA" w:rsidRPr="00022A36">
        <w:rPr>
          <w:rFonts w:cstheme="minorHAnsi"/>
          <w:noProof/>
          <w:lang w:val="es-ES" w:eastAsia="en-GB"/>
        </w:rPr>
        <w:t>.</w:t>
      </w:r>
      <w:r w:rsidR="00A56F0D" w:rsidRPr="00022A36">
        <w:rPr>
          <w:rFonts w:cstheme="minorHAnsi"/>
          <w:noProof/>
          <w:lang w:val="es-ES" w:eastAsia="en-GB"/>
        </w:rPr>
        <w:tab/>
      </w:r>
      <w:r w:rsidR="00EF01B8" w:rsidRPr="00022A36">
        <w:rPr>
          <w:rFonts w:cstheme="minorHAnsi"/>
          <w:noProof/>
          <w:lang w:val="es-ES" w:eastAsia="en-GB"/>
        </w:rPr>
        <w:t>En junio de 2022, la Secretaría organizó j</w:t>
      </w:r>
      <w:r w:rsidR="00132BEE" w:rsidRPr="00022A36">
        <w:rPr>
          <w:rFonts w:cstheme="minorHAnsi"/>
          <w:noProof/>
          <w:lang w:val="es-ES" w:eastAsia="en-GB"/>
        </w:rPr>
        <w:t xml:space="preserve">unto con la FAO y Wetlands International una serie de eventos virtuales de capacitación y consulta sobre </w:t>
      </w:r>
      <w:r w:rsidR="00E741F3" w:rsidRPr="00022A36">
        <w:rPr>
          <w:rFonts w:cstheme="minorHAnsi"/>
          <w:noProof/>
          <w:lang w:val="es-ES" w:eastAsia="en-GB"/>
        </w:rPr>
        <w:t xml:space="preserve">las </w:t>
      </w:r>
      <w:r w:rsidR="00132BEE" w:rsidRPr="00022A36">
        <w:rPr>
          <w:rFonts w:cstheme="minorHAnsi"/>
          <w:noProof/>
          <w:lang w:val="es-ES" w:eastAsia="en-GB"/>
        </w:rPr>
        <w:t xml:space="preserve">turberas y </w:t>
      </w:r>
      <w:r w:rsidR="00E741F3" w:rsidRPr="00022A36">
        <w:rPr>
          <w:rFonts w:cstheme="minorHAnsi"/>
          <w:noProof/>
          <w:lang w:val="es-ES" w:eastAsia="en-GB"/>
        </w:rPr>
        <w:t xml:space="preserve">los </w:t>
      </w:r>
      <w:r w:rsidR="00132BEE" w:rsidRPr="00022A36">
        <w:rPr>
          <w:rFonts w:cstheme="minorHAnsi"/>
          <w:noProof/>
          <w:lang w:val="es-ES" w:eastAsia="en-GB"/>
        </w:rPr>
        <w:t xml:space="preserve">compromisos climáticos, </w:t>
      </w:r>
      <w:r w:rsidR="00FC2E63" w:rsidRPr="00022A36">
        <w:rPr>
          <w:rFonts w:cstheme="minorHAnsi"/>
          <w:noProof/>
          <w:lang w:val="es-ES" w:eastAsia="en-GB"/>
        </w:rPr>
        <w:t>lo que incluyó</w:t>
      </w:r>
      <w:r w:rsidR="00132BEE" w:rsidRPr="00022A36">
        <w:rPr>
          <w:rFonts w:cstheme="minorHAnsi"/>
          <w:noProof/>
          <w:lang w:val="es-ES" w:eastAsia="en-GB"/>
        </w:rPr>
        <w:t xml:space="preserve"> dos sesiones centradas en los procesos de planificación del cambio climático</w:t>
      </w:r>
      <w:r w:rsidR="00FC2E63" w:rsidRPr="00022A36">
        <w:rPr>
          <w:rFonts w:cstheme="minorHAnsi"/>
          <w:noProof/>
          <w:lang w:val="es-ES" w:eastAsia="en-GB"/>
        </w:rPr>
        <w:t>,</w:t>
      </w:r>
      <w:r w:rsidR="00132BEE" w:rsidRPr="00022A36">
        <w:rPr>
          <w:rFonts w:cstheme="minorHAnsi"/>
          <w:noProof/>
          <w:lang w:val="es-ES" w:eastAsia="en-GB"/>
        </w:rPr>
        <w:t xml:space="preserve"> </w:t>
      </w:r>
      <w:r w:rsidR="00FC2E63" w:rsidRPr="00022A36">
        <w:rPr>
          <w:rFonts w:cstheme="minorHAnsi"/>
          <w:noProof/>
          <w:lang w:val="es-ES" w:eastAsia="en-GB"/>
        </w:rPr>
        <w:t xml:space="preserve">con énfasis </w:t>
      </w:r>
      <w:r w:rsidR="00132BEE" w:rsidRPr="00022A36">
        <w:rPr>
          <w:rFonts w:cstheme="minorHAnsi"/>
          <w:noProof/>
          <w:lang w:val="es-ES" w:eastAsia="en-GB"/>
        </w:rPr>
        <w:t xml:space="preserve">en las </w:t>
      </w:r>
      <w:r w:rsidR="00FC2E63" w:rsidRPr="00022A36">
        <w:rPr>
          <w:rFonts w:cstheme="minorHAnsi"/>
          <w:noProof/>
          <w:lang w:val="es-ES" w:eastAsia="en-GB"/>
        </w:rPr>
        <w:t>CDN</w:t>
      </w:r>
      <w:r w:rsidR="00132BEE" w:rsidRPr="00022A36">
        <w:rPr>
          <w:rFonts w:cstheme="minorHAnsi"/>
          <w:noProof/>
          <w:lang w:val="es-ES" w:eastAsia="en-GB"/>
        </w:rPr>
        <w:t xml:space="preserve"> y las LTS (estrategias a largo plazo en el marco del proceso de la CMNUCC)</w:t>
      </w:r>
      <w:r w:rsidR="00FC2E63" w:rsidRPr="00022A36">
        <w:rPr>
          <w:rFonts w:cstheme="minorHAnsi"/>
          <w:noProof/>
          <w:lang w:val="es-ES" w:eastAsia="en-GB"/>
        </w:rPr>
        <w:t xml:space="preserve"> y una</w:t>
      </w:r>
      <w:r w:rsidR="00132BEE" w:rsidRPr="00022A36">
        <w:rPr>
          <w:rFonts w:cstheme="minorHAnsi"/>
          <w:noProof/>
          <w:lang w:val="es-ES" w:eastAsia="en-GB"/>
        </w:rPr>
        <w:t xml:space="preserve"> sesión </w:t>
      </w:r>
      <w:r w:rsidR="00FC2E63" w:rsidRPr="00022A36">
        <w:rPr>
          <w:rFonts w:cstheme="minorHAnsi"/>
          <w:noProof/>
          <w:lang w:val="es-ES" w:eastAsia="en-GB"/>
        </w:rPr>
        <w:t>que gir</w:t>
      </w:r>
      <w:r w:rsidR="00E741F3" w:rsidRPr="00022A36">
        <w:rPr>
          <w:rFonts w:cstheme="minorHAnsi"/>
          <w:noProof/>
          <w:lang w:val="es-ES" w:eastAsia="en-GB"/>
        </w:rPr>
        <w:t>ó</w:t>
      </w:r>
      <w:r w:rsidR="00FC2E63" w:rsidRPr="00022A36">
        <w:rPr>
          <w:rFonts w:cstheme="minorHAnsi"/>
          <w:noProof/>
          <w:lang w:val="es-ES" w:eastAsia="en-GB"/>
        </w:rPr>
        <w:t xml:space="preserve"> en torno a</w:t>
      </w:r>
      <w:r w:rsidR="00132BEE" w:rsidRPr="00022A36">
        <w:rPr>
          <w:rFonts w:cstheme="minorHAnsi"/>
          <w:noProof/>
          <w:lang w:val="es-ES" w:eastAsia="en-GB"/>
        </w:rPr>
        <w:t xml:space="preserve"> la </w:t>
      </w:r>
      <w:r w:rsidR="00FC2E63" w:rsidRPr="00022A36">
        <w:rPr>
          <w:rFonts w:cstheme="minorHAnsi"/>
          <w:noProof/>
          <w:lang w:val="es-ES" w:eastAsia="en-GB"/>
        </w:rPr>
        <w:t>aplicación</w:t>
      </w:r>
      <w:r w:rsidR="00132BEE" w:rsidRPr="00022A36">
        <w:rPr>
          <w:rFonts w:cstheme="minorHAnsi"/>
          <w:noProof/>
          <w:lang w:val="es-ES" w:eastAsia="en-GB"/>
        </w:rPr>
        <w:t xml:space="preserve"> de la acción climática a través de las turberas </w:t>
      </w:r>
      <w:r w:rsidR="00EF01B8" w:rsidRPr="00022A36">
        <w:rPr>
          <w:rFonts w:cstheme="minorHAnsi"/>
          <w:noProof/>
          <w:lang w:val="es-ES" w:eastAsia="en-GB"/>
        </w:rPr>
        <w:t xml:space="preserve">que se realizó </w:t>
      </w:r>
      <w:r w:rsidR="00132BEE" w:rsidRPr="00022A36">
        <w:rPr>
          <w:rFonts w:cstheme="minorHAnsi"/>
          <w:noProof/>
          <w:lang w:val="es-ES" w:eastAsia="en-GB"/>
        </w:rPr>
        <w:t xml:space="preserve">en diciembre de 2022, </w:t>
      </w:r>
      <w:r w:rsidR="00EF01B8" w:rsidRPr="00022A36">
        <w:rPr>
          <w:rFonts w:cstheme="minorHAnsi"/>
          <w:noProof/>
          <w:lang w:val="es-ES" w:eastAsia="en-GB"/>
        </w:rPr>
        <w:t>así como</w:t>
      </w:r>
      <w:r w:rsidR="00132BEE" w:rsidRPr="00022A36">
        <w:rPr>
          <w:rFonts w:cstheme="minorHAnsi"/>
          <w:noProof/>
          <w:lang w:val="es-ES" w:eastAsia="en-GB"/>
        </w:rPr>
        <w:t xml:space="preserve"> eventos paralelos organizados en formato híbrido en la COP14 y en la COP27 de la CMNUCC.</w:t>
      </w:r>
    </w:p>
    <w:p w14:paraId="40750D27" w14:textId="4E6E7839" w:rsidR="00635BB6" w:rsidRPr="00022A36" w:rsidRDefault="00635BB6" w:rsidP="00EF01B8">
      <w:pPr>
        <w:tabs>
          <w:tab w:val="left" w:pos="0"/>
        </w:tabs>
        <w:autoSpaceDE w:val="0"/>
        <w:autoSpaceDN w:val="0"/>
        <w:adjustRightInd w:val="0"/>
        <w:spacing w:after="0" w:line="240" w:lineRule="auto"/>
        <w:rPr>
          <w:noProof/>
          <w:lang w:val="es-ES"/>
        </w:rPr>
      </w:pPr>
    </w:p>
    <w:p w14:paraId="59517FA3" w14:textId="0FFEF9CE" w:rsidR="00EF01B8" w:rsidRPr="00022A36" w:rsidRDefault="009E5708" w:rsidP="002E77BF">
      <w:pPr>
        <w:tabs>
          <w:tab w:val="left" w:pos="142"/>
        </w:tabs>
        <w:autoSpaceDE w:val="0"/>
        <w:autoSpaceDN w:val="0"/>
        <w:adjustRightInd w:val="0"/>
        <w:spacing w:after="0" w:line="240" w:lineRule="auto"/>
        <w:ind w:left="426" w:hanging="426"/>
        <w:rPr>
          <w:noProof/>
          <w:lang w:val="es-ES" w:eastAsia="en-GB"/>
        </w:rPr>
      </w:pPr>
      <w:r w:rsidRPr="00022A36">
        <w:rPr>
          <w:noProof/>
          <w:lang w:val="es-ES" w:eastAsia="en-GB"/>
        </w:rPr>
        <w:t>56</w:t>
      </w:r>
      <w:r w:rsidR="34ECDBB5" w:rsidRPr="00022A36">
        <w:rPr>
          <w:noProof/>
          <w:lang w:val="es-ES" w:eastAsia="en-GB"/>
        </w:rPr>
        <w:t>.</w:t>
      </w:r>
      <w:r w:rsidR="00A56F0D" w:rsidRPr="00022A36">
        <w:rPr>
          <w:noProof/>
          <w:lang w:val="es-ES" w:eastAsia="en-GB"/>
        </w:rPr>
        <w:tab/>
      </w:r>
      <w:r w:rsidR="00EF01B8" w:rsidRPr="00022A36">
        <w:rPr>
          <w:noProof/>
          <w:lang w:val="es-ES" w:eastAsia="en-GB"/>
        </w:rPr>
        <w:t xml:space="preserve">La FAO </w:t>
      </w:r>
      <w:r w:rsidR="00E741F3" w:rsidRPr="00022A36">
        <w:rPr>
          <w:noProof/>
          <w:lang w:val="es-ES" w:eastAsia="en-GB"/>
        </w:rPr>
        <w:t>realizó contribuciones</w:t>
      </w:r>
      <w:r w:rsidR="00EF01B8" w:rsidRPr="00022A36">
        <w:rPr>
          <w:noProof/>
          <w:lang w:val="es-ES" w:eastAsia="en-GB"/>
        </w:rPr>
        <w:t xml:space="preserve"> en un seminario web organizado por la Secretaría para </w:t>
      </w:r>
      <w:r w:rsidR="00C51B39" w:rsidRPr="00022A36">
        <w:rPr>
          <w:noProof/>
          <w:lang w:val="es-ES" w:eastAsia="en-GB"/>
        </w:rPr>
        <w:t>presentar</w:t>
      </w:r>
      <w:r w:rsidR="00EF01B8" w:rsidRPr="00022A36">
        <w:rPr>
          <w:noProof/>
          <w:lang w:val="es-ES" w:eastAsia="en-GB"/>
        </w:rPr>
        <w:t xml:space="preserve"> un nuevo producto del GECT titulado “Humedales y agricultura: Acciones transformadoras para lograr prácticas agrícolas sostenibles y el uso racional de los humedales”, celebrado de forma virtual en julio de 2022. La Secretaría mantiene un vínculo estrecho con la FAO, por ejemplo en relación con el Decenio de las Naciones Unidas para la Restauración de los Ecosistemas y el Día Mundial de los Humedales.</w:t>
      </w:r>
    </w:p>
    <w:p w14:paraId="5ABF9E69" w14:textId="641F160B" w:rsidR="00103E6F" w:rsidRPr="00022A36" w:rsidRDefault="00103E6F" w:rsidP="00EF01B8">
      <w:pPr>
        <w:tabs>
          <w:tab w:val="left" w:pos="0"/>
        </w:tabs>
        <w:autoSpaceDE w:val="0"/>
        <w:autoSpaceDN w:val="0"/>
        <w:adjustRightInd w:val="0"/>
        <w:spacing w:after="0" w:line="240" w:lineRule="auto"/>
        <w:rPr>
          <w:noProof/>
          <w:lang w:val="es-ES"/>
        </w:rPr>
      </w:pPr>
    </w:p>
    <w:p w14:paraId="3A4E38A5" w14:textId="66AFA96F" w:rsidR="00EF01B8" w:rsidRPr="00022A36" w:rsidRDefault="00EF01B8" w:rsidP="000A264B">
      <w:pPr>
        <w:keepNext/>
        <w:tabs>
          <w:tab w:val="left" w:pos="0"/>
        </w:tabs>
        <w:autoSpaceDE w:val="0"/>
        <w:autoSpaceDN w:val="0"/>
        <w:adjustRightInd w:val="0"/>
        <w:spacing w:after="0" w:line="240" w:lineRule="auto"/>
        <w:rPr>
          <w:rFonts w:cstheme="minorHAnsi"/>
          <w:i/>
          <w:noProof/>
          <w:lang w:val="es-ES" w:eastAsia="en-GB"/>
        </w:rPr>
      </w:pPr>
      <w:r w:rsidRPr="00022A36">
        <w:rPr>
          <w:rFonts w:cstheme="minorHAnsi"/>
          <w:i/>
          <w:noProof/>
          <w:lang w:val="es-ES" w:eastAsia="en-GB"/>
        </w:rPr>
        <w:t xml:space="preserve">Colaboración con </w:t>
      </w:r>
      <w:r w:rsidR="00E741F3" w:rsidRPr="00022A36">
        <w:rPr>
          <w:rFonts w:cstheme="minorHAnsi"/>
          <w:i/>
          <w:noProof/>
          <w:lang w:val="es-ES" w:eastAsia="en-GB"/>
        </w:rPr>
        <w:t>O</w:t>
      </w:r>
      <w:r w:rsidRPr="00022A36">
        <w:rPr>
          <w:rFonts w:cstheme="minorHAnsi"/>
          <w:i/>
          <w:noProof/>
          <w:lang w:val="es-ES" w:eastAsia="en-GB"/>
        </w:rPr>
        <w:t xml:space="preserve">rganizaciones </w:t>
      </w:r>
      <w:r w:rsidR="00E741F3" w:rsidRPr="00022A36">
        <w:rPr>
          <w:rFonts w:cstheme="minorHAnsi"/>
          <w:i/>
          <w:noProof/>
          <w:lang w:val="es-ES" w:eastAsia="en-GB"/>
        </w:rPr>
        <w:t>I</w:t>
      </w:r>
      <w:r w:rsidRPr="00022A36">
        <w:rPr>
          <w:rFonts w:cstheme="minorHAnsi"/>
          <w:i/>
          <w:noProof/>
          <w:lang w:val="es-ES" w:eastAsia="en-GB"/>
        </w:rPr>
        <w:t xml:space="preserve">nternacionales </w:t>
      </w:r>
      <w:r w:rsidR="00E741F3" w:rsidRPr="00022A36">
        <w:rPr>
          <w:rFonts w:cstheme="minorHAnsi"/>
          <w:i/>
          <w:noProof/>
          <w:lang w:val="es-ES" w:eastAsia="en-GB"/>
        </w:rPr>
        <w:t>A</w:t>
      </w:r>
      <w:r w:rsidRPr="00022A36">
        <w:rPr>
          <w:rFonts w:cstheme="minorHAnsi"/>
          <w:i/>
          <w:noProof/>
          <w:lang w:val="es-ES" w:eastAsia="en-GB"/>
        </w:rPr>
        <w:t xml:space="preserve">sociadas </w:t>
      </w:r>
    </w:p>
    <w:p w14:paraId="5491EBA3" w14:textId="77777777" w:rsidR="009C2848" w:rsidRPr="00022A36" w:rsidRDefault="009C2848" w:rsidP="000A264B">
      <w:pPr>
        <w:keepNext/>
        <w:autoSpaceDE w:val="0"/>
        <w:autoSpaceDN w:val="0"/>
        <w:adjustRightInd w:val="0"/>
        <w:spacing w:after="0" w:line="240" w:lineRule="auto"/>
        <w:ind w:left="357" w:hanging="357"/>
        <w:rPr>
          <w:rFonts w:cstheme="minorHAnsi"/>
          <w:noProof/>
          <w:lang w:val="es-ES" w:eastAsia="en-GB"/>
        </w:rPr>
      </w:pPr>
    </w:p>
    <w:p w14:paraId="57688BBA" w14:textId="2F1ADCAC" w:rsidR="00EF01B8" w:rsidRPr="00022A36" w:rsidRDefault="009E5708" w:rsidP="000A264B">
      <w:pPr>
        <w:suppressAutoHyphens/>
        <w:spacing w:after="0" w:line="240" w:lineRule="auto"/>
        <w:ind w:left="425" w:hanging="425"/>
        <w:rPr>
          <w:rFonts w:eastAsia="Times New Roman" w:cstheme="minorHAnsi"/>
          <w:noProof/>
          <w:color w:val="000000"/>
          <w:lang w:val="es-ES" w:eastAsia="en-GB"/>
        </w:rPr>
      </w:pPr>
      <w:r w:rsidRPr="00022A36">
        <w:rPr>
          <w:rFonts w:eastAsia="Times New Roman" w:cstheme="minorHAnsi"/>
          <w:noProof/>
          <w:color w:val="000000"/>
          <w:lang w:val="es-ES" w:eastAsia="en-GB"/>
        </w:rPr>
        <w:t>57</w:t>
      </w:r>
      <w:r w:rsidR="009C2848" w:rsidRPr="00022A36">
        <w:rPr>
          <w:rFonts w:eastAsia="Times New Roman" w:cstheme="minorHAnsi"/>
          <w:noProof/>
          <w:color w:val="000000"/>
          <w:lang w:val="es-ES" w:eastAsia="en-GB"/>
        </w:rPr>
        <w:t>.</w:t>
      </w:r>
      <w:r w:rsidR="009C2848" w:rsidRPr="00022A36">
        <w:rPr>
          <w:rFonts w:eastAsia="Times New Roman" w:cstheme="minorHAnsi"/>
          <w:noProof/>
          <w:color w:val="000000"/>
          <w:lang w:val="es-ES" w:eastAsia="en-GB"/>
        </w:rPr>
        <w:tab/>
      </w:r>
      <w:r w:rsidR="00EF01B8" w:rsidRPr="00022A36">
        <w:rPr>
          <w:rFonts w:eastAsia="Times New Roman" w:cstheme="minorHAnsi"/>
          <w:noProof/>
          <w:color w:val="000000"/>
          <w:lang w:val="es-ES" w:eastAsia="en-GB"/>
        </w:rPr>
        <w:t>La Secretaría sigue reforzando su colaboración con las Organizaciones Internacionales Asociadas (OIA) a la Convención. Periódicamente, se celebran teleconferencias con las OIA para deliberar sobre actividades conjuntas en el contexto del memorando de cooperación.</w:t>
      </w:r>
    </w:p>
    <w:p w14:paraId="47521470" w14:textId="147A267C" w:rsidR="006B31D7" w:rsidRPr="00022A36" w:rsidRDefault="006B31D7" w:rsidP="00EF01B8">
      <w:pPr>
        <w:suppressAutoHyphens/>
        <w:spacing w:after="0" w:line="240" w:lineRule="auto"/>
        <w:rPr>
          <w:rFonts w:eastAsia="Times New Roman" w:cstheme="minorHAnsi"/>
          <w:noProof/>
          <w:highlight w:val="yellow"/>
          <w:lang w:val="es-ES" w:eastAsia="en-GB"/>
        </w:rPr>
      </w:pPr>
    </w:p>
    <w:p w14:paraId="23FA70A7" w14:textId="7C571BF7" w:rsidR="00EF01B8" w:rsidRPr="00022A36" w:rsidRDefault="00676929" w:rsidP="000A264B">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5</w:t>
      </w:r>
      <w:r w:rsidR="009E5708" w:rsidRPr="00022A36">
        <w:rPr>
          <w:rFonts w:eastAsia="Times New Roman" w:cstheme="minorHAnsi"/>
          <w:noProof/>
          <w:lang w:val="es-ES" w:eastAsia="en-GB"/>
        </w:rPr>
        <w:t>8</w:t>
      </w:r>
      <w:r w:rsidRPr="00022A36">
        <w:rPr>
          <w:rFonts w:eastAsia="Times New Roman" w:cstheme="minorHAnsi"/>
          <w:noProof/>
          <w:lang w:val="es-ES" w:eastAsia="en-GB"/>
        </w:rPr>
        <w:t>.</w:t>
      </w:r>
      <w:r w:rsidR="00A56F0D" w:rsidRPr="00022A36">
        <w:rPr>
          <w:rFonts w:eastAsia="Times New Roman" w:cstheme="minorHAnsi"/>
          <w:noProof/>
          <w:lang w:val="es-ES" w:eastAsia="en-GB"/>
        </w:rPr>
        <w:tab/>
      </w:r>
      <w:r w:rsidR="00EF01B8" w:rsidRPr="00022A36">
        <w:rPr>
          <w:rFonts w:eastAsia="Times New Roman" w:cstheme="minorHAnsi"/>
          <w:noProof/>
          <w:lang w:val="es-ES" w:eastAsia="en-GB"/>
        </w:rPr>
        <w:t>La Secretaria General se reunió con funcionarios</w:t>
      </w:r>
      <w:r w:rsidR="00E741F3" w:rsidRPr="00022A36">
        <w:rPr>
          <w:rFonts w:eastAsia="Times New Roman" w:cstheme="minorHAnsi"/>
          <w:noProof/>
          <w:lang w:val="es-ES" w:eastAsia="en-GB"/>
        </w:rPr>
        <w:t xml:space="preserve"> de alto nivel</w:t>
      </w:r>
      <w:r w:rsidR="00EF01B8" w:rsidRPr="00022A36">
        <w:rPr>
          <w:rFonts w:eastAsia="Times New Roman" w:cstheme="minorHAnsi"/>
          <w:noProof/>
          <w:lang w:val="es-ES" w:eastAsia="en-GB"/>
        </w:rPr>
        <w:t xml:space="preserve"> de las OIA en una reunión virtual que se celebró en marzo de 2023</w:t>
      </w:r>
      <w:r w:rsidR="00E741F3" w:rsidRPr="00022A36">
        <w:rPr>
          <w:rFonts w:eastAsia="Times New Roman" w:cstheme="minorHAnsi"/>
          <w:noProof/>
          <w:lang w:val="es-ES" w:eastAsia="en-GB"/>
        </w:rPr>
        <w:t xml:space="preserve"> con el</w:t>
      </w:r>
      <w:r w:rsidR="005C595E" w:rsidRPr="00022A36">
        <w:rPr>
          <w:rFonts w:eastAsia="Times New Roman" w:cstheme="minorHAnsi"/>
          <w:noProof/>
          <w:lang w:val="es-ES" w:eastAsia="en-GB"/>
        </w:rPr>
        <w:t xml:space="preserve"> propósito </w:t>
      </w:r>
      <w:r w:rsidR="00E741F3" w:rsidRPr="00022A36">
        <w:rPr>
          <w:rFonts w:eastAsia="Times New Roman" w:cstheme="minorHAnsi"/>
          <w:noProof/>
          <w:lang w:val="es-ES" w:eastAsia="en-GB"/>
        </w:rPr>
        <w:t>de</w:t>
      </w:r>
      <w:r w:rsidR="00EF01B8" w:rsidRPr="00022A36">
        <w:rPr>
          <w:rFonts w:eastAsia="Times New Roman" w:cstheme="minorHAnsi"/>
          <w:noProof/>
          <w:lang w:val="es-ES" w:eastAsia="en-GB"/>
        </w:rPr>
        <w:t xml:space="preserve"> </w:t>
      </w:r>
      <w:r w:rsidR="005C595E" w:rsidRPr="00022A36">
        <w:rPr>
          <w:rFonts w:eastAsia="Times New Roman" w:cstheme="minorHAnsi"/>
          <w:noProof/>
          <w:lang w:val="es-ES" w:eastAsia="en-GB"/>
        </w:rPr>
        <w:t>informar sobre su perspectiva en relación con</w:t>
      </w:r>
      <w:r w:rsidR="00EF01B8" w:rsidRPr="00022A36">
        <w:rPr>
          <w:rFonts w:eastAsia="Times New Roman" w:cstheme="minorHAnsi"/>
          <w:noProof/>
          <w:lang w:val="es-ES" w:eastAsia="en-GB"/>
        </w:rPr>
        <w:t xml:space="preserve"> la dirección de la Convención y la colaboración de las OIA, </w:t>
      </w:r>
      <w:r w:rsidR="005C595E" w:rsidRPr="00022A36">
        <w:rPr>
          <w:rFonts w:eastAsia="Times New Roman" w:cstheme="minorHAnsi"/>
          <w:noProof/>
          <w:lang w:val="es-ES" w:eastAsia="en-GB"/>
        </w:rPr>
        <w:t>así como analizar</w:t>
      </w:r>
      <w:r w:rsidR="00EF01B8" w:rsidRPr="00022A36">
        <w:rPr>
          <w:rFonts w:eastAsia="Times New Roman" w:cstheme="minorHAnsi"/>
          <w:noProof/>
          <w:lang w:val="es-ES" w:eastAsia="en-GB"/>
        </w:rPr>
        <w:t xml:space="preserve"> las prioridades </w:t>
      </w:r>
      <w:r w:rsidR="005C595E" w:rsidRPr="00022A36">
        <w:rPr>
          <w:rFonts w:eastAsia="Times New Roman" w:cstheme="minorHAnsi"/>
          <w:noProof/>
          <w:lang w:val="es-ES" w:eastAsia="en-GB"/>
        </w:rPr>
        <w:t>en materia de</w:t>
      </w:r>
      <w:r w:rsidR="00EF01B8" w:rsidRPr="00022A36">
        <w:rPr>
          <w:rFonts w:eastAsia="Times New Roman" w:cstheme="minorHAnsi"/>
          <w:noProof/>
          <w:lang w:val="es-ES" w:eastAsia="en-GB"/>
        </w:rPr>
        <w:t xml:space="preserve"> colaboración de las OIA, </w:t>
      </w:r>
      <w:r w:rsidR="005C595E" w:rsidRPr="00022A36">
        <w:rPr>
          <w:rFonts w:eastAsia="Times New Roman" w:cstheme="minorHAnsi"/>
          <w:noProof/>
          <w:lang w:val="es-ES" w:eastAsia="en-GB"/>
        </w:rPr>
        <w:t>incluso en lo relativo a su</w:t>
      </w:r>
      <w:r w:rsidR="00EF01B8" w:rsidRPr="00022A36">
        <w:rPr>
          <w:rFonts w:eastAsia="Times New Roman" w:cstheme="minorHAnsi"/>
          <w:noProof/>
          <w:lang w:val="es-ES" w:eastAsia="en-GB"/>
        </w:rPr>
        <w:t xml:space="preserve"> apoyo </w:t>
      </w:r>
      <w:r w:rsidR="005C595E" w:rsidRPr="00022A36">
        <w:rPr>
          <w:rFonts w:eastAsia="Times New Roman" w:cstheme="minorHAnsi"/>
          <w:noProof/>
          <w:lang w:val="es-ES" w:eastAsia="en-GB"/>
        </w:rPr>
        <w:t>para la aplicación</w:t>
      </w:r>
      <w:r w:rsidR="00EF01B8" w:rsidRPr="00022A36">
        <w:rPr>
          <w:rFonts w:eastAsia="Times New Roman" w:cstheme="minorHAnsi"/>
          <w:noProof/>
          <w:lang w:val="es-ES" w:eastAsia="en-GB"/>
        </w:rPr>
        <w:t xml:space="preserve"> y la movilización de recursos, y los preparativos para la Conferencia </w:t>
      </w:r>
      <w:r w:rsidR="005C595E" w:rsidRPr="00022A36">
        <w:rPr>
          <w:rFonts w:eastAsia="Times New Roman" w:cstheme="minorHAnsi"/>
          <w:noProof/>
          <w:lang w:val="es-ES" w:eastAsia="en-GB"/>
        </w:rPr>
        <w:t>de las Naciones Unidas sobre el</w:t>
      </w:r>
      <w:r w:rsidR="00EF01B8" w:rsidRPr="00022A36">
        <w:rPr>
          <w:rFonts w:eastAsia="Times New Roman" w:cstheme="minorHAnsi"/>
          <w:noProof/>
          <w:lang w:val="es-ES" w:eastAsia="en-GB"/>
        </w:rPr>
        <w:t xml:space="preserve"> Agua 2023.</w:t>
      </w:r>
    </w:p>
    <w:p w14:paraId="4CA97752" w14:textId="77777777" w:rsidR="00E61332" w:rsidRPr="00022A36" w:rsidRDefault="00E61332" w:rsidP="000A264B">
      <w:pPr>
        <w:suppressAutoHyphens/>
        <w:spacing w:after="0" w:line="240" w:lineRule="auto"/>
        <w:ind w:left="425" w:hanging="425"/>
        <w:rPr>
          <w:rFonts w:eastAsia="Times New Roman" w:cstheme="minorHAnsi"/>
          <w:noProof/>
          <w:highlight w:val="yellow"/>
          <w:lang w:val="es-ES" w:eastAsia="en-GB"/>
        </w:rPr>
      </w:pPr>
    </w:p>
    <w:p w14:paraId="3775C093" w14:textId="44E0A776" w:rsidR="005C595E" w:rsidRPr="00022A36" w:rsidRDefault="00676929" w:rsidP="000A264B">
      <w:pPr>
        <w:suppressAutoHyphens/>
        <w:spacing w:after="0" w:line="240" w:lineRule="auto"/>
        <w:ind w:left="425" w:hanging="425"/>
        <w:rPr>
          <w:rFonts w:eastAsia="Times New Roman" w:cstheme="minorHAnsi"/>
          <w:noProof/>
          <w:lang w:val="es-ES" w:eastAsia="en-GB"/>
        </w:rPr>
      </w:pPr>
      <w:r w:rsidRPr="00022A36">
        <w:rPr>
          <w:rFonts w:eastAsia="Times New Roman" w:cstheme="minorHAnsi"/>
          <w:noProof/>
          <w:lang w:val="es-ES" w:eastAsia="en-GB"/>
        </w:rPr>
        <w:t>5</w:t>
      </w:r>
      <w:r w:rsidR="009E5708" w:rsidRPr="00022A36">
        <w:rPr>
          <w:rFonts w:eastAsia="Times New Roman" w:cstheme="minorHAnsi"/>
          <w:noProof/>
          <w:lang w:val="es-ES" w:eastAsia="en-GB"/>
        </w:rPr>
        <w:t>9</w:t>
      </w:r>
      <w:r w:rsidRPr="00022A36">
        <w:rPr>
          <w:rFonts w:eastAsia="Times New Roman" w:cstheme="minorHAnsi"/>
          <w:noProof/>
          <w:lang w:val="es-ES" w:eastAsia="en-GB"/>
        </w:rPr>
        <w:t>.</w:t>
      </w:r>
      <w:r w:rsidR="00A56F0D" w:rsidRPr="00022A36">
        <w:rPr>
          <w:rFonts w:eastAsia="Times New Roman" w:cstheme="minorHAnsi"/>
          <w:noProof/>
          <w:lang w:val="es-ES" w:eastAsia="en-GB"/>
        </w:rPr>
        <w:tab/>
      </w:r>
      <w:r w:rsidR="005C595E" w:rsidRPr="00022A36">
        <w:rPr>
          <w:rFonts w:eastAsia="Times New Roman" w:cstheme="minorHAnsi"/>
          <w:noProof/>
          <w:lang w:val="es-ES" w:eastAsia="en-GB"/>
        </w:rPr>
        <w:t>La Secretaría trabajó en estrecha colaboración con las OIA, por ejemplo en relación con los eventos paralelos de la COP14, la COP27 de la CMNUCC y la Conferencia de las Naciones Unidas sobre el Agua 2023, incluido el Freshwater Challenge (Desafío del Agua Dulce) que se presentó en un evento paralelo en el marco de la Conferencia de las Naciones Unidas sobre el Agua 2023.</w:t>
      </w:r>
    </w:p>
    <w:p w14:paraId="0329CC4C" w14:textId="7D7CF510" w:rsidR="00E61332" w:rsidRPr="00022A36" w:rsidRDefault="00E61332" w:rsidP="005C595E">
      <w:pPr>
        <w:suppressAutoHyphens/>
        <w:spacing w:after="0" w:line="240" w:lineRule="auto"/>
        <w:rPr>
          <w:rFonts w:eastAsia="Times New Roman" w:cstheme="minorHAnsi"/>
          <w:noProof/>
          <w:highlight w:val="yellow"/>
          <w:lang w:val="es-ES" w:eastAsia="en-GB"/>
        </w:rPr>
      </w:pPr>
    </w:p>
    <w:p w14:paraId="084B1F57" w14:textId="3AFE9B8E" w:rsidR="005C595E" w:rsidRPr="00022A36" w:rsidRDefault="009E5708" w:rsidP="000A264B">
      <w:pPr>
        <w:suppressAutoHyphens/>
        <w:spacing w:after="0" w:line="240" w:lineRule="auto"/>
        <w:ind w:left="425" w:hanging="425"/>
        <w:rPr>
          <w:rFonts w:eastAsia="Times New Roman"/>
          <w:noProof/>
          <w:lang w:val="es-ES" w:eastAsia="en-GB"/>
        </w:rPr>
      </w:pPr>
      <w:r w:rsidRPr="00022A36">
        <w:rPr>
          <w:rFonts w:eastAsia="Times New Roman"/>
          <w:noProof/>
          <w:lang w:val="es-ES" w:eastAsia="en-GB"/>
        </w:rPr>
        <w:t>60</w:t>
      </w:r>
      <w:r w:rsidR="4C7D9D1B" w:rsidRPr="00022A36">
        <w:rPr>
          <w:rFonts w:eastAsia="Times New Roman"/>
          <w:noProof/>
          <w:lang w:val="es-ES" w:eastAsia="en-GB"/>
        </w:rPr>
        <w:t>.</w:t>
      </w:r>
      <w:r w:rsidR="00A56F0D" w:rsidRPr="00022A36">
        <w:rPr>
          <w:rFonts w:eastAsia="Times New Roman"/>
          <w:noProof/>
          <w:lang w:val="es-ES" w:eastAsia="en-GB"/>
        </w:rPr>
        <w:tab/>
      </w:r>
      <w:r w:rsidR="005C595E" w:rsidRPr="00022A36">
        <w:rPr>
          <w:rFonts w:eastAsia="Times New Roman"/>
          <w:noProof/>
          <w:lang w:val="es-ES" w:eastAsia="en-GB"/>
        </w:rPr>
        <w:t xml:space="preserve">Las OIA realizaron aportes al Día Mundial de los Humedales 2023, </w:t>
      </w:r>
      <w:r w:rsidR="00E741F3" w:rsidRPr="00022A36">
        <w:rPr>
          <w:rFonts w:eastAsia="Times New Roman"/>
          <w:noProof/>
          <w:lang w:val="es-ES" w:eastAsia="en-GB"/>
        </w:rPr>
        <w:t>incluso identificando</w:t>
      </w:r>
      <w:r w:rsidR="005C595E" w:rsidRPr="00022A36">
        <w:rPr>
          <w:rFonts w:eastAsia="Times New Roman"/>
          <w:noProof/>
          <w:lang w:val="es-ES" w:eastAsia="en-GB"/>
        </w:rPr>
        <w:t xml:space="preserve"> siete acciones prioritarias para acelerar y ampliar la restauración de los humedales</w:t>
      </w:r>
      <w:r w:rsidR="00E741F3" w:rsidRPr="00022A36">
        <w:rPr>
          <w:rFonts w:eastAsia="Times New Roman"/>
          <w:noProof/>
          <w:lang w:val="es-ES" w:eastAsia="en-GB"/>
        </w:rPr>
        <w:t>, las</w:t>
      </w:r>
      <w:r w:rsidR="005C595E" w:rsidRPr="00022A36">
        <w:rPr>
          <w:rFonts w:eastAsia="Times New Roman"/>
          <w:noProof/>
          <w:lang w:val="es-ES" w:eastAsia="en-GB"/>
        </w:rPr>
        <w:t xml:space="preserve"> que se presentaron en el evento en línea celebrado el 1 de febrero de 2023.</w:t>
      </w:r>
    </w:p>
    <w:p w14:paraId="10FDE631" w14:textId="29B16D28" w:rsidR="00F601DD" w:rsidRPr="00022A36" w:rsidRDefault="00F601DD" w:rsidP="005C595E">
      <w:pPr>
        <w:tabs>
          <w:tab w:val="left" w:pos="426"/>
        </w:tabs>
        <w:spacing w:after="0" w:line="240" w:lineRule="auto"/>
        <w:rPr>
          <w:rFonts w:cstheme="minorHAnsi"/>
          <w:noProof/>
          <w:lang w:val="es-ES"/>
        </w:rPr>
      </w:pPr>
    </w:p>
    <w:p w14:paraId="72F23E71" w14:textId="161B2927" w:rsidR="005C595E" w:rsidRPr="00022A36" w:rsidRDefault="005C595E" w:rsidP="000A264B">
      <w:pPr>
        <w:keepNext/>
        <w:spacing w:after="0" w:line="240" w:lineRule="auto"/>
        <w:ind w:left="357" w:hanging="357"/>
        <w:rPr>
          <w:rFonts w:eastAsia="Times New Roman"/>
          <w:i/>
          <w:iCs/>
          <w:noProof/>
          <w:lang w:val="es-ES" w:eastAsia="en-GB"/>
        </w:rPr>
      </w:pPr>
      <w:r w:rsidRPr="00022A36">
        <w:rPr>
          <w:rFonts w:eastAsia="Times New Roman"/>
          <w:i/>
          <w:iCs/>
          <w:noProof/>
          <w:lang w:val="es-ES" w:eastAsia="en-GB"/>
        </w:rPr>
        <w:t xml:space="preserve">Colaboración con la </w:t>
      </w:r>
      <w:r w:rsidR="00262B72" w:rsidRPr="00022A36">
        <w:rPr>
          <w:rFonts w:eastAsia="Times New Roman"/>
          <w:i/>
          <w:iCs/>
          <w:noProof/>
          <w:lang w:val="es-ES" w:eastAsia="en-GB"/>
        </w:rPr>
        <w:t>Alianza</w:t>
      </w:r>
      <w:r w:rsidRPr="00022A36">
        <w:rPr>
          <w:rFonts w:eastAsia="Times New Roman"/>
          <w:i/>
          <w:iCs/>
          <w:noProof/>
          <w:lang w:val="es-ES" w:eastAsia="en-GB"/>
        </w:rPr>
        <w:t xml:space="preserve"> </w:t>
      </w:r>
      <w:r w:rsidR="00262B72" w:rsidRPr="00022A36">
        <w:rPr>
          <w:rFonts w:eastAsia="Times New Roman"/>
          <w:i/>
          <w:iCs/>
          <w:noProof/>
          <w:lang w:val="es-ES" w:eastAsia="en-GB"/>
        </w:rPr>
        <w:t>i</w:t>
      </w:r>
      <w:r w:rsidRPr="00022A36">
        <w:rPr>
          <w:rFonts w:eastAsia="Times New Roman"/>
          <w:i/>
          <w:iCs/>
          <w:noProof/>
          <w:lang w:val="es-ES" w:eastAsia="en-GB"/>
        </w:rPr>
        <w:t xml:space="preserve">nternacional </w:t>
      </w:r>
      <w:r w:rsidR="00262B72" w:rsidRPr="00022A36">
        <w:rPr>
          <w:rFonts w:eastAsia="Times New Roman"/>
          <w:i/>
          <w:iCs/>
          <w:noProof/>
          <w:lang w:val="es-ES" w:eastAsia="en-GB"/>
        </w:rPr>
        <w:t>de</w:t>
      </w:r>
      <w:r w:rsidRPr="00022A36">
        <w:rPr>
          <w:rFonts w:eastAsia="Times New Roman"/>
          <w:i/>
          <w:iCs/>
          <w:noProof/>
          <w:lang w:val="es-ES" w:eastAsia="en-GB"/>
        </w:rPr>
        <w:t xml:space="preserve"> </w:t>
      </w:r>
      <w:r w:rsidR="00262B72" w:rsidRPr="00022A36">
        <w:rPr>
          <w:rFonts w:eastAsia="Times New Roman"/>
          <w:i/>
          <w:iCs/>
          <w:noProof/>
          <w:lang w:val="es-ES" w:eastAsia="en-GB"/>
        </w:rPr>
        <w:t>c</w:t>
      </w:r>
      <w:r w:rsidRPr="00022A36">
        <w:rPr>
          <w:rFonts w:eastAsia="Times New Roman"/>
          <w:i/>
          <w:iCs/>
          <w:noProof/>
          <w:lang w:val="es-ES" w:eastAsia="en-GB"/>
        </w:rPr>
        <w:t xml:space="preserve">arbono </w:t>
      </w:r>
      <w:r w:rsidR="00262B72" w:rsidRPr="00022A36">
        <w:rPr>
          <w:rFonts w:eastAsia="Times New Roman"/>
          <w:i/>
          <w:iCs/>
          <w:noProof/>
          <w:lang w:val="es-ES" w:eastAsia="en-GB"/>
        </w:rPr>
        <w:t>a</w:t>
      </w:r>
      <w:r w:rsidRPr="00022A36">
        <w:rPr>
          <w:rFonts w:eastAsia="Times New Roman"/>
          <w:i/>
          <w:iCs/>
          <w:noProof/>
          <w:lang w:val="es-ES" w:eastAsia="en-GB"/>
        </w:rPr>
        <w:t xml:space="preserve">zul </w:t>
      </w:r>
    </w:p>
    <w:p w14:paraId="7DEDEC16" w14:textId="77777777" w:rsidR="006C4DEE" w:rsidRPr="00022A36" w:rsidRDefault="006C4DEE" w:rsidP="000A264B">
      <w:pPr>
        <w:keepNext/>
        <w:spacing w:after="0" w:line="240" w:lineRule="auto"/>
        <w:ind w:left="357" w:hanging="357"/>
        <w:rPr>
          <w:rFonts w:eastAsia="Times New Roman" w:cstheme="minorHAnsi"/>
          <w:noProof/>
          <w:color w:val="000000"/>
          <w:lang w:val="es-ES" w:eastAsia="en-GB"/>
        </w:rPr>
      </w:pPr>
    </w:p>
    <w:p w14:paraId="4DE279F5" w14:textId="5323938E" w:rsidR="00262B72" w:rsidRPr="00022A36" w:rsidRDefault="009E5708" w:rsidP="00262B72">
      <w:pPr>
        <w:spacing w:after="0" w:line="240" w:lineRule="auto"/>
        <w:ind w:left="425" w:hanging="425"/>
        <w:rPr>
          <w:rFonts w:eastAsia="Times New Roman" w:cs="Calibri"/>
          <w:b/>
          <w:bCs/>
          <w:noProof/>
          <w:color w:val="000000"/>
          <w:sz w:val="28"/>
          <w:szCs w:val="28"/>
          <w:lang w:val="es-ES" w:eastAsia="fr-FR"/>
        </w:rPr>
      </w:pPr>
      <w:r w:rsidRPr="00022A36">
        <w:rPr>
          <w:noProof/>
          <w:lang w:val="es-ES"/>
        </w:rPr>
        <w:t>61</w:t>
      </w:r>
      <w:r w:rsidR="38BB17FB" w:rsidRPr="00022A36">
        <w:rPr>
          <w:noProof/>
          <w:lang w:val="es-ES"/>
        </w:rPr>
        <w:t>.</w:t>
      </w:r>
      <w:r w:rsidR="00A56F0D" w:rsidRPr="00022A36">
        <w:rPr>
          <w:noProof/>
          <w:lang w:val="es-ES"/>
        </w:rPr>
        <w:tab/>
      </w:r>
      <w:r w:rsidR="00262B72" w:rsidRPr="00022A36">
        <w:rPr>
          <w:rFonts w:eastAsia="Times New Roman"/>
          <w:noProof/>
          <w:color w:val="000000" w:themeColor="text1"/>
          <w:lang w:val="es-ES" w:eastAsia="en-GB"/>
        </w:rPr>
        <w:t>La</w:t>
      </w:r>
      <w:r w:rsidR="00262B72" w:rsidRPr="00022A36">
        <w:rPr>
          <w:noProof/>
          <w:lang w:val="es-ES"/>
        </w:rPr>
        <w:t xml:space="preserve"> Secretaría sigue participando en la Alianza internacional de carbono azul (IPBC). Tomó parte en la tercera reunión de diálogo de la Alianza y contribuyó al examen de su plan de actividades para 2023, con arreglo a las Resoluciones XIII.14 sobre </w:t>
      </w:r>
      <w:r w:rsidR="00262B72" w:rsidRPr="00022A36">
        <w:rPr>
          <w:rFonts w:ascii="Calibri" w:hAnsi="Calibri"/>
          <w:i/>
          <w:noProof/>
          <w:lang w:val="es-ES"/>
        </w:rPr>
        <w:t xml:space="preserve">Promoción de la conservación, restauración y gestión sostenible de los ecosistemas costeros de carbono azul </w:t>
      </w:r>
      <w:r w:rsidR="00262B72" w:rsidRPr="00022A36">
        <w:rPr>
          <w:noProof/>
          <w:lang w:val="es-ES"/>
        </w:rPr>
        <w:t xml:space="preserve">y XIV.17 sobre </w:t>
      </w:r>
      <w:r w:rsidR="00262B72" w:rsidRPr="00022A36">
        <w:rPr>
          <w:rFonts w:ascii="Calibri" w:hAnsi="Calibri"/>
          <w:i/>
          <w:noProof/>
          <w:lang w:val="es-ES"/>
        </w:rPr>
        <w:t>Protección, conservación, restauración, uso sostenible y gestión de los ecosistemas de humedales para hacer frente al cambio climático</w:t>
      </w:r>
      <w:r w:rsidR="00262B72" w:rsidRPr="00022A36">
        <w:rPr>
          <w:noProof/>
          <w:lang w:val="es-ES"/>
        </w:rPr>
        <w:t>, así como las tareas 1, 2 y 3 del GECT sobre el carbono azul.</w:t>
      </w:r>
    </w:p>
    <w:p w14:paraId="457B7156" w14:textId="77777777" w:rsidR="00A56F0D" w:rsidRPr="00022A36" w:rsidRDefault="00A56F0D" w:rsidP="00262B72">
      <w:pPr>
        <w:spacing w:after="0" w:line="240" w:lineRule="auto"/>
        <w:rPr>
          <w:rFonts w:ascii="Calibri" w:eastAsia="Calibri" w:hAnsi="Calibri" w:cs="Calibri"/>
          <w:noProof/>
          <w:lang w:val="es-ES"/>
        </w:rPr>
      </w:pPr>
    </w:p>
    <w:p w14:paraId="19A8FD24" w14:textId="77777777" w:rsidR="00262B72" w:rsidRPr="00022A36" w:rsidRDefault="00262B72" w:rsidP="000A264B">
      <w:pPr>
        <w:keepNext/>
        <w:spacing w:after="0" w:line="240" w:lineRule="auto"/>
        <w:ind w:left="357" w:hanging="357"/>
        <w:rPr>
          <w:rFonts w:eastAsia="Times New Roman"/>
          <w:i/>
          <w:iCs/>
          <w:noProof/>
          <w:lang w:val="es-ES" w:eastAsia="en-GB"/>
        </w:rPr>
      </w:pPr>
      <w:r w:rsidRPr="00022A36">
        <w:rPr>
          <w:rFonts w:eastAsia="Times New Roman"/>
          <w:i/>
          <w:iCs/>
          <w:noProof/>
          <w:lang w:val="es-ES" w:eastAsia="en-GB"/>
        </w:rPr>
        <w:t>Colaboración con la Unión Internacional para la Conservación de la Naturaleza</w:t>
      </w:r>
    </w:p>
    <w:p w14:paraId="2CA0F318" w14:textId="77777777" w:rsidR="26C9055A" w:rsidRPr="00022A36" w:rsidRDefault="26C9055A" w:rsidP="000A264B">
      <w:pPr>
        <w:keepNext/>
        <w:spacing w:after="0" w:line="240" w:lineRule="auto"/>
        <w:ind w:left="357" w:hanging="357"/>
        <w:rPr>
          <w:rFonts w:eastAsia="Times New Roman"/>
          <w:noProof/>
          <w:u w:val="single"/>
          <w:lang w:val="es-ES" w:eastAsia="en-GB"/>
        </w:rPr>
      </w:pPr>
    </w:p>
    <w:p w14:paraId="0A60AEA2" w14:textId="535DF109" w:rsidR="26C9055A" w:rsidRPr="00022A36" w:rsidRDefault="00854A7F" w:rsidP="005C79A0">
      <w:pPr>
        <w:spacing w:after="0" w:line="240" w:lineRule="auto"/>
        <w:ind w:left="425" w:hanging="425"/>
        <w:rPr>
          <w:noProof/>
          <w:lang w:val="es-ES"/>
        </w:rPr>
      </w:pPr>
      <w:r w:rsidRPr="00022A36">
        <w:rPr>
          <w:rFonts w:eastAsia="Times New Roman"/>
          <w:noProof/>
          <w:color w:val="000000" w:themeColor="text1"/>
          <w:lang w:val="es-ES" w:eastAsia="en-GB"/>
        </w:rPr>
        <w:t>62</w:t>
      </w:r>
      <w:r w:rsidR="51A09E50" w:rsidRPr="00022A36">
        <w:rPr>
          <w:rFonts w:eastAsia="Times New Roman"/>
          <w:noProof/>
          <w:color w:val="000000" w:themeColor="text1"/>
          <w:lang w:val="es-ES" w:eastAsia="en-GB"/>
        </w:rPr>
        <w:t>.</w:t>
      </w:r>
      <w:r w:rsidR="4C7D9D1B" w:rsidRPr="00022A36">
        <w:rPr>
          <w:noProof/>
          <w:lang w:val="es-ES"/>
        </w:rPr>
        <w:tab/>
      </w:r>
      <w:r w:rsidR="00262B72" w:rsidRPr="00022A36">
        <w:rPr>
          <w:noProof/>
          <w:lang w:val="es-ES"/>
        </w:rPr>
        <w:t xml:space="preserve">La Secretaría sigue trabajando en estrecha colaboración con la UICN para apoyar </w:t>
      </w:r>
      <w:r w:rsidR="00E741F3" w:rsidRPr="00022A36">
        <w:rPr>
          <w:noProof/>
          <w:lang w:val="es-ES"/>
        </w:rPr>
        <w:t>el funcionamiento</w:t>
      </w:r>
      <w:r w:rsidR="00262B72" w:rsidRPr="00022A36">
        <w:rPr>
          <w:noProof/>
          <w:lang w:val="es-ES"/>
        </w:rPr>
        <w:t xml:space="preserve"> de la Secretaría en virtud del </w:t>
      </w:r>
      <w:r w:rsidR="004C2848" w:rsidRPr="00022A36">
        <w:rPr>
          <w:noProof/>
          <w:lang w:val="es-ES"/>
        </w:rPr>
        <w:t>contrato</w:t>
      </w:r>
      <w:r w:rsidR="00262B72" w:rsidRPr="00022A36">
        <w:rPr>
          <w:noProof/>
          <w:lang w:val="es-ES"/>
        </w:rPr>
        <w:t xml:space="preserve"> de servicios </w:t>
      </w:r>
      <w:r w:rsidR="004C2848" w:rsidRPr="00022A36">
        <w:rPr>
          <w:noProof/>
          <w:lang w:val="es-ES"/>
        </w:rPr>
        <w:t xml:space="preserve">suscrito </w:t>
      </w:r>
      <w:r w:rsidR="00262B72" w:rsidRPr="00022A36">
        <w:rPr>
          <w:noProof/>
          <w:lang w:val="es-ES"/>
        </w:rPr>
        <w:t xml:space="preserve">entre la Convención y la UICN. </w:t>
      </w:r>
      <w:r w:rsidR="005C79A0" w:rsidRPr="00022A36">
        <w:rPr>
          <w:noProof/>
          <w:lang w:val="es-ES"/>
        </w:rPr>
        <w:t>Se siguen realizando</w:t>
      </w:r>
      <w:r w:rsidR="00262B72" w:rsidRPr="00022A36">
        <w:rPr>
          <w:noProof/>
          <w:lang w:val="es-ES"/>
        </w:rPr>
        <w:t xml:space="preserve"> reuniones periódicas y </w:t>
      </w:r>
      <w:r w:rsidR="00E741F3" w:rsidRPr="00022A36">
        <w:rPr>
          <w:noProof/>
          <w:lang w:val="es-ES"/>
        </w:rPr>
        <w:t>se sigue trabajando en</w:t>
      </w:r>
      <w:r w:rsidR="005C79A0" w:rsidRPr="00022A36">
        <w:rPr>
          <w:noProof/>
          <w:lang w:val="es-ES"/>
        </w:rPr>
        <w:t xml:space="preserve"> </w:t>
      </w:r>
      <w:r w:rsidR="00262B72" w:rsidRPr="00022A36">
        <w:rPr>
          <w:noProof/>
          <w:lang w:val="es-ES"/>
        </w:rPr>
        <w:t xml:space="preserve">la </w:t>
      </w:r>
      <w:r w:rsidR="005C79A0" w:rsidRPr="00022A36">
        <w:rPr>
          <w:noProof/>
          <w:lang w:val="es-ES"/>
        </w:rPr>
        <w:t>armonización</w:t>
      </w:r>
      <w:r w:rsidR="00262B72" w:rsidRPr="00022A36">
        <w:rPr>
          <w:noProof/>
          <w:lang w:val="es-ES"/>
        </w:rPr>
        <w:t xml:space="preserve"> de procesos y políticas en </w:t>
      </w:r>
      <w:r w:rsidR="004C2848" w:rsidRPr="00022A36">
        <w:rPr>
          <w:noProof/>
          <w:lang w:val="es-ES"/>
        </w:rPr>
        <w:t>los diferentes ámbitos</w:t>
      </w:r>
      <w:r w:rsidR="00262B72" w:rsidRPr="00022A36">
        <w:rPr>
          <w:noProof/>
          <w:lang w:val="es-ES"/>
        </w:rPr>
        <w:t xml:space="preserve"> </w:t>
      </w:r>
      <w:r w:rsidR="005C79A0" w:rsidRPr="00022A36">
        <w:rPr>
          <w:noProof/>
          <w:lang w:val="es-ES"/>
        </w:rPr>
        <w:t>d</w:t>
      </w:r>
      <w:r w:rsidR="00262B72" w:rsidRPr="00022A36">
        <w:rPr>
          <w:noProof/>
          <w:lang w:val="es-ES"/>
        </w:rPr>
        <w:t xml:space="preserve">el </w:t>
      </w:r>
      <w:r w:rsidR="004C2848" w:rsidRPr="00022A36">
        <w:rPr>
          <w:noProof/>
          <w:lang w:val="es-ES"/>
        </w:rPr>
        <w:t>contrato</w:t>
      </w:r>
      <w:r w:rsidR="00262B72" w:rsidRPr="00022A36">
        <w:rPr>
          <w:noProof/>
          <w:lang w:val="es-ES"/>
        </w:rPr>
        <w:t xml:space="preserve"> de servicios, como finanzas y contabilidad, tecnología de la información, </w:t>
      </w:r>
      <w:r w:rsidR="005C79A0" w:rsidRPr="00022A36">
        <w:rPr>
          <w:noProof/>
          <w:lang w:val="es-ES"/>
        </w:rPr>
        <w:t>gestión</w:t>
      </w:r>
      <w:r w:rsidR="00262B72" w:rsidRPr="00022A36">
        <w:rPr>
          <w:noProof/>
          <w:lang w:val="es-ES"/>
        </w:rPr>
        <w:t xml:space="preserve"> de</w:t>
      </w:r>
      <w:r w:rsidR="005C79A0" w:rsidRPr="00022A36">
        <w:rPr>
          <w:noProof/>
          <w:lang w:val="es-ES"/>
        </w:rPr>
        <w:t xml:space="preserve"> las</w:t>
      </w:r>
      <w:r w:rsidR="00262B72" w:rsidRPr="00022A36">
        <w:rPr>
          <w:noProof/>
          <w:lang w:val="es-ES"/>
        </w:rPr>
        <w:t xml:space="preserve"> instalaciones y recursos humanos.</w:t>
      </w:r>
    </w:p>
    <w:sectPr w:rsidR="26C9055A" w:rsidRPr="00022A36" w:rsidSect="002F62DC">
      <w:footerReference w:type="default" r:id="rId11"/>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F6B4" w14:textId="77777777" w:rsidR="00E71DDD" w:rsidRDefault="00E71DDD" w:rsidP="009C2848">
      <w:pPr>
        <w:spacing w:after="0" w:line="240" w:lineRule="auto"/>
      </w:pPr>
      <w:r>
        <w:separator/>
      </w:r>
    </w:p>
  </w:endnote>
  <w:endnote w:type="continuationSeparator" w:id="0">
    <w:p w14:paraId="416154D4" w14:textId="77777777" w:rsidR="00E71DDD" w:rsidRDefault="00E71DDD" w:rsidP="009C2848">
      <w:pPr>
        <w:spacing w:after="0" w:line="240" w:lineRule="auto"/>
      </w:pPr>
      <w:r>
        <w:continuationSeparator/>
      </w:r>
    </w:p>
  </w:endnote>
  <w:endnote w:type="continuationNotice" w:id="1">
    <w:p w14:paraId="76C75768" w14:textId="77777777" w:rsidR="00E71DDD" w:rsidRDefault="00E71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2C394A9D" w:rsidR="00000B89" w:rsidRPr="00ED605C" w:rsidRDefault="00000B89">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62</w:t>
    </w:r>
    <w:r w:rsidRPr="00ED605C">
      <w:rPr>
        <w:rFonts w:asciiTheme="minorHAnsi" w:hAnsiTheme="minorHAnsi" w:cstheme="minorHAnsi"/>
        <w:sz w:val="20"/>
        <w:szCs w:val="20"/>
      </w:rPr>
      <w:t xml:space="preserve"> Doc.1</w:t>
    </w:r>
    <w:r>
      <w:rPr>
        <w:rFonts w:asciiTheme="minorHAnsi" w:hAnsiTheme="minorHAnsi" w:cstheme="minorHAnsi"/>
        <w:sz w:val="20"/>
        <w:szCs w:val="20"/>
      </w:rPr>
      <w:t>4</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color w:val="2B579A"/>
        <w:sz w:val="20"/>
        <w:szCs w:val="20"/>
        <w:shd w:val="clear" w:color="auto" w:fill="E6E6E6"/>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color w:val="2B579A"/>
        <w:sz w:val="20"/>
        <w:szCs w:val="20"/>
        <w:shd w:val="clear" w:color="auto" w:fill="E6E6E6"/>
      </w:rPr>
      <w:fldChar w:fldCharType="separate"/>
    </w:r>
    <w:r w:rsidR="002B1B44">
      <w:rPr>
        <w:rFonts w:asciiTheme="minorHAnsi" w:hAnsiTheme="minorHAnsi" w:cstheme="minorHAnsi"/>
        <w:noProof/>
        <w:sz w:val="20"/>
        <w:szCs w:val="20"/>
      </w:rPr>
      <w:t>11</w:t>
    </w:r>
    <w:r w:rsidRPr="00ED605C">
      <w:rPr>
        <w:rFonts w:asciiTheme="minorHAnsi" w:hAnsiTheme="minorHAnsi" w:cstheme="minorHAnsi"/>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9DF67" w14:textId="77777777" w:rsidR="00E71DDD" w:rsidRDefault="00E71DDD" w:rsidP="009C2848">
      <w:pPr>
        <w:spacing w:after="0" w:line="240" w:lineRule="auto"/>
      </w:pPr>
      <w:r>
        <w:separator/>
      </w:r>
    </w:p>
  </w:footnote>
  <w:footnote w:type="continuationSeparator" w:id="0">
    <w:p w14:paraId="1B7C879F" w14:textId="77777777" w:rsidR="00E71DDD" w:rsidRDefault="00E71DDD" w:rsidP="009C2848">
      <w:pPr>
        <w:spacing w:after="0" w:line="240" w:lineRule="auto"/>
      </w:pPr>
      <w:r>
        <w:continuationSeparator/>
      </w:r>
    </w:p>
  </w:footnote>
  <w:footnote w:type="continuationNotice" w:id="1">
    <w:p w14:paraId="21461ACA" w14:textId="77777777" w:rsidR="00E71DDD" w:rsidRDefault="00E71DDD">
      <w:pPr>
        <w:spacing w:after="0" w:line="240" w:lineRule="auto"/>
      </w:pPr>
    </w:p>
  </w:footnote>
  <w:footnote w:id="2">
    <w:p w14:paraId="07B3091A" w14:textId="55BA2CCD" w:rsidR="00000B89" w:rsidRPr="007521EC" w:rsidRDefault="00000B89" w:rsidP="001851B6">
      <w:pPr>
        <w:pStyle w:val="FootnoteText"/>
        <w:ind w:left="0" w:firstLine="0"/>
        <w:jc w:val="left"/>
        <w:rPr>
          <w:rFonts w:asciiTheme="minorHAnsi" w:hAnsiTheme="minorHAnsi" w:cstheme="minorHAnsi"/>
        </w:rPr>
      </w:pPr>
      <w:r w:rsidRPr="007521EC">
        <w:rPr>
          <w:rStyle w:val="FootnoteReference"/>
          <w:rFonts w:asciiTheme="minorHAnsi" w:hAnsiTheme="minorHAnsi" w:cstheme="minorHAnsi"/>
        </w:rPr>
        <w:footnoteRef/>
      </w:r>
      <w:r>
        <w:rPr>
          <w:rFonts w:asciiTheme="minorHAnsi" w:hAnsiTheme="minorHAnsi" w:cstheme="minorHAnsi"/>
        </w:rPr>
        <w:t xml:space="preserve"> </w:t>
      </w:r>
      <w:hyperlink r:id="rId1" w:history="1">
        <w:r w:rsidRPr="00F130C9">
          <w:rPr>
            <w:rStyle w:val="Hyperlink"/>
            <w:rFonts w:asciiTheme="minorHAnsi" w:hAnsiTheme="minorHAnsi" w:cstheme="minorHAnsi"/>
          </w:rPr>
          <w:t>https://www.ramsar.org/document/sc59-doc161-review-of-the-fifth-joint-work-plan-between-the-convention-on-biological</w:t>
        </w:r>
      </w:hyperlink>
      <w:r w:rsidR="005D4B5D">
        <w:rPr>
          <w:rFonts w:asciiTheme="minorHAnsi" w:hAnsiTheme="minorHAnsi" w:cstheme="minorHAnsi"/>
        </w:rPr>
        <w:t>.</w:t>
      </w:r>
    </w:p>
  </w:footnote>
  <w:footnote w:id="3">
    <w:p w14:paraId="7B215844" w14:textId="400B9ED8" w:rsidR="00DE0113" w:rsidRPr="008E02C0" w:rsidRDefault="00DE0113" w:rsidP="00DE0113">
      <w:pPr>
        <w:pStyle w:val="FootnoteText"/>
        <w:rPr>
          <w:rFonts w:asciiTheme="minorHAnsi" w:hAnsiTheme="minorHAnsi" w:cstheme="minorHAnsi"/>
          <w:noProof/>
          <w:lang w:val="es-ES"/>
        </w:rPr>
      </w:pPr>
      <w:r w:rsidRPr="006C431C">
        <w:rPr>
          <w:rStyle w:val="FootnoteReference"/>
          <w:rFonts w:asciiTheme="minorHAnsi" w:hAnsiTheme="minorHAnsi" w:cstheme="minorHAnsi"/>
        </w:rPr>
        <w:footnoteRef/>
      </w:r>
      <w:r w:rsidRPr="00CF3168">
        <w:rPr>
          <w:rFonts w:asciiTheme="minorHAnsi" w:hAnsiTheme="minorHAnsi" w:cstheme="minorHAnsi"/>
          <w:lang w:val="fr-FR"/>
        </w:rPr>
        <w:t xml:space="preserve"> </w:t>
      </w:r>
      <w:r w:rsidR="008E02C0" w:rsidRPr="008E02C0">
        <w:rPr>
          <w:rFonts w:asciiTheme="minorHAnsi" w:hAnsiTheme="minorHAnsi" w:cstheme="minorHAnsi"/>
          <w:noProof/>
          <w:lang w:val="es-ES"/>
        </w:rPr>
        <w:t>Véase</w:t>
      </w:r>
      <w:r w:rsidRPr="008E02C0">
        <w:rPr>
          <w:rFonts w:asciiTheme="minorHAnsi" w:hAnsiTheme="minorHAnsi" w:cstheme="minorHAnsi"/>
          <w:noProof/>
          <w:lang w:val="es-ES"/>
        </w:rPr>
        <w:t xml:space="preserve"> </w:t>
      </w:r>
      <w:hyperlink r:id="rId2" w:history="1">
        <w:r w:rsidRPr="008E02C0">
          <w:rPr>
            <w:rStyle w:val="Hyperlink"/>
            <w:rFonts w:asciiTheme="minorHAnsi" w:hAnsiTheme="minorHAnsi" w:cstheme="minorHAnsi"/>
            <w:noProof/>
            <w:lang w:val="es-ES"/>
          </w:rPr>
          <w:t>https://www.unccd.int/our-work/flagship-initiatives/G20-Initiative</w:t>
        </w:r>
      </w:hyperlink>
      <w:r w:rsidRPr="008E02C0">
        <w:rPr>
          <w:rFonts w:asciiTheme="minorHAnsi" w:hAnsiTheme="minorHAnsi" w:cstheme="minorHAnsi"/>
          <w:noProof/>
          <w:lang w:val="es-ES"/>
        </w:rPr>
        <w:t>.</w:t>
      </w:r>
    </w:p>
  </w:footnote>
  <w:footnote w:id="4">
    <w:p w14:paraId="6FD972F6" w14:textId="6E2DADFF" w:rsidR="00B07C20" w:rsidRPr="006C5AAB" w:rsidRDefault="00B07C20" w:rsidP="00B07C20">
      <w:pPr>
        <w:pStyle w:val="FootnoteText"/>
        <w:ind w:left="0" w:firstLine="0"/>
        <w:jc w:val="left"/>
        <w:rPr>
          <w:rFonts w:asciiTheme="minorHAnsi" w:hAnsiTheme="minorHAnsi" w:cstheme="minorHAnsi"/>
          <w:noProof/>
          <w:lang w:val="es-ES"/>
        </w:rPr>
      </w:pPr>
      <w:r w:rsidRPr="006C5AAB">
        <w:rPr>
          <w:rStyle w:val="FootnoteReference"/>
          <w:rFonts w:asciiTheme="minorHAnsi" w:hAnsiTheme="minorHAnsi" w:cstheme="minorHAnsi"/>
          <w:noProof/>
          <w:lang w:val="es-ES"/>
        </w:rPr>
        <w:footnoteRef/>
      </w:r>
      <w:r w:rsidRPr="006C5AAB">
        <w:rPr>
          <w:rFonts w:asciiTheme="minorHAnsi" w:hAnsiTheme="minorHAnsi" w:cstheme="minorHAnsi"/>
          <w:noProof/>
          <w:lang w:val="es-ES"/>
        </w:rPr>
        <w:t xml:space="preserve"> Véase </w:t>
      </w:r>
      <w:hyperlink r:id="rId3" w:history="1">
        <w:r w:rsidR="006C5AAB" w:rsidRPr="006C5AAB">
          <w:rPr>
            <w:rStyle w:val="Hyperlink"/>
            <w:rFonts w:asciiTheme="minorHAnsi" w:hAnsiTheme="minorHAnsi" w:cstheme="minorHAnsi"/>
            <w:lang w:val="fr-FR"/>
          </w:rPr>
          <w:t>https://www.ramsar.org/es/nuevas/conferencia-de-las-naciones-unidas-sobre-el-agua-una-oportunidad-para-el-cambio-dra-musonda</w:t>
        </w:r>
      </w:hyperlink>
      <w:r w:rsidRPr="006C5AAB">
        <w:rPr>
          <w:rStyle w:val="normaltextrun"/>
          <w:rFonts w:asciiTheme="minorHAnsi" w:hAnsiTheme="minorHAnsi" w:cstheme="minorHAnsi"/>
          <w:noProof/>
          <w:color w:val="000000"/>
          <w:shd w:val="clear" w:color="auto" w:fill="FFFFFF"/>
          <w:lang w:val="es-ES"/>
        </w:rPr>
        <w:t xml:space="preserve">. </w:t>
      </w:r>
    </w:p>
  </w:footnote>
  <w:footnote w:id="5">
    <w:p w14:paraId="1C470FD4" w14:textId="14B0DA41" w:rsidR="00000B89" w:rsidRPr="006C5AAB" w:rsidRDefault="00000B89" w:rsidP="00AB27CF">
      <w:pPr>
        <w:pStyle w:val="FootnoteText"/>
        <w:ind w:left="0" w:firstLine="0"/>
        <w:jc w:val="left"/>
        <w:rPr>
          <w:rFonts w:asciiTheme="minorHAnsi" w:hAnsiTheme="minorHAnsi" w:cstheme="minorHAnsi"/>
          <w:lang w:val="fr-FR"/>
        </w:rPr>
      </w:pPr>
      <w:r w:rsidRPr="006C5AAB">
        <w:rPr>
          <w:rStyle w:val="FootnoteReference"/>
          <w:rFonts w:asciiTheme="minorHAnsi" w:hAnsiTheme="minorHAnsi" w:cstheme="minorHAnsi"/>
          <w:noProof/>
          <w:lang w:val="es-ES"/>
        </w:rPr>
        <w:footnoteRef/>
      </w:r>
      <w:r w:rsidRPr="006C5AAB">
        <w:rPr>
          <w:rFonts w:asciiTheme="minorHAnsi" w:hAnsiTheme="minorHAnsi" w:cstheme="minorHAnsi"/>
          <w:noProof/>
          <w:lang w:val="es-ES"/>
        </w:rPr>
        <w:t xml:space="preserve"> </w:t>
      </w:r>
      <w:r w:rsidR="00216F0F" w:rsidRPr="006C5AAB">
        <w:rPr>
          <w:rFonts w:asciiTheme="minorHAnsi" w:hAnsiTheme="minorHAnsi" w:cstheme="minorHAnsi"/>
          <w:noProof/>
          <w:lang w:val="es-ES"/>
        </w:rPr>
        <w:t>Véase</w:t>
      </w:r>
      <w:r w:rsidRPr="006C5AAB">
        <w:rPr>
          <w:rFonts w:asciiTheme="minorHAnsi" w:hAnsiTheme="minorHAnsi" w:cstheme="minorHAnsi"/>
          <w:noProof/>
          <w:lang w:val="es-ES"/>
        </w:rPr>
        <w:t xml:space="preserve"> </w:t>
      </w:r>
      <w:hyperlink r:id="rId4" w:history="1">
        <w:r w:rsidR="006C5AAB" w:rsidRPr="006C5AAB">
          <w:rPr>
            <w:rStyle w:val="Hyperlink"/>
            <w:rFonts w:asciiTheme="minorHAnsi" w:hAnsiTheme="minorHAnsi" w:cstheme="minorHAnsi"/>
            <w:lang w:val="fr-FR"/>
          </w:rPr>
          <w:t>https://www.ramsar.org/es/conferencia-del-agua-de-la-onu-2023-declaracion-de-la-dra-musonda-mumba-al-dialogo-interactivo-3</w:t>
        </w:r>
      </w:hyperlink>
      <w:r w:rsidRPr="006C5AAB">
        <w:rPr>
          <w:rFonts w:asciiTheme="minorHAnsi" w:hAnsiTheme="minorHAnsi" w:cstheme="minorHAnsi"/>
          <w:noProof/>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416A2"/>
    <w:multiLevelType w:val="hybridMultilevel"/>
    <w:tmpl w:val="B26099F4"/>
    <w:lvl w:ilvl="0" w:tplc="9048B3FC">
      <w:start w:val="1"/>
      <w:numFmt w:val="decimal"/>
      <w:lvlText w:val="%1."/>
      <w:lvlJc w:val="left"/>
      <w:pPr>
        <w:ind w:left="420" w:hanging="420"/>
      </w:pPr>
      <w:rPr>
        <w:rFonts w:asciiTheme="minorHAnsi" w:eastAsiaTheme="minorHAnsi" w:hAnsiTheme="minorHAnsi" w:cstheme="minorBidi"/>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E669B"/>
    <w:multiLevelType w:val="hybridMultilevel"/>
    <w:tmpl w:val="09D214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20"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C23F6"/>
    <w:multiLevelType w:val="hybridMultilevel"/>
    <w:tmpl w:val="AA8082EC"/>
    <w:lvl w:ilvl="0" w:tplc="129A0BFE">
      <w:start w:val="2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6E9A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D3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681D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2820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C6B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ABB4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2E39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296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5" w15:restartNumberingAfterBreak="0">
    <w:nsid w:val="70FF24B4"/>
    <w:multiLevelType w:val="hybridMultilevel"/>
    <w:tmpl w:val="9C2818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9"/>
  </w:num>
  <w:num w:numId="4">
    <w:abstractNumId w:val="14"/>
  </w:num>
  <w:num w:numId="5">
    <w:abstractNumId w:val="16"/>
  </w:num>
  <w:num w:numId="6">
    <w:abstractNumId w:val="4"/>
  </w:num>
  <w:num w:numId="7">
    <w:abstractNumId w:val="12"/>
  </w:num>
  <w:num w:numId="8">
    <w:abstractNumId w:val="0"/>
  </w:num>
  <w:num w:numId="9">
    <w:abstractNumId w:val="27"/>
  </w:num>
  <w:num w:numId="10">
    <w:abstractNumId w:val="17"/>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5"/>
  </w:num>
  <w:num w:numId="15">
    <w:abstractNumId w:val="15"/>
  </w:num>
  <w:num w:numId="16">
    <w:abstractNumId w:val="26"/>
  </w:num>
  <w:num w:numId="17">
    <w:abstractNumId w:val="21"/>
  </w:num>
  <w:num w:numId="18">
    <w:abstractNumId w:val="20"/>
  </w:num>
  <w:num w:numId="19">
    <w:abstractNumId w:val="7"/>
  </w:num>
  <w:num w:numId="20">
    <w:abstractNumId w:val="13"/>
  </w:num>
  <w:num w:numId="21">
    <w:abstractNumId w:val="1"/>
  </w:num>
  <w:num w:numId="22">
    <w:abstractNumId w:val="2"/>
  </w:num>
  <w:num w:numId="23">
    <w:abstractNumId w:val="2"/>
  </w:num>
  <w:num w:numId="24">
    <w:abstractNumId w:val="24"/>
  </w:num>
  <w:num w:numId="25">
    <w:abstractNumId w:val="3"/>
  </w:num>
  <w:num w:numId="26">
    <w:abstractNumId w:val="8"/>
  </w:num>
  <w:num w:numId="27">
    <w:abstractNumId w:val="28"/>
  </w:num>
  <w:num w:numId="28">
    <w:abstractNumId w:val="25"/>
  </w:num>
  <w:num w:numId="29">
    <w:abstractNumId w:val="18"/>
  </w:num>
  <w:num w:numId="30">
    <w:abstractNumId w:val="9"/>
  </w:num>
  <w:num w:numId="3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00B89"/>
    <w:rsid w:val="00002159"/>
    <w:rsid w:val="000023EE"/>
    <w:rsid w:val="00003D8B"/>
    <w:rsid w:val="00013383"/>
    <w:rsid w:val="000134E5"/>
    <w:rsid w:val="00014101"/>
    <w:rsid w:val="000163D4"/>
    <w:rsid w:val="00017673"/>
    <w:rsid w:val="00020B3A"/>
    <w:rsid w:val="000214A3"/>
    <w:rsid w:val="00022A36"/>
    <w:rsid w:val="00022C28"/>
    <w:rsid w:val="000235CF"/>
    <w:rsid w:val="000244D6"/>
    <w:rsid w:val="000246E1"/>
    <w:rsid w:val="00025999"/>
    <w:rsid w:val="0003002C"/>
    <w:rsid w:val="00031E45"/>
    <w:rsid w:val="00031FEA"/>
    <w:rsid w:val="00033ED6"/>
    <w:rsid w:val="000370C7"/>
    <w:rsid w:val="0004232E"/>
    <w:rsid w:val="00042A06"/>
    <w:rsid w:val="0004360C"/>
    <w:rsid w:val="00044317"/>
    <w:rsid w:val="0004432B"/>
    <w:rsid w:val="0004433B"/>
    <w:rsid w:val="000459FB"/>
    <w:rsid w:val="00047482"/>
    <w:rsid w:val="000476BF"/>
    <w:rsid w:val="00047C49"/>
    <w:rsid w:val="00051DCE"/>
    <w:rsid w:val="00053AAC"/>
    <w:rsid w:val="00055340"/>
    <w:rsid w:val="00056467"/>
    <w:rsid w:val="00060299"/>
    <w:rsid w:val="000603B0"/>
    <w:rsid w:val="0006113B"/>
    <w:rsid w:val="00062063"/>
    <w:rsid w:val="000626FC"/>
    <w:rsid w:val="000635E6"/>
    <w:rsid w:val="00065BAF"/>
    <w:rsid w:val="0006611C"/>
    <w:rsid w:val="000671A8"/>
    <w:rsid w:val="0006775D"/>
    <w:rsid w:val="00067A04"/>
    <w:rsid w:val="0007087A"/>
    <w:rsid w:val="0007139F"/>
    <w:rsid w:val="00072FD9"/>
    <w:rsid w:val="00073466"/>
    <w:rsid w:val="00076F67"/>
    <w:rsid w:val="000771CC"/>
    <w:rsid w:val="000776B8"/>
    <w:rsid w:val="0008227B"/>
    <w:rsid w:val="0008228E"/>
    <w:rsid w:val="00084161"/>
    <w:rsid w:val="00084256"/>
    <w:rsid w:val="00084B13"/>
    <w:rsid w:val="00085324"/>
    <w:rsid w:val="00085AD6"/>
    <w:rsid w:val="00085B25"/>
    <w:rsid w:val="00085DA3"/>
    <w:rsid w:val="000864A8"/>
    <w:rsid w:val="00087CEE"/>
    <w:rsid w:val="0009108D"/>
    <w:rsid w:val="00092A0B"/>
    <w:rsid w:val="000951BA"/>
    <w:rsid w:val="000954B9"/>
    <w:rsid w:val="00095D18"/>
    <w:rsid w:val="00096CB5"/>
    <w:rsid w:val="000A2113"/>
    <w:rsid w:val="000A264B"/>
    <w:rsid w:val="000A2989"/>
    <w:rsid w:val="000A56D9"/>
    <w:rsid w:val="000A6C6C"/>
    <w:rsid w:val="000A6E89"/>
    <w:rsid w:val="000A78F5"/>
    <w:rsid w:val="000A7CD1"/>
    <w:rsid w:val="000B0585"/>
    <w:rsid w:val="000B1774"/>
    <w:rsid w:val="000B29EF"/>
    <w:rsid w:val="000B3FAB"/>
    <w:rsid w:val="000B439C"/>
    <w:rsid w:val="000B610A"/>
    <w:rsid w:val="000B6488"/>
    <w:rsid w:val="000C4327"/>
    <w:rsid w:val="000C6B8E"/>
    <w:rsid w:val="000D229D"/>
    <w:rsid w:val="000D361F"/>
    <w:rsid w:val="000D740C"/>
    <w:rsid w:val="000E2BEC"/>
    <w:rsid w:val="000E3B57"/>
    <w:rsid w:val="000E4548"/>
    <w:rsid w:val="000E4A5A"/>
    <w:rsid w:val="000F12AE"/>
    <w:rsid w:val="000F187D"/>
    <w:rsid w:val="000F2021"/>
    <w:rsid w:val="000F5AEF"/>
    <w:rsid w:val="000F7CD2"/>
    <w:rsid w:val="00101F40"/>
    <w:rsid w:val="00103E6F"/>
    <w:rsid w:val="001052EE"/>
    <w:rsid w:val="00106C2E"/>
    <w:rsid w:val="00111670"/>
    <w:rsid w:val="001120D8"/>
    <w:rsid w:val="00112D5A"/>
    <w:rsid w:val="00113FC0"/>
    <w:rsid w:val="00114BED"/>
    <w:rsid w:val="001152CC"/>
    <w:rsid w:val="00115471"/>
    <w:rsid w:val="001178BF"/>
    <w:rsid w:val="0012186F"/>
    <w:rsid w:val="00125BC7"/>
    <w:rsid w:val="0012660F"/>
    <w:rsid w:val="00127675"/>
    <w:rsid w:val="0013058F"/>
    <w:rsid w:val="00132BEE"/>
    <w:rsid w:val="00136F79"/>
    <w:rsid w:val="00140078"/>
    <w:rsid w:val="00142378"/>
    <w:rsid w:val="0014272D"/>
    <w:rsid w:val="00145B09"/>
    <w:rsid w:val="001474E3"/>
    <w:rsid w:val="00151B4D"/>
    <w:rsid w:val="00161148"/>
    <w:rsid w:val="00164A4A"/>
    <w:rsid w:val="0016519E"/>
    <w:rsid w:val="00167226"/>
    <w:rsid w:val="00167752"/>
    <w:rsid w:val="00170EC8"/>
    <w:rsid w:val="001711E4"/>
    <w:rsid w:val="00177668"/>
    <w:rsid w:val="0018006A"/>
    <w:rsid w:val="00180147"/>
    <w:rsid w:val="00182205"/>
    <w:rsid w:val="00183CA3"/>
    <w:rsid w:val="001851B6"/>
    <w:rsid w:val="001862BA"/>
    <w:rsid w:val="001879A3"/>
    <w:rsid w:val="001914FF"/>
    <w:rsid w:val="00192513"/>
    <w:rsid w:val="00192D1F"/>
    <w:rsid w:val="00194C2F"/>
    <w:rsid w:val="00195B2F"/>
    <w:rsid w:val="00195FE2"/>
    <w:rsid w:val="001971F5"/>
    <w:rsid w:val="001A02AE"/>
    <w:rsid w:val="001A0DB6"/>
    <w:rsid w:val="001A1380"/>
    <w:rsid w:val="001A410D"/>
    <w:rsid w:val="001A4350"/>
    <w:rsid w:val="001A4446"/>
    <w:rsid w:val="001A4919"/>
    <w:rsid w:val="001A5FF3"/>
    <w:rsid w:val="001A6EFF"/>
    <w:rsid w:val="001B1344"/>
    <w:rsid w:val="001B5C11"/>
    <w:rsid w:val="001B5D30"/>
    <w:rsid w:val="001B6126"/>
    <w:rsid w:val="001B655C"/>
    <w:rsid w:val="001C2524"/>
    <w:rsid w:val="001C4A8C"/>
    <w:rsid w:val="001C5FEF"/>
    <w:rsid w:val="001D0E71"/>
    <w:rsid w:val="001D1A71"/>
    <w:rsid w:val="001D5297"/>
    <w:rsid w:val="001D55EC"/>
    <w:rsid w:val="001D6492"/>
    <w:rsid w:val="001E050F"/>
    <w:rsid w:val="001E3AE0"/>
    <w:rsid w:val="001E4784"/>
    <w:rsid w:val="001E52F6"/>
    <w:rsid w:val="001E680E"/>
    <w:rsid w:val="001F03C7"/>
    <w:rsid w:val="001F2B93"/>
    <w:rsid w:val="001F2D94"/>
    <w:rsid w:val="001F3A19"/>
    <w:rsid w:val="001F4EC3"/>
    <w:rsid w:val="001F4FA6"/>
    <w:rsid w:val="001F786E"/>
    <w:rsid w:val="00200A20"/>
    <w:rsid w:val="002014B8"/>
    <w:rsid w:val="002026A0"/>
    <w:rsid w:val="00202D73"/>
    <w:rsid w:val="00206DD7"/>
    <w:rsid w:val="00210CE4"/>
    <w:rsid w:val="00211F58"/>
    <w:rsid w:val="00215027"/>
    <w:rsid w:val="00216C1E"/>
    <w:rsid w:val="00216F0F"/>
    <w:rsid w:val="002174AF"/>
    <w:rsid w:val="002204B4"/>
    <w:rsid w:val="00221769"/>
    <w:rsid w:val="00222353"/>
    <w:rsid w:val="00222FC6"/>
    <w:rsid w:val="00224E12"/>
    <w:rsid w:val="0022537F"/>
    <w:rsid w:val="00226D5A"/>
    <w:rsid w:val="00227DAA"/>
    <w:rsid w:val="002305F0"/>
    <w:rsid w:val="002313E3"/>
    <w:rsid w:val="0023697F"/>
    <w:rsid w:val="00236CDF"/>
    <w:rsid w:val="00240F2F"/>
    <w:rsid w:val="00241417"/>
    <w:rsid w:val="0024180A"/>
    <w:rsid w:val="00242616"/>
    <w:rsid w:val="00242DF8"/>
    <w:rsid w:val="00243D40"/>
    <w:rsid w:val="00244A45"/>
    <w:rsid w:val="0025214E"/>
    <w:rsid w:val="00255655"/>
    <w:rsid w:val="00256493"/>
    <w:rsid w:val="002566F8"/>
    <w:rsid w:val="002608C8"/>
    <w:rsid w:val="002629F0"/>
    <w:rsid w:val="00262B72"/>
    <w:rsid w:val="002633ED"/>
    <w:rsid w:val="00263A83"/>
    <w:rsid w:val="00263E4A"/>
    <w:rsid w:val="00264802"/>
    <w:rsid w:val="00266014"/>
    <w:rsid w:val="00267CE7"/>
    <w:rsid w:val="002711C1"/>
    <w:rsid w:val="00272D6C"/>
    <w:rsid w:val="00272DA9"/>
    <w:rsid w:val="00274776"/>
    <w:rsid w:val="002759E9"/>
    <w:rsid w:val="00277ADF"/>
    <w:rsid w:val="002808BA"/>
    <w:rsid w:val="00282600"/>
    <w:rsid w:val="002828B0"/>
    <w:rsid w:val="00282CD4"/>
    <w:rsid w:val="00285B9A"/>
    <w:rsid w:val="00287325"/>
    <w:rsid w:val="00290422"/>
    <w:rsid w:val="002928D0"/>
    <w:rsid w:val="0029382F"/>
    <w:rsid w:val="002A04AD"/>
    <w:rsid w:val="002A08CF"/>
    <w:rsid w:val="002A1BDF"/>
    <w:rsid w:val="002A3B2B"/>
    <w:rsid w:val="002A4D8F"/>
    <w:rsid w:val="002A7D94"/>
    <w:rsid w:val="002B09F3"/>
    <w:rsid w:val="002B1B44"/>
    <w:rsid w:val="002B2C1A"/>
    <w:rsid w:val="002B6D64"/>
    <w:rsid w:val="002C0F2A"/>
    <w:rsid w:val="002C1085"/>
    <w:rsid w:val="002C2416"/>
    <w:rsid w:val="002C49AA"/>
    <w:rsid w:val="002C4C5C"/>
    <w:rsid w:val="002C6187"/>
    <w:rsid w:val="002C7603"/>
    <w:rsid w:val="002C7A46"/>
    <w:rsid w:val="002D0F0F"/>
    <w:rsid w:val="002D1BE4"/>
    <w:rsid w:val="002D3B3E"/>
    <w:rsid w:val="002D49CE"/>
    <w:rsid w:val="002D4E5D"/>
    <w:rsid w:val="002D69D7"/>
    <w:rsid w:val="002E1B93"/>
    <w:rsid w:val="002E2341"/>
    <w:rsid w:val="002E2FD5"/>
    <w:rsid w:val="002E389B"/>
    <w:rsid w:val="002E46DB"/>
    <w:rsid w:val="002E5A62"/>
    <w:rsid w:val="002E5FB7"/>
    <w:rsid w:val="002E6A26"/>
    <w:rsid w:val="002E7678"/>
    <w:rsid w:val="002E77BF"/>
    <w:rsid w:val="002F38A4"/>
    <w:rsid w:val="002F38CB"/>
    <w:rsid w:val="002F4867"/>
    <w:rsid w:val="002F62DC"/>
    <w:rsid w:val="002F648C"/>
    <w:rsid w:val="0030031A"/>
    <w:rsid w:val="003025A7"/>
    <w:rsid w:val="003050D6"/>
    <w:rsid w:val="003054BE"/>
    <w:rsid w:val="00307B7E"/>
    <w:rsid w:val="003109A0"/>
    <w:rsid w:val="00312AC3"/>
    <w:rsid w:val="0031456B"/>
    <w:rsid w:val="003147A7"/>
    <w:rsid w:val="00315362"/>
    <w:rsid w:val="0032010F"/>
    <w:rsid w:val="00322C9E"/>
    <w:rsid w:val="00322F1E"/>
    <w:rsid w:val="00323916"/>
    <w:rsid w:val="00323C28"/>
    <w:rsid w:val="00323F9F"/>
    <w:rsid w:val="0032581A"/>
    <w:rsid w:val="00332214"/>
    <w:rsid w:val="00335FAD"/>
    <w:rsid w:val="00336E65"/>
    <w:rsid w:val="0034205D"/>
    <w:rsid w:val="003423E4"/>
    <w:rsid w:val="00343BC3"/>
    <w:rsid w:val="0034405A"/>
    <w:rsid w:val="00344BCB"/>
    <w:rsid w:val="0035108A"/>
    <w:rsid w:val="0035343D"/>
    <w:rsid w:val="003567DB"/>
    <w:rsid w:val="00357E87"/>
    <w:rsid w:val="003666F1"/>
    <w:rsid w:val="003673A1"/>
    <w:rsid w:val="00371D76"/>
    <w:rsid w:val="0037254D"/>
    <w:rsid w:val="00373E33"/>
    <w:rsid w:val="00375DD3"/>
    <w:rsid w:val="00376618"/>
    <w:rsid w:val="00376808"/>
    <w:rsid w:val="0037742A"/>
    <w:rsid w:val="00377A4A"/>
    <w:rsid w:val="00380626"/>
    <w:rsid w:val="00381820"/>
    <w:rsid w:val="00387CC8"/>
    <w:rsid w:val="003910E6"/>
    <w:rsid w:val="0039225B"/>
    <w:rsid w:val="00392C20"/>
    <w:rsid w:val="00393A96"/>
    <w:rsid w:val="00395BAD"/>
    <w:rsid w:val="003960C4"/>
    <w:rsid w:val="003A094F"/>
    <w:rsid w:val="003A5A3F"/>
    <w:rsid w:val="003A6040"/>
    <w:rsid w:val="003B0105"/>
    <w:rsid w:val="003B0874"/>
    <w:rsid w:val="003B2120"/>
    <w:rsid w:val="003B2EB6"/>
    <w:rsid w:val="003B6A72"/>
    <w:rsid w:val="003C1185"/>
    <w:rsid w:val="003C2230"/>
    <w:rsid w:val="003C39F6"/>
    <w:rsid w:val="003C3DF5"/>
    <w:rsid w:val="003C52C5"/>
    <w:rsid w:val="003C64DA"/>
    <w:rsid w:val="003C7FD2"/>
    <w:rsid w:val="003D15C5"/>
    <w:rsid w:val="003D4D5F"/>
    <w:rsid w:val="003D4D92"/>
    <w:rsid w:val="003D79F6"/>
    <w:rsid w:val="003D7F4E"/>
    <w:rsid w:val="003E1023"/>
    <w:rsid w:val="003E13F3"/>
    <w:rsid w:val="003E1E7D"/>
    <w:rsid w:val="003E2136"/>
    <w:rsid w:val="003E2487"/>
    <w:rsid w:val="003E3316"/>
    <w:rsid w:val="003E3C18"/>
    <w:rsid w:val="003E4A19"/>
    <w:rsid w:val="003E4A48"/>
    <w:rsid w:val="003F44C3"/>
    <w:rsid w:val="003F4E91"/>
    <w:rsid w:val="0040060A"/>
    <w:rsid w:val="004009A7"/>
    <w:rsid w:val="004009E6"/>
    <w:rsid w:val="0040386B"/>
    <w:rsid w:val="00403AEE"/>
    <w:rsid w:val="0040411C"/>
    <w:rsid w:val="00404DA0"/>
    <w:rsid w:val="0040670A"/>
    <w:rsid w:val="00407097"/>
    <w:rsid w:val="00410378"/>
    <w:rsid w:val="00410388"/>
    <w:rsid w:val="004116CD"/>
    <w:rsid w:val="00411E62"/>
    <w:rsid w:val="00412836"/>
    <w:rsid w:val="004157DF"/>
    <w:rsid w:val="004163D6"/>
    <w:rsid w:val="0041657F"/>
    <w:rsid w:val="004210D2"/>
    <w:rsid w:val="00424682"/>
    <w:rsid w:val="0042531B"/>
    <w:rsid w:val="00425C78"/>
    <w:rsid w:val="00431B94"/>
    <w:rsid w:val="004341C0"/>
    <w:rsid w:val="00436582"/>
    <w:rsid w:val="00436D56"/>
    <w:rsid w:val="00441C3A"/>
    <w:rsid w:val="00441FDD"/>
    <w:rsid w:val="00451F5F"/>
    <w:rsid w:val="004524F8"/>
    <w:rsid w:val="00453B5A"/>
    <w:rsid w:val="00455E7C"/>
    <w:rsid w:val="00456700"/>
    <w:rsid w:val="004578C3"/>
    <w:rsid w:val="00457D19"/>
    <w:rsid w:val="00457F38"/>
    <w:rsid w:val="00460D63"/>
    <w:rsid w:val="00461992"/>
    <w:rsid w:val="00461E02"/>
    <w:rsid w:val="0046275D"/>
    <w:rsid w:val="00462A24"/>
    <w:rsid w:val="0046306A"/>
    <w:rsid w:val="0046361A"/>
    <w:rsid w:val="004666A4"/>
    <w:rsid w:val="00466C31"/>
    <w:rsid w:val="00467638"/>
    <w:rsid w:val="0046F67E"/>
    <w:rsid w:val="00471394"/>
    <w:rsid w:val="00481CDF"/>
    <w:rsid w:val="0048245D"/>
    <w:rsid w:val="004825A5"/>
    <w:rsid w:val="004864A0"/>
    <w:rsid w:val="00490B0C"/>
    <w:rsid w:val="00491543"/>
    <w:rsid w:val="00491E66"/>
    <w:rsid w:val="0049344D"/>
    <w:rsid w:val="00497AF8"/>
    <w:rsid w:val="004A4010"/>
    <w:rsid w:val="004B0254"/>
    <w:rsid w:val="004B1134"/>
    <w:rsid w:val="004B1D3D"/>
    <w:rsid w:val="004B2B5C"/>
    <w:rsid w:val="004B3CB7"/>
    <w:rsid w:val="004B3FC0"/>
    <w:rsid w:val="004B4177"/>
    <w:rsid w:val="004B47AB"/>
    <w:rsid w:val="004B7904"/>
    <w:rsid w:val="004C1044"/>
    <w:rsid w:val="004C2848"/>
    <w:rsid w:val="004C490B"/>
    <w:rsid w:val="004C4A1F"/>
    <w:rsid w:val="004C4B44"/>
    <w:rsid w:val="004C56B5"/>
    <w:rsid w:val="004C5B98"/>
    <w:rsid w:val="004C6421"/>
    <w:rsid w:val="004C6CBE"/>
    <w:rsid w:val="004D006A"/>
    <w:rsid w:val="004D1AF1"/>
    <w:rsid w:val="004D6845"/>
    <w:rsid w:val="004E007C"/>
    <w:rsid w:val="004E1D32"/>
    <w:rsid w:val="004E3040"/>
    <w:rsid w:val="004E3F7D"/>
    <w:rsid w:val="004E76F8"/>
    <w:rsid w:val="004E7B33"/>
    <w:rsid w:val="004F10F0"/>
    <w:rsid w:val="004F42E2"/>
    <w:rsid w:val="004F4A76"/>
    <w:rsid w:val="005026F2"/>
    <w:rsid w:val="00504ACA"/>
    <w:rsid w:val="005051C4"/>
    <w:rsid w:val="005055A0"/>
    <w:rsid w:val="005063C0"/>
    <w:rsid w:val="005107A6"/>
    <w:rsid w:val="005113FB"/>
    <w:rsid w:val="0051310D"/>
    <w:rsid w:val="005137F1"/>
    <w:rsid w:val="00514597"/>
    <w:rsid w:val="00516066"/>
    <w:rsid w:val="00516EC1"/>
    <w:rsid w:val="005177C1"/>
    <w:rsid w:val="00520A78"/>
    <w:rsid w:val="00521575"/>
    <w:rsid w:val="005218BF"/>
    <w:rsid w:val="005227EF"/>
    <w:rsid w:val="00523301"/>
    <w:rsid w:val="005240E8"/>
    <w:rsid w:val="0052478C"/>
    <w:rsid w:val="00525604"/>
    <w:rsid w:val="0052733A"/>
    <w:rsid w:val="0053031C"/>
    <w:rsid w:val="00530A79"/>
    <w:rsid w:val="00531B74"/>
    <w:rsid w:val="00531D2A"/>
    <w:rsid w:val="00531DD3"/>
    <w:rsid w:val="005349AE"/>
    <w:rsid w:val="00535C6F"/>
    <w:rsid w:val="00544BF2"/>
    <w:rsid w:val="00547AA7"/>
    <w:rsid w:val="00550448"/>
    <w:rsid w:val="00550AA7"/>
    <w:rsid w:val="005526E4"/>
    <w:rsid w:val="00552B55"/>
    <w:rsid w:val="00553181"/>
    <w:rsid w:val="00553ECB"/>
    <w:rsid w:val="00557967"/>
    <w:rsid w:val="005635CF"/>
    <w:rsid w:val="0056447C"/>
    <w:rsid w:val="005677A0"/>
    <w:rsid w:val="005714DE"/>
    <w:rsid w:val="0057152C"/>
    <w:rsid w:val="00573D94"/>
    <w:rsid w:val="005740DB"/>
    <w:rsid w:val="005748AD"/>
    <w:rsid w:val="00575913"/>
    <w:rsid w:val="00576884"/>
    <w:rsid w:val="00581B51"/>
    <w:rsid w:val="00582134"/>
    <w:rsid w:val="00582F9F"/>
    <w:rsid w:val="005839CB"/>
    <w:rsid w:val="005841A4"/>
    <w:rsid w:val="00584887"/>
    <w:rsid w:val="00585F0F"/>
    <w:rsid w:val="00587B2F"/>
    <w:rsid w:val="00590992"/>
    <w:rsid w:val="00590CC1"/>
    <w:rsid w:val="00591554"/>
    <w:rsid w:val="005938A6"/>
    <w:rsid w:val="00593DE7"/>
    <w:rsid w:val="0059464E"/>
    <w:rsid w:val="005968ED"/>
    <w:rsid w:val="005A182F"/>
    <w:rsid w:val="005A507F"/>
    <w:rsid w:val="005A6782"/>
    <w:rsid w:val="005B0FB5"/>
    <w:rsid w:val="005B3AAB"/>
    <w:rsid w:val="005B69AE"/>
    <w:rsid w:val="005B76FB"/>
    <w:rsid w:val="005B7F98"/>
    <w:rsid w:val="005C01FD"/>
    <w:rsid w:val="005C595E"/>
    <w:rsid w:val="005C5AF6"/>
    <w:rsid w:val="005C6730"/>
    <w:rsid w:val="005C79A0"/>
    <w:rsid w:val="005D2AF7"/>
    <w:rsid w:val="005D39DC"/>
    <w:rsid w:val="005D4B5D"/>
    <w:rsid w:val="005E6F7A"/>
    <w:rsid w:val="005F033B"/>
    <w:rsid w:val="005F28BA"/>
    <w:rsid w:val="005F2AC6"/>
    <w:rsid w:val="005F3347"/>
    <w:rsid w:val="005F4B65"/>
    <w:rsid w:val="005F74F8"/>
    <w:rsid w:val="005F7E5A"/>
    <w:rsid w:val="00600B87"/>
    <w:rsid w:val="00601311"/>
    <w:rsid w:val="006018D3"/>
    <w:rsid w:val="00603642"/>
    <w:rsid w:val="00604A5B"/>
    <w:rsid w:val="00604B64"/>
    <w:rsid w:val="00604BEA"/>
    <w:rsid w:val="00605783"/>
    <w:rsid w:val="00605CF9"/>
    <w:rsid w:val="00606C61"/>
    <w:rsid w:val="0061011E"/>
    <w:rsid w:val="00610565"/>
    <w:rsid w:val="00610C79"/>
    <w:rsid w:val="00617103"/>
    <w:rsid w:val="00617D3E"/>
    <w:rsid w:val="0062127B"/>
    <w:rsid w:val="00622979"/>
    <w:rsid w:val="00622A9E"/>
    <w:rsid w:val="00622BFB"/>
    <w:rsid w:val="0062472B"/>
    <w:rsid w:val="0062622F"/>
    <w:rsid w:val="006269FC"/>
    <w:rsid w:val="00630166"/>
    <w:rsid w:val="006339E6"/>
    <w:rsid w:val="00635BB6"/>
    <w:rsid w:val="00637204"/>
    <w:rsid w:val="00640130"/>
    <w:rsid w:val="00642475"/>
    <w:rsid w:val="006428B1"/>
    <w:rsid w:val="0064372C"/>
    <w:rsid w:val="00644F3F"/>
    <w:rsid w:val="00647171"/>
    <w:rsid w:val="00650451"/>
    <w:rsid w:val="00650A77"/>
    <w:rsid w:val="006528D1"/>
    <w:rsid w:val="006538B8"/>
    <w:rsid w:val="006540BD"/>
    <w:rsid w:val="0065474B"/>
    <w:rsid w:val="00655BD4"/>
    <w:rsid w:val="006576E5"/>
    <w:rsid w:val="00657CE9"/>
    <w:rsid w:val="00663A5C"/>
    <w:rsid w:val="00665B4E"/>
    <w:rsid w:val="00667F93"/>
    <w:rsid w:val="00670593"/>
    <w:rsid w:val="006716C0"/>
    <w:rsid w:val="00674CBE"/>
    <w:rsid w:val="00676929"/>
    <w:rsid w:val="00676B89"/>
    <w:rsid w:val="006775F0"/>
    <w:rsid w:val="0068263E"/>
    <w:rsid w:val="00682CA8"/>
    <w:rsid w:val="0068464F"/>
    <w:rsid w:val="0068470B"/>
    <w:rsid w:val="00684E45"/>
    <w:rsid w:val="00684F5B"/>
    <w:rsid w:val="00687DE2"/>
    <w:rsid w:val="0069194E"/>
    <w:rsid w:val="00691BD9"/>
    <w:rsid w:val="00692166"/>
    <w:rsid w:val="006921A1"/>
    <w:rsid w:val="006939F7"/>
    <w:rsid w:val="00695B04"/>
    <w:rsid w:val="006978CC"/>
    <w:rsid w:val="006979A6"/>
    <w:rsid w:val="006A28A0"/>
    <w:rsid w:val="006A337F"/>
    <w:rsid w:val="006A3B98"/>
    <w:rsid w:val="006A3C75"/>
    <w:rsid w:val="006A5A4D"/>
    <w:rsid w:val="006A7C19"/>
    <w:rsid w:val="006B00A3"/>
    <w:rsid w:val="006B31D7"/>
    <w:rsid w:val="006B3408"/>
    <w:rsid w:val="006B613F"/>
    <w:rsid w:val="006C2C65"/>
    <w:rsid w:val="006C3CA6"/>
    <w:rsid w:val="006C431C"/>
    <w:rsid w:val="006C4DEE"/>
    <w:rsid w:val="006C5AAB"/>
    <w:rsid w:val="006C67DA"/>
    <w:rsid w:val="006D0E5D"/>
    <w:rsid w:val="006D1481"/>
    <w:rsid w:val="006D3A53"/>
    <w:rsid w:val="006D44F6"/>
    <w:rsid w:val="006D65EA"/>
    <w:rsid w:val="006D6A6C"/>
    <w:rsid w:val="006D70E5"/>
    <w:rsid w:val="006D7358"/>
    <w:rsid w:val="006D7748"/>
    <w:rsid w:val="006E0E9A"/>
    <w:rsid w:val="006E3940"/>
    <w:rsid w:val="006E7C8E"/>
    <w:rsid w:val="006E7E78"/>
    <w:rsid w:val="006F4FB7"/>
    <w:rsid w:val="006F65E3"/>
    <w:rsid w:val="006F7ADD"/>
    <w:rsid w:val="006F7CA5"/>
    <w:rsid w:val="00700845"/>
    <w:rsid w:val="0070110D"/>
    <w:rsid w:val="00701468"/>
    <w:rsid w:val="00703D08"/>
    <w:rsid w:val="0070419F"/>
    <w:rsid w:val="0070459C"/>
    <w:rsid w:val="007047A6"/>
    <w:rsid w:val="00710105"/>
    <w:rsid w:val="007122E1"/>
    <w:rsid w:val="00713575"/>
    <w:rsid w:val="0072272A"/>
    <w:rsid w:val="007231EA"/>
    <w:rsid w:val="0072338A"/>
    <w:rsid w:val="00725649"/>
    <w:rsid w:val="00725DEB"/>
    <w:rsid w:val="0072768A"/>
    <w:rsid w:val="0073476F"/>
    <w:rsid w:val="00735DD9"/>
    <w:rsid w:val="00740067"/>
    <w:rsid w:val="007406F1"/>
    <w:rsid w:val="007421AD"/>
    <w:rsid w:val="00743AF9"/>
    <w:rsid w:val="00746CBF"/>
    <w:rsid w:val="0075040D"/>
    <w:rsid w:val="00750EEA"/>
    <w:rsid w:val="007515A0"/>
    <w:rsid w:val="007521CA"/>
    <w:rsid w:val="007521EC"/>
    <w:rsid w:val="007564ED"/>
    <w:rsid w:val="00757DED"/>
    <w:rsid w:val="00760384"/>
    <w:rsid w:val="0076054E"/>
    <w:rsid w:val="007617AB"/>
    <w:rsid w:val="00762464"/>
    <w:rsid w:val="00762923"/>
    <w:rsid w:val="00765378"/>
    <w:rsid w:val="00765608"/>
    <w:rsid w:val="00766A68"/>
    <w:rsid w:val="00767728"/>
    <w:rsid w:val="007678F1"/>
    <w:rsid w:val="00772504"/>
    <w:rsid w:val="0077313A"/>
    <w:rsid w:val="00773239"/>
    <w:rsid w:val="00773E6B"/>
    <w:rsid w:val="00781635"/>
    <w:rsid w:val="00781884"/>
    <w:rsid w:val="0078396B"/>
    <w:rsid w:val="00784B7E"/>
    <w:rsid w:val="00784E88"/>
    <w:rsid w:val="00787794"/>
    <w:rsid w:val="007909C3"/>
    <w:rsid w:val="00790C96"/>
    <w:rsid w:val="0079257F"/>
    <w:rsid w:val="00795560"/>
    <w:rsid w:val="00795EA3"/>
    <w:rsid w:val="00795F16"/>
    <w:rsid w:val="00796ED8"/>
    <w:rsid w:val="00797995"/>
    <w:rsid w:val="007A120E"/>
    <w:rsid w:val="007A16CD"/>
    <w:rsid w:val="007A2035"/>
    <w:rsid w:val="007A509F"/>
    <w:rsid w:val="007A7BEC"/>
    <w:rsid w:val="007B0336"/>
    <w:rsid w:val="007B0337"/>
    <w:rsid w:val="007B19B2"/>
    <w:rsid w:val="007B1EFD"/>
    <w:rsid w:val="007B5B61"/>
    <w:rsid w:val="007B5CDD"/>
    <w:rsid w:val="007B6620"/>
    <w:rsid w:val="007B7237"/>
    <w:rsid w:val="007B73E8"/>
    <w:rsid w:val="007C0432"/>
    <w:rsid w:val="007C2392"/>
    <w:rsid w:val="007C3A83"/>
    <w:rsid w:val="007C5D21"/>
    <w:rsid w:val="007C709B"/>
    <w:rsid w:val="007D164E"/>
    <w:rsid w:val="007D1E8C"/>
    <w:rsid w:val="007D37D5"/>
    <w:rsid w:val="007D4A5F"/>
    <w:rsid w:val="007E01C4"/>
    <w:rsid w:val="007E11D2"/>
    <w:rsid w:val="007E1F19"/>
    <w:rsid w:val="007E2451"/>
    <w:rsid w:val="007E2E51"/>
    <w:rsid w:val="007E3349"/>
    <w:rsid w:val="007E3357"/>
    <w:rsid w:val="007E4195"/>
    <w:rsid w:val="007E5527"/>
    <w:rsid w:val="007E57F8"/>
    <w:rsid w:val="007E6618"/>
    <w:rsid w:val="007E7B9F"/>
    <w:rsid w:val="007F001F"/>
    <w:rsid w:val="007F09F7"/>
    <w:rsid w:val="007F28B8"/>
    <w:rsid w:val="007F3DE2"/>
    <w:rsid w:val="007F58BC"/>
    <w:rsid w:val="007F7313"/>
    <w:rsid w:val="007F752F"/>
    <w:rsid w:val="008056BC"/>
    <w:rsid w:val="0080625E"/>
    <w:rsid w:val="00806DF4"/>
    <w:rsid w:val="00807194"/>
    <w:rsid w:val="00810D9C"/>
    <w:rsid w:val="00811B5A"/>
    <w:rsid w:val="00813EBF"/>
    <w:rsid w:val="00817C10"/>
    <w:rsid w:val="00820712"/>
    <w:rsid w:val="008233B6"/>
    <w:rsid w:val="008275D1"/>
    <w:rsid w:val="00833690"/>
    <w:rsid w:val="00833694"/>
    <w:rsid w:val="00834034"/>
    <w:rsid w:val="008340DB"/>
    <w:rsid w:val="00836810"/>
    <w:rsid w:val="00836F1F"/>
    <w:rsid w:val="00837619"/>
    <w:rsid w:val="0084064B"/>
    <w:rsid w:val="00842B23"/>
    <w:rsid w:val="008430C6"/>
    <w:rsid w:val="00843D81"/>
    <w:rsid w:val="00844542"/>
    <w:rsid w:val="008453AA"/>
    <w:rsid w:val="00845AA8"/>
    <w:rsid w:val="00847BA8"/>
    <w:rsid w:val="00851CB6"/>
    <w:rsid w:val="00851ECF"/>
    <w:rsid w:val="00852C38"/>
    <w:rsid w:val="00852E65"/>
    <w:rsid w:val="00854A7F"/>
    <w:rsid w:val="008551E1"/>
    <w:rsid w:val="008563A4"/>
    <w:rsid w:val="00857B48"/>
    <w:rsid w:val="00857CD2"/>
    <w:rsid w:val="008609E6"/>
    <w:rsid w:val="00860F75"/>
    <w:rsid w:val="008611B0"/>
    <w:rsid w:val="00861D10"/>
    <w:rsid w:val="00861EFD"/>
    <w:rsid w:val="0087137A"/>
    <w:rsid w:val="00871B42"/>
    <w:rsid w:val="00871FF0"/>
    <w:rsid w:val="00872DED"/>
    <w:rsid w:val="00873015"/>
    <w:rsid w:val="008731E3"/>
    <w:rsid w:val="0087396E"/>
    <w:rsid w:val="0087472D"/>
    <w:rsid w:val="00876BBA"/>
    <w:rsid w:val="00877D5C"/>
    <w:rsid w:val="008815A6"/>
    <w:rsid w:val="0088329E"/>
    <w:rsid w:val="00883D8B"/>
    <w:rsid w:val="008855FA"/>
    <w:rsid w:val="00887A15"/>
    <w:rsid w:val="00891070"/>
    <w:rsid w:val="00892428"/>
    <w:rsid w:val="0089337A"/>
    <w:rsid w:val="00893CAF"/>
    <w:rsid w:val="00894426"/>
    <w:rsid w:val="00895A1F"/>
    <w:rsid w:val="008A117F"/>
    <w:rsid w:val="008A4BBC"/>
    <w:rsid w:val="008A57E9"/>
    <w:rsid w:val="008A6822"/>
    <w:rsid w:val="008A77AD"/>
    <w:rsid w:val="008A79C1"/>
    <w:rsid w:val="008B4C15"/>
    <w:rsid w:val="008C0EF2"/>
    <w:rsid w:val="008C1F1F"/>
    <w:rsid w:val="008C6C76"/>
    <w:rsid w:val="008D7119"/>
    <w:rsid w:val="008D7E45"/>
    <w:rsid w:val="008E02C0"/>
    <w:rsid w:val="008E0BD6"/>
    <w:rsid w:val="008E1F36"/>
    <w:rsid w:val="008E23D2"/>
    <w:rsid w:val="008E24F6"/>
    <w:rsid w:val="008E36F9"/>
    <w:rsid w:val="008E4482"/>
    <w:rsid w:val="008E4A05"/>
    <w:rsid w:val="008E4A4B"/>
    <w:rsid w:val="008E77B8"/>
    <w:rsid w:val="008F0A55"/>
    <w:rsid w:val="008F0C97"/>
    <w:rsid w:val="008F21C0"/>
    <w:rsid w:val="008F4335"/>
    <w:rsid w:val="008F5FED"/>
    <w:rsid w:val="008F6825"/>
    <w:rsid w:val="008F6F02"/>
    <w:rsid w:val="008F6F80"/>
    <w:rsid w:val="008F7F43"/>
    <w:rsid w:val="00902253"/>
    <w:rsid w:val="00903BAE"/>
    <w:rsid w:val="009051CB"/>
    <w:rsid w:val="00906328"/>
    <w:rsid w:val="0090642C"/>
    <w:rsid w:val="00907658"/>
    <w:rsid w:val="00912228"/>
    <w:rsid w:val="009125A4"/>
    <w:rsid w:val="009154D4"/>
    <w:rsid w:val="009178A1"/>
    <w:rsid w:val="00921135"/>
    <w:rsid w:val="00922BB0"/>
    <w:rsid w:val="00925850"/>
    <w:rsid w:val="00925DD9"/>
    <w:rsid w:val="00930398"/>
    <w:rsid w:val="0093126F"/>
    <w:rsid w:val="00932794"/>
    <w:rsid w:val="00932870"/>
    <w:rsid w:val="00934499"/>
    <w:rsid w:val="009355EE"/>
    <w:rsid w:val="00935D19"/>
    <w:rsid w:val="00935F5E"/>
    <w:rsid w:val="00935F79"/>
    <w:rsid w:val="00937D39"/>
    <w:rsid w:val="00943B75"/>
    <w:rsid w:val="009446DA"/>
    <w:rsid w:val="0094492C"/>
    <w:rsid w:val="00947D80"/>
    <w:rsid w:val="009507AC"/>
    <w:rsid w:val="00950AEC"/>
    <w:rsid w:val="009510FB"/>
    <w:rsid w:val="009528EA"/>
    <w:rsid w:val="00953656"/>
    <w:rsid w:val="00955049"/>
    <w:rsid w:val="0095721C"/>
    <w:rsid w:val="00960722"/>
    <w:rsid w:val="0096144E"/>
    <w:rsid w:val="00961CAE"/>
    <w:rsid w:val="009629A6"/>
    <w:rsid w:val="00963832"/>
    <w:rsid w:val="00967F4E"/>
    <w:rsid w:val="009704A0"/>
    <w:rsid w:val="00971297"/>
    <w:rsid w:val="009754C3"/>
    <w:rsid w:val="0097556E"/>
    <w:rsid w:val="00975A85"/>
    <w:rsid w:val="00975DF2"/>
    <w:rsid w:val="00980F95"/>
    <w:rsid w:val="00981447"/>
    <w:rsid w:val="00981D9A"/>
    <w:rsid w:val="0098275E"/>
    <w:rsid w:val="00982CA9"/>
    <w:rsid w:val="00985AE4"/>
    <w:rsid w:val="00995D02"/>
    <w:rsid w:val="009A028E"/>
    <w:rsid w:val="009A407B"/>
    <w:rsid w:val="009A62A4"/>
    <w:rsid w:val="009A6948"/>
    <w:rsid w:val="009A725F"/>
    <w:rsid w:val="009B05BF"/>
    <w:rsid w:val="009B1469"/>
    <w:rsid w:val="009B2E3C"/>
    <w:rsid w:val="009B4A2D"/>
    <w:rsid w:val="009B5EE7"/>
    <w:rsid w:val="009B6EFF"/>
    <w:rsid w:val="009B7C87"/>
    <w:rsid w:val="009C11F2"/>
    <w:rsid w:val="009C2848"/>
    <w:rsid w:val="009C4D22"/>
    <w:rsid w:val="009C51BA"/>
    <w:rsid w:val="009C7718"/>
    <w:rsid w:val="009D0450"/>
    <w:rsid w:val="009D1178"/>
    <w:rsid w:val="009D2419"/>
    <w:rsid w:val="009D3F6F"/>
    <w:rsid w:val="009D4AEE"/>
    <w:rsid w:val="009D764D"/>
    <w:rsid w:val="009D7F3C"/>
    <w:rsid w:val="009E1364"/>
    <w:rsid w:val="009E4DF3"/>
    <w:rsid w:val="009E5708"/>
    <w:rsid w:val="009E7536"/>
    <w:rsid w:val="009F3987"/>
    <w:rsid w:val="009F5B43"/>
    <w:rsid w:val="009F5E4F"/>
    <w:rsid w:val="009F5F73"/>
    <w:rsid w:val="009F6F44"/>
    <w:rsid w:val="009F7ED7"/>
    <w:rsid w:val="00A0056E"/>
    <w:rsid w:val="00A0308B"/>
    <w:rsid w:val="00A03C4B"/>
    <w:rsid w:val="00A044A0"/>
    <w:rsid w:val="00A04ED6"/>
    <w:rsid w:val="00A054B0"/>
    <w:rsid w:val="00A05F1F"/>
    <w:rsid w:val="00A06231"/>
    <w:rsid w:val="00A172A0"/>
    <w:rsid w:val="00A176BF"/>
    <w:rsid w:val="00A24287"/>
    <w:rsid w:val="00A24B4F"/>
    <w:rsid w:val="00A253F5"/>
    <w:rsid w:val="00A2611F"/>
    <w:rsid w:val="00A30A10"/>
    <w:rsid w:val="00A31E10"/>
    <w:rsid w:val="00A31F5E"/>
    <w:rsid w:val="00A327A5"/>
    <w:rsid w:val="00A35C33"/>
    <w:rsid w:val="00A36B54"/>
    <w:rsid w:val="00A36CC0"/>
    <w:rsid w:val="00A37CC5"/>
    <w:rsid w:val="00A40BF1"/>
    <w:rsid w:val="00A41214"/>
    <w:rsid w:val="00A41676"/>
    <w:rsid w:val="00A41A67"/>
    <w:rsid w:val="00A41ED7"/>
    <w:rsid w:val="00A430D1"/>
    <w:rsid w:val="00A44ED6"/>
    <w:rsid w:val="00A46574"/>
    <w:rsid w:val="00A47938"/>
    <w:rsid w:val="00A51538"/>
    <w:rsid w:val="00A547DF"/>
    <w:rsid w:val="00A558CD"/>
    <w:rsid w:val="00A55B9E"/>
    <w:rsid w:val="00A56F0D"/>
    <w:rsid w:val="00A61EBE"/>
    <w:rsid w:val="00A62644"/>
    <w:rsid w:val="00A62BD1"/>
    <w:rsid w:val="00A63AEA"/>
    <w:rsid w:val="00A64A7B"/>
    <w:rsid w:val="00A65D5A"/>
    <w:rsid w:val="00A65EBD"/>
    <w:rsid w:val="00A70E99"/>
    <w:rsid w:val="00A71649"/>
    <w:rsid w:val="00A72CBB"/>
    <w:rsid w:val="00A80650"/>
    <w:rsid w:val="00A80A93"/>
    <w:rsid w:val="00A82144"/>
    <w:rsid w:val="00A82867"/>
    <w:rsid w:val="00A83742"/>
    <w:rsid w:val="00A844C1"/>
    <w:rsid w:val="00A86D46"/>
    <w:rsid w:val="00A878EF"/>
    <w:rsid w:val="00A879B5"/>
    <w:rsid w:val="00A9079C"/>
    <w:rsid w:val="00A907F7"/>
    <w:rsid w:val="00A94B38"/>
    <w:rsid w:val="00A9778F"/>
    <w:rsid w:val="00AA062C"/>
    <w:rsid w:val="00AA092C"/>
    <w:rsid w:val="00AA1115"/>
    <w:rsid w:val="00AA2256"/>
    <w:rsid w:val="00AA4F75"/>
    <w:rsid w:val="00AA5503"/>
    <w:rsid w:val="00AA5855"/>
    <w:rsid w:val="00AB21E8"/>
    <w:rsid w:val="00AB232C"/>
    <w:rsid w:val="00AB27CF"/>
    <w:rsid w:val="00AB6BC1"/>
    <w:rsid w:val="00AB6E0D"/>
    <w:rsid w:val="00AB76B0"/>
    <w:rsid w:val="00AB76F9"/>
    <w:rsid w:val="00AC02AC"/>
    <w:rsid w:val="00AC0464"/>
    <w:rsid w:val="00AC19F6"/>
    <w:rsid w:val="00AC3C00"/>
    <w:rsid w:val="00AC42E1"/>
    <w:rsid w:val="00AC4B93"/>
    <w:rsid w:val="00AC743E"/>
    <w:rsid w:val="00AD0457"/>
    <w:rsid w:val="00AD06D6"/>
    <w:rsid w:val="00AD083A"/>
    <w:rsid w:val="00AD1875"/>
    <w:rsid w:val="00AD6305"/>
    <w:rsid w:val="00AE11E1"/>
    <w:rsid w:val="00AE4CE8"/>
    <w:rsid w:val="00AE770A"/>
    <w:rsid w:val="00AF1068"/>
    <w:rsid w:val="00AF23F5"/>
    <w:rsid w:val="00AF4510"/>
    <w:rsid w:val="00B00716"/>
    <w:rsid w:val="00B01A80"/>
    <w:rsid w:val="00B01AE7"/>
    <w:rsid w:val="00B03409"/>
    <w:rsid w:val="00B04BF0"/>
    <w:rsid w:val="00B05B72"/>
    <w:rsid w:val="00B06A43"/>
    <w:rsid w:val="00B07C20"/>
    <w:rsid w:val="00B12FDF"/>
    <w:rsid w:val="00B138B8"/>
    <w:rsid w:val="00B1447D"/>
    <w:rsid w:val="00B14E60"/>
    <w:rsid w:val="00B163DA"/>
    <w:rsid w:val="00B201A5"/>
    <w:rsid w:val="00B23A28"/>
    <w:rsid w:val="00B23AED"/>
    <w:rsid w:val="00B23D04"/>
    <w:rsid w:val="00B24422"/>
    <w:rsid w:val="00B26D12"/>
    <w:rsid w:val="00B27255"/>
    <w:rsid w:val="00B30AE1"/>
    <w:rsid w:val="00B31F33"/>
    <w:rsid w:val="00B33DE9"/>
    <w:rsid w:val="00B355FE"/>
    <w:rsid w:val="00B3736D"/>
    <w:rsid w:val="00B37B81"/>
    <w:rsid w:val="00B417C3"/>
    <w:rsid w:val="00B4567C"/>
    <w:rsid w:val="00B4578B"/>
    <w:rsid w:val="00B4720A"/>
    <w:rsid w:val="00B47F70"/>
    <w:rsid w:val="00B50680"/>
    <w:rsid w:val="00B51B7D"/>
    <w:rsid w:val="00B55CD2"/>
    <w:rsid w:val="00B62EC0"/>
    <w:rsid w:val="00B668D2"/>
    <w:rsid w:val="00B66A41"/>
    <w:rsid w:val="00B677F9"/>
    <w:rsid w:val="00B7362D"/>
    <w:rsid w:val="00B74A30"/>
    <w:rsid w:val="00B755FC"/>
    <w:rsid w:val="00B76B91"/>
    <w:rsid w:val="00B7760D"/>
    <w:rsid w:val="00B77947"/>
    <w:rsid w:val="00B835DC"/>
    <w:rsid w:val="00B8463E"/>
    <w:rsid w:val="00B86A6A"/>
    <w:rsid w:val="00B90850"/>
    <w:rsid w:val="00B90919"/>
    <w:rsid w:val="00B923A7"/>
    <w:rsid w:val="00B939AD"/>
    <w:rsid w:val="00B93D93"/>
    <w:rsid w:val="00B95EA9"/>
    <w:rsid w:val="00B96F1C"/>
    <w:rsid w:val="00BA0FA7"/>
    <w:rsid w:val="00BA19D3"/>
    <w:rsid w:val="00BA25CF"/>
    <w:rsid w:val="00BA3138"/>
    <w:rsid w:val="00BA4D4B"/>
    <w:rsid w:val="00BA5E9B"/>
    <w:rsid w:val="00BA7768"/>
    <w:rsid w:val="00BB1D64"/>
    <w:rsid w:val="00BB25F6"/>
    <w:rsid w:val="00BB4E1E"/>
    <w:rsid w:val="00BB6EA8"/>
    <w:rsid w:val="00BB7C25"/>
    <w:rsid w:val="00BC3BAB"/>
    <w:rsid w:val="00BC46F7"/>
    <w:rsid w:val="00BC4DAC"/>
    <w:rsid w:val="00BC55A6"/>
    <w:rsid w:val="00BC6AA8"/>
    <w:rsid w:val="00BC703E"/>
    <w:rsid w:val="00BC7092"/>
    <w:rsid w:val="00BC7ED0"/>
    <w:rsid w:val="00BD1C9F"/>
    <w:rsid w:val="00BD2414"/>
    <w:rsid w:val="00BD39DD"/>
    <w:rsid w:val="00BD3B83"/>
    <w:rsid w:val="00BE11D9"/>
    <w:rsid w:val="00BE2D55"/>
    <w:rsid w:val="00BE2F24"/>
    <w:rsid w:val="00BE35BA"/>
    <w:rsid w:val="00BE6B41"/>
    <w:rsid w:val="00BF006A"/>
    <w:rsid w:val="00BF035F"/>
    <w:rsid w:val="00BF0A75"/>
    <w:rsid w:val="00BF118B"/>
    <w:rsid w:val="00BF1ACD"/>
    <w:rsid w:val="00BF272F"/>
    <w:rsid w:val="00BF2827"/>
    <w:rsid w:val="00BF387A"/>
    <w:rsid w:val="00BF394F"/>
    <w:rsid w:val="00BF3C4B"/>
    <w:rsid w:val="00BF4907"/>
    <w:rsid w:val="00BF6A38"/>
    <w:rsid w:val="00BF6BED"/>
    <w:rsid w:val="00BF71D8"/>
    <w:rsid w:val="00BF7F00"/>
    <w:rsid w:val="00C00740"/>
    <w:rsid w:val="00C01ECD"/>
    <w:rsid w:val="00C04EC0"/>
    <w:rsid w:val="00C0560C"/>
    <w:rsid w:val="00C05B90"/>
    <w:rsid w:val="00C11965"/>
    <w:rsid w:val="00C149E3"/>
    <w:rsid w:val="00C14FA6"/>
    <w:rsid w:val="00C179EA"/>
    <w:rsid w:val="00C22B38"/>
    <w:rsid w:val="00C23FBF"/>
    <w:rsid w:val="00C26844"/>
    <w:rsid w:val="00C34C14"/>
    <w:rsid w:val="00C41649"/>
    <w:rsid w:val="00C41ACF"/>
    <w:rsid w:val="00C41EBA"/>
    <w:rsid w:val="00C42FEC"/>
    <w:rsid w:val="00C46766"/>
    <w:rsid w:val="00C46FAC"/>
    <w:rsid w:val="00C502AA"/>
    <w:rsid w:val="00C51813"/>
    <w:rsid w:val="00C51B39"/>
    <w:rsid w:val="00C52AE6"/>
    <w:rsid w:val="00C543FE"/>
    <w:rsid w:val="00C56C69"/>
    <w:rsid w:val="00C56C6C"/>
    <w:rsid w:val="00C57A2F"/>
    <w:rsid w:val="00C6160F"/>
    <w:rsid w:val="00C6182C"/>
    <w:rsid w:val="00C6197D"/>
    <w:rsid w:val="00C62325"/>
    <w:rsid w:val="00C65F8C"/>
    <w:rsid w:val="00C666A5"/>
    <w:rsid w:val="00C7090A"/>
    <w:rsid w:val="00C73CEB"/>
    <w:rsid w:val="00C76294"/>
    <w:rsid w:val="00C775CE"/>
    <w:rsid w:val="00C77D98"/>
    <w:rsid w:val="00C804FB"/>
    <w:rsid w:val="00C821D6"/>
    <w:rsid w:val="00C82CA9"/>
    <w:rsid w:val="00C8586B"/>
    <w:rsid w:val="00C8646A"/>
    <w:rsid w:val="00C90D45"/>
    <w:rsid w:val="00C9113E"/>
    <w:rsid w:val="00C91418"/>
    <w:rsid w:val="00C92904"/>
    <w:rsid w:val="00C947F3"/>
    <w:rsid w:val="00C94BA1"/>
    <w:rsid w:val="00C9543A"/>
    <w:rsid w:val="00C95D56"/>
    <w:rsid w:val="00CA0857"/>
    <w:rsid w:val="00CA10E3"/>
    <w:rsid w:val="00CA3A5E"/>
    <w:rsid w:val="00CA3A76"/>
    <w:rsid w:val="00CA5126"/>
    <w:rsid w:val="00CA60AA"/>
    <w:rsid w:val="00CA6A11"/>
    <w:rsid w:val="00CA7AC9"/>
    <w:rsid w:val="00CA7BDD"/>
    <w:rsid w:val="00CB1F87"/>
    <w:rsid w:val="00CB43FC"/>
    <w:rsid w:val="00CB4E86"/>
    <w:rsid w:val="00CB5199"/>
    <w:rsid w:val="00CB541B"/>
    <w:rsid w:val="00CB5EEF"/>
    <w:rsid w:val="00CC0D1A"/>
    <w:rsid w:val="00CC0F1E"/>
    <w:rsid w:val="00CC133E"/>
    <w:rsid w:val="00CC1A57"/>
    <w:rsid w:val="00CC21DA"/>
    <w:rsid w:val="00CC352B"/>
    <w:rsid w:val="00CC37E1"/>
    <w:rsid w:val="00CC46F7"/>
    <w:rsid w:val="00CC4BCC"/>
    <w:rsid w:val="00CC61EE"/>
    <w:rsid w:val="00CC761C"/>
    <w:rsid w:val="00CC7CF0"/>
    <w:rsid w:val="00CD0D75"/>
    <w:rsid w:val="00CD1F3A"/>
    <w:rsid w:val="00CD356B"/>
    <w:rsid w:val="00CD4BA8"/>
    <w:rsid w:val="00CD4F13"/>
    <w:rsid w:val="00CD5AF1"/>
    <w:rsid w:val="00CD7205"/>
    <w:rsid w:val="00CD72E2"/>
    <w:rsid w:val="00CE0509"/>
    <w:rsid w:val="00CE1E42"/>
    <w:rsid w:val="00CE25E1"/>
    <w:rsid w:val="00CE28B9"/>
    <w:rsid w:val="00CE28F7"/>
    <w:rsid w:val="00CE2B9A"/>
    <w:rsid w:val="00CE42D8"/>
    <w:rsid w:val="00CE4602"/>
    <w:rsid w:val="00CE5CF6"/>
    <w:rsid w:val="00CE69DD"/>
    <w:rsid w:val="00CE6B7F"/>
    <w:rsid w:val="00CE6BE9"/>
    <w:rsid w:val="00CF3168"/>
    <w:rsid w:val="00CF47F6"/>
    <w:rsid w:val="00CF4E8B"/>
    <w:rsid w:val="00CF5304"/>
    <w:rsid w:val="00CF5A91"/>
    <w:rsid w:val="00CF7C1F"/>
    <w:rsid w:val="00D0022A"/>
    <w:rsid w:val="00D002CE"/>
    <w:rsid w:val="00D008AA"/>
    <w:rsid w:val="00D00CD8"/>
    <w:rsid w:val="00D03458"/>
    <w:rsid w:val="00D05277"/>
    <w:rsid w:val="00D05A19"/>
    <w:rsid w:val="00D06E11"/>
    <w:rsid w:val="00D07271"/>
    <w:rsid w:val="00D126BD"/>
    <w:rsid w:val="00D12B79"/>
    <w:rsid w:val="00D15F00"/>
    <w:rsid w:val="00D17524"/>
    <w:rsid w:val="00D20322"/>
    <w:rsid w:val="00D22163"/>
    <w:rsid w:val="00D22AC2"/>
    <w:rsid w:val="00D31600"/>
    <w:rsid w:val="00D31EE9"/>
    <w:rsid w:val="00D32C41"/>
    <w:rsid w:val="00D330D5"/>
    <w:rsid w:val="00D348B1"/>
    <w:rsid w:val="00D36DB4"/>
    <w:rsid w:val="00D370E5"/>
    <w:rsid w:val="00D407FB"/>
    <w:rsid w:val="00D41DE7"/>
    <w:rsid w:val="00D4386D"/>
    <w:rsid w:val="00D4554E"/>
    <w:rsid w:val="00D469CF"/>
    <w:rsid w:val="00D50C8A"/>
    <w:rsid w:val="00D50CB8"/>
    <w:rsid w:val="00D574D8"/>
    <w:rsid w:val="00D61CDE"/>
    <w:rsid w:val="00D63472"/>
    <w:rsid w:val="00D656D8"/>
    <w:rsid w:val="00D67210"/>
    <w:rsid w:val="00D7085C"/>
    <w:rsid w:val="00D71E0D"/>
    <w:rsid w:val="00D720E5"/>
    <w:rsid w:val="00D721A2"/>
    <w:rsid w:val="00D7399F"/>
    <w:rsid w:val="00D7429B"/>
    <w:rsid w:val="00D756A2"/>
    <w:rsid w:val="00D77A86"/>
    <w:rsid w:val="00D813E6"/>
    <w:rsid w:val="00D81A43"/>
    <w:rsid w:val="00D822C8"/>
    <w:rsid w:val="00D83866"/>
    <w:rsid w:val="00D840F5"/>
    <w:rsid w:val="00D84A67"/>
    <w:rsid w:val="00D84FF7"/>
    <w:rsid w:val="00D878D1"/>
    <w:rsid w:val="00D91081"/>
    <w:rsid w:val="00D912A7"/>
    <w:rsid w:val="00D93E90"/>
    <w:rsid w:val="00D9461E"/>
    <w:rsid w:val="00D95358"/>
    <w:rsid w:val="00D95C78"/>
    <w:rsid w:val="00DA09FE"/>
    <w:rsid w:val="00DA13A7"/>
    <w:rsid w:val="00DA1471"/>
    <w:rsid w:val="00DA1FA6"/>
    <w:rsid w:val="00DA4960"/>
    <w:rsid w:val="00DA4E4F"/>
    <w:rsid w:val="00DA4F89"/>
    <w:rsid w:val="00DA5E4B"/>
    <w:rsid w:val="00DB29A3"/>
    <w:rsid w:val="00DB68B0"/>
    <w:rsid w:val="00DC189B"/>
    <w:rsid w:val="00DC2D37"/>
    <w:rsid w:val="00DC50A5"/>
    <w:rsid w:val="00DD02AA"/>
    <w:rsid w:val="00DD0941"/>
    <w:rsid w:val="00DD15ED"/>
    <w:rsid w:val="00DD23F7"/>
    <w:rsid w:val="00DD2530"/>
    <w:rsid w:val="00DD28CF"/>
    <w:rsid w:val="00DD689F"/>
    <w:rsid w:val="00DE0113"/>
    <w:rsid w:val="00DE3645"/>
    <w:rsid w:val="00DE5069"/>
    <w:rsid w:val="00DE7546"/>
    <w:rsid w:val="00DF0315"/>
    <w:rsid w:val="00DF2F89"/>
    <w:rsid w:val="00DF344A"/>
    <w:rsid w:val="00E030B7"/>
    <w:rsid w:val="00E052A2"/>
    <w:rsid w:val="00E053DC"/>
    <w:rsid w:val="00E06383"/>
    <w:rsid w:val="00E10B6A"/>
    <w:rsid w:val="00E116C7"/>
    <w:rsid w:val="00E126CE"/>
    <w:rsid w:val="00E13FEC"/>
    <w:rsid w:val="00E23F32"/>
    <w:rsid w:val="00E25A43"/>
    <w:rsid w:val="00E26B3B"/>
    <w:rsid w:val="00E31F4A"/>
    <w:rsid w:val="00E32A20"/>
    <w:rsid w:val="00E337C0"/>
    <w:rsid w:val="00E337DF"/>
    <w:rsid w:val="00E33BA8"/>
    <w:rsid w:val="00E347F2"/>
    <w:rsid w:val="00E36846"/>
    <w:rsid w:val="00E37184"/>
    <w:rsid w:val="00E414F9"/>
    <w:rsid w:val="00E44AFD"/>
    <w:rsid w:val="00E45516"/>
    <w:rsid w:val="00E46BCB"/>
    <w:rsid w:val="00E46D56"/>
    <w:rsid w:val="00E46E84"/>
    <w:rsid w:val="00E524B6"/>
    <w:rsid w:val="00E61332"/>
    <w:rsid w:val="00E643F1"/>
    <w:rsid w:val="00E66B18"/>
    <w:rsid w:val="00E6733C"/>
    <w:rsid w:val="00E71DDD"/>
    <w:rsid w:val="00E741F3"/>
    <w:rsid w:val="00E75006"/>
    <w:rsid w:val="00E76959"/>
    <w:rsid w:val="00E86C9B"/>
    <w:rsid w:val="00E91B7A"/>
    <w:rsid w:val="00E91ED1"/>
    <w:rsid w:val="00E93B99"/>
    <w:rsid w:val="00E93BA4"/>
    <w:rsid w:val="00E94CED"/>
    <w:rsid w:val="00E95B77"/>
    <w:rsid w:val="00E97824"/>
    <w:rsid w:val="00EA7F4E"/>
    <w:rsid w:val="00EB06C9"/>
    <w:rsid w:val="00EB0A35"/>
    <w:rsid w:val="00EB0D05"/>
    <w:rsid w:val="00EB1CF5"/>
    <w:rsid w:val="00EB5015"/>
    <w:rsid w:val="00EB5D3E"/>
    <w:rsid w:val="00EB6035"/>
    <w:rsid w:val="00EB6C48"/>
    <w:rsid w:val="00EB7285"/>
    <w:rsid w:val="00EB7945"/>
    <w:rsid w:val="00EB7BD2"/>
    <w:rsid w:val="00EC0517"/>
    <w:rsid w:val="00EC3EC8"/>
    <w:rsid w:val="00EC4CE0"/>
    <w:rsid w:val="00EC5B37"/>
    <w:rsid w:val="00EC7F24"/>
    <w:rsid w:val="00ED00A5"/>
    <w:rsid w:val="00ED059A"/>
    <w:rsid w:val="00ED61F4"/>
    <w:rsid w:val="00ED64E8"/>
    <w:rsid w:val="00ED6F93"/>
    <w:rsid w:val="00EE03FC"/>
    <w:rsid w:val="00EE04C8"/>
    <w:rsid w:val="00EE3306"/>
    <w:rsid w:val="00EE3447"/>
    <w:rsid w:val="00EE590B"/>
    <w:rsid w:val="00EE7C5E"/>
    <w:rsid w:val="00EF01B8"/>
    <w:rsid w:val="00EF3ABA"/>
    <w:rsid w:val="00EF71CC"/>
    <w:rsid w:val="00EF71D5"/>
    <w:rsid w:val="00EF7C90"/>
    <w:rsid w:val="00F043E7"/>
    <w:rsid w:val="00F04E34"/>
    <w:rsid w:val="00F061BA"/>
    <w:rsid w:val="00F12F4F"/>
    <w:rsid w:val="00F14EFA"/>
    <w:rsid w:val="00F20CB7"/>
    <w:rsid w:val="00F2164C"/>
    <w:rsid w:val="00F2376A"/>
    <w:rsid w:val="00F2487B"/>
    <w:rsid w:val="00F24BA2"/>
    <w:rsid w:val="00F3006D"/>
    <w:rsid w:val="00F3226E"/>
    <w:rsid w:val="00F32940"/>
    <w:rsid w:val="00F34A86"/>
    <w:rsid w:val="00F359C1"/>
    <w:rsid w:val="00F36681"/>
    <w:rsid w:val="00F422C2"/>
    <w:rsid w:val="00F43B9C"/>
    <w:rsid w:val="00F45B67"/>
    <w:rsid w:val="00F466EA"/>
    <w:rsid w:val="00F47846"/>
    <w:rsid w:val="00F51F0A"/>
    <w:rsid w:val="00F544F8"/>
    <w:rsid w:val="00F54676"/>
    <w:rsid w:val="00F55865"/>
    <w:rsid w:val="00F56F6A"/>
    <w:rsid w:val="00F57B2D"/>
    <w:rsid w:val="00F601DD"/>
    <w:rsid w:val="00F60271"/>
    <w:rsid w:val="00F6136C"/>
    <w:rsid w:val="00F6293F"/>
    <w:rsid w:val="00F63A61"/>
    <w:rsid w:val="00F65492"/>
    <w:rsid w:val="00F677D5"/>
    <w:rsid w:val="00F678E0"/>
    <w:rsid w:val="00F70C6B"/>
    <w:rsid w:val="00F71AC0"/>
    <w:rsid w:val="00F74173"/>
    <w:rsid w:val="00F758CF"/>
    <w:rsid w:val="00F76544"/>
    <w:rsid w:val="00F777C2"/>
    <w:rsid w:val="00F7786D"/>
    <w:rsid w:val="00F81F0F"/>
    <w:rsid w:val="00F83EC6"/>
    <w:rsid w:val="00F8717C"/>
    <w:rsid w:val="00F9170F"/>
    <w:rsid w:val="00F91CD6"/>
    <w:rsid w:val="00F94339"/>
    <w:rsid w:val="00F94CF4"/>
    <w:rsid w:val="00F96562"/>
    <w:rsid w:val="00FA0126"/>
    <w:rsid w:val="00FA0E3F"/>
    <w:rsid w:val="00FA101A"/>
    <w:rsid w:val="00FA1B16"/>
    <w:rsid w:val="00FA3408"/>
    <w:rsid w:val="00FA404E"/>
    <w:rsid w:val="00FA5FA3"/>
    <w:rsid w:val="00FA63C8"/>
    <w:rsid w:val="00FA63D7"/>
    <w:rsid w:val="00FA67AD"/>
    <w:rsid w:val="00FA6CF1"/>
    <w:rsid w:val="00FB0BF9"/>
    <w:rsid w:val="00FB0F4E"/>
    <w:rsid w:val="00FB3142"/>
    <w:rsid w:val="00FB47CB"/>
    <w:rsid w:val="00FB5F08"/>
    <w:rsid w:val="00FB683D"/>
    <w:rsid w:val="00FC2E63"/>
    <w:rsid w:val="00FC2ED8"/>
    <w:rsid w:val="00FC3B6B"/>
    <w:rsid w:val="00FC42F0"/>
    <w:rsid w:val="00FC53C0"/>
    <w:rsid w:val="00FC7043"/>
    <w:rsid w:val="00FD1246"/>
    <w:rsid w:val="00FD29D7"/>
    <w:rsid w:val="00FD2C78"/>
    <w:rsid w:val="00FD2EFA"/>
    <w:rsid w:val="00FD30F6"/>
    <w:rsid w:val="00FD360C"/>
    <w:rsid w:val="00FD7F49"/>
    <w:rsid w:val="00FD7F93"/>
    <w:rsid w:val="00FE0C6D"/>
    <w:rsid w:val="00FE4127"/>
    <w:rsid w:val="00FE7A27"/>
    <w:rsid w:val="00FF3481"/>
    <w:rsid w:val="00FF4028"/>
    <w:rsid w:val="00FF43F4"/>
    <w:rsid w:val="00FF492A"/>
    <w:rsid w:val="00FF5A52"/>
    <w:rsid w:val="00FF693F"/>
    <w:rsid w:val="00FF6D46"/>
    <w:rsid w:val="014E265E"/>
    <w:rsid w:val="019A361F"/>
    <w:rsid w:val="01EB1D44"/>
    <w:rsid w:val="020D13AC"/>
    <w:rsid w:val="0276EC8E"/>
    <w:rsid w:val="02C74B1A"/>
    <w:rsid w:val="02DEF864"/>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D3654A"/>
    <w:rsid w:val="06ECA641"/>
    <w:rsid w:val="06ECE39B"/>
    <w:rsid w:val="0721F3AD"/>
    <w:rsid w:val="073CB049"/>
    <w:rsid w:val="07F653A8"/>
    <w:rsid w:val="08038C01"/>
    <w:rsid w:val="0885F8E3"/>
    <w:rsid w:val="08983D8A"/>
    <w:rsid w:val="08B6A326"/>
    <w:rsid w:val="08DA0127"/>
    <w:rsid w:val="0941E548"/>
    <w:rsid w:val="0A12D9A1"/>
    <w:rsid w:val="0A4372AC"/>
    <w:rsid w:val="0A56C10E"/>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609D3C"/>
    <w:rsid w:val="0F75E13B"/>
    <w:rsid w:val="10089FC9"/>
    <w:rsid w:val="1095467A"/>
    <w:rsid w:val="10F6B520"/>
    <w:rsid w:val="115E5BFE"/>
    <w:rsid w:val="11CC3205"/>
    <w:rsid w:val="124EAA14"/>
    <w:rsid w:val="12D08925"/>
    <w:rsid w:val="130567D9"/>
    <w:rsid w:val="1361E69B"/>
    <w:rsid w:val="1408EBAA"/>
    <w:rsid w:val="141F293D"/>
    <w:rsid w:val="14258C8B"/>
    <w:rsid w:val="142EFE99"/>
    <w:rsid w:val="142FC122"/>
    <w:rsid w:val="145ED26F"/>
    <w:rsid w:val="1467CF85"/>
    <w:rsid w:val="14B2BA1E"/>
    <w:rsid w:val="14F27640"/>
    <w:rsid w:val="14F80B35"/>
    <w:rsid w:val="15250DAE"/>
    <w:rsid w:val="154665A5"/>
    <w:rsid w:val="154E5B21"/>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942994"/>
    <w:rsid w:val="1E96BB98"/>
    <w:rsid w:val="1EABEE55"/>
    <w:rsid w:val="1ED67A25"/>
    <w:rsid w:val="1F012AF0"/>
    <w:rsid w:val="2034DA43"/>
    <w:rsid w:val="209011A9"/>
    <w:rsid w:val="20CC9F8A"/>
    <w:rsid w:val="20CFDF2E"/>
    <w:rsid w:val="2126169B"/>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CCA7B6"/>
    <w:rsid w:val="330DE8C0"/>
    <w:rsid w:val="3321E8D4"/>
    <w:rsid w:val="33DC782F"/>
    <w:rsid w:val="33E3330A"/>
    <w:rsid w:val="33E7E62C"/>
    <w:rsid w:val="33EAF271"/>
    <w:rsid w:val="343F68DC"/>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887C264"/>
    <w:rsid w:val="38BB17FB"/>
    <w:rsid w:val="38BE12EE"/>
    <w:rsid w:val="38D9B406"/>
    <w:rsid w:val="38DADF5D"/>
    <w:rsid w:val="394B9BDF"/>
    <w:rsid w:val="396190B6"/>
    <w:rsid w:val="39A74DF6"/>
    <w:rsid w:val="39B7546C"/>
    <w:rsid w:val="39BC5BC1"/>
    <w:rsid w:val="3A0D3B34"/>
    <w:rsid w:val="3A3A6110"/>
    <w:rsid w:val="3A597212"/>
    <w:rsid w:val="3ABE3247"/>
    <w:rsid w:val="3AF8EEE5"/>
    <w:rsid w:val="3AFD7C16"/>
    <w:rsid w:val="3B776A68"/>
    <w:rsid w:val="3BB4FF57"/>
    <w:rsid w:val="3BDB4E96"/>
    <w:rsid w:val="3C18E64B"/>
    <w:rsid w:val="3D0873D0"/>
    <w:rsid w:val="3E3370BE"/>
    <w:rsid w:val="3E624B01"/>
    <w:rsid w:val="3EDCF5DA"/>
    <w:rsid w:val="3EE363E6"/>
    <w:rsid w:val="3EF4E40D"/>
    <w:rsid w:val="3F07A4BF"/>
    <w:rsid w:val="3F7D4EFA"/>
    <w:rsid w:val="3F7E98A2"/>
    <w:rsid w:val="3FAC67DE"/>
    <w:rsid w:val="3FADB113"/>
    <w:rsid w:val="3FB2D07F"/>
    <w:rsid w:val="40022CF5"/>
    <w:rsid w:val="409D2C31"/>
    <w:rsid w:val="41906770"/>
    <w:rsid w:val="41A9539F"/>
    <w:rsid w:val="41CCD0EE"/>
    <w:rsid w:val="427A4DD0"/>
    <w:rsid w:val="42947091"/>
    <w:rsid w:val="42B4EFBC"/>
    <w:rsid w:val="436B42EF"/>
    <w:rsid w:val="43AA7A21"/>
    <w:rsid w:val="43CB8844"/>
    <w:rsid w:val="43EB66C9"/>
    <w:rsid w:val="440EF261"/>
    <w:rsid w:val="445209C5"/>
    <w:rsid w:val="445A6868"/>
    <w:rsid w:val="4490FE83"/>
    <w:rsid w:val="44E5FB0A"/>
    <w:rsid w:val="44FE2913"/>
    <w:rsid w:val="452274D7"/>
    <w:rsid w:val="4525F232"/>
    <w:rsid w:val="452807A4"/>
    <w:rsid w:val="4613FE95"/>
    <w:rsid w:val="46182F21"/>
    <w:rsid w:val="46962082"/>
    <w:rsid w:val="47FB1C43"/>
    <w:rsid w:val="4813ACDB"/>
    <w:rsid w:val="48446BC4"/>
    <w:rsid w:val="4854480C"/>
    <w:rsid w:val="4872727E"/>
    <w:rsid w:val="48EC9B17"/>
    <w:rsid w:val="492C06AD"/>
    <w:rsid w:val="49A8CEA8"/>
    <w:rsid w:val="49D97277"/>
    <w:rsid w:val="49EA26FC"/>
    <w:rsid w:val="49F02B4D"/>
    <w:rsid w:val="49F7DB6A"/>
    <w:rsid w:val="4A7B7DBA"/>
    <w:rsid w:val="4AABC1C0"/>
    <w:rsid w:val="4C1E6C3C"/>
    <w:rsid w:val="4C228C51"/>
    <w:rsid w:val="4C276ADE"/>
    <w:rsid w:val="4C43E32D"/>
    <w:rsid w:val="4C7D9D1B"/>
    <w:rsid w:val="4CDDD216"/>
    <w:rsid w:val="4D0D067E"/>
    <w:rsid w:val="4E3EDD5C"/>
    <w:rsid w:val="4E94ED3C"/>
    <w:rsid w:val="4EB1B89D"/>
    <w:rsid w:val="5013CB5C"/>
    <w:rsid w:val="50286B91"/>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C41BFD"/>
    <w:rsid w:val="58CE08E3"/>
    <w:rsid w:val="58D8237E"/>
    <w:rsid w:val="58F59144"/>
    <w:rsid w:val="59365E19"/>
    <w:rsid w:val="597F9E6B"/>
    <w:rsid w:val="59A7E21E"/>
    <w:rsid w:val="59B12B20"/>
    <w:rsid w:val="59E9904D"/>
    <w:rsid w:val="5A0FB56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858143"/>
    <w:rsid w:val="629C724D"/>
    <w:rsid w:val="62D13601"/>
    <w:rsid w:val="632011B9"/>
    <w:rsid w:val="6320A840"/>
    <w:rsid w:val="636DA74F"/>
    <w:rsid w:val="63762C99"/>
    <w:rsid w:val="637777D3"/>
    <w:rsid w:val="64107688"/>
    <w:rsid w:val="64B70372"/>
    <w:rsid w:val="6535A577"/>
    <w:rsid w:val="65B51444"/>
    <w:rsid w:val="660F72A8"/>
    <w:rsid w:val="666EFDD0"/>
    <w:rsid w:val="66FC9028"/>
    <w:rsid w:val="670FB49E"/>
    <w:rsid w:val="67920FB0"/>
    <w:rsid w:val="67D0CA41"/>
    <w:rsid w:val="68B55F41"/>
    <w:rsid w:val="68DB67CD"/>
    <w:rsid w:val="68F8B673"/>
    <w:rsid w:val="69C29F15"/>
    <w:rsid w:val="69E88A74"/>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F63C5E"/>
    <w:rsid w:val="743DBC2D"/>
    <w:rsid w:val="746A01CF"/>
    <w:rsid w:val="74A0A99E"/>
    <w:rsid w:val="7535124D"/>
    <w:rsid w:val="75546714"/>
    <w:rsid w:val="756A921E"/>
    <w:rsid w:val="75C5E33B"/>
    <w:rsid w:val="75CC10FA"/>
    <w:rsid w:val="75E7465F"/>
    <w:rsid w:val="75FC3621"/>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B069A0F"/>
    <w:rsid w:val="7B2EF5A4"/>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557A9DB5-D179-4816-8365-3AC801C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2E77BF"/>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uiPriority w:val="20"/>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paragraph" w:customStyle="1" w:styleId="Normal1">
    <w:name w:val="Normal1"/>
    <w:rsid w:val="00BB1D64"/>
    <w:pPr>
      <w:spacing w:after="4" w:line="250" w:lineRule="auto"/>
      <w:ind w:left="435" w:right="118" w:hanging="434"/>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574970431">
      <w:bodyDiv w:val="1"/>
      <w:marLeft w:val="0"/>
      <w:marRight w:val="0"/>
      <w:marTop w:val="0"/>
      <w:marBottom w:val="0"/>
      <w:divBdr>
        <w:top w:val="none" w:sz="0" w:space="0" w:color="auto"/>
        <w:left w:val="none" w:sz="0" w:space="0" w:color="auto"/>
        <w:bottom w:val="none" w:sz="0" w:space="0" w:color="auto"/>
        <w:right w:val="none" w:sz="0" w:space="0" w:color="auto"/>
      </w:divBdr>
      <w:divsChild>
        <w:div w:id="2075541014">
          <w:marLeft w:val="0"/>
          <w:marRight w:val="0"/>
          <w:marTop w:val="0"/>
          <w:marBottom w:val="0"/>
          <w:divBdr>
            <w:top w:val="none" w:sz="0" w:space="0" w:color="auto"/>
            <w:left w:val="none" w:sz="0" w:space="0" w:color="auto"/>
            <w:bottom w:val="none" w:sz="0" w:space="0" w:color="auto"/>
            <w:right w:val="none" w:sz="0" w:space="0" w:color="auto"/>
          </w:divBdr>
          <w:divsChild>
            <w:div w:id="721950568">
              <w:marLeft w:val="0"/>
              <w:marRight w:val="0"/>
              <w:marTop w:val="0"/>
              <w:marBottom w:val="0"/>
              <w:divBdr>
                <w:top w:val="none" w:sz="0" w:space="0" w:color="auto"/>
                <w:left w:val="none" w:sz="0" w:space="0" w:color="auto"/>
                <w:bottom w:val="none" w:sz="0" w:space="0" w:color="auto"/>
                <w:right w:val="none" w:sz="0" w:space="0" w:color="auto"/>
              </w:divBdr>
              <w:divsChild>
                <w:div w:id="14929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3280">
      <w:bodyDiv w:val="1"/>
      <w:marLeft w:val="0"/>
      <w:marRight w:val="0"/>
      <w:marTop w:val="0"/>
      <w:marBottom w:val="0"/>
      <w:divBdr>
        <w:top w:val="none" w:sz="0" w:space="0" w:color="auto"/>
        <w:left w:val="none" w:sz="0" w:space="0" w:color="auto"/>
        <w:bottom w:val="none" w:sz="0" w:space="0" w:color="auto"/>
        <w:right w:val="none" w:sz="0" w:space="0" w:color="auto"/>
      </w:divBdr>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nuevas/conferencia-de-las-naciones-unidas-sobre-el-agua-una-oportunidad-para-el-cambio-dra-musonda" TargetMode="External"/><Relationship Id="rId2" Type="http://schemas.openxmlformats.org/officeDocument/2006/relationships/hyperlink" Target="https://www.unccd.int/our-work/flagship-initiatives/G20-Initiative" TargetMode="External"/><Relationship Id="rId1" Type="http://schemas.openxmlformats.org/officeDocument/2006/relationships/hyperlink" Target="https://www.ramsar.org/document/sc59-doc161-review-of-the-fifth-joint-work-plan-between-the-convention-on-biological" TargetMode="External"/><Relationship Id="rId4" Type="http://schemas.openxmlformats.org/officeDocument/2006/relationships/hyperlink" Target="https://www.ramsar.org/es/conferencia-del-agua-de-la-onu-2023-declaracion-de-la-dra-musonda-mumba-al-dialogo-interactiv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2.xml><?xml version="1.0" encoding="utf-8"?>
<ds:datastoreItem xmlns:ds="http://schemas.openxmlformats.org/officeDocument/2006/customXml" ds:itemID="{C0297753-8E8B-46BB-B69B-F689303C8624}">
  <ds:schemaRefs>
    <ds:schemaRef ds:uri="http://schemas.openxmlformats.org/package/2006/metadata/core-properties"/>
    <ds:schemaRef ds:uri="8c0b6b05-eb82-4bda-97e8-cd82d0d6b453"/>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aedd258d-19a7-41ba-8260-b0918f25313d"/>
    <ds:schemaRef ds:uri="http://www.w3.org/XML/1998/namespace"/>
  </ds:schemaRefs>
</ds:datastoreItem>
</file>

<file path=customXml/itemProps3.xml><?xml version="1.0" encoding="utf-8"?>
<ds:datastoreItem xmlns:ds="http://schemas.openxmlformats.org/officeDocument/2006/customXml" ds:itemID="{9B408269-4D12-4F05-BD36-C096FA6E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B9610-01A0-48F8-B661-30CB26D3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5335</Words>
  <Characters>30410</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35674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2023-06-23T12:22:00Z</cp:lastPrinted>
  <dcterms:created xsi:type="dcterms:W3CDTF">2023-07-07T13:06:00Z</dcterms:created>
  <dcterms:modified xsi:type="dcterms:W3CDTF">2023-07-07T13:06:00Z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