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C478" w14:textId="36E7ADD4" w:rsidR="00E703EF" w:rsidRPr="009C17C8" w:rsidRDefault="002D3B8C" w:rsidP="00A525BA">
      <w:pPr>
        <w:widowControl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autoSpaceDN/>
        <w:ind w:right="4490"/>
        <w:textAlignment w:val="auto"/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</w:pPr>
      <w:r w:rsidRPr="009C17C8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>LA CONVENCIÓN SOBRE LOS HUMEDALES</w:t>
      </w:r>
    </w:p>
    <w:p w14:paraId="7C23D521" w14:textId="1C2B0DD7" w:rsidR="00E703EF" w:rsidRPr="009C17C8" w:rsidRDefault="002D3B8C" w:rsidP="00A525BA">
      <w:pPr>
        <w:widowControl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autoSpaceDN/>
        <w:ind w:right="4490"/>
        <w:textAlignment w:val="auto"/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</w:pPr>
      <w:r w:rsidRPr="009C17C8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>62</w:t>
      </w:r>
      <w:r w:rsidR="009C17C8" w:rsidRPr="00AB0F84">
        <w:rPr>
          <w:rFonts w:asciiTheme="minorHAnsi" w:hAnsiTheme="minorHAnsi" w:cstheme="minorHAnsi"/>
          <w:noProof/>
          <w:sz w:val="22"/>
          <w:szCs w:val="22"/>
          <w:lang w:val="es-ES"/>
        </w:rPr>
        <w:t>ª</w:t>
      </w:r>
      <w:r w:rsidRPr="009C17C8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 xml:space="preserve"> reunión del Comité Permanente</w:t>
      </w:r>
    </w:p>
    <w:p w14:paraId="05B45345" w14:textId="1E6FD111" w:rsidR="00E703EF" w:rsidRPr="009C17C8" w:rsidRDefault="00AB0F84" w:rsidP="00A525BA">
      <w:pPr>
        <w:widowControl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autoSpaceDN/>
        <w:ind w:right="4490"/>
        <w:textAlignment w:val="auto"/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</w:pPr>
      <w:r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>Reunión</w:t>
      </w:r>
      <w:r w:rsidR="002D3B8C" w:rsidRPr="009C17C8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 xml:space="preserve"> virtual</w:t>
      </w:r>
      <w:r w:rsidR="00E703EF" w:rsidRPr="009C17C8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 xml:space="preserve">, </w:t>
      </w:r>
      <w:r w:rsidR="0070683C" w:rsidRPr="009C17C8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 xml:space="preserve">29 </w:t>
      </w:r>
      <w:r w:rsidR="002D3B8C" w:rsidRPr="009C17C8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>de junio de</w:t>
      </w:r>
      <w:r w:rsidR="0070683C" w:rsidRPr="009C17C8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 xml:space="preserve"> 2023</w:t>
      </w:r>
    </w:p>
    <w:p w14:paraId="71EB3057" w14:textId="77777777" w:rsidR="00E703EF" w:rsidRPr="009C17C8" w:rsidRDefault="00E703EF" w:rsidP="00B01E67">
      <w:pPr>
        <w:pStyle w:val="Standard"/>
        <w:widowControl/>
        <w:jc w:val="center"/>
        <w:rPr>
          <w:rFonts w:asciiTheme="minorHAnsi" w:hAnsiTheme="minorHAnsi" w:cstheme="minorHAnsi"/>
          <w:b/>
          <w:bCs/>
          <w:noProof/>
          <w:lang w:val="es-ES"/>
        </w:rPr>
      </w:pPr>
    </w:p>
    <w:p w14:paraId="66AA753C" w14:textId="77777777" w:rsidR="00E703EF" w:rsidRPr="009C17C8" w:rsidRDefault="00E703EF" w:rsidP="00B01E67">
      <w:pPr>
        <w:pStyle w:val="Standard"/>
        <w:widowControl/>
        <w:jc w:val="center"/>
        <w:rPr>
          <w:rFonts w:asciiTheme="minorHAnsi" w:hAnsiTheme="minorHAnsi" w:cstheme="minorHAnsi"/>
          <w:b/>
          <w:bCs/>
          <w:noProof/>
          <w:lang w:val="es-ES"/>
        </w:rPr>
      </w:pPr>
    </w:p>
    <w:p w14:paraId="238EDF17" w14:textId="6745EE50" w:rsidR="009C17C8" w:rsidRPr="009C17C8" w:rsidRDefault="00AB0F84" w:rsidP="009C17C8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 xml:space="preserve">Informe y decisión </w:t>
      </w:r>
      <w:r w:rsidRPr="009C17C8"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>del Comité Permanente</w:t>
      </w:r>
      <w:r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 xml:space="preserve"> </w:t>
      </w:r>
      <w:r w:rsidR="0053220E"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>de</w:t>
      </w:r>
      <w:r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 xml:space="preserve"> la reunión virtual </w:t>
      </w:r>
      <w:r w:rsidR="00765B6C"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>previ</w:t>
      </w:r>
      <w:r w:rsidR="0053220E"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>a</w:t>
      </w:r>
      <w:r w:rsidR="00765B6C"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 xml:space="preserve"> </w:t>
      </w:r>
      <w:r w:rsidR="0053220E"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>a</w:t>
      </w:r>
      <w:r w:rsidRPr="009C17C8"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 xml:space="preserve"> la celebración de su 62ª reunión</w:t>
      </w:r>
      <w:r w:rsidR="0053220E"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>,</w:t>
      </w:r>
      <w:r>
        <w:rPr>
          <w:rFonts w:asciiTheme="minorHAnsi" w:hAnsiTheme="minorHAnsi" w:cstheme="minorHAnsi"/>
          <w:b/>
          <w:bCs/>
          <w:noProof/>
          <w:sz w:val="28"/>
          <w:szCs w:val="28"/>
          <w:lang w:val="es-ES"/>
        </w:rPr>
        <w:t xml:space="preserve"> para examinar el plan de trabajo del Grupo de Examen Científico y Técnico para el trienio 2023-2025</w:t>
      </w:r>
    </w:p>
    <w:p w14:paraId="7CE22B17" w14:textId="00D45BF7" w:rsidR="00AA14C7" w:rsidRDefault="00AA14C7" w:rsidP="00F55CC1">
      <w:pPr>
        <w:pStyle w:val="Standard"/>
        <w:widowControl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</w:p>
    <w:p w14:paraId="6DD8D198" w14:textId="77777777" w:rsidR="0053220E" w:rsidRPr="009C17C8" w:rsidRDefault="0053220E" w:rsidP="00F55CC1">
      <w:pPr>
        <w:pStyle w:val="Standard"/>
        <w:widowControl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</w:p>
    <w:p w14:paraId="4CBEB9A5" w14:textId="36F11894" w:rsidR="00BB523B" w:rsidRPr="009C17C8" w:rsidRDefault="009C17C8" w:rsidP="00F55CC1">
      <w:pPr>
        <w:pStyle w:val="Standard"/>
        <w:widowControl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  <w:r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Jueves</w:t>
      </w:r>
      <w:r w:rsidR="00AA14C7"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 </w:t>
      </w:r>
      <w:r w:rsidR="0070683C"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29</w:t>
      </w:r>
      <w:r w:rsidR="00AA14C7"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 </w:t>
      </w:r>
      <w:r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de junio de</w:t>
      </w:r>
      <w:r w:rsidR="0070683C"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 2023</w:t>
      </w:r>
    </w:p>
    <w:p w14:paraId="0B7966E5" w14:textId="77777777" w:rsidR="00AA14C7" w:rsidRPr="009C17C8" w:rsidRDefault="00AA14C7" w:rsidP="00F55CC1">
      <w:pPr>
        <w:pStyle w:val="Standard"/>
        <w:widowControl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</w:p>
    <w:p w14:paraId="4F3FB9F7" w14:textId="11792509" w:rsidR="00AA14C7" w:rsidRPr="009C17C8" w:rsidRDefault="00717E19" w:rsidP="00F55CC1">
      <w:pPr>
        <w:pStyle w:val="Standard"/>
        <w:widowControl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  <w:r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1</w:t>
      </w:r>
      <w:r w:rsidR="0070683C"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3</w:t>
      </w:r>
      <w:r w:rsidR="00AB0F84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:</w:t>
      </w:r>
      <w:r w:rsidR="0070683C"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05</w:t>
      </w:r>
      <w:r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 – 1</w:t>
      </w:r>
      <w:r w:rsidR="0070683C"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3</w:t>
      </w:r>
      <w:r w:rsidR="00AB0F84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:</w:t>
      </w:r>
      <w:r w:rsidR="0070683C"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50</w:t>
      </w:r>
      <w:r w:rsidRPr="009C17C8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 </w:t>
      </w:r>
      <w:r w:rsidR="00AB0F84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CEST (Horario de verano de Europa Central) </w:t>
      </w:r>
    </w:p>
    <w:p w14:paraId="06BCA898" w14:textId="77777777" w:rsidR="00307435" w:rsidRPr="009C17C8" w:rsidRDefault="00307435" w:rsidP="00F55CC1">
      <w:pPr>
        <w:pStyle w:val="Standard"/>
        <w:widowControl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</w:p>
    <w:p w14:paraId="0E9C7729" w14:textId="4161B04F" w:rsidR="00307435" w:rsidRPr="009C17C8" w:rsidRDefault="00AB0F84" w:rsidP="00F55CC1">
      <w:pPr>
        <w:widowControl/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autoSpaceDN/>
        <w:contextualSpacing/>
        <w:textAlignment w:val="auto"/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</w:pPr>
      <w:r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Proyecto de plan de trabajo del Grupo de Examen Científico y técnico para el trienio</w:t>
      </w:r>
      <w:r w:rsidR="0070683C" w:rsidRPr="009C17C8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2023-2025</w:t>
      </w:r>
    </w:p>
    <w:p w14:paraId="23940C41" w14:textId="77777777" w:rsidR="00307435" w:rsidRPr="009C17C8" w:rsidRDefault="00307435" w:rsidP="00F55CC1">
      <w:pPr>
        <w:pStyle w:val="Standard"/>
        <w:widowControl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16978388" w14:textId="78353307" w:rsidR="00AB0F84" w:rsidRPr="00AB0F84" w:rsidRDefault="00775FDA" w:rsidP="00F55CC1">
      <w:pPr>
        <w:pStyle w:val="Standard"/>
        <w:widowControl/>
        <w:ind w:left="567" w:hanging="567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>1.</w:t>
      </w:r>
      <w:r w:rsidR="00AB0F84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AB0F84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La </w:t>
      </w:r>
      <w:r w:rsidR="00AB0F84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Presidencia del Comité Permanente </w:t>
      </w:r>
      <w:r w:rsidR="00AB0F84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inauguró la sesión e informó a los miembros </w:t>
      </w:r>
      <w:r w:rsidR="00270A61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de </w:t>
      </w:r>
      <w:r w:rsidR="00AB0F84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que la Presidencia del Grupo de Examen Científico y Técnico (GECT) había solicitado el examen </w:t>
      </w:r>
      <w:r w:rsidR="00770E8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y aprobación </w:t>
      </w:r>
      <w:r w:rsidR="00AB0F84">
        <w:rPr>
          <w:rFonts w:asciiTheme="minorHAnsi" w:hAnsiTheme="minorHAnsi" w:cstheme="minorHAnsi"/>
          <w:noProof/>
          <w:sz w:val="22"/>
          <w:szCs w:val="22"/>
          <w:lang w:val="es-ES"/>
        </w:rPr>
        <w:t>del plan de trabajo del GEC</w:t>
      </w:r>
      <w:r w:rsidR="001966A5">
        <w:rPr>
          <w:rFonts w:asciiTheme="minorHAnsi" w:hAnsiTheme="minorHAnsi" w:cstheme="minorHAnsi"/>
          <w:noProof/>
          <w:sz w:val="22"/>
          <w:szCs w:val="22"/>
          <w:lang w:val="es-ES"/>
        </w:rPr>
        <w:t>T</w:t>
      </w:r>
      <w:r w:rsidR="00735CD5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y que</w:t>
      </w:r>
      <w:r w:rsidR="00AB0F84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por recomendación del Equipo Ejecutivo, </w:t>
      </w:r>
      <w:r w:rsidR="001966A5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se </w:t>
      </w:r>
      <w:r w:rsidR="00770E87">
        <w:rPr>
          <w:rFonts w:asciiTheme="minorHAnsi" w:hAnsiTheme="minorHAnsi" w:cstheme="minorHAnsi"/>
          <w:noProof/>
          <w:sz w:val="22"/>
          <w:szCs w:val="22"/>
          <w:lang w:val="es-ES"/>
        </w:rPr>
        <w:t>había consultado al Grupo de Trabajo Administrativo para solicitar su apoyo a la petición de aprobación entre sesiones del plan de trabajo</w:t>
      </w:r>
      <w:r w:rsidR="001966A5">
        <w:rPr>
          <w:rFonts w:asciiTheme="minorHAnsi" w:hAnsiTheme="minorHAnsi" w:cstheme="minorHAnsi"/>
          <w:noProof/>
          <w:sz w:val="22"/>
          <w:szCs w:val="22"/>
          <w:lang w:val="es-ES"/>
        </w:rPr>
        <w:t>,</w:t>
      </w:r>
      <w:r w:rsidR="00270A61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y el </w:t>
      </w:r>
      <w:r w:rsidR="00770E8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Grupo de Trabajo Administrativo no </w:t>
      </w:r>
      <w:r w:rsidR="00270A61">
        <w:rPr>
          <w:rFonts w:asciiTheme="minorHAnsi" w:hAnsiTheme="minorHAnsi" w:cstheme="minorHAnsi"/>
          <w:noProof/>
          <w:sz w:val="22"/>
          <w:szCs w:val="22"/>
          <w:lang w:val="es-ES"/>
        </w:rPr>
        <w:t>había tenido ninguna objeción</w:t>
      </w:r>
      <w:r w:rsidR="00770E87">
        <w:rPr>
          <w:rFonts w:asciiTheme="minorHAnsi" w:hAnsiTheme="minorHAnsi" w:cstheme="minorHAnsi"/>
          <w:noProof/>
          <w:sz w:val="22"/>
          <w:szCs w:val="22"/>
          <w:lang w:val="es-ES"/>
        </w:rPr>
        <w:t>.</w:t>
      </w:r>
    </w:p>
    <w:p w14:paraId="594703AF" w14:textId="462545AB" w:rsidR="00775FDA" w:rsidRPr="009C17C8" w:rsidRDefault="00775FDA" w:rsidP="00770E87">
      <w:pPr>
        <w:pStyle w:val="Standard"/>
        <w:widowControl/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</w:pPr>
    </w:p>
    <w:p w14:paraId="76C69C15" w14:textId="0020B331" w:rsidR="00770E87" w:rsidRPr="00770E87" w:rsidRDefault="00775FDA" w:rsidP="00F55CC1">
      <w:pPr>
        <w:pStyle w:val="Standard"/>
        <w:widowControl/>
        <w:ind w:left="567" w:hanging="567"/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</w:pPr>
      <w:r w:rsidRPr="009C17C8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2.</w:t>
      </w:r>
      <w:r w:rsidRPr="009C17C8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ab/>
      </w:r>
      <w:r w:rsidR="00770E8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La </w:t>
      </w:r>
      <w:r w:rsidR="00770E87">
        <w:rPr>
          <w:rFonts w:asciiTheme="minorHAnsi" w:eastAsia="Calibri" w:hAnsiTheme="minorHAnsi" w:cs="Calibri"/>
          <w:b/>
          <w:noProof/>
          <w:kern w:val="0"/>
          <w:sz w:val="22"/>
          <w:szCs w:val="22"/>
          <w:lang w:val="es-ES" w:eastAsia="en-US" w:bidi="ar-SA"/>
        </w:rPr>
        <w:t>Secretaria General</w:t>
      </w:r>
      <w:r w:rsidR="00770E8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dio la bienvenida a los participantes y destacó la importancia de la labor </w:t>
      </w:r>
      <w:r w:rsidR="00270A61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del</w:t>
      </w:r>
      <w:r w:rsidR="00770E8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GECT </w:t>
      </w:r>
      <w:r w:rsidR="00270A61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en apoyo</w:t>
      </w:r>
      <w:r w:rsidR="00770E8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</w:t>
      </w:r>
      <w:r w:rsidR="00270A61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a</w:t>
      </w:r>
      <w:r w:rsidR="00770E8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las Partes </w:t>
      </w:r>
      <w:r w:rsidR="00270A61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para</w:t>
      </w:r>
      <w:r w:rsidR="00770E8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la aplicación de la Convención. Asimismo, hizo énfasis en el papel fundamental</w:t>
      </w:r>
      <w:r w:rsidR="00270A61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de</w:t>
      </w:r>
      <w:r w:rsidR="00770E8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los humedales </w:t>
      </w:r>
      <w:r w:rsidR="00270A61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en</w:t>
      </w:r>
      <w:r w:rsidR="00770E8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la consecución de los objetivos ambientales </w:t>
      </w:r>
      <w:r w:rsidR="005A539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a escala mundial</w:t>
      </w:r>
      <w:r w:rsidR="00770E8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.</w:t>
      </w:r>
    </w:p>
    <w:p w14:paraId="62991163" w14:textId="77777777" w:rsidR="0070683C" w:rsidRPr="009C17C8" w:rsidRDefault="0070683C" w:rsidP="005A5397">
      <w:pPr>
        <w:pStyle w:val="Standard"/>
        <w:widowControl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7ED7A309" w14:textId="3AACC633" w:rsidR="005A5397" w:rsidRDefault="0005192E" w:rsidP="00F55CC1">
      <w:pPr>
        <w:pStyle w:val="Standard"/>
        <w:widowControl/>
        <w:ind w:left="567" w:hanging="567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>3.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5A539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El </w:t>
      </w:r>
      <w:r w:rsidR="005A5397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Presidente del GECT </w:t>
      </w:r>
      <w:r w:rsidR="005A539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resumió los objetivos </w:t>
      </w:r>
      <w:r w:rsidR="005712C9">
        <w:rPr>
          <w:rFonts w:asciiTheme="minorHAnsi" w:hAnsiTheme="minorHAnsi" w:cstheme="minorHAnsi"/>
          <w:noProof/>
          <w:sz w:val="22"/>
          <w:szCs w:val="22"/>
          <w:lang w:val="es-ES"/>
        </w:rPr>
        <w:t>fundamentales</w:t>
      </w:r>
      <w:r w:rsidR="005A539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del GECT para el trienio y presentó una perspectiva general de la 25ª reunión del Grupo (GECT25), celebrada entre el 2 y el 5 de mayo de 2023</w:t>
      </w:r>
      <w:r w:rsidR="005A5397" w:rsidRPr="009C17C8">
        <w:rPr>
          <w:rStyle w:val="FootnoteReference"/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footnoteReference w:id="1"/>
      </w:r>
      <w:r w:rsidR="005A539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. Asimismo, presentó el plan de trabajo del GECT que figura </w:t>
      </w:r>
      <w:r w:rsidR="001966A5">
        <w:rPr>
          <w:rFonts w:asciiTheme="minorHAnsi" w:hAnsiTheme="minorHAnsi" w:cstheme="minorHAnsi"/>
          <w:noProof/>
          <w:sz w:val="22"/>
          <w:szCs w:val="22"/>
          <w:lang w:val="es-ES"/>
        </w:rPr>
        <w:t>en el</w:t>
      </w:r>
      <w:r w:rsidR="005A539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anexo</w:t>
      </w:r>
      <w:r w:rsidR="001966A5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1</w:t>
      </w:r>
      <w:r w:rsidR="005A5397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del documento </w:t>
      </w:r>
      <w:r w:rsidR="005A5397" w:rsidRPr="009C17C8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SC62 Doc.19</w:t>
      </w:r>
      <w:r w:rsidR="005A5397" w:rsidRPr="009C17C8">
        <w:rPr>
          <w:rStyle w:val="FootnoteReference"/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footnoteReference w:id="2"/>
      </w:r>
      <w:r w:rsidR="00166F8F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y </w:t>
      </w:r>
      <w:r w:rsidR="005A539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resume la</w:t>
      </w:r>
      <w:r w:rsidR="005712C9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s</w:t>
      </w:r>
      <w:r w:rsidR="005A539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tareas de </w:t>
      </w:r>
      <w:r w:rsidR="00166F8F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prioridad alta</w:t>
      </w:r>
      <w:r w:rsidR="005A539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y máxima y </w:t>
      </w:r>
      <w:r w:rsidR="005712C9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las previsiones</w:t>
      </w:r>
      <w:r w:rsidR="005A5397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de financiación.</w:t>
      </w:r>
    </w:p>
    <w:p w14:paraId="703DEF2D" w14:textId="1C44985B" w:rsidR="0070683C" w:rsidRPr="009C17C8" w:rsidRDefault="0070683C" w:rsidP="005712C9">
      <w:pPr>
        <w:pStyle w:val="Standard"/>
        <w:widowControl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0E95A2C5" w14:textId="4BB03ED5" w:rsidR="00661813" w:rsidRPr="009C17C8" w:rsidRDefault="00661813" w:rsidP="00F55CC1">
      <w:pPr>
        <w:pStyle w:val="Standard"/>
        <w:widowControl/>
        <w:ind w:left="567" w:hanging="567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>4.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5712C9">
        <w:rPr>
          <w:rFonts w:asciiTheme="minorHAnsi" w:hAnsiTheme="minorHAnsi" w:cstheme="minorHAnsi"/>
          <w:noProof/>
          <w:sz w:val="22"/>
          <w:szCs w:val="22"/>
          <w:lang w:val="es-ES"/>
        </w:rPr>
        <w:t>Hubo intervenciones de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5712C9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Bélgica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</w:t>
      </w:r>
      <w:r w:rsidR="005712C9" w:rsidRPr="005712C9">
        <w:rPr>
          <w:rFonts w:asciiTheme="minorHAnsi" w:hAnsiTheme="minorHAnsi" w:cstheme="minorHAnsi"/>
          <w:noProof/>
          <w:sz w:val="22"/>
          <w:szCs w:val="22"/>
          <w:lang w:val="es-ES"/>
        </w:rPr>
        <w:t>el</w:t>
      </w:r>
      <w:r w:rsidR="005712C9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 </w:t>
      </w:r>
      <w:r w:rsidRPr="009C17C8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Canad</w:t>
      </w:r>
      <w:r w:rsidR="005712C9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á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</w:t>
      </w:r>
      <w:r w:rsidRPr="009C17C8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China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</w:t>
      </w:r>
      <w:r w:rsidRPr="009C17C8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Georgia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, </w:t>
      </w:r>
      <w:r w:rsidRPr="009C17C8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Lib</w:t>
      </w:r>
      <w:r w:rsidR="005712C9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i</w:t>
      </w:r>
      <w:r w:rsidRPr="009C17C8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a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5712C9">
        <w:rPr>
          <w:rFonts w:asciiTheme="minorHAnsi" w:hAnsiTheme="minorHAnsi" w:cstheme="minorHAnsi"/>
          <w:noProof/>
          <w:sz w:val="22"/>
          <w:szCs w:val="22"/>
          <w:lang w:val="es-ES"/>
        </w:rPr>
        <w:t>y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5712C9">
        <w:rPr>
          <w:rFonts w:asciiTheme="minorHAnsi" w:hAnsiTheme="minorHAnsi" w:cstheme="minorHAnsi"/>
          <w:b/>
          <w:noProof/>
          <w:sz w:val="22"/>
          <w:szCs w:val="22"/>
          <w:lang w:val="es-ES"/>
        </w:rPr>
        <w:t>Suecia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>.</w:t>
      </w:r>
    </w:p>
    <w:p w14:paraId="03BB0D2F" w14:textId="060AB76F" w:rsidR="00661813" w:rsidRPr="009C17C8" w:rsidRDefault="00661813" w:rsidP="00F55CC1">
      <w:pPr>
        <w:pStyle w:val="Standard"/>
        <w:widowControl/>
        <w:ind w:left="567" w:hanging="567"/>
        <w:rPr>
          <w:rFonts w:asciiTheme="minorHAnsi" w:hAnsiTheme="minorHAnsi" w:cstheme="minorHAnsi"/>
          <w:noProof/>
          <w:sz w:val="22"/>
          <w:szCs w:val="22"/>
          <w:lang w:val="es-ES"/>
        </w:rPr>
      </w:pPr>
    </w:p>
    <w:p w14:paraId="48BE75CD" w14:textId="1CB89CBB" w:rsidR="005712C9" w:rsidRPr="005712C9" w:rsidRDefault="00661813" w:rsidP="005712C9">
      <w:pPr>
        <w:pStyle w:val="Standard"/>
        <w:widowControl/>
        <w:ind w:left="567" w:hanging="567"/>
        <w:rPr>
          <w:rFonts w:asciiTheme="minorHAnsi" w:hAnsiTheme="minorHAnsi" w:cstheme="minorHAnsi"/>
          <w:noProof/>
          <w:sz w:val="22"/>
          <w:szCs w:val="22"/>
          <w:lang w:val="es-ES"/>
        </w:rPr>
      </w:pP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>5.</w:t>
      </w:r>
      <w:r w:rsidRPr="009C17C8">
        <w:rPr>
          <w:rFonts w:asciiTheme="minorHAnsi" w:hAnsiTheme="minorHAnsi" w:cstheme="minorHAnsi"/>
          <w:noProof/>
          <w:sz w:val="22"/>
          <w:szCs w:val="22"/>
          <w:lang w:val="es-ES"/>
        </w:rPr>
        <w:tab/>
      </w:r>
      <w:r w:rsidR="005712C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En respuesta a los comentarios que formularon los miembros del Comité, el </w:t>
      </w:r>
      <w:r w:rsidR="005712C9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Presidente del GECT</w:t>
      </w:r>
      <w:r w:rsidR="005712C9">
        <w:rPr>
          <w:rFonts w:asciiTheme="minorHAnsi" w:hAnsiTheme="minorHAnsi" w:cstheme="minorHAnsi"/>
          <w:noProof/>
          <w:sz w:val="22"/>
          <w:szCs w:val="22"/>
          <w:lang w:val="es-ES"/>
        </w:rPr>
        <w:t xml:space="preserve"> </w:t>
      </w:r>
      <w:r w:rsidR="00166F8F">
        <w:rPr>
          <w:rFonts w:asciiTheme="minorHAnsi" w:hAnsiTheme="minorHAnsi" w:cstheme="minorHAnsi"/>
          <w:noProof/>
          <w:sz w:val="22"/>
          <w:szCs w:val="22"/>
          <w:lang w:val="es-ES"/>
        </w:rPr>
        <w:t>destacó</w:t>
      </w:r>
      <w:r w:rsidR="005712C9">
        <w:rPr>
          <w:rFonts w:asciiTheme="minorHAnsi" w:hAnsiTheme="minorHAnsi" w:cstheme="minorHAnsi"/>
          <w:noProof/>
          <w:sz w:val="22"/>
          <w:szCs w:val="22"/>
          <w:lang w:val="es-ES"/>
        </w:rPr>
        <w:t>:</w:t>
      </w:r>
    </w:p>
    <w:p w14:paraId="51676E6D" w14:textId="2FC6E64B" w:rsidR="00071D97" w:rsidRPr="009C17C8" w:rsidRDefault="00071D97" w:rsidP="00E65121">
      <w:pPr>
        <w:pStyle w:val="Standard"/>
        <w:widowControl/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</w:pPr>
    </w:p>
    <w:p w14:paraId="69ADE613" w14:textId="17303B6E" w:rsidR="00E65121" w:rsidRDefault="00071D97" w:rsidP="00071D97">
      <w:pPr>
        <w:pStyle w:val="Standard"/>
        <w:widowControl/>
        <w:ind w:left="993" w:hanging="426"/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</w:pPr>
      <w:r w:rsidRPr="009C17C8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i.</w:t>
      </w:r>
      <w:r w:rsidRPr="009C17C8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ab/>
      </w:r>
      <w:r w:rsidR="00E65121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la recomendación de recaudar fondos adicionales para la tarea 5.1 relacionada con la Perspectiva mundial sobre los humedales (GWO) 2025;</w:t>
      </w:r>
    </w:p>
    <w:p w14:paraId="36A04A4D" w14:textId="30243347" w:rsidR="00071D97" w:rsidRPr="009C17C8" w:rsidRDefault="00071D97" w:rsidP="00071D97">
      <w:pPr>
        <w:pStyle w:val="Standard"/>
        <w:widowControl/>
        <w:ind w:left="993" w:hanging="426"/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</w:pPr>
    </w:p>
    <w:p w14:paraId="3C3C7616" w14:textId="48F853D8" w:rsidR="00C03E46" w:rsidRDefault="00071D97" w:rsidP="00E65121">
      <w:pPr>
        <w:pStyle w:val="Standard"/>
        <w:widowControl/>
        <w:ind w:left="993" w:hanging="426"/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</w:pPr>
      <w:r w:rsidRPr="009C17C8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ii.</w:t>
      </w:r>
      <w:r w:rsidRPr="009C17C8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ab/>
      </w:r>
      <w:r w:rsidR="00E65121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la importancia de incluir los conocimientos indígenas y tradicionales en los resultados </w:t>
      </w:r>
      <w:r w:rsidR="00166F8F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>de</w:t>
      </w:r>
      <w:r w:rsidR="00E65121"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  <w:t xml:space="preserve"> las tareas, lo que se había previsto para la tarea 2.2 sobre pequeños humedales y se incorporaría en la tarea 5.1;</w:t>
      </w:r>
    </w:p>
    <w:p w14:paraId="3940EC9B" w14:textId="77777777" w:rsidR="005420CC" w:rsidRPr="009C17C8" w:rsidRDefault="005420CC" w:rsidP="00E65121">
      <w:pPr>
        <w:pStyle w:val="Standard"/>
        <w:widowControl/>
        <w:ind w:left="993" w:hanging="426"/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</w:pPr>
    </w:p>
    <w:p w14:paraId="3BD1D54C" w14:textId="13F56457" w:rsidR="00E65121" w:rsidRDefault="00C03E46" w:rsidP="00071D97">
      <w:pPr>
        <w:pStyle w:val="Standard"/>
        <w:widowControl/>
        <w:ind w:left="993" w:hanging="426"/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</w:pPr>
      <w:r w:rsidRPr="009C17C8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>iii.</w:t>
      </w:r>
      <w:r w:rsidRPr="009C17C8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ab/>
      </w:r>
      <w:r w:rsidR="001966A5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 xml:space="preserve">que </w:t>
      </w:r>
      <w:r w:rsidR="00E65121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 xml:space="preserve">otros asuntos </w:t>
      </w:r>
      <w:r w:rsidR="00B5363B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>que se mencionan</w:t>
      </w:r>
      <w:r w:rsidR="00E65121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 xml:space="preserve"> en el informe del GECT de la reunión SC62</w:t>
      </w:r>
      <w:r w:rsidR="00B5363B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 xml:space="preserve"> se pueden analizar en el marco del punto 19 del orden del día de la reunión SC62, entre ellos el inventario y la clasificación de los humedales</w:t>
      </w:r>
      <w:r w:rsidR="00757D34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>; y</w:t>
      </w:r>
      <w:r w:rsidR="00B5363B"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 xml:space="preserve"> </w:t>
      </w:r>
    </w:p>
    <w:p w14:paraId="48170CD0" w14:textId="77777777" w:rsidR="006A0C79" w:rsidRDefault="006A0C79" w:rsidP="00071D97">
      <w:pPr>
        <w:pStyle w:val="Standard"/>
        <w:widowControl/>
        <w:ind w:left="993" w:hanging="426"/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</w:pPr>
      <w:bookmarkStart w:id="0" w:name="_GoBack"/>
      <w:bookmarkEnd w:id="0"/>
    </w:p>
    <w:p w14:paraId="3DAEB007" w14:textId="68B2F274" w:rsidR="00757D34" w:rsidRDefault="00757D34" w:rsidP="00071D97">
      <w:pPr>
        <w:pStyle w:val="Standard"/>
        <w:widowControl/>
        <w:ind w:left="993" w:hanging="426"/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</w:pPr>
      <w:r>
        <w:rPr>
          <w:rFonts w:asciiTheme="minorHAnsi" w:eastAsia="Calibri" w:hAnsiTheme="minorHAnsi" w:cstheme="minorHAnsi"/>
          <w:bCs/>
          <w:noProof/>
          <w:kern w:val="0"/>
          <w:sz w:val="22"/>
          <w:szCs w:val="22"/>
          <w:lang w:val="es-ES" w:eastAsia="en-US" w:bidi="ar-SA"/>
        </w:rPr>
        <w:t>iv.    que las referencias al Marco mundial Kunming-Montreal de la diversidad biológica sean actualizadas en el plan de trabajo para reflejar su titulo completo.</w:t>
      </w:r>
    </w:p>
    <w:p w14:paraId="30BF28A3" w14:textId="77777777" w:rsidR="0015198D" w:rsidRPr="009C17C8" w:rsidRDefault="0015198D" w:rsidP="00B5363B">
      <w:pPr>
        <w:pStyle w:val="Standard"/>
        <w:widowControl/>
        <w:rPr>
          <w:rFonts w:asciiTheme="minorHAnsi" w:eastAsia="Calibri" w:hAnsiTheme="minorHAnsi" w:cs="Calibri"/>
          <w:bCs/>
          <w:noProof/>
          <w:kern w:val="0"/>
          <w:sz w:val="22"/>
          <w:szCs w:val="22"/>
          <w:lang w:val="es-ES" w:eastAsia="en-US" w:bidi="ar-SA"/>
        </w:rPr>
      </w:pPr>
    </w:p>
    <w:p w14:paraId="4775151D" w14:textId="76135D80" w:rsidR="00E65121" w:rsidRPr="00B5363B" w:rsidRDefault="00B5363B">
      <w:pPr>
        <w:pStyle w:val="Standard"/>
        <w:widowControl/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</w:pPr>
      <w:r w:rsidRPr="00B5363B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Decisión</w:t>
      </w:r>
      <w:r w:rsidR="00166F8F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04</w:t>
      </w:r>
      <w:r w:rsidR="00166F8F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 </w:t>
      </w:r>
      <w:r w:rsidR="00F82237" w:rsidRPr="00F82237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entre períodos de sesiones antes de</w:t>
      </w:r>
      <w:r w:rsidR="00166F8F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 la reunión SC62</w:t>
      </w:r>
      <w:r w:rsidRPr="00B5363B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: El Comité Permanente aprobó el plan de trabajo del Grupo de Examen Científico y Técnico para </w:t>
      </w:r>
      <w:r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el trienio </w:t>
      </w:r>
      <w:r w:rsidRPr="00B5363B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 xml:space="preserve">2023-2025 que figura en el </w:t>
      </w:r>
      <w:r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a</w:t>
      </w:r>
      <w:r w:rsidRPr="00B5363B">
        <w:rPr>
          <w:rFonts w:asciiTheme="minorHAnsi" w:hAnsiTheme="minorHAnsi" w:cstheme="minorHAnsi"/>
          <w:b/>
          <w:bCs/>
          <w:noProof/>
          <w:sz w:val="22"/>
          <w:szCs w:val="22"/>
          <w:lang w:val="es-ES"/>
        </w:rPr>
        <w:t>nexo 1 del documento SC62 Doc.19.</w:t>
      </w:r>
    </w:p>
    <w:sectPr w:rsidR="00E65121" w:rsidRPr="00B5363B" w:rsidSect="007E36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74087" w14:textId="77777777" w:rsidR="003055A4" w:rsidRDefault="003055A4">
      <w:r>
        <w:separator/>
      </w:r>
    </w:p>
  </w:endnote>
  <w:endnote w:type="continuationSeparator" w:id="0">
    <w:p w14:paraId="0E3F4FB6" w14:textId="77777777" w:rsidR="003055A4" w:rsidRDefault="0030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75395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5BB6C6" w14:textId="1F620784" w:rsidR="00A85369" w:rsidRDefault="00A85369" w:rsidP="00C65B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D1EC1C" w14:textId="77777777" w:rsidR="00A85369" w:rsidRDefault="00A85369" w:rsidP="00A853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Theme="minorHAnsi" w:hAnsiTheme="minorHAnsi" w:cstheme="minorHAnsi"/>
        <w:sz w:val="22"/>
        <w:szCs w:val="22"/>
      </w:rPr>
      <w:id w:val="-13588855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6A132" w14:textId="5FBE0BE1" w:rsidR="00A85369" w:rsidRPr="00757D34" w:rsidRDefault="00A85369" w:rsidP="00C65BD2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2"/>
            <w:szCs w:val="22"/>
            <w:lang w:val="es-CO"/>
          </w:rPr>
        </w:pPr>
        <w:r w:rsidRPr="00A85369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begin"/>
        </w:r>
        <w:r w:rsidRPr="00757D34">
          <w:rPr>
            <w:rStyle w:val="PageNumber"/>
            <w:rFonts w:asciiTheme="minorHAnsi" w:hAnsiTheme="minorHAnsi" w:cstheme="minorHAnsi"/>
            <w:sz w:val="22"/>
            <w:szCs w:val="22"/>
            <w:lang w:val="es-CO"/>
          </w:rPr>
          <w:instrText xml:space="preserve"> PAGE </w:instrText>
        </w:r>
        <w:r w:rsidRPr="00A85369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separate"/>
        </w:r>
        <w:r w:rsidR="006A0C79">
          <w:rPr>
            <w:rStyle w:val="PageNumber"/>
            <w:rFonts w:asciiTheme="minorHAnsi" w:hAnsiTheme="minorHAnsi" w:cstheme="minorHAnsi"/>
            <w:noProof/>
            <w:sz w:val="22"/>
            <w:szCs w:val="22"/>
            <w:lang w:val="es-CO"/>
          </w:rPr>
          <w:t>2</w:t>
        </w:r>
        <w:r w:rsidRPr="00A85369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DB181DE" w14:textId="5D17124F" w:rsidR="007E36F5" w:rsidRPr="00AC45DC" w:rsidRDefault="006A0C79" w:rsidP="00A85369">
    <w:pPr>
      <w:pStyle w:val="Header"/>
      <w:ind w:right="360"/>
      <w:rPr>
        <w:rFonts w:asciiTheme="minorHAnsi" w:hAnsiTheme="minorHAnsi" w:cstheme="minorHAnsi"/>
        <w:noProof/>
        <w:sz w:val="20"/>
        <w:szCs w:val="20"/>
        <w:lang w:val="es-ES"/>
      </w:rPr>
    </w:pPr>
    <w:sdt>
      <w:sdtPr>
        <w:rPr>
          <w:rFonts w:asciiTheme="minorHAnsi" w:hAnsiTheme="minorHAnsi" w:cstheme="minorHAnsi"/>
          <w:noProof/>
          <w:sz w:val="20"/>
          <w:szCs w:val="20"/>
          <w:lang w:val="es-ES"/>
        </w:rPr>
        <w:id w:val="-1790969534"/>
        <w:docPartObj>
          <w:docPartGallery w:val="Page Numbers (Top of Page)"/>
          <w:docPartUnique/>
        </w:docPartObj>
      </w:sdtPr>
      <w:sdtEndPr/>
      <w:sdtContent>
        <w:r w:rsidR="00AC45DC" w:rsidRPr="00AC45DC">
          <w:rPr>
            <w:rFonts w:asciiTheme="minorHAnsi" w:hAnsiTheme="minorHAnsi" w:cstheme="minorHAnsi"/>
            <w:noProof/>
            <w:sz w:val="20"/>
            <w:szCs w:val="20"/>
            <w:lang w:val="es-ES"/>
          </w:rPr>
          <w:t xml:space="preserve">Reunión virtual entre sesiones, </w:t>
        </w:r>
        <w:r w:rsidR="00AC45DC">
          <w:rPr>
            <w:rFonts w:asciiTheme="minorHAnsi" w:hAnsiTheme="minorHAnsi" w:cstheme="minorHAnsi"/>
            <w:noProof/>
            <w:sz w:val="20"/>
            <w:szCs w:val="20"/>
            <w:lang w:val="es-ES"/>
          </w:rPr>
          <w:t>antes de</w:t>
        </w:r>
        <w:r w:rsidR="00AC45DC" w:rsidRPr="00AC45DC">
          <w:rPr>
            <w:rFonts w:asciiTheme="minorHAnsi" w:hAnsiTheme="minorHAnsi" w:cstheme="minorHAnsi"/>
            <w:noProof/>
            <w:sz w:val="20"/>
            <w:szCs w:val="20"/>
            <w:lang w:val="es-ES"/>
          </w:rPr>
          <w:t xml:space="preserve"> la reunión SC62</w:t>
        </w:r>
      </w:sdtContent>
    </w:sdt>
    <w:r w:rsidR="00AC45DC" w:rsidRPr="00AC45DC">
      <w:rPr>
        <w:rFonts w:asciiTheme="minorHAnsi" w:hAnsiTheme="minorHAnsi" w:cstheme="minorHAnsi"/>
        <w:noProof/>
        <w:sz w:val="20"/>
        <w:szCs w:val="20"/>
        <w:lang w:val="es-ES"/>
      </w:rPr>
      <w:t>, 29 de junio de 2023</w:t>
    </w:r>
    <w:r w:rsidR="008E4ECA">
      <w:rPr>
        <w:rFonts w:asciiTheme="minorHAnsi" w:hAnsiTheme="minorHAnsi" w:cstheme="minorHAnsi"/>
        <w:noProof/>
        <w:sz w:val="20"/>
        <w:szCs w:val="20"/>
        <w:lang w:val="es-ES"/>
      </w:rPr>
      <w:t>: informe y decisió</w:t>
    </w:r>
    <w:r w:rsidR="00AC45DC">
      <w:rPr>
        <w:rFonts w:asciiTheme="minorHAnsi" w:hAnsiTheme="minorHAnsi" w:cstheme="minorHAnsi"/>
        <w:noProof/>
        <w:sz w:val="20"/>
        <w:szCs w:val="20"/>
        <w:lang w:val="es-ES"/>
      </w:rPr>
      <w:t>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1FE6" w14:textId="77777777" w:rsidR="008E4ECA" w:rsidRDefault="008E4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A6D9" w14:textId="77777777" w:rsidR="003055A4" w:rsidRDefault="003055A4">
      <w:r>
        <w:rPr>
          <w:color w:val="000000"/>
        </w:rPr>
        <w:separator/>
      </w:r>
    </w:p>
  </w:footnote>
  <w:footnote w:type="continuationSeparator" w:id="0">
    <w:p w14:paraId="2B9B0DD6" w14:textId="77777777" w:rsidR="003055A4" w:rsidRDefault="003055A4">
      <w:r>
        <w:continuationSeparator/>
      </w:r>
    </w:p>
  </w:footnote>
  <w:footnote w:id="1">
    <w:p w14:paraId="3AFF6736" w14:textId="2B23667A" w:rsidR="005A5397" w:rsidRPr="00757D34" w:rsidRDefault="005A5397" w:rsidP="005A5397">
      <w:pPr>
        <w:pStyle w:val="FootnoteText"/>
        <w:rPr>
          <w:rFonts w:asciiTheme="minorHAnsi" w:hAnsiTheme="minorHAnsi" w:cstheme="minorHAnsi"/>
          <w:noProof/>
          <w:lang w:val="fr-FR"/>
        </w:rPr>
      </w:pPr>
      <w:r w:rsidRPr="00661813">
        <w:rPr>
          <w:rStyle w:val="FootnoteReference"/>
          <w:rFonts w:asciiTheme="minorHAnsi" w:hAnsiTheme="minorHAnsi" w:cstheme="minorHAnsi"/>
        </w:rPr>
        <w:footnoteRef/>
      </w:r>
      <w:r w:rsidRPr="00757D34">
        <w:rPr>
          <w:rFonts w:asciiTheme="minorHAnsi" w:hAnsiTheme="minorHAnsi" w:cstheme="minorHAnsi"/>
          <w:lang w:val="fr-FR"/>
        </w:rPr>
        <w:t xml:space="preserve"> </w:t>
      </w:r>
      <w:r w:rsidRPr="00757D34">
        <w:rPr>
          <w:rFonts w:asciiTheme="minorHAnsi" w:hAnsiTheme="minorHAnsi" w:cstheme="minorHAnsi"/>
          <w:noProof/>
          <w:lang w:val="fr-FR"/>
        </w:rPr>
        <w:t xml:space="preserve">Véase </w:t>
      </w:r>
      <w:hyperlink r:id="rId1" w:history="1">
        <w:r w:rsidRPr="00757D34">
          <w:rPr>
            <w:rStyle w:val="Hyperlink"/>
            <w:rFonts w:asciiTheme="minorHAnsi" w:hAnsiTheme="minorHAnsi" w:cstheme="minorHAnsi"/>
            <w:noProof/>
            <w:lang w:val="fr-FR"/>
          </w:rPr>
          <w:t>https://www.ramsar.org/document/25th-meeting-of-the-scientific-and-technical-review-panel-strp25-report-and-decisions</w:t>
        </w:r>
      </w:hyperlink>
      <w:r w:rsidRPr="00757D34">
        <w:rPr>
          <w:rFonts w:asciiTheme="minorHAnsi" w:hAnsiTheme="minorHAnsi" w:cstheme="minorHAnsi"/>
          <w:noProof/>
          <w:lang w:val="fr-FR"/>
        </w:rPr>
        <w:t>.</w:t>
      </w:r>
    </w:p>
  </w:footnote>
  <w:footnote w:id="2">
    <w:p w14:paraId="40E91788" w14:textId="2F213702" w:rsidR="005A5397" w:rsidRPr="00757D34" w:rsidRDefault="005A5397" w:rsidP="005A5397">
      <w:pPr>
        <w:pStyle w:val="FootnoteText"/>
        <w:rPr>
          <w:rFonts w:asciiTheme="minorHAnsi" w:hAnsiTheme="minorHAnsi" w:cstheme="minorHAnsi"/>
          <w:lang w:val="fr-FR"/>
        </w:rPr>
      </w:pPr>
      <w:r w:rsidRPr="00F82237">
        <w:rPr>
          <w:rStyle w:val="FootnoteReference"/>
          <w:rFonts w:asciiTheme="minorHAnsi" w:hAnsiTheme="minorHAnsi" w:cstheme="minorHAnsi"/>
          <w:noProof/>
          <w:lang w:val="es-ES"/>
        </w:rPr>
        <w:footnoteRef/>
      </w:r>
      <w:r w:rsidRPr="00757D34">
        <w:rPr>
          <w:rFonts w:asciiTheme="minorHAnsi" w:hAnsiTheme="minorHAnsi" w:cstheme="minorHAnsi"/>
          <w:noProof/>
          <w:lang w:val="fr-FR"/>
        </w:rPr>
        <w:t xml:space="preserve"> Véase </w:t>
      </w:r>
      <w:hyperlink r:id="rId2" w:history="1">
        <w:r w:rsidR="00F82237" w:rsidRPr="00757D34">
          <w:rPr>
            <w:rStyle w:val="Hyperlink"/>
            <w:rFonts w:asciiTheme="minorHAnsi" w:hAnsiTheme="minorHAnsi" w:cstheme="minorHAnsi"/>
            <w:lang w:val="fr-FR"/>
          </w:rPr>
          <w:t>https://www.ramsar.org/es/documento/sc62-doc19-informe-de-la-presidencia-del-grupo-de-examen-cientifico-y-tecnico-incluido-el</w:t>
        </w:r>
      </w:hyperlink>
      <w:r w:rsidRPr="00757D34">
        <w:rPr>
          <w:rFonts w:asciiTheme="minorHAnsi" w:hAnsiTheme="minorHAnsi" w:cstheme="minorHAnsi"/>
          <w:noProof/>
          <w:lang w:val="fr-FR"/>
        </w:rPr>
        <w:t>.</w:t>
      </w:r>
      <w:r w:rsidRPr="00757D34">
        <w:rPr>
          <w:rFonts w:asciiTheme="minorHAnsi" w:hAnsiTheme="minorHAnsi" w:cstheme="minorHAnsi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08D91" w14:textId="77777777" w:rsidR="008E4ECA" w:rsidRDefault="008E4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CC6EE" w14:textId="77777777" w:rsidR="008E4ECA" w:rsidRDefault="008E4E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2F58" w14:textId="77777777" w:rsidR="008E4ECA" w:rsidRDefault="008E4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A25"/>
    <w:multiLevelType w:val="hybridMultilevel"/>
    <w:tmpl w:val="3D007BA4"/>
    <w:lvl w:ilvl="0" w:tplc="91C264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6C6A"/>
    <w:multiLevelType w:val="hybridMultilevel"/>
    <w:tmpl w:val="F238D0D4"/>
    <w:lvl w:ilvl="0" w:tplc="D23AB4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4C8F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4CA6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826E0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696F3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DF03B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66C5B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A721B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54AFA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FE06088"/>
    <w:multiLevelType w:val="hybridMultilevel"/>
    <w:tmpl w:val="FA44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67631"/>
    <w:multiLevelType w:val="hybridMultilevel"/>
    <w:tmpl w:val="283C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35"/>
    <w:rsid w:val="00013A78"/>
    <w:rsid w:val="00040330"/>
    <w:rsid w:val="0005192E"/>
    <w:rsid w:val="00052918"/>
    <w:rsid w:val="0005335D"/>
    <w:rsid w:val="00056B39"/>
    <w:rsid w:val="0006158E"/>
    <w:rsid w:val="00064C72"/>
    <w:rsid w:val="000660EA"/>
    <w:rsid w:val="000663F7"/>
    <w:rsid w:val="00070614"/>
    <w:rsid w:val="00071D97"/>
    <w:rsid w:val="000A5491"/>
    <w:rsid w:val="000C0B73"/>
    <w:rsid w:val="000D0183"/>
    <w:rsid w:val="000D0B37"/>
    <w:rsid w:val="000F709A"/>
    <w:rsid w:val="00125422"/>
    <w:rsid w:val="0013624A"/>
    <w:rsid w:val="001405F3"/>
    <w:rsid w:val="00146A95"/>
    <w:rsid w:val="0015198D"/>
    <w:rsid w:val="00166F8F"/>
    <w:rsid w:val="00193B84"/>
    <w:rsid w:val="00194D9C"/>
    <w:rsid w:val="00196010"/>
    <w:rsid w:val="001966A5"/>
    <w:rsid w:val="001D6CBD"/>
    <w:rsid w:val="001E1E84"/>
    <w:rsid w:val="001E2D15"/>
    <w:rsid w:val="001F0DC5"/>
    <w:rsid w:val="001F4272"/>
    <w:rsid w:val="00215DFF"/>
    <w:rsid w:val="0024038D"/>
    <w:rsid w:val="00242720"/>
    <w:rsid w:val="00252E2A"/>
    <w:rsid w:val="00270A61"/>
    <w:rsid w:val="00270D34"/>
    <w:rsid w:val="00297F25"/>
    <w:rsid w:val="002A01A8"/>
    <w:rsid w:val="002C2F3C"/>
    <w:rsid w:val="002D3B8C"/>
    <w:rsid w:val="003055A4"/>
    <w:rsid w:val="00307435"/>
    <w:rsid w:val="003460EB"/>
    <w:rsid w:val="00355C9A"/>
    <w:rsid w:val="003645E9"/>
    <w:rsid w:val="0037755A"/>
    <w:rsid w:val="00383FB0"/>
    <w:rsid w:val="00393BF4"/>
    <w:rsid w:val="0039485C"/>
    <w:rsid w:val="003A7B7D"/>
    <w:rsid w:val="003C3606"/>
    <w:rsid w:val="003D2F70"/>
    <w:rsid w:val="003E287A"/>
    <w:rsid w:val="003E3C2A"/>
    <w:rsid w:val="00412EA6"/>
    <w:rsid w:val="004203FB"/>
    <w:rsid w:val="00442C45"/>
    <w:rsid w:val="00445BC0"/>
    <w:rsid w:val="00462F30"/>
    <w:rsid w:val="00484BD6"/>
    <w:rsid w:val="00492172"/>
    <w:rsid w:val="00493AE9"/>
    <w:rsid w:val="004A1FEE"/>
    <w:rsid w:val="004A4364"/>
    <w:rsid w:val="004B2601"/>
    <w:rsid w:val="004B4831"/>
    <w:rsid w:val="004D2DF6"/>
    <w:rsid w:val="004E694E"/>
    <w:rsid w:val="004F6256"/>
    <w:rsid w:val="00506CE8"/>
    <w:rsid w:val="005123A6"/>
    <w:rsid w:val="005247A8"/>
    <w:rsid w:val="0053004C"/>
    <w:rsid w:val="0053220E"/>
    <w:rsid w:val="005420CC"/>
    <w:rsid w:val="0054685A"/>
    <w:rsid w:val="0055714A"/>
    <w:rsid w:val="005712C9"/>
    <w:rsid w:val="005977BC"/>
    <w:rsid w:val="005A5397"/>
    <w:rsid w:val="005B2179"/>
    <w:rsid w:val="005B3373"/>
    <w:rsid w:val="005D67C8"/>
    <w:rsid w:val="005E7AC0"/>
    <w:rsid w:val="005F2F8E"/>
    <w:rsid w:val="00606531"/>
    <w:rsid w:val="0061018C"/>
    <w:rsid w:val="006128AF"/>
    <w:rsid w:val="0062304B"/>
    <w:rsid w:val="00631A45"/>
    <w:rsid w:val="00631E33"/>
    <w:rsid w:val="0064120B"/>
    <w:rsid w:val="0065791A"/>
    <w:rsid w:val="00661813"/>
    <w:rsid w:val="006916E0"/>
    <w:rsid w:val="006A0C79"/>
    <w:rsid w:val="006A11CF"/>
    <w:rsid w:val="006A309A"/>
    <w:rsid w:val="006A314D"/>
    <w:rsid w:val="006D0B8C"/>
    <w:rsid w:val="0070683C"/>
    <w:rsid w:val="00717E19"/>
    <w:rsid w:val="00735CD5"/>
    <w:rsid w:val="00753BF5"/>
    <w:rsid w:val="00757D34"/>
    <w:rsid w:val="00761856"/>
    <w:rsid w:val="00761A57"/>
    <w:rsid w:val="00762232"/>
    <w:rsid w:val="007652DF"/>
    <w:rsid w:val="00765971"/>
    <w:rsid w:val="00765B6C"/>
    <w:rsid w:val="00770E87"/>
    <w:rsid w:val="00775FDA"/>
    <w:rsid w:val="007A243D"/>
    <w:rsid w:val="007A463F"/>
    <w:rsid w:val="007B3398"/>
    <w:rsid w:val="007E0393"/>
    <w:rsid w:val="007E36F5"/>
    <w:rsid w:val="007F22A9"/>
    <w:rsid w:val="008128BB"/>
    <w:rsid w:val="0082086C"/>
    <w:rsid w:val="00820904"/>
    <w:rsid w:val="00825B23"/>
    <w:rsid w:val="00844647"/>
    <w:rsid w:val="00845816"/>
    <w:rsid w:val="00847CE7"/>
    <w:rsid w:val="00864D6C"/>
    <w:rsid w:val="00866FE4"/>
    <w:rsid w:val="00891AE0"/>
    <w:rsid w:val="008A3516"/>
    <w:rsid w:val="008C3090"/>
    <w:rsid w:val="008C716A"/>
    <w:rsid w:val="008E4ECA"/>
    <w:rsid w:val="00912491"/>
    <w:rsid w:val="00930D44"/>
    <w:rsid w:val="009442BE"/>
    <w:rsid w:val="0095767A"/>
    <w:rsid w:val="00961FC1"/>
    <w:rsid w:val="00970A33"/>
    <w:rsid w:val="00996FD9"/>
    <w:rsid w:val="009B3B8D"/>
    <w:rsid w:val="009C17C8"/>
    <w:rsid w:val="009C3AEC"/>
    <w:rsid w:val="009C4CCB"/>
    <w:rsid w:val="009E6588"/>
    <w:rsid w:val="009F699F"/>
    <w:rsid w:val="00A1291E"/>
    <w:rsid w:val="00A1572E"/>
    <w:rsid w:val="00A24317"/>
    <w:rsid w:val="00A30E81"/>
    <w:rsid w:val="00A3209A"/>
    <w:rsid w:val="00A40DBC"/>
    <w:rsid w:val="00A525BA"/>
    <w:rsid w:val="00A56F62"/>
    <w:rsid w:val="00A73A14"/>
    <w:rsid w:val="00A85369"/>
    <w:rsid w:val="00A9250B"/>
    <w:rsid w:val="00AA14C7"/>
    <w:rsid w:val="00AB0F84"/>
    <w:rsid w:val="00AC45DC"/>
    <w:rsid w:val="00AD40BB"/>
    <w:rsid w:val="00AF0560"/>
    <w:rsid w:val="00B01386"/>
    <w:rsid w:val="00B01E67"/>
    <w:rsid w:val="00B30187"/>
    <w:rsid w:val="00B378CB"/>
    <w:rsid w:val="00B5363B"/>
    <w:rsid w:val="00B67D1B"/>
    <w:rsid w:val="00BA2963"/>
    <w:rsid w:val="00BB523B"/>
    <w:rsid w:val="00C033A5"/>
    <w:rsid w:val="00C03E46"/>
    <w:rsid w:val="00C24175"/>
    <w:rsid w:val="00C331C9"/>
    <w:rsid w:val="00C504DC"/>
    <w:rsid w:val="00C53F57"/>
    <w:rsid w:val="00C5504E"/>
    <w:rsid w:val="00C56C58"/>
    <w:rsid w:val="00C83E8F"/>
    <w:rsid w:val="00CE1FA3"/>
    <w:rsid w:val="00CF7BD0"/>
    <w:rsid w:val="00D63176"/>
    <w:rsid w:val="00D7061D"/>
    <w:rsid w:val="00D97B33"/>
    <w:rsid w:val="00DA3BEC"/>
    <w:rsid w:val="00DC40AA"/>
    <w:rsid w:val="00DD678C"/>
    <w:rsid w:val="00DE3728"/>
    <w:rsid w:val="00DF1C0E"/>
    <w:rsid w:val="00DF51C0"/>
    <w:rsid w:val="00DF64F7"/>
    <w:rsid w:val="00DF773A"/>
    <w:rsid w:val="00E12849"/>
    <w:rsid w:val="00E3015B"/>
    <w:rsid w:val="00E574AA"/>
    <w:rsid w:val="00E65121"/>
    <w:rsid w:val="00E6581A"/>
    <w:rsid w:val="00E703EF"/>
    <w:rsid w:val="00E82399"/>
    <w:rsid w:val="00E87CB8"/>
    <w:rsid w:val="00E92959"/>
    <w:rsid w:val="00E9564B"/>
    <w:rsid w:val="00EC4C61"/>
    <w:rsid w:val="00F00DC3"/>
    <w:rsid w:val="00F376EE"/>
    <w:rsid w:val="00F46693"/>
    <w:rsid w:val="00F55BBA"/>
    <w:rsid w:val="00F55CC1"/>
    <w:rsid w:val="00F82237"/>
    <w:rsid w:val="00F867FB"/>
    <w:rsid w:val="00FA5C01"/>
    <w:rsid w:val="00FC7E3A"/>
    <w:rsid w:val="00FD5E4C"/>
    <w:rsid w:val="00FE2BFC"/>
    <w:rsid w:val="00FE7C4F"/>
    <w:rsid w:val="00FF03A0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8A4CD"/>
  <w15:docId w15:val="{8A47E232-EFF1-4DE0-85E8-6B8EA7C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link w:val="HeaderChar"/>
    <w:uiPriority w:val="99"/>
    <w:unhideWhenUsed/>
    <w:rsid w:val="007E36F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E36F5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E36F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E36F5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63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176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176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176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7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76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FF08ED"/>
    <w:pPr>
      <w:ind w:left="720"/>
      <w:contextualSpacing/>
    </w:pPr>
    <w:rPr>
      <w:rFonts w:cs="Mangal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92E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92E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519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192E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8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msar.org/es/documento/sc62-doc19-informe-de-la-presidencia-del-grupo-de-examen-cientifico-y-tecnico-incluido-el" TargetMode="External"/><Relationship Id="rId1" Type="http://schemas.openxmlformats.org/officeDocument/2006/relationships/hyperlink" Target="https://www.ramsar.org/document/25th-meeting-of-the-scientific-and-technical-review-panel-strp25-report-and-deci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4" ma:contentTypeDescription="Create a new document." ma:contentTypeScope="" ma:versionID="2055849121a78828b203c376bcc09796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ac13e0d67ac5406e1a12fcdbd3791b9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B3F3-3DFC-438C-A198-4ECF7A980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C6B5C-BE47-4B10-B369-DB246A0B873E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aedd258d-19a7-41ba-8260-b0918f25313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c0b6b05-eb82-4bda-97e8-cd82d0d6b453"/>
  </ds:schemaRefs>
</ds:datastoreItem>
</file>

<file path=customXml/itemProps3.xml><?xml version="1.0" encoding="utf-8"?>
<ds:datastoreItem xmlns:ds="http://schemas.openxmlformats.org/officeDocument/2006/customXml" ds:itemID="{549BA7A5-D7A4-487A-8234-E2CC1D66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8FF9B-3912-4BDA-A8E9-4D6DF772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4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IUCN</Company>
  <LinksUpToDate>false</LinksUpToDate>
  <CharactersWithSpaces>2828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Ed Jennings</cp:lastModifiedBy>
  <cp:revision>2</cp:revision>
  <cp:lastPrinted>2018-11-07T13:50:00Z</cp:lastPrinted>
  <dcterms:created xsi:type="dcterms:W3CDTF">2023-06-30T12:49:00Z</dcterms:created>
  <dcterms:modified xsi:type="dcterms:W3CDTF">2023-06-30T12:49:00Z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