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C478" w14:textId="3AF79E35" w:rsidR="00E703EF" w:rsidRPr="00AD0A81" w:rsidRDefault="00AD0A81" w:rsidP="00A525BA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44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</w:pPr>
      <w:r w:rsidRPr="00AD0A81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CONVENTION SUR LES ZONES HUMIDES</w:t>
      </w:r>
    </w:p>
    <w:p w14:paraId="5E87B23C" w14:textId="7E939CDA" w:rsidR="00AD0A81" w:rsidRPr="00AD0A81" w:rsidRDefault="00AD0A81" w:rsidP="00A525BA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44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</w:pPr>
      <w:r w:rsidRPr="00AD0A81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62</w:t>
      </w:r>
      <w:r w:rsidRPr="00AD0A81">
        <w:rPr>
          <w:rFonts w:asciiTheme="minorHAnsi" w:eastAsia="Calibri" w:hAnsiTheme="minorHAnsi" w:cstheme="minorHAnsi"/>
          <w:bCs/>
          <w:kern w:val="0"/>
          <w:sz w:val="22"/>
          <w:szCs w:val="22"/>
          <w:vertAlign w:val="superscript"/>
          <w:lang w:val="fr-FR" w:eastAsia="en-US" w:bidi="ar-SA"/>
        </w:rPr>
        <w:t>e</w:t>
      </w:r>
      <w:r w:rsidR="00C4238E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 xml:space="preserve"> r</w:t>
      </w:r>
      <w:r w:rsidRPr="00AD0A81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 xml:space="preserve">éunion du Comité permanent </w:t>
      </w:r>
    </w:p>
    <w:p w14:paraId="05B45345" w14:textId="006CB61C" w:rsidR="00E703EF" w:rsidRPr="00BC3F0F" w:rsidRDefault="00AD0A81" w:rsidP="00A525BA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44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</w:pPr>
      <w:bookmarkStart w:id="0" w:name="_Hlk138929564"/>
      <w:r w:rsidRPr="00BC3F0F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 xml:space="preserve">Séance </w:t>
      </w:r>
      <w:bookmarkEnd w:id="0"/>
      <w:r w:rsidRPr="00BC3F0F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virtuelle</w:t>
      </w:r>
      <w:r w:rsidR="00E703EF" w:rsidRPr="00BC3F0F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 xml:space="preserve">, </w:t>
      </w:r>
      <w:r w:rsidR="0070683C" w:rsidRPr="00BC3F0F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 xml:space="preserve">29 </w:t>
      </w:r>
      <w:r w:rsidRPr="00BC3F0F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juin</w:t>
      </w:r>
      <w:r w:rsidR="0070683C" w:rsidRPr="00BC3F0F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 xml:space="preserve"> 2023</w:t>
      </w:r>
    </w:p>
    <w:p w14:paraId="71EB3057" w14:textId="77777777" w:rsidR="00E703EF" w:rsidRPr="00BC3F0F" w:rsidRDefault="00E703EF" w:rsidP="00B01E67">
      <w:pPr>
        <w:pStyle w:val="Standard"/>
        <w:widowControl/>
        <w:jc w:val="center"/>
        <w:rPr>
          <w:rFonts w:asciiTheme="minorHAnsi" w:hAnsiTheme="minorHAnsi" w:cstheme="minorHAnsi"/>
          <w:b/>
          <w:bCs/>
          <w:lang w:val="fr-FR"/>
        </w:rPr>
      </w:pPr>
    </w:p>
    <w:p w14:paraId="66AA753C" w14:textId="77777777" w:rsidR="00E703EF" w:rsidRPr="00BC3F0F" w:rsidRDefault="00E703EF" w:rsidP="00B01E67">
      <w:pPr>
        <w:pStyle w:val="Standard"/>
        <w:widowControl/>
        <w:jc w:val="center"/>
        <w:rPr>
          <w:rFonts w:asciiTheme="minorHAnsi" w:hAnsiTheme="minorHAnsi" w:cstheme="minorHAnsi"/>
          <w:b/>
          <w:bCs/>
          <w:lang w:val="fr-FR"/>
        </w:rPr>
      </w:pPr>
    </w:p>
    <w:p w14:paraId="0905090F" w14:textId="1E40F96C" w:rsidR="000D0183" w:rsidRPr="00AD0A81" w:rsidRDefault="005F2F8E" w:rsidP="00B01E67">
      <w:pPr>
        <w:jc w:val="center"/>
        <w:rPr>
          <w:lang w:val="fr-FR"/>
        </w:rPr>
      </w:pPr>
      <w:r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>R</w:t>
      </w:r>
      <w:r w:rsidR="00AD0A81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>ap</w:t>
      </w:r>
      <w:r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port </w:t>
      </w:r>
      <w:r w:rsidR="00AD0A81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>et Décision de la séance virtuelle intersessions</w:t>
      </w:r>
      <w:r w:rsidR="00146A95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r w:rsidR="00775FDA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br/>
      </w:r>
      <w:r w:rsidR="00AD0A81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>du</w:t>
      </w:r>
      <w:r w:rsidR="00146A95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bookmarkStart w:id="1" w:name="_Hlk138929582"/>
      <w:r w:rsidR="00AD0A81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Comité permanent </w:t>
      </w:r>
      <w:bookmarkEnd w:id="1"/>
      <w:r w:rsidR="00AD0A81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>convoquée pour examiner le</w:t>
      </w:r>
      <w:r w:rsid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plan de travail du</w:t>
      </w:r>
      <w:r w:rsidR="00146A95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r w:rsidR="00775FDA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br/>
      </w:r>
      <w:r w:rsid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>Groupe d’évaluation scientifique et technique pour</w:t>
      </w:r>
      <w:r w:rsidR="00146A95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2023-2025</w:t>
      </w:r>
      <w:r w:rsidR="007E36F5" w:rsidRPr="00AD0A81">
        <w:rPr>
          <w:rFonts w:asciiTheme="minorHAnsi" w:hAnsiTheme="minorHAnsi" w:cstheme="minorHAnsi"/>
          <w:b/>
          <w:bCs/>
          <w:sz w:val="28"/>
          <w:szCs w:val="28"/>
          <w:lang w:val="fr-FR"/>
        </w:rPr>
        <w:br/>
      </w:r>
    </w:p>
    <w:p w14:paraId="734B87CF" w14:textId="23F1F065" w:rsidR="00307435" w:rsidRPr="00AD0A81" w:rsidRDefault="00307435" w:rsidP="0070683C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7CE22B17" w14:textId="77777777" w:rsidR="00AA14C7" w:rsidRPr="00AD0A81" w:rsidRDefault="00AA14C7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4CBEB9A5" w14:textId="1829ADEA" w:rsidR="00BB523B" w:rsidRPr="00BC3F0F" w:rsidRDefault="00AD0A81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BC3F0F">
        <w:rPr>
          <w:rFonts w:asciiTheme="minorHAnsi" w:hAnsiTheme="minorHAnsi" w:cstheme="minorHAnsi"/>
          <w:b/>
          <w:bCs/>
          <w:sz w:val="22"/>
          <w:szCs w:val="22"/>
          <w:lang w:val="fr-FR"/>
        </w:rPr>
        <w:t>Jeudi</w:t>
      </w:r>
      <w:r w:rsidR="00AA14C7" w:rsidRPr="00BC3F0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70683C" w:rsidRPr="00BC3F0F">
        <w:rPr>
          <w:rFonts w:asciiTheme="minorHAnsi" w:hAnsiTheme="minorHAnsi" w:cstheme="minorHAnsi"/>
          <w:b/>
          <w:bCs/>
          <w:sz w:val="22"/>
          <w:szCs w:val="22"/>
          <w:lang w:val="fr-FR"/>
        </w:rPr>
        <w:t>29</w:t>
      </w:r>
      <w:r w:rsidR="00AA14C7" w:rsidRPr="00BC3F0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BC3F0F">
        <w:rPr>
          <w:rFonts w:asciiTheme="minorHAnsi" w:hAnsiTheme="minorHAnsi" w:cstheme="minorHAnsi"/>
          <w:b/>
          <w:bCs/>
          <w:sz w:val="22"/>
          <w:szCs w:val="22"/>
          <w:lang w:val="fr-FR"/>
        </w:rPr>
        <w:t>juin</w:t>
      </w:r>
      <w:r w:rsidR="0070683C" w:rsidRPr="00BC3F0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2023</w:t>
      </w:r>
    </w:p>
    <w:p w14:paraId="0B7966E5" w14:textId="77777777" w:rsidR="00AA14C7" w:rsidRPr="00BC3F0F" w:rsidRDefault="00AA14C7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4F3FB9F7" w14:textId="3F56E234" w:rsidR="00AA14C7" w:rsidRPr="00AD0A81" w:rsidRDefault="00717E19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>1</w:t>
      </w:r>
      <w:r w:rsidR="0070683C"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>3</w:t>
      </w:r>
      <w:r w:rsidR="00AD0A81"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>h</w:t>
      </w:r>
      <w:r w:rsidR="0070683C"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>05</w:t>
      </w:r>
      <w:r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– 1</w:t>
      </w:r>
      <w:r w:rsidR="0070683C"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>3</w:t>
      </w:r>
      <w:r w:rsidR="00AD0A81"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>h</w:t>
      </w:r>
      <w:r w:rsidR="0070683C"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>50</w:t>
      </w:r>
      <w:r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70683C"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CEST </w:t>
      </w:r>
      <w:r w:rsidR="00AD0A81"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>Séance plénière du</w:t>
      </w:r>
      <w:r w:rsidR="00AA14C7"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AD0A81" w:rsidRPr="00AD0A81">
        <w:rPr>
          <w:rFonts w:asciiTheme="minorHAnsi" w:hAnsiTheme="minorHAnsi" w:cstheme="minorHAnsi"/>
          <w:b/>
          <w:bCs/>
          <w:sz w:val="22"/>
          <w:szCs w:val="22"/>
          <w:lang w:val="fr-FR"/>
        </w:rPr>
        <w:t>Comité permanent</w:t>
      </w:r>
    </w:p>
    <w:p w14:paraId="06BCA898" w14:textId="77777777" w:rsidR="00307435" w:rsidRPr="00AD0A81" w:rsidRDefault="00307435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0E9C7729" w14:textId="23294D44" w:rsidR="00307435" w:rsidRPr="00AD0A81" w:rsidRDefault="00AD0A81" w:rsidP="00F55CC1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</w:pPr>
      <w:r w:rsidRPr="00AD0A81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Projet de plan de travail du GEST</w:t>
      </w:r>
      <w:r w:rsidR="0070683C" w:rsidRPr="00AD0A81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2023-2025</w:t>
      </w:r>
      <w:r w:rsidR="0070683C" w:rsidRPr="00AD0A81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ab/>
      </w:r>
    </w:p>
    <w:p w14:paraId="23940C41" w14:textId="77777777" w:rsidR="00307435" w:rsidRPr="00AD0A81" w:rsidRDefault="00307435" w:rsidP="00F55CC1">
      <w:pPr>
        <w:pStyle w:val="Standard"/>
        <w:widowControl/>
        <w:rPr>
          <w:rFonts w:asciiTheme="minorHAnsi" w:hAnsiTheme="minorHAnsi" w:cstheme="minorHAnsi"/>
          <w:sz w:val="22"/>
          <w:szCs w:val="22"/>
          <w:lang w:val="fr-FR"/>
        </w:rPr>
      </w:pPr>
    </w:p>
    <w:p w14:paraId="75416C6A" w14:textId="39596B3A" w:rsidR="0070683C" w:rsidRPr="009A7BFD" w:rsidRDefault="00775FDA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</w:pPr>
      <w:r w:rsidRPr="009A7BFD">
        <w:rPr>
          <w:rFonts w:asciiTheme="minorHAnsi" w:hAnsiTheme="minorHAnsi" w:cstheme="minorHAnsi"/>
          <w:sz w:val="22"/>
          <w:szCs w:val="22"/>
          <w:lang w:val="fr-FR"/>
        </w:rPr>
        <w:t>1.</w:t>
      </w:r>
      <w:r w:rsidRPr="009A7BFD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A7BFD" w:rsidRPr="009A7BFD">
        <w:rPr>
          <w:rFonts w:asciiTheme="minorHAnsi" w:hAnsiTheme="minorHAnsi" w:cstheme="minorHAnsi"/>
          <w:sz w:val="22"/>
          <w:szCs w:val="22"/>
          <w:lang w:val="fr-FR"/>
        </w:rPr>
        <w:t>Le</w:t>
      </w:r>
      <w:r w:rsidR="0070683C" w:rsidRPr="009A7BF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A7BFD" w:rsidRPr="009A7BFD">
        <w:rPr>
          <w:rFonts w:asciiTheme="minorHAnsi" w:hAnsiTheme="minorHAnsi" w:cstheme="minorHAnsi"/>
          <w:b/>
          <w:sz w:val="22"/>
          <w:szCs w:val="22"/>
          <w:lang w:val="fr-FR"/>
        </w:rPr>
        <w:t>Président du Comité permanent</w:t>
      </w:r>
      <w:r w:rsidR="0070683C" w:rsidRPr="009A7BF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A7BFD" w:rsidRPr="009A7BFD">
        <w:rPr>
          <w:rFonts w:asciiTheme="minorHAnsi" w:hAnsiTheme="minorHAnsi" w:cstheme="minorHAnsi"/>
          <w:sz w:val="22"/>
          <w:szCs w:val="22"/>
          <w:lang w:val="fr-FR"/>
        </w:rPr>
        <w:t>ouvre la séance et annonce aux membres que le Président du Groupe d’évaluation scientifique et technique</w:t>
      </w:r>
      <w:r w:rsidRPr="009A7BFD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(</w:t>
      </w:r>
      <w:r w:rsidR="009A7BFD" w:rsidRPr="009A7BFD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GEST</w:t>
      </w:r>
      <w:r w:rsidRPr="009A7BFD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) </w:t>
      </w:r>
      <w:r w:rsidR="009A7BFD" w:rsidRPr="009A7BFD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a sollicité l’examen intersessions et l’approbation du </w:t>
      </w:r>
      <w:r w:rsidR="009A7BFD" w:rsidRPr="00AD0A81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plan de travail du GEST</w:t>
      </w:r>
      <w:r w:rsidR="009A7BFD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pour la période triennale, et que, sur recommandation du Comité exécutif, le Groupe de travail sur la gestion a été consulté en vue d’obtenir son </w:t>
      </w:r>
      <w:r w:rsid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aval à la demande d’approbation intersessions du plan de travail et n’a fait aucune objection</w:t>
      </w:r>
      <w:r w:rsidR="00BB523B" w:rsidRPr="009A7BFD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. </w:t>
      </w:r>
      <w:r w:rsidRPr="009A7BFD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</w:t>
      </w:r>
    </w:p>
    <w:p w14:paraId="594703AF" w14:textId="462545AB" w:rsidR="00775FDA" w:rsidRPr="009A7BFD" w:rsidRDefault="00775FDA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</w:pPr>
    </w:p>
    <w:p w14:paraId="1EEE7E99" w14:textId="72886F73" w:rsidR="00775FDA" w:rsidRPr="00507BAA" w:rsidRDefault="00775FDA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  <w:lang w:val="fr-FR"/>
        </w:rPr>
      </w:pPr>
      <w:r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2.</w:t>
      </w:r>
      <w:r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ab/>
      </w:r>
      <w:r w:rsidR="00507BAA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La</w:t>
      </w:r>
      <w:r w:rsidR="007652DF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</w:t>
      </w:r>
      <w:r w:rsidR="00507BAA" w:rsidRPr="00507BAA">
        <w:rPr>
          <w:rFonts w:asciiTheme="minorHAnsi" w:eastAsia="Calibri" w:hAnsiTheme="minorHAnsi" w:cs="Calibri"/>
          <w:b/>
          <w:bCs/>
          <w:kern w:val="0"/>
          <w:sz w:val="22"/>
          <w:szCs w:val="22"/>
          <w:lang w:val="fr-FR" w:eastAsia="en-US" w:bidi="ar-SA"/>
        </w:rPr>
        <w:t>Secrétaire générale</w:t>
      </w:r>
      <w:r w:rsidR="007652DF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</w:t>
      </w:r>
      <w:r w:rsidR="00507BAA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souhaite la bienvenue aux</w:t>
      </w:r>
      <w:r w:rsidR="007652DF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participants </w:t>
      </w:r>
      <w:r w:rsidR="00507BAA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et fait observer l’</w:t>
      </w:r>
      <w:r w:rsidR="007652DF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importance </w:t>
      </w:r>
      <w:r w:rsidR="00507BAA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des travaux du</w:t>
      </w:r>
      <w:r w:rsid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GEST en soutien aux</w:t>
      </w:r>
      <w:r w:rsidR="00BB523B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Parties </w:t>
      </w:r>
      <w:r w:rsid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pour la mise en œuvre de la</w:t>
      </w:r>
      <w:r w:rsidR="00BB523B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Convention</w:t>
      </w:r>
      <w:r w:rsidR="00825B23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,</w:t>
      </w:r>
      <w:r w:rsidR="00BB523B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</w:t>
      </w:r>
      <w:r w:rsid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soulignant par ailleurs le rôle fondamental que jouent les zones humides pour la réalisation des objectifs mondiaux de l’environnement</w:t>
      </w:r>
      <w:r w:rsidR="007652DF" w:rsidRPr="00507BAA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.</w:t>
      </w:r>
    </w:p>
    <w:p w14:paraId="62991163" w14:textId="77777777" w:rsidR="0070683C" w:rsidRPr="00507BAA" w:rsidRDefault="0070683C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  <w:lang w:val="fr-FR"/>
        </w:rPr>
      </w:pPr>
    </w:p>
    <w:p w14:paraId="267EB922" w14:textId="0AC84762" w:rsidR="0070683C" w:rsidRPr="008C4990" w:rsidRDefault="0005192E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  <w:lang w:val="fr-FR"/>
        </w:rPr>
      </w:pPr>
      <w:r w:rsidRPr="00715534">
        <w:rPr>
          <w:rFonts w:asciiTheme="minorHAnsi" w:hAnsiTheme="minorHAnsi" w:cstheme="minorHAnsi"/>
          <w:sz w:val="22"/>
          <w:szCs w:val="22"/>
          <w:lang w:val="fr-FR"/>
        </w:rPr>
        <w:t>3.</w:t>
      </w:r>
      <w:r w:rsidRPr="0071553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645A51" w:rsidRPr="00715534">
        <w:rPr>
          <w:rFonts w:asciiTheme="minorHAnsi" w:hAnsiTheme="minorHAnsi" w:cstheme="minorHAnsi"/>
          <w:sz w:val="22"/>
          <w:szCs w:val="22"/>
          <w:lang w:val="fr-FR"/>
        </w:rPr>
        <w:t>Le</w:t>
      </w:r>
      <w:r w:rsidRPr="0071553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45A51" w:rsidRPr="00715534">
        <w:rPr>
          <w:rFonts w:asciiTheme="minorHAnsi" w:eastAsia="Calibri" w:hAnsiTheme="minorHAnsi" w:cs="Calibri"/>
          <w:b/>
          <w:bCs/>
          <w:kern w:val="0"/>
          <w:sz w:val="22"/>
          <w:szCs w:val="22"/>
          <w:lang w:val="fr-FR" w:eastAsia="en-US" w:bidi="ar-SA"/>
        </w:rPr>
        <w:t>Président du GEST</w:t>
      </w:r>
      <w:r w:rsidRP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</w:t>
      </w:r>
      <w:r w:rsidR="00645A51" w:rsidRP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résume</w:t>
      </w:r>
      <w:r w:rsidR="00715534" w:rsidRP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les buts principaux du GEST pour la période </w:t>
      </w:r>
      <w:r w:rsid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t</w:t>
      </w:r>
      <w:r w:rsidR="00715534" w:rsidRP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riennale et donne un aperçu </w:t>
      </w:r>
      <w:r w:rsid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de la 25</w:t>
      </w:r>
      <w:r w:rsidR="00715534" w:rsidRPr="00715534">
        <w:rPr>
          <w:rFonts w:asciiTheme="minorHAnsi" w:eastAsia="Calibri" w:hAnsiTheme="minorHAnsi" w:cs="Calibri"/>
          <w:bCs/>
          <w:kern w:val="0"/>
          <w:sz w:val="22"/>
          <w:szCs w:val="22"/>
          <w:vertAlign w:val="superscript"/>
          <w:lang w:val="fr-FR" w:eastAsia="en-US" w:bidi="ar-SA"/>
        </w:rPr>
        <w:t>e</w:t>
      </w:r>
      <w:r w:rsid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réunion du Groupe (GEST25) qui a eu lieu du </w:t>
      </w:r>
      <w:r w:rsidRP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2 </w:t>
      </w:r>
      <w:r w:rsid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au</w:t>
      </w:r>
      <w:r w:rsidRP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5 </w:t>
      </w:r>
      <w:r w:rsid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mai</w:t>
      </w:r>
      <w:r w:rsidRP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2023</w:t>
      </w:r>
      <w:r w:rsidR="00661813">
        <w:rPr>
          <w:rStyle w:val="FootnoteReference"/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footnoteReference w:id="1"/>
      </w:r>
      <w:r w:rsidRPr="00715534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. </w:t>
      </w:r>
      <w:r w:rsidR="00715534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Il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</w:t>
      </w:r>
      <w:r w:rsidR="00715534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présente le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</w:t>
      </w:r>
      <w:r w:rsidR="008C4990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plan de travail du GEST qui figure en 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annexe</w:t>
      </w:r>
      <w:r w:rsidR="008C4990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</w:t>
      </w:r>
      <w:r w:rsid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au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document SC62 Doc.19</w:t>
      </w:r>
      <w:r>
        <w:rPr>
          <w:rStyle w:val="FootnoteReference"/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footnoteReference w:id="2"/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, </w:t>
      </w:r>
      <w:r w:rsid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résumant les tâches prioritaires et hautement prioritaires et les besoins de financement estimés</w:t>
      </w:r>
      <w:r w:rsidR="00BB523B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.</w:t>
      </w:r>
    </w:p>
    <w:p w14:paraId="703DEF2D" w14:textId="1C44985B" w:rsidR="0070683C" w:rsidRPr="008C4990" w:rsidRDefault="0070683C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  <w:lang w:val="fr-FR"/>
        </w:rPr>
      </w:pPr>
    </w:p>
    <w:p w14:paraId="0E95A2C5" w14:textId="0E801FCB" w:rsidR="00661813" w:rsidRPr="00715534" w:rsidRDefault="00661813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  <w:lang w:val="fr-FR"/>
        </w:rPr>
      </w:pPr>
      <w:r w:rsidRPr="00715534">
        <w:rPr>
          <w:rFonts w:asciiTheme="minorHAnsi" w:hAnsiTheme="minorHAnsi" w:cstheme="minorHAnsi"/>
          <w:sz w:val="22"/>
          <w:szCs w:val="22"/>
          <w:lang w:val="fr-FR"/>
        </w:rPr>
        <w:t>4.</w:t>
      </w:r>
      <w:r w:rsidRPr="00715534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15534">
        <w:rPr>
          <w:rFonts w:asciiTheme="minorHAnsi" w:hAnsiTheme="minorHAnsi" w:cstheme="minorHAnsi"/>
          <w:sz w:val="22"/>
          <w:szCs w:val="22"/>
          <w:lang w:val="fr-FR"/>
        </w:rPr>
        <w:t>La</w:t>
      </w:r>
      <w:r w:rsidRPr="0071553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15534">
        <w:rPr>
          <w:rFonts w:asciiTheme="minorHAnsi" w:hAnsiTheme="minorHAnsi" w:cstheme="minorHAnsi"/>
          <w:b/>
          <w:sz w:val="22"/>
          <w:szCs w:val="22"/>
          <w:lang w:val="fr-FR"/>
        </w:rPr>
        <w:t>Belgi</w:t>
      </w:r>
      <w:r w:rsidR="00715534" w:rsidRPr="00715534">
        <w:rPr>
          <w:rFonts w:asciiTheme="minorHAnsi" w:hAnsiTheme="minorHAnsi" w:cstheme="minorHAnsi"/>
          <w:b/>
          <w:sz w:val="22"/>
          <w:szCs w:val="22"/>
          <w:lang w:val="fr-FR"/>
        </w:rPr>
        <w:t xml:space="preserve">que, </w:t>
      </w:r>
      <w:r w:rsidR="00715534" w:rsidRPr="00715534">
        <w:rPr>
          <w:rFonts w:asciiTheme="minorHAnsi" w:hAnsiTheme="minorHAnsi" w:cstheme="minorHAnsi"/>
          <w:bCs/>
          <w:sz w:val="22"/>
          <w:szCs w:val="22"/>
          <w:lang w:val="fr-FR"/>
        </w:rPr>
        <w:t>le</w:t>
      </w:r>
      <w:r w:rsidRPr="0071553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15534">
        <w:rPr>
          <w:rFonts w:asciiTheme="minorHAnsi" w:hAnsiTheme="minorHAnsi" w:cstheme="minorHAnsi"/>
          <w:b/>
          <w:sz w:val="22"/>
          <w:szCs w:val="22"/>
          <w:lang w:val="fr-FR"/>
        </w:rPr>
        <w:t>Canada</w:t>
      </w:r>
      <w:r w:rsidRPr="0071553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15534" w:rsidRPr="00715534">
        <w:rPr>
          <w:rFonts w:asciiTheme="minorHAnsi" w:hAnsiTheme="minorHAnsi" w:cstheme="minorHAnsi"/>
          <w:bCs/>
          <w:sz w:val="22"/>
          <w:szCs w:val="22"/>
          <w:lang w:val="fr-FR"/>
        </w:rPr>
        <w:t>l</w:t>
      </w:r>
      <w:r w:rsidR="00715534">
        <w:rPr>
          <w:rFonts w:asciiTheme="minorHAnsi" w:hAnsiTheme="minorHAnsi" w:cstheme="minorHAnsi"/>
          <w:bCs/>
          <w:sz w:val="22"/>
          <w:szCs w:val="22"/>
          <w:lang w:val="fr-FR"/>
        </w:rPr>
        <w:t>a</w:t>
      </w:r>
      <w:r w:rsidR="00715534" w:rsidRPr="0071553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715534">
        <w:rPr>
          <w:rFonts w:asciiTheme="minorHAnsi" w:hAnsiTheme="minorHAnsi" w:cstheme="minorHAnsi"/>
          <w:b/>
          <w:sz w:val="22"/>
          <w:szCs w:val="22"/>
          <w:lang w:val="fr-FR"/>
        </w:rPr>
        <w:t>Chin</w:t>
      </w:r>
      <w:r w:rsidR="00715534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Pr="0071553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15534" w:rsidRPr="00715534">
        <w:rPr>
          <w:rFonts w:asciiTheme="minorHAnsi" w:hAnsiTheme="minorHAnsi" w:cstheme="minorHAnsi"/>
          <w:bCs/>
          <w:sz w:val="22"/>
          <w:szCs w:val="22"/>
          <w:lang w:val="fr-FR"/>
        </w:rPr>
        <w:t>l</w:t>
      </w:r>
      <w:r w:rsidR="00715534">
        <w:rPr>
          <w:rFonts w:asciiTheme="minorHAnsi" w:hAnsiTheme="minorHAnsi" w:cstheme="minorHAnsi"/>
          <w:bCs/>
          <w:sz w:val="22"/>
          <w:szCs w:val="22"/>
          <w:lang w:val="fr-FR"/>
        </w:rPr>
        <w:t>a</w:t>
      </w:r>
      <w:r w:rsidR="00715534" w:rsidRPr="0071553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715534">
        <w:rPr>
          <w:rFonts w:asciiTheme="minorHAnsi" w:hAnsiTheme="minorHAnsi" w:cstheme="minorHAnsi"/>
          <w:b/>
          <w:sz w:val="22"/>
          <w:szCs w:val="22"/>
          <w:lang w:val="fr-FR"/>
        </w:rPr>
        <w:t>G</w:t>
      </w:r>
      <w:r w:rsidR="00715534">
        <w:rPr>
          <w:rFonts w:asciiTheme="minorHAnsi" w:hAnsiTheme="minorHAnsi" w:cstheme="minorHAnsi"/>
          <w:b/>
          <w:sz w:val="22"/>
          <w:szCs w:val="22"/>
          <w:lang w:val="fr-FR"/>
        </w:rPr>
        <w:t>é</w:t>
      </w:r>
      <w:r w:rsidRPr="00715534">
        <w:rPr>
          <w:rFonts w:asciiTheme="minorHAnsi" w:hAnsiTheme="minorHAnsi" w:cstheme="minorHAnsi"/>
          <w:b/>
          <w:sz w:val="22"/>
          <w:szCs w:val="22"/>
          <w:lang w:val="fr-FR"/>
        </w:rPr>
        <w:t>orgi</w:t>
      </w:r>
      <w:r w:rsidR="00715534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Pr="0071553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15534" w:rsidRPr="00715534">
        <w:rPr>
          <w:rFonts w:asciiTheme="minorHAnsi" w:hAnsiTheme="minorHAnsi" w:cstheme="minorHAnsi"/>
          <w:bCs/>
          <w:sz w:val="22"/>
          <w:szCs w:val="22"/>
          <w:lang w:val="fr-FR"/>
        </w:rPr>
        <w:t>l</w:t>
      </w:r>
      <w:r w:rsidR="00715534">
        <w:rPr>
          <w:rFonts w:asciiTheme="minorHAnsi" w:hAnsiTheme="minorHAnsi" w:cstheme="minorHAnsi"/>
          <w:bCs/>
          <w:sz w:val="22"/>
          <w:szCs w:val="22"/>
          <w:lang w:val="fr-FR"/>
        </w:rPr>
        <w:t>a</w:t>
      </w:r>
      <w:r w:rsidR="00715534" w:rsidRPr="0071553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715534">
        <w:rPr>
          <w:rFonts w:asciiTheme="minorHAnsi" w:hAnsiTheme="minorHAnsi" w:cstheme="minorHAnsi"/>
          <w:b/>
          <w:sz w:val="22"/>
          <w:szCs w:val="22"/>
          <w:lang w:val="fr-FR"/>
        </w:rPr>
        <w:t>Liby</w:t>
      </w:r>
      <w:r w:rsidR="00715534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Pr="0071553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15534">
        <w:rPr>
          <w:rFonts w:asciiTheme="minorHAnsi" w:hAnsiTheme="minorHAnsi" w:cstheme="minorHAnsi"/>
          <w:sz w:val="22"/>
          <w:szCs w:val="22"/>
          <w:lang w:val="fr-FR"/>
        </w:rPr>
        <w:t>et la</w:t>
      </w:r>
      <w:r w:rsidR="00715534" w:rsidRPr="0071553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715534">
        <w:rPr>
          <w:rFonts w:asciiTheme="minorHAnsi" w:hAnsiTheme="minorHAnsi" w:cstheme="minorHAnsi"/>
          <w:b/>
          <w:sz w:val="22"/>
          <w:szCs w:val="22"/>
          <w:lang w:val="fr-FR"/>
        </w:rPr>
        <w:t>S</w:t>
      </w:r>
      <w:r w:rsidR="00715534">
        <w:rPr>
          <w:rFonts w:asciiTheme="minorHAnsi" w:hAnsiTheme="minorHAnsi" w:cstheme="minorHAnsi"/>
          <w:b/>
          <w:sz w:val="22"/>
          <w:szCs w:val="22"/>
          <w:lang w:val="fr-FR"/>
        </w:rPr>
        <w:t xml:space="preserve">uède </w:t>
      </w:r>
      <w:r w:rsidR="00715534" w:rsidRPr="00715534">
        <w:rPr>
          <w:rFonts w:asciiTheme="minorHAnsi" w:hAnsiTheme="minorHAnsi" w:cstheme="minorHAnsi"/>
          <w:bCs/>
          <w:sz w:val="22"/>
          <w:szCs w:val="22"/>
          <w:lang w:val="fr-FR"/>
        </w:rPr>
        <w:t>interviennent dans la discussion</w:t>
      </w:r>
      <w:r w:rsidRPr="00715534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</w:p>
    <w:p w14:paraId="03BB0D2F" w14:textId="060AB76F" w:rsidR="00661813" w:rsidRPr="00715534" w:rsidRDefault="00661813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  <w:lang w:val="fr-FR"/>
        </w:rPr>
      </w:pPr>
    </w:p>
    <w:p w14:paraId="4953B61C" w14:textId="3AE27E52" w:rsidR="00661813" w:rsidRPr="008C4990" w:rsidRDefault="00661813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</w:pPr>
      <w:r w:rsidRPr="008C4990">
        <w:rPr>
          <w:rFonts w:asciiTheme="minorHAnsi" w:hAnsiTheme="minorHAnsi" w:cstheme="minorHAnsi"/>
          <w:sz w:val="22"/>
          <w:szCs w:val="22"/>
          <w:lang w:val="fr-FR"/>
        </w:rPr>
        <w:t>5.</w:t>
      </w:r>
      <w:r w:rsidRPr="008C4990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C4990" w:rsidRPr="008C4990">
        <w:rPr>
          <w:rFonts w:asciiTheme="minorHAnsi" w:hAnsiTheme="minorHAnsi" w:cstheme="minorHAnsi"/>
          <w:sz w:val="22"/>
          <w:szCs w:val="22"/>
          <w:lang w:val="fr-FR"/>
        </w:rPr>
        <w:t xml:space="preserve">Répondant aux </w:t>
      </w:r>
      <w:r w:rsidRPr="008C4990">
        <w:rPr>
          <w:rFonts w:asciiTheme="minorHAnsi" w:hAnsiTheme="minorHAnsi" w:cstheme="minorHAnsi"/>
          <w:sz w:val="22"/>
          <w:szCs w:val="22"/>
          <w:lang w:val="fr-FR"/>
        </w:rPr>
        <w:t>comment</w:t>
      </w:r>
      <w:r w:rsidR="008C4990" w:rsidRPr="008C4990">
        <w:rPr>
          <w:rFonts w:asciiTheme="minorHAnsi" w:hAnsiTheme="minorHAnsi" w:cstheme="minorHAnsi"/>
          <w:sz w:val="22"/>
          <w:szCs w:val="22"/>
          <w:lang w:val="fr-FR"/>
        </w:rPr>
        <w:t>aire</w:t>
      </w:r>
      <w:r w:rsidRPr="008C4990">
        <w:rPr>
          <w:rFonts w:asciiTheme="minorHAnsi" w:hAnsiTheme="minorHAnsi" w:cstheme="minorHAnsi"/>
          <w:sz w:val="22"/>
          <w:szCs w:val="22"/>
          <w:lang w:val="fr-FR"/>
        </w:rPr>
        <w:t xml:space="preserve">s </w:t>
      </w:r>
      <w:r w:rsidR="008C4990" w:rsidRPr="008C4990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8C4990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8C4990">
        <w:rPr>
          <w:rFonts w:asciiTheme="minorHAnsi" w:hAnsiTheme="minorHAnsi" w:cstheme="minorHAnsi"/>
          <w:sz w:val="22"/>
          <w:szCs w:val="22"/>
          <w:lang w:val="fr-FR"/>
        </w:rPr>
        <w:t xml:space="preserve"> memb</w:t>
      </w:r>
      <w:r w:rsidR="008C4990">
        <w:rPr>
          <w:rFonts w:asciiTheme="minorHAnsi" w:hAnsiTheme="minorHAnsi" w:cstheme="minorHAnsi"/>
          <w:sz w:val="22"/>
          <w:szCs w:val="22"/>
          <w:lang w:val="fr-FR"/>
        </w:rPr>
        <w:t>re</w:t>
      </w:r>
      <w:r w:rsidRPr="008C4990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8C4990">
        <w:rPr>
          <w:rFonts w:asciiTheme="minorHAnsi" w:hAnsiTheme="minorHAnsi" w:cstheme="minorHAnsi"/>
          <w:sz w:val="22"/>
          <w:szCs w:val="22"/>
          <w:lang w:val="fr-FR"/>
        </w:rPr>
        <w:t xml:space="preserve"> du Comité</w:t>
      </w:r>
      <w:r w:rsidRPr="008C499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8C4990">
        <w:rPr>
          <w:rFonts w:asciiTheme="minorHAnsi" w:hAnsiTheme="minorHAnsi" w:cstheme="minorHAnsi"/>
          <w:sz w:val="22"/>
          <w:szCs w:val="22"/>
          <w:lang w:val="fr-FR"/>
        </w:rPr>
        <w:t>le</w:t>
      </w:r>
      <w:r w:rsidRPr="008C499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15534" w:rsidRPr="008C4990">
        <w:rPr>
          <w:rFonts w:asciiTheme="minorHAnsi" w:eastAsia="Calibri" w:hAnsiTheme="minorHAnsi" w:cs="Calibri"/>
          <w:b/>
          <w:bCs/>
          <w:kern w:val="0"/>
          <w:sz w:val="22"/>
          <w:szCs w:val="22"/>
          <w:lang w:val="fr-FR" w:eastAsia="en-US" w:bidi="ar-SA"/>
        </w:rPr>
        <w:t>Président du GEST</w:t>
      </w:r>
      <w:r w:rsidR="00715534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note</w:t>
      </w:r>
      <w:r w:rsid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 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:</w:t>
      </w:r>
    </w:p>
    <w:p w14:paraId="51676E6D" w14:textId="2FC6E64B" w:rsidR="00071D97" w:rsidRPr="008C4990" w:rsidRDefault="00071D97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</w:pPr>
    </w:p>
    <w:p w14:paraId="7C7D93B3" w14:textId="6C873033" w:rsidR="00071D97" w:rsidRPr="008C4990" w:rsidRDefault="00071D97" w:rsidP="00071D97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</w:pP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i</w:t>
      </w:r>
      <w:r w:rsidR="00402A6C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)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ab/>
      </w:r>
      <w:r w:rsidR="008C4990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la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recomm</w:t>
      </w:r>
      <w:r w:rsidR="008C4990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a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ndation </w:t>
      </w:r>
      <w:r w:rsidR="008C4990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de rechercher des ressources financières ad</w:t>
      </w:r>
      <w:r w:rsid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ditionnelles pour la mise en œuvre de la tâche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5.1 </w:t>
      </w:r>
      <w:r w:rsid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sur les Perspectives mondiales des zones humides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(GWO) 2025</w:t>
      </w:r>
      <w:r w:rsid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 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;</w:t>
      </w:r>
    </w:p>
    <w:p w14:paraId="36A04A4D" w14:textId="30243347" w:rsidR="00071D97" w:rsidRPr="008C4990" w:rsidRDefault="00071D97" w:rsidP="00071D97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</w:pPr>
    </w:p>
    <w:p w14:paraId="77D0048E" w14:textId="113113E3" w:rsidR="00071D97" w:rsidRPr="008C4990" w:rsidRDefault="00071D97" w:rsidP="00071D97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</w:pP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ii</w:t>
      </w:r>
      <w:r w:rsidR="00402A6C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)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ab/>
      </w:r>
      <w:r w:rsidR="008C4990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l’i</w:t>
      </w:r>
      <w:r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mportance </w:t>
      </w:r>
      <w:r w:rsidR="008C4990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d’intégrer</w:t>
      </w:r>
      <w:r w:rsid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</w:t>
      </w:r>
      <w:r w:rsidR="008C4990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les connaissances autochtones et traditionnelles dans les produits issus des tâches</w:t>
      </w:r>
      <w:r w:rsidR="00C03E46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, </w:t>
      </w:r>
      <w:r w:rsidR="008C4990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c</w:t>
      </w:r>
      <w:r w:rsid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e qui est prévu pour la tâche </w:t>
      </w:r>
      <w:r w:rsidR="00C03E46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2.2 </w:t>
      </w:r>
      <w:r w:rsid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sur les petites zones humides</w:t>
      </w:r>
      <w:r w:rsidR="00C03E46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, </w:t>
      </w:r>
      <w:r w:rsid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>et sera intégré à la tâche</w:t>
      </w:r>
      <w:r w:rsidR="00C03E46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5.1</w:t>
      </w:r>
      <w:r w:rsid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 </w:t>
      </w:r>
      <w:r w:rsidR="00C03E46" w:rsidRPr="008C4990"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  <w:t xml:space="preserve">; </w:t>
      </w:r>
    </w:p>
    <w:p w14:paraId="3C3C7616" w14:textId="5355310B" w:rsidR="00C03E46" w:rsidRPr="008C4990" w:rsidRDefault="00C03E46" w:rsidP="00071D97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</w:pPr>
    </w:p>
    <w:p w14:paraId="064742E0" w14:textId="58774082" w:rsidR="00C03E46" w:rsidRDefault="00C03E46" w:rsidP="00071D97">
      <w:pPr>
        <w:pStyle w:val="Standard"/>
        <w:widowControl/>
        <w:ind w:left="993" w:hanging="426"/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</w:pPr>
      <w:r w:rsidRP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iii</w:t>
      </w:r>
      <w:r w:rsidR="00402A6C" w:rsidRP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)</w:t>
      </w:r>
      <w:r w:rsidRP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ab/>
      </w:r>
      <w:r w:rsidR="008C4990" w:rsidRP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que d’autres questions traitées dans le rapport</w:t>
      </w:r>
      <w:r w:rsid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 xml:space="preserve"> </w:t>
      </w:r>
      <w:r w:rsidR="008C4990" w:rsidRP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 xml:space="preserve">du </w:t>
      </w:r>
      <w:r w:rsid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Pré</w:t>
      </w:r>
      <w:r w:rsidR="008C4990" w:rsidRP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sident du GEST à la 62</w:t>
      </w:r>
      <w:r w:rsidR="008C4990" w:rsidRPr="008C4990">
        <w:rPr>
          <w:rFonts w:asciiTheme="minorHAnsi" w:eastAsia="Calibri" w:hAnsiTheme="minorHAnsi" w:cstheme="minorHAnsi"/>
          <w:bCs/>
          <w:kern w:val="0"/>
          <w:sz w:val="22"/>
          <w:szCs w:val="22"/>
          <w:vertAlign w:val="superscript"/>
          <w:lang w:val="fr-FR" w:eastAsia="en-US" w:bidi="ar-SA"/>
        </w:rPr>
        <w:t>e</w:t>
      </w:r>
      <w:r w:rsidR="008C4990" w:rsidRP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 xml:space="preserve"> Réunion du</w:t>
      </w:r>
      <w:r w:rsid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 xml:space="preserve"> Comité permanent peuvent être discutées sous le point 19 de l’ordre du jour de </w:t>
      </w:r>
      <w:r w:rsidR="008C4990" w:rsidRP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la 62</w:t>
      </w:r>
      <w:r w:rsidR="008C4990" w:rsidRPr="008C4990">
        <w:rPr>
          <w:rFonts w:asciiTheme="minorHAnsi" w:eastAsia="Calibri" w:hAnsiTheme="minorHAnsi" w:cstheme="minorHAnsi"/>
          <w:bCs/>
          <w:kern w:val="0"/>
          <w:sz w:val="22"/>
          <w:szCs w:val="22"/>
          <w:vertAlign w:val="superscript"/>
          <w:lang w:val="fr-FR" w:eastAsia="en-US" w:bidi="ar-SA"/>
        </w:rPr>
        <w:t>e</w:t>
      </w:r>
      <w:r w:rsidR="008C4990" w:rsidRP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 xml:space="preserve"> Réunion </w:t>
      </w:r>
      <w:r w:rsidR="008C4990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du Comité permanent</w:t>
      </w:r>
      <w:r w:rsidR="000D0183" w:rsidRPr="008C499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8C4990">
        <w:rPr>
          <w:rFonts w:asciiTheme="minorHAnsi" w:hAnsiTheme="minorHAnsi" w:cstheme="minorHAnsi"/>
          <w:sz w:val="22"/>
          <w:szCs w:val="22"/>
          <w:lang w:val="fr-FR"/>
        </w:rPr>
        <w:t>notamment les inventaires et la classification des zones humides</w:t>
      </w:r>
      <w:r w:rsidR="00CD6CD9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CD6CD9">
        <w:rPr>
          <w:rFonts w:asciiTheme="minorHAnsi" w:eastAsia="Calibri" w:hAnsiTheme="minorHAnsi" w:cstheme="minorHAnsi"/>
          <w:bCs/>
          <w:kern w:val="0"/>
          <w:sz w:val="22"/>
          <w:szCs w:val="22"/>
          <w:lang w:val="fr-FR" w:eastAsia="en-US" w:bidi="ar-SA"/>
        </w:rPr>
        <w:t>; et</w:t>
      </w:r>
    </w:p>
    <w:p w14:paraId="1300BE2C" w14:textId="77777777" w:rsidR="00681837" w:rsidRDefault="00681837" w:rsidP="00071D97">
      <w:pPr>
        <w:pStyle w:val="Standard"/>
        <w:widowControl/>
        <w:ind w:left="993" w:hanging="426"/>
        <w:rPr>
          <w:rFonts w:asciiTheme="minorHAnsi" w:hAnsiTheme="minorHAnsi" w:cstheme="minorHAnsi"/>
          <w:sz w:val="22"/>
          <w:szCs w:val="22"/>
          <w:lang w:val="fr-FR"/>
        </w:rPr>
      </w:pPr>
    </w:p>
    <w:p w14:paraId="4A480ED0" w14:textId="6634217C" w:rsidR="00681837" w:rsidRPr="008C4990" w:rsidRDefault="00930B51" w:rsidP="00071D97">
      <w:pPr>
        <w:pStyle w:val="Standard"/>
        <w:widowControl/>
        <w:ind w:left="993" w:hanging="426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iv)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="006F1CF4">
        <w:rPr>
          <w:rFonts w:asciiTheme="minorHAnsi" w:hAnsiTheme="minorHAnsi" w:cstheme="minorHAnsi"/>
          <w:sz w:val="22"/>
          <w:szCs w:val="22"/>
          <w:lang w:val="fr-FR"/>
        </w:rPr>
        <w:t>la demande</w:t>
      </w:r>
      <w:r w:rsidR="006F1CF4" w:rsidRPr="006F1CF4">
        <w:rPr>
          <w:rFonts w:asciiTheme="minorHAnsi" w:hAnsiTheme="minorHAnsi" w:cstheme="minorHAnsi"/>
          <w:sz w:val="22"/>
          <w:szCs w:val="22"/>
          <w:lang w:val="fr-FR"/>
        </w:rPr>
        <w:t xml:space="preserve"> de mettre à jour dans le plan de travail les références au Cadre mondial de la biodiversité Kunming-Montréal afin de refléter son titre complet.</w:t>
      </w:r>
    </w:p>
    <w:p w14:paraId="30BF28A3" w14:textId="77777777" w:rsidR="0015198D" w:rsidRPr="008C4990" w:rsidRDefault="0015198D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kern w:val="0"/>
          <w:sz w:val="22"/>
          <w:szCs w:val="22"/>
          <w:lang w:val="fr-FR" w:eastAsia="en-US" w:bidi="ar-SA"/>
        </w:rPr>
      </w:pPr>
    </w:p>
    <w:p w14:paraId="022E0DAF" w14:textId="47619994" w:rsidR="00AF0560" w:rsidRPr="00715534" w:rsidRDefault="00715534" w:rsidP="00A525BA">
      <w:pPr>
        <w:pStyle w:val="Standard"/>
        <w:widowControl/>
        <w:rPr>
          <w:rFonts w:asciiTheme="minorHAnsi" w:hAnsiTheme="minorHAnsi" w:cstheme="minorHAnsi"/>
          <w:sz w:val="22"/>
          <w:szCs w:val="22"/>
          <w:lang w:val="fr-FR"/>
        </w:rPr>
      </w:pPr>
      <w:r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>Décision</w:t>
      </w:r>
      <w:r w:rsidR="00C03E46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intersessions </w:t>
      </w:r>
      <w:r w:rsidR="00907BDB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04 </w:t>
      </w:r>
      <w:bookmarkStart w:id="2" w:name="_GoBack"/>
      <w:bookmarkEnd w:id="2"/>
      <w:r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>pré-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SC62 </w:t>
      </w:r>
      <w:r w:rsidR="00C03E46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Le</w:t>
      </w:r>
      <w:r w:rsidR="00C03E46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715534">
        <w:rPr>
          <w:rFonts w:asciiTheme="minorHAnsi" w:hAnsiTheme="minorHAnsi" w:cstheme="minorHAnsi"/>
          <w:b/>
          <w:sz w:val="22"/>
          <w:szCs w:val="22"/>
          <w:lang w:val="fr-FR"/>
        </w:rPr>
        <w:t>Comité permanent</w:t>
      </w:r>
      <w:r w:rsidRPr="0071553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525BA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>appro</w:t>
      </w:r>
      <w:r w:rsidR="001F12D9">
        <w:rPr>
          <w:rFonts w:asciiTheme="minorHAnsi" w:hAnsiTheme="minorHAnsi" w:cstheme="minorHAnsi"/>
          <w:b/>
          <w:bCs/>
          <w:sz w:val="22"/>
          <w:szCs w:val="22"/>
          <w:lang w:val="fr-FR"/>
        </w:rPr>
        <w:t>uve</w:t>
      </w:r>
      <w:r w:rsidR="00C03E46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1F12D9">
        <w:rPr>
          <w:rFonts w:asciiTheme="minorHAnsi" w:hAnsiTheme="minorHAnsi" w:cstheme="minorHAnsi"/>
          <w:b/>
          <w:bCs/>
          <w:sz w:val="22"/>
          <w:szCs w:val="22"/>
          <w:lang w:val="fr-FR"/>
        </w:rPr>
        <w:t>le</w:t>
      </w:r>
      <w:r w:rsidR="00C03E46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1F12D9" w:rsidRPr="001F12D9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plan de travail </w:t>
      </w:r>
      <w:r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>du</w:t>
      </w:r>
      <w:r w:rsidR="00C03E46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>Groupe d’évaluation scientifique et technique pour</w:t>
      </w:r>
      <w:r w:rsidR="00C03E46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2023-2025</w:t>
      </w:r>
      <w:r w:rsidR="00A525BA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, </w:t>
      </w:r>
      <w:r w:rsidR="001F12D9">
        <w:rPr>
          <w:rFonts w:asciiTheme="minorHAnsi" w:hAnsiTheme="minorHAnsi" w:cstheme="minorHAnsi"/>
          <w:b/>
          <w:bCs/>
          <w:sz w:val="22"/>
          <w:szCs w:val="22"/>
          <w:lang w:val="fr-FR"/>
        </w:rPr>
        <w:t>qui figure à l’</w:t>
      </w:r>
      <w:r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>a</w:t>
      </w:r>
      <w:r w:rsidR="00A525BA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>nnex</w:t>
      </w:r>
      <w:r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>e</w:t>
      </w:r>
      <w:r w:rsidR="00A525BA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1 </w:t>
      </w:r>
      <w:r w:rsidR="001F12D9">
        <w:rPr>
          <w:rFonts w:asciiTheme="minorHAnsi" w:hAnsiTheme="minorHAnsi" w:cstheme="minorHAnsi"/>
          <w:b/>
          <w:bCs/>
          <w:sz w:val="22"/>
          <w:szCs w:val="22"/>
          <w:lang w:val="fr-FR"/>
        </w:rPr>
        <w:t>du</w:t>
      </w:r>
      <w:r w:rsidR="00A525BA" w:rsidRPr="0071553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document SC62 Doc.19.</w:t>
      </w:r>
    </w:p>
    <w:sectPr w:rsidR="00AF0560" w:rsidRPr="00715534" w:rsidSect="007E36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D449D" w14:textId="77777777" w:rsidR="00832ECA" w:rsidRDefault="00832ECA">
      <w:r>
        <w:separator/>
      </w:r>
    </w:p>
  </w:endnote>
  <w:endnote w:type="continuationSeparator" w:id="0">
    <w:p w14:paraId="39CC46A9" w14:textId="77777777" w:rsidR="00832ECA" w:rsidRDefault="0083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8D6D5" w14:textId="77777777" w:rsidR="00734C27" w:rsidRDefault="00734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81DE" w14:textId="6ACB547D" w:rsidR="007E36F5" w:rsidRPr="001F12D9" w:rsidRDefault="001F12D9" w:rsidP="007E36F5">
    <w:pPr>
      <w:pStyle w:val="Header"/>
      <w:rPr>
        <w:rFonts w:asciiTheme="minorHAnsi" w:hAnsiTheme="minorHAnsi" w:cstheme="minorHAnsi"/>
        <w:noProof/>
        <w:sz w:val="20"/>
        <w:szCs w:val="20"/>
        <w:lang w:val="fr-FR"/>
      </w:rPr>
    </w:pPr>
    <w:r w:rsidRPr="001F12D9">
      <w:rPr>
        <w:rFonts w:asciiTheme="minorHAnsi" w:hAnsiTheme="minorHAnsi" w:cstheme="minorHAnsi"/>
        <w:sz w:val="20"/>
        <w:szCs w:val="20"/>
        <w:lang w:val="fr-FR"/>
      </w:rPr>
      <w:t xml:space="preserve">Séance virtuelle </w:t>
    </w:r>
    <w:sdt>
      <w:sdtPr>
        <w:rPr>
          <w:rFonts w:asciiTheme="minorHAnsi" w:hAnsiTheme="minorHAnsi" w:cstheme="minorHAnsi"/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E36F5" w:rsidRPr="001F12D9">
          <w:rPr>
            <w:rFonts w:asciiTheme="minorHAnsi" w:hAnsiTheme="minorHAnsi" w:cstheme="minorHAnsi"/>
            <w:sz w:val="20"/>
            <w:szCs w:val="20"/>
            <w:lang w:val="fr-FR"/>
          </w:rPr>
          <w:t>SC6</w:t>
        </w:r>
        <w:r w:rsidR="00C03E46" w:rsidRPr="001F12D9">
          <w:rPr>
            <w:rFonts w:asciiTheme="minorHAnsi" w:hAnsiTheme="minorHAnsi" w:cstheme="minorHAnsi"/>
            <w:sz w:val="20"/>
            <w:szCs w:val="20"/>
            <w:lang w:val="fr-FR"/>
          </w:rPr>
          <w:t xml:space="preserve">2 29 </w:t>
        </w:r>
        <w:r w:rsidRPr="001F12D9">
          <w:rPr>
            <w:rFonts w:asciiTheme="minorHAnsi" w:hAnsiTheme="minorHAnsi" w:cstheme="minorHAnsi"/>
            <w:sz w:val="20"/>
            <w:szCs w:val="20"/>
            <w:lang w:val="fr-FR"/>
          </w:rPr>
          <w:t>juin</w:t>
        </w:r>
        <w:r w:rsidR="00C03E46" w:rsidRPr="001F12D9">
          <w:rPr>
            <w:rFonts w:asciiTheme="minorHAnsi" w:hAnsiTheme="minorHAnsi" w:cstheme="minorHAnsi"/>
            <w:sz w:val="20"/>
            <w:szCs w:val="20"/>
            <w:lang w:val="fr-FR"/>
          </w:rPr>
          <w:t xml:space="preserve"> 2023</w:t>
        </w:r>
        <w:r w:rsidRPr="001F12D9">
          <w:rPr>
            <w:rFonts w:asciiTheme="minorHAnsi" w:hAnsiTheme="minorHAnsi" w:cstheme="minorHAnsi"/>
            <w:sz w:val="20"/>
            <w:szCs w:val="20"/>
            <w:lang w:val="fr-FR"/>
          </w:rPr>
          <w:t xml:space="preserve"> </w:t>
        </w:r>
        <w:r w:rsidR="00C03E46" w:rsidRPr="001F12D9">
          <w:rPr>
            <w:rFonts w:asciiTheme="minorHAnsi" w:hAnsiTheme="minorHAnsi" w:cstheme="minorHAnsi"/>
            <w:sz w:val="20"/>
            <w:szCs w:val="20"/>
            <w:lang w:val="fr-FR"/>
          </w:rPr>
          <w:t>:</w:t>
        </w:r>
        <w:r w:rsidR="007E36F5" w:rsidRPr="001F12D9">
          <w:rPr>
            <w:rFonts w:asciiTheme="minorHAnsi" w:hAnsiTheme="minorHAnsi" w:cstheme="minorHAnsi"/>
            <w:sz w:val="20"/>
            <w:szCs w:val="20"/>
            <w:lang w:val="fr-FR"/>
          </w:rPr>
          <w:t xml:space="preserve"> </w:t>
        </w:r>
        <w:r>
          <w:rPr>
            <w:rFonts w:asciiTheme="minorHAnsi" w:hAnsiTheme="minorHAnsi" w:cstheme="minorHAnsi"/>
            <w:sz w:val="20"/>
            <w:szCs w:val="20"/>
            <w:lang w:val="fr-FR"/>
          </w:rPr>
          <w:t>R</w:t>
        </w:r>
        <w:r w:rsidRPr="001F12D9">
          <w:rPr>
            <w:rFonts w:asciiTheme="minorHAnsi" w:hAnsiTheme="minorHAnsi" w:cstheme="minorHAnsi"/>
            <w:sz w:val="20"/>
            <w:szCs w:val="20"/>
            <w:lang w:val="fr-FR"/>
          </w:rPr>
          <w:t>ap</w:t>
        </w:r>
        <w:r w:rsidR="007E36F5" w:rsidRPr="001F12D9">
          <w:rPr>
            <w:rFonts w:asciiTheme="minorHAnsi" w:hAnsiTheme="minorHAnsi" w:cstheme="minorHAnsi"/>
            <w:sz w:val="20"/>
            <w:szCs w:val="20"/>
            <w:lang w:val="fr-FR"/>
          </w:rPr>
          <w:t xml:space="preserve">port </w:t>
        </w:r>
        <w:r>
          <w:rPr>
            <w:rFonts w:asciiTheme="minorHAnsi" w:hAnsiTheme="minorHAnsi" w:cstheme="minorHAnsi"/>
            <w:sz w:val="20"/>
            <w:szCs w:val="20"/>
            <w:lang w:val="fr-FR"/>
          </w:rPr>
          <w:t>et</w:t>
        </w:r>
        <w:r w:rsidR="007E36F5" w:rsidRPr="001F12D9">
          <w:rPr>
            <w:rFonts w:asciiTheme="minorHAnsi" w:hAnsiTheme="minorHAnsi" w:cstheme="minorHAnsi"/>
            <w:sz w:val="20"/>
            <w:szCs w:val="20"/>
            <w:lang w:val="fr-FR"/>
          </w:rPr>
          <w:t xml:space="preserve"> </w:t>
        </w:r>
        <w:r w:rsidR="00734C27">
          <w:rPr>
            <w:rFonts w:asciiTheme="minorHAnsi" w:hAnsiTheme="minorHAnsi" w:cstheme="minorHAnsi"/>
            <w:sz w:val="20"/>
            <w:szCs w:val="20"/>
            <w:lang w:val="fr-FR"/>
          </w:rPr>
          <w:t>D</w:t>
        </w:r>
        <w:r w:rsidRPr="001F12D9">
          <w:rPr>
            <w:rFonts w:asciiTheme="minorHAnsi" w:hAnsiTheme="minorHAnsi" w:cstheme="minorHAnsi"/>
            <w:sz w:val="20"/>
            <w:szCs w:val="20"/>
            <w:lang w:val="fr-FR"/>
          </w:rPr>
          <w:t>écision</w:t>
        </w:r>
        <w:r w:rsidR="007E36F5" w:rsidRPr="001F12D9">
          <w:rPr>
            <w:rFonts w:asciiTheme="minorHAnsi" w:hAnsiTheme="minorHAnsi" w:cstheme="minorHAnsi"/>
            <w:sz w:val="20"/>
            <w:szCs w:val="20"/>
            <w:lang w:val="fr-FR"/>
          </w:rPr>
          <w:tab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E36F5" w:rsidRPr="001F12D9">
          <w:rPr>
            <w:rFonts w:asciiTheme="minorHAnsi" w:hAnsiTheme="minorHAnsi" w:cstheme="minorHAnsi"/>
            <w:sz w:val="20"/>
            <w:szCs w:val="20"/>
            <w:lang w:val="fr-FR"/>
          </w:rPr>
          <w:instrText xml:space="preserve"> PAGE   \* MERGEFORMAT </w:instrText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07BDB">
          <w:rPr>
            <w:rFonts w:asciiTheme="minorHAnsi" w:hAnsiTheme="minorHAnsi" w:cstheme="minorHAnsi"/>
            <w:noProof/>
            <w:sz w:val="20"/>
            <w:szCs w:val="20"/>
            <w:lang w:val="fr-FR"/>
          </w:rPr>
          <w:t>2</w:t>
        </w:r>
        <w:r w:rsidR="007E36F5" w:rsidRPr="007E36F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23E0" w14:textId="77777777" w:rsidR="00734C27" w:rsidRDefault="00734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539A" w14:textId="77777777" w:rsidR="00832ECA" w:rsidRDefault="00832ECA">
      <w:r>
        <w:rPr>
          <w:color w:val="000000"/>
        </w:rPr>
        <w:separator/>
      </w:r>
    </w:p>
  </w:footnote>
  <w:footnote w:type="continuationSeparator" w:id="0">
    <w:p w14:paraId="2254634F" w14:textId="77777777" w:rsidR="00832ECA" w:rsidRDefault="00832ECA">
      <w:r>
        <w:continuationSeparator/>
      </w:r>
    </w:p>
  </w:footnote>
  <w:footnote w:id="1">
    <w:p w14:paraId="3FED722E" w14:textId="2F5E59B8" w:rsidR="00661813" w:rsidRPr="00402A6C" w:rsidRDefault="00661813">
      <w:pPr>
        <w:pStyle w:val="FootnoteText"/>
        <w:rPr>
          <w:rFonts w:asciiTheme="minorHAnsi" w:hAnsiTheme="minorHAnsi" w:cstheme="minorHAnsi"/>
          <w:lang w:val="fr-FR"/>
        </w:rPr>
      </w:pPr>
      <w:r w:rsidRPr="00661813">
        <w:rPr>
          <w:rStyle w:val="FootnoteReference"/>
          <w:rFonts w:asciiTheme="minorHAnsi" w:hAnsiTheme="minorHAnsi" w:cstheme="minorHAnsi"/>
        </w:rPr>
        <w:footnoteRef/>
      </w:r>
      <w:r w:rsidRPr="00402A6C">
        <w:rPr>
          <w:rFonts w:asciiTheme="minorHAnsi" w:hAnsiTheme="minorHAnsi" w:cstheme="minorHAnsi"/>
          <w:lang w:val="fr-FR"/>
        </w:rPr>
        <w:t xml:space="preserve"> </w:t>
      </w:r>
      <w:r w:rsidR="00402A6C" w:rsidRPr="00402A6C">
        <w:rPr>
          <w:rFonts w:asciiTheme="minorHAnsi" w:hAnsiTheme="minorHAnsi" w:cstheme="minorHAnsi"/>
          <w:lang w:val="fr-FR"/>
        </w:rPr>
        <w:t>Voir</w:t>
      </w:r>
      <w:r w:rsidRPr="00402A6C">
        <w:rPr>
          <w:rFonts w:asciiTheme="minorHAnsi" w:hAnsiTheme="minorHAnsi" w:cstheme="minorHAnsi"/>
          <w:lang w:val="fr-FR"/>
        </w:rPr>
        <w:t xml:space="preserve"> </w:t>
      </w:r>
      <w:hyperlink r:id="rId1" w:history="1">
        <w:r w:rsidRPr="00402A6C">
          <w:rPr>
            <w:rStyle w:val="Hyperlink"/>
            <w:rFonts w:asciiTheme="minorHAnsi" w:hAnsiTheme="minorHAnsi" w:cstheme="minorHAnsi"/>
            <w:lang w:val="fr-FR"/>
          </w:rPr>
          <w:t>https://www.ramsar.org/document/25th-meeting-of-the-scientific-and-technical-review-panel-strp25-report-and-decisions</w:t>
        </w:r>
      </w:hyperlink>
      <w:r w:rsidRPr="00402A6C">
        <w:rPr>
          <w:rFonts w:asciiTheme="minorHAnsi" w:hAnsiTheme="minorHAnsi" w:cstheme="minorHAnsi"/>
          <w:lang w:val="fr-FR"/>
        </w:rPr>
        <w:t>.</w:t>
      </w:r>
    </w:p>
  </w:footnote>
  <w:footnote w:id="2">
    <w:p w14:paraId="7A4E1F19" w14:textId="33C7BB06" w:rsidR="0005192E" w:rsidRPr="00C4238E" w:rsidRDefault="0005192E">
      <w:pPr>
        <w:pStyle w:val="FootnoteText"/>
        <w:rPr>
          <w:rFonts w:asciiTheme="minorHAnsi" w:hAnsiTheme="minorHAnsi" w:cstheme="minorHAnsi"/>
          <w:lang w:val="fr-FR"/>
        </w:rPr>
      </w:pPr>
      <w:r w:rsidRPr="00C4238E">
        <w:rPr>
          <w:rStyle w:val="FootnoteReference"/>
          <w:rFonts w:asciiTheme="minorHAnsi" w:hAnsiTheme="minorHAnsi" w:cstheme="minorHAnsi"/>
        </w:rPr>
        <w:footnoteRef/>
      </w:r>
      <w:r w:rsidRPr="00C4238E">
        <w:rPr>
          <w:rFonts w:asciiTheme="minorHAnsi" w:hAnsiTheme="minorHAnsi" w:cstheme="minorHAnsi"/>
          <w:lang w:val="fr-FR"/>
        </w:rPr>
        <w:t xml:space="preserve"> </w:t>
      </w:r>
      <w:r w:rsidR="00402A6C" w:rsidRPr="00C4238E">
        <w:rPr>
          <w:rFonts w:asciiTheme="minorHAnsi" w:hAnsiTheme="minorHAnsi" w:cstheme="minorHAnsi"/>
          <w:lang w:val="fr-FR"/>
        </w:rPr>
        <w:t>Voir</w:t>
      </w:r>
      <w:r w:rsidRPr="00C4238E">
        <w:rPr>
          <w:rFonts w:asciiTheme="minorHAnsi" w:hAnsiTheme="minorHAnsi" w:cstheme="minorHAnsi"/>
          <w:lang w:val="fr-FR"/>
        </w:rPr>
        <w:t xml:space="preserve"> </w:t>
      </w:r>
      <w:hyperlink r:id="rId2" w:history="1">
        <w:r w:rsidR="00C4238E" w:rsidRPr="00C4238E">
          <w:rPr>
            <w:rStyle w:val="Hyperlink"/>
            <w:rFonts w:asciiTheme="minorHAnsi" w:hAnsiTheme="minorHAnsi" w:cstheme="minorHAnsi"/>
            <w:lang w:val="fr-FR"/>
          </w:rPr>
          <w:t>https://www.ramsar.org/fr/document/sc62-doc19-rapport-du-president-du-groupe-devaluation-scientifique-et-technique-y-compris</w:t>
        </w:r>
      </w:hyperlink>
      <w:r w:rsidRPr="00C4238E">
        <w:rPr>
          <w:rFonts w:asciiTheme="minorHAnsi" w:hAnsiTheme="minorHAnsi" w:cstheme="minorHAnsi"/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A4B1" w14:textId="77777777" w:rsidR="00734C27" w:rsidRDefault="00734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8AEB" w14:textId="77777777" w:rsidR="00734C27" w:rsidRDefault="00734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0F3B" w14:textId="77777777" w:rsidR="00734C27" w:rsidRDefault="00734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A25"/>
    <w:multiLevelType w:val="hybridMultilevel"/>
    <w:tmpl w:val="3D007BA4"/>
    <w:lvl w:ilvl="0" w:tplc="91C264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C6A"/>
    <w:multiLevelType w:val="hybridMultilevel"/>
    <w:tmpl w:val="F238D0D4"/>
    <w:lvl w:ilvl="0" w:tplc="D23AB4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4C8FC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74CA6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826E0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696F3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DF03B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66C5B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A721B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54AFA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2FE06088"/>
    <w:multiLevelType w:val="hybridMultilevel"/>
    <w:tmpl w:val="FA44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7631"/>
    <w:multiLevelType w:val="hybridMultilevel"/>
    <w:tmpl w:val="283C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35"/>
    <w:rsid w:val="00013A78"/>
    <w:rsid w:val="00040330"/>
    <w:rsid w:val="0005192E"/>
    <w:rsid w:val="00052918"/>
    <w:rsid w:val="0005335D"/>
    <w:rsid w:val="00056B39"/>
    <w:rsid w:val="0006158E"/>
    <w:rsid w:val="00064C72"/>
    <w:rsid w:val="000660EA"/>
    <w:rsid w:val="000663F7"/>
    <w:rsid w:val="00070614"/>
    <w:rsid w:val="00071D97"/>
    <w:rsid w:val="000A5491"/>
    <w:rsid w:val="000C0B73"/>
    <w:rsid w:val="000D0183"/>
    <w:rsid w:val="000D0B37"/>
    <w:rsid w:val="000F709A"/>
    <w:rsid w:val="00125422"/>
    <w:rsid w:val="0013624A"/>
    <w:rsid w:val="001405F3"/>
    <w:rsid w:val="00146A95"/>
    <w:rsid w:val="0015198D"/>
    <w:rsid w:val="00193B84"/>
    <w:rsid w:val="00194D9C"/>
    <w:rsid w:val="00196010"/>
    <w:rsid w:val="001D6CBD"/>
    <w:rsid w:val="001E1E84"/>
    <w:rsid w:val="001E2D15"/>
    <w:rsid w:val="001F0DC5"/>
    <w:rsid w:val="001F12D9"/>
    <w:rsid w:val="001F4272"/>
    <w:rsid w:val="00215DFF"/>
    <w:rsid w:val="0024038D"/>
    <w:rsid w:val="00242720"/>
    <w:rsid w:val="00252E2A"/>
    <w:rsid w:val="00270D34"/>
    <w:rsid w:val="00297F25"/>
    <w:rsid w:val="002A01A8"/>
    <w:rsid w:val="002C2F3C"/>
    <w:rsid w:val="00307435"/>
    <w:rsid w:val="003460EB"/>
    <w:rsid w:val="00355C9A"/>
    <w:rsid w:val="003645E9"/>
    <w:rsid w:val="0037755A"/>
    <w:rsid w:val="00383FB0"/>
    <w:rsid w:val="00393BF4"/>
    <w:rsid w:val="0039485C"/>
    <w:rsid w:val="003A7B7D"/>
    <w:rsid w:val="003C3606"/>
    <w:rsid w:val="003D2F70"/>
    <w:rsid w:val="003E287A"/>
    <w:rsid w:val="003E3C2A"/>
    <w:rsid w:val="00402A6C"/>
    <w:rsid w:val="00412EA6"/>
    <w:rsid w:val="004203FB"/>
    <w:rsid w:val="00442C45"/>
    <w:rsid w:val="00445BC0"/>
    <w:rsid w:val="00462F30"/>
    <w:rsid w:val="00484BD6"/>
    <w:rsid w:val="00492172"/>
    <w:rsid w:val="00493AE9"/>
    <w:rsid w:val="004A1FEE"/>
    <w:rsid w:val="004A4364"/>
    <w:rsid w:val="004B2601"/>
    <w:rsid w:val="004B4831"/>
    <w:rsid w:val="004D2DF6"/>
    <w:rsid w:val="004E0888"/>
    <w:rsid w:val="004E694E"/>
    <w:rsid w:val="004F6256"/>
    <w:rsid w:val="00502CE5"/>
    <w:rsid w:val="00506CE8"/>
    <w:rsid w:val="00507BAA"/>
    <w:rsid w:val="005123A6"/>
    <w:rsid w:val="005247A8"/>
    <w:rsid w:val="0053004C"/>
    <w:rsid w:val="0054685A"/>
    <w:rsid w:val="0055714A"/>
    <w:rsid w:val="005977BC"/>
    <w:rsid w:val="005B2179"/>
    <w:rsid w:val="005B3373"/>
    <w:rsid w:val="005D67C8"/>
    <w:rsid w:val="005E7AC0"/>
    <w:rsid w:val="005F2F8E"/>
    <w:rsid w:val="00606531"/>
    <w:rsid w:val="0061018C"/>
    <w:rsid w:val="006128AF"/>
    <w:rsid w:val="0062304B"/>
    <w:rsid w:val="006276D5"/>
    <w:rsid w:val="00631A45"/>
    <w:rsid w:val="00631E33"/>
    <w:rsid w:val="0064120B"/>
    <w:rsid w:val="00645A51"/>
    <w:rsid w:val="0065791A"/>
    <w:rsid w:val="00661813"/>
    <w:rsid w:val="00681837"/>
    <w:rsid w:val="006916E0"/>
    <w:rsid w:val="006A11CF"/>
    <w:rsid w:val="006A309A"/>
    <w:rsid w:val="006A314D"/>
    <w:rsid w:val="006D0B8C"/>
    <w:rsid w:val="006F1CF4"/>
    <w:rsid w:val="0070683C"/>
    <w:rsid w:val="00715534"/>
    <w:rsid w:val="00717E19"/>
    <w:rsid w:val="00734C27"/>
    <w:rsid w:val="00753BF5"/>
    <w:rsid w:val="00761856"/>
    <w:rsid w:val="00761A57"/>
    <w:rsid w:val="00762232"/>
    <w:rsid w:val="007652DF"/>
    <w:rsid w:val="00765971"/>
    <w:rsid w:val="00775FDA"/>
    <w:rsid w:val="007A243D"/>
    <w:rsid w:val="007A463F"/>
    <w:rsid w:val="007B3398"/>
    <w:rsid w:val="007E0393"/>
    <w:rsid w:val="007E36F5"/>
    <w:rsid w:val="007F22A9"/>
    <w:rsid w:val="008128BB"/>
    <w:rsid w:val="0082086C"/>
    <w:rsid w:val="00820904"/>
    <w:rsid w:val="00825B23"/>
    <w:rsid w:val="00832ECA"/>
    <w:rsid w:val="00844647"/>
    <w:rsid w:val="00845816"/>
    <w:rsid w:val="00847CE7"/>
    <w:rsid w:val="00864D6C"/>
    <w:rsid w:val="00866FE4"/>
    <w:rsid w:val="00891AE0"/>
    <w:rsid w:val="008A3516"/>
    <w:rsid w:val="008C3090"/>
    <w:rsid w:val="008C4990"/>
    <w:rsid w:val="008C716A"/>
    <w:rsid w:val="00907BDB"/>
    <w:rsid w:val="00912491"/>
    <w:rsid w:val="00930B51"/>
    <w:rsid w:val="00930D44"/>
    <w:rsid w:val="009442BE"/>
    <w:rsid w:val="0095767A"/>
    <w:rsid w:val="00961FC1"/>
    <w:rsid w:val="00970A33"/>
    <w:rsid w:val="00996FD9"/>
    <w:rsid w:val="009A7BFD"/>
    <w:rsid w:val="009B3B8D"/>
    <w:rsid w:val="009C3AEC"/>
    <w:rsid w:val="009C4CCB"/>
    <w:rsid w:val="009E6588"/>
    <w:rsid w:val="009F699F"/>
    <w:rsid w:val="00A1291E"/>
    <w:rsid w:val="00A1572E"/>
    <w:rsid w:val="00A24317"/>
    <w:rsid w:val="00A30E81"/>
    <w:rsid w:val="00A3209A"/>
    <w:rsid w:val="00A40DBC"/>
    <w:rsid w:val="00A525BA"/>
    <w:rsid w:val="00A56F62"/>
    <w:rsid w:val="00A73A14"/>
    <w:rsid w:val="00A9250B"/>
    <w:rsid w:val="00AA14C7"/>
    <w:rsid w:val="00AD0A81"/>
    <w:rsid w:val="00AD40BB"/>
    <w:rsid w:val="00AF0560"/>
    <w:rsid w:val="00B01386"/>
    <w:rsid w:val="00B01E67"/>
    <w:rsid w:val="00B30187"/>
    <w:rsid w:val="00B378CB"/>
    <w:rsid w:val="00B67D1B"/>
    <w:rsid w:val="00BA2963"/>
    <w:rsid w:val="00BB523B"/>
    <w:rsid w:val="00BC3F0F"/>
    <w:rsid w:val="00C033A5"/>
    <w:rsid w:val="00C03E46"/>
    <w:rsid w:val="00C24175"/>
    <w:rsid w:val="00C331C9"/>
    <w:rsid w:val="00C4238E"/>
    <w:rsid w:val="00C504DC"/>
    <w:rsid w:val="00C5504E"/>
    <w:rsid w:val="00C56C58"/>
    <w:rsid w:val="00C83E8F"/>
    <w:rsid w:val="00CD6CD9"/>
    <w:rsid w:val="00CE1FA3"/>
    <w:rsid w:val="00CF7BD0"/>
    <w:rsid w:val="00D63176"/>
    <w:rsid w:val="00D7061D"/>
    <w:rsid w:val="00D97B33"/>
    <w:rsid w:val="00DA3BEC"/>
    <w:rsid w:val="00DC40AA"/>
    <w:rsid w:val="00DD678C"/>
    <w:rsid w:val="00DE3728"/>
    <w:rsid w:val="00DF1C0E"/>
    <w:rsid w:val="00DF51C0"/>
    <w:rsid w:val="00DF773A"/>
    <w:rsid w:val="00E04B68"/>
    <w:rsid w:val="00E12849"/>
    <w:rsid w:val="00E3015B"/>
    <w:rsid w:val="00E574AA"/>
    <w:rsid w:val="00E6581A"/>
    <w:rsid w:val="00E703EF"/>
    <w:rsid w:val="00E82399"/>
    <w:rsid w:val="00E87CB8"/>
    <w:rsid w:val="00E92959"/>
    <w:rsid w:val="00E9564B"/>
    <w:rsid w:val="00EC4C61"/>
    <w:rsid w:val="00F00DC3"/>
    <w:rsid w:val="00F376EE"/>
    <w:rsid w:val="00F46693"/>
    <w:rsid w:val="00F55BBA"/>
    <w:rsid w:val="00F55CC1"/>
    <w:rsid w:val="00F867FB"/>
    <w:rsid w:val="00FA5C01"/>
    <w:rsid w:val="00FC7E3A"/>
    <w:rsid w:val="00FD5E4C"/>
    <w:rsid w:val="00FE2BFC"/>
    <w:rsid w:val="00FE7C4F"/>
    <w:rsid w:val="00FF03A0"/>
    <w:rsid w:val="00FF08ED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8A4CD"/>
  <w15:docId w15:val="{8A47E232-EFF1-4DE0-85E8-6B8EA7C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36F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36F5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6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17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17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76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7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FF08ED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92E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92E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519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19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3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276D5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msar.org/fr/document/sc62-doc19-rapport-du-president-du-groupe-devaluation-scientifique-et-technique-y-compris" TargetMode="External"/><Relationship Id="rId1" Type="http://schemas.openxmlformats.org/officeDocument/2006/relationships/hyperlink" Target="https://www.ramsar.org/document/25th-meeting-of-the-scientific-and-technical-review-panel-strp25-report-and-dec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6B5C-BE47-4B10-B369-DB246A0B873E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c0b6b05-eb82-4bda-97e8-cd82d0d6b453"/>
    <ds:schemaRef ds:uri="http://schemas.openxmlformats.org/package/2006/metadata/core-properties"/>
    <ds:schemaRef ds:uri="aedd258d-19a7-41ba-8260-b0918f25313d"/>
  </ds:schemaRefs>
</ds:datastoreItem>
</file>

<file path=customXml/itemProps2.xml><?xml version="1.0" encoding="utf-8"?>
<ds:datastoreItem xmlns:ds="http://schemas.openxmlformats.org/officeDocument/2006/customXml" ds:itemID="{EF54B3F3-3DFC-438C-A198-4ECF7A980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BA7A5-D7A4-487A-8234-E2CC1D66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1E55C-79D4-4279-B063-C1E44D14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3</cp:revision>
  <cp:lastPrinted>2023-06-30T09:01:00Z</cp:lastPrinted>
  <dcterms:created xsi:type="dcterms:W3CDTF">2023-06-30T12:50:00Z</dcterms:created>
  <dcterms:modified xsi:type="dcterms:W3CDTF">2023-07-11T09:53:00Z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