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C478" w14:textId="787FB37C" w:rsidR="00E703EF" w:rsidRPr="00445BC0" w:rsidRDefault="00462F30" w:rsidP="00A525BA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autoSpaceDN/>
        <w:ind w:right="4490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THE</w:t>
      </w:r>
      <w:r w:rsidRPr="00445BC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="00E703EF" w:rsidRPr="00445BC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CONVENTION ON WETLANDS</w:t>
      </w:r>
    </w:p>
    <w:p w14:paraId="7C23D521" w14:textId="43626B08" w:rsidR="00E703EF" w:rsidRPr="00445BC0" w:rsidRDefault="00E703EF" w:rsidP="00A525BA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autoSpaceDN/>
        <w:ind w:right="4490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 w:rsidRPr="00445BC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6</w:t>
      </w:r>
      <w:r w:rsidR="00146A95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2nd</w:t>
      </w:r>
      <w:r w:rsidRPr="00445BC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="007652DF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m</w:t>
      </w:r>
      <w:r w:rsidRPr="00445BC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eeting of the Standing Committee</w:t>
      </w:r>
    </w:p>
    <w:p w14:paraId="05B45345" w14:textId="24AC1500" w:rsidR="00E703EF" w:rsidRPr="00445BC0" w:rsidRDefault="0070683C" w:rsidP="00A525BA">
      <w:pPr>
        <w:widowControl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autoSpaceDN/>
        <w:ind w:right="4490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Virtual session</w:t>
      </w:r>
      <w:r w:rsidR="00E703EF" w:rsidRPr="00445BC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, 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29 June 2023</w:t>
      </w:r>
    </w:p>
    <w:p w14:paraId="71EB3057" w14:textId="77777777" w:rsidR="00E703EF" w:rsidRPr="00445BC0" w:rsidRDefault="00E703EF" w:rsidP="00B01E67">
      <w:pPr>
        <w:pStyle w:val="Standard"/>
        <w:widowControl/>
        <w:jc w:val="center"/>
        <w:rPr>
          <w:rFonts w:asciiTheme="minorHAnsi" w:hAnsiTheme="minorHAnsi" w:cstheme="minorHAnsi"/>
          <w:b/>
          <w:bCs/>
        </w:rPr>
      </w:pPr>
    </w:p>
    <w:p w14:paraId="66AA753C" w14:textId="77777777" w:rsidR="00E703EF" w:rsidRPr="00445BC0" w:rsidRDefault="00E703EF" w:rsidP="00B01E67">
      <w:pPr>
        <w:pStyle w:val="Standard"/>
        <w:widowControl/>
        <w:jc w:val="center"/>
        <w:rPr>
          <w:rFonts w:asciiTheme="minorHAnsi" w:hAnsiTheme="minorHAnsi" w:cstheme="minorHAnsi"/>
          <w:b/>
          <w:bCs/>
        </w:rPr>
      </w:pPr>
    </w:p>
    <w:p w14:paraId="0905090F" w14:textId="4A46CD01" w:rsidR="000D0183" w:rsidRDefault="005F2F8E" w:rsidP="00B01E67">
      <w:pPr>
        <w:jc w:val="center"/>
      </w:pPr>
      <w:r w:rsidRPr="00445BC0">
        <w:rPr>
          <w:rFonts w:asciiTheme="minorHAnsi" w:hAnsiTheme="minorHAnsi" w:cstheme="minorHAnsi"/>
          <w:b/>
          <w:bCs/>
          <w:sz w:val="28"/>
          <w:szCs w:val="28"/>
        </w:rPr>
        <w:t xml:space="preserve">Report and decision of the </w:t>
      </w:r>
      <w:r w:rsidR="0070683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146A95" w:rsidRPr="00146A95">
        <w:rPr>
          <w:rFonts w:asciiTheme="minorHAnsi" w:hAnsiTheme="minorHAnsi" w:cstheme="minorHAnsi"/>
          <w:b/>
          <w:bCs/>
          <w:sz w:val="28"/>
          <w:szCs w:val="28"/>
        </w:rPr>
        <w:t xml:space="preserve">ntersessional </w:t>
      </w:r>
      <w:r w:rsidR="0005192E">
        <w:rPr>
          <w:rFonts w:asciiTheme="minorHAnsi" w:hAnsiTheme="minorHAnsi" w:cstheme="minorHAnsi"/>
          <w:b/>
          <w:bCs/>
          <w:sz w:val="28"/>
          <w:szCs w:val="28"/>
        </w:rPr>
        <w:t>virtual</w:t>
      </w:r>
      <w:r w:rsidR="00146A95" w:rsidRPr="00146A95">
        <w:rPr>
          <w:rFonts w:asciiTheme="minorHAnsi" w:hAnsiTheme="minorHAnsi" w:cstheme="minorHAnsi"/>
          <w:b/>
          <w:bCs/>
          <w:sz w:val="28"/>
          <w:szCs w:val="28"/>
        </w:rPr>
        <w:t xml:space="preserve"> meeting </w:t>
      </w:r>
      <w:r w:rsidR="00775FDA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46A95" w:rsidRPr="00146A95">
        <w:rPr>
          <w:rFonts w:asciiTheme="minorHAnsi" w:hAnsiTheme="minorHAnsi" w:cstheme="minorHAnsi"/>
          <w:b/>
          <w:bCs/>
          <w:sz w:val="28"/>
          <w:szCs w:val="28"/>
        </w:rPr>
        <w:t xml:space="preserve">of the Standing Committee to consider the work plan </w:t>
      </w:r>
      <w:r w:rsidR="00775FDA">
        <w:rPr>
          <w:rFonts w:asciiTheme="minorHAnsi" w:hAnsiTheme="minorHAnsi" w:cstheme="minorHAnsi"/>
          <w:b/>
          <w:bCs/>
          <w:sz w:val="28"/>
          <w:szCs w:val="28"/>
        </w:rPr>
        <w:br/>
        <w:t xml:space="preserve">of the </w:t>
      </w:r>
      <w:r w:rsidR="00775FDA" w:rsidRPr="00775FDA">
        <w:rPr>
          <w:rFonts w:asciiTheme="minorHAnsi" w:hAnsiTheme="minorHAnsi" w:cstheme="minorHAnsi"/>
          <w:b/>
          <w:bCs/>
          <w:sz w:val="28"/>
          <w:szCs w:val="28"/>
        </w:rPr>
        <w:t xml:space="preserve">Scientific and Technical Review Panel </w:t>
      </w:r>
      <w:r w:rsidR="00146A95" w:rsidRPr="00146A95">
        <w:rPr>
          <w:rFonts w:asciiTheme="minorHAnsi" w:hAnsiTheme="minorHAnsi" w:cstheme="minorHAnsi"/>
          <w:b/>
          <w:bCs/>
          <w:sz w:val="28"/>
          <w:szCs w:val="28"/>
        </w:rPr>
        <w:t>for 2023-2025</w:t>
      </w:r>
      <w:r w:rsidR="007E36F5" w:rsidRPr="00445BC0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734B87CF" w14:textId="23F1F065" w:rsidR="00307435" w:rsidRPr="00445BC0" w:rsidRDefault="00307435" w:rsidP="0070683C">
      <w:pPr>
        <w:pStyle w:val="Standard"/>
        <w:widowControl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E22B17" w14:textId="77777777" w:rsidR="00AA14C7" w:rsidRPr="00445BC0" w:rsidRDefault="00AA14C7" w:rsidP="00F55CC1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4CBEB9A5" w14:textId="5C5E5494" w:rsidR="00BB523B" w:rsidRPr="00445BC0" w:rsidRDefault="0070683C" w:rsidP="00F55CC1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Thursday</w:t>
      </w:r>
      <w:r w:rsidR="00AA14C7" w:rsidRPr="00445B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AA14C7" w:rsidRPr="00445B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June 2023</w:t>
      </w:r>
    </w:p>
    <w:p w14:paraId="0B7966E5" w14:textId="77777777" w:rsidR="00AA14C7" w:rsidRPr="00445BC0" w:rsidRDefault="00AA14C7" w:rsidP="00F55CC1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4F3FB9F7" w14:textId="0DE801E7" w:rsidR="00AA14C7" w:rsidRPr="00445BC0" w:rsidRDefault="00717E19" w:rsidP="00F55CC1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445B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0683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E287A" w:rsidRPr="00445B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0683C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Pr="00445BC0">
        <w:rPr>
          <w:rFonts w:asciiTheme="minorHAnsi" w:hAnsiTheme="minorHAnsi" w:cstheme="minorHAnsi"/>
          <w:b/>
          <w:bCs/>
          <w:sz w:val="22"/>
          <w:szCs w:val="22"/>
        </w:rPr>
        <w:t xml:space="preserve"> – 1</w:t>
      </w:r>
      <w:r w:rsidR="0070683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45B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0683C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Pr="00445B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683C">
        <w:rPr>
          <w:rFonts w:asciiTheme="minorHAnsi" w:hAnsiTheme="minorHAnsi" w:cstheme="minorHAnsi"/>
          <w:b/>
          <w:bCs/>
          <w:sz w:val="22"/>
          <w:szCs w:val="22"/>
        </w:rPr>
        <w:t xml:space="preserve">CEST </w:t>
      </w:r>
      <w:r w:rsidR="00AA14C7" w:rsidRPr="00445BC0">
        <w:rPr>
          <w:rFonts w:asciiTheme="minorHAnsi" w:hAnsiTheme="minorHAnsi" w:cstheme="minorHAnsi"/>
          <w:b/>
          <w:bCs/>
          <w:sz w:val="22"/>
          <w:szCs w:val="22"/>
        </w:rPr>
        <w:t>Plenary Session of the Standing Committee</w:t>
      </w:r>
    </w:p>
    <w:p w14:paraId="06BCA898" w14:textId="77777777" w:rsidR="00307435" w:rsidRPr="00445BC0" w:rsidRDefault="00307435" w:rsidP="00F55CC1">
      <w:pPr>
        <w:pStyle w:val="Standard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0E9C7729" w14:textId="47EE012C" w:rsidR="00307435" w:rsidRPr="00445BC0" w:rsidRDefault="000D0183" w:rsidP="00F55CC1">
      <w:pPr>
        <w:widowControl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autoSpaceDN/>
        <w:contextualSpacing/>
        <w:textAlignment w:val="auto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D</w:t>
      </w:r>
      <w:r w:rsidR="0070683C" w:rsidRPr="0070683C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raft 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STRP </w:t>
      </w:r>
      <w:r w:rsidR="0070683C" w:rsidRPr="0070683C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work plan 2023-2025</w:t>
      </w:r>
      <w:r w:rsidR="0070683C" w:rsidRPr="0070683C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ab/>
      </w:r>
    </w:p>
    <w:p w14:paraId="23940C41" w14:textId="77777777" w:rsidR="00307435" w:rsidRPr="00445BC0" w:rsidRDefault="00307435" w:rsidP="00F55CC1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75416C6A" w14:textId="7F31C80D" w:rsidR="0070683C" w:rsidRDefault="00775FDA" w:rsidP="00F55CC1">
      <w:pPr>
        <w:pStyle w:val="Standard"/>
        <w:widowControl/>
        <w:ind w:left="567" w:hanging="567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70683C">
        <w:rPr>
          <w:rFonts w:asciiTheme="minorHAnsi" w:hAnsiTheme="minorHAnsi" w:cstheme="minorHAnsi"/>
          <w:sz w:val="22"/>
          <w:szCs w:val="22"/>
        </w:rPr>
        <w:t xml:space="preserve">The </w:t>
      </w:r>
      <w:r w:rsidR="0070683C" w:rsidRPr="0070683C">
        <w:rPr>
          <w:rFonts w:asciiTheme="minorHAnsi" w:hAnsiTheme="minorHAnsi" w:cstheme="minorHAnsi"/>
          <w:b/>
          <w:sz w:val="22"/>
          <w:szCs w:val="22"/>
        </w:rPr>
        <w:t>Chair of the Standing Committee</w:t>
      </w:r>
      <w:r w:rsidR="0070683C">
        <w:rPr>
          <w:rFonts w:asciiTheme="minorHAnsi" w:hAnsiTheme="minorHAnsi" w:cstheme="minorHAnsi"/>
          <w:sz w:val="22"/>
          <w:szCs w:val="22"/>
        </w:rPr>
        <w:t xml:space="preserve"> opened the </w:t>
      </w:r>
      <w:r w:rsidR="007652DF">
        <w:rPr>
          <w:rFonts w:asciiTheme="minorHAnsi" w:hAnsiTheme="minorHAnsi" w:cstheme="minorHAnsi"/>
          <w:sz w:val="22"/>
          <w:szCs w:val="22"/>
        </w:rPr>
        <w:t>session</w:t>
      </w:r>
      <w:r>
        <w:rPr>
          <w:rFonts w:asciiTheme="minorHAnsi" w:hAnsiTheme="minorHAnsi" w:cstheme="minorHAnsi"/>
          <w:sz w:val="22"/>
          <w:szCs w:val="22"/>
        </w:rPr>
        <w:t>,</w:t>
      </w:r>
      <w:r w:rsidR="0070683C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informed members</w:t>
      </w:r>
      <w:r w:rsidR="007068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that the Chair of the </w:t>
      </w:r>
      <w:r w:rsidRPr="0070683C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Scientific and Technical Review Panel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(STRP) had requested intersessional consideration and approval of the STRP work plan for the triennium, and that, </w:t>
      </w:r>
      <w:r w:rsidR="00A525BA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on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the recommendation of the Executive Team, the Management Working Group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was consulted to seek its endorsement of requesting intersessional approval of the work plan </w:t>
      </w:r>
      <w:r w:rsidR="00B01E67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and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the Management Working Group had no objection. 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</w:t>
      </w:r>
    </w:p>
    <w:p w14:paraId="594703AF" w14:textId="462545AB" w:rsidR="00775FDA" w:rsidRDefault="00775FDA" w:rsidP="00F55CC1">
      <w:pPr>
        <w:pStyle w:val="Standard"/>
        <w:widowControl/>
        <w:ind w:left="567" w:hanging="567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</w:p>
    <w:p w14:paraId="1EEE7E99" w14:textId="773513FB" w:rsidR="00775FDA" w:rsidRDefault="00775FDA" w:rsidP="00F55CC1">
      <w:pPr>
        <w:pStyle w:val="Standard"/>
        <w:widowControl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2.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ab/>
      </w:r>
      <w:r w:rsidR="007652DF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The </w:t>
      </w:r>
      <w:r w:rsidR="007652DF" w:rsidRPr="007652DF">
        <w:rPr>
          <w:rFonts w:asciiTheme="minorHAnsi" w:eastAsia="Calibri" w:hAnsiTheme="minorHAnsi" w:cs="Calibri"/>
          <w:b/>
          <w:bCs/>
          <w:kern w:val="0"/>
          <w:sz w:val="22"/>
          <w:szCs w:val="22"/>
          <w:lang w:eastAsia="en-US" w:bidi="ar-SA"/>
        </w:rPr>
        <w:t>Secretary General</w:t>
      </w:r>
      <w:r w:rsidR="007652DF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welcomed participants and noted the importance of the work of the STRP in 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supporting Parties in the implementation of the Convention</w:t>
      </w:r>
      <w:r w:rsidR="00825B23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,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</w:t>
      </w:r>
      <w:r w:rsidR="00825B23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emphasizing</w:t>
      </w:r>
      <w:r w:rsidR="007652DF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the </w:t>
      </w:r>
      <w:r w:rsidR="00A525BA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critical role</w:t>
      </w:r>
      <w:r w:rsidR="007652DF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of wetlands </w:t>
      </w:r>
      <w:r w:rsidR="00A525BA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in</w:t>
      </w:r>
      <w:r w:rsidR="007652DF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the achievement of global environmental objectives.</w:t>
      </w:r>
    </w:p>
    <w:p w14:paraId="62991163" w14:textId="77777777" w:rsidR="0070683C" w:rsidRDefault="0070683C" w:rsidP="00F55CC1">
      <w:pPr>
        <w:pStyle w:val="Standard"/>
        <w:widowControl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67EB922" w14:textId="20A0B3C2" w:rsidR="0070683C" w:rsidRDefault="0005192E" w:rsidP="00F55CC1">
      <w:pPr>
        <w:pStyle w:val="Standard"/>
        <w:widowControl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 xml:space="preserve">The </w:t>
      </w:r>
      <w:r w:rsidRPr="0005192E">
        <w:rPr>
          <w:rFonts w:asciiTheme="minorHAnsi" w:eastAsia="Calibri" w:hAnsiTheme="minorHAnsi" w:cs="Calibri"/>
          <w:b/>
          <w:bCs/>
          <w:kern w:val="0"/>
          <w:sz w:val="22"/>
          <w:szCs w:val="22"/>
          <w:lang w:eastAsia="en-US" w:bidi="ar-SA"/>
        </w:rPr>
        <w:t>Chair of the STRP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summarized the key aims of the STRP for the triennium and 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provided an overview of </w:t>
      </w:r>
      <w:r w:rsidR="00FA4861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t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he Panel’s 25th meeting (STRP25) held from 2 to 5 May 2023</w:t>
      </w:r>
      <w:r w:rsidR="00661813">
        <w:rPr>
          <w:rStyle w:val="FootnoteReference"/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footnoteReference w:id="1"/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. He introduced the STRP work plan which is annexed to document SC62 Doc.19</w:t>
      </w:r>
      <w:r>
        <w:rPr>
          <w:rStyle w:val="FootnoteReference"/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footnoteReference w:id="2"/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, summarizing the high and highest-priority tasks and 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estimated 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funding</w:t>
      </w:r>
      <w:r w:rsidR="00BB523B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 requirements.</w:t>
      </w:r>
    </w:p>
    <w:p w14:paraId="703DEF2D" w14:textId="1C44985B" w:rsidR="0070683C" w:rsidRDefault="0070683C" w:rsidP="00F55CC1">
      <w:pPr>
        <w:pStyle w:val="Standard"/>
        <w:widowControl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E95A2C5" w14:textId="426500BE" w:rsidR="00661813" w:rsidRDefault="00661813" w:rsidP="00F55CC1">
      <w:pPr>
        <w:pStyle w:val="Standard"/>
        <w:widowControl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  <w:t xml:space="preserve">Interventions were made by </w:t>
      </w:r>
      <w:r w:rsidRPr="00661813">
        <w:rPr>
          <w:rFonts w:asciiTheme="minorHAnsi" w:hAnsiTheme="minorHAnsi" w:cstheme="minorHAnsi"/>
          <w:b/>
          <w:sz w:val="22"/>
          <w:szCs w:val="22"/>
        </w:rPr>
        <w:t>Belgium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61813">
        <w:rPr>
          <w:rFonts w:asciiTheme="minorHAnsi" w:hAnsiTheme="minorHAnsi" w:cstheme="minorHAnsi"/>
          <w:b/>
          <w:sz w:val="22"/>
          <w:szCs w:val="22"/>
        </w:rPr>
        <w:t>Canada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61813">
        <w:rPr>
          <w:rFonts w:asciiTheme="minorHAnsi" w:hAnsiTheme="minorHAnsi" w:cstheme="minorHAnsi"/>
          <w:b/>
          <w:sz w:val="22"/>
          <w:szCs w:val="22"/>
        </w:rPr>
        <w:t>China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61813">
        <w:rPr>
          <w:rFonts w:asciiTheme="minorHAnsi" w:hAnsiTheme="minorHAnsi" w:cstheme="minorHAnsi"/>
          <w:b/>
          <w:sz w:val="22"/>
          <w:szCs w:val="22"/>
        </w:rPr>
        <w:t>Georgia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61813">
        <w:rPr>
          <w:rFonts w:asciiTheme="minorHAnsi" w:hAnsiTheme="minorHAnsi" w:cstheme="minorHAnsi"/>
          <w:b/>
          <w:sz w:val="22"/>
          <w:szCs w:val="22"/>
        </w:rPr>
        <w:t>Libya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661813">
        <w:rPr>
          <w:rFonts w:asciiTheme="minorHAnsi" w:hAnsiTheme="minorHAnsi" w:cstheme="minorHAnsi"/>
          <w:b/>
          <w:sz w:val="22"/>
          <w:szCs w:val="22"/>
        </w:rPr>
        <w:t>Sweden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BB0D2F" w14:textId="060AB76F" w:rsidR="00661813" w:rsidRDefault="00661813" w:rsidP="00F55CC1">
      <w:pPr>
        <w:pStyle w:val="Standard"/>
        <w:widowControl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4953B61C" w14:textId="196FE0E8" w:rsidR="00661813" w:rsidRDefault="00661813" w:rsidP="00F55CC1">
      <w:pPr>
        <w:pStyle w:val="Standard"/>
        <w:widowControl/>
        <w:ind w:left="567" w:hanging="567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In response to comments by Committee members, the </w:t>
      </w:r>
      <w:r w:rsidRPr="0005192E">
        <w:rPr>
          <w:rFonts w:asciiTheme="minorHAnsi" w:eastAsia="Calibri" w:hAnsiTheme="minorHAnsi" w:cs="Calibri"/>
          <w:b/>
          <w:bCs/>
          <w:kern w:val="0"/>
          <w:sz w:val="22"/>
          <w:szCs w:val="22"/>
          <w:lang w:eastAsia="en-US" w:bidi="ar-SA"/>
        </w:rPr>
        <w:t>Chair of the STRP</w:t>
      </w:r>
      <w:r>
        <w:rPr>
          <w:rFonts w:asciiTheme="minorHAnsi" w:eastAsia="Calibri" w:hAnsiTheme="minorHAns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1813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noted:</w:t>
      </w:r>
    </w:p>
    <w:p w14:paraId="51676E6D" w14:textId="2FC6E64B" w:rsidR="00071D97" w:rsidRDefault="00071D97" w:rsidP="00F55CC1">
      <w:pPr>
        <w:pStyle w:val="Standard"/>
        <w:widowControl/>
        <w:ind w:left="567" w:hanging="567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</w:p>
    <w:p w14:paraId="7C7D93B3" w14:textId="0CFC2FBE" w:rsidR="00071D97" w:rsidRDefault="00071D97" w:rsidP="00071D97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i.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ab/>
        <w:t xml:space="preserve">the recommendation to seek additional funding for implementation of task 5.1 on the </w:t>
      </w:r>
      <w:r w:rsidRPr="00071D97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Global Wetland Outlook (GWO) 2025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;</w:t>
      </w:r>
    </w:p>
    <w:p w14:paraId="36A04A4D" w14:textId="30243347" w:rsidR="00071D97" w:rsidRDefault="00071D97" w:rsidP="00071D97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</w:p>
    <w:p w14:paraId="77D0048E" w14:textId="60206B6F" w:rsidR="00071D97" w:rsidRDefault="00071D97" w:rsidP="00071D97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>ii.</w:t>
      </w:r>
      <w:r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ab/>
        <w:t>the importance of incorporating indigenous and traditional knowledge into task outputs</w:t>
      </w:r>
      <w:r w:rsidR="00C03E46"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  <w:t xml:space="preserve">, which had been planned for task 2.2 on small wetlands, and would be incorporated into task 5.1; </w:t>
      </w:r>
    </w:p>
    <w:p w14:paraId="3C3C7616" w14:textId="5355310B" w:rsidR="00C03E46" w:rsidRDefault="00C03E46" w:rsidP="00071D97">
      <w:pPr>
        <w:pStyle w:val="Standard"/>
        <w:widowControl/>
        <w:ind w:left="993" w:hanging="426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</w:p>
    <w:p w14:paraId="064742E0" w14:textId="693B43E0" w:rsidR="00C03E46" w:rsidRDefault="00C03E46" w:rsidP="00071D97">
      <w:pPr>
        <w:pStyle w:val="Standard"/>
        <w:widowControl/>
        <w:ind w:left="993" w:hanging="426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bookmarkStart w:id="0" w:name="_GoBack"/>
      <w:r w:rsidRPr="000D0183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lastRenderedPageBreak/>
        <w:t>iii.</w:t>
      </w:r>
      <w:r w:rsidRPr="000D0183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ab/>
        <w:t>that</w:t>
      </w:r>
      <w:r w:rsidR="000D0183" w:rsidRPr="00B01E67">
        <w:rPr>
          <w:rFonts w:asciiTheme="minorHAnsi" w:hAnsiTheme="minorHAnsi" w:cstheme="minorHAnsi"/>
          <w:sz w:val="22"/>
          <w:szCs w:val="22"/>
        </w:rPr>
        <w:t xml:space="preserve"> other matters addressed in the STRP Chairs report to SC62 can be discussed under agenda item 19</w:t>
      </w:r>
      <w:r w:rsidR="000D0183">
        <w:rPr>
          <w:rFonts w:asciiTheme="minorHAnsi" w:hAnsiTheme="minorHAnsi" w:cstheme="minorHAnsi"/>
          <w:sz w:val="22"/>
          <w:szCs w:val="22"/>
        </w:rPr>
        <w:t xml:space="preserve"> at SC62</w:t>
      </w:r>
      <w:r w:rsidR="000D0183" w:rsidRPr="00B01E67">
        <w:rPr>
          <w:rFonts w:asciiTheme="minorHAnsi" w:hAnsiTheme="minorHAnsi" w:cstheme="minorHAnsi"/>
          <w:sz w:val="22"/>
          <w:szCs w:val="22"/>
        </w:rPr>
        <w:t>, including wetland inventory and classification</w:t>
      </w:r>
      <w:r w:rsidR="0097562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; and</w:t>
      </w:r>
    </w:p>
    <w:p w14:paraId="4C39102B" w14:textId="77777777" w:rsidR="00F635C7" w:rsidRDefault="00F635C7" w:rsidP="00071D97">
      <w:pPr>
        <w:pStyle w:val="Standard"/>
        <w:widowControl/>
        <w:ind w:left="993" w:hanging="426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</w:p>
    <w:p w14:paraId="2EB6256F" w14:textId="11D1DD6A" w:rsidR="00F635C7" w:rsidRPr="000D0183" w:rsidRDefault="00F635C7" w:rsidP="00071D97">
      <w:pPr>
        <w:pStyle w:val="Standard"/>
        <w:widowControl/>
        <w:ind w:left="99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iv.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ab/>
      </w:r>
      <w:r w:rsidR="000633A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that 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references to the </w:t>
      </w:r>
      <w:r w:rsidRPr="00F635C7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Kunming-Montreal Global Biodiversity Framework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="000633A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be updated in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the work plan</w:t>
      </w:r>
      <w:r w:rsidR="00975622" w:rsidRPr="00975622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, to reflect its full title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.</w:t>
      </w:r>
    </w:p>
    <w:bookmarkEnd w:id="0"/>
    <w:p w14:paraId="30BF28A3" w14:textId="77777777" w:rsidR="0015198D" w:rsidRPr="00445BC0" w:rsidRDefault="0015198D" w:rsidP="00F55CC1">
      <w:pPr>
        <w:pStyle w:val="Standard"/>
        <w:widowControl/>
        <w:ind w:left="567" w:hanging="567"/>
        <w:rPr>
          <w:rFonts w:asciiTheme="minorHAnsi" w:eastAsia="Calibri" w:hAnsiTheme="minorHAnsi" w:cs="Calibri"/>
          <w:bCs/>
          <w:kern w:val="0"/>
          <w:sz w:val="22"/>
          <w:szCs w:val="22"/>
          <w:lang w:eastAsia="en-US" w:bidi="ar-SA"/>
        </w:rPr>
      </w:pPr>
    </w:p>
    <w:p w14:paraId="022E0DAF" w14:textId="70990D67" w:rsidR="00AF0560" w:rsidRPr="00AF0560" w:rsidRDefault="00C03E46" w:rsidP="00A525BA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  <w:r w:rsidRPr="00C03E46">
        <w:rPr>
          <w:rFonts w:asciiTheme="minorHAnsi" w:hAnsiTheme="minorHAnsi" w:cstheme="minorHAnsi"/>
          <w:b/>
          <w:bCs/>
          <w:sz w:val="22"/>
          <w:szCs w:val="22"/>
        </w:rPr>
        <w:t>Pre-SC62 Intersessional Decision 0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03E46">
        <w:rPr>
          <w:rFonts w:asciiTheme="minorHAnsi" w:hAnsiTheme="minorHAnsi" w:cstheme="minorHAnsi"/>
          <w:b/>
          <w:bCs/>
          <w:sz w:val="22"/>
          <w:szCs w:val="22"/>
        </w:rPr>
        <w:t>: The Standing Committee</w:t>
      </w:r>
      <w:r w:rsidR="00A525BA">
        <w:rPr>
          <w:rFonts w:asciiTheme="minorHAnsi" w:hAnsiTheme="minorHAnsi" w:cstheme="minorHAnsi"/>
          <w:b/>
          <w:bCs/>
          <w:sz w:val="22"/>
          <w:szCs w:val="22"/>
        </w:rPr>
        <w:t xml:space="preserve"> approved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3E46">
        <w:rPr>
          <w:rFonts w:asciiTheme="minorHAnsi" w:hAnsiTheme="minorHAnsi" w:cstheme="minorHAnsi"/>
          <w:b/>
          <w:bCs/>
          <w:sz w:val="22"/>
          <w:szCs w:val="22"/>
        </w:rPr>
        <w:t>the work plan of the Scientific and Technical Review Panel for 2023-2025</w:t>
      </w:r>
      <w:r w:rsidR="00A525BA">
        <w:rPr>
          <w:rFonts w:asciiTheme="minorHAnsi" w:hAnsiTheme="minorHAnsi" w:cstheme="minorHAnsi"/>
          <w:b/>
          <w:bCs/>
          <w:sz w:val="22"/>
          <w:szCs w:val="22"/>
        </w:rPr>
        <w:t>, contained in Annex 1 of document SC62 Doc.19.</w:t>
      </w:r>
    </w:p>
    <w:sectPr w:rsidR="00AF0560" w:rsidRPr="00AF0560" w:rsidSect="007E36F5">
      <w:footerReference w:type="default" r:id="rId11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5872" w14:textId="77777777" w:rsidR="004C12FC" w:rsidRDefault="004C12FC">
      <w:r>
        <w:separator/>
      </w:r>
    </w:p>
  </w:endnote>
  <w:endnote w:type="continuationSeparator" w:id="0">
    <w:p w14:paraId="042CB56E" w14:textId="77777777" w:rsidR="004C12FC" w:rsidRDefault="004C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81DE" w14:textId="3D707708" w:rsidR="007E36F5" w:rsidRPr="007E36F5" w:rsidRDefault="00C60E13" w:rsidP="007E36F5">
    <w:pPr>
      <w:pStyle w:val="Header"/>
      <w:rPr>
        <w:rFonts w:asciiTheme="minorHAnsi" w:hAnsiTheme="minorHAnsi" w:cstheme="minorHAnsi"/>
        <w:noProof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36F5" w:rsidRPr="007E36F5">
          <w:rPr>
            <w:rFonts w:asciiTheme="minorHAnsi" w:hAnsiTheme="minorHAnsi" w:cstheme="minorHAnsi"/>
            <w:sz w:val="20"/>
            <w:szCs w:val="20"/>
          </w:rPr>
          <w:t>SC6</w:t>
        </w:r>
        <w:r w:rsidR="00C03E46">
          <w:rPr>
            <w:rFonts w:asciiTheme="minorHAnsi" w:hAnsiTheme="minorHAnsi" w:cstheme="minorHAnsi"/>
            <w:sz w:val="20"/>
            <w:szCs w:val="20"/>
          </w:rPr>
          <w:t>2 virtual session 29 June 2023:</w:t>
        </w:r>
        <w:r w:rsidR="007E36F5" w:rsidRPr="007E36F5">
          <w:rPr>
            <w:rFonts w:asciiTheme="minorHAnsi" w:hAnsiTheme="minorHAnsi" w:cstheme="minorHAnsi"/>
            <w:sz w:val="20"/>
            <w:szCs w:val="20"/>
          </w:rPr>
          <w:t xml:space="preserve"> report and decisions</w:t>
        </w:r>
        <w:r w:rsidR="007E36F5" w:rsidRPr="007E36F5">
          <w:rPr>
            <w:rFonts w:asciiTheme="minorHAnsi" w:hAnsiTheme="minorHAnsi" w:cstheme="minorHAnsi"/>
            <w:sz w:val="20"/>
            <w:szCs w:val="20"/>
          </w:rPr>
          <w:tab/>
        </w:r>
        <w:r w:rsidR="007E36F5" w:rsidRPr="007E36F5">
          <w:rPr>
            <w:rFonts w:asciiTheme="minorHAnsi" w:hAnsiTheme="minorHAnsi" w:cstheme="minorHAnsi"/>
            <w:sz w:val="20"/>
            <w:szCs w:val="20"/>
          </w:rPr>
          <w:tab/>
        </w:r>
        <w:r w:rsidR="007E36F5" w:rsidRPr="007E36F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E36F5" w:rsidRPr="007E36F5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7E36F5" w:rsidRPr="007E36F5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7E36F5" w:rsidRPr="007E36F5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67638" w14:textId="77777777" w:rsidR="004C12FC" w:rsidRDefault="004C12FC">
      <w:r>
        <w:rPr>
          <w:color w:val="000000"/>
        </w:rPr>
        <w:separator/>
      </w:r>
    </w:p>
  </w:footnote>
  <w:footnote w:type="continuationSeparator" w:id="0">
    <w:p w14:paraId="5FD8F339" w14:textId="77777777" w:rsidR="004C12FC" w:rsidRDefault="004C12FC">
      <w:r>
        <w:continuationSeparator/>
      </w:r>
    </w:p>
  </w:footnote>
  <w:footnote w:id="1">
    <w:p w14:paraId="3FED722E" w14:textId="358F8013" w:rsidR="00661813" w:rsidRPr="00661813" w:rsidRDefault="00661813">
      <w:pPr>
        <w:pStyle w:val="FootnoteText"/>
        <w:rPr>
          <w:rFonts w:asciiTheme="minorHAnsi" w:hAnsiTheme="minorHAnsi" w:cstheme="minorHAnsi"/>
        </w:rPr>
      </w:pPr>
      <w:r w:rsidRPr="00661813">
        <w:rPr>
          <w:rStyle w:val="FootnoteReference"/>
          <w:rFonts w:asciiTheme="minorHAnsi" w:hAnsiTheme="minorHAnsi" w:cstheme="minorHAnsi"/>
        </w:rPr>
        <w:footnoteRef/>
      </w:r>
      <w:r w:rsidRPr="00661813">
        <w:rPr>
          <w:rFonts w:asciiTheme="minorHAnsi" w:hAnsiTheme="minorHAnsi" w:cstheme="minorHAnsi"/>
        </w:rPr>
        <w:t xml:space="preserve"> See </w:t>
      </w:r>
      <w:hyperlink r:id="rId1" w:history="1">
        <w:r w:rsidRPr="00661813">
          <w:rPr>
            <w:rStyle w:val="Hyperlink"/>
            <w:rFonts w:asciiTheme="minorHAnsi" w:hAnsiTheme="minorHAnsi" w:cstheme="minorHAnsi"/>
          </w:rPr>
          <w:t>https://www.ramsar.org/document/25th-meeting-of-the-scientific-and-technical-review-panel-strp25-report-and-decisions</w:t>
        </w:r>
      </w:hyperlink>
      <w:r w:rsidRPr="00661813">
        <w:rPr>
          <w:rFonts w:asciiTheme="minorHAnsi" w:hAnsiTheme="minorHAnsi" w:cstheme="minorHAnsi"/>
        </w:rPr>
        <w:t>.</w:t>
      </w:r>
    </w:p>
  </w:footnote>
  <w:footnote w:id="2">
    <w:p w14:paraId="7A4E1F19" w14:textId="4F7BD8CE" w:rsidR="0005192E" w:rsidRPr="0005192E" w:rsidRDefault="0005192E">
      <w:pPr>
        <w:pStyle w:val="FootnoteText"/>
        <w:rPr>
          <w:rFonts w:asciiTheme="minorHAnsi" w:hAnsiTheme="minorHAnsi" w:cstheme="minorHAnsi"/>
        </w:rPr>
      </w:pPr>
      <w:r w:rsidRPr="0005192E">
        <w:rPr>
          <w:rStyle w:val="FootnoteReference"/>
          <w:rFonts w:asciiTheme="minorHAnsi" w:hAnsiTheme="minorHAnsi" w:cstheme="minorHAnsi"/>
        </w:rPr>
        <w:footnoteRef/>
      </w:r>
      <w:r w:rsidRPr="0005192E">
        <w:rPr>
          <w:rFonts w:asciiTheme="minorHAnsi" w:hAnsiTheme="minorHAnsi" w:cstheme="minorHAnsi"/>
        </w:rPr>
        <w:t xml:space="preserve"> See </w:t>
      </w:r>
      <w:hyperlink r:id="rId2" w:history="1">
        <w:r w:rsidRPr="0005192E">
          <w:rPr>
            <w:rStyle w:val="Hyperlink"/>
            <w:rFonts w:asciiTheme="minorHAnsi" w:hAnsiTheme="minorHAnsi" w:cstheme="minorHAnsi"/>
          </w:rPr>
          <w:t>https://www.ramsar.org/document/sc62-doc19-report-of-the-chair-of-the-scientific-and-technical-review-panel-including-draft</w:t>
        </w:r>
      </w:hyperlink>
      <w:r w:rsidRPr="0005192E">
        <w:rPr>
          <w:rFonts w:asciiTheme="minorHAnsi" w:hAnsiTheme="minorHAnsi" w:cs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A25"/>
    <w:multiLevelType w:val="hybridMultilevel"/>
    <w:tmpl w:val="3D007BA4"/>
    <w:lvl w:ilvl="0" w:tplc="91C264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C6A"/>
    <w:multiLevelType w:val="hybridMultilevel"/>
    <w:tmpl w:val="F238D0D4"/>
    <w:lvl w:ilvl="0" w:tplc="D23AB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4C8F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4CA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826E0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696F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DF03B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6C5B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A721B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54AFA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FE06088"/>
    <w:multiLevelType w:val="hybridMultilevel"/>
    <w:tmpl w:val="FA4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7631"/>
    <w:multiLevelType w:val="hybridMultilevel"/>
    <w:tmpl w:val="283C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35"/>
    <w:rsid w:val="00013A78"/>
    <w:rsid w:val="00040330"/>
    <w:rsid w:val="0005192E"/>
    <w:rsid w:val="00052918"/>
    <w:rsid w:val="0005335D"/>
    <w:rsid w:val="00056B39"/>
    <w:rsid w:val="0006158E"/>
    <w:rsid w:val="000633A2"/>
    <w:rsid w:val="00064C72"/>
    <w:rsid w:val="000660EA"/>
    <w:rsid w:val="000663F7"/>
    <w:rsid w:val="00070614"/>
    <w:rsid w:val="00071D97"/>
    <w:rsid w:val="000A5491"/>
    <w:rsid w:val="000C0B73"/>
    <w:rsid w:val="000D0183"/>
    <w:rsid w:val="000D0B37"/>
    <w:rsid w:val="000F709A"/>
    <w:rsid w:val="00125422"/>
    <w:rsid w:val="0013624A"/>
    <w:rsid w:val="001405F3"/>
    <w:rsid w:val="00146A95"/>
    <w:rsid w:val="0015198D"/>
    <w:rsid w:val="00193B84"/>
    <w:rsid w:val="00194D9C"/>
    <w:rsid w:val="00196010"/>
    <w:rsid w:val="001D6CBD"/>
    <w:rsid w:val="001E1E84"/>
    <w:rsid w:val="001E2D15"/>
    <w:rsid w:val="001F0DC5"/>
    <w:rsid w:val="001F4272"/>
    <w:rsid w:val="00215DFF"/>
    <w:rsid w:val="0024038D"/>
    <w:rsid w:val="00242720"/>
    <w:rsid w:val="00252E2A"/>
    <w:rsid w:val="00270D34"/>
    <w:rsid w:val="00297F25"/>
    <w:rsid w:val="002A01A8"/>
    <w:rsid w:val="002C2F3C"/>
    <w:rsid w:val="00307435"/>
    <w:rsid w:val="003460EB"/>
    <w:rsid w:val="00355C9A"/>
    <w:rsid w:val="003645E9"/>
    <w:rsid w:val="0037755A"/>
    <w:rsid w:val="00383FB0"/>
    <w:rsid w:val="00393BF4"/>
    <w:rsid w:val="0039485C"/>
    <w:rsid w:val="003A7B7D"/>
    <w:rsid w:val="003C3606"/>
    <w:rsid w:val="003D2F70"/>
    <w:rsid w:val="003E287A"/>
    <w:rsid w:val="003E3C2A"/>
    <w:rsid w:val="00412EA6"/>
    <w:rsid w:val="004203FB"/>
    <w:rsid w:val="00442C45"/>
    <w:rsid w:val="00445BC0"/>
    <w:rsid w:val="00462F30"/>
    <w:rsid w:val="00484BD6"/>
    <w:rsid w:val="00492172"/>
    <w:rsid w:val="00493AE9"/>
    <w:rsid w:val="004A1FEE"/>
    <w:rsid w:val="004A4364"/>
    <w:rsid w:val="004B2601"/>
    <w:rsid w:val="004B4831"/>
    <w:rsid w:val="004C12FC"/>
    <w:rsid w:val="004D2DF6"/>
    <w:rsid w:val="004E694E"/>
    <w:rsid w:val="004F6256"/>
    <w:rsid w:val="00506CE8"/>
    <w:rsid w:val="005123A6"/>
    <w:rsid w:val="005247A8"/>
    <w:rsid w:val="0053004C"/>
    <w:rsid w:val="0054685A"/>
    <w:rsid w:val="0055714A"/>
    <w:rsid w:val="005977BC"/>
    <w:rsid w:val="005B2179"/>
    <w:rsid w:val="005B3373"/>
    <w:rsid w:val="005D67C8"/>
    <w:rsid w:val="005E7AC0"/>
    <w:rsid w:val="005F2F8E"/>
    <w:rsid w:val="00606531"/>
    <w:rsid w:val="0061018C"/>
    <w:rsid w:val="006128AF"/>
    <w:rsid w:val="0062304B"/>
    <w:rsid w:val="00631A45"/>
    <w:rsid w:val="00631E33"/>
    <w:rsid w:val="0064120B"/>
    <w:rsid w:val="0065791A"/>
    <w:rsid w:val="00661813"/>
    <w:rsid w:val="006916E0"/>
    <w:rsid w:val="006A11CF"/>
    <w:rsid w:val="006A309A"/>
    <w:rsid w:val="006A314D"/>
    <w:rsid w:val="006D0B8C"/>
    <w:rsid w:val="007023F7"/>
    <w:rsid w:val="0070683C"/>
    <w:rsid w:val="00717E19"/>
    <w:rsid w:val="00753BF5"/>
    <w:rsid w:val="00761856"/>
    <w:rsid w:val="00761A57"/>
    <w:rsid w:val="00762232"/>
    <w:rsid w:val="007652DF"/>
    <w:rsid w:val="00765971"/>
    <w:rsid w:val="00775FDA"/>
    <w:rsid w:val="007A243D"/>
    <w:rsid w:val="007A463F"/>
    <w:rsid w:val="007B3398"/>
    <w:rsid w:val="007E0393"/>
    <w:rsid w:val="007E36F5"/>
    <w:rsid w:val="007F22A9"/>
    <w:rsid w:val="008128BB"/>
    <w:rsid w:val="0082086C"/>
    <w:rsid w:val="00820904"/>
    <w:rsid w:val="00825B23"/>
    <w:rsid w:val="00844647"/>
    <w:rsid w:val="00845816"/>
    <w:rsid w:val="00847CE7"/>
    <w:rsid w:val="00864D6C"/>
    <w:rsid w:val="00866FE4"/>
    <w:rsid w:val="00891AE0"/>
    <w:rsid w:val="008A3516"/>
    <w:rsid w:val="008C3090"/>
    <w:rsid w:val="008C716A"/>
    <w:rsid w:val="00912491"/>
    <w:rsid w:val="00930D44"/>
    <w:rsid w:val="009442BE"/>
    <w:rsid w:val="0095767A"/>
    <w:rsid w:val="00961FC1"/>
    <w:rsid w:val="00970A33"/>
    <w:rsid w:val="00975622"/>
    <w:rsid w:val="00996FD9"/>
    <w:rsid w:val="009B3B8D"/>
    <w:rsid w:val="009C3AEC"/>
    <w:rsid w:val="009C4CCB"/>
    <w:rsid w:val="009E6588"/>
    <w:rsid w:val="009F2532"/>
    <w:rsid w:val="009F699F"/>
    <w:rsid w:val="00A1291E"/>
    <w:rsid w:val="00A1572E"/>
    <w:rsid w:val="00A24317"/>
    <w:rsid w:val="00A30E81"/>
    <w:rsid w:val="00A3209A"/>
    <w:rsid w:val="00A40DBC"/>
    <w:rsid w:val="00A431D7"/>
    <w:rsid w:val="00A525BA"/>
    <w:rsid w:val="00A56F62"/>
    <w:rsid w:val="00A73A14"/>
    <w:rsid w:val="00A9250B"/>
    <w:rsid w:val="00AA14C7"/>
    <w:rsid w:val="00AD40BB"/>
    <w:rsid w:val="00AF0560"/>
    <w:rsid w:val="00B01386"/>
    <w:rsid w:val="00B01E67"/>
    <w:rsid w:val="00B30187"/>
    <w:rsid w:val="00B378CB"/>
    <w:rsid w:val="00B67D1B"/>
    <w:rsid w:val="00BA2963"/>
    <w:rsid w:val="00BB523B"/>
    <w:rsid w:val="00C033A5"/>
    <w:rsid w:val="00C03E46"/>
    <w:rsid w:val="00C24175"/>
    <w:rsid w:val="00C331C9"/>
    <w:rsid w:val="00C504DC"/>
    <w:rsid w:val="00C5504E"/>
    <w:rsid w:val="00C56C58"/>
    <w:rsid w:val="00C60E13"/>
    <w:rsid w:val="00C83E8F"/>
    <w:rsid w:val="00CE1FA3"/>
    <w:rsid w:val="00CF7BD0"/>
    <w:rsid w:val="00D63176"/>
    <w:rsid w:val="00D7061D"/>
    <w:rsid w:val="00D97B33"/>
    <w:rsid w:val="00DA3BEC"/>
    <w:rsid w:val="00DC40AA"/>
    <w:rsid w:val="00DD678C"/>
    <w:rsid w:val="00DE3728"/>
    <w:rsid w:val="00DF1C0E"/>
    <w:rsid w:val="00DF51C0"/>
    <w:rsid w:val="00DF773A"/>
    <w:rsid w:val="00E12849"/>
    <w:rsid w:val="00E3015B"/>
    <w:rsid w:val="00E574AA"/>
    <w:rsid w:val="00E6581A"/>
    <w:rsid w:val="00E703EF"/>
    <w:rsid w:val="00E82399"/>
    <w:rsid w:val="00E87CB8"/>
    <w:rsid w:val="00E92959"/>
    <w:rsid w:val="00E9564B"/>
    <w:rsid w:val="00EC4C61"/>
    <w:rsid w:val="00F00DC3"/>
    <w:rsid w:val="00F376EE"/>
    <w:rsid w:val="00F46693"/>
    <w:rsid w:val="00F55BBA"/>
    <w:rsid w:val="00F55CC1"/>
    <w:rsid w:val="00F635C7"/>
    <w:rsid w:val="00F867FB"/>
    <w:rsid w:val="00FA4861"/>
    <w:rsid w:val="00FA5C01"/>
    <w:rsid w:val="00FC7E3A"/>
    <w:rsid w:val="00FD5E4C"/>
    <w:rsid w:val="00FE2BFC"/>
    <w:rsid w:val="00FE7C4F"/>
    <w:rsid w:val="00FF03A0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8A4CD"/>
  <w15:docId w15:val="{8A47E232-EFF1-4DE0-85E8-6B8EA7C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7E36F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E36F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E36F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E36F5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63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176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176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76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7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7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F08ED"/>
    <w:pPr>
      <w:ind w:left="720"/>
      <w:contextualSpacing/>
    </w:pPr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92E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92E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519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192E"/>
    <w:rPr>
      <w:color w:val="0000FF"/>
      <w:u w:val="single"/>
    </w:rPr>
  </w:style>
  <w:style w:type="paragraph" w:styleId="Revision">
    <w:name w:val="Revision"/>
    <w:hidden/>
    <w:uiPriority w:val="99"/>
    <w:semiHidden/>
    <w:rsid w:val="00F635C7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msar.org/document/sc62-doc19-report-of-the-chair-of-the-scientific-and-technical-review-panel-including-draft" TargetMode="External"/><Relationship Id="rId1" Type="http://schemas.openxmlformats.org/officeDocument/2006/relationships/hyperlink" Target="https://www.ramsar.org/document/25th-meeting-of-the-scientific-and-technical-review-panel-strp25-report-and-deci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4" ma:contentTypeDescription="Create a new document." ma:contentTypeScope="" ma:versionID="2055849121a78828b203c376bcc09796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ac13e0d67ac5406e1a12fcdbd3791b94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B3F3-3DFC-438C-A198-4ECF7A980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C6B5C-BE47-4B10-B369-DB246A0B873E}">
  <ds:schemaRefs>
    <ds:schemaRef ds:uri="8c0b6b05-eb82-4bda-97e8-cd82d0d6b45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aedd258d-19a7-41ba-8260-b0918f25313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9BA7A5-D7A4-487A-8234-E2CC1D66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61D2B-C286-4F5C-B732-40F53026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Ed Jennings</cp:lastModifiedBy>
  <cp:revision>2</cp:revision>
  <cp:lastPrinted>2018-11-07T13:50:00Z</cp:lastPrinted>
  <dcterms:created xsi:type="dcterms:W3CDTF">2023-06-30T12:51:00Z</dcterms:created>
  <dcterms:modified xsi:type="dcterms:W3CDTF">2023-06-30T12:51:00Z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