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42F3" w14:textId="77777777" w:rsidR="004A72F2" w:rsidRPr="00A5562B" w:rsidRDefault="004A72F2" w:rsidP="003D40C8">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Pr>
          <w:rFonts w:asciiTheme="minorHAnsi" w:hAnsiTheme="minorHAnsi"/>
          <w:bCs/>
        </w:rPr>
        <w:t xml:space="preserve">LA CONVENCIÓN SOBRE LOS HUMEDALES </w:t>
      </w:r>
      <w:bookmarkStart w:id="0" w:name="_GoBack"/>
      <w:bookmarkEnd w:id="0"/>
    </w:p>
    <w:p w14:paraId="2D8C41B7" w14:textId="77777777" w:rsidR="004A72F2" w:rsidRPr="00A5562B" w:rsidRDefault="004A72F2" w:rsidP="003D40C8">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Pr>
          <w:rFonts w:asciiTheme="minorHAnsi" w:hAnsiTheme="minorHAnsi"/>
          <w:bCs/>
        </w:rPr>
        <w:t>62ª reunión del Comité Permanente</w:t>
      </w:r>
    </w:p>
    <w:p w14:paraId="78C1D05C" w14:textId="77777777" w:rsidR="004A72F2" w:rsidRPr="00A5562B" w:rsidRDefault="004A72F2" w:rsidP="003D40C8">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Pr>
          <w:rFonts w:asciiTheme="minorHAnsi" w:hAnsiTheme="minorHAnsi"/>
          <w:bCs/>
        </w:rPr>
        <w:t>Gland, Suiza, 4 a 8 de septiembre de 2023</w:t>
      </w:r>
    </w:p>
    <w:p w14:paraId="6C0CD29D" w14:textId="77777777" w:rsidR="00DF2386" w:rsidRPr="00073625" w:rsidRDefault="00DF2386" w:rsidP="007972E0">
      <w:pPr>
        <w:outlineLvl w:val="0"/>
        <w:rPr>
          <w:b/>
          <w:sz w:val="28"/>
          <w:szCs w:val="28"/>
        </w:rPr>
      </w:pPr>
    </w:p>
    <w:p w14:paraId="42F8BA29" w14:textId="5B0E47B4" w:rsidR="00DF2386" w:rsidRPr="00D245A1" w:rsidRDefault="00DF2386" w:rsidP="005C445D">
      <w:pPr>
        <w:ind w:left="0" w:firstLine="0"/>
        <w:jc w:val="right"/>
        <w:rPr>
          <w:rFonts w:cs="Arial"/>
          <w:sz w:val="28"/>
          <w:szCs w:val="28"/>
        </w:rPr>
      </w:pPr>
      <w:r>
        <w:rPr>
          <w:b/>
          <w:sz w:val="28"/>
          <w:szCs w:val="28"/>
        </w:rPr>
        <w:t>SC62 Doc.18</w:t>
      </w:r>
    </w:p>
    <w:p w14:paraId="5B0A8ABD" w14:textId="77777777" w:rsidR="00DF2386" w:rsidRDefault="00DF2386" w:rsidP="005C445D">
      <w:pPr>
        <w:ind w:left="0" w:firstLine="0"/>
        <w:rPr>
          <w:rFonts w:cs="Arial"/>
          <w:b/>
          <w:sz w:val="28"/>
          <w:szCs w:val="28"/>
        </w:rPr>
      </w:pPr>
    </w:p>
    <w:p w14:paraId="3E795851" w14:textId="2A0066AB" w:rsidR="00DF2386" w:rsidRDefault="00EC4519" w:rsidP="005C445D">
      <w:pPr>
        <w:ind w:left="0" w:firstLine="0"/>
        <w:jc w:val="center"/>
        <w:rPr>
          <w:rFonts w:cs="Arial"/>
          <w:b/>
          <w:sz w:val="28"/>
          <w:szCs w:val="28"/>
        </w:rPr>
      </w:pPr>
      <w:r>
        <w:rPr>
          <w:b/>
          <w:sz w:val="28"/>
          <w:szCs w:val="28"/>
        </w:rPr>
        <w:t>Plan de Trabajo sobre la Movilización de Recursos 2023-2025</w:t>
      </w:r>
    </w:p>
    <w:p w14:paraId="503DE53B" w14:textId="77777777" w:rsidR="00DF2386" w:rsidRDefault="00DF2386" w:rsidP="007972E0">
      <w:pPr>
        <w:rPr>
          <w:rFonts w:ascii="Garamond" w:hAnsi="Garamond" w:cs="Arial"/>
        </w:rPr>
      </w:pPr>
    </w:p>
    <w:p w14:paraId="718FDF0C" w14:textId="77777777" w:rsidR="009E0AE8" w:rsidRPr="009B2CEE" w:rsidRDefault="000C2489" w:rsidP="007972E0">
      <w:pPr>
        <w:autoSpaceDE w:val="0"/>
        <w:autoSpaceDN w:val="0"/>
        <w:adjustRightInd w:val="0"/>
        <w:rPr>
          <w:rFonts w:asciiTheme="minorHAnsi" w:eastAsiaTheme="minorHAnsi" w:hAnsiTheme="minorHAnsi" w:cs="Calibri-Bold"/>
          <w:b/>
          <w:bCs/>
        </w:rPr>
      </w:pPr>
      <w:r>
        <w:rPr>
          <w:noProof/>
          <w:color w:val="2B579A"/>
          <w:shd w:val="clear" w:color="auto" w:fill="E6E6E6"/>
          <w:lang w:val="en-GB" w:eastAsia="en-GB"/>
        </w:rPr>
        <mc:AlternateContent>
          <mc:Choice Requires="wps">
            <w:drawing>
              <wp:inline distT="0" distB="0" distL="0" distR="0" wp14:anchorId="03E187D0" wp14:editId="7D3CCF8F">
                <wp:extent cx="5895975" cy="110490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04900"/>
                        </a:xfrm>
                        <a:prstGeom prst="rect">
                          <a:avLst/>
                        </a:prstGeom>
                        <a:solidFill>
                          <a:srgbClr val="FFFFFF"/>
                        </a:solidFill>
                        <a:ln w="9525">
                          <a:solidFill>
                            <a:srgbClr val="000000"/>
                          </a:solidFill>
                          <a:miter lim="800000"/>
                          <a:headEnd/>
                          <a:tailEnd/>
                        </a:ln>
                      </wps:spPr>
                      <wps:txbx>
                        <w:txbxContent>
                          <w:p w14:paraId="7F6CA72D" w14:textId="77777777" w:rsidR="000C2489" w:rsidRDefault="000C2489" w:rsidP="000C2489">
                            <w:pPr>
                              <w:rPr>
                                <w:b/>
                                <w:bCs/>
                              </w:rPr>
                            </w:pPr>
                            <w:r>
                              <w:rPr>
                                <w:b/>
                                <w:bCs/>
                              </w:rPr>
                              <w:t xml:space="preserve">Acción solicitada: </w:t>
                            </w:r>
                          </w:p>
                          <w:p w14:paraId="065664C2" w14:textId="77777777" w:rsidR="000C2489" w:rsidRDefault="000C2489" w:rsidP="000C2489">
                            <w:pPr>
                              <w:pStyle w:val="ColorfulList-Accent11"/>
                              <w:ind w:left="0"/>
                            </w:pPr>
                          </w:p>
                          <w:p w14:paraId="3B64203F" w14:textId="0D18DEC9" w:rsidR="00EC4519" w:rsidRPr="00C2411D" w:rsidRDefault="007972E0" w:rsidP="006305C5">
                            <w:pPr>
                              <w:pStyle w:val="ColorfulList-Accent11"/>
                              <w:ind w:left="0" w:firstLine="0"/>
                              <w:rPr>
                                <w:rFonts w:cs="Calibri"/>
                              </w:rPr>
                            </w:pPr>
                            <w:r>
                              <w:t xml:space="preserve">Se invita al Comité Permanente a examinar y aprobar el Plan de Trabajo sobre la Movilización de Recursos, que refleja las actualizaciones de las prioridades de recaudación de fondos para financiar actividades con cargo al presupuesto no básico aprobadas para el trienio 2023-2025. </w:t>
                            </w:r>
                          </w:p>
                          <w:p w14:paraId="0B35EC74" w14:textId="77777777" w:rsidR="000C2489" w:rsidRDefault="000C2489" w:rsidP="00275F13">
                            <w:pPr>
                              <w:pStyle w:val="ColorfulList-Accent11"/>
                              <w:ind w:left="360"/>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E187D0" id="_x0000_t202" coordsize="21600,21600" o:spt="202" path="m,l,21600r21600,l21600,xe">
                <v:stroke joinstyle="miter"/>
                <v:path gradientshapeok="t" o:connecttype="rect"/>
              </v:shapetype>
              <v:shape id="Text Box 1" o:spid="_x0000_s1026" type="#_x0000_t202" style="width:464.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">
                <v:textbox>
                  <w:txbxContent>
                    <w:p w14:paraId="7F6CA72D" w14:textId="77777777" w:rsidR="000C2489" w:rsidRDefault="000C2489" w:rsidP="000C2489">
                      <w:pPr>
                        <w:rPr>
                          <w:b/>
                          <w:bCs/>
                        </w:rPr>
                      </w:pPr>
                      <w:r>
                        <w:rPr>
                          <w:b/>
                          <w:bCs/>
                        </w:rPr>
                        <w:t xml:space="preserve">Acción solicitada: </w:t>
                      </w:r>
                    </w:p>
                    <w:p w14:paraId="065664C2" w14:textId="77777777" w:rsidR="000C2489" w:rsidRDefault="000C2489" w:rsidP="000C2489">
                      <w:pPr>
                        <w:pStyle w:val="ColorfulList-Accent11"/>
                        <w:ind w:left="0"/>
                      </w:pPr>
                    </w:p>
                    <w:p w14:paraId="3B64203F" w14:textId="0D18DEC9" w:rsidR="00EC4519" w:rsidRPr="00C2411D" w:rsidRDefault="007972E0" w:rsidP="006305C5">
                      <w:pPr>
                        <w:pStyle w:val="ColorfulList-Accent11"/>
                        <w:ind w:left="0" w:firstLine="0"/>
                        <w:rPr>
                          <w:rFonts w:cs="Calibri"/>
                        </w:rPr>
                      </w:pPr>
                      <w:r>
                        <w:t xml:space="preserve">Se invita al Comité Permanente a examinar y aprobar el Plan de Trabajo sobre la Movilización de Recursos, que refleja las actualizaciones de las prioridades de recaudación de fondos para financiar actividades con cargo al presupuesto no básico aprobadas para el trienio 2023-2025. </w:t>
                      </w:r>
                    </w:p>
                    <w:p w14:paraId="0B35EC74" w14:textId="77777777" w:rsidR="000C2489" w:rsidRDefault="000C2489" w:rsidP="00275F13">
                      <w:pPr>
                        <w:pStyle w:val="ColorfulList-Accent11"/>
                        <w:ind w:left="360"/>
                      </w:pPr>
                    </w:p>
                  </w:txbxContent>
                </v:textbox>
                <w10:anchorlock/>
              </v:shape>
            </w:pict>
          </mc:Fallback>
        </mc:AlternateContent>
      </w:r>
    </w:p>
    <w:p w14:paraId="376CCEAA" w14:textId="77777777" w:rsidR="00EC4519" w:rsidRDefault="00EC4519" w:rsidP="007972E0">
      <w:pPr>
        <w:rPr>
          <w:rFonts w:cs="Arial"/>
          <w:b/>
        </w:rPr>
      </w:pPr>
    </w:p>
    <w:p w14:paraId="64411A9C" w14:textId="77777777" w:rsidR="007972E0" w:rsidRDefault="007972E0" w:rsidP="007972E0">
      <w:pPr>
        <w:rPr>
          <w:rFonts w:cs="Arial"/>
          <w:b/>
        </w:rPr>
      </w:pPr>
    </w:p>
    <w:p w14:paraId="487AF683" w14:textId="3F30D295" w:rsidR="0098651C" w:rsidRDefault="00EC4519" w:rsidP="007972E0">
      <w:pPr>
        <w:rPr>
          <w:rFonts w:asciiTheme="minorHAnsi" w:eastAsiaTheme="minorHAnsi" w:hAnsiTheme="minorHAnsi" w:cstheme="minorHAnsi"/>
          <w:b/>
        </w:rPr>
      </w:pPr>
      <w:r>
        <w:rPr>
          <w:rFonts w:asciiTheme="minorHAnsi" w:hAnsiTheme="minorHAnsi"/>
          <w:b/>
        </w:rPr>
        <w:t>Introducción</w:t>
      </w:r>
    </w:p>
    <w:p w14:paraId="72EAF943" w14:textId="77777777" w:rsidR="007830E8" w:rsidRDefault="007830E8" w:rsidP="007972E0">
      <w:pPr>
        <w:rPr>
          <w:rFonts w:asciiTheme="minorHAnsi" w:eastAsiaTheme="minorHAnsi" w:hAnsiTheme="minorHAnsi" w:cstheme="minorHAnsi"/>
          <w:b/>
        </w:rPr>
      </w:pPr>
    </w:p>
    <w:p w14:paraId="2C7F56A6" w14:textId="3034C78E" w:rsidR="00555BA9" w:rsidRPr="00073625" w:rsidRDefault="00073625" w:rsidP="00073625">
      <w:pPr>
        <w:ind w:left="426"/>
        <w:rPr>
          <w:rFonts w:asciiTheme="minorHAnsi" w:eastAsiaTheme="minorHAnsi" w:hAnsiTheme="minorHAnsi" w:cstheme="minorHAnsi"/>
        </w:rPr>
      </w:pPr>
      <w:r>
        <w:rPr>
          <w:rFonts w:asciiTheme="minorHAnsi" w:hAnsiTheme="minorHAnsi"/>
        </w:rPr>
        <w:t>1.</w:t>
      </w:r>
      <w:r>
        <w:rPr>
          <w:rFonts w:asciiTheme="minorHAnsi" w:hAnsiTheme="minorHAnsi"/>
        </w:rPr>
        <w:tab/>
        <w:t xml:space="preserve">El Plan de Trabajo sobre la Movilización de Recursos establece y orienta el enfoque de la Secretaría para garantizar la financiación de actividades prioritarias no incluidas en el presupuesto básico. Además, presenta las actividades propuestas para facilitar la movilización de recursos por las Partes Contratantes, en el plano local, nacional y regional, como se indica en la Resolución XII.7 sobre </w:t>
      </w:r>
      <w:r>
        <w:rPr>
          <w:rFonts w:asciiTheme="minorHAnsi" w:hAnsiTheme="minorHAnsi"/>
          <w:i/>
          <w:iCs/>
        </w:rPr>
        <w:t>Marco de la Convención de Ramsar para la movilización de recursos y las asociaciones de colaboración</w:t>
      </w:r>
      <w:r>
        <w:rPr>
          <w:rFonts w:asciiTheme="minorHAnsi" w:hAnsiTheme="minorHAnsi"/>
        </w:rPr>
        <w:t xml:space="preserve">.  </w:t>
      </w:r>
    </w:p>
    <w:p w14:paraId="46FF336B" w14:textId="001B25A2" w:rsidR="000B3626" w:rsidRPr="00073625" w:rsidRDefault="0032703B" w:rsidP="00073625">
      <w:pPr>
        <w:ind w:left="426"/>
        <w:rPr>
          <w:rFonts w:asciiTheme="minorHAnsi" w:eastAsiaTheme="minorHAnsi" w:hAnsiTheme="minorHAnsi" w:cstheme="minorHAnsi"/>
        </w:rPr>
      </w:pPr>
      <w:r>
        <w:rPr>
          <w:rFonts w:asciiTheme="minorHAnsi" w:hAnsiTheme="minorHAnsi"/>
        </w:rPr>
        <w:t xml:space="preserve"> </w:t>
      </w:r>
    </w:p>
    <w:p w14:paraId="4DEB33A1" w14:textId="119D32DF" w:rsidR="004E4374" w:rsidRPr="00073625" w:rsidRDefault="00073625" w:rsidP="00073625">
      <w:pPr>
        <w:ind w:left="426"/>
        <w:rPr>
          <w:rFonts w:asciiTheme="minorHAnsi" w:eastAsiaTheme="minorHAnsi" w:hAnsiTheme="minorHAnsi" w:cstheme="minorHAnsi"/>
        </w:rPr>
      </w:pPr>
      <w:r>
        <w:rPr>
          <w:rFonts w:asciiTheme="minorHAnsi" w:hAnsiTheme="minorHAnsi"/>
        </w:rPr>
        <w:t>2.</w:t>
      </w:r>
      <w:r>
        <w:rPr>
          <w:rFonts w:asciiTheme="minorHAnsi" w:hAnsiTheme="minorHAnsi"/>
        </w:rPr>
        <w:tab/>
        <w:t>El primer Plan de Trabajo sobre la Movilización de Recursos elaborado por la Secretaría fue presentado en la 57</w:t>
      </w:r>
      <w:r>
        <w:rPr>
          <w:rFonts w:asciiTheme="minorHAnsi" w:hAnsiTheme="minorHAnsi"/>
          <w:vertAlign w:val="superscript"/>
        </w:rPr>
        <w:t>a</w:t>
      </w:r>
      <w:r>
        <w:rPr>
          <w:rFonts w:asciiTheme="minorHAnsi" w:hAnsiTheme="minorHAnsi"/>
        </w:rPr>
        <w:t xml:space="preserve"> reunión del Comité Permanente (SC57) en 2019. En el Plan de Trabajo, presentado como documento </w:t>
      </w:r>
      <w:r w:rsidR="00FC7B1D" w:rsidRPr="00FC7B1D">
        <w:rPr>
          <w:rFonts w:asciiTheme="minorHAnsi" w:hAnsiTheme="minorHAnsi"/>
        </w:rPr>
        <w:t>SC57 Doc.19</w:t>
      </w:r>
      <w:r>
        <w:rPr>
          <w:rFonts w:asciiTheme="minorHAnsi" w:hAnsiTheme="minorHAnsi"/>
        </w:rPr>
        <w:t>, se establecían los objetivos de movilización de recursos, las metas estratégicas y el calendario de ejecución para recaudar fondos complementarios destinados a las prioridades aprobadas por las Partes en la 13</w:t>
      </w:r>
      <w:r>
        <w:rPr>
          <w:rFonts w:asciiTheme="minorHAnsi" w:hAnsiTheme="minorHAnsi"/>
          <w:vertAlign w:val="superscript"/>
        </w:rPr>
        <w:t>a</w:t>
      </w:r>
      <w:r>
        <w:rPr>
          <w:rFonts w:asciiTheme="minorHAnsi" w:hAnsiTheme="minorHAnsi"/>
        </w:rPr>
        <w:t xml:space="preserve"> reunión de la Conferencia de las Partes Contratantes (COP13, 2018) para el trienio 2019-2021.</w:t>
      </w:r>
    </w:p>
    <w:p w14:paraId="2698E27F" w14:textId="22DB28D3" w:rsidR="00BB6EAC" w:rsidRPr="004E4374" w:rsidRDefault="00BB6EAC" w:rsidP="00073625">
      <w:pPr>
        <w:ind w:left="426"/>
        <w:rPr>
          <w:rFonts w:asciiTheme="minorHAnsi" w:eastAsiaTheme="minorHAnsi" w:hAnsiTheme="minorHAnsi" w:cstheme="minorHAnsi"/>
        </w:rPr>
      </w:pPr>
    </w:p>
    <w:p w14:paraId="25493617" w14:textId="241960A8" w:rsidR="00B61DD1" w:rsidRDefault="00073625" w:rsidP="00073625">
      <w:pPr>
        <w:ind w:left="426"/>
        <w:rPr>
          <w:rFonts w:asciiTheme="minorHAnsi" w:eastAsiaTheme="minorHAnsi" w:hAnsiTheme="minorHAnsi" w:cstheme="minorHAnsi"/>
        </w:rPr>
      </w:pPr>
      <w:r>
        <w:rPr>
          <w:rFonts w:asciiTheme="minorHAnsi" w:hAnsiTheme="minorHAnsi"/>
        </w:rPr>
        <w:t>3.</w:t>
      </w:r>
      <w:r>
        <w:rPr>
          <w:rFonts w:asciiTheme="minorHAnsi" w:hAnsiTheme="minorHAnsi"/>
        </w:rPr>
        <w:tab/>
        <w:t xml:space="preserve">En la Resolución XIV.1 sobre </w:t>
      </w:r>
      <w:r>
        <w:rPr>
          <w:rFonts w:asciiTheme="minorHAnsi" w:hAnsiTheme="minorHAnsi"/>
          <w:i/>
          <w:iCs/>
        </w:rPr>
        <w:t>Cuestiones financieras y presupuestarias</w:t>
      </w:r>
      <w:r>
        <w:rPr>
          <w:rFonts w:asciiTheme="minorHAnsi" w:hAnsiTheme="minorHAnsi"/>
        </w:rPr>
        <w:t xml:space="preserve"> se solicita a la Secretaría que actualice el Plan de Trabajo sobre la Movilización de Recursos a fin de que refleje las prioridades identificadas por las Partes Contratantes en la COP14 y que lo presente al Comité Permanente en su 62</w:t>
      </w:r>
      <w:r>
        <w:rPr>
          <w:rFonts w:asciiTheme="minorHAnsi" w:hAnsiTheme="minorHAnsi"/>
          <w:vertAlign w:val="superscript"/>
        </w:rPr>
        <w:t>a</w:t>
      </w:r>
      <w:r>
        <w:rPr>
          <w:rFonts w:asciiTheme="minorHAnsi" w:hAnsiTheme="minorHAnsi"/>
        </w:rPr>
        <w:t xml:space="preserve"> reunión para su examen. Los objetivos y las metas estratégicas expuestos anteriormente en el documento SC57 Doc.19</w:t>
      </w:r>
      <w:r w:rsidR="00C35FF5">
        <w:rPr>
          <w:rStyle w:val="FootnoteReference"/>
          <w:rFonts w:asciiTheme="minorHAnsi" w:eastAsiaTheme="minorHAnsi" w:hAnsiTheme="minorHAnsi" w:cstheme="minorHAnsi"/>
        </w:rPr>
        <w:footnoteReference w:id="1"/>
      </w:r>
      <w:r>
        <w:rPr>
          <w:rFonts w:asciiTheme="minorHAnsi" w:hAnsiTheme="minorHAnsi"/>
        </w:rPr>
        <w:t xml:space="preserve"> siguen siendo pertinentes y seguirán guiando la aplicación del Plan de Trabajo actualizado.</w:t>
      </w:r>
    </w:p>
    <w:p w14:paraId="0522ABD3" w14:textId="77777777" w:rsidR="00073625" w:rsidRPr="00B61DD1" w:rsidRDefault="00073625" w:rsidP="00073625">
      <w:pPr>
        <w:ind w:left="426"/>
        <w:rPr>
          <w:rFonts w:asciiTheme="minorHAnsi" w:eastAsiaTheme="minorHAnsi" w:hAnsiTheme="minorHAnsi" w:cstheme="minorHAnsi"/>
        </w:rPr>
      </w:pPr>
    </w:p>
    <w:p w14:paraId="0DC3ED25" w14:textId="4D62A1AC" w:rsidR="00717A5F" w:rsidRDefault="00073625" w:rsidP="00073625">
      <w:pPr>
        <w:ind w:left="426"/>
        <w:rPr>
          <w:rFonts w:asciiTheme="minorHAnsi" w:eastAsiaTheme="minorHAnsi" w:hAnsiTheme="minorHAnsi" w:cstheme="minorHAnsi"/>
        </w:rPr>
      </w:pPr>
      <w:r>
        <w:rPr>
          <w:rFonts w:asciiTheme="minorHAnsi" w:hAnsiTheme="minorHAnsi"/>
        </w:rPr>
        <w:t>4.</w:t>
      </w:r>
      <w:r>
        <w:rPr>
          <w:rFonts w:asciiTheme="minorHAnsi" w:hAnsiTheme="minorHAnsi"/>
        </w:rPr>
        <w:tab/>
        <w:t>Este Plan de Trabajo figura en el anexo 1, y recoge la lista actualizada de prioridades de recaudación de fondos complementarios enumeradas en el anexo 4 de la Resolución XIV.1, así como el calendario de ejecución revisado para el trienio 2023-2025. Además, en el anexo 2 se incluyen las actividades que la Secretaría realizará para facilitar las actividades de movilización de recursos de las Partes Contratantes.</w:t>
      </w:r>
    </w:p>
    <w:p w14:paraId="0DCBB4D1" w14:textId="77777777" w:rsidR="00073625" w:rsidRPr="00717A5F" w:rsidRDefault="00073625" w:rsidP="00073625">
      <w:pPr>
        <w:ind w:left="426"/>
        <w:rPr>
          <w:rFonts w:asciiTheme="minorHAnsi" w:eastAsiaTheme="minorHAnsi" w:hAnsiTheme="minorHAnsi" w:cstheme="minorHAnsi"/>
        </w:rPr>
      </w:pPr>
    </w:p>
    <w:p w14:paraId="2A1C9F22" w14:textId="6967C5B5" w:rsidR="00542391" w:rsidRDefault="00073625" w:rsidP="00073625">
      <w:pPr>
        <w:ind w:left="426"/>
      </w:pPr>
      <w:r>
        <w:t>5.</w:t>
      </w:r>
      <w:r>
        <w:tab/>
        <w:t xml:space="preserve">La ejecución de este Plan de Trabajo se llevará a cabo a través de actividades de divulgación dirigidas a las Partes Contratantes, los organismos donantes bilaterales, los organismos </w:t>
      </w:r>
      <w:r>
        <w:lastRenderedPageBreak/>
        <w:t xml:space="preserve">donantes multilaterales, el sector privado y las fundaciones, así como mediante la formación de colaboraciones y alianzas estratégicas pertinentes. Una evaluación de las fuentes de financiación de las prioridades no financiadas con cargo al presupuesto básico para el trienio 2019-2021 mostró que el 76% de las contribuciones voluntarias recibidas procedían de organismos gubernamentales, mientras que un 14% procedían del sector privado y un 10% de fundaciones. </w:t>
      </w:r>
    </w:p>
    <w:p w14:paraId="2711A2E9" w14:textId="77777777" w:rsidR="00542391" w:rsidRDefault="00542391" w:rsidP="00073625">
      <w:pPr>
        <w:ind w:left="426"/>
      </w:pPr>
    </w:p>
    <w:p w14:paraId="66F2B230" w14:textId="401B175D" w:rsidR="007772E6" w:rsidRDefault="00073625" w:rsidP="00073625">
      <w:pPr>
        <w:ind w:left="426"/>
      </w:pPr>
      <w:r>
        <w:t>6.</w:t>
      </w:r>
      <w:r>
        <w:tab/>
        <w:t xml:space="preserve">Además, un enfoque para la movilización de recursos que englobe a toda la Secretaría (tal como se aprobó en la Decisión SC52-23), en el que el Oficial de Movilización de Recursos y otros altos funcionarios de la Secretaría se encargan de la recaudación de fondos para prioridades no financiadas con cargo al presupuesto básico, contribuirá a la ejecución del Plan de Trabajo y a la consecución de las metas y objetivos estratégicos de la movilización de recursos. </w:t>
      </w:r>
    </w:p>
    <w:p w14:paraId="07AABBE0" w14:textId="77777777" w:rsidR="007772E6" w:rsidRDefault="007772E6" w:rsidP="00073625">
      <w:pPr>
        <w:ind w:left="426"/>
      </w:pPr>
    </w:p>
    <w:p w14:paraId="53F88B6A" w14:textId="5904C72F" w:rsidR="007463CA" w:rsidRPr="00073625" w:rsidRDefault="00073625" w:rsidP="00073625">
      <w:pPr>
        <w:ind w:left="426"/>
        <w:rPr>
          <w:rFonts w:asciiTheme="minorHAnsi" w:eastAsiaTheme="minorEastAsia" w:hAnsiTheme="minorHAnsi" w:cstheme="minorBidi"/>
        </w:rPr>
        <w:sectPr w:rsidR="007463CA" w:rsidRPr="00073625" w:rsidSect="002137E0">
          <w:footerReference w:type="default" r:id="rId11"/>
          <w:pgSz w:w="11906" w:h="16838"/>
          <w:pgMar w:top="1440" w:right="1440" w:bottom="1440" w:left="1440" w:header="709" w:footer="709" w:gutter="0"/>
          <w:cols w:space="708"/>
          <w:titlePg/>
          <w:docGrid w:linePitch="360"/>
        </w:sectPr>
      </w:pPr>
      <w:r>
        <w:t>7.</w:t>
      </w:r>
      <w:r>
        <w:tab/>
        <w:t>A fin de materializar de manera eficaz el enfoque para la movilización de recursos que englobe a toda la Secretaría, se organizó una sesión práctica como parte del taller anual de planificación del trabajo 2023, celebrado del 6 al 9 de marzo de 2023. Todos los miembros del personal implicados en la recaudación de fondos estuvieron presentes y contribuyeron al debate destinado a reforzar los objetivos de recaudación de fondos y movilización de recursos de la Secretaría.</w:t>
      </w:r>
    </w:p>
    <w:p w14:paraId="01093761" w14:textId="775A8377" w:rsidR="009B2CEE" w:rsidRPr="00EB68CB" w:rsidRDefault="00EB68CB" w:rsidP="00FF7846">
      <w:pPr>
        <w:ind w:left="0" w:firstLine="0"/>
        <w:contextualSpacing/>
        <w:rPr>
          <w:rFonts w:asciiTheme="minorHAnsi" w:eastAsiaTheme="minorHAnsi" w:hAnsiTheme="minorHAnsi" w:cstheme="minorHAnsi"/>
          <w:b/>
          <w:sz w:val="24"/>
          <w:szCs w:val="24"/>
        </w:rPr>
      </w:pPr>
      <w:r>
        <w:rPr>
          <w:rFonts w:asciiTheme="minorHAnsi" w:hAnsiTheme="minorHAnsi"/>
          <w:b/>
          <w:sz w:val="24"/>
          <w:szCs w:val="24"/>
        </w:rPr>
        <w:lastRenderedPageBreak/>
        <w:t>Anexo 1</w:t>
      </w:r>
    </w:p>
    <w:p w14:paraId="0B060649" w14:textId="4CAF041C" w:rsidR="00230310" w:rsidRDefault="00EB68CB" w:rsidP="1CA1DDE8">
      <w:pPr>
        <w:contextualSpacing/>
        <w:rPr>
          <w:rFonts w:asciiTheme="minorHAnsi" w:eastAsiaTheme="minorEastAsia" w:hAnsiTheme="minorHAnsi" w:cstheme="minorBidi"/>
        </w:rPr>
      </w:pPr>
      <w:r>
        <w:rPr>
          <w:rFonts w:asciiTheme="minorHAnsi" w:hAnsiTheme="minorHAnsi"/>
          <w:b/>
          <w:bCs/>
          <w:sz w:val="24"/>
          <w:szCs w:val="24"/>
        </w:rPr>
        <w:t>Calendario de ejecución del Plan de Trabajo: Lista de prioridades de recaudación de fondos complementarios para 2023-2025</w:t>
      </w:r>
    </w:p>
    <w:p w14:paraId="1118CE87" w14:textId="2B331EE8" w:rsidR="00CA439F" w:rsidRDefault="00CA439F" w:rsidP="007972E0">
      <w:pPr>
        <w:contextualSpacing/>
        <w:rPr>
          <w:rFonts w:asciiTheme="minorHAnsi" w:eastAsiaTheme="minorHAnsi" w:hAnsiTheme="minorHAnsi" w:cstheme="minorHAnsi"/>
        </w:rPr>
      </w:pPr>
    </w:p>
    <w:p w14:paraId="633567F2" w14:textId="77777777" w:rsidR="00073625" w:rsidRPr="0006198A" w:rsidRDefault="00073625" w:rsidP="007972E0">
      <w:pPr>
        <w:contextualSpacing/>
        <w:rPr>
          <w:rFonts w:asciiTheme="minorHAnsi" w:eastAsiaTheme="minorHAnsi" w:hAnsiTheme="minorHAnsi" w:cstheme="minorHAnsi"/>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1"/>
        <w:gridCol w:w="2127"/>
        <w:gridCol w:w="1984"/>
        <w:gridCol w:w="1277"/>
        <w:gridCol w:w="3260"/>
        <w:gridCol w:w="2410"/>
        <w:gridCol w:w="2410"/>
      </w:tblGrid>
      <w:tr w:rsidR="00E66205" w:rsidRPr="004C143B" w14:paraId="5961225C" w14:textId="77777777" w:rsidTr="00BE1E12">
        <w:trPr>
          <w:cantSplit/>
          <w:tblHeader/>
        </w:trPr>
        <w:tc>
          <w:tcPr>
            <w:tcW w:w="200" w:type="pct"/>
            <w:shd w:val="clear" w:color="auto" w:fill="B4C6E7"/>
            <w:vAlign w:val="center"/>
          </w:tcPr>
          <w:p w14:paraId="64216259" w14:textId="77777777" w:rsidR="00FF7846" w:rsidRPr="004C143B" w:rsidRDefault="00FF7846" w:rsidP="00BE3A3F">
            <w:pPr>
              <w:ind w:left="0" w:firstLine="0"/>
              <w:jc w:val="center"/>
              <w:rPr>
                <w:rFonts w:asciiTheme="minorHAnsi" w:eastAsia="Times New Roman" w:hAnsiTheme="minorHAnsi" w:cstheme="minorHAnsi"/>
                <w:b/>
                <w:bCs/>
                <w:color w:val="000000"/>
                <w:lang w:eastAsia="en-GB"/>
              </w:rPr>
            </w:pPr>
          </w:p>
        </w:tc>
        <w:tc>
          <w:tcPr>
            <w:tcW w:w="758" w:type="pct"/>
            <w:shd w:val="clear" w:color="auto" w:fill="B4C6E7"/>
            <w:noWrap/>
            <w:vAlign w:val="center"/>
            <w:hideMark/>
          </w:tcPr>
          <w:p w14:paraId="74E4B1B4" w14:textId="7908DD5E"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bCs/>
                <w:color w:val="000000"/>
              </w:rPr>
              <w:t>Prioridades no financiadas con cargo al presupuesto básico</w:t>
            </w:r>
          </w:p>
        </w:tc>
        <w:tc>
          <w:tcPr>
            <w:tcW w:w="707" w:type="pct"/>
            <w:shd w:val="clear" w:color="auto" w:fill="B4C6E7"/>
            <w:vAlign w:val="center"/>
          </w:tcPr>
          <w:p w14:paraId="77D671F9" w14:textId="72053615"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bCs/>
                <w:color w:val="000000"/>
              </w:rPr>
              <w:t>Breve descripción</w:t>
            </w:r>
          </w:p>
        </w:tc>
        <w:tc>
          <w:tcPr>
            <w:tcW w:w="455" w:type="pct"/>
            <w:shd w:val="clear" w:color="auto" w:fill="B4C6E7"/>
            <w:noWrap/>
            <w:vAlign w:val="center"/>
          </w:tcPr>
          <w:p w14:paraId="10AAD748" w14:textId="5FEB946E" w:rsidR="00FF7846" w:rsidRPr="004C143B" w:rsidRDefault="00820624" w:rsidP="00BE3A3F">
            <w:pPr>
              <w:ind w:left="0" w:firstLine="0"/>
              <w:jc w:val="center"/>
              <w:rPr>
                <w:rFonts w:asciiTheme="minorHAnsi" w:eastAsia="Times New Roman" w:hAnsiTheme="minorHAnsi" w:cstheme="minorHAnsi"/>
                <w:b/>
                <w:bCs/>
                <w:color w:val="000000"/>
              </w:rPr>
            </w:pPr>
            <w:r>
              <w:rPr>
                <w:rFonts w:asciiTheme="minorHAnsi" w:hAnsiTheme="minorHAnsi"/>
                <w:b/>
                <w:bCs/>
                <w:color w:val="000000"/>
              </w:rPr>
              <w:t>Importe en CHF</w:t>
            </w:r>
          </w:p>
        </w:tc>
        <w:tc>
          <w:tcPr>
            <w:tcW w:w="1162" w:type="pct"/>
            <w:shd w:val="clear" w:color="auto" w:fill="B4C6E7"/>
            <w:vAlign w:val="center"/>
          </w:tcPr>
          <w:p w14:paraId="6BA5ADE1" w14:textId="56F19AAE"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bCs/>
                <w:color w:val="000000"/>
              </w:rPr>
              <w:t>2023</w:t>
            </w:r>
          </w:p>
        </w:tc>
        <w:tc>
          <w:tcPr>
            <w:tcW w:w="859" w:type="pct"/>
            <w:shd w:val="clear" w:color="auto" w:fill="B4C6E7"/>
            <w:noWrap/>
            <w:vAlign w:val="center"/>
          </w:tcPr>
          <w:p w14:paraId="0511A8BF" w14:textId="6DFF0668"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bCs/>
                <w:color w:val="000000"/>
              </w:rPr>
              <w:t>2024</w:t>
            </w:r>
          </w:p>
        </w:tc>
        <w:tc>
          <w:tcPr>
            <w:tcW w:w="859" w:type="pct"/>
            <w:shd w:val="clear" w:color="auto" w:fill="B4C6E7"/>
            <w:noWrap/>
            <w:vAlign w:val="center"/>
            <w:hideMark/>
          </w:tcPr>
          <w:p w14:paraId="118354B9" w14:textId="3F810427"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bCs/>
                <w:color w:val="000000"/>
              </w:rPr>
              <w:t>2025</w:t>
            </w:r>
          </w:p>
        </w:tc>
      </w:tr>
      <w:tr w:rsidR="00E66205" w:rsidRPr="004C143B" w14:paraId="0762F194" w14:textId="77777777" w:rsidTr="00BE1E12">
        <w:trPr>
          <w:cantSplit/>
        </w:trPr>
        <w:tc>
          <w:tcPr>
            <w:tcW w:w="200" w:type="pct"/>
          </w:tcPr>
          <w:p w14:paraId="61A413E0" w14:textId="6BAA3931"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auto"/>
            <w:noWrap/>
            <w:hideMark/>
          </w:tcPr>
          <w:p w14:paraId="7E6FF95C" w14:textId="1EB35A83"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Misiones Ramsar de Asesoramiento </w:t>
            </w:r>
          </w:p>
        </w:tc>
        <w:tc>
          <w:tcPr>
            <w:tcW w:w="707" w:type="pct"/>
          </w:tcPr>
          <w:p w14:paraId="11564953" w14:textId="7A6CA8A6" w:rsidR="00FF7846" w:rsidRPr="004C143B" w:rsidRDefault="49AFEA9B" w:rsidP="36DAF3CC">
            <w:pPr>
              <w:ind w:left="0" w:firstLine="0"/>
              <w:rPr>
                <w:rFonts w:asciiTheme="minorHAnsi" w:eastAsia="Times New Roman" w:hAnsiTheme="minorHAnsi" w:cstheme="minorHAnsi"/>
                <w:color w:val="000000" w:themeColor="text1"/>
              </w:rPr>
            </w:pPr>
            <w:r>
              <w:rPr>
                <w:rFonts w:asciiTheme="minorHAnsi" w:hAnsiTheme="minorHAnsi"/>
                <w:color w:val="000000" w:themeColor="text1"/>
              </w:rPr>
              <w:t>Facilitar la realización de MRA en los países solicitantes.</w:t>
            </w:r>
          </w:p>
          <w:p w14:paraId="062D2DD5" w14:textId="4E54DCC2" w:rsidR="00FF7846" w:rsidRPr="004C143B" w:rsidRDefault="00FF7846" w:rsidP="36DAF3CC">
            <w:pPr>
              <w:ind w:left="0" w:firstLine="0"/>
              <w:rPr>
                <w:rFonts w:asciiTheme="minorHAnsi" w:eastAsia="Times New Roman" w:hAnsiTheme="minorHAnsi" w:cstheme="minorHAnsi"/>
                <w:color w:val="000000"/>
                <w:lang w:eastAsia="en-GB"/>
              </w:rPr>
            </w:pPr>
          </w:p>
        </w:tc>
        <w:tc>
          <w:tcPr>
            <w:tcW w:w="455" w:type="pct"/>
            <w:shd w:val="clear" w:color="auto" w:fill="auto"/>
            <w:noWrap/>
            <w:hideMark/>
          </w:tcPr>
          <w:p w14:paraId="1E38B853" w14:textId="6EDC2C83"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225k</w:t>
            </w:r>
          </w:p>
          <w:p w14:paraId="276C5B51" w14:textId="5661725A" w:rsidR="00FF7846" w:rsidRPr="004C143B" w:rsidRDefault="00FF7846" w:rsidP="00FF7846">
            <w:pPr>
              <w:ind w:left="0" w:firstLine="0"/>
              <w:jc w:val="center"/>
              <w:rPr>
                <w:rFonts w:asciiTheme="minorHAnsi" w:eastAsia="Times New Roman" w:hAnsiTheme="minorHAnsi" w:cstheme="minorHAnsi"/>
                <w:color w:val="000000"/>
                <w:lang w:eastAsia="en-GB"/>
              </w:rPr>
            </w:pPr>
          </w:p>
        </w:tc>
        <w:tc>
          <w:tcPr>
            <w:tcW w:w="1162" w:type="pct"/>
          </w:tcPr>
          <w:p w14:paraId="3E83D1FC" w14:textId="2217E7AC" w:rsidR="70100E02" w:rsidRPr="004C143B" w:rsidRDefault="7068859A" w:rsidP="2718667C">
            <w:pPr>
              <w:pStyle w:val="ListParagraph"/>
              <w:numPr>
                <w:ilvl w:val="0"/>
                <w:numId w:val="36"/>
              </w:numPr>
              <w:rPr>
                <w:rFonts w:asciiTheme="minorHAnsi" w:eastAsia="Times New Roman" w:hAnsiTheme="minorHAnsi" w:cstheme="minorHAnsi"/>
                <w:color w:val="000000" w:themeColor="text1"/>
              </w:rPr>
            </w:pPr>
            <w:r>
              <w:rPr>
                <w:rFonts w:asciiTheme="minorHAnsi" w:hAnsiTheme="minorHAnsi"/>
                <w:color w:val="000000" w:themeColor="text1"/>
              </w:rPr>
              <w:t>Compilar la lista de MRA.</w:t>
            </w:r>
          </w:p>
          <w:p w14:paraId="5144097A" w14:textId="539C0D22" w:rsidR="00FF7846" w:rsidRPr="004C143B" w:rsidRDefault="70100E02" w:rsidP="2718667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Ejercicio de identificación de donantes. </w:t>
            </w:r>
          </w:p>
          <w:p w14:paraId="1CF1EF79" w14:textId="5A4B4CFF" w:rsidR="00FF7846" w:rsidRPr="004C143B" w:rsidRDefault="3BD4D9B1" w:rsidP="36DAF3C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Elaborar notas conceptuales. Actividades de divulgación dirigidas a asociados y donantes.</w:t>
            </w:r>
          </w:p>
        </w:tc>
        <w:tc>
          <w:tcPr>
            <w:tcW w:w="859" w:type="pct"/>
            <w:shd w:val="clear" w:color="auto" w:fill="auto"/>
            <w:noWrap/>
            <w:hideMark/>
          </w:tcPr>
          <w:p w14:paraId="32E1DAB3" w14:textId="03E89D7E" w:rsidR="00FF7846" w:rsidRPr="004C143B" w:rsidRDefault="00FF7846" w:rsidP="00864A66">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rPr>
              <w:t xml:space="preserve">Compilar la lista de MRA. </w:t>
            </w:r>
          </w:p>
          <w:p w14:paraId="1F7D360D" w14:textId="0DEEA1C6" w:rsidR="00FF7846" w:rsidRPr="004C143B" w:rsidRDefault="70100E02" w:rsidP="2718667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Ejercicio de identificación de donantes. </w:t>
            </w:r>
          </w:p>
          <w:p w14:paraId="3B1AEE61" w14:textId="559EB5AB" w:rsidR="4B83F2E5" w:rsidRPr="004C143B" w:rsidRDefault="4B83F2E5" w:rsidP="2718667C">
            <w:pPr>
              <w:pStyle w:val="ListParagraph"/>
              <w:numPr>
                <w:ilvl w:val="0"/>
                <w:numId w:val="36"/>
              </w:numPr>
              <w:rPr>
                <w:rFonts w:asciiTheme="minorHAnsi" w:hAnsiTheme="minorHAnsi" w:cstheme="minorHAnsi"/>
                <w:color w:val="000000" w:themeColor="text1"/>
              </w:rPr>
            </w:pPr>
            <w:r>
              <w:rPr>
                <w:rFonts w:asciiTheme="minorHAnsi" w:hAnsiTheme="minorHAnsi"/>
                <w:color w:val="000000" w:themeColor="text1"/>
              </w:rPr>
              <w:t>Elaborar notas conceptuales.</w:t>
            </w:r>
          </w:p>
          <w:p w14:paraId="02F7FB1C" w14:textId="7C6108F4" w:rsidR="00FF7846" w:rsidRPr="004C143B" w:rsidRDefault="70100E02" w:rsidP="004C143B">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Actividades de divulgación dirigidas a asociados y donantes. </w:t>
            </w:r>
          </w:p>
        </w:tc>
        <w:tc>
          <w:tcPr>
            <w:tcW w:w="859" w:type="pct"/>
            <w:shd w:val="clear" w:color="auto" w:fill="auto"/>
            <w:noWrap/>
            <w:hideMark/>
          </w:tcPr>
          <w:p w14:paraId="28AD0C96" w14:textId="0FB7FCD4" w:rsidR="00FF7846" w:rsidRPr="004C143B" w:rsidRDefault="70100E02" w:rsidP="00532598">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Compilar la lista de MRA. </w:t>
            </w:r>
          </w:p>
          <w:p w14:paraId="6B45309C" w14:textId="5AD78FD5" w:rsidR="00FF7846" w:rsidRPr="004C143B" w:rsidRDefault="70100E02" w:rsidP="2718667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Ejercicio de identificación de donantes.</w:t>
            </w:r>
          </w:p>
          <w:p w14:paraId="17C5CFC0" w14:textId="6EA32C10" w:rsidR="00FF7846" w:rsidRPr="004C143B" w:rsidRDefault="5757E526" w:rsidP="2718667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Elaborar notas conceptuales.  </w:t>
            </w:r>
          </w:p>
          <w:p w14:paraId="7E691BFD" w14:textId="0536260E" w:rsidR="00FF7846" w:rsidRPr="004C143B" w:rsidRDefault="70100E02" w:rsidP="00532598">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Actividades de divulgación dirigidas a asociados y donantes.</w:t>
            </w:r>
          </w:p>
        </w:tc>
      </w:tr>
      <w:tr w:rsidR="00E66205" w:rsidRPr="004C143B" w14:paraId="0336BEC2" w14:textId="77777777" w:rsidTr="00BE1E12">
        <w:trPr>
          <w:cantSplit/>
        </w:trPr>
        <w:tc>
          <w:tcPr>
            <w:tcW w:w="200" w:type="pct"/>
            <w:shd w:val="clear" w:color="auto" w:fill="DDEBF7"/>
          </w:tcPr>
          <w:p w14:paraId="4625C6AD"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DDEBF7"/>
            <w:noWrap/>
          </w:tcPr>
          <w:p w14:paraId="7E70C735" w14:textId="36E3399B"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 La juventud y los humedales</w:t>
            </w:r>
          </w:p>
        </w:tc>
        <w:tc>
          <w:tcPr>
            <w:tcW w:w="707" w:type="pct"/>
            <w:shd w:val="clear" w:color="auto" w:fill="DDEBF7"/>
          </w:tcPr>
          <w:p w14:paraId="10B682CC" w14:textId="2C2B2705"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Fortalecer la participación de los jóvenes.</w:t>
            </w:r>
          </w:p>
        </w:tc>
        <w:tc>
          <w:tcPr>
            <w:tcW w:w="455" w:type="pct"/>
            <w:shd w:val="clear" w:color="auto" w:fill="DDEBF7"/>
            <w:noWrap/>
          </w:tcPr>
          <w:p w14:paraId="1197F36D" w14:textId="02AF9DF7"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280k</w:t>
            </w:r>
          </w:p>
        </w:tc>
        <w:tc>
          <w:tcPr>
            <w:tcW w:w="1162" w:type="pct"/>
            <w:shd w:val="clear" w:color="auto" w:fill="DDEBF7"/>
          </w:tcPr>
          <w:p w14:paraId="63A24385" w14:textId="65B28AD2" w:rsidR="00FF7846" w:rsidRPr="004C143B" w:rsidRDefault="7068859A" w:rsidP="36DAF3C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Elaborar una propuesta de actividades basada en el plan de trabajo del Grupo de Trabajo sobre la Juventud. </w:t>
            </w:r>
          </w:p>
          <w:p w14:paraId="66EDB4E3" w14:textId="637D9C99" w:rsidR="00762121" w:rsidRPr="004C143B" w:rsidRDefault="5F0C3C9F" w:rsidP="007B0010">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Invitar a las Partes Contratantes interesadas a financiar el puesto de asesor en materia de juventud. </w:t>
            </w:r>
          </w:p>
          <w:p w14:paraId="7D769647" w14:textId="09E585A1" w:rsidR="00FF7846" w:rsidRPr="004C143B" w:rsidRDefault="70100E02" w:rsidP="007B0010">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Ejercicio de identificación de donantes.  </w:t>
            </w:r>
          </w:p>
          <w:p w14:paraId="640A7ECF" w14:textId="4EFED8DC" w:rsidR="00FF7846" w:rsidRPr="004C143B" w:rsidRDefault="7068859A" w:rsidP="004C143B">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Actividades de divulgación dirigidas a donantes y asociados.</w:t>
            </w:r>
          </w:p>
        </w:tc>
        <w:tc>
          <w:tcPr>
            <w:tcW w:w="859" w:type="pct"/>
            <w:shd w:val="clear" w:color="auto" w:fill="DDEBF7"/>
            <w:noWrap/>
          </w:tcPr>
          <w:p w14:paraId="1C19AE0F" w14:textId="15760664" w:rsidR="00FF7846" w:rsidRPr="004C143B" w:rsidRDefault="00FF7846" w:rsidP="002C67D1">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p w14:paraId="739705D6" w14:textId="34170CE5" w:rsidR="00E66205" w:rsidRPr="004C143B" w:rsidRDefault="00E66205" w:rsidP="00E66205">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Invitar a las Partes Contratantes interesadas a financiar el puesto de asesor en materia de juventud. </w:t>
            </w:r>
          </w:p>
          <w:p w14:paraId="0D625FE3" w14:textId="6BBD9BAF" w:rsidR="00FF7846" w:rsidRPr="004C143B" w:rsidRDefault="00FF7846" w:rsidP="002C67D1">
            <w:pPr>
              <w:ind w:left="0" w:firstLine="0"/>
              <w:rPr>
                <w:rFonts w:asciiTheme="minorHAnsi" w:eastAsia="Times New Roman" w:hAnsiTheme="minorHAnsi" w:cstheme="minorHAnsi"/>
                <w:color w:val="000000"/>
                <w:lang w:eastAsia="en-GB"/>
              </w:rPr>
            </w:pPr>
          </w:p>
        </w:tc>
        <w:tc>
          <w:tcPr>
            <w:tcW w:w="859" w:type="pct"/>
            <w:shd w:val="clear" w:color="auto" w:fill="DDEBF7"/>
            <w:noWrap/>
          </w:tcPr>
          <w:p w14:paraId="00C20B69" w14:textId="3800C87A" w:rsidR="00FF7846" w:rsidRPr="004C143B" w:rsidRDefault="00FF7846" w:rsidP="002C67D1">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p w14:paraId="2D12D41A" w14:textId="499C68C6" w:rsidR="00E66205" w:rsidRPr="004C143B" w:rsidRDefault="00E66205" w:rsidP="00E66205">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Invitar a las Partes Contratantes interesadas a financiar el puesto de asesor en materia de juventud. </w:t>
            </w:r>
          </w:p>
          <w:p w14:paraId="12053F4A" w14:textId="77777777" w:rsidR="00FF7846" w:rsidRPr="004C143B" w:rsidRDefault="00FF7846" w:rsidP="002C67D1">
            <w:pPr>
              <w:ind w:left="0" w:firstLine="0"/>
              <w:rPr>
                <w:rFonts w:asciiTheme="minorHAnsi" w:eastAsia="Times New Roman" w:hAnsiTheme="minorHAnsi" w:cstheme="minorHAnsi"/>
                <w:color w:val="000000"/>
                <w:lang w:eastAsia="en-GB"/>
              </w:rPr>
            </w:pPr>
          </w:p>
        </w:tc>
      </w:tr>
      <w:tr w:rsidR="00864A66" w:rsidRPr="004C143B" w14:paraId="5301B96B" w14:textId="77777777" w:rsidTr="00BE1E12">
        <w:trPr>
          <w:cantSplit/>
        </w:trPr>
        <w:tc>
          <w:tcPr>
            <w:tcW w:w="200" w:type="pct"/>
            <w:shd w:val="clear" w:color="auto" w:fill="FFFFFF" w:themeFill="background1"/>
          </w:tcPr>
          <w:p w14:paraId="06200D8C"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FFFFFF" w:themeFill="background1"/>
            <w:noWrap/>
          </w:tcPr>
          <w:p w14:paraId="44FE1955" w14:textId="5F8B82A6"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Apoyo a las redes y centros de las iniciativas regionales. </w:t>
            </w:r>
          </w:p>
        </w:tc>
        <w:tc>
          <w:tcPr>
            <w:tcW w:w="707" w:type="pct"/>
            <w:shd w:val="clear" w:color="auto" w:fill="FFFFFF" w:themeFill="background1"/>
          </w:tcPr>
          <w:p w14:paraId="70EFD2D1" w14:textId="1E06B3A7"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Apoyar los objetivos de recaudación de fondos de las IRR.</w:t>
            </w:r>
          </w:p>
        </w:tc>
        <w:tc>
          <w:tcPr>
            <w:tcW w:w="455" w:type="pct"/>
            <w:shd w:val="clear" w:color="auto" w:fill="FFFFFF" w:themeFill="background1"/>
            <w:noWrap/>
          </w:tcPr>
          <w:p w14:paraId="2D12C7F8" w14:textId="684B9E94"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150k</w:t>
            </w:r>
          </w:p>
        </w:tc>
        <w:tc>
          <w:tcPr>
            <w:tcW w:w="1162" w:type="pct"/>
            <w:shd w:val="clear" w:color="auto" w:fill="FFFFFF" w:themeFill="background1"/>
          </w:tcPr>
          <w:p w14:paraId="48D2E0C0" w14:textId="2DD27CF9" w:rsidR="00FF7846" w:rsidRPr="004C143B" w:rsidRDefault="49AFEA9B" w:rsidP="36DAF3CC">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themeColor="text1"/>
              </w:rPr>
              <w:t xml:space="preserve">Involucrar a las IRR para identificar las necesidades de financiación/examinar las opciones de recaudación de fondos. </w:t>
            </w:r>
          </w:p>
          <w:p w14:paraId="0E14F011" w14:textId="4CD769F9" w:rsidR="00FF7846" w:rsidRPr="004C143B" w:rsidRDefault="00FF7846" w:rsidP="00086BAD">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rPr>
              <w:t xml:space="preserve">Ejercicio de identificación de donantes. </w:t>
            </w:r>
          </w:p>
          <w:p w14:paraId="435EDD7F" w14:textId="0997EDAB" w:rsidR="00FF7846" w:rsidRPr="004C143B" w:rsidRDefault="00FF7846" w:rsidP="00903D13">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rPr>
              <w:t>Actividades de divulgación dirigidas a donantes y asociados.</w:t>
            </w:r>
          </w:p>
        </w:tc>
        <w:tc>
          <w:tcPr>
            <w:tcW w:w="859" w:type="pct"/>
            <w:shd w:val="clear" w:color="auto" w:fill="FFFFFF" w:themeFill="background1"/>
            <w:noWrap/>
          </w:tcPr>
          <w:p w14:paraId="1619CCED" w14:textId="231FC930" w:rsidR="00FF7846" w:rsidRPr="004C143B" w:rsidRDefault="00FF7846" w:rsidP="009463C5">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rPr>
              <w:t>Actividades de divulgación dirigidas a donantes y asociados.</w:t>
            </w:r>
          </w:p>
          <w:p w14:paraId="448E530E" w14:textId="3B29884E" w:rsidR="00FF7846" w:rsidRPr="004C143B" w:rsidRDefault="00FF7846" w:rsidP="00EB68CB">
            <w:pPr>
              <w:ind w:left="0" w:firstLine="0"/>
              <w:rPr>
                <w:rFonts w:asciiTheme="minorHAnsi" w:eastAsia="Times New Roman" w:hAnsiTheme="minorHAnsi" w:cstheme="minorHAnsi"/>
                <w:color w:val="000000"/>
                <w:lang w:eastAsia="en-GB"/>
              </w:rPr>
            </w:pPr>
          </w:p>
        </w:tc>
        <w:tc>
          <w:tcPr>
            <w:tcW w:w="859" w:type="pct"/>
            <w:shd w:val="clear" w:color="auto" w:fill="FFFFFF" w:themeFill="background1"/>
            <w:noWrap/>
          </w:tcPr>
          <w:p w14:paraId="419932F1" w14:textId="1117C512" w:rsidR="00FF7846" w:rsidRPr="004C143B" w:rsidRDefault="00FF7846" w:rsidP="009463C5">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p w14:paraId="23151163" w14:textId="77777777" w:rsidR="00FF7846" w:rsidRPr="004C143B" w:rsidRDefault="00FF7846" w:rsidP="00EB68CB">
            <w:pPr>
              <w:ind w:left="0" w:firstLine="0"/>
              <w:rPr>
                <w:rFonts w:asciiTheme="minorHAnsi" w:eastAsia="Times New Roman" w:hAnsiTheme="minorHAnsi" w:cstheme="minorHAnsi"/>
                <w:color w:val="000000"/>
                <w:lang w:eastAsia="en-GB"/>
              </w:rPr>
            </w:pPr>
          </w:p>
        </w:tc>
      </w:tr>
      <w:tr w:rsidR="00E66205" w:rsidRPr="004C143B" w14:paraId="53175D20" w14:textId="77777777" w:rsidTr="00BE1E12">
        <w:trPr>
          <w:cantSplit/>
        </w:trPr>
        <w:tc>
          <w:tcPr>
            <w:tcW w:w="200" w:type="pct"/>
            <w:shd w:val="clear" w:color="auto" w:fill="DDEBF7"/>
          </w:tcPr>
          <w:p w14:paraId="51C2B5FE"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DDEBF7"/>
            <w:noWrap/>
          </w:tcPr>
          <w:p w14:paraId="6B926390" w14:textId="40171D10"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Día Mundial de los Humedales </w:t>
            </w:r>
          </w:p>
        </w:tc>
        <w:tc>
          <w:tcPr>
            <w:tcW w:w="707" w:type="pct"/>
            <w:shd w:val="clear" w:color="auto" w:fill="DDEBF7"/>
          </w:tcPr>
          <w:p w14:paraId="09D8B15E" w14:textId="4817BBC3"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Financiar el desarrollo de materiales de comunicación y divulgación.</w:t>
            </w:r>
          </w:p>
        </w:tc>
        <w:tc>
          <w:tcPr>
            <w:tcW w:w="455" w:type="pct"/>
            <w:shd w:val="clear" w:color="auto" w:fill="DDEBF7"/>
            <w:noWrap/>
          </w:tcPr>
          <w:p w14:paraId="1B48D794" w14:textId="77777777"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250k</w:t>
            </w:r>
          </w:p>
          <w:p w14:paraId="7AE6645B" w14:textId="66F1BE89" w:rsidR="00C03F48" w:rsidRPr="004C143B" w:rsidRDefault="00C03F48" w:rsidP="00FF7846">
            <w:pPr>
              <w:ind w:left="0" w:firstLine="0"/>
              <w:jc w:val="center"/>
              <w:rPr>
                <w:rFonts w:asciiTheme="minorHAnsi" w:eastAsia="Times New Roman" w:hAnsiTheme="minorHAnsi" w:cstheme="minorHAnsi"/>
                <w:color w:val="000000"/>
                <w:lang w:eastAsia="en-GB"/>
              </w:rPr>
            </w:pPr>
          </w:p>
        </w:tc>
        <w:tc>
          <w:tcPr>
            <w:tcW w:w="1162" w:type="pct"/>
            <w:shd w:val="clear" w:color="auto" w:fill="DDEBF7"/>
          </w:tcPr>
          <w:p w14:paraId="28F9B58D" w14:textId="4782A23C" w:rsidR="00FF7846" w:rsidRPr="004C143B" w:rsidRDefault="00FF7846" w:rsidP="00A24404">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Preparar propuestas.  </w:t>
            </w:r>
          </w:p>
          <w:p w14:paraId="42FFEE98" w14:textId="72CB3947" w:rsidR="00FF7846" w:rsidRPr="004C143B" w:rsidRDefault="00FF7846" w:rsidP="00864A66">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tc>
        <w:tc>
          <w:tcPr>
            <w:tcW w:w="859" w:type="pct"/>
            <w:shd w:val="clear" w:color="auto" w:fill="DDEBF7"/>
            <w:noWrap/>
          </w:tcPr>
          <w:p w14:paraId="34E7FBE8" w14:textId="1CBF9742" w:rsidR="00FF7846" w:rsidRPr="004C143B" w:rsidRDefault="00FF7846" w:rsidP="000805B0">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Preparar propuestas.</w:t>
            </w:r>
          </w:p>
          <w:p w14:paraId="73A4E619" w14:textId="37CED7FA" w:rsidR="00FF7846" w:rsidRPr="004C143B" w:rsidRDefault="00FF7846" w:rsidP="000805B0">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Actividades de divulgación dirigidas a donantes y asociados.</w:t>
            </w:r>
          </w:p>
        </w:tc>
        <w:tc>
          <w:tcPr>
            <w:tcW w:w="859" w:type="pct"/>
            <w:shd w:val="clear" w:color="auto" w:fill="DDEBF7"/>
            <w:noWrap/>
          </w:tcPr>
          <w:p w14:paraId="2599067A" w14:textId="77777777" w:rsidR="00FF7846" w:rsidRPr="004C143B" w:rsidRDefault="00FF7846" w:rsidP="00E03E71">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Preparar propuestas.  </w:t>
            </w:r>
          </w:p>
          <w:p w14:paraId="181C54C8" w14:textId="28DEF4E4" w:rsidR="00FF7846" w:rsidRPr="004C143B" w:rsidRDefault="00FF7846" w:rsidP="00E03E71">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Actividades de divulgación dirigidas a donantes y asociados.</w:t>
            </w:r>
          </w:p>
        </w:tc>
      </w:tr>
      <w:tr w:rsidR="00864A66" w:rsidRPr="004C143B" w14:paraId="1C1E53D9" w14:textId="77777777" w:rsidTr="00BE1E12">
        <w:trPr>
          <w:cantSplit/>
        </w:trPr>
        <w:tc>
          <w:tcPr>
            <w:tcW w:w="200" w:type="pct"/>
            <w:shd w:val="clear" w:color="auto" w:fill="FFFFFF" w:themeFill="background1"/>
          </w:tcPr>
          <w:p w14:paraId="5D03D528"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FFFFFF" w:themeFill="background1"/>
            <w:noWrap/>
          </w:tcPr>
          <w:p w14:paraId="2C6965CE" w14:textId="49B360A4" w:rsidR="00FF7846" w:rsidRPr="004C143B" w:rsidRDefault="00FF7846" w:rsidP="00BE3A3F">
            <w:pPr>
              <w:ind w:left="0" w:firstLine="0"/>
              <w:rPr>
                <w:rFonts w:asciiTheme="minorHAnsi" w:eastAsia="Times New Roman" w:hAnsiTheme="minorHAnsi" w:cstheme="minorHAnsi"/>
                <w:color w:val="000000"/>
              </w:rPr>
            </w:pPr>
            <w:r>
              <w:rPr>
                <w:rFonts w:asciiTheme="minorHAnsi" w:hAnsiTheme="minorHAnsi"/>
                <w:color w:val="000000"/>
              </w:rPr>
              <w:t xml:space="preserve">Inventarios de humedales </w:t>
            </w:r>
          </w:p>
        </w:tc>
        <w:tc>
          <w:tcPr>
            <w:tcW w:w="707" w:type="pct"/>
            <w:shd w:val="clear" w:color="auto" w:fill="FFFFFF" w:themeFill="background1"/>
          </w:tcPr>
          <w:p w14:paraId="4FB9FCA2" w14:textId="396F8CA9"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Ayudar a las Partes Contratantes a iniciar, realizar o completar sus inventarios de humedales. </w:t>
            </w:r>
          </w:p>
        </w:tc>
        <w:tc>
          <w:tcPr>
            <w:tcW w:w="455" w:type="pct"/>
            <w:shd w:val="clear" w:color="auto" w:fill="FFFFFF" w:themeFill="background1"/>
            <w:noWrap/>
          </w:tcPr>
          <w:p w14:paraId="009B842C" w14:textId="0970EC27"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165k</w:t>
            </w:r>
          </w:p>
        </w:tc>
        <w:tc>
          <w:tcPr>
            <w:tcW w:w="1162" w:type="pct"/>
            <w:shd w:val="clear" w:color="auto" w:fill="FFFFFF" w:themeFill="background1"/>
          </w:tcPr>
          <w:p w14:paraId="17257408" w14:textId="6F0ACCE0" w:rsidR="00AB667B" w:rsidRPr="004C143B" w:rsidRDefault="28387FA0" w:rsidP="36DAF3CC">
            <w:pPr>
              <w:pStyle w:val="ListParagraph"/>
              <w:numPr>
                <w:ilvl w:val="0"/>
                <w:numId w:val="47"/>
              </w:numPr>
              <w:rPr>
                <w:rFonts w:asciiTheme="minorHAnsi" w:eastAsia="Times New Roman" w:hAnsiTheme="minorHAnsi" w:cstheme="minorHAnsi"/>
                <w:color w:val="000000"/>
              </w:rPr>
            </w:pPr>
            <w:r>
              <w:rPr>
                <w:rFonts w:asciiTheme="minorHAnsi" w:hAnsiTheme="minorHAnsi"/>
                <w:color w:val="000000" w:themeColor="text1"/>
              </w:rPr>
              <w:t xml:space="preserve">Compartir propuestas de proyectos con donantes y asociados. </w:t>
            </w:r>
          </w:p>
          <w:p w14:paraId="48C8D9F4" w14:textId="31A17818" w:rsidR="00FF7846" w:rsidRPr="00F37FA4" w:rsidRDefault="00FF5E1D" w:rsidP="00F37FA4">
            <w:pPr>
              <w:pStyle w:val="ListParagraph"/>
              <w:numPr>
                <w:ilvl w:val="0"/>
                <w:numId w:val="47"/>
              </w:numPr>
              <w:rPr>
                <w:rFonts w:asciiTheme="minorHAnsi" w:eastAsia="Times New Roman" w:hAnsiTheme="minorHAnsi" w:cstheme="minorHAnsi"/>
                <w:color w:val="000000"/>
              </w:rPr>
            </w:pPr>
            <w:r>
              <w:rPr>
                <w:rFonts w:asciiTheme="minorHAnsi" w:hAnsiTheme="minorHAnsi"/>
                <w:color w:val="000000" w:themeColor="text1"/>
              </w:rPr>
              <w:t xml:space="preserve">Informar a los donantes actuales sobre el estado de aplicación. </w:t>
            </w:r>
          </w:p>
        </w:tc>
        <w:tc>
          <w:tcPr>
            <w:tcW w:w="859" w:type="pct"/>
            <w:shd w:val="clear" w:color="auto" w:fill="FFFFFF" w:themeFill="background1"/>
            <w:noWrap/>
          </w:tcPr>
          <w:p w14:paraId="2AEC3FB0" w14:textId="32257B29" w:rsidR="00FF7846" w:rsidRPr="004C143B" w:rsidRDefault="00FF7846" w:rsidP="00D563B4">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p w14:paraId="692A2D40" w14:textId="1A890983" w:rsidR="00FF7846" w:rsidRPr="004C143B" w:rsidRDefault="00FF5E1D" w:rsidP="004C143B">
            <w:pPr>
              <w:pStyle w:val="ListParagraph"/>
              <w:numPr>
                <w:ilvl w:val="0"/>
                <w:numId w:val="38"/>
              </w:numPr>
            </w:pPr>
            <w:r>
              <w:rPr>
                <w:rFonts w:asciiTheme="minorHAnsi" w:hAnsiTheme="minorHAnsi"/>
                <w:color w:val="000000"/>
              </w:rPr>
              <w:t xml:space="preserve">Informar a los donantes actuales sobre el estado de aplicación. </w:t>
            </w:r>
          </w:p>
        </w:tc>
        <w:tc>
          <w:tcPr>
            <w:tcW w:w="859" w:type="pct"/>
            <w:shd w:val="clear" w:color="auto" w:fill="FFFFFF" w:themeFill="background1"/>
            <w:noWrap/>
          </w:tcPr>
          <w:p w14:paraId="6911D946" w14:textId="62F29647" w:rsidR="00FF7846" w:rsidRPr="004C143B" w:rsidRDefault="00FF7846" w:rsidP="00E03E71">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p w14:paraId="1216E2F8" w14:textId="163EA36F" w:rsidR="00FF7846" w:rsidRPr="004C143B" w:rsidRDefault="00FF5E1D" w:rsidP="00F37FA4">
            <w:pPr>
              <w:pStyle w:val="ListParagraph"/>
              <w:numPr>
                <w:ilvl w:val="0"/>
                <w:numId w:val="38"/>
              </w:numPr>
            </w:pPr>
            <w:r>
              <w:rPr>
                <w:rFonts w:asciiTheme="minorHAnsi" w:hAnsiTheme="minorHAnsi"/>
                <w:color w:val="000000"/>
              </w:rPr>
              <w:t xml:space="preserve">Informar a los donantes actuales sobre el estado de aplicación. </w:t>
            </w:r>
          </w:p>
        </w:tc>
      </w:tr>
      <w:tr w:rsidR="00E66205" w:rsidRPr="004C143B" w14:paraId="29EE9B08" w14:textId="77777777" w:rsidTr="00BE1E12">
        <w:trPr>
          <w:cantSplit/>
        </w:trPr>
        <w:tc>
          <w:tcPr>
            <w:tcW w:w="200" w:type="pct"/>
            <w:shd w:val="clear" w:color="auto" w:fill="DDEBF7"/>
          </w:tcPr>
          <w:p w14:paraId="7B8B59CA"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DDEBF7"/>
            <w:noWrap/>
          </w:tcPr>
          <w:p w14:paraId="691E1EA3" w14:textId="0F841565" w:rsidR="00FF7846" w:rsidRPr="004C143B" w:rsidRDefault="00FF7846" w:rsidP="00BE3A3F">
            <w:pPr>
              <w:ind w:left="0" w:firstLine="0"/>
              <w:rPr>
                <w:rFonts w:asciiTheme="minorHAnsi" w:eastAsia="Times New Roman" w:hAnsiTheme="minorHAnsi" w:cstheme="minorHAnsi"/>
                <w:color w:val="000000"/>
              </w:rPr>
            </w:pPr>
            <w:r>
              <w:rPr>
                <w:rFonts w:asciiTheme="minorHAnsi" w:hAnsiTheme="minorHAnsi"/>
                <w:color w:val="000000"/>
              </w:rPr>
              <w:t>Viajes de los delegados patrocinados para la COP15</w:t>
            </w:r>
          </w:p>
        </w:tc>
        <w:tc>
          <w:tcPr>
            <w:tcW w:w="707" w:type="pct"/>
            <w:shd w:val="clear" w:color="auto" w:fill="DDEBF7"/>
          </w:tcPr>
          <w:p w14:paraId="64BC7012" w14:textId="747D2F6C"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Apoyo financiero a las Partes Contratantes que figuran en la lista del CAD y de los PEID para que asistan a la reunión.</w:t>
            </w:r>
          </w:p>
        </w:tc>
        <w:tc>
          <w:tcPr>
            <w:tcW w:w="455" w:type="pct"/>
            <w:shd w:val="clear" w:color="auto" w:fill="DDEBF7"/>
            <w:noWrap/>
          </w:tcPr>
          <w:p w14:paraId="2A0E5FCF" w14:textId="0D163860"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600k</w:t>
            </w:r>
          </w:p>
        </w:tc>
        <w:tc>
          <w:tcPr>
            <w:tcW w:w="1162" w:type="pct"/>
            <w:shd w:val="clear" w:color="auto" w:fill="DDEBF7"/>
          </w:tcPr>
          <w:p w14:paraId="62963168" w14:textId="16CCE769" w:rsidR="00FF7846" w:rsidRPr="004C143B" w:rsidRDefault="7068859A" w:rsidP="36DAF3CC">
            <w:pPr>
              <w:pStyle w:val="ListParagraph"/>
              <w:numPr>
                <w:ilvl w:val="0"/>
                <w:numId w:val="46"/>
              </w:numPr>
              <w:rPr>
                <w:rFonts w:asciiTheme="minorHAnsi" w:eastAsia="Times New Roman" w:hAnsiTheme="minorHAnsi" w:cstheme="minorHAnsi"/>
                <w:color w:val="000000"/>
              </w:rPr>
            </w:pPr>
            <w:r>
              <w:rPr>
                <w:rFonts w:asciiTheme="minorHAnsi" w:hAnsiTheme="minorHAnsi"/>
                <w:color w:val="000000" w:themeColor="text1"/>
              </w:rPr>
              <w:t xml:space="preserve">Ejercicio de identificación de donantes. </w:t>
            </w:r>
          </w:p>
        </w:tc>
        <w:tc>
          <w:tcPr>
            <w:tcW w:w="859" w:type="pct"/>
            <w:shd w:val="clear" w:color="auto" w:fill="DDEBF7"/>
            <w:noWrap/>
          </w:tcPr>
          <w:p w14:paraId="07007C4C" w14:textId="15A45494" w:rsidR="00FF7846" w:rsidRPr="004C143B" w:rsidRDefault="00FF7846" w:rsidP="00231D73">
            <w:pPr>
              <w:pStyle w:val="ListParagraph"/>
              <w:numPr>
                <w:ilvl w:val="0"/>
                <w:numId w:val="42"/>
              </w:numPr>
              <w:rPr>
                <w:rFonts w:asciiTheme="minorHAnsi" w:eastAsia="Times New Roman" w:hAnsiTheme="minorHAnsi" w:cstheme="minorHAnsi"/>
                <w:color w:val="000000"/>
              </w:rPr>
            </w:pPr>
            <w:r>
              <w:rPr>
                <w:rFonts w:asciiTheme="minorHAnsi" w:hAnsiTheme="minorHAnsi"/>
                <w:color w:val="000000"/>
              </w:rPr>
              <w:t>Preparar propuestas.</w:t>
            </w:r>
          </w:p>
          <w:p w14:paraId="047E4079" w14:textId="0F7C1F73" w:rsidR="00FF7846" w:rsidRPr="004C143B" w:rsidRDefault="00FF7846" w:rsidP="00231D73">
            <w:pPr>
              <w:pStyle w:val="ListParagraph"/>
              <w:numPr>
                <w:ilvl w:val="0"/>
                <w:numId w:val="42"/>
              </w:numPr>
              <w:rPr>
                <w:rFonts w:asciiTheme="minorHAnsi" w:eastAsia="Times New Roman" w:hAnsiTheme="minorHAnsi" w:cstheme="minorHAnsi"/>
                <w:color w:val="000000"/>
              </w:rPr>
            </w:pPr>
            <w:r>
              <w:rPr>
                <w:rFonts w:asciiTheme="minorHAnsi" w:hAnsiTheme="minorHAnsi"/>
                <w:color w:val="000000"/>
              </w:rPr>
              <w:t>Actividades de divulgación dirigidas a donantes y asociados.</w:t>
            </w:r>
          </w:p>
        </w:tc>
        <w:tc>
          <w:tcPr>
            <w:tcW w:w="859" w:type="pct"/>
            <w:shd w:val="clear" w:color="auto" w:fill="DDEBF7"/>
            <w:noWrap/>
          </w:tcPr>
          <w:p w14:paraId="7A7C253D" w14:textId="4DD67272" w:rsidR="00FF7846" w:rsidRPr="004C143B" w:rsidRDefault="00FF7846" w:rsidP="00231D73">
            <w:pPr>
              <w:pStyle w:val="ListParagraph"/>
              <w:numPr>
                <w:ilvl w:val="0"/>
                <w:numId w:val="42"/>
              </w:numPr>
              <w:rPr>
                <w:rFonts w:asciiTheme="minorHAnsi" w:eastAsia="Times New Roman" w:hAnsiTheme="minorHAnsi" w:cstheme="minorHAnsi"/>
                <w:color w:val="000000"/>
              </w:rPr>
            </w:pPr>
            <w:r>
              <w:rPr>
                <w:rFonts w:asciiTheme="minorHAnsi" w:hAnsiTheme="minorHAnsi"/>
                <w:color w:val="000000"/>
              </w:rPr>
              <w:t>Actividades de divulgación dirigidas a donantes y asociados.</w:t>
            </w:r>
          </w:p>
        </w:tc>
      </w:tr>
      <w:tr w:rsidR="00864A66" w:rsidRPr="004C143B" w14:paraId="59FF6066" w14:textId="77777777" w:rsidTr="00BE1E12">
        <w:trPr>
          <w:cantSplit/>
        </w:trPr>
        <w:tc>
          <w:tcPr>
            <w:tcW w:w="200" w:type="pct"/>
            <w:shd w:val="clear" w:color="auto" w:fill="FFFFFF" w:themeFill="background1"/>
          </w:tcPr>
          <w:p w14:paraId="6209A82B"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FFFFFF" w:themeFill="background1"/>
            <w:noWrap/>
            <w:hideMark/>
          </w:tcPr>
          <w:p w14:paraId="316BD5BB" w14:textId="293A0CCD" w:rsidR="00FF7846" w:rsidRPr="004C143B" w:rsidRDefault="00FF7846" w:rsidP="00BE3A3F">
            <w:pPr>
              <w:jc w:val="both"/>
              <w:rPr>
                <w:rFonts w:asciiTheme="minorHAnsi" w:eastAsia="Times New Roman" w:hAnsiTheme="minorHAnsi" w:cstheme="minorHAnsi"/>
                <w:color w:val="000000"/>
              </w:rPr>
            </w:pPr>
            <w:r>
              <w:rPr>
                <w:rFonts w:asciiTheme="minorHAnsi" w:hAnsiTheme="minorHAnsi"/>
                <w:color w:val="000000"/>
              </w:rPr>
              <w:t>Plan de trabajo del GECT</w:t>
            </w:r>
          </w:p>
        </w:tc>
        <w:tc>
          <w:tcPr>
            <w:tcW w:w="707" w:type="pct"/>
            <w:shd w:val="clear" w:color="auto" w:fill="FFFFFF" w:themeFill="background1"/>
          </w:tcPr>
          <w:p w14:paraId="7EC1EBDA" w14:textId="0B161B8D"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Apoyar el desarrollo y la elaboración de los productos enumerados en el Plan de Trabajo del Grupo de Examen Científico y Técnico.</w:t>
            </w:r>
          </w:p>
        </w:tc>
        <w:tc>
          <w:tcPr>
            <w:tcW w:w="455" w:type="pct"/>
            <w:shd w:val="clear" w:color="auto" w:fill="FFFFFF" w:themeFill="background1"/>
            <w:noWrap/>
            <w:hideMark/>
          </w:tcPr>
          <w:p w14:paraId="5D1A53D8" w14:textId="0B04F5BA"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300k</w:t>
            </w:r>
          </w:p>
        </w:tc>
        <w:tc>
          <w:tcPr>
            <w:tcW w:w="1162" w:type="pct"/>
            <w:shd w:val="clear" w:color="auto" w:fill="FFFFFF" w:themeFill="background1"/>
          </w:tcPr>
          <w:p w14:paraId="093AB9A0" w14:textId="10C538F7" w:rsidR="00FF7846" w:rsidRPr="004C143B" w:rsidRDefault="00FF7846" w:rsidP="00FA49EA">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Elaborar propuestas de financiación basadas en el plan de trabajo aprobado del GECT.</w:t>
            </w:r>
          </w:p>
          <w:p w14:paraId="2CEFDD82" w14:textId="31F5CAD9" w:rsidR="00FF7846" w:rsidRPr="004C143B" w:rsidRDefault="00FF7846" w:rsidP="00FA49EA">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Ejercicio de identificación de donantes. </w:t>
            </w:r>
          </w:p>
          <w:p w14:paraId="09E1B158" w14:textId="7110E6F0" w:rsidR="00FF7846" w:rsidRPr="004C143B" w:rsidRDefault="00FF7846" w:rsidP="00C03F48">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tc>
        <w:tc>
          <w:tcPr>
            <w:tcW w:w="859" w:type="pct"/>
            <w:shd w:val="clear" w:color="auto" w:fill="FFFFFF" w:themeFill="background1"/>
            <w:noWrap/>
            <w:hideMark/>
          </w:tcPr>
          <w:p w14:paraId="0F7BAA8C" w14:textId="67219FF1" w:rsidR="00FF7846" w:rsidRPr="004C143B" w:rsidRDefault="00FF7846" w:rsidP="00B60C3F">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p w14:paraId="560F7124" w14:textId="164A7A4E" w:rsidR="00FF7846" w:rsidRPr="004C143B" w:rsidRDefault="00FF7846" w:rsidP="00EB68CB">
            <w:pPr>
              <w:ind w:left="0" w:firstLine="0"/>
              <w:rPr>
                <w:rFonts w:asciiTheme="minorHAnsi" w:eastAsia="Times New Roman" w:hAnsiTheme="minorHAnsi" w:cstheme="minorHAnsi"/>
                <w:color w:val="000000"/>
                <w:lang w:eastAsia="en-GB"/>
              </w:rPr>
            </w:pPr>
          </w:p>
        </w:tc>
        <w:tc>
          <w:tcPr>
            <w:tcW w:w="859" w:type="pct"/>
            <w:shd w:val="clear" w:color="auto" w:fill="FFFFFF" w:themeFill="background1"/>
            <w:noWrap/>
            <w:hideMark/>
          </w:tcPr>
          <w:p w14:paraId="42EC483F" w14:textId="3B162E48" w:rsidR="00FF7846" w:rsidRPr="004C143B" w:rsidRDefault="00FF7846" w:rsidP="00FA49EA">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p w14:paraId="29744C98" w14:textId="7D9C82FB" w:rsidR="00FF7846" w:rsidRPr="004C143B" w:rsidRDefault="00FF7846" w:rsidP="00EB68CB">
            <w:pPr>
              <w:ind w:left="0" w:firstLine="0"/>
              <w:rPr>
                <w:rFonts w:asciiTheme="minorHAnsi" w:eastAsia="Times New Roman" w:hAnsiTheme="minorHAnsi" w:cstheme="minorHAnsi"/>
                <w:color w:val="000000"/>
                <w:lang w:eastAsia="en-GB"/>
              </w:rPr>
            </w:pPr>
          </w:p>
        </w:tc>
      </w:tr>
      <w:tr w:rsidR="00E66205" w:rsidRPr="004C143B" w14:paraId="0E948F79" w14:textId="77777777" w:rsidTr="00BE1E12">
        <w:trPr>
          <w:cantSplit/>
        </w:trPr>
        <w:tc>
          <w:tcPr>
            <w:tcW w:w="200" w:type="pct"/>
            <w:shd w:val="clear" w:color="auto" w:fill="DDEBF7"/>
          </w:tcPr>
          <w:p w14:paraId="0E431ACA"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DDEBF7"/>
            <w:noWrap/>
            <w:hideMark/>
          </w:tcPr>
          <w:p w14:paraId="4F7FB15D" w14:textId="6670EDA9" w:rsidR="00FF7846" w:rsidRPr="004C143B" w:rsidRDefault="00FF7846" w:rsidP="00BE3A3F">
            <w:pPr>
              <w:ind w:left="0" w:firstLine="0"/>
              <w:rPr>
                <w:rFonts w:asciiTheme="minorHAnsi" w:eastAsia="Times New Roman" w:hAnsiTheme="minorHAnsi" w:cstheme="minorHAnsi"/>
                <w:color w:val="000000"/>
              </w:rPr>
            </w:pPr>
            <w:r>
              <w:rPr>
                <w:rFonts w:asciiTheme="minorHAnsi" w:hAnsiTheme="minorHAnsi"/>
                <w:color w:val="000000"/>
              </w:rPr>
              <w:t>Viajes de delegados a reuniones previas a la COP15</w:t>
            </w:r>
          </w:p>
        </w:tc>
        <w:tc>
          <w:tcPr>
            <w:tcW w:w="707" w:type="pct"/>
            <w:shd w:val="clear" w:color="auto" w:fill="DDEBF7"/>
          </w:tcPr>
          <w:p w14:paraId="6D4A2A20" w14:textId="45820391"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Apoyo financiero para la asistencia en persona a las reuniones regionales.</w:t>
            </w:r>
          </w:p>
        </w:tc>
        <w:tc>
          <w:tcPr>
            <w:tcW w:w="455" w:type="pct"/>
            <w:shd w:val="clear" w:color="auto" w:fill="DDEBF7"/>
            <w:noWrap/>
            <w:hideMark/>
          </w:tcPr>
          <w:p w14:paraId="2F4876EB" w14:textId="3855593E"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650k</w:t>
            </w:r>
          </w:p>
        </w:tc>
        <w:tc>
          <w:tcPr>
            <w:tcW w:w="1162" w:type="pct"/>
            <w:shd w:val="clear" w:color="auto" w:fill="DDEBF7"/>
          </w:tcPr>
          <w:p w14:paraId="531993C3" w14:textId="77777777" w:rsidR="00FF7846" w:rsidRPr="004C143B" w:rsidRDefault="00FF7846" w:rsidP="00EB68CB">
            <w:pPr>
              <w:ind w:left="0" w:firstLine="0"/>
              <w:rPr>
                <w:rFonts w:asciiTheme="minorHAnsi" w:eastAsia="Times New Roman" w:hAnsiTheme="minorHAnsi" w:cstheme="minorHAnsi"/>
                <w:color w:val="000000"/>
                <w:lang w:eastAsia="en-GB"/>
              </w:rPr>
            </w:pPr>
          </w:p>
        </w:tc>
        <w:tc>
          <w:tcPr>
            <w:tcW w:w="859" w:type="pct"/>
            <w:shd w:val="clear" w:color="auto" w:fill="DDEBF7"/>
            <w:noWrap/>
            <w:hideMark/>
          </w:tcPr>
          <w:p w14:paraId="24BC6317" w14:textId="77777777" w:rsidR="00FF7846" w:rsidRPr="004C143B" w:rsidRDefault="00FF7846" w:rsidP="00B60C3F">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 Actividades de divulgación dirigidas a donantes y asociados. </w:t>
            </w:r>
          </w:p>
          <w:p w14:paraId="0A06D48A" w14:textId="6A32328F" w:rsidR="00FF7846" w:rsidRPr="004C143B" w:rsidRDefault="00FF7846" w:rsidP="00EB68CB">
            <w:pPr>
              <w:ind w:left="0" w:firstLine="0"/>
              <w:rPr>
                <w:rFonts w:asciiTheme="minorHAnsi" w:eastAsia="Times New Roman" w:hAnsiTheme="minorHAnsi" w:cstheme="minorHAnsi"/>
                <w:color w:val="000000"/>
                <w:lang w:eastAsia="en-GB"/>
              </w:rPr>
            </w:pPr>
          </w:p>
        </w:tc>
        <w:tc>
          <w:tcPr>
            <w:tcW w:w="859" w:type="pct"/>
            <w:shd w:val="clear" w:color="auto" w:fill="DDEBF7"/>
            <w:noWrap/>
            <w:hideMark/>
          </w:tcPr>
          <w:p w14:paraId="43146A54" w14:textId="109886D4" w:rsidR="00FF7846" w:rsidRPr="004C143B" w:rsidRDefault="00FF7846" w:rsidP="00EB68CB">
            <w:pPr>
              <w:ind w:left="0" w:firstLine="0"/>
              <w:rPr>
                <w:rFonts w:asciiTheme="minorHAnsi" w:eastAsia="Times New Roman" w:hAnsiTheme="minorHAnsi" w:cstheme="minorHAnsi"/>
                <w:color w:val="000000"/>
                <w:lang w:eastAsia="en-GB"/>
              </w:rPr>
            </w:pPr>
          </w:p>
        </w:tc>
      </w:tr>
      <w:tr w:rsidR="00E66205" w:rsidRPr="004C143B" w14:paraId="1B787079" w14:textId="77777777" w:rsidTr="00BE1E12">
        <w:trPr>
          <w:cantSplit/>
        </w:trPr>
        <w:tc>
          <w:tcPr>
            <w:tcW w:w="200" w:type="pct"/>
          </w:tcPr>
          <w:p w14:paraId="1EFB2F7C"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758" w:type="pct"/>
            <w:shd w:val="clear" w:color="auto" w:fill="auto"/>
            <w:noWrap/>
            <w:hideMark/>
          </w:tcPr>
          <w:p w14:paraId="314F6701" w14:textId="7C109FAE" w:rsidR="00FF7846" w:rsidRPr="004C143B" w:rsidRDefault="00FF7846" w:rsidP="0006198A">
            <w:pPr>
              <w:ind w:left="0" w:firstLine="0"/>
              <w:rPr>
                <w:rFonts w:asciiTheme="minorHAnsi" w:eastAsia="Times New Roman" w:hAnsiTheme="minorHAnsi" w:cstheme="minorHAnsi"/>
                <w:color w:val="000000"/>
              </w:rPr>
            </w:pPr>
            <w:r>
              <w:rPr>
                <w:rFonts w:asciiTheme="minorHAnsi" w:hAnsiTheme="minorHAnsi"/>
                <w:color w:val="000000"/>
              </w:rPr>
              <w:t xml:space="preserve">Programa CEPA </w:t>
            </w:r>
          </w:p>
        </w:tc>
        <w:tc>
          <w:tcPr>
            <w:tcW w:w="707" w:type="pct"/>
          </w:tcPr>
          <w:p w14:paraId="4923E8B7" w14:textId="0523DFF3"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Financiación de las actividades del Plan de Trabajo del Grupo de Supervisión de las Actividades de CECoP.</w:t>
            </w:r>
          </w:p>
        </w:tc>
        <w:tc>
          <w:tcPr>
            <w:tcW w:w="455" w:type="pct"/>
            <w:shd w:val="clear" w:color="auto" w:fill="auto"/>
            <w:noWrap/>
            <w:hideMark/>
          </w:tcPr>
          <w:p w14:paraId="09451D31" w14:textId="3FD2279E"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200k</w:t>
            </w:r>
          </w:p>
        </w:tc>
        <w:tc>
          <w:tcPr>
            <w:tcW w:w="1162" w:type="pct"/>
          </w:tcPr>
          <w:p w14:paraId="7F2B1E13" w14:textId="24CAC58E" w:rsidR="00FF7846" w:rsidRPr="004C143B" w:rsidRDefault="00FF7846" w:rsidP="00B9377B">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Elaborar propuestas basadas en el Plan de Trabajo del Grupo de Supervisión de las Actividades de CECoP. </w:t>
            </w:r>
          </w:p>
          <w:p w14:paraId="342DCC25" w14:textId="2DEB3E5B" w:rsidR="00FF7846" w:rsidRPr="004C143B" w:rsidRDefault="00FF7846" w:rsidP="00DD7DAF">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Ejercicio de identificación de donantes.  </w:t>
            </w:r>
          </w:p>
          <w:p w14:paraId="36D2024E" w14:textId="28DA143F" w:rsidR="00FF7846" w:rsidRPr="004C143B" w:rsidRDefault="00FF7846" w:rsidP="004C143B">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Actividades de divulgación dirigidas a donantes y asociados.</w:t>
            </w:r>
          </w:p>
        </w:tc>
        <w:tc>
          <w:tcPr>
            <w:tcW w:w="859" w:type="pct"/>
            <w:shd w:val="clear" w:color="auto" w:fill="auto"/>
            <w:noWrap/>
            <w:hideMark/>
          </w:tcPr>
          <w:p w14:paraId="3B7D9121" w14:textId="5EC42252" w:rsidR="00FF7846" w:rsidRPr="004C143B" w:rsidRDefault="00FF7846" w:rsidP="00025997">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tc>
        <w:tc>
          <w:tcPr>
            <w:tcW w:w="859" w:type="pct"/>
            <w:shd w:val="clear" w:color="auto" w:fill="auto"/>
            <w:noWrap/>
            <w:hideMark/>
          </w:tcPr>
          <w:p w14:paraId="5B357EE5" w14:textId="256586B2" w:rsidR="00FF7846" w:rsidRPr="004C143B" w:rsidRDefault="00FF7846" w:rsidP="00BE3A3F">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Actividades de divulgación dirigidas a donantes y asociados. </w:t>
            </w:r>
          </w:p>
        </w:tc>
      </w:tr>
    </w:tbl>
    <w:p w14:paraId="68D080BB" w14:textId="67583A21" w:rsidR="008D641C" w:rsidRPr="00073625" w:rsidRDefault="00546ADC" w:rsidP="007972E0">
      <w:pPr>
        <w:contextualSpacing/>
        <w:rPr>
          <w:rFonts w:eastAsia="Times New Roman"/>
          <w:b/>
          <w:bCs/>
          <w:color w:val="000000"/>
          <w:sz w:val="24"/>
          <w:szCs w:val="24"/>
        </w:rPr>
      </w:pPr>
      <w:r>
        <w:rPr>
          <w:b/>
          <w:bCs/>
          <w:color w:val="000000"/>
          <w:sz w:val="24"/>
          <w:szCs w:val="24"/>
        </w:rPr>
        <w:lastRenderedPageBreak/>
        <w:t>Anexo 2</w:t>
      </w:r>
    </w:p>
    <w:p w14:paraId="309554E2" w14:textId="74072DEC" w:rsidR="003A560E" w:rsidRPr="00073625" w:rsidRDefault="00546ADC" w:rsidP="007972E0">
      <w:pPr>
        <w:contextualSpacing/>
        <w:rPr>
          <w:rFonts w:eastAsia="Times New Roman"/>
          <w:color w:val="000000"/>
          <w:sz w:val="24"/>
          <w:szCs w:val="24"/>
        </w:rPr>
      </w:pPr>
      <w:r>
        <w:rPr>
          <w:b/>
          <w:bCs/>
          <w:color w:val="000000"/>
          <w:sz w:val="24"/>
          <w:szCs w:val="24"/>
        </w:rPr>
        <w:t>Actividades para facilitar la movilización de recursos por las Partes Contratantes</w:t>
      </w:r>
      <w:r>
        <w:rPr>
          <w:color w:val="000000"/>
          <w:sz w:val="24"/>
          <w:szCs w:val="24"/>
        </w:rPr>
        <w:t xml:space="preserve"> </w:t>
      </w:r>
    </w:p>
    <w:p w14:paraId="0C12DB2D" w14:textId="1AA1AC45" w:rsidR="00DB7948" w:rsidRDefault="00DB7948" w:rsidP="007972E0">
      <w:pPr>
        <w:contextualSpacing/>
        <w:rPr>
          <w:rFonts w:asciiTheme="minorHAnsi" w:eastAsiaTheme="minorHAnsi" w:hAnsiTheme="minorHAnsi" w:cstheme="minorHAnsi"/>
        </w:rPr>
      </w:pPr>
    </w:p>
    <w:p w14:paraId="475A820C" w14:textId="77777777" w:rsidR="00073625" w:rsidRPr="0006198A" w:rsidRDefault="00073625" w:rsidP="007972E0">
      <w:pPr>
        <w:contextualSpacing/>
        <w:rPr>
          <w:rFonts w:asciiTheme="minorHAnsi" w:eastAsiaTheme="minorHAnsi" w:hAnsiTheme="minorHAnsi" w:cstheme="minorHAnsi"/>
        </w:rPr>
      </w:pPr>
    </w:p>
    <w:tbl>
      <w:tblPr>
        <w:tblW w:w="14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547"/>
        <w:gridCol w:w="4257"/>
        <w:gridCol w:w="3686"/>
        <w:gridCol w:w="3539"/>
      </w:tblGrid>
      <w:tr w:rsidR="006B7C23" w:rsidRPr="00FF5E1D" w14:paraId="18B7AA89" w14:textId="77777777" w:rsidTr="00BE3A3F">
        <w:tc>
          <w:tcPr>
            <w:tcW w:w="2547" w:type="dxa"/>
            <w:shd w:val="clear" w:color="000000" w:fill="B4C6E7"/>
            <w:noWrap/>
            <w:hideMark/>
          </w:tcPr>
          <w:p w14:paraId="6C102481" w14:textId="63B5914F" w:rsidR="005C055C" w:rsidRPr="00FF5E1D" w:rsidRDefault="005E498A" w:rsidP="00E96B1B">
            <w:pPr>
              <w:ind w:left="0" w:firstLine="0"/>
              <w:jc w:val="center"/>
              <w:rPr>
                <w:rFonts w:eastAsia="Times New Roman"/>
                <w:b/>
                <w:bCs/>
                <w:color w:val="000000"/>
              </w:rPr>
            </w:pPr>
            <w:r>
              <w:rPr>
                <w:b/>
                <w:bCs/>
                <w:color w:val="000000"/>
              </w:rPr>
              <w:t>Actividad</w:t>
            </w:r>
          </w:p>
        </w:tc>
        <w:tc>
          <w:tcPr>
            <w:tcW w:w="4257" w:type="dxa"/>
            <w:shd w:val="clear" w:color="000000" w:fill="B4C6E7"/>
            <w:noWrap/>
            <w:hideMark/>
          </w:tcPr>
          <w:p w14:paraId="4255555C" w14:textId="01551245" w:rsidR="005C055C" w:rsidRPr="00FF5E1D" w:rsidRDefault="005C055C" w:rsidP="00E96B1B">
            <w:pPr>
              <w:ind w:left="0" w:firstLine="0"/>
              <w:jc w:val="center"/>
              <w:rPr>
                <w:rFonts w:eastAsia="Times New Roman"/>
                <w:b/>
                <w:bCs/>
                <w:color w:val="000000"/>
              </w:rPr>
            </w:pPr>
            <w:r>
              <w:rPr>
                <w:b/>
                <w:bCs/>
                <w:color w:val="000000"/>
              </w:rPr>
              <w:t>2023</w:t>
            </w:r>
          </w:p>
        </w:tc>
        <w:tc>
          <w:tcPr>
            <w:tcW w:w="3686" w:type="dxa"/>
            <w:shd w:val="clear" w:color="000000" w:fill="B4C6E7"/>
            <w:noWrap/>
            <w:hideMark/>
          </w:tcPr>
          <w:p w14:paraId="5EB884DC" w14:textId="50F808FB" w:rsidR="005C055C" w:rsidRPr="00FF5E1D" w:rsidRDefault="005C055C" w:rsidP="00E96B1B">
            <w:pPr>
              <w:ind w:left="0" w:firstLine="0"/>
              <w:jc w:val="center"/>
              <w:rPr>
                <w:rFonts w:eastAsia="Times New Roman"/>
                <w:b/>
                <w:bCs/>
                <w:color w:val="000000"/>
              </w:rPr>
            </w:pPr>
            <w:r>
              <w:rPr>
                <w:b/>
                <w:bCs/>
                <w:color w:val="000000"/>
              </w:rPr>
              <w:t>2024</w:t>
            </w:r>
          </w:p>
        </w:tc>
        <w:tc>
          <w:tcPr>
            <w:tcW w:w="3539" w:type="dxa"/>
            <w:shd w:val="clear" w:color="000000" w:fill="B4C6E7"/>
            <w:noWrap/>
            <w:hideMark/>
          </w:tcPr>
          <w:p w14:paraId="67CDCEFA" w14:textId="0AF5B680" w:rsidR="005C055C" w:rsidRPr="00FF5E1D" w:rsidRDefault="005C055C" w:rsidP="00E96B1B">
            <w:pPr>
              <w:ind w:left="0" w:firstLine="0"/>
              <w:jc w:val="center"/>
              <w:rPr>
                <w:rFonts w:eastAsia="Times New Roman"/>
                <w:b/>
                <w:bCs/>
                <w:color w:val="000000"/>
              </w:rPr>
            </w:pPr>
            <w:r>
              <w:rPr>
                <w:b/>
                <w:bCs/>
                <w:color w:val="000000"/>
              </w:rPr>
              <w:t>2025</w:t>
            </w:r>
          </w:p>
        </w:tc>
      </w:tr>
      <w:tr w:rsidR="005C055C" w:rsidRPr="00FF5E1D" w14:paraId="25C877EF" w14:textId="77777777" w:rsidTr="00BE3A3F">
        <w:trPr>
          <w:trHeight w:val="1932"/>
        </w:trPr>
        <w:tc>
          <w:tcPr>
            <w:tcW w:w="2547" w:type="dxa"/>
            <w:shd w:val="clear" w:color="auto" w:fill="auto"/>
            <w:noWrap/>
          </w:tcPr>
          <w:p w14:paraId="36BFD98B" w14:textId="2EB5363E" w:rsidR="005C055C" w:rsidRPr="00FF5E1D" w:rsidRDefault="005C055C" w:rsidP="00D6149C">
            <w:pPr>
              <w:ind w:left="0" w:firstLine="0"/>
              <w:rPr>
                <w:rFonts w:eastAsia="Times New Roman"/>
                <w:color w:val="000000"/>
              </w:rPr>
            </w:pPr>
            <w:r>
              <w:rPr>
                <w:color w:val="000000"/>
              </w:rPr>
              <w:t xml:space="preserve">Intercambio de conocimientos y formación. </w:t>
            </w:r>
          </w:p>
          <w:p w14:paraId="5AA12598" w14:textId="39EF91F9" w:rsidR="00F33B96" w:rsidRPr="00FF5E1D" w:rsidRDefault="00F33B96" w:rsidP="00D6149C">
            <w:pPr>
              <w:ind w:left="0" w:firstLine="0"/>
              <w:rPr>
                <w:rFonts w:eastAsia="Times New Roman"/>
                <w:color w:val="000000"/>
                <w:lang w:eastAsia="en-GB"/>
              </w:rPr>
            </w:pPr>
          </w:p>
        </w:tc>
        <w:tc>
          <w:tcPr>
            <w:tcW w:w="4257" w:type="dxa"/>
            <w:shd w:val="clear" w:color="auto" w:fill="auto"/>
            <w:noWrap/>
          </w:tcPr>
          <w:p w14:paraId="0535FFB8" w14:textId="4A05F3C7" w:rsidR="00D5480A" w:rsidRPr="00FF5E1D" w:rsidRDefault="00D7646A" w:rsidP="00BE3A3F">
            <w:pPr>
              <w:pStyle w:val="ListParagraph"/>
              <w:numPr>
                <w:ilvl w:val="0"/>
                <w:numId w:val="44"/>
              </w:numPr>
              <w:ind w:left="377" w:hanging="283"/>
              <w:rPr>
                <w:rFonts w:eastAsia="Times New Roman"/>
                <w:color w:val="000000"/>
              </w:rPr>
            </w:pPr>
            <w:r>
              <w:rPr>
                <w:color w:val="000000"/>
              </w:rPr>
              <w:t xml:space="preserve">Se consolidarán los resultados de una </w:t>
            </w:r>
            <w:r>
              <w:rPr>
                <w:i/>
                <w:iCs/>
                <w:color w:val="000000"/>
              </w:rPr>
              <w:t>encuesta de evaluación de necesidades</w:t>
            </w:r>
            <w:r>
              <w:rPr>
                <w:color w:val="000000"/>
              </w:rPr>
              <w:t xml:space="preserve">* en un plan de intercambio de conocimientos y formación. </w:t>
            </w:r>
          </w:p>
          <w:p w14:paraId="0A4008AC" w14:textId="78841F70" w:rsidR="005E498A" w:rsidRPr="00FF5E1D" w:rsidRDefault="00414B9D" w:rsidP="00BE3A3F">
            <w:pPr>
              <w:pStyle w:val="ListParagraph"/>
              <w:numPr>
                <w:ilvl w:val="0"/>
                <w:numId w:val="44"/>
              </w:numPr>
              <w:ind w:left="377" w:hanging="283"/>
              <w:rPr>
                <w:rFonts w:eastAsia="Times New Roman"/>
                <w:color w:val="000000"/>
              </w:rPr>
            </w:pPr>
            <w:r>
              <w:rPr>
                <w:color w:val="000000"/>
              </w:rPr>
              <w:t>Preparar/compartir recursos y orientaciones pertinentes en el sitio web y otros canales.</w:t>
            </w:r>
          </w:p>
          <w:p w14:paraId="732C13B4" w14:textId="7C5F7CEA" w:rsidR="00D21C5C" w:rsidRPr="00D730A7" w:rsidRDefault="00D21C5C" w:rsidP="00D730A7">
            <w:pPr>
              <w:pStyle w:val="ListParagraph"/>
              <w:numPr>
                <w:ilvl w:val="0"/>
                <w:numId w:val="44"/>
              </w:numPr>
              <w:ind w:left="377" w:hanging="283"/>
              <w:rPr>
                <w:rFonts w:eastAsia="Times New Roman"/>
                <w:color w:val="000000"/>
              </w:rPr>
            </w:pPr>
            <w:r>
              <w:rPr>
                <w:color w:val="000000"/>
              </w:rPr>
              <w:t xml:space="preserve">Organizar seminarios web sobre movilización de recursos y recaudación de fondos. </w:t>
            </w:r>
          </w:p>
        </w:tc>
        <w:tc>
          <w:tcPr>
            <w:tcW w:w="3686" w:type="dxa"/>
            <w:shd w:val="clear" w:color="auto" w:fill="auto"/>
            <w:noWrap/>
          </w:tcPr>
          <w:p w14:paraId="24E003CC" w14:textId="6B67F3C1" w:rsidR="001275BA" w:rsidRPr="00FF5E1D" w:rsidRDefault="00824DC8" w:rsidP="00BE3A3F">
            <w:pPr>
              <w:pStyle w:val="ListParagraph"/>
              <w:numPr>
                <w:ilvl w:val="0"/>
                <w:numId w:val="44"/>
              </w:numPr>
              <w:ind w:left="377" w:hanging="283"/>
              <w:rPr>
                <w:rFonts w:eastAsia="Times New Roman"/>
                <w:color w:val="000000"/>
              </w:rPr>
            </w:pPr>
            <w:r>
              <w:rPr>
                <w:color w:val="000000"/>
              </w:rPr>
              <w:t xml:space="preserve">Basándose en los resultados de la evaluación de necesidades, facilitar formaciones y orientaciones en línea en colaboración con los asociados pertinentes. </w:t>
            </w:r>
          </w:p>
          <w:p w14:paraId="353B7288" w14:textId="77777777" w:rsidR="0058678D" w:rsidRPr="00FF5E1D" w:rsidRDefault="0058678D" w:rsidP="00BE3A3F">
            <w:pPr>
              <w:pStyle w:val="ListParagraph"/>
              <w:numPr>
                <w:ilvl w:val="0"/>
                <w:numId w:val="44"/>
              </w:numPr>
              <w:ind w:left="377" w:hanging="283"/>
              <w:rPr>
                <w:rFonts w:eastAsia="Times New Roman"/>
                <w:color w:val="000000"/>
              </w:rPr>
            </w:pPr>
            <w:r>
              <w:rPr>
                <w:color w:val="000000"/>
              </w:rPr>
              <w:t>Preparar/compartir recursos y orientaciones pertinentes en el sitio web y otros canales.</w:t>
            </w:r>
          </w:p>
          <w:p w14:paraId="7CFCD846" w14:textId="52994EFC" w:rsidR="005C055C" w:rsidRPr="00FF5E1D" w:rsidRDefault="005C055C" w:rsidP="00BE3A3F">
            <w:pPr>
              <w:ind w:left="377" w:hanging="283"/>
              <w:rPr>
                <w:rFonts w:eastAsia="Times New Roman"/>
                <w:color w:val="000000"/>
                <w:lang w:eastAsia="en-GB"/>
              </w:rPr>
            </w:pPr>
          </w:p>
        </w:tc>
        <w:tc>
          <w:tcPr>
            <w:tcW w:w="3539" w:type="dxa"/>
            <w:shd w:val="clear" w:color="auto" w:fill="auto"/>
            <w:noWrap/>
          </w:tcPr>
          <w:p w14:paraId="4D80801C" w14:textId="77777777" w:rsidR="00CE7C37" w:rsidRPr="00FF5E1D" w:rsidRDefault="00CE7C37" w:rsidP="00BE3A3F">
            <w:pPr>
              <w:pStyle w:val="ListParagraph"/>
              <w:numPr>
                <w:ilvl w:val="0"/>
                <w:numId w:val="44"/>
              </w:numPr>
              <w:ind w:left="377" w:hanging="283"/>
              <w:rPr>
                <w:rFonts w:eastAsia="Times New Roman"/>
                <w:color w:val="000000"/>
              </w:rPr>
            </w:pPr>
            <w:r>
              <w:rPr>
                <w:color w:val="000000"/>
              </w:rPr>
              <w:t xml:space="preserve">Basándose en los resultados de la evaluación de necesidades, facilitar formaciones y orientaciones en línea en colaboración con los asociados pertinentes. </w:t>
            </w:r>
          </w:p>
          <w:p w14:paraId="0B01E740" w14:textId="764807A1" w:rsidR="005C055C" w:rsidRPr="00D730A7" w:rsidRDefault="0092749C" w:rsidP="00D730A7">
            <w:pPr>
              <w:pStyle w:val="ListParagraph"/>
              <w:numPr>
                <w:ilvl w:val="0"/>
                <w:numId w:val="44"/>
              </w:numPr>
              <w:ind w:left="377" w:hanging="283"/>
              <w:rPr>
                <w:rFonts w:eastAsia="Times New Roman"/>
                <w:color w:val="000000"/>
                <w:lang w:eastAsia="en-GB"/>
              </w:rPr>
            </w:pPr>
            <w:r>
              <w:rPr>
                <w:color w:val="000000"/>
              </w:rPr>
              <w:t>Preparar/compartir recursos y orientaciones pertinentes en el sitio web y otros canales.</w:t>
            </w:r>
          </w:p>
        </w:tc>
      </w:tr>
      <w:tr w:rsidR="005C055C" w:rsidRPr="00FF5E1D" w14:paraId="0A3C430D" w14:textId="77777777" w:rsidTr="00BE3A3F">
        <w:tc>
          <w:tcPr>
            <w:tcW w:w="2547" w:type="dxa"/>
            <w:shd w:val="clear" w:color="auto" w:fill="auto"/>
            <w:noWrap/>
          </w:tcPr>
          <w:p w14:paraId="16ADDABA" w14:textId="6798BA94" w:rsidR="005C055C" w:rsidRPr="00FF5E1D" w:rsidRDefault="005C055C" w:rsidP="00D6149C">
            <w:pPr>
              <w:ind w:left="0" w:firstLine="0"/>
              <w:rPr>
                <w:rFonts w:eastAsia="Times New Roman"/>
                <w:color w:val="000000"/>
              </w:rPr>
            </w:pPr>
            <w:r>
              <w:rPr>
                <w:color w:val="000000"/>
              </w:rPr>
              <w:t xml:space="preserve">Base de datos de organizaciones proveedoras de financiación. </w:t>
            </w:r>
          </w:p>
        </w:tc>
        <w:tc>
          <w:tcPr>
            <w:tcW w:w="4257" w:type="dxa"/>
            <w:shd w:val="clear" w:color="auto" w:fill="auto"/>
            <w:noWrap/>
          </w:tcPr>
          <w:p w14:paraId="3B284CB7" w14:textId="21B7DD50" w:rsidR="005C055C" w:rsidRPr="00FF5E1D" w:rsidRDefault="00D35BCB" w:rsidP="00BE3A3F">
            <w:pPr>
              <w:pStyle w:val="ListParagraph"/>
              <w:numPr>
                <w:ilvl w:val="0"/>
                <w:numId w:val="44"/>
              </w:numPr>
              <w:ind w:left="377" w:hanging="283"/>
              <w:rPr>
                <w:rFonts w:eastAsia="Times New Roman"/>
                <w:color w:val="000000"/>
              </w:rPr>
            </w:pPr>
            <w:r>
              <w:rPr>
                <w:color w:val="000000"/>
              </w:rPr>
              <w:t>Actualizar y compartir el enlace a la base de datos.</w:t>
            </w:r>
          </w:p>
          <w:p w14:paraId="26ACCF50" w14:textId="3221B830" w:rsidR="005C055C" w:rsidRPr="00FF5E1D" w:rsidRDefault="004C5E3B" w:rsidP="00BE3A3F">
            <w:pPr>
              <w:pStyle w:val="ListParagraph"/>
              <w:numPr>
                <w:ilvl w:val="0"/>
                <w:numId w:val="44"/>
              </w:numPr>
              <w:ind w:left="377" w:hanging="283"/>
              <w:rPr>
                <w:rFonts w:eastAsia="Times New Roman"/>
                <w:color w:val="000000"/>
              </w:rPr>
            </w:pPr>
            <w:r>
              <w:rPr>
                <w:color w:val="000000"/>
              </w:rPr>
              <w:t xml:space="preserve">Informar periódicamente a las Partes Contratantes que se hayan inscrito para recibir notificaciones sobre oportunidades de financiación. </w:t>
            </w:r>
          </w:p>
        </w:tc>
        <w:tc>
          <w:tcPr>
            <w:tcW w:w="3686" w:type="dxa"/>
            <w:shd w:val="clear" w:color="auto" w:fill="auto"/>
            <w:noWrap/>
          </w:tcPr>
          <w:p w14:paraId="60FA75C6" w14:textId="0B6B98D5" w:rsidR="005C055C" w:rsidRPr="00FF5E1D" w:rsidRDefault="005C055C" w:rsidP="00BE3A3F">
            <w:pPr>
              <w:pStyle w:val="ListParagraph"/>
              <w:numPr>
                <w:ilvl w:val="0"/>
                <w:numId w:val="44"/>
              </w:numPr>
              <w:ind w:left="377" w:hanging="283"/>
              <w:rPr>
                <w:rFonts w:eastAsia="Times New Roman"/>
                <w:color w:val="000000"/>
              </w:rPr>
            </w:pPr>
            <w:r>
              <w:rPr>
                <w:color w:val="000000"/>
              </w:rPr>
              <w:t>Actualizar y compartir el enlace a la base de datos.</w:t>
            </w:r>
          </w:p>
          <w:p w14:paraId="4E99FD50" w14:textId="29312043" w:rsidR="005C055C" w:rsidRPr="00BE1E12" w:rsidRDefault="004316B7" w:rsidP="00BE1E12">
            <w:pPr>
              <w:pStyle w:val="ListParagraph"/>
              <w:numPr>
                <w:ilvl w:val="0"/>
                <w:numId w:val="44"/>
              </w:numPr>
              <w:ind w:left="377" w:hanging="283"/>
              <w:rPr>
                <w:rFonts w:eastAsia="Times New Roman"/>
                <w:color w:val="000000"/>
              </w:rPr>
            </w:pPr>
            <w:r>
              <w:rPr>
                <w:color w:val="000000"/>
              </w:rPr>
              <w:t xml:space="preserve">Informar periódicamente a las Partes Contratantes que se hayan inscrito para recibir notificaciones sobre oportunidades de financiación. </w:t>
            </w:r>
          </w:p>
        </w:tc>
        <w:tc>
          <w:tcPr>
            <w:tcW w:w="3539" w:type="dxa"/>
            <w:shd w:val="clear" w:color="auto" w:fill="auto"/>
            <w:noWrap/>
          </w:tcPr>
          <w:p w14:paraId="4ABEBBEC" w14:textId="2AE9816A" w:rsidR="005C055C" w:rsidRPr="00FF5E1D" w:rsidRDefault="005C055C" w:rsidP="00BE3A3F">
            <w:pPr>
              <w:pStyle w:val="ListParagraph"/>
              <w:numPr>
                <w:ilvl w:val="0"/>
                <w:numId w:val="44"/>
              </w:numPr>
              <w:ind w:left="377" w:hanging="283"/>
              <w:rPr>
                <w:rFonts w:eastAsia="Times New Roman"/>
                <w:color w:val="000000"/>
              </w:rPr>
            </w:pPr>
            <w:r>
              <w:rPr>
                <w:color w:val="000000"/>
              </w:rPr>
              <w:t xml:space="preserve">Actualizar y compartir el enlace a la base de datos. </w:t>
            </w:r>
          </w:p>
          <w:p w14:paraId="0497CA52" w14:textId="78F0F250" w:rsidR="005C055C" w:rsidRPr="00FF5E1D" w:rsidRDefault="004316B7" w:rsidP="00BE3A3F">
            <w:pPr>
              <w:pStyle w:val="ListParagraph"/>
              <w:numPr>
                <w:ilvl w:val="0"/>
                <w:numId w:val="44"/>
              </w:numPr>
              <w:ind w:left="377" w:hanging="283"/>
              <w:rPr>
                <w:rFonts w:eastAsia="Times New Roman"/>
                <w:color w:val="000000"/>
              </w:rPr>
            </w:pPr>
            <w:r>
              <w:rPr>
                <w:color w:val="000000"/>
              </w:rPr>
              <w:t xml:space="preserve">Informar periódicamente a las Partes Contratantes que se hayan inscrito para recibir notificaciones sobre oportunidades de financiación. </w:t>
            </w:r>
          </w:p>
        </w:tc>
      </w:tr>
    </w:tbl>
    <w:p w14:paraId="796C824B" w14:textId="6165FA19" w:rsidR="00BA6BC1" w:rsidRDefault="00BA6BC1" w:rsidP="001275BA">
      <w:pPr>
        <w:contextualSpacing/>
        <w:rPr>
          <w:rFonts w:asciiTheme="minorHAnsi" w:eastAsiaTheme="minorHAnsi" w:hAnsiTheme="minorHAnsi" w:cstheme="minorHAnsi"/>
        </w:rPr>
      </w:pPr>
      <w:r>
        <w:rPr>
          <w:rFonts w:asciiTheme="minorHAnsi" w:hAnsiTheme="minorHAnsi"/>
        </w:rPr>
        <w:t xml:space="preserve"> </w:t>
      </w:r>
    </w:p>
    <w:p w14:paraId="20388500" w14:textId="4E8CD475" w:rsidR="00683790" w:rsidRPr="00BE3A3F" w:rsidRDefault="00BE3A3F" w:rsidP="00BE3A3F">
      <w:pPr>
        <w:ind w:left="0" w:firstLine="0"/>
        <w:rPr>
          <w:rFonts w:eastAsia="Times New Roman"/>
          <w:color w:val="000000"/>
          <w:sz w:val="20"/>
          <w:szCs w:val="20"/>
        </w:rPr>
      </w:pPr>
      <w:r>
        <w:rPr>
          <w:color w:val="000000"/>
          <w:sz w:val="20"/>
          <w:szCs w:val="20"/>
        </w:rPr>
        <w:t>* Las Partes Contratantes en la Convención han expresado su necesidad de recursos de información que desarrollen capacidades y faciliten los esfuerzos locales, nacionales y regionales para la movilización de recursos. La encuesta de evaluación de necesidades, que se llevará a cabo en 2023, identificará las necesidades urgentes de capacidad, informará sobre el desarrollo de productos de conocimiento pertinentes y permitirá precisar el público objetivo principal para el fomento de capacidad. Además, la evaluación de las necesidades orientará a la Secretaría sobre si se necesitan productos de información de alto nivel para la movilización de recursos y la recaudación de fondos, como una visión general de las fuentes de financiación nacionales e internacionales y las tendencias en relación con los humedales.</w:t>
      </w:r>
    </w:p>
    <w:sectPr w:rsidR="00683790" w:rsidRPr="00BE3A3F" w:rsidSect="00E96B1B">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038E" w14:textId="77777777" w:rsidR="00567268" w:rsidRDefault="00567268" w:rsidP="00DF2386">
      <w:r>
        <w:separator/>
      </w:r>
    </w:p>
  </w:endnote>
  <w:endnote w:type="continuationSeparator" w:id="0">
    <w:p w14:paraId="4C0AA398" w14:textId="77777777" w:rsidR="00567268" w:rsidRDefault="0056726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FB53" w14:textId="714AD40D" w:rsidR="00F73E71" w:rsidRDefault="007972E0" w:rsidP="00E96B1B">
    <w:pPr>
      <w:pStyle w:val="Header"/>
      <w:tabs>
        <w:tab w:val="clear" w:pos="9026"/>
        <w:tab w:val="right" w:pos="9180"/>
      </w:tabs>
      <w:rPr>
        <w:noProof/>
      </w:rPr>
    </w:pPr>
    <w:r>
      <w:rPr>
        <w:sz w:val="20"/>
        <w:szCs w:val="20"/>
      </w:rPr>
      <w:t>SC62 Doc.18</w:t>
    </w:r>
    <w:r>
      <w:tab/>
    </w:r>
    <w:r>
      <w:tab/>
    </w:r>
    <w:sdt>
      <w:sdtPr>
        <w:rPr>
          <w:color w:val="2B579A"/>
          <w:shd w:val="clear" w:color="auto" w:fill="E6E6E6"/>
        </w:rPr>
        <w:id w:val="-1790969534"/>
        <w:docPartObj>
          <w:docPartGallery w:val="Page Numbers (Top of Page)"/>
          <w:docPartUnique/>
        </w:docPartObj>
      </w:sdtPr>
      <w:sdtEndPr>
        <w:rPr>
          <w:noProof/>
          <w:color w:val="auto"/>
          <w:shd w:val="clear" w:color="auto" w:fill="auto"/>
        </w:rPr>
      </w:sdtEndPr>
      <w:sdtContent>
        <w:r w:rsidR="00F73E71" w:rsidRPr="00F344DE">
          <w:rPr>
            <w:color w:val="2B579A"/>
            <w:sz w:val="20"/>
            <w:szCs w:val="20"/>
            <w:shd w:val="clear" w:color="auto" w:fill="E6E6E6"/>
          </w:rPr>
          <w:fldChar w:fldCharType="begin"/>
        </w:r>
        <w:r w:rsidR="00F73E71" w:rsidRPr="00F344DE">
          <w:rPr>
            <w:sz w:val="20"/>
            <w:szCs w:val="20"/>
          </w:rPr>
          <w:instrText xml:space="preserve"> PAGE   \* MERGEFORMAT </w:instrText>
        </w:r>
        <w:r w:rsidR="00F73E71" w:rsidRPr="00F344DE">
          <w:rPr>
            <w:color w:val="2B579A"/>
            <w:sz w:val="20"/>
            <w:szCs w:val="20"/>
            <w:shd w:val="clear" w:color="auto" w:fill="E6E6E6"/>
          </w:rPr>
          <w:fldChar w:fldCharType="separate"/>
        </w:r>
        <w:r w:rsidR="003D40C8">
          <w:rPr>
            <w:noProof/>
            <w:sz w:val="20"/>
            <w:szCs w:val="20"/>
          </w:rPr>
          <w:t>2</w:t>
        </w:r>
        <w:r w:rsidR="00F73E71" w:rsidRPr="00F344DE">
          <w:rPr>
            <w:color w:val="2B579A"/>
            <w:sz w:val="20"/>
            <w:szCs w:val="20"/>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FC79" w14:textId="0F3D671A" w:rsidR="00E96B1B" w:rsidRDefault="00E96B1B" w:rsidP="00E96B1B">
    <w:pPr>
      <w:pStyle w:val="Header"/>
      <w:tabs>
        <w:tab w:val="clear" w:pos="9026"/>
        <w:tab w:val="right" w:pos="14040"/>
      </w:tabs>
      <w:rPr>
        <w:noProof/>
      </w:rPr>
    </w:pPr>
    <w:r>
      <w:rPr>
        <w:sz w:val="20"/>
        <w:szCs w:val="20"/>
      </w:rPr>
      <w:t>SC62 Doc.18</w:t>
    </w:r>
    <w:r>
      <w:tab/>
    </w:r>
    <w:r>
      <w:tab/>
    </w:r>
    <w:sdt>
      <w:sdtPr>
        <w:rPr>
          <w:color w:val="2B579A"/>
          <w:shd w:val="clear" w:color="auto" w:fill="E6E6E6"/>
        </w:rPr>
        <w:id w:val="1295647979"/>
        <w:docPartObj>
          <w:docPartGallery w:val="Page Numbers (Top of Page)"/>
          <w:docPartUnique/>
        </w:docPartObj>
      </w:sdtPr>
      <w:sdtEndPr>
        <w:rPr>
          <w:noProof/>
          <w:color w:val="auto"/>
          <w:shd w:val="clear" w:color="auto" w:fill="auto"/>
        </w:rPr>
      </w:sdtEndPr>
      <w:sdtContent>
        <w:r w:rsidRPr="00F344DE">
          <w:rPr>
            <w:color w:val="2B579A"/>
            <w:sz w:val="20"/>
            <w:szCs w:val="20"/>
            <w:shd w:val="clear" w:color="auto" w:fill="E6E6E6"/>
          </w:rPr>
          <w:fldChar w:fldCharType="begin"/>
        </w:r>
        <w:r w:rsidRPr="00F344DE">
          <w:rPr>
            <w:sz w:val="20"/>
            <w:szCs w:val="20"/>
          </w:rPr>
          <w:instrText xml:space="preserve"> PAGE   \* MERGEFORMAT </w:instrText>
        </w:r>
        <w:r w:rsidRPr="00F344DE">
          <w:rPr>
            <w:color w:val="2B579A"/>
            <w:sz w:val="20"/>
            <w:szCs w:val="20"/>
            <w:shd w:val="clear" w:color="auto" w:fill="E6E6E6"/>
          </w:rPr>
          <w:fldChar w:fldCharType="separate"/>
        </w:r>
        <w:r w:rsidR="003D40C8">
          <w:rPr>
            <w:noProof/>
            <w:sz w:val="20"/>
            <w:szCs w:val="20"/>
          </w:rPr>
          <w:t>6</w:t>
        </w:r>
        <w:r w:rsidRPr="00F344DE">
          <w:rPr>
            <w:color w:val="2B579A"/>
            <w:sz w:val="20"/>
            <w:szCs w:val="20"/>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9336" w14:textId="48CB38A1" w:rsidR="2718667C" w:rsidRDefault="2718667C" w:rsidP="2718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FEB1" w14:textId="77777777" w:rsidR="00567268" w:rsidRDefault="00567268" w:rsidP="00DF2386">
      <w:r>
        <w:separator/>
      </w:r>
    </w:p>
  </w:footnote>
  <w:footnote w:type="continuationSeparator" w:id="0">
    <w:p w14:paraId="5B4F67AB" w14:textId="77777777" w:rsidR="00567268" w:rsidRDefault="00567268" w:rsidP="00DF2386">
      <w:r>
        <w:continuationSeparator/>
      </w:r>
    </w:p>
  </w:footnote>
  <w:footnote w:id="1">
    <w:p w14:paraId="60717303" w14:textId="48B8885C" w:rsidR="00C35FF5" w:rsidRDefault="00C35FF5" w:rsidP="00362357">
      <w:pPr>
        <w:pStyle w:val="FootnoteText"/>
        <w:ind w:left="0" w:firstLine="0"/>
      </w:pPr>
      <w:r>
        <w:rPr>
          <w:rStyle w:val="FootnoteReference"/>
        </w:rPr>
        <w:footnoteRef/>
      </w:r>
      <w:r>
        <w:t xml:space="preserve">  Véase </w:t>
      </w:r>
      <w:hyperlink r:id="rId1" w:history="1">
        <w:r w:rsidR="00362357" w:rsidRPr="00D31095">
          <w:rPr>
            <w:rStyle w:val="Hyperlink"/>
          </w:rPr>
          <w:t>https://www.ramsar.org/es/documento/sc57-doc19-plan-de-trabajo-de-la-convencion-de-ramsar-para-la-movilizacion-de-recursos</w:t>
        </w:r>
      </w:hyperlink>
      <w:r w:rsidR="0036235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1CD2" w14:textId="034F8EC5" w:rsidR="2718667C" w:rsidRDefault="2718667C" w:rsidP="2718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1B686A"/>
    <w:multiLevelType w:val="hybridMultilevel"/>
    <w:tmpl w:val="1FD48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5B82876">
      <w:start w:val="1"/>
      <w:numFmt w:val="decimal"/>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87474"/>
    <w:multiLevelType w:val="hybridMultilevel"/>
    <w:tmpl w:val="FAC26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87210F"/>
    <w:multiLevelType w:val="hybridMultilevel"/>
    <w:tmpl w:val="4E0220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94229"/>
    <w:multiLevelType w:val="hybridMultilevel"/>
    <w:tmpl w:val="D5B4D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50999"/>
    <w:multiLevelType w:val="hybridMultilevel"/>
    <w:tmpl w:val="CD665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DA5969"/>
    <w:multiLevelType w:val="hybridMultilevel"/>
    <w:tmpl w:val="D728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4F4317"/>
    <w:multiLevelType w:val="hybridMultilevel"/>
    <w:tmpl w:val="F1E81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7D4538"/>
    <w:multiLevelType w:val="hybridMultilevel"/>
    <w:tmpl w:val="918AF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D2289"/>
    <w:multiLevelType w:val="hybridMultilevel"/>
    <w:tmpl w:val="E9B6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DD8612A"/>
    <w:multiLevelType w:val="hybridMultilevel"/>
    <w:tmpl w:val="33E0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1152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694B52"/>
    <w:multiLevelType w:val="hybridMultilevel"/>
    <w:tmpl w:val="B45E1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DC5441"/>
    <w:multiLevelType w:val="hybridMultilevel"/>
    <w:tmpl w:val="67966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C7912"/>
    <w:multiLevelType w:val="hybridMultilevel"/>
    <w:tmpl w:val="05061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446758"/>
    <w:multiLevelType w:val="hybridMultilevel"/>
    <w:tmpl w:val="A5CAA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847ABF"/>
    <w:multiLevelType w:val="hybridMultilevel"/>
    <w:tmpl w:val="66D8C7B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CAF16F5"/>
    <w:multiLevelType w:val="hybridMultilevel"/>
    <w:tmpl w:val="C60A0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9D26A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0"/>
  </w:num>
  <w:num w:numId="13">
    <w:abstractNumId w:val="24"/>
  </w:num>
  <w:num w:numId="14">
    <w:abstractNumId w:val="18"/>
  </w:num>
  <w:num w:numId="15">
    <w:abstractNumId w:val="4"/>
  </w:num>
  <w:num w:numId="16">
    <w:abstractNumId w:val="20"/>
  </w:num>
  <w:num w:numId="17">
    <w:abstractNumId w:val="26"/>
  </w:num>
  <w:num w:numId="18">
    <w:abstractNumId w:val="44"/>
  </w:num>
  <w:num w:numId="19">
    <w:abstractNumId w:val="38"/>
  </w:num>
  <w:num w:numId="20">
    <w:abstractNumId w:val="29"/>
  </w:num>
  <w:num w:numId="21">
    <w:abstractNumId w:val="31"/>
  </w:num>
  <w:num w:numId="22">
    <w:abstractNumId w:val="22"/>
  </w:num>
  <w:num w:numId="23">
    <w:abstractNumId w:val="27"/>
  </w:num>
  <w:num w:numId="24">
    <w:abstractNumId w:val="25"/>
  </w:num>
  <w:num w:numId="25">
    <w:abstractNumId w:val="37"/>
  </w:num>
  <w:num w:numId="26">
    <w:abstractNumId w:val="14"/>
  </w:num>
  <w:num w:numId="27">
    <w:abstractNumId w:val="0"/>
  </w:num>
  <w:num w:numId="28">
    <w:abstractNumId w:val="17"/>
  </w:num>
  <w:num w:numId="29">
    <w:abstractNumId w:val="6"/>
  </w:num>
  <w:num w:numId="30">
    <w:abstractNumId w:val="33"/>
  </w:num>
  <w:num w:numId="31">
    <w:abstractNumId w:val="2"/>
  </w:num>
  <w:num w:numId="32">
    <w:abstractNumId w:val="41"/>
  </w:num>
  <w:num w:numId="33">
    <w:abstractNumId w:val="43"/>
  </w:num>
  <w:num w:numId="34">
    <w:abstractNumId w:val="15"/>
  </w:num>
  <w:num w:numId="35">
    <w:abstractNumId w:val="3"/>
  </w:num>
  <w:num w:numId="36">
    <w:abstractNumId w:val="5"/>
  </w:num>
  <w:num w:numId="37">
    <w:abstractNumId w:val="32"/>
  </w:num>
  <w:num w:numId="38">
    <w:abstractNumId w:val="35"/>
  </w:num>
  <w:num w:numId="39">
    <w:abstractNumId w:val="40"/>
  </w:num>
  <w:num w:numId="40">
    <w:abstractNumId w:val="9"/>
  </w:num>
  <w:num w:numId="41">
    <w:abstractNumId w:val="39"/>
  </w:num>
  <w:num w:numId="42">
    <w:abstractNumId w:val="21"/>
  </w:num>
  <w:num w:numId="43">
    <w:abstractNumId w:val="34"/>
  </w:num>
  <w:num w:numId="44">
    <w:abstractNumId w:val="28"/>
  </w:num>
  <w:num w:numId="45">
    <w:abstractNumId w:val="7"/>
  </w:num>
  <w:num w:numId="46">
    <w:abstractNumId w:val="4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21D0"/>
    <w:rsid w:val="00014168"/>
    <w:rsid w:val="00016234"/>
    <w:rsid w:val="000179F0"/>
    <w:rsid w:val="00017A16"/>
    <w:rsid w:val="00017D58"/>
    <w:rsid w:val="000222D0"/>
    <w:rsid w:val="00022C0D"/>
    <w:rsid w:val="00022E56"/>
    <w:rsid w:val="00023C41"/>
    <w:rsid w:val="00025997"/>
    <w:rsid w:val="00026E09"/>
    <w:rsid w:val="00035768"/>
    <w:rsid w:val="00037264"/>
    <w:rsid w:val="00037CE0"/>
    <w:rsid w:val="00043470"/>
    <w:rsid w:val="00046657"/>
    <w:rsid w:val="00050124"/>
    <w:rsid w:val="00053929"/>
    <w:rsid w:val="00056BB9"/>
    <w:rsid w:val="0006198A"/>
    <w:rsid w:val="00061C9C"/>
    <w:rsid w:val="00070C41"/>
    <w:rsid w:val="0007256F"/>
    <w:rsid w:val="00073625"/>
    <w:rsid w:val="00074DE8"/>
    <w:rsid w:val="000756B8"/>
    <w:rsid w:val="000805B0"/>
    <w:rsid w:val="00081E4B"/>
    <w:rsid w:val="00082A54"/>
    <w:rsid w:val="00082B39"/>
    <w:rsid w:val="000857B3"/>
    <w:rsid w:val="00085CA5"/>
    <w:rsid w:val="0008690D"/>
    <w:rsid w:val="00086B73"/>
    <w:rsid w:val="00086BAD"/>
    <w:rsid w:val="00095C2C"/>
    <w:rsid w:val="000A3137"/>
    <w:rsid w:val="000A3E3E"/>
    <w:rsid w:val="000A7F34"/>
    <w:rsid w:val="000B11FE"/>
    <w:rsid w:val="000B3626"/>
    <w:rsid w:val="000B4EA0"/>
    <w:rsid w:val="000B76DB"/>
    <w:rsid w:val="000C1C39"/>
    <w:rsid w:val="000C2489"/>
    <w:rsid w:val="000C5C18"/>
    <w:rsid w:val="000D3AC2"/>
    <w:rsid w:val="000D5C76"/>
    <w:rsid w:val="000E2FA0"/>
    <w:rsid w:val="000E47E9"/>
    <w:rsid w:val="000E608E"/>
    <w:rsid w:val="001017DC"/>
    <w:rsid w:val="001033E1"/>
    <w:rsid w:val="00115CB9"/>
    <w:rsid w:val="0012096C"/>
    <w:rsid w:val="001233FA"/>
    <w:rsid w:val="001257FE"/>
    <w:rsid w:val="0012581E"/>
    <w:rsid w:val="001275BA"/>
    <w:rsid w:val="00127828"/>
    <w:rsid w:val="001301B9"/>
    <w:rsid w:val="00130DF2"/>
    <w:rsid w:val="00135A1E"/>
    <w:rsid w:val="0014601C"/>
    <w:rsid w:val="00146AB1"/>
    <w:rsid w:val="00152068"/>
    <w:rsid w:val="00153132"/>
    <w:rsid w:val="00154373"/>
    <w:rsid w:val="00160BCB"/>
    <w:rsid w:val="00161BDA"/>
    <w:rsid w:val="001626D0"/>
    <w:rsid w:val="00170B94"/>
    <w:rsid w:val="00171618"/>
    <w:rsid w:val="0017331A"/>
    <w:rsid w:val="001742FC"/>
    <w:rsid w:val="001819B1"/>
    <w:rsid w:val="00190CDC"/>
    <w:rsid w:val="0019323F"/>
    <w:rsid w:val="00197D3C"/>
    <w:rsid w:val="001A00ED"/>
    <w:rsid w:val="001A2D10"/>
    <w:rsid w:val="001B3F20"/>
    <w:rsid w:val="001B7860"/>
    <w:rsid w:val="001C31AE"/>
    <w:rsid w:val="001C4CF5"/>
    <w:rsid w:val="001C5E41"/>
    <w:rsid w:val="001C77BC"/>
    <w:rsid w:val="001D061B"/>
    <w:rsid w:val="001D4592"/>
    <w:rsid w:val="001D48BB"/>
    <w:rsid w:val="001E00E3"/>
    <w:rsid w:val="001E2777"/>
    <w:rsid w:val="001F05F3"/>
    <w:rsid w:val="001F2349"/>
    <w:rsid w:val="001F5035"/>
    <w:rsid w:val="001F6A49"/>
    <w:rsid w:val="00200197"/>
    <w:rsid w:val="002005D2"/>
    <w:rsid w:val="0020298B"/>
    <w:rsid w:val="00203B2A"/>
    <w:rsid w:val="002056FC"/>
    <w:rsid w:val="00206111"/>
    <w:rsid w:val="00206A06"/>
    <w:rsid w:val="002137E0"/>
    <w:rsid w:val="0021546F"/>
    <w:rsid w:val="0022042A"/>
    <w:rsid w:val="0022179C"/>
    <w:rsid w:val="0022797F"/>
    <w:rsid w:val="00230310"/>
    <w:rsid w:val="00231D73"/>
    <w:rsid w:val="00235638"/>
    <w:rsid w:val="00242F60"/>
    <w:rsid w:val="00246895"/>
    <w:rsid w:val="00247B05"/>
    <w:rsid w:val="002613BD"/>
    <w:rsid w:val="00262838"/>
    <w:rsid w:val="0026361B"/>
    <w:rsid w:val="00267DF5"/>
    <w:rsid w:val="002740DA"/>
    <w:rsid w:val="002741AC"/>
    <w:rsid w:val="00275F13"/>
    <w:rsid w:val="002819C0"/>
    <w:rsid w:val="00284575"/>
    <w:rsid w:val="00295556"/>
    <w:rsid w:val="00295AEB"/>
    <w:rsid w:val="00295BB5"/>
    <w:rsid w:val="002A02DF"/>
    <w:rsid w:val="002A5A4D"/>
    <w:rsid w:val="002B198D"/>
    <w:rsid w:val="002B4262"/>
    <w:rsid w:val="002B643F"/>
    <w:rsid w:val="002B7464"/>
    <w:rsid w:val="002C3A1E"/>
    <w:rsid w:val="002C4470"/>
    <w:rsid w:val="002C6203"/>
    <w:rsid w:val="002C67D1"/>
    <w:rsid w:val="002C7D31"/>
    <w:rsid w:val="002D5A4D"/>
    <w:rsid w:val="002E123C"/>
    <w:rsid w:val="002E22AF"/>
    <w:rsid w:val="002E7094"/>
    <w:rsid w:val="002F03C1"/>
    <w:rsid w:val="002F3147"/>
    <w:rsid w:val="002F45DC"/>
    <w:rsid w:val="00305EA1"/>
    <w:rsid w:val="00307D21"/>
    <w:rsid w:val="00310A9C"/>
    <w:rsid w:val="00313043"/>
    <w:rsid w:val="00315E1A"/>
    <w:rsid w:val="00320B4C"/>
    <w:rsid w:val="003210CC"/>
    <w:rsid w:val="0032230C"/>
    <w:rsid w:val="00322C05"/>
    <w:rsid w:val="00324398"/>
    <w:rsid w:val="0032703B"/>
    <w:rsid w:val="00330516"/>
    <w:rsid w:val="003358FF"/>
    <w:rsid w:val="00341A7F"/>
    <w:rsid w:val="00342B68"/>
    <w:rsid w:val="0034656F"/>
    <w:rsid w:val="00350C75"/>
    <w:rsid w:val="003547A4"/>
    <w:rsid w:val="00355EAC"/>
    <w:rsid w:val="00362357"/>
    <w:rsid w:val="00363AA1"/>
    <w:rsid w:val="003740D2"/>
    <w:rsid w:val="00380408"/>
    <w:rsid w:val="0038110E"/>
    <w:rsid w:val="00384FC3"/>
    <w:rsid w:val="003A3804"/>
    <w:rsid w:val="003A4C3B"/>
    <w:rsid w:val="003A52BE"/>
    <w:rsid w:val="003A54A0"/>
    <w:rsid w:val="003A560E"/>
    <w:rsid w:val="003A5866"/>
    <w:rsid w:val="003A6E9F"/>
    <w:rsid w:val="003B5172"/>
    <w:rsid w:val="003B7816"/>
    <w:rsid w:val="003C0DA6"/>
    <w:rsid w:val="003C6DF4"/>
    <w:rsid w:val="003C7251"/>
    <w:rsid w:val="003D40C8"/>
    <w:rsid w:val="003D4CD6"/>
    <w:rsid w:val="003E2B58"/>
    <w:rsid w:val="003F0E5F"/>
    <w:rsid w:val="003F32E3"/>
    <w:rsid w:val="0041332D"/>
    <w:rsid w:val="00414B9D"/>
    <w:rsid w:val="0041770E"/>
    <w:rsid w:val="00421291"/>
    <w:rsid w:val="004228C7"/>
    <w:rsid w:val="00424028"/>
    <w:rsid w:val="004245D7"/>
    <w:rsid w:val="0042798B"/>
    <w:rsid w:val="0043045F"/>
    <w:rsid w:val="004316B7"/>
    <w:rsid w:val="00434913"/>
    <w:rsid w:val="00434E29"/>
    <w:rsid w:val="004428A5"/>
    <w:rsid w:val="00444CF6"/>
    <w:rsid w:val="004474F8"/>
    <w:rsid w:val="0046699F"/>
    <w:rsid w:val="004740F6"/>
    <w:rsid w:val="00476312"/>
    <w:rsid w:val="00477550"/>
    <w:rsid w:val="004809E2"/>
    <w:rsid w:val="004844A8"/>
    <w:rsid w:val="00492AB5"/>
    <w:rsid w:val="00495544"/>
    <w:rsid w:val="00496803"/>
    <w:rsid w:val="004A2725"/>
    <w:rsid w:val="004A72F2"/>
    <w:rsid w:val="004B1D44"/>
    <w:rsid w:val="004B3AA4"/>
    <w:rsid w:val="004B3AD8"/>
    <w:rsid w:val="004B4D26"/>
    <w:rsid w:val="004B50C5"/>
    <w:rsid w:val="004B6688"/>
    <w:rsid w:val="004C143B"/>
    <w:rsid w:val="004C1F8B"/>
    <w:rsid w:val="004C5E3B"/>
    <w:rsid w:val="004C611A"/>
    <w:rsid w:val="004D0EC2"/>
    <w:rsid w:val="004D108F"/>
    <w:rsid w:val="004D4A0A"/>
    <w:rsid w:val="004D5399"/>
    <w:rsid w:val="004D5E25"/>
    <w:rsid w:val="004D7819"/>
    <w:rsid w:val="004E13FF"/>
    <w:rsid w:val="004E4374"/>
    <w:rsid w:val="004E5FA8"/>
    <w:rsid w:val="005050F1"/>
    <w:rsid w:val="00505AD0"/>
    <w:rsid w:val="0051601F"/>
    <w:rsid w:val="0051797C"/>
    <w:rsid w:val="00521444"/>
    <w:rsid w:val="0052408D"/>
    <w:rsid w:val="005244A4"/>
    <w:rsid w:val="00527783"/>
    <w:rsid w:val="00532598"/>
    <w:rsid w:val="00532B29"/>
    <w:rsid w:val="0053663D"/>
    <w:rsid w:val="00540905"/>
    <w:rsid w:val="00542391"/>
    <w:rsid w:val="005434FF"/>
    <w:rsid w:val="00546ADC"/>
    <w:rsid w:val="00551F9F"/>
    <w:rsid w:val="005532BA"/>
    <w:rsid w:val="00553610"/>
    <w:rsid w:val="00553973"/>
    <w:rsid w:val="00553FC9"/>
    <w:rsid w:val="00555BA9"/>
    <w:rsid w:val="00556968"/>
    <w:rsid w:val="00557F9C"/>
    <w:rsid w:val="0056419E"/>
    <w:rsid w:val="00566F2F"/>
    <w:rsid w:val="00567268"/>
    <w:rsid w:val="00570550"/>
    <w:rsid w:val="005814B5"/>
    <w:rsid w:val="00582032"/>
    <w:rsid w:val="00585521"/>
    <w:rsid w:val="00586393"/>
    <w:rsid w:val="0058678D"/>
    <w:rsid w:val="005904FE"/>
    <w:rsid w:val="005968E8"/>
    <w:rsid w:val="005A1D60"/>
    <w:rsid w:val="005A286A"/>
    <w:rsid w:val="005A4B85"/>
    <w:rsid w:val="005A4DAE"/>
    <w:rsid w:val="005B5CB5"/>
    <w:rsid w:val="005B61FD"/>
    <w:rsid w:val="005C055C"/>
    <w:rsid w:val="005C445D"/>
    <w:rsid w:val="005C46C0"/>
    <w:rsid w:val="005D00C3"/>
    <w:rsid w:val="005D0365"/>
    <w:rsid w:val="005D3E9D"/>
    <w:rsid w:val="005D489D"/>
    <w:rsid w:val="005D6E28"/>
    <w:rsid w:val="005E0FFB"/>
    <w:rsid w:val="005E498A"/>
    <w:rsid w:val="005E5D0E"/>
    <w:rsid w:val="005F0EF6"/>
    <w:rsid w:val="005F3849"/>
    <w:rsid w:val="005F3E88"/>
    <w:rsid w:val="005F6C2C"/>
    <w:rsid w:val="00606269"/>
    <w:rsid w:val="00614418"/>
    <w:rsid w:val="00615DAE"/>
    <w:rsid w:val="00616192"/>
    <w:rsid w:val="0062380A"/>
    <w:rsid w:val="006256D3"/>
    <w:rsid w:val="00625A2C"/>
    <w:rsid w:val="00627BB7"/>
    <w:rsid w:val="006305C5"/>
    <w:rsid w:val="00635D5E"/>
    <w:rsid w:val="00636543"/>
    <w:rsid w:val="00640429"/>
    <w:rsid w:val="0064334F"/>
    <w:rsid w:val="00644A13"/>
    <w:rsid w:val="00645D5E"/>
    <w:rsid w:val="0065136E"/>
    <w:rsid w:val="00652D40"/>
    <w:rsid w:val="00655300"/>
    <w:rsid w:val="00661326"/>
    <w:rsid w:val="0066786E"/>
    <w:rsid w:val="00670D71"/>
    <w:rsid w:val="00676106"/>
    <w:rsid w:val="00680B6D"/>
    <w:rsid w:val="00683790"/>
    <w:rsid w:val="006846BB"/>
    <w:rsid w:val="00684DE6"/>
    <w:rsid w:val="00694B11"/>
    <w:rsid w:val="00694F87"/>
    <w:rsid w:val="006A78BC"/>
    <w:rsid w:val="006B34FD"/>
    <w:rsid w:val="006B7C23"/>
    <w:rsid w:val="006C1CEA"/>
    <w:rsid w:val="006C2C45"/>
    <w:rsid w:val="006C4E58"/>
    <w:rsid w:val="006D5DAF"/>
    <w:rsid w:val="006E131B"/>
    <w:rsid w:val="006E68F8"/>
    <w:rsid w:val="006E7DCE"/>
    <w:rsid w:val="007050FF"/>
    <w:rsid w:val="00712D42"/>
    <w:rsid w:val="00713EA4"/>
    <w:rsid w:val="007166C8"/>
    <w:rsid w:val="00716D08"/>
    <w:rsid w:val="00717A5F"/>
    <w:rsid w:val="00722266"/>
    <w:rsid w:val="007251F9"/>
    <w:rsid w:val="00732F76"/>
    <w:rsid w:val="007333D0"/>
    <w:rsid w:val="00735CD2"/>
    <w:rsid w:val="0073777D"/>
    <w:rsid w:val="00743C4C"/>
    <w:rsid w:val="007443CF"/>
    <w:rsid w:val="007463CA"/>
    <w:rsid w:val="00752764"/>
    <w:rsid w:val="00752DDB"/>
    <w:rsid w:val="007537BD"/>
    <w:rsid w:val="00753FDB"/>
    <w:rsid w:val="00754942"/>
    <w:rsid w:val="00754B07"/>
    <w:rsid w:val="00760886"/>
    <w:rsid w:val="00761B3D"/>
    <w:rsid w:val="00762121"/>
    <w:rsid w:val="00764BE5"/>
    <w:rsid w:val="00766962"/>
    <w:rsid w:val="007745D0"/>
    <w:rsid w:val="00775287"/>
    <w:rsid w:val="007772E6"/>
    <w:rsid w:val="0078026C"/>
    <w:rsid w:val="007830E8"/>
    <w:rsid w:val="00783502"/>
    <w:rsid w:val="0078638E"/>
    <w:rsid w:val="00787686"/>
    <w:rsid w:val="0079024D"/>
    <w:rsid w:val="007918CE"/>
    <w:rsid w:val="00794CF7"/>
    <w:rsid w:val="007972E0"/>
    <w:rsid w:val="00797BFF"/>
    <w:rsid w:val="007A6DA3"/>
    <w:rsid w:val="007B0010"/>
    <w:rsid w:val="007B23F9"/>
    <w:rsid w:val="007B4D2B"/>
    <w:rsid w:val="007C6EE2"/>
    <w:rsid w:val="007D33F4"/>
    <w:rsid w:val="007E61D9"/>
    <w:rsid w:val="007E6B93"/>
    <w:rsid w:val="007E7F95"/>
    <w:rsid w:val="007F0929"/>
    <w:rsid w:val="007F0940"/>
    <w:rsid w:val="007F09D5"/>
    <w:rsid w:val="007F3ABE"/>
    <w:rsid w:val="007F5E45"/>
    <w:rsid w:val="007F68AC"/>
    <w:rsid w:val="008017FF"/>
    <w:rsid w:val="00803485"/>
    <w:rsid w:val="00804188"/>
    <w:rsid w:val="008051B3"/>
    <w:rsid w:val="00813DBA"/>
    <w:rsid w:val="008205BF"/>
    <w:rsid w:val="00820624"/>
    <w:rsid w:val="008235CB"/>
    <w:rsid w:val="00824DC8"/>
    <w:rsid w:val="008328E9"/>
    <w:rsid w:val="0083453D"/>
    <w:rsid w:val="00835BCB"/>
    <w:rsid w:val="00835CDC"/>
    <w:rsid w:val="00836EA1"/>
    <w:rsid w:val="00837A92"/>
    <w:rsid w:val="00842068"/>
    <w:rsid w:val="00850B09"/>
    <w:rsid w:val="00863B9D"/>
    <w:rsid w:val="00863BE6"/>
    <w:rsid w:val="00864A66"/>
    <w:rsid w:val="00870A12"/>
    <w:rsid w:val="008775BC"/>
    <w:rsid w:val="00882F1B"/>
    <w:rsid w:val="008915E7"/>
    <w:rsid w:val="0089557D"/>
    <w:rsid w:val="008977AA"/>
    <w:rsid w:val="008A2260"/>
    <w:rsid w:val="008A70CE"/>
    <w:rsid w:val="008B6D3A"/>
    <w:rsid w:val="008C1E65"/>
    <w:rsid w:val="008C25E4"/>
    <w:rsid w:val="008C2DAE"/>
    <w:rsid w:val="008D55C6"/>
    <w:rsid w:val="008D5F82"/>
    <w:rsid w:val="008D641C"/>
    <w:rsid w:val="008E7B86"/>
    <w:rsid w:val="008F102F"/>
    <w:rsid w:val="008F1975"/>
    <w:rsid w:val="008F79F9"/>
    <w:rsid w:val="00903D13"/>
    <w:rsid w:val="009056D1"/>
    <w:rsid w:val="009059A9"/>
    <w:rsid w:val="00906CA3"/>
    <w:rsid w:val="00915044"/>
    <w:rsid w:val="0092515E"/>
    <w:rsid w:val="0092749C"/>
    <w:rsid w:val="009334E5"/>
    <w:rsid w:val="00942FBD"/>
    <w:rsid w:val="009454F0"/>
    <w:rsid w:val="009463C5"/>
    <w:rsid w:val="0094770B"/>
    <w:rsid w:val="00950A44"/>
    <w:rsid w:val="00951355"/>
    <w:rsid w:val="00954CB0"/>
    <w:rsid w:val="00955C1A"/>
    <w:rsid w:val="00955C1B"/>
    <w:rsid w:val="00961013"/>
    <w:rsid w:val="00966D68"/>
    <w:rsid w:val="00974721"/>
    <w:rsid w:val="0097495E"/>
    <w:rsid w:val="00975D7F"/>
    <w:rsid w:val="009766E4"/>
    <w:rsid w:val="0098651C"/>
    <w:rsid w:val="0098760A"/>
    <w:rsid w:val="00997574"/>
    <w:rsid w:val="009B2267"/>
    <w:rsid w:val="009B275E"/>
    <w:rsid w:val="009B2CEE"/>
    <w:rsid w:val="009B3337"/>
    <w:rsid w:val="009B4722"/>
    <w:rsid w:val="009B67EC"/>
    <w:rsid w:val="009C31C0"/>
    <w:rsid w:val="009E0AE8"/>
    <w:rsid w:val="009E0D04"/>
    <w:rsid w:val="009E0E77"/>
    <w:rsid w:val="009E3748"/>
    <w:rsid w:val="009E5374"/>
    <w:rsid w:val="009F0A66"/>
    <w:rsid w:val="009F229C"/>
    <w:rsid w:val="009F345D"/>
    <w:rsid w:val="009F40B7"/>
    <w:rsid w:val="009F5DC6"/>
    <w:rsid w:val="00A01E6F"/>
    <w:rsid w:val="00A02861"/>
    <w:rsid w:val="00A03650"/>
    <w:rsid w:val="00A108E9"/>
    <w:rsid w:val="00A13218"/>
    <w:rsid w:val="00A227A3"/>
    <w:rsid w:val="00A24404"/>
    <w:rsid w:val="00A25597"/>
    <w:rsid w:val="00A26FCC"/>
    <w:rsid w:val="00A274D1"/>
    <w:rsid w:val="00A2906E"/>
    <w:rsid w:val="00A42339"/>
    <w:rsid w:val="00A451CF"/>
    <w:rsid w:val="00A474CB"/>
    <w:rsid w:val="00A50A38"/>
    <w:rsid w:val="00A60B73"/>
    <w:rsid w:val="00A61462"/>
    <w:rsid w:val="00A773A1"/>
    <w:rsid w:val="00A773EC"/>
    <w:rsid w:val="00A80080"/>
    <w:rsid w:val="00A8221E"/>
    <w:rsid w:val="00A976E3"/>
    <w:rsid w:val="00AA09C1"/>
    <w:rsid w:val="00AA13F3"/>
    <w:rsid w:val="00AA6F39"/>
    <w:rsid w:val="00AA7291"/>
    <w:rsid w:val="00AB4951"/>
    <w:rsid w:val="00AB51CC"/>
    <w:rsid w:val="00AB667B"/>
    <w:rsid w:val="00AC0715"/>
    <w:rsid w:val="00AC07F6"/>
    <w:rsid w:val="00AC38B1"/>
    <w:rsid w:val="00AC4EEB"/>
    <w:rsid w:val="00AC6C66"/>
    <w:rsid w:val="00AC7C43"/>
    <w:rsid w:val="00AD1EE9"/>
    <w:rsid w:val="00AD38DC"/>
    <w:rsid w:val="00AD3BFE"/>
    <w:rsid w:val="00AE2DB6"/>
    <w:rsid w:val="00AE3634"/>
    <w:rsid w:val="00AE54C8"/>
    <w:rsid w:val="00AE7389"/>
    <w:rsid w:val="00AF1FB1"/>
    <w:rsid w:val="00B007F4"/>
    <w:rsid w:val="00B04998"/>
    <w:rsid w:val="00B05D5E"/>
    <w:rsid w:val="00B13C8F"/>
    <w:rsid w:val="00B147E5"/>
    <w:rsid w:val="00B167C8"/>
    <w:rsid w:val="00B16E93"/>
    <w:rsid w:val="00B17BD0"/>
    <w:rsid w:val="00B26337"/>
    <w:rsid w:val="00B26490"/>
    <w:rsid w:val="00B27F09"/>
    <w:rsid w:val="00B30B06"/>
    <w:rsid w:val="00B315A0"/>
    <w:rsid w:val="00B34A18"/>
    <w:rsid w:val="00B35D1A"/>
    <w:rsid w:val="00B41529"/>
    <w:rsid w:val="00B420C5"/>
    <w:rsid w:val="00B468CE"/>
    <w:rsid w:val="00B504CA"/>
    <w:rsid w:val="00B54D17"/>
    <w:rsid w:val="00B579CB"/>
    <w:rsid w:val="00B60C3F"/>
    <w:rsid w:val="00B61DD1"/>
    <w:rsid w:val="00B626CD"/>
    <w:rsid w:val="00B654A4"/>
    <w:rsid w:val="00B656D0"/>
    <w:rsid w:val="00B70083"/>
    <w:rsid w:val="00B72846"/>
    <w:rsid w:val="00B72932"/>
    <w:rsid w:val="00B80C90"/>
    <w:rsid w:val="00B83F45"/>
    <w:rsid w:val="00B9377B"/>
    <w:rsid w:val="00B94144"/>
    <w:rsid w:val="00B95012"/>
    <w:rsid w:val="00B9537B"/>
    <w:rsid w:val="00B9546C"/>
    <w:rsid w:val="00BA033C"/>
    <w:rsid w:val="00BA6BC1"/>
    <w:rsid w:val="00BA7F55"/>
    <w:rsid w:val="00BB06B2"/>
    <w:rsid w:val="00BB28F6"/>
    <w:rsid w:val="00BB2D40"/>
    <w:rsid w:val="00BB6EAC"/>
    <w:rsid w:val="00BC02B7"/>
    <w:rsid w:val="00BC2609"/>
    <w:rsid w:val="00BD02B7"/>
    <w:rsid w:val="00BE0B8E"/>
    <w:rsid w:val="00BE109B"/>
    <w:rsid w:val="00BE1E12"/>
    <w:rsid w:val="00BE3A3F"/>
    <w:rsid w:val="00BE5E92"/>
    <w:rsid w:val="00BE75A4"/>
    <w:rsid w:val="00BF6436"/>
    <w:rsid w:val="00C03F48"/>
    <w:rsid w:val="00C13145"/>
    <w:rsid w:val="00C17E09"/>
    <w:rsid w:val="00C208F7"/>
    <w:rsid w:val="00C212FF"/>
    <w:rsid w:val="00C2411D"/>
    <w:rsid w:val="00C2456E"/>
    <w:rsid w:val="00C25E13"/>
    <w:rsid w:val="00C26902"/>
    <w:rsid w:val="00C26EC3"/>
    <w:rsid w:val="00C30AF5"/>
    <w:rsid w:val="00C35FF5"/>
    <w:rsid w:val="00C40E0E"/>
    <w:rsid w:val="00C47732"/>
    <w:rsid w:val="00C53A82"/>
    <w:rsid w:val="00C54E82"/>
    <w:rsid w:val="00C63CAB"/>
    <w:rsid w:val="00C65EB0"/>
    <w:rsid w:val="00C732BC"/>
    <w:rsid w:val="00C7522B"/>
    <w:rsid w:val="00C80AEB"/>
    <w:rsid w:val="00C9549C"/>
    <w:rsid w:val="00C96275"/>
    <w:rsid w:val="00CA412D"/>
    <w:rsid w:val="00CA439F"/>
    <w:rsid w:val="00CB50F3"/>
    <w:rsid w:val="00CB59D1"/>
    <w:rsid w:val="00CC06A3"/>
    <w:rsid w:val="00CC197E"/>
    <w:rsid w:val="00CC63F8"/>
    <w:rsid w:val="00CC7738"/>
    <w:rsid w:val="00CD5A42"/>
    <w:rsid w:val="00CE0038"/>
    <w:rsid w:val="00CE1C48"/>
    <w:rsid w:val="00CE41CF"/>
    <w:rsid w:val="00CE4B81"/>
    <w:rsid w:val="00CE750F"/>
    <w:rsid w:val="00CE7C37"/>
    <w:rsid w:val="00CF0973"/>
    <w:rsid w:val="00CF7A36"/>
    <w:rsid w:val="00D160CB"/>
    <w:rsid w:val="00D17B32"/>
    <w:rsid w:val="00D2023C"/>
    <w:rsid w:val="00D21C5C"/>
    <w:rsid w:val="00D245A1"/>
    <w:rsid w:val="00D260EE"/>
    <w:rsid w:val="00D278A7"/>
    <w:rsid w:val="00D35BCB"/>
    <w:rsid w:val="00D405DB"/>
    <w:rsid w:val="00D406E1"/>
    <w:rsid w:val="00D415E2"/>
    <w:rsid w:val="00D42055"/>
    <w:rsid w:val="00D5480A"/>
    <w:rsid w:val="00D55239"/>
    <w:rsid w:val="00D563B4"/>
    <w:rsid w:val="00D60B2A"/>
    <w:rsid w:val="00D630A8"/>
    <w:rsid w:val="00D647C3"/>
    <w:rsid w:val="00D650C2"/>
    <w:rsid w:val="00D706EF"/>
    <w:rsid w:val="00D730A7"/>
    <w:rsid w:val="00D7646A"/>
    <w:rsid w:val="00D7768F"/>
    <w:rsid w:val="00D8229A"/>
    <w:rsid w:val="00D82A28"/>
    <w:rsid w:val="00D91624"/>
    <w:rsid w:val="00D92A1E"/>
    <w:rsid w:val="00D95555"/>
    <w:rsid w:val="00D9633A"/>
    <w:rsid w:val="00DA32BF"/>
    <w:rsid w:val="00DB7948"/>
    <w:rsid w:val="00DD1AB4"/>
    <w:rsid w:val="00DD5B60"/>
    <w:rsid w:val="00DD6844"/>
    <w:rsid w:val="00DD696F"/>
    <w:rsid w:val="00DD71D6"/>
    <w:rsid w:val="00DD7DAF"/>
    <w:rsid w:val="00DE189D"/>
    <w:rsid w:val="00DF2386"/>
    <w:rsid w:val="00DF4C94"/>
    <w:rsid w:val="00DF6E11"/>
    <w:rsid w:val="00DF6E76"/>
    <w:rsid w:val="00DF7FE7"/>
    <w:rsid w:val="00E03E71"/>
    <w:rsid w:val="00E06E21"/>
    <w:rsid w:val="00E13995"/>
    <w:rsid w:val="00E16295"/>
    <w:rsid w:val="00E20712"/>
    <w:rsid w:val="00E22FF0"/>
    <w:rsid w:val="00E318A4"/>
    <w:rsid w:val="00E337C9"/>
    <w:rsid w:val="00E36E2C"/>
    <w:rsid w:val="00E3797F"/>
    <w:rsid w:val="00E40890"/>
    <w:rsid w:val="00E46367"/>
    <w:rsid w:val="00E46897"/>
    <w:rsid w:val="00E5063A"/>
    <w:rsid w:val="00E54353"/>
    <w:rsid w:val="00E62742"/>
    <w:rsid w:val="00E63842"/>
    <w:rsid w:val="00E63F0B"/>
    <w:rsid w:val="00E66205"/>
    <w:rsid w:val="00E76D2C"/>
    <w:rsid w:val="00E80A06"/>
    <w:rsid w:val="00E90EFC"/>
    <w:rsid w:val="00E93F24"/>
    <w:rsid w:val="00E95815"/>
    <w:rsid w:val="00E96B1B"/>
    <w:rsid w:val="00EA1FEA"/>
    <w:rsid w:val="00EA3A7F"/>
    <w:rsid w:val="00EA3CBA"/>
    <w:rsid w:val="00EA54CD"/>
    <w:rsid w:val="00EA653F"/>
    <w:rsid w:val="00EB68CB"/>
    <w:rsid w:val="00EC096B"/>
    <w:rsid w:val="00EC4519"/>
    <w:rsid w:val="00ED09D6"/>
    <w:rsid w:val="00ED0E3C"/>
    <w:rsid w:val="00EF4C46"/>
    <w:rsid w:val="00EF5C84"/>
    <w:rsid w:val="00EF6365"/>
    <w:rsid w:val="00EF72AB"/>
    <w:rsid w:val="00F00593"/>
    <w:rsid w:val="00F029DC"/>
    <w:rsid w:val="00F03341"/>
    <w:rsid w:val="00F04120"/>
    <w:rsid w:val="00F078F1"/>
    <w:rsid w:val="00F10468"/>
    <w:rsid w:val="00F1199E"/>
    <w:rsid w:val="00F12D1E"/>
    <w:rsid w:val="00F13691"/>
    <w:rsid w:val="00F15323"/>
    <w:rsid w:val="00F15F5A"/>
    <w:rsid w:val="00F26784"/>
    <w:rsid w:val="00F32D03"/>
    <w:rsid w:val="00F3331F"/>
    <w:rsid w:val="00F33B96"/>
    <w:rsid w:val="00F344DE"/>
    <w:rsid w:val="00F35A34"/>
    <w:rsid w:val="00F35B51"/>
    <w:rsid w:val="00F37FA4"/>
    <w:rsid w:val="00F411B5"/>
    <w:rsid w:val="00F41860"/>
    <w:rsid w:val="00F468BE"/>
    <w:rsid w:val="00F52ABC"/>
    <w:rsid w:val="00F53177"/>
    <w:rsid w:val="00F535CE"/>
    <w:rsid w:val="00F57542"/>
    <w:rsid w:val="00F57F55"/>
    <w:rsid w:val="00F61FE3"/>
    <w:rsid w:val="00F623B3"/>
    <w:rsid w:val="00F627A0"/>
    <w:rsid w:val="00F655F6"/>
    <w:rsid w:val="00F65F11"/>
    <w:rsid w:val="00F673F7"/>
    <w:rsid w:val="00F73BA1"/>
    <w:rsid w:val="00F73E71"/>
    <w:rsid w:val="00F81B6D"/>
    <w:rsid w:val="00F87126"/>
    <w:rsid w:val="00F90DBE"/>
    <w:rsid w:val="00F93A33"/>
    <w:rsid w:val="00FA2506"/>
    <w:rsid w:val="00FA2E1C"/>
    <w:rsid w:val="00FA49EA"/>
    <w:rsid w:val="00FA76D5"/>
    <w:rsid w:val="00FB4204"/>
    <w:rsid w:val="00FB4C0B"/>
    <w:rsid w:val="00FC2EEF"/>
    <w:rsid w:val="00FC6FDA"/>
    <w:rsid w:val="00FC7B1D"/>
    <w:rsid w:val="00FD30C3"/>
    <w:rsid w:val="00FD611B"/>
    <w:rsid w:val="00FE24B0"/>
    <w:rsid w:val="00FF0B86"/>
    <w:rsid w:val="00FF170C"/>
    <w:rsid w:val="00FF5E1D"/>
    <w:rsid w:val="00FF7846"/>
    <w:rsid w:val="074955AE"/>
    <w:rsid w:val="0775E00A"/>
    <w:rsid w:val="0CC00D48"/>
    <w:rsid w:val="0F268C2F"/>
    <w:rsid w:val="10582C45"/>
    <w:rsid w:val="11133C19"/>
    <w:rsid w:val="13E7FEB2"/>
    <w:rsid w:val="16D4FB99"/>
    <w:rsid w:val="18D4C483"/>
    <w:rsid w:val="1CA1DDE8"/>
    <w:rsid w:val="20A924F8"/>
    <w:rsid w:val="20B4159D"/>
    <w:rsid w:val="2244F559"/>
    <w:rsid w:val="23E0C5BA"/>
    <w:rsid w:val="24D9BE47"/>
    <w:rsid w:val="24FFA82E"/>
    <w:rsid w:val="256F4F2C"/>
    <w:rsid w:val="257C961B"/>
    <w:rsid w:val="2663E06F"/>
    <w:rsid w:val="2718667C"/>
    <w:rsid w:val="28387FA0"/>
    <w:rsid w:val="29FA3B0F"/>
    <w:rsid w:val="2B59FD36"/>
    <w:rsid w:val="34907CCF"/>
    <w:rsid w:val="36C7E7F2"/>
    <w:rsid w:val="36DAF3CC"/>
    <w:rsid w:val="39951C27"/>
    <w:rsid w:val="3B1E81F5"/>
    <w:rsid w:val="3B30EC88"/>
    <w:rsid w:val="3BD4D9B1"/>
    <w:rsid w:val="3BFC4485"/>
    <w:rsid w:val="3EAFAF48"/>
    <w:rsid w:val="3F289EC0"/>
    <w:rsid w:val="426C3063"/>
    <w:rsid w:val="49AFEA9B"/>
    <w:rsid w:val="4B83F2E5"/>
    <w:rsid w:val="4F594EAE"/>
    <w:rsid w:val="50907C90"/>
    <w:rsid w:val="532F1128"/>
    <w:rsid w:val="55D330FD"/>
    <w:rsid w:val="56044167"/>
    <w:rsid w:val="563C09AA"/>
    <w:rsid w:val="5757E526"/>
    <w:rsid w:val="5834D317"/>
    <w:rsid w:val="5A11C856"/>
    <w:rsid w:val="5AB60B84"/>
    <w:rsid w:val="5B45E4CA"/>
    <w:rsid w:val="5CE70B38"/>
    <w:rsid w:val="5F0C3C9F"/>
    <w:rsid w:val="6087FC94"/>
    <w:rsid w:val="609FA553"/>
    <w:rsid w:val="67C6BF68"/>
    <w:rsid w:val="67DCD925"/>
    <w:rsid w:val="695E3E8F"/>
    <w:rsid w:val="6CD6DA24"/>
    <w:rsid w:val="70100E02"/>
    <w:rsid w:val="7068859A"/>
    <w:rsid w:val="74147DAF"/>
    <w:rsid w:val="75BB9F32"/>
    <w:rsid w:val="76E07E4F"/>
    <w:rsid w:val="775CF360"/>
    <w:rsid w:val="78284743"/>
    <w:rsid w:val="799E9C83"/>
    <w:rsid w:val="7CC56758"/>
    <w:rsid w:val="7E4F121E"/>
    <w:rsid w:val="7E8A1C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7D200A"/>
  <w15:docId w15:val="{F445D6A4-8D96-485D-8842-06EAEFE9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2037325">
      <w:bodyDiv w:val="1"/>
      <w:marLeft w:val="0"/>
      <w:marRight w:val="0"/>
      <w:marTop w:val="0"/>
      <w:marBottom w:val="0"/>
      <w:divBdr>
        <w:top w:val="none" w:sz="0" w:space="0" w:color="auto"/>
        <w:left w:val="none" w:sz="0" w:space="0" w:color="auto"/>
        <w:bottom w:val="none" w:sz="0" w:space="0" w:color="auto"/>
        <w:right w:val="none" w:sz="0" w:space="0" w:color="auto"/>
      </w:divBdr>
    </w:div>
    <w:div w:id="9645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sc57-doc19-plan-de-trabajo-de-la-convencion-de-ramsar-para-la-movilizacion-de-recur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4" ma:contentTypeDescription="Create a new document." ma:contentTypeScope="" ma:versionID="a8134e40f42453dbe842de2c471c1410">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85e3404e872e2e61a58673f4ac3cc0c"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CD39-44AD-453B-AF58-6B18611A0DD6}">
  <ds:schemaRefs>
    <ds:schemaRef ds:uri="http://schemas.microsoft.com/sharepoint/v3/contenttype/forms"/>
  </ds:schemaRefs>
</ds:datastoreItem>
</file>

<file path=customXml/itemProps2.xml><?xml version="1.0" encoding="utf-8"?>
<ds:datastoreItem xmlns:ds="http://schemas.openxmlformats.org/officeDocument/2006/customXml" ds:itemID="{07E76396-E152-459A-BBBB-2652F0612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829F8-2D3A-4AF6-8422-48CB707B6414}">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2091f3a7-85e0-4369-82dd-069689515281"/>
    <ds:schemaRef ds:uri="61a8272d-96cf-4049-bae8-824c01106527"/>
    <ds:schemaRef ds:uri="http://purl.org/dc/elements/1.1/"/>
  </ds:schemaRefs>
</ds:datastoreItem>
</file>

<file path=customXml/itemProps4.xml><?xml version="1.0" encoding="utf-8"?>
<ds:datastoreItem xmlns:ds="http://schemas.openxmlformats.org/officeDocument/2006/customXml" ds:itemID="{12CBDC60-61D7-428E-95F0-7EFC4911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Ed Jennings</cp:lastModifiedBy>
  <cp:revision>4</cp:revision>
  <cp:lastPrinted>2023-05-15T07:14:00Z</cp:lastPrinted>
  <dcterms:created xsi:type="dcterms:W3CDTF">2023-05-24T14:36:00Z</dcterms:created>
  <dcterms:modified xsi:type="dcterms:W3CDTF">2023-06-01T12:55:00Z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