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342F3" w14:textId="77777777" w:rsidR="004A72F2" w:rsidRPr="00A5562B" w:rsidRDefault="004A72F2" w:rsidP="00DB77F7">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rPr>
      </w:pPr>
      <w:bookmarkStart w:id="0" w:name="_GoBack"/>
      <w:r>
        <w:rPr>
          <w:rFonts w:asciiTheme="minorHAnsi" w:hAnsiTheme="minorHAnsi"/>
        </w:rPr>
        <w:t xml:space="preserve">CONVENTION SUR LES ZONES HUMIDES </w:t>
      </w:r>
    </w:p>
    <w:p w14:paraId="2D8C41B7" w14:textId="77777777" w:rsidR="004A72F2" w:rsidRPr="00A5562B" w:rsidRDefault="004A72F2" w:rsidP="00DB77F7">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rPr>
      </w:pPr>
      <w:r>
        <w:rPr>
          <w:rFonts w:asciiTheme="minorHAnsi" w:hAnsiTheme="minorHAnsi"/>
        </w:rPr>
        <w:t>62</w:t>
      </w:r>
      <w:r>
        <w:rPr>
          <w:rFonts w:asciiTheme="minorHAnsi" w:hAnsiTheme="minorHAnsi"/>
          <w:vertAlign w:val="superscript"/>
        </w:rPr>
        <w:t>e</w:t>
      </w:r>
      <w:r>
        <w:rPr>
          <w:rFonts w:asciiTheme="minorHAnsi" w:hAnsiTheme="minorHAnsi"/>
        </w:rPr>
        <w:t> réunion du Comité permanent</w:t>
      </w:r>
    </w:p>
    <w:p w14:paraId="78C1D05C" w14:textId="77777777" w:rsidR="004A72F2" w:rsidRPr="00A5562B" w:rsidRDefault="004A72F2" w:rsidP="00DB77F7">
      <w:pPr>
        <w:pBdr>
          <w:top w:val="single" w:sz="12" w:space="0" w:color="auto" w:shadow="1"/>
          <w:left w:val="single" w:sz="12" w:space="4" w:color="auto" w:shadow="1"/>
          <w:bottom w:val="single" w:sz="12" w:space="1" w:color="auto" w:shadow="1"/>
          <w:right w:val="single" w:sz="12" w:space="7" w:color="auto" w:shadow="1"/>
        </w:pBdr>
        <w:ind w:right="4490"/>
        <w:rPr>
          <w:rFonts w:asciiTheme="minorHAnsi" w:hAnsiTheme="minorHAnsi" w:cstheme="minorHAnsi"/>
          <w:bCs/>
        </w:rPr>
      </w:pPr>
      <w:r>
        <w:rPr>
          <w:rFonts w:asciiTheme="minorHAnsi" w:hAnsiTheme="minorHAnsi"/>
        </w:rPr>
        <w:t>Gland, Suisse, 4 au 8 septembre 2023</w:t>
      </w:r>
    </w:p>
    <w:bookmarkEnd w:id="0"/>
    <w:p w14:paraId="6C0CD29D" w14:textId="77777777" w:rsidR="00DF2386" w:rsidRPr="00073625" w:rsidRDefault="00DF2386" w:rsidP="007972E0">
      <w:pPr>
        <w:outlineLvl w:val="0"/>
        <w:rPr>
          <w:b/>
          <w:sz w:val="28"/>
          <w:szCs w:val="28"/>
        </w:rPr>
      </w:pPr>
    </w:p>
    <w:p w14:paraId="42F8BA29" w14:textId="5B0E47B4" w:rsidR="00DF2386" w:rsidRPr="00D245A1" w:rsidRDefault="00DF2386" w:rsidP="005C445D">
      <w:pPr>
        <w:ind w:left="0" w:firstLine="0"/>
        <w:jc w:val="right"/>
        <w:rPr>
          <w:rFonts w:cs="Arial"/>
          <w:sz w:val="28"/>
          <w:szCs w:val="28"/>
        </w:rPr>
      </w:pPr>
      <w:r>
        <w:rPr>
          <w:b/>
          <w:sz w:val="28"/>
        </w:rPr>
        <w:t>SC62 Doc.18</w:t>
      </w:r>
    </w:p>
    <w:p w14:paraId="5B0A8ABD" w14:textId="77777777" w:rsidR="00DF2386" w:rsidRDefault="00DF2386" w:rsidP="005C445D">
      <w:pPr>
        <w:ind w:left="0" w:firstLine="0"/>
        <w:rPr>
          <w:rFonts w:cs="Arial"/>
          <w:b/>
          <w:sz w:val="28"/>
          <w:szCs w:val="28"/>
        </w:rPr>
      </w:pPr>
    </w:p>
    <w:p w14:paraId="3E795851" w14:textId="2A0066AB" w:rsidR="00DF2386" w:rsidRDefault="00EC4519" w:rsidP="005C445D">
      <w:pPr>
        <w:ind w:left="0" w:firstLine="0"/>
        <w:jc w:val="center"/>
        <w:rPr>
          <w:rFonts w:cs="Arial"/>
          <w:b/>
          <w:sz w:val="28"/>
          <w:szCs w:val="28"/>
        </w:rPr>
      </w:pPr>
      <w:r>
        <w:rPr>
          <w:b/>
          <w:sz w:val="28"/>
        </w:rPr>
        <w:t>Plan de travail 2023-2025 pour la mobilisation des ressources</w:t>
      </w:r>
    </w:p>
    <w:p w14:paraId="503DE53B" w14:textId="77777777" w:rsidR="00DF2386" w:rsidRDefault="00DF2386" w:rsidP="007972E0">
      <w:pPr>
        <w:rPr>
          <w:rFonts w:ascii="Garamond" w:hAnsi="Garamond" w:cs="Arial"/>
        </w:rPr>
      </w:pPr>
    </w:p>
    <w:p w14:paraId="718FDF0C" w14:textId="77777777" w:rsidR="009E0AE8" w:rsidRPr="009B2CEE" w:rsidRDefault="000C2489" w:rsidP="007972E0">
      <w:pPr>
        <w:autoSpaceDE w:val="0"/>
        <w:autoSpaceDN w:val="0"/>
        <w:adjustRightInd w:val="0"/>
        <w:rPr>
          <w:rFonts w:asciiTheme="minorHAnsi" w:eastAsiaTheme="minorHAnsi" w:hAnsiTheme="minorHAnsi" w:cs="Calibri-Bold"/>
          <w:b/>
          <w:bCs/>
        </w:rPr>
      </w:pPr>
      <w:r>
        <w:rPr>
          <w:noProof/>
          <w:color w:val="2B579A"/>
          <w:shd w:val="clear" w:color="auto" w:fill="E6E6E6"/>
          <w:lang w:val="en-GB" w:eastAsia="en-GB"/>
        </w:rPr>
        <mc:AlternateContent>
          <mc:Choice Requires="wps">
            <w:drawing>
              <wp:inline distT="0" distB="0" distL="0" distR="0" wp14:anchorId="03E187D0" wp14:editId="7D3CCF8F">
                <wp:extent cx="5895975" cy="1104900"/>
                <wp:effectExtent l="0" t="0" r="2857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104900"/>
                        </a:xfrm>
                        <a:prstGeom prst="rect">
                          <a:avLst/>
                        </a:prstGeom>
                        <a:solidFill>
                          <a:srgbClr val="FFFFFF"/>
                        </a:solidFill>
                        <a:ln w="9525">
                          <a:solidFill>
                            <a:srgbClr val="000000"/>
                          </a:solidFill>
                          <a:miter lim="800000"/>
                          <a:headEnd/>
                          <a:tailEnd/>
                        </a:ln>
                      </wps:spPr>
                      <wps:txbx>
                        <w:txbxContent>
                          <w:p w14:paraId="7F6CA72D" w14:textId="77777777" w:rsidR="000C2489" w:rsidRDefault="000C2489" w:rsidP="000C2489">
                            <w:pPr>
                              <w:rPr>
                                <w:b/>
                                <w:bCs/>
                              </w:rPr>
                            </w:pPr>
                            <w:r>
                              <w:rPr>
                                <w:b/>
                              </w:rPr>
                              <w:t xml:space="preserve">Mesures requises : </w:t>
                            </w:r>
                          </w:p>
                          <w:p w14:paraId="065664C2" w14:textId="77777777" w:rsidR="000C2489" w:rsidRDefault="000C2489" w:rsidP="000C2489">
                            <w:pPr>
                              <w:pStyle w:val="ColorfulList-Accent11"/>
                              <w:ind w:left="0"/>
                            </w:pPr>
                          </w:p>
                          <w:p w14:paraId="3B64203F" w14:textId="18AC67C2" w:rsidR="00EC4519" w:rsidRPr="00C2411D" w:rsidRDefault="007972E0" w:rsidP="006305C5">
                            <w:pPr>
                              <w:pStyle w:val="ColorfulList-Accent11"/>
                              <w:ind w:left="0" w:firstLine="0"/>
                              <w:rPr>
                                <w:rFonts w:cs="Calibri"/>
                              </w:rPr>
                            </w:pPr>
                            <w:r>
                              <w:t>Le Comité permanent est invité à prendre note du plan de travail pour la mobilisation des ressources et à l’approuver, celui-ci reflétant les mises à jour apportées aux priorités</w:t>
                            </w:r>
                            <w:r w:rsidR="00720311" w:rsidRPr="00720311">
                              <w:t xml:space="preserve"> </w:t>
                            </w:r>
                            <w:r w:rsidR="00720311">
                              <w:t>approuvées pour 2023-2025 en matière</w:t>
                            </w:r>
                            <w:r>
                              <w:t xml:space="preserve"> de financement non administratif. </w:t>
                            </w:r>
                          </w:p>
                          <w:p w14:paraId="0B35EC74" w14:textId="77777777" w:rsidR="000C2489" w:rsidRDefault="000C2489" w:rsidP="00275F13">
                            <w:pPr>
                              <w:pStyle w:val="ColorfulList-Accent11"/>
                              <w:ind w:left="360"/>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3E187D0" id="_x0000_t202" coordsize="21600,21600" o:spt="202" path="m,l,21600r21600,l21600,xe">
                <v:stroke joinstyle="miter"/>
                <v:path gradientshapeok="t" o:connecttype="rect"/>
              </v:shapetype>
              <v:shape id="Text Box 1" o:spid="_x0000_s1026" type="#_x0000_t202" style="width:464.2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">
                <v:textbox>
                  <w:txbxContent>
                    <w:p w14:paraId="7F6CA72D" w14:textId="77777777" w:rsidR="000C2489" w:rsidRDefault="000C2489" w:rsidP="000C2489">
                      <w:pPr>
                        <w:rPr>
                          <w:b/>
                          <w:bCs/>
                        </w:rPr>
                      </w:pPr>
                      <w:r>
                        <w:rPr>
                          <w:b/>
                        </w:rPr>
                        <w:t xml:space="preserve">Mesures requises : </w:t>
                      </w:r>
                    </w:p>
                    <w:p w14:paraId="065664C2" w14:textId="77777777" w:rsidR="000C2489" w:rsidRDefault="000C2489" w:rsidP="000C2489">
                      <w:pPr>
                        <w:pStyle w:val="ColorfulList-Accent11"/>
                        <w:ind w:left="0"/>
                      </w:pPr>
                    </w:p>
                    <w:p w14:paraId="3B64203F" w14:textId="18AC67C2" w:rsidR="00EC4519" w:rsidRPr="00C2411D" w:rsidRDefault="007972E0" w:rsidP="006305C5">
                      <w:pPr>
                        <w:pStyle w:val="ColorfulList-Accent11"/>
                        <w:ind w:left="0" w:firstLine="0"/>
                        <w:rPr>
                          <w:rFonts w:cs="Calibri"/>
                        </w:rPr>
                      </w:pPr>
                      <w:r>
                        <w:t>Le Comité permanent est invité à prendre note du plan de travail pour la mobilisation des ressources et à l’approuver, celui-ci reflétant les mises à jour apportées aux priorités</w:t>
                      </w:r>
                      <w:r w:rsidR="00720311" w:rsidRPr="00720311">
                        <w:t xml:space="preserve"> </w:t>
                      </w:r>
                      <w:r w:rsidR="00720311">
                        <w:t>approuvées pour 2023-2025</w:t>
                      </w:r>
                      <w:r w:rsidR="00720311">
                        <w:t xml:space="preserve"> en matière</w:t>
                      </w:r>
                      <w:r>
                        <w:t xml:space="preserve"> de financement non administratif. </w:t>
                      </w:r>
                    </w:p>
                    <w:p w14:paraId="0B35EC74" w14:textId="77777777" w:rsidR="000C2489" w:rsidRDefault="000C2489" w:rsidP="00275F13">
                      <w:pPr>
                        <w:pStyle w:val="ColorfulList-Accent11"/>
                        <w:ind w:left="360"/>
                      </w:pPr>
                    </w:p>
                  </w:txbxContent>
                </v:textbox>
                <w10:anchorlock/>
              </v:shape>
            </w:pict>
          </mc:Fallback>
        </mc:AlternateContent>
      </w:r>
    </w:p>
    <w:p w14:paraId="376CCEAA" w14:textId="77777777" w:rsidR="00EC4519" w:rsidRDefault="00EC4519" w:rsidP="007972E0">
      <w:pPr>
        <w:rPr>
          <w:rFonts w:cs="Arial"/>
          <w:b/>
        </w:rPr>
      </w:pPr>
    </w:p>
    <w:p w14:paraId="64411A9C" w14:textId="77777777" w:rsidR="007972E0" w:rsidRDefault="007972E0" w:rsidP="007972E0">
      <w:pPr>
        <w:rPr>
          <w:rFonts w:cs="Arial"/>
          <w:b/>
        </w:rPr>
      </w:pPr>
    </w:p>
    <w:p w14:paraId="487AF683" w14:textId="3F30D295" w:rsidR="0098651C" w:rsidRDefault="00EC4519" w:rsidP="007972E0">
      <w:pPr>
        <w:rPr>
          <w:rFonts w:asciiTheme="minorHAnsi" w:eastAsiaTheme="minorHAnsi" w:hAnsiTheme="minorHAnsi" w:cstheme="minorHAnsi"/>
          <w:b/>
        </w:rPr>
      </w:pPr>
      <w:r>
        <w:rPr>
          <w:rFonts w:asciiTheme="minorHAnsi" w:hAnsiTheme="minorHAnsi"/>
          <w:b/>
        </w:rPr>
        <w:t>Introduction</w:t>
      </w:r>
    </w:p>
    <w:p w14:paraId="72EAF943" w14:textId="77777777" w:rsidR="007830E8" w:rsidRDefault="007830E8" w:rsidP="007972E0">
      <w:pPr>
        <w:rPr>
          <w:rFonts w:asciiTheme="minorHAnsi" w:eastAsiaTheme="minorHAnsi" w:hAnsiTheme="minorHAnsi" w:cstheme="minorHAnsi"/>
          <w:b/>
        </w:rPr>
      </w:pPr>
    </w:p>
    <w:p w14:paraId="2C7F56A6" w14:textId="136272C2" w:rsidR="00555BA9" w:rsidRPr="00073625" w:rsidRDefault="00073625" w:rsidP="00073625">
      <w:pPr>
        <w:ind w:left="426"/>
        <w:rPr>
          <w:rFonts w:asciiTheme="minorHAnsi" w:eastAsiaTheme="minorHAnsi" w:hAnsiTheme="minorHAnsi" w:cstheme="minorHAnsi"/>
        </w:rPr>
      </w:pPr>
      <w:r>
        <w:rPr>
          <w:rFonts w:asciiTheme="minorHAnsi" w:hAnsiTheme="minorHAnsi"/>
        </w:rPr>
        <w:t>1.</w:t>
      </w:r>
      <w:r>
        <w:rPr>
          <w:rFonts w:asciiTheme="minorHAnsi" w:hAnsiTheme="minorHAnsi"/>
        </w:rPr>
        <w:tab/>
        <w:t>Le plan de travail pour la mobilisation des ressources définit et oriente l’approche du Secrétariat en ce qui concerne l’obtention de financement</w:t>
      </w:r>
      <w:r w:rsidR="009D5BFC">
        <w:rPr>
          <w:rFonts w:asciiTheme="minorHAnsi" w:hAnsiTheme="minorHAnsi"/>
        </w:rPr>
        <w:t>s</w:t>
      </w:r>
      <w:r>
        <w:rPr>
          <w:rFonts w:asciiTheme="minorHAnsi" w:hAnsiTheme="minorHAnsi"/>
        </w:rPr>
        <w:t xml:space="preserve"> pour les activités prioritaires qui ne sont pas incluses dans le budget administratif. Il présente également les activités proposées pour faciliter la mobilisation des ressources pour les Parties contractantes aux niveaux local, national et régional, comme indiqué dans la Résolution XII.7, </w:t>
      </w:r>
      <w:r>
        <w:rPr>
          <w:rFonts w:asciiTheme="minorHAnsi" w:hAnsiTheme="minorHAnsi"/>
          <w:i/>
          <w:iCs/>
        </w:rPr>
        <w:t>Cadre de la Convention de Ramsar pour la mobilisation de ressources et les partenariats</w:t>
      </w:r>
      <w:r>
        <w:rPr>
          <w:rFonts w:asciiTheme="minorHAnsi" w:hAnsiTheme="minorHAnsi"/>
        </w:rPr>
        <w:t xml:space="preserve">.  </w:t>
      </w:r>
    </w:p>
    <w:p w14:paraId="46FF336B" w14:textId="001B25A2" w:rsidR="000B3626" w:rsidRPr="00073625" w:rsidRDefault="0032703B" w:rsidP="00073625">
      <w:pPr>
        <w:ind w:left="426"/>
        <w:rPr>
          <w:rFonts w:asciiTheme="minorHAnsi" w:eastAsiaTheme="minorHAnsi" w:hAnsiTheme="minorHAnsi" w:cstheme="minorHAnsi"/>
        </w:rPr>
      </w:pPr>
      <w:r>
        <w:rPr>
          <w:rFonts w:asciiTheme="minorHAnsi" w:hAnsiTheme="minorHAnsi"/>
        </w:rPr>
        <w:t xml:space="preserve"> </w:t>
      </w:r>
    </w:p>
    <w:p w14:paraId="4DEB33A1" w14:textId="34ED3C34" w:rsidR="004E4374" w:rsidRPr="00073625" w:rsidRDefault="00073625" w:rsidP="00073625">
      <w:pPr>
        <w:ind w:left="426"/>
        <w:rPr>
          <w:rFonts w:asciiTheme="minorHAnsi" w:eastAsiaTheme="minorHAnsi" w:hAnsiTheme="minorHAnsi" w:cstheme="minorHAnsi"/>
        </w:rPr>
      </w:pPr>
      <w:r>
        <w:rPr>
          <w:rFonts w:asciiTheme="minorHAnsi" w:hAnsiTheme="minorHAnsi"/>
        </w:rPr>
        <w:t>2.</w:t>
      </w:r>
      <w:r>
        <w:rPr>
          <w:rFonts w:asciiTheme="minorHAnsi" w:hAnsiTheme="minorHAnsi"/>
        </w:rPr>
        <w:tab/>
        <w:t>Le premier plan de travail pour la mobilisation des ressources élaboré par le Secrétariat a été présenté lors de la 57</w:t>
      </w:r>
      <w:r>
        <w:rPr>
          <w:rFonts w:asciiTheme="minorHAnsi" w:hAnsiTheme="minorHAnsi"/>
          <w:vertAlign w:val="superscript"/>
        </w:rPr>
        <w:t>e</w:t>
      </w:r>
      <w:r>
        <w:rPr>
          <w:rFonts w:asciiTheme="minorHAnsi" w:hAnsiTheme="minorHAnsi"/>
        </w:rPr>
        <w:t> </w:t>
      </w:r>
      <w:r w:rsidR="000847F3">
        <w:rPr>
          <w:rFonts w:asciiTheme="minorHAnsi" w:hAnsiTheme="minorHAnsi"/>
        </w:rPr>
        <w:t>r</w:t>
      </w:r>
      <w:r>
        <w:rPr>
          <w:rFonts w:asciiTheme="minorHAnsi" w:hAnsiTheme="minorHAnsi"/>
        </w:rPr>
        <w:t>éunion du Comité permanent (SC57) en 2019. Ce plan de travail, présenté dans le document SC5</w:t>
      </w:r>
      <w:r w:rsidR="00357218">
        <w:rPr>
          <w:rFonts w:asciiTheme="minorHAnsi" w:hAnsiTheme="minorHAnsi"/>
        </w:rPr>
        <w:t>7 Doc.19</w:t>
      </w:r>
      <w:r>
        <w:rPr>
          <w:rFonts w:asciiTheme="minorHAnsi" w:hAnsiTheme="minorHAnsi"/>
        </w:rPr>
        <w:t>, énonçait les objectifs en matière de mobilisation des ressources, les objectifs stratégiques</w:t>
      </w:r>
      <w:r w:rsidR="006A02A4">
        <w:rPr>
          <w:rFonts w:asciiTheme="minorHAnsi" w:hAnsiTheme="minorHAnsi"/>
        </w:rPr>
        <w:t>,</w:t>
      </w:r>
      <w:r>
        <w:rPr>
          <w:rFonts w:asciiTheme="minorHAnsi" w:hAnsiTheme="minorHAnsi"/>
        </w:rPr>
        <w:t xml:space="preserve"> ainsi que le calendrier d’application </w:t>
      </w:r>
      <w:r w:rsidR="000847F3">
        <w:rPr>
          <w:rFonts w:asciiTheme="minorHAnsi" w:hAnsiTheme="minorHAnsi"/>
        </w:rPr>
        <w:t xml:space="preserve">pour </w:t>
      </w:r>
      <w:r>
        <w:rPr>
          <w:rFonts w:asciiTheme="minorHAnsi" w:hAnsiTheme="minorHAnsi"/>
        </w:rPr>
        <w:t>l’obtention d’un financement non administratif pour les priorités approuvées par les Parties lors de la 13</w:t>
      </w:r>
      <w:r>
        <w:rPr>
          <w:rFonts w:asciiTheme="minorHAnsi" w:hAnsiTheme="minorHAnsi"/>
          <w:vertAlign w:val="superscript"/>
        </w:rPr>
        <w:t>e</w:t>
      </w:r>
      <w:r>
        <w:rPr>
          <w:rFonts w:asciiTheme="minorHAnsi" w:hAnsiTheme="minorHAnsi"/>
        </w:rPr>
        <w:t> </w:t>
      </w:r>
      <w:r w:rsidR="006A02A4">
        <w:rPr>
          <w:rFonts w:asciiTheme="minorHAnsi" w:hAnsiTheme="minorHAnsi"/>
        </w:rPr>
        <w:t>s</w:t>
      </w:r>
      <w:r>
        <w:rPr>
          <w:rFonts w:asciiTheme="minorHAnsi" w:hAnsiTheme="minorHAnsi"/>
        </w:rPr>
        <w:t>ession de la Conférence des Parties contractantes (COP13, 2018) pour la période triennale 2019-2021.</w:t>
      </w:r>
    </w:p>
    <w:p w14:paraId="2698E27F" w14:textId="22DB28D3" w:rsidR="00BB6EAC" w:rsidRPr="004E4374" w:rsidRDefault="00BB6EAC" w:rsidP="00073625">
      <w:pPr>
        <w:ind w:left="426"/>
        <w:rPr>
          <w:rFonts w:asciiTheme="minorHAnsi" w:eastAsiaTheme="minorHAnsi" w:hAnsiTheme="minorHAnsi" w:cstheme="minorHAnsi"/>
        </w:rPr>
      </w:pPr>
    </w:p>
    <w:p w14:paraId="25493617" w14:textId="544F1D06" w:rsidR="00B61DD1" w:rsidRDefault="00073625" w:rsidP="00073625">
      <w:pPr>
        <w:ind w:left="426"/>
        <w:rPr>
          <w:rFonts w:asciiTheme="minorHAnsi" w:eastAsiaTheme="minorHAnsi" w:hAnsiTheme="minorHAnsi" w:cstheme="minorHAnsi"/>
        </w:rPr>
      </w:pPr>
      <w:r>
        <w:rPr>
          <w:rFonts w:asciiTheme="minorHAnsi" w:hAnsiTheme="minorHAnsi"/>
        </w:rPr>
        <w:t>3.</w:t>
      </w:r>
      <w:r>
        <w:rPr>
          <w:rFonts w:asciiTheme="minorHAnsi" w:hAnsiTheme="minorHAnsi"/>
        </w:rPr>
        <w:tab/>
        <w:t xml:space="preserve">La Résolution XIV.1, </w:t>
      </w:r>
      <w:r>
        <w:rPr>
          <w:rFonts w:asciiTheme="minorHAnsi" w:hAnsiTheme="minorHAnsi"/>
          <w:i/>
        </w:rPr>
        <w:t>Questions financières et budgétaires</w:t>
      </w:r>
      <w:r>
        <w:rPr>
          <w:rFonts w:asciiTheme="minorHAnsi" w:hAnsiTheme="minorHAnsi"/>
        </w:rPr>
        <w:t xml:space="preserve">, demande au Secrétariat de mettre à jour le plan de travail pour la mobilisation des ressources afin de tenir compte des priorités identifiées par les Parties contractantes </w:t>
      </w:r>
      <w:r w:rsidR="006A02A4">
        <w:rPr>
          <w:rFonts w:asciiTheme="minorHAnsi" w:hAnsiTheme="minorHAnsi"/>
        </w:rPr>
        <w:t>lors de</w:t>
      </w:r>
      <w:r>
        <w:rPr>
          <w:rFonts w:asciiTheme="minorHAnsi" w:hAnsiTheme="minorHAnsi"/>
        </w:rPr>
        <w:t xml:space="preserve"> la COP14 et de le communiquer</w:t>
      </w:r>
      <w:r w:rsidR="006A02A4">
        <w:rPr>
          <w:rFonts w:asciiTheme="minorHAnsi" w:hAnsiTheme="minorHAnsi"/>
        </w:rPr>
        <w:t xml:space="preserve"> au Comité permanent</w:t>
      </w:r>
      <w:r>
        <w:rPr>
          <w:rFonts w:asciiTheme="minorHAnsi" w:hAnsiTheme="minorHAnsi"/>
        </w:rPr>
        <w:t xml:space="preserve"> pour examen</w:t>
      </w:r>
      <w:r w:rsidR="006A02A4">
        <w:rPr>
          <w:rFonts w:asciiTheme="minorHAnsi" w:hAnsiTheme="minorHAnsi"/>
        </w:rPr>
        <w:t xml:space="preserve"> lors de</w:t>
      </w:r>
      <w:r>
        <w:rPr>
          <w:rFonts w:asciiTheme="minorHAnsi" w:hAnsiTheme="minorHAnsi"/>
        </w:rPr>
        <w:t xml:space="preserve"> sa 62</w:t>
      </w:r>
      <w:r>
        <w:rPr>
          <w:rFonts w:asciiTheme="minorHAnsi" w:hAnsiTheme="minorHAnsi"/>
          <w:vertAlign w:val="superscript"/>
        </w:rPr>
        <w:t>e</w:t>
      </w:r>
      <w:r>
        <w:rPr>
          <w:rFonts w:asciiTheme="minorHAnsi" w:hAnsiTheme="minorHAnsi"/>
        </w:rPr>
        <w:t> </w:t>
      </w:r>
      <w:r w:rsidR="006D183D">
        <w:rPr>
          <w:rFonts w:asciiTheme="minorHAnsi" w:hAnsiTheme="minorHAnsi"/>
        </w:rPr>
        <w:t>r</w:t>
      </w:r>
      <w:r>
        <w:rPr>
          <w:rFonts w:asciiTheme="minorHAnsi" w:hAnsiTheme="minorHAnsi"/>
        </w:rPr>
        <w:t>éunion. Les objectifs et les objectifs stratégiques précédemment détaillés dans le document SC5</w:t>
      </w:r>
      <w:r w:rsidR="00357218">
        <w:rPr>
          <w:rFonts w:asciiTheme="minorHAnsi" w:hAnsiTheme="minorHAnsi"/>
        </w:rPr>
        <w:t>7 Doc.19</w:t>
      </w:r>
      <w:r w:rsidR="00C35FF5">
        <w:rPr>
          <w:rStyle w:val="FootnoteReference"/>
          <w:rFonts w:asciiTheme="minorHAnsi" w:eastAsiaTheme="minorHAnsi" w:hAnsiTheme="minorHAnsi" w:cstheme="minorHAnsi"/>
        </w:rPr>
        <w:footnoteReference w:id="1"/>
      </w:r>
      <w:r>
        <w:rPr>
          <w:rFonts w:asciiTheme="minorHAnsi" w:hAnsiTheme="minorHAnsi"/>
        </w:rPr>
        <w:t xml:space="preserve"> restent d’actualité et continueront à guider la mise en œuvre du plan de travail actualisé.</w:t>
      </w:r>
    </w:p>
    <w:p w14:paraId="0522ABD3" w14:textId="77777777" w:rsidR="00073625" w:rsidRPr="00B61DD1" w:rsidRDefault="00073625" w:rsidP="00073625">
      <w:pPr>
        <w:ind w:left="426"/>
        <w:rPr>
          <w:rFonts w:asciiTheme="minorHAnsi" w:eastAsiaTheme="minorHAnsi" w:hAnsiTheme="minorHAnsi" w:cstheme="minorHAnsi"/>
        </w:rPr>
      </w:pPr>
    </w:p>
    <w:p w14:paraId="0DC3ED25" w14:textId="55B8C22E" w:rsidR="00717A5F" w:rsidRDefault="00073625" w:rsidP="00073625">
      <w:pPr>
        <w:ind w:left="426"/>
        <w:rPr>
          <w:rFonts w:asciiTheme="minorHAnsi" w:eastAsiaTheme="minorHAnsi" w:hAnsiTheme="minorHAnsi" w:cstheme="minorHAnsi"/>
        </w:rPr>
      </w:pPr>
      <w:r>
        <w:rPr>
          <w:rFonts w:asciiTheme="minorHAnsi" w:hAnsiTheme="minorHAnsi"/>
        </w:rPr>
        <w:t>4.</w:t>
      </w:r>
      <w:r>
        <w:rPr>
          <w:rFonts w:asciiTheme="minorHAnsi" w:hAnsiTheme="minorHAnsi"/>
        </w:rPr>
        <w:tab/>
        <w:t xml:space="preserve">Ce plan de travail est joint en annexe 1 et présente la liste actualisée des priorités en matière de financement non administratif pour 2023-2025, </w:t>
      </w:r>
      <w:r w:rsidR="006A02A4">
        <w:rPr>
          <w:rFonts w:asciiTheme="minorHAnsi" w:hAnsiTheme="minorHAnsi"/>
        </w:rPr>
        <w:t xml:space="preserve">qui sont </w:t>
      </w:r>
      <w:r>
        <w:rPr>
          <w:rFonts w:asciiTheme="minorHAnsi" w:hAnsiTheme="minorHAnsi"/>
        </w:rPr>
        <w:t xml:space="preserve">énumérées en annexe 4 de la Résolution XIV.1, ainsi que le calendrier d’application révisé pour la période triennale 2023-2025. L’annexe 2 </w:t>
      </w:r>
      <w:r w:rsidR="006A02A4">
        <w:rPr>
          <w:rFonts w:asciiTheme="minorHAnsi" w:hAnsiTheme="minorHAnsi"/>
        </w:rPr>
        <w:t>présente</w:t>
      </w:r>
      <w:r>
        <w:rPr>
          <w:rFonts w:asciiTheme="minorHAnsi" w:hAnsiTheme="minorHAnsi"/>
        </w:rPr>
        <w:t xml:space="preserve"> en outre les activités que le Secrétariat mènera pour faciliter les activités de mobilisation des ressources des Parties contractantes.</w:t>
      </w:r>
    </w:p>
    <w:p w14:paraId="0DCBB4D1" w14:textId="77777777" w:rsidR="00073625" w:rsidRPr="00717A5F" w:rsidRDefault="00073625" w:rsidP="00073625">
      <w:pPr>
        <w:ind w:left="426"/>
        <w:rPr>
          <w:rFonts w:asciiTheme="minorHAnsi" w:eastAsiaTheme="minorHAnsi" w:hAnsiTheme="minorHAnsi" w:cstheme="minorHAnsi"/>
        </w:rPr>
      </w:pPr>
    </w:p>
    <w:p w14:paraId="2A1C9F22" w14:textId="6967C5B5" w:rsidR="00542391" w:rsidRDefault="00073625" w:rsidP="00073625">
      <w:pPr>
        <w:ind w:left="426"/>
      </w:pPr>
      <w:r>
        <w:lastRenderedPageBreak/>
        <w:t>5.</w:t>
      </w:r>
      <w:r>
        <w:tab/>
        <w:t xml:space="preserve">La mise en œuvre de ce plan de travail passera par la sensibilisation des Parties contractantes, des organismes bailleurs de fonds bilatéraux, des organismes bailleurs de fonds multilatéraux, du secteur privé et des fondations, ainsi que par la mise en place de collaborations et de partenariats stratégiques pertinents. Une évaluation des sources de financement des priorités non administratives pour la période triennale 2019-2021 a montré que 76 % des contributions volontaires reçues provenaient d’organismes gouvernementaux, alors que 14 % provenaient du secteur privé et 10 % de fondations. </w:t>
      </w:r>
    </w:p>
    <w:p w14:paraId="2711A2E9" w14:textId="77777777" w:rsidR="00542391" w:rsidRDefault="00542391" w:rsidP="00073625">
      <w:pPr>
        <w:ind w:left="426"/>
      </w:pPr>
    </w:p>
    <w:p w14:paraId="66F2B230" w14:textId="2D41E27C" w:rsidR="007772E6" w:rsidRDefault="00073625" w:rsidP="00073625">
      <w:pPr>
        <w:ind w:left="426"/>
      </w:pPr>
      <w:r>
        <w:t>6.</w:t>
      </w:r>
      <w:r>
        <w:tab/>
        <w:t>Une approche à l’échelle d</w:t>
      </w:r>
      <w:r w:rsidR="006A02A4">
        <w:t>e l’ensemble d</w:t>
      </w:r>
      <w:r>
        <w:t xml:space="preserve">u Secrétariat </w:t>
      </w:r>
      <w:r w:rsidR="006A02A4">
        <w:t>pour la</w:t>
      </w:r>
      <w:r>
        <w:t xml:space="preserve"> mobilisation des ressources (telle qu’approuvée dans la décision SC52-23), dans le cadre de laquelle le responsable de la mobilisation des ressources et d’autres hauts responsables du Secrétariat se chargent de la collecte de fonds pour les priorités non administratives, contribuera en outre à la mise en œuvre du plan de travail ainsi qu’à la réalisation des objectifs stratégiques et des objectifs de mobilisation des ressources. </w:t>
      </w:r>
    </w:p>
    <w:p w14:paraId="07AABBE0" w14:textId="77777777" w:rsidR="007772E6" w:rsidRDefault="007772E6" w:rsidP="00073625">
      <w:pPr>
        <w:ind w:left="426"/>
      </w:pPr>
    </w:p>
    <w:p w14:paraId="53F88B6A" w14:textId="5FC4A416" w:rsidR="007463CA" w:rsidRPr="00073625" w:rsidRDefault="00073625" w:rsidP="00073625">
      <w:pPr>
        <w:ind w:left="426"/>
        <w:rPr>
          <w:rFonts w:asciiTheme="minorHAnsi" w:eastAsiaTheme="minorEastAsia" w:hAnsiTheme="minorHAnsi" w:cstheme="minorBidi"/>
        </w:rPr>
        <w:sectPr w:rsidR="007463CA" w:rsidRPr="00073625" w:rsidSect="002137E0">
          <w:footerReference w:type="default" r:id="rId11"/>
          <w:pgSz w:w="11906" w:h="16838"/>
          <w:pgMar w:top="1440" w:right="1440" w:bottom="1440" w:left="1440" w:header="709" w:footer="709" w:gutter="0"/>
          <w:cols w:space="708"/>
          <w:titlePg/>
          <w:docGrid w:linePitch="360"/>
        </w:sectPr>
      </w:pPr>
      <w:r>
        <w:t>7.</w:t>
      </w:r>
      <w:r>
        <w:tab/>
        <w:t>Afin d</w:t>
      </w:r>
      <w:r w:rsidR="006A02A4">
        <w:t xml:space="preserve">’assurer une mise </w:t>
      </w:r>
      <w:r>
        <w:t>en œuvre efficace</w:t>
      </w:r>
      <w:r w:rsidR="006A02A4">
        <w:t xml:space="preserve"> de</w:t>
      </w:r>
      <w:r>
        <w:t xml:space="preserve"> cette approche à l’échelle d</w:t>
      </w:r>
      <w:r w:rsidR="006A02A4">
        <w:t>e l’ensemble d</w:t>
      </w:r>
      <w:r>
        <w:t xml:space="preserve">u Secrétariat </w:t>
      </w:r>
      <w:r w:rsidR="006A02A4">
        <w:t>pour la</w:t>
      </w:r>
      <w:r>
        <w:t xml:space="preserve"> mobilisation des ressources, un atelier a été organisé dans le cadre de l’atelier annuel 2023 de planification du travail, qui s’est tenu du 6 au 9 mars 2023. Tous les membres du personnel impliqués dans la recherche de financements étaient présents et ont contribué </w:t>
      </w:r>
      <w:r w:rsidR="006A02A4">
        <w:t xml:space="preserve">aux </w:t>
      </w:r>
      <w:r>
        <w:t>discussion</w:t>
      </w:r>
      <w:r w:rsidR="006A02A4">
        <w:t>s</w:t>
      </w:r>
      <w:r>
        <w:t xml:space="preserve"> visant à renforcer les objectifs de collecte de fonds et de mobilisation de ressources du Secrétariat.</w:t>
      </w:r>
    </w:p>
    <w:p w14:paraId="01093761" w14:textId="775A8377" w:rsidR="009B2CEE" w:rsidRPr="00EB68CB" w:rsidRDefault="00EB68CB" w:rsidP="00FF7846">
      <w:pPr>
        <w:ind w:left="0" w:firstLine="0"/>
        <w:contextualSpacing/>
        <w:rPr>
          <w:rFonts w:asciiTheme="minorHAnsi" w:eastAsiaTheme="minorHAnsi" w:hAnsiTheme="minorHAnsi" w:cstheme="minorHAnsi"/>
          <w:b/>
          <w:sz w:val="24"/>
          <w:szCs w:val="24"/>
        </w:rPr>
      </w:pPr>
      <w:r>
        <w:rPr>
          <w:rFonts w:asciiTheme="minorHAnsi" w:hAnsiTheme="minorHAnsi"/>
          <w:b/>
          <w:sz w:val="24"/>
        </w:rPr>
        <w:lastRenderedPageBreak/>
        <w:t>Annexe 1</w:t>
      </w:r>
    </w:p>
    <w:p w14:paraId="0B060649" w14:textId="7DCC66B0" w:rsidR="00230310" w:rsidRDefault="00EB68CB" w:rsidP="1CA1DDE8">
      <w:pPr>
        <w:contextualSpacing/>
        <w:rPr>
          <w:rFonts w:asciiTheme="minorHAnsi" w:eastAsiaTheme="minorEastAsia" w:hAnsiTheme="minorHAnsi" w:cstheme="minorBidi"/>
        </w:rPr>
      </w:pPr>
      <w:r>
        <w:rPr>
          <w:rFonts w:asciiTheme="minorHAnsi" w:hAnsiTheme="minorHAnsi"/>
          <w:b/>
          <w:sz w:val="24"/>
        </w:rPr>
        <w:t xml:space="preserve">Calendrier d’application du plan de travail : </w:t>
      </w:r>
      <w:r w:rsidR="00CF5B44">
        <w:rPr>
          <w:rFonts w:asciiTheme="minorHAnsi" w:hAnsiTheme="minorHAnsi"/>
          <w:b/>
          <w:sz w:val="24"/>
        </w:rPr>
        <w:t>l</w:t>
      </w:r>
      <w:r>
        <w:rPr>
          <w:rFonts w:asciiTheme="minorHAnsi" w:hAnsiTheme="minorHAnsi"/>
          <w:b/>
          <w:sz w:val="24"/>
        </w:rPr>
        <w:t>iste des priorités en matière de financement non administratif pour 2023-2025</w:t>
      </w:r>
    </w:p>
    <w:p w14:paraId="1118CE87" w14:textId="2B331EE8" w:rsidR="00CA439F" w:rsidRDefault="00CA439F" w:rsidP="007972E0">
      <w:pPr>
        <w:contextualSpacing/>
        <w:rPr>
          <w:rFonts w:asciiTheme="minorHAnsi" w:eastAsiaTheme="minorHAnsi" w:hAnsiTheme="minorHAnsi" w:cstheme="minorHAnsi"/>
        </w:rPr>
      </w:pPr>
    </w:p>
    <w:p w14:paraId="633567F2" w14:textId="77777777" w:rsidR="00073625" w:rsidRPr="0006198A" w:rsidRDefault="00073625" w:rsidP="007972E0">
      <w:pPr>
        <w:contextualSpacing/>
        <w:rPr>
          <w:rFonts w:asciiTheme="minorHAnsi" w:eastAsiaTheme="minorHAnsi" w:hAnsiTheme="minorHAnsi" w:cstheme="minorHAnsi"/>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562"/>
        <w:gridCol w:w="1700"/>
        <w:gridCol w:w="2270"/>
        <w:gridCol w:w="1274"/>
        <w:gridCol w:w="3117"/>
        <w:gridCol w:w="2553"/>
        <w:gridCol w:w="2553"/>
      </w:tblGrid>
      <w:tr w:rsidR="00E66205" w:rsidRPr="004C143B" w14:paraId="5961225C" w14:textId="77777777" w:rsidTr="00BE3A3F">
        <w:trPr>
          <w:cantSplit/>
          <w:tblHeader/>
        </w:trPr>
        <w:tc>
          <w:tcPr>
            <w:tcW w:w="200" w:type="pct"/>
            <w:shd w:val="clear" w:color="auto" w:fill="B4C6E7"/>
            <w:vAlign w:val="center"/>
          </w:tcPr>
          <w:p w14:paraId="64216259" w14:textId="77777777" w:rsidR="00FF7846" w:rsidRPr="004C143B" w:rsidRDefault="00FF7846" w:rsidP="00BE3A3F">
            <w:pPr>
              <w:ind w:left="0" w:firstLine="0"/>
              <w:jc w:val="center"/>
              <w:rPr>
                <w:rFonts w:asciiTheme="minorHAnsi" w:eastAsia="Times New Roman" w:hAnsiTheme="minorHAnsi" w:cstheme="minorHAnsi"/>
                <w:b/>
                <w:bCs/>
                <w:color w:val="000000"/>
                <w:lang w:eastAsia="en-GB"/>
              </w:rPr>
            </w:pPr>
          </w:p>
        </w:tc>
        <w:tc>
          <w:tcPr>
            <w:tcW w:w="606" w:type="pct"/>
            <w:shd w:val="clear" w:color="auto" w:fill="B4C6E7"/>
            <w:noWrap/>
            <w:vAlign w:val="center"/>
            <w:hideMark/>
          </w:tcPr>
          <w:p w14:paraId="74E4B1B4" w14:textId="7908DD5E" w:rsidR="00FF7846" w:rsidRPr="004C143B" w:rsidRDefault="00FF7846" w:rsidP="00BE3A3F">
            <w:pPr>
              <w:ind w:left="0" w:firstLine="0"/>
              <w:jc w:val="center"/>
              <w:rPr>
                <w:rFonts w:asciiTheme="minorHAnsi" w:eastAsia="Times New Roman" w:hAnsiTheme="minorHAnsi" w:cstheme="minorHAnsi"/>
                <w:b/>
                <w:bCs/>
                <w:color w:val="000000"/>
              </w:rPr>
            </w:pPr>
            <w:r>
              <w:rPr>
                <w:rFonts w:asciiTheme="minorHAnsi" w:hAnsiTheme="minorHAnsi"/>
                <w:b/>
                <w:color w:val="000000"/>
              </w:rPr>
              <w:t>Postes non administratifs prioritaires</w:t>
            </w:r>
          </w:p>
        </w:tc>
        <w:tc>
          <w:tcPr>
            <w:tcW w:w="809" w:type="pct"/>
            <w:shd w:val="clear" w:color="auto" w:fill="B4C6E7"/>
            <w:vAlign w:val="center"/>
          </w:tcPr>
          <w:p w14:paraId="77D671F9" w14:textId="72053615" w:rsidR="00FF7846" w:rsidRPr="004C143B" w:rsidRDefault="00FF7846" w:rsidP="00BE3A3F">
            <w:pPr>
              <w:ind w:left="0" w:firstLine="0"/>
              <w:jc w:val="center"/>
              <w:rPr>
                <w:rFonts w:asciiTheme="minorHAnsi" w:eastAsia="Times New Roman" w:hAnsiTheme="minorHAnsi" w:cstheme="minorHAnsi"/>
                <w:b/>
                <w:bCs/>
                <w:color w:val="000000"/>
              </w:rPr>
            </w:pPr>
            <w:r>
              <w:rPr>
                <w:rFonts w:asciiTheme="minorHAnsi" w:hAnsiTheme="minorHAnsi"/>
                <w:b/>
                <w:color w:val="000000"/>
              </w:rPr>
              <w:t>Brève description</w:t>
            </w:r>
          </w:p>
        </w:tc>
        <w:tc>
          <w:tcPr>
            <w:tcW w:w="454" w:type="pct"/>
            <w:shd w:val="clear" w:color="auto" w:fill="B4C6E7"/>
            <w:noWrap/>
            <w:vAlign w:val="center"/>
          </w:tcPr>
          <w:p w14:paraId="10AAD748" w14:textId="5FEB946E" w:rsidR="00FF7846" w:rsidRPr="004C143B" w:rsidRDefault="00820624" w:rsidP="00BE3A3F">
            <w:pPr>
              <w:ind w:left="0" w:firstLine="0"/>
              <w:jc w:val="center"/>
              <w:rPr>
                <w:rFonts w:asciiTheme="minorHAnsi" w:eastAsia="Times New Roman" w:hAnsiTheme="minorHAnsi" w:cstheme="minorHAnsi"/>
                <w:b/>
                <w:bCs/>
                <w:color w:val="000000"/>
              </w:rPr>
            </w:pPr>
            <w:r>
              <w:rPr>
                <w:rFonts w:asciiTheme="minorHAnsi" w:hAnsiTheme="minorHAnsi"/>
                <w:b/>
                <w:color w:val="000000"/>
              </w:rPr>
              <w:t>Montant (CHF)</w:t>
            </w:r>
          </w:p>
        </w:tc>
        <w:tc>
          <w:tcPr>
            <w:tcW w:w="1111" w:type="pct"/>
            <w:shd w:val="clear" w:color="auto" w:fill="B4C6E7"/>
            <w:vAlign w:val="center"/>
          </w:tcPr>
          <w:p w14:paraId="6BA5ADE1" w14:textId="56F19AAE" w:rsidR="00FF7846" w:rsidRPr="004C143B" w:rsidRDefault="00FF7846" w:rsidP="00BE3A3F">
            <w:pPr>
              <w:ind w:left="0" w:firstLine="0"/>
              <w:jc w:val="center"/>
              <w:rPr>
                <w:rFonts w:asciiTheme="minorHAnsi" w:eastAsia="Times New Roman" w:hAnsiTheme="minorHAnsi" w:cstheme="minorHAnsi"/>
                <w:b/>
                <w:bCs/>
                <w:color w:val="000000"/>
              </w:rPr>
            </w:pPr>
            <w:r>
              <w:rPr>
                <w:rFonts w:asciiTheme="minorHAnsi" w:hAnsiTheme="minorHAnsi"/>
                <w:b/>
                <w:color w:val="000000"/>
              </w:rPr>
              <w:t>2023</w:t>
            </w:r>
          </w:p>
        </w:tc>
        <w:tc>
          <w:tcPr>
            <w:tcW w:w="910" w:type="pct"/>
            <w:shd w:val="clear" w:color="auto" w:fill="B4C6E7"/>
            <w:noWrap/>
            <w:vAlign w:val="center"/>
          </w:tcPr>
          <w:p w14:paraId="0511A8BF" w14:textId="6DFF0668" w:rsidR="00FF7846" w:rsidRPr="004C143B" w:rsidRDefault="00FF7846" w:rsidP="00BE3A3F">
            <w:pPr>
              <w:ind w:left="0" w:firstLine="0"/>
              <w:jc w:val="center"/>
              <w:rPr>
                <w:rFonts w:asciiTheme="minorHAnsi" w:eastAsia="Times New Roman" w:hAnsiTheme="minorHAnsi" w:cstheme="minorHAnsi"/>
                <w:b/>
                <w:bCs/>
                <w:color w:val="000000"/>
              </w:rPr>
            </w:pPr>
            <w:r>
              <w:rPr>
                <w:rFonts w:asciiTheme="minorHAnsi" w:hAnsiTheme="minorHAnsi"/>
                <w:b/>
                <w:color w:val="000000"/>
              </w:rPr>
              <w:t>2024</w:t>
            </w:r>
          </w:p>
        </w:tc>
        <w:tc>
          <w:tcPr>
            <w:tcW w:w="910" w:type="pct"/>
            <w:shd w:val="clear" w:color="auto" w:fill="B4C6E7"/>
            <w:noWrap/>
            <w:vAlign w:val="center"/>
            <w:hideMark/>
          </w:tcPr>
          <w:p w14:paraId="118354B9" w14:textId="3F810427" w:rsidR="00FF7846" w:rsidRPr="004C143B" w:rsidRDefault="00FF7846" w:rsidP="00BE3A3F">
            <w:pPr>
              <w:ind w:left="0" w:firstLine="0"/>
              <w:jc w:val="center"/>
              <w:rPr>
                <w:rFonts w:asciiTheme="minorHAnsi" w:eastAsia="Times New Roman" w:hAnsiTheme="minorHAnsi" w:cstheme="minorHAnsi"/>
                <w:b/>
                <w:bCs/>
                <w:color w:val="000000"/>
              </w:rPr>
            </w:pPr>
            <w:r>
              <w:rPr>
                <w:rFonts w:asciiTheme="minorHAnsi" w:hAnsiTheme="minorHAnsi"/>
                <w:b/>
                <w:color w:val="000000"/>
              </w:rPr>
              <w:t>2025</w:t>
            </w:r>
          </w:p>
        </w:tc>
      </w:tr>
      <w:tr w:rsidR="00E66205" w:rsidRPr="004C143B" w14:paraId="0762F194" w14:textId="77777777" w:rsidTr="004C143B">
        <w:trPr>
          <w:cantSplit/>
        </w:trPr>
        <w:tc>
          <w:tcPr>
            <w:tcW w:w="200" w:type="pct"/>
          </w:tcPr>
          <w:p w14:paraId="61A413E0" w14:textId="6BAA3931" w:rsidR="00FF7846" w:rsidRPr="004C143B" w:rsidRDefault="00FF7846" w:rsidP="004C143B">
            <w:pPr>
              <w:pStyle w:val="ListParagraph"/>
              <w:numPr>
                <w:ilvl w:val="0"/>
                <w:numId w:val="45"/>
              </w:numPr>
              <w:ind w:left="0" w:firstLine="0"/>
              <w:rPr>
                <w:rFonts w:asciiTheme="minorHAnsi" w:eastAsia="Times New Roman" w:hAnsiTheme="minorHAnsi" w:cstheme="minorHAnsi"/>
                <w:b/>
                <w:bCs/>
                <w:color w:val="000000"/>
                <w:lang w:eastAsia="en-GB"/>
              </w:rPr>
            </w:pPr>
          </w:p>
        </w:tc>
        <w:tc>
          <w:tcPr>
            <w:tcW w:w="606" w:type="pct"/>
            <w:shd w:val="clear" w:color="auto" w:fill="auto"/>
            <w:noWrap/>
            <w:hideMark/>
          </w:tcPr>
          <w:p w14:paraId="7E6FF95C" w14:textId="1EB35A83" w:rsidR="00FF7846" w:rsidRPr="004C143B" w:rsidRDefault="00FF7846" w:rsidP="00EB68CB">
            <w:pPr>
              <w:ind w:left="0" w:firstLine="0"/>
              <w:rPr>
                <w:rFonts w:asciiTheme="minorHAnsi" w:eastAsia="Times New Roman" w:hAnsiTheme="minorHAnsi" w:cstheme="minorHAnsi"/>
                <w:color w:val="000000"/>
              </w:rPr>
            </w:pPr>
            <w:r>
              <w:rPr>
                <w:rFonts w:asciiTheme="minorHAnsi" w:hAnsiTheme="minorHAnsi"/>
                <w:color w:val="000000"/>
              </w:rPr>
              <w:t xml:space="preserve">Missions consultatives Ramsar </w:t>
            </w:r>
          </w:p>
        </w:tc>
        <w:tc>
          <w:tcPr>
            <w:tcW w:w="809" w:type="pct"/>
          </w:tcPr>
          <w:p w14:paraId="11564953" w14:textId="7A6CA8A6" w:rsidR="00FF7846" w:rsidRPr="004C143B" w:rsidRDefault="49AFEA9B" w:rsidP="36DAF3CC">
            <w:pPr>
              <w:ind w:left="0" w:firstLine="0"/>
              <w:rPr>
                <w:rFonts w:asciiTheme="minorHAnsi" w:eastAsia="Times New Roman" w:hAnsiTheme="minorHAnsi" w:cstheme="minorHAnsi"/>
                <w:color w:val="000000" w:themeColor="text1"/>
              </w:rPr>
            </w:pPr>
            <w:r>
              <w:rPr>
                <w:rFonts w:asciiTheme="minorHAnsi" w:hAnsiTheme="minorHAnsi"/>
                <w:color w:val="000000" w:themeColor="text1"/>
              </w:rPr>
              <w:t>Faciliter la réalisation des MCR dans les pays qui en font la demande.</w:t>
            </w:r>
          </w:p>
          <w:p w14:paraId="062D2DD5" w14:textId="4E54DCC2" w:rsidR="00FF7846" w:rsidRPr="004C143B" w:rsidRDefault="00FF7846" w:rsidP="36DAF3CC">
            <w:pPr>
              <w:ind w:left="0" w:firstLine="0"/>
              <w:rPr>
                <w:rFonts w:asciiTheme="minorHAnsi" w:eastAsia="Times New Roman" w:hAnsiTheme="minorHAnsi" w:cstheme="minorHAnsi"/>
                <w:color w:val="000000"/>
                <w:lang w:eastAsia="en-GB"/>
              </w:rPr>
            </w:pPr>
          </w:p>
        </w:tc>
        <w:tc>
          <w:tcPr>
            <w:tcW w:w="454" w:type="pct"/>
            <w:shd w:val="clear" w:color="auto" w:fill="auto"/>
            <w:noWrap/>
            <w:hideMark/>
          </w:tcPr>
          <w:p w14:paraId="1E38B853" w14:textId="6EDC2C83" w:rsidR="00FF7846" w:rsidRPr="004C143B" w:rsidRDefault="00FF7846" w:rsidP="00FF7846">
            <w:pPr>
              <w:ind w:left="0" w:firstLine="0"/>
              <w:jc w:val="center"/>
              <w:rPr>
                <w:rFonts w:asciiTheme="minorHAnsi" w:eastAsia="Times New Roman" w:hAnsiTheme="minorHAnsi" w:cstheme="minorHAnsi"/>
                <w:color w:val="000000"/>
              </w:rPr>
            </w:pPr>
            <w:r>
              <w:rPr>
                <w:rFonts w:asciiTheme="minorHAnsi" w:hAnsiTheme="minorHAnsi"/>
                <w:color w:val="000000"/>
              </w:rPr>
              <w:t>225 000</w:t>
            </w:r>
          </w:p>
          <w:p w14:paraId="276C5B51" w14:textId="5661725A" w:rsidR="00FF7846" w:rsidRPr="004C143B" w:rsidRDefault="00FF7846" w:rsidP="00FF7846">
            <w:pPr>
              <w:ind w:left="0" w:firstLine="0"/>
              <w:jc w:val="center"/>
              <w:rPr>
                <w:rFonts w:asciiTheme="minorHAnsi" w:eastAsia="Times New Roman" w:hAnsiTheme="minorHAnsi" w:cstheme="minorHAnsi"/>
                <w:color w:val="000000"/>
                <w:lang w:eastAsia="en-GB"/>
              </w:rPr>
            </w:pPr>
          </w:p>
        </w:tc>
        <w:tc>
          <w:tcPr>
            <w:tcW w:w="1111" w:type="pct"/>
          </w:tcPr>
          <w:p w14:paraId="3E83D1FC" w14:textId="2217E7AC" w:rsidR="70100E02" w:rsidRPr="004C143B" w:rsidRDefault="7068859A" w:rsidP="2718667C">
            <w:pPr>
              <w:pStyle w:val="ListParagraph"/>
              <w:numPr>
                <w:ilvl w:val="0"/>
                <w:numId w:val="36"/>
              </w:numPr>
              <w:rPr>
                <w:rFonts w:asciiTheme="minorHAnsi" w:eastAsia="Times New Roman" w:hAnsiTheme="minorHAnsi" w:cstheme="minorHAnsi"/>
                <w:color w:val="000000" w:themeColor="text1"/>
              </w:rPr>
            </w:pPr>
            <w:r>
              <w:rPr>
                <w:rFonts w:asciiTheme="minorHAnsi" w:hAnsiTheme="minorHAnsi"/>
                <w:color w:val="000000" w:themeColor="text1"/>
              </w:rPr>
              <w:t>Dresser la liste des MCR.</w:t>
            </w:r>
          </w:p>
          <w:p w14:paraId="5144097A" w14:textId="539C0D22" w:rsidR="00FF7846" w:rsidRPr="004C143B" w:rsidRDefault="70100E02" w:rsidP="2718667C">
            <w:pPr>
              <w:pStyle w:val="ListParagraph"/>
              <w:numPr>
                <w:ilvl w:val="0"/>
                <w:numId w:val="36"/>
              </w:numPr>
              <w:rPr>
                <w:rFonts w:asciiTheme="minorHAnsi" w:eastAsia="Times New Roman" w:hAnsiTheme="minorHAnsi" w:cstheme="minorHAnsi"/>
                <w:color w:val="000000"/>
              </w:rPr>
            </w:pPr>
            <w:r>
              <w:rPr>
                <w:rFonts w:asciiTheme="minorHAnsi" w:hAnsiTheme="minorHAnsi"/>
                <w:color w:val="000000" w:themeColor="text1"/>
              </w:rPr>
              <w:t xml:space="preserve">Faire l’état des lieux des bailleurs de fonds. </w:t>
            </w:r>
          </w:p>
          <w:p w14:paraId="3E1311FB" w14:textId="77777777" w:rsidR="00CF5B44" w:rsidRPr="00CF5B44" w:rsidRDefault="3BD4D9B1" w:rsidP="36DAF3CC">
            <w:pPr>
              <w:pStyle w:val="ListParagraph"/>
              <w:numPr>
                <w:ilvl w:val="0"/>
                <w:numId w:val="36"/>
              </w:numPr>
              <w:rPr>
                <w:rFonts w:asciiTheme="minorHAnsi" w:eastAsia="Times New Roman" w:hAnsiTheme="minorHAnsi" w:cstheme="minorHAnsi"/>
                <w:color w:val="000000"/>
              </w:rPr>
            </w:pPr>
            <w:r>
              <w:rPr>
                <w:rFonts w:asciiTheme="minorHAnsi" w:hAnsiTheme="minorHAnsi"/>
                <w:color w:val="000000" w:themeColor="text1"/>
              </w:rPr>
              <w:t xml:space="preserve">Élaborer des notes de synthèse. </w:t>
            </w:r>
          </w:p>
          <w:p w14:paraId="1CF1EF79" w14:textId="7528ECD8" w:rsidR="00FF7846" w:rsidRPr="004C143B" w:rsidRDefault="3BD4D9B1" w:rsidP="36DAF3CC">
            <w:pPr>
              <w:pStyle w:val="ListParagraph"/>
              <w:numPr>
                <w:ilvl w:val="0"/>
                <w:numId w:val="36"/>
              </w:numPr>
              <w:rPr>
                <w:rFonts w:asciiTheme="minorHAnsi" w:eastAsia="Times New Roman" w:hAnsiTheme="minorHAnsi" w:cstheme="minorHAnsi"/>
                <w:color w:val="000000"/>
              </w:rPr>
            </w:pPr>
            <w:r>
              <w:rPr>
                <w:rFonts w:asciiTheme="minorHAnsi" w:hAnsiTheme="minorHAnsi"/>
                <w:color w:val="000000" w:themeColor="text1"/>
              </w:rPr>
              <w:t>Sensibilisation des partenaires et des bailleurs de fonds.</w:t>
            </w:r>
          </w:p>
        </w:tc>
        <w:tc>
          <w:tcPr>
            <w:tcW w:w="910" w:type="pct"/>
            <w:shd w:val="clear" w:color="auto" w:fill="auto"/>
            <w:noWrap/>
            <w:hideMark/>
          </w:tcPr>
          <w:p w14:paraId="32E1DAB3" w14:textId="03E89D7E" w:rsidR="00FF7846" w:rsidRPr="004C143B" w:rsidRDefault="00FF7846" w:rsidP="00864A66">
            <w:pPr>
              <w:pStyle w:val="ListParagraph"/>
              <w:numPr>
                <w:ilvl w:val="0"/>
                <w:numId w:val="36"/>
              </w:numPr>
              <w:rPr>
                <w:rFonts w:asciiTheme="minorHAnsi" w:eastAsia="Times New Roman" w:hAnsiTheme="minorHAnsi" w:cstheme="minorHAnsi"/>
                <w:color w:val="000000"/>
              </w:rPr>
            </w:pPr>
            <w:r>
              <w:rPr>
                <w:rFonts w:asciiTheme="minorHAnsi" w:hAnsiTheme="minorHAnsi"/>
                <w:color w:val="000000"/>
              </w:rPr>
              <w:t xml:space="preserve">Dresser la liste des MCR. </w:t>
            </w:r>
          </w:p>
          <w:p w14:paraId="1F7D360D" w14:textId="0DEEA1C6" w:rsidR="00FF7846" w:rsidRPr="004C143B" w:rsidRDefault="70100E02" w:rsidP="2718667C">
            <w:pPr>
              <w:pStyle w:val="ListParagraph"/>
              <w:numPr>
                <w:ilvl w:val="0"/>
                <w:numId w:val="36"/>
              </w:numPr>
              <w:rPr>
                <w:rFonts w:asciiTheme="minorHAnsi" w:eastAsia="Times New Roman" w:hAnsiTheme="minorHAnsi" w:cstheme="minorHAnsi"/>
                <w:color w:val="000000"/>
              </w:rPr>
            </w:pPr>
            <w:r>
              <w:rPr>
                <w:rFonts w:asciiTheme="minorHAnsi" w:hAnsiTheme="minorHAnsi"/>
                <w:color w:val="000000" w:themeColor="text1"/>
              </w:rPr>
              <w:t xml:space="preserve">Faire l’état des lieux des bailleurs de fonds. </w:t>
            </w:r>
          </w:p>
          <w:p w14:paraId="3B1AEE61" w14:textId="5CBBC328" w:rsidR="4B83F2E5" w:rsidRPr="004C143B" w:rsidRDefault="4B83F2E5" w:rsidP="2718667C">
            <w:pPr>
              <w:pStyle w:val="ListParagraph"/>
              <w:numPr>
                <w:ilvl w:val="0"/>
                <w:numId w:val="36"/>
              </w:numPr>
              <w:rPr>
                <w:rFonts w:asciiTheme="minorHAnsi" w:hAnsiTheme="minorHAnsi" w:cstheme="minorHAnsi"/>
                <w:color w:val="000000" w:themeColor="text1"/>
              </w:rPr>
            </w:pPr>
            <w:r>
              <w:rPr>
                <w:rFonts w:asciiTheme="minorHAnsi" w:hAnsiTheme="minorHAnsi"/>
                <w:color w:val="000000" w:themeColor="text1"/>
              </w:rPr>
              <w:t>Élaborer des notes de synthèse.</w:t>
            </w:r>
          </w:p>
          <w:p w14:paraId="02F7FB1C" w14:textId="7C6108F4" w:rsidR="00FF7846" w:rsidRPr="004C143B" w:rsidRDefault="70100E02" w:rsidP="004C143B">
            <w:pPr>
              <w:pStyle w:val="ListParagraph"/>
              <w:numPr>
                <w:ilvl w:val="0"/>
                <w:numId w:val="36"/>
              </w:numPr>
              <w:rPr>
                <w:rFonts w:asciiTheme="minorHAnsi" w:eastAsia="Times New Roman" w:hAnsiTheme="minorHAnsi" w:cstheme="minorHAnsi"/>
                <w:color w:val="000000"/>
              </w:rPr>
            </w:pPr>
            <w:r>
              <w:rPr>
                <w:rFonts w:asciiTheme="minorHAnsi" w:hAnsiTheme="minorHAnsi"/>
                <w:color w:val="000000" w:themeColor="text1"/>
              </w:rPr>
              <w:t>Sensibilisation des partenaires et des bailleurs de fonds. </w:t>
            </w:r>
          </w:p>
        </w:tc>
        <w:tc>
          <w:tcPr>
            <w:tcW w:w="910" w:type="pct"/>
            <w:shd w:val="clear" w:color="auto" w:fill="auto"/>
            <w:noWrap/>
            <w:hideMark/>
          </w:tcPr>
          <w:p w14:paraId="28AD0C96" w14:textId="0FB7FCD4" w:rsidR="00FF7846" w:rsidRPr="004C143B" w:rsidRDefault="70100E02" w:rsidP="00532598">
            <w:pPr>
              <w:pStyle w:val="ListParagraph"/>
              <w:numPr>
                <w:ilvl w:val="0"/>
                <w:numId w:val="36"/>
              </w:numPr>
              <w:rPr>
                <w:rFonts w:asciiTheme="minorHAnsi" w:eastAsia="Times New Roman" w:hAnsiTheme="minorHAnsi" w:cstheme="minorHAnsi"/>
                <w:color w:val="000000"/>
              </w:rPr>
            </w:pPr>
            <w:r>
              <w:rPr>
                <w:rFonts w:asciiTheme="minorHAnsi" w:hAnsiTheme="minorHAnsi"/>
                <w:color w:val="000000" w:themeColor="text1"/>
              </w:rPr>
              <w:t xml:space="preserve">Dresser la liste des MCR. </w:t>
            </w:r>
          </w:p>
          <w:p w14:paraId="6B45309C" w14:textId="5AD78FD5" w:rsidR="00FF7846" w:rsidRPr="004C143B" w:rsidRDefault="70100E02" w:rsidP="2718667C">
            <w:pPr>
              <w:pStyle w:val="ListParagraph"/>
              <w:numPr>
                <w:ilvl w:val="0"/>
                <w:numId w:val="36"/>
              </w:numPr>
              <w:rPr>
                <w:rFonts w:asciiTheme="minorHAnsi" w:eastAsia="Times New Roman" w:hAnsiTheme="minorHAnsi" w:cstheme="minorHAnsi"/>
                <w:color w:val="000000"/>
              </w:rPr>
            </w:pPr>
            <w:r>
              <w:rPr>
                <w:rFonts w:asciiTheme="minorHAnsi" w:hAnsiTheme="minorHAnsi"/>
                <w:color w:val="000000" w:themeColor="text1"/>
              </w:rPr>
              <w:t>Faire l’état des lieux des bailleurs de fonds.</w:t>
            </w:r>
          </w:p>
          <w:p w14:paraId="17C5CFC0" w14:textId="6EA32C10" w:rsidR="00FF7846" w:rsidRPr="004C143B" w:rsidRDefault="5757E526" w:rsidP="2718667C">
            <w:pPr>
              <w:pStyle w:val="ListParagraph"/>
              <w:numPr>
                <w:ilvl w:val="0"/>
                <w:numId w:val="36"/>
              </w:numPr>
              <w:rPr>
                <w:rFonts w:asciiTheme="minorHAnsi" w:eastAsia="Times New Roman" w:hAnsiTheme="minorHAnsi" w:cstheme="minorHAnsi"/>
                <w:color w:val="000000"/>
              </w:rPr>
            </w:pPr>
            <w:r>
              <w:rPr>
                <w:rFonts w:asciiTheme="minorHAnsi" w:hAnsiTheme="minorHAnsi"/>
                <w:color w:val="000000" w:themeColor="text1"/>
              </w:rPr>
              <w:t xml:space="preserve">Élaborer des notes de synthèse.  </w:t>
            </w:r>
          </w:p>
          <w:p w14:paraId="7E691BFD" w14:textId="0536260E" w:rsidR="00FF7846" w:rsidRPr="004C143B" w:rsidRDefault="70100E02" w:rsidP="00532598">
            <w:pPr>
              <w:pStyle w:val="ListParagraph"/>
              <w:numPr>
                <w:ilvl w:val="0"/>
                <w:numId w:val="36"/>
              </w:numPr>
              <w:rPr>
                <w:rFonts w:asciiTheme="minorHAnsi" w:eastAsia="Times New Roman" w:hAnsiTheme="minorHAnsi" w:cstheme="minorHAnsi"/>
                <w:color w:val="000000"/>
              </w:rPr>
            </w:pPr>
            <w:r>
              <w:rPr>
                <w:rFonts w:asciiTheme="minorHAnsi" w:hAnsiTheme="minorHAnsi"/>
                <w:color w:val="000000" w:themeColor="text1"/>
              </w:rPr>
              <w:t>Sensibilisation des partenaires et des bailleurs de fonds.</w:t>
            </w:r>
          </w:p>
        </w:tc>
      </w:tr>
      <w:tr w:rsidR="00E66205" w:rsidRPr="004C143B" w14:paraId="0336BEC2" w14:textId="77777777" w:rsidTr="004C143B">
        <w:trPr>
          <w:cantSplit/>
        </w:trPr>
        <w:tc>
          <w:tcPr>
            <w:tcW w:w="200" w:type="pct"/>
            <w:shd w:val="clear" w:color="auto" w:fill="DDEBF7"/>
          </w:tcPr>
          <w:p w14:paraId="4625C6AD" w14:textId="77777777" w:rsidR="00FF7846" w:rsidRPr="004C143B" w:rsidRDefault="00FF7846" w:rsidP="004C143B">
            <w:pPr>
              <w:pStyle w:val="ListParagraph"/>
              <w:numPr>
                <w:ilvl w:val="0"/>
                <w:numId w:val="45"/>
              </w:numPr>
              <w:ind w:left="0" w:firstLine="0"/>
              <w:rPr>
                <w:rFonts w:asciiTheme="minorHAnsi" w:eastAsia="Times New Roman" w:hAnsiTheme="minorHAnsi" w:cstheme="minorHAnsi"/>
                <w:b/>
                <w:bCs/>
                <w:color w:val="000000"/>
                <w:lang w:eastAsia="en-GB"/>
              </w:rPr>
            </w:pPr>
          </w:p>
        </w:tc>
        <w:tc>
          <w:tcPr>
            <w:tcW w:w="606" w:type="pct"/>
            <w:shd w:val="clear" w:color="auto" w:fill="DDEBF7"/>
            <w:noWrap/>
          </w:tcPr>
          <w:p w14:paraId="7E70C735" w14:textId="36E3399B" w:rsidR="00FF7846" w:rsidRPr="004C143B" w:rsidRDefault="00FF7846" w:rsidP="00EB68CB">
            <w:pPr>
              <w:ind w:left="0" w:firstLine="0"/>
              <w:rPr>
                <w:rFonts w:asciiTheme="minorHAnsi" w:eastAsia="Times New Roman" w:hAnsiTheme="minorHAnsi" w:cstheme="minorHAnsi"/>
                <w:color w:val="000000"/>
              </w:rPr>
            </w:pPr>
            <w:r>
              <w:rPr>
                <w:rFonts w:asciiTheme="minorHAnsi" w:hAnsiTheme="minorHAnsi"/>
                <w:color w:val="000000"/>
              </w:rPr>
              <w:t xml:space="preserve"> Jeunesse dans le contexte des zones humides</w:t>
            </w:r>
          </w:p>
        </w:tc>
        <w:tc>
          <w:tcPr>
            <w:tcW w:w="809" w:type="pct"/>
            <w:shd w:val="clear" w:color="auto" w:fill="DDEBF7"/>
          </w:tcPr>
          <w:p w14:paraId="10B682CC" w14:textId="2C2B2705" w:rsidR="00FF7846" w:rsidRPr="004C143B" w:rsidRDefault="00FF7846" w:rsidP="00EB68CB">
            <w:pPr>
              <w:ind w:left="0" w:firstLine="0"/>
              <w:rPr>
                <w:rFonts w:asciiTheme="minorHAnsi" w:eastAsia="Times New Roman" w:hAnsiTheme="minorHAnsi" w:cstheme="minorHAnsi"/>
                <w:color w:val="000000"/>
              </w:rPr>
            </w:pPr>
            <w:r>
              <w:rPr>
                <w:rFonts w:asciiTheme="minorHAnsi" w:hAnsiTheme="minorHAnsi"/>
                <w:color w:val="000000"/>
              </w:rPr>
              <w:t>Renforcer l’implication et la participation des jeunes.</w:t>
            </w:r>
          </w:p>
        </w:tc>
        <w:tc>
          <w:tcPr>
            <w:tcW w:w="454" w:type="pct"/>
            <w:shd w:val="clear" w:color="auto" w:fill="DDEBF7"/>
            <w:noWrap/>
          </w:tcPr>
          <w:p w14:paraId="1197F36D" w14:textId="02AF9DF7" w:rsidR="00FF7846" w:rsidRPr="004C143B" w:rsidRDefault="00FF7846" w:rsidP="00FF7846">
            <w:pPr>
              <w:ind w:left="0" w:firstLine="0"/>
              <w:jc w:val="center"/>
              <w:rPr>
                <w:rFonts w:asciiTheme="minorHAnsi" w:eastAsia="Times New Roman" w:hAnsiTheme="minorHAnsi" w:cstheme="minorHAnsi"/>
                <w:color w:val="000000"/>
              </w:rPr>
            </w:pPr>
            <w:r>
              <w:rPr>
                <w:rFonts w:asciiTheme="minorHAnsi" w:hAnsiTheme="minorHAnsi"/>
                <w:color w:val="000000"/>
              </w:rPr>
              <w:t>280 000</w:t>
            </w:r>
          </w:p>
        </w:tc>
        <w:tc>
          <w:tcPr>
            <w:tcW w:w="1111" w:type="pct"/>
            <w:shd w:val="clear" w:color="auto" w:fill="DDEBF7"/>
          </w:tcPr>
          <w:p w14:paraId="63A24385" w14:textId="65B28AD2" w:rsidR="00FF7846" w:rsidRPr="004C143B" w:rsidRDefault="7068859A" w:rsidP="36DAF3CC">
            <w:pPr>
              <w:pStyle w:val="ListParagraph"/>
              <w:numPr>
                <w:ilvl w:val="0"/>
                <w:numId w:val="36"/>
              </w:numPr>
              <w:rPr>
                <w:rFonts w:asciiTheme="minorHAnsi" w:eastAsia="Times New Roman" w:hAnsiTheme="minorHAnsi" w:cstheme="minorHAnsi"/>
                <w:color w:val="000000"/>
              </w:rPr>
            </w:pPr>
            <w:r>
              <w:rPr>
                <w:rFonts w:asciiTheme="minorHAnsi" w:hAnsiTheme="minorHAnsi"/>
                <w:color w:val="000000" w:themeColor="text1"/>
              </w:rPr>
              <w:t xml:space="preserve">Élaborer des propositions d’activités basées sur le plan de travail du Groupe de travail sur la jeunesse. </w:t>
            </w:r>
          </w:p>
          <w:p w14:paraId="66EDB4E3" w14:textId="637D9C99" w:rsidR="00762121" w:rsidRPr="004C143B" w:rsidRDefault="5F0C3C9F" w:rsidP="007B0010">
            <w:pPr>
              <w:pStyle w:val="ListParagraph"/>
              <w:numPr>
                <w:ilvl w:val="0"/>
                <w:numId w:val="36"/>
              </w:numPr>
              <w:rPr>
                <w:rFonts w:asciiTheme="minorHAnsi" w:eastAsia="Times New Roman" w:hAnsiTheme="minorHAnsi" w:cstheme="minorHAnsi"/>
                <w:color w:val="000000"/>
              </w:rPr>
            </w:pPr>
            <w:r>
              <w:rPr>
                <w:rFonts w:asciiTheme="minorHAnsi" w:hAnsiTheme="minorHAnsi"/>
                <w:color w:val="000000" w:themeColor="text1"/>
              </w:rPr>
              <w:t xml:space="preserve">Inviter les Parties contractantes intéressées à financer le poste de Conseiller Jeunesse. </w:t>
            </w:r>
          </w:p>
          <w:p w14:paraId="7D769647" w14:textId="09E585A1" w:rsidR="00FF7846" w:rsidRPr="004C143B" w:rsidRDefault="70100E02" w:rsidP="007B0010">
            <w:pPr>
              <w:pStyle w:val="ListParagraph"/>
              <w:numPr>
                <w:ilvl w:val="0"/>
                <w:numId w:val="36"/>
              </w:numPr>
              <w:rPr>
                <w:rFonts w:asciiTheme="minorHAnsi" w:eastAsia="Times New Roman" w:hAnsiTheme="minorHAnsi" w:cstheme="minorHAnsi"/>
                <w:color w:val="000000"/>
              </w:rPr>
            </w:pPr>
            <w:r>
              <w:rPr>
                <w:rFonts w:asciiTheme="minorHAnsi" w:hAnsiTheme="minorHAnsi"/>
                <w:color w:val="000000" w:themeColor="text1"/>
              </w:rPr>
              <w:t xml:space="preserve">Faire l’état des lieux des bailleurs de fonds.  </w:t>
            </w:r>
          </w:p>
          <w:p w14:paraId="640A7ECF" w14:textId="4EFED8DC" w:rsidR="00FF7846" w:rsidRPr="004C143B" w:rsidRDefault="7068859A" w:rsidP="004C143B">
            <w:pPr>
              <w:pStyle w:val="ListParagraph"/>
              <w:numPr>
                <w:ilvl w:val="0"/>
                <w:numId w:val="36"/>
              </w:numPr>
              <w:rPr>
                <w:rFonts w:asciiTheme="minorHAnsi" w:eastAsia="Times New Roman" w:hAnsiTheme="minorHAnsi" w:cstheme="minorHAnsi"/>
                <w:color w:val="000000"/>
              </w:rPr>
            </w:pPr>
            <w:r>
              <w:rPr>
                <w:rFonts w:asciiTheme="minorHAnsi" w:hAnsiTheme="minorHAnsi"/>
                <w:color w:val="000000" w:themeColor="text1"/>
              </w:rPr>
              <w:t>Sensibilisation des partenaires et des bailleurs de fonds.</w:t>
            </w:r>
          </w:p>
        </w:tc>
        <w:tc>
          <w:tcPr>
            <w:tcW w:w="910" w:type="pct"/>
            <w:shd w:val="clear" w:color="auto" w:fill="DDEBF7"/>
            <w:noWrap/>
          </w:tcPr>
          <w:p w14:paraId="1C19AE0F" w14:textId="15760664" w:rsidR="00FF7846" w:rsidRPr="004C143B" w:rsidRDefault="00FF7846" w:rsidP="002C67D1">
            <w:pPr>
              <w:pStyle w:val="ListParagraph"/>
              <w:numPr>
                <w:ilvl w:val="0"/>
                <w:numId w:val="37"/>
              </w:numPr>
              <w:rPr>
                <w:rFonts w:asciiTheme="minorHAnsi" w:eastAsia="Times New Roman" w:hAnsiTheme="minorHAnsi" w:cstheme="minorHAnsi"/>
                <w:color w:val="000000"/>
              </w:rPr>
            </w:pPr>
            <w:r>
              <w:rPr>
                <w:rFonts w:asciiTheme="minorHAnsi" w:hAnsiTheme="minorHAnsi"/>
                <w:color w:val="000000"/>
              </w:rPr>
              <w:t xml:space="preserve">Sensibilisation des partenaires et des bailleurs de fonds. </w:t>
            </w:r>
          </w:p>
          <w:p w14:paraId="739705D6" w14:textId="34170CE5" w:rsidR="00E66205" w:rsidRPr="004C143B" w:rsidRDefault="00E66205" w:rsidP="00E66205">
            <w:pPr>
              <w:pStyle w:val="ListParagraph"/>
              <w:numPr>
                <w:ilvl w:val="0"/>
                <w:numId w:val="37"/>
              </w:numPr>
              <w:rPr>
                <w:rFonts w:asciiTheme="minorHAnsi" w:eastAsia="Times New Roman" w:hAnsiTheme="minorHAnsi" w:cstheme="minorHAnsi"/>
                <w:color w:val="000000"/>
              </w:rPr>
            </w:pPr>
            <w:r>
              <w:rPr>
                <w:rFonts w:asciiTheme="minorHAnsi" w:hAnsiTheme="minorHAnsi"/>
                <w:color w:val="000000"/>
              </w:rPr>
              <w:t xml:space="preserve">Inviter les Parties contractantes intéressées à financer le poste de Conseiller Jeunesse. </w:t>
            </w:r>
          </w:p>
          <w:p w14:paraId="0D625FE3" w14:textId="6BBD9BAF" w:rsidR="00FF7846" w:rsidRPr="004C143B" w:rsidRDefault="00FF7846" w:rsidP="002C67D1">
            <w:pPr>
              <w:ind w:left="0" w:firstLine="0"/>
              <w:rPr>
                <w:rFonts w:asciiTheme="minorHAnsi" w:eastAsia="Times New Roman" w:hAnsiTheme="minorHAnsi" w:cstheme="minorHAnsi"/>
                <w:color w:val="000000"/>
                <w:lang w:eastAsia="en-GB"/>
              </w:rPr>
            </w:pPr>
          </w:p>
        </w:tc>
        <w:tc>
          <w:tcPr>
            <w:tcW w:w="910" w:type="pct"/>
            <w:shd w:val="clear" w:color="auto" w:fill="DDEBF7"/>
            <w:noWrap/>
          </w:tcPr>
          <w:p w14:paraId="00C20B69" w14:textId="3800C87A" w:rsidR="00FF7846" w:rsidRPr="004C143B" w:rsidRDefault="00FF7846" w:rsidP="002C67D1">
            <w:pPr>
              <w:pStyle w:val="ListParagraph"/>
              <w:numPr>
                <w:ilvl w:val="0"/>
                <w:numId w:val="37"/>
              </w:numPr>
              <w:rPr>
                <w:rFonts w:asciiTheme="minorHAnsi" w:eastAsia="Times New Roman" w:hAnsiTheme="minorHAnsi" w:cstheme="minorHAnsi"/>
                <w:color w:val="000000"/>
              </w:rPr>
            </w:pPr>
            <w:r>
              <w:rPr>
                <w:rFonts w:asciiTheme="minorHAnsi" w:hAnsiTheme="minorHAnsi"/>
                <w:color w:val="000000"/>
              </w:rPr>
              <w:t xml:space="preserve">Sensibilisation des partenaires et des bailleurs de fonds. </w:t>
            </w:r>
          </w:p>
          <w:p w14:paraId="2D12D41A" w14:textId="499C68C6" w:rsidR="00E66205" w:rsidRPr="004C143B" w:rsidRDefault="00E66205" w:rsidP="00E66205">
            <w:pPr>
              <w:pStyle w:val="ListParagraph"/>
              <w:numPr>
                <w:ilvl w:val="0"/>
                <w:numId w:val="37"/>
              </w:numPr>
              <w:rPr>
                <w:rFonts w:asciiTheme="minorHAnsi" w:eastAsia="Times New Roman" w:hAnsiTheme="minorHAnsi" w:cstheme="minorHAnsi"/>
                <w:color w:val="000000"/>
              </w:rPr>
            </w:pPr>
            <w:r>
              <w:rPr>
                <w:rFonts w:asciiTheme="minorHAnsi" w:hAnsiTheme="minorHAnsi"/>
                <w:color w:val="000000"/>
              </w:rPr>
              <w:t xml:space="preserve">Inviter les Parties contractantes intéressées à financer le poste de Conseiller Jeunesse. </w:t>
            </w:r>
          </w:p>
          <w:p w14:paraId="12053F4A" w14:textId="77777777" w:rsidR="00FF7846" w:rsidRPr="004C143B" w:rsidRDefault="00FF7846" w:rsidP="002C67D1">
            <w:pPr>
              <w:ind w:left="0" w:firstLine="0"/>
              <w:rPr>
                <w:rFonts w:asciiTheme="minorHAnsi" w:eastAsia="Times New Roman" w:hAnsiTheme="minorHAnsi" w:cstheme="minorHAnsi"/>
                <w:color w:val="000000"/>
                <w:lang w:eastAsia="en-GB"/>
              </w:rPr>
            </w:pPr>
          </w:p>
        </w:tc>
      </w:tr>
      <w:tr w:rsidR="00864A66" w:rsidRPr="004C143B" w14:paraId="5301B96B" w14:textId="77777777" w:rsidTr="004C143B">
        <w:trPr>
          <w:cantSplit/>
        </w:trPr>
        <w:tc>
          <w:tcPr>
            <w:tcW w:w="200" w:type="pct"/>
            <w:shd w:val="clear" w:color="auto" w:fill="FFFFFF" w:themeFill="background1"/>
          </w:tcPr>
          <w:p w14:paraId="06200D8C" w14:textId="77777777" w:rsidR="00FF7846" w:rsidRPr="004C143B" w:rsidRDefault="00FF7846" w:rsidP="004C143B">
            <w:pPr>
              <w:pStyle w:val="ListParagraph"/>
              <w:numPr>
                <w:ilvl w:val="0"/>
                <w:numId w:val="45"/>
              </w:numPr>
              <w:ind w:left="0" w:firstLine="0"/>
              <w:rPr>
                <w:rFonts w:asciiTheme="minorHAnsi" w:eastAsia="Times New Roman" w:hAnsiTheme="minorHAnsi" w:cstheme="minorHAnsi"/>
                <w:b/>
                <w:bCs/>
                <w:color w:val="000000"/>
                <w:lang w:eastAsia="en-GB"/>
              </w:rPr>
            </w:pPr>
          </w:p>
        </w:tc>
        <w:tc>
          <w:tcPr>
            <w:tcW w:w="606" w:type="pct"/>
            <w:shd w:val="clear" w:color="auto" w:fill="FFFFFF" w:themeFill="background1"/>
            <w:noWrap/>
          </w:tcPr>
          <w:p w14:paraId="44FE1955" w14:textId="5F8B82A6" w:rsidR="00FF7846" w:rsidRPr="004C143B" w:rsidRDefault="00FF7846" w:rsidP="00EB68CB">
            <w:pPr>
              <w:ind w:left="0" w:firstLine="0"/>
              <w:rPr>
                <w:rFonts w:asciiTheme="minorHAnsi" w:eastAsia="Times New Roman" w:hAnsiTheme="minorHAnsi" w:cstheme="minorHAnsi"/>
                <w:color w:val="000000"/>
              </w:rPr>
            </w:pPr>
            <w:r>
              <w:rPr>
                <w:rFonts w:asciiTheme="minorHAnsi" w:hAnsiTheme="minorHAnsi"/>
                <w:color w:val="000000"/>
              </w:rPr>
              <w:t xml:space="preserve">Appui aux centres et réseaux d’Initiatives régionales </w:t>
            </w:r>
          </w:p>
        </w:tc>
        <w:tc>
          <w:tcPr>
            <w:tcW w:w="809" w:type="pct"/>
            <w:shd w:val="clear" w:color="auto" w:fill="FFFFFF" w:themeFill="background1"/>
          </w:tcPr>
          <w:p w14:paraId="70EFD2D1" w14:textId="0C30D2E8" w:rsidR="00FF7846" w:rsidRPr="004C143B" w:rsidRDefault="00FF7846" w:rsidP="00EB68CB">
            <w:pPr>
              <w:ind w:left="0" w:firstLine="0"/>
              <w:rPr>
                <w:rFonts w:asciiTheme="minorHAnsi" w:eastAsia="Times New Roman" w:hAnsiTheme="minorHAnsi" w:cstheme="minorHAnsi"/>
                <w:color w:val="000000"/>
              </w:rPr>
            </w:pPr>
            <w:r>
              <w:rPr>
                <w:rFonts w:asciiTheme="minorHAnsi" w:hAnsiTheme="minorHAnsi"/>
                <w:color w:val="000000"/>
              </w:rPr>
              <w:t xml:space="preserve">Soutenir les objectifs de collecte de fonds des IRR </w:t>
            </w:r>
          </w:p>
        </w:tc>
        <w:tc>
          <w:tcPr>
            <w:tcW w:w="454" w:type="pct"/>
            <w:shd w:val="clear" w:color="auto" w:fill="FFFFFF" w:themeFill="background1"/>
            <w:noWrap/>
          </w:tcPr>
          <w:p w14:paraId="2D12C7F8" w14:textId="684B9E94" w:rsidR="00FF7846" w:rsidRPr="004C143B" w:rsidRDefault="00FF7846" w:rsidP="00FF7846">
            <w:pPr>
              <w:ind w:left="0" w:firstLine="0"/>
              <w:jc w:val="center"/>
              <w:rPr>
                <w:rFonts w:asciiTheme="minorHAnsi" w:eastAsia="Times New Roman" w:hAnsiTheme="minorHAnsi" w:cstheme="minorHAnsi"/>
                <w:color w:val="000000"/>
              </w:rPr>
            </w:pPr>
            <w:r>
              <w:rPr>
                <w:rFonts w:asciiTheme="minorHAnsi" w:hAnsiTheme="minorHAnsi"/>
                <w:color w:val="000000"/>
              </w:rPr>
              <w:t>150 000</w:t>
            </w:r>
          </w:p>
        </w:tc>
        <w:tc>
          <w:tcPr>
            <w:tcW w:w="1111" w:type="pct"/>
            <w:shd w:val="clear" w:color="auto" w:fill="FFFFFF" w:themeFill="background1"/>
          </w:tcPr>
          <w:p w14:paraId="48D2E0C0" w14:textId="2DD27CF9" w:rsidR="00FF7846" w:rsidRPr="004C143B" w:rsidRDefault="49AFEA9B" w:rsidP="36DAF3CC">
            <w:pPr>
              <w:pStyle w:val="ListParagraph"/>
              <w:numPr>
                <w:ilvl w:val="0"/>
                <w:numId w:val="39"/>
              </w:numPr>
              <w:rPr>
                <w:rFonts w:asciiTheme="minorHAnsi" w:eastAsia="Times New Roman" w:hAnsiTheme="minorHAnsi" w:cstheme="minorHAnsi"/>
                <w:color w:val="000000"/>
              </w:rPr>
            </w:pPr>
            <w:r>
              <w:rPr>
                <w:rFonts w:asciiTheme="minorHAnsi" w:hAnsiTheme="minorHAnsi"/>
                <w:color w:val="000000" w:themeColor="text1"/>
              </w:rPr>
              <w:t xml:space="preserve">Prendre contact avec les IRR pour identifier les besoins de financement/discuter des options de collecte de fonds. </w:t>
            </w:r>
          </w:p>
          <w:p w14:paraId="0E14F011" w14:textId="4CD769F9" w:rsidR="00FF7846" w:rsidRPr="004C143B" w:rsidRDefault="00FF7846" w:rsidP="00086BAD">
            <w:pPr>
              <w:pStyle w:val="ListParagraph"/>
              <w:numPr>
                <w:ilvl w:val="0"/>
                <w:numId w:val="39"/>
              </w:numPr>
              <w:rPr>
                <w:rFonts w:asciiTheme="minorHAnsi" w:eastAsia="Times New Roman" w:hAnsiTheme="minorHAnsi" w:cstheme="minorHAnsi"/>
                <w:color w:val="000000"/>
              </w:rPr>
            </w:pPr>
            <w:r>
              <w:rPr>
                <w:rFonts w:asciiTheme="minorHAnsi" w:hAnsiTheme="minorHAnsi"/>
                <w:color w:val="000000"/>
              </w:rPr>
              <w:t xml:space="preserve">Faire l’état des lieux des bailleurs de fonds. </w:t>
            </w:r>
          </w:p>
          <w:p w14:paraId="435EDD7F" w14:textId="0997EDAB" w:rsidR="00FF7846" w:rsidRPr="004C143B" w:rsidRDefault="00FF7846" w:rsidP="00903D13">
            <w:pPr>
              <w:pStyle w:val="ListParagraph"/>
              <w:numPr>
                <w:ilvl w:val="0"/>
                <w:numId w:val="39"/>
              </w:numPr>
              <w:rPr>
                <w:rFonts w:asciiTheme="minorHAnsi" w:eastAsia="Times New Roman" w:hAnsiTheme="minorHAnsi" w:cstheme="minorHAnsi"/>
                <w:color w:val="000000"/>
              </w:rPr>
            </w:pPr>
            <w:r>
              <w:rPr>
                <w:rFonts w:asciiTheme="minorHAnsi" w:hAnsiTheme="minorHAnsi"/>
                <w:color w:val="000000"/>
              </w:rPr>
              <w:t>Sensibilisation des partenaires et des bailleurs de fonds.</w:t>
            </w:r>
          </w:p>
        </w:tc>
        <w:tc>
          <w:tcPr>
            <w:tcW w:w="910" w:type="pct"/>
            <w:shd w:val="clear" w:color="auto" w:fill="FFFFFF" w:themeFill="background1"/>
            <w:noWrap/>
          </w:tcPr>
          <w:p w14:paraId="1619CCED" w14:textId="231FC930" w:rsidR="00FF7846" w:rsidRPr="004C143B" w:rsidRDefault="00FF7846" w:rsidP="009463C5">
            <w:pPr>
              <w:pStyle w:val="ListParagraph"/>
              <w:numPr>
                <w:ilvl w:val="0"/>
                <w:numId w:val="39"/>
              </w:numPr>
              <w:rPr>
                <w:rFonts w:asciiTheme="minorHAnsi" w:eastAsia="Times New Roman" w:hAnsiTheme="minorHAnsi" w:cstheme="minorHAnsi"/>
                <w:color w:val="000000"/>
              </w:rPr>
            </w:pPr>
            <w:r>
              <w:rPr>
                <w:rFonts w:asciiTheme="minorHAnsi" w:hAnsiTheme="minorHAnsi"/>
                <w:color w:val="000000"/>
              </w:rPr>
              <w:t>Sensibilisation des partenaires et des bailleurs de fonds.</w:t>
            </w:r>
          </w:p>
          <w:p w14:paraId="448E530E" w14:textId="3B29884E" w:rsidR="00FF7846" w:rsidRPr="004C143B" w:rsidRDefault="00FF7846" w:rsidP="00EB68CB">
            <w:pPr>
              <w:ind w:left="0" w:firstLine="0"/>
              <w:rPr>
                <w:rFonts w:asciiTheme="minorHAnsi" w:eastAsia="Times New Roman" w:hAnsiTheme="minorHAnsi" w:cstheme="minorHAnsi"/>
                <w:color w:val="000000"/>
                <w:lang w:eastAsia="en-GB"/>
              </w:rPr>
            </w:pPr>
          </w:p>
        </w:tc>
        <w:tc>
          <w:tcPr>
            <w:tcW w:w="910" w:type="pct"/>
            <w:shd w:val="clear" w:color="auto" w:fill="FFFFFF" w:themeFill="background1"/>
            <w:noWrap/>
          </w:tcPr>
          <w:p w14:paraId="419932F1" w14:textId="1117C512" w:rsidR="00FF7846" w:rsidRPr="004C143B" w:rsidRDefault="00FF7846" w:rsidP="009463C5">
            <w:pPr>
              <w:pStyle w:val="ListParagraph"/>
              <w:numPr>
                <w:ilvl w:val="0"/>
                <w:numId w:val="39"/>
              </w:numPr>
              <w:rPr>
                <w:rFonts w:asciiTheme="minorHAnsi" w:eastAsia="Times New Roman" w:hAnsiTheme="minorHAnsi" w:cstheme="minorHAnsi"/>
                <w:color w:val="000000"/>
              </w:rPr>
            </w:pPr>
            <w:r>
              <w:rPr>
                <w:rFonts w:asciiTheme="minorHAnsi" w:hAnsiTheme="minorHAnsi"/>
                <w:color w:val="000000"/>
              </w:rPr>
              <w:t xml:space="preserve">Sensibilisation des partenaires et des bailleurs de fonds. </w:t>
            </w:r>
          </w:p>
          <w:p w14:paraId="23151163" w14:textId="77777777" w:rsidR="00FF7846" w:rsidRPr="004C143B" w:rsidRDefault="00FF7846" w:rsidP="00EB68CB">
            <w:pPr>
              <w:ind w:left="0" w:firstLine="0"/>
              <w:rPr>
                <w:rFonts w:asciiTheme="minorHAnsi" w:eastAsia="Times New Roman" w:hAnsiTheme="minorHAnsi" w:cstheme="minorHAnsi"/>
                <w:color w:val="000000"/>
                <w:lang w:eastAsia="en-GB"/>
              </w:rPr>
            </w:pPr>
          </w:p>
        </w:tc>
      </w:tr>
      <w:tr w:rsidR="00E66205" w:rsidRPr="004C143B" w14:paraId="53175D20" w14:textId="77777777" w:rsidTr="004C143B">
        <w:trPr>
          <w:cantSplit/>
        </w:trPr>
        <w:tc>
          <w:tcPr>
            <w:tcW w:w="200" w:type="pct"/>
            <w:shd w:val="clear" w:color="auto" w:fill="DDEBF7"/>
          </w:tcPr>
          <w:p w14:paraId="51C2B5FE" w14:textId="77777777" w:rsidR="00FF7846" w:rsidRPr="004C143B" w:rsidRDefault="00FF7846" w:rsidP="004C143B">
            <w:pPr>
              <w:pStyle w:val="ListParagraph"/>
              <w:numPr>
                <w:ilvl w:val="0"/>
                <w:numId w:val="45"/>
              </w:numPr>
              <w:ind w:left="0" w:firstLine="0"/>
              <w:rPr>
                <w:rFonts w:asciiTheme="minorHAnsi" w:eastAsia="Times New Roman" w:hAnsiTheme="minorHAnsi" w:cstheme="minorHAnsi"/>
                <w:b/>
                <w:bCs/>
                <w:color w:val="000000"/>
                <w:lang w:eastAsia="en-GB"/>
              </w:rPr>
            </w:pPr>
          </w:p>
        </w:tc>
        <w:tc>
          <w:tcPr>
            <w:tcW w:w="606" w:type="pct"/>
            <w:shd w:val="clear" w:color="auto" w:fill="DDEBF7"/>
            <w:noWrap/>
          </w:tcPr>
          <w:p w14:paraId="6B926390" w14:textId="40171D10" w:rsidR="00FF7846" w:rsidRPr="004C143B" w:rsidRDefault="00FF7846" w:rsidP="00EB68CB">
            <w:pPr>
              <w:ind w:left="0" w:firstLine="0"/>
              <w:rPr>
                <w:rFonts w:asciiTheme="minorHAnsi" w:eastAsia="Times New Roman" w:hAnsiTheme="minorHAnsi" w:cstheme="minorHAnsi"/>
                <w:color w:val="000000"/>
              </w:rPr>
            </w:pPr>
            <w:r>
              <w:rPr>
                <w:rFonts w:asciiTheme="minorHAnsi" w:hAnsiTheme="minorHAnsi"/>
                <w:color w:val="000000"/>
              </w:rPr>
              <w:t xml:space="preserve">Journée mondiale des zones humides </w:t>
            </w:r>
          </w:p>
        </w:tc>
        <w:tc>
          <w:tcPr>
            <w:tcW w:w="809" w:type="pct"/>
            <w:shd w:val="clear" w:color="auto" w:fill="DDEBF7"/>
          </w:tcPr>
          <w:p w14:paraId="09D8B15E" w14:textId="4817BBC3" w:rsidR="00FF7846" w:rsidRPr="004C143B" w:rsidRDefault="00FF7846" w:rsidP="00EB68CB">
            <w:pPr>
              <w:ind w:left="0" w:firstLine="0"/>
              <w:rPr>
                <w:rFonts w:asciiTheme="minorHAnsi" w:eastAsia="Times New Roman" w:hAnsiTheme="minorHAnsi" w:cstheme="minorHAnsi"/>
                <w:color w:val="000000"/>
              </w:rPr>
            </w:pPr>
            <w:r>
              <w:rPr>
                <w:rFonts w:asciiTheme="minorHAnsi" w:hAnsiTheme="minorHAnsi"/>
                <w:color w:val="000000"/>
              </w:rPr>
              <w:t>Financer l’élaboration de supports de communication et de sensibilisation.</w:t>
            </w:r>
          </w:p>
        </w:tc>
        <w:tc>
          <w:tcPr>
            <w:tcW w:w="454" w:type="pct"/>
            <w:shd w:val="clear" w:color="auto" w:fill="DDEBF7"/>
            <w:noWrap/>
          </w:tcPr>
          <w:p w14:paraId="1B48D794" w14:textId="77777777" w:rsidR="00FF7846" w:rsidRPr="004C143B" w:rsidRDefault="00FF7846" w:rsidP="00FF7846">
            <w:pPr>
              <w:ind w:left="0" w:firstLine="0"/>
              <w:jc w:val="center"/>
              <w:rPr>
                <w:rFonts w:asciiTheme="minorHAnsi" w:eastAsia="Times New Roman" w:hAnsiTheme="minorHAnsi" w:cstheme="minorHAnsi"/>
                <w:color w:val="000000"/>
              </w:rPr>
            </w:pPr>
            <w:r>
              <w:rPr>
                <w:rFonts w:asciiTheme="minorHAnsi" w:hAnsiTheme="minorHAnsi"/>
                <w:color w:val="000000"/>
              </w:rPr>
              <w:t>250 000</w:t>
            </w:r>
          </w:p>
          <w:p w14:paraId="7AE6645B" w14:textId="66F1BE89" w:rsidR="00C03F48" w:rsidRPr="004C143B" w:rsidRDefault="00C03F48" w:rsidP="00FF7846">
            <w:pPr>
              <w:ind w:left="0" w:firstLine="0"/>
              <w:jc w:val="center"/>
              <w:rPr>
                <w:rFonts w:asciiTheme="minorHAnsi" w:eastAsia="Times New Roman" w:hAnsiTheme="minorHAnsi" w:cstheme="minorHAnsi"/>
                <w:color w:val="000000"/>
                <w:lang w:eastAsia="en-GB"/>
              </w:rPr>
            </w:pPr>
          </w:p>
        </w:tc>
        <w:tc>
          <w:tcPr>
            <w:tcW w:w="1111" w:type="pct"/>
            <w:shd w:val="clear" w:color="auto" w:fill="DDEBF7"/>
          </w:tcPr>
          <w:p w14:paraId="28F9B58D" w14:textId="4782A23C" w:rsidR="00FF7846" w:rsidRPr="004C143B" w:rsidRDefault="00FF7846" w:rsidP="00A24404">
            <w:pPr>
              <w:pStyle w:val="ListParagraph"/>
              <w:numPr>
                <w:ilvl w:val="0"/>
                <w:numId w:val="38"/>
              </w:numPr>
              <w:rPr>
                <w:rFonts w:asciiTheme="minorHAnsi" w:eastAsia="Times New Roman" w:hAnsiTheme="minorHAnsi" w:cstheme="minorHAnsi"/>
                <w:color w:val="000000"/>
              </w:rPr>
            </w:pPr>
            <w:r>
              <w:rPr>
                <w:rFonts w:asciiTheme="minorHAnsi" w:hAnsiTheme="minorHAnsi"/>
                <w:color w:val="000000"/>
              </w:rPr>
              <w:t xml:space="preserve">Préparer une proposition.  </w:t>
            </w:r>
          </w:p>
          <w:p w14:paraId="42FFEE98" w14:textId="72CB3947" w:rsidR="00FF7846" w:rsidRPr="004C143B" w:rsidRDefault="00FF7846" w:rsidP="00864A66">
            <w:pPr>
              <w:pStyle w:val="ListParagraph"/>
              <w:numPr>
                <w:ilvl w:val="0"/>
                <w:numId w:val="38"/>
              </w:numPr>
              <w:rPr>
                <w:rFonts w:asciiTheme="minorHAnsi" w:eastAsia="Times New Roman" w:hAnsiTheme="minorHAnsi" w:cstheme="minorHAnsi"/>
                <w:color w:val="000000"/>
              </w:rPr>
            </w:pPr>
            <w:r>
              <w:rPr>
                <w:rFonts w:asciiTheme="minorHAnsi" w:hAnsiTheme="minorHAnsi"/>
                <w:color w:val="000000"/>
              </w:rPr>
              <w:t xml:space="preserve">Sensibilisation des partenaires et des bailleurs de fonds. </w:t>
            </w:r>
          </w:p>
        </w:tc>
        <w:tc>
          <w:tcPr>
            <w:tcW w:w="910" w:type="pct"/>
            <w:shd w:val="clear" w:color="auto" w:fill="DDEBF7"/>
            <w:noWrap/>
          </w:tcPr>
          <w:p w14:paraId="34E7FBE8" w14:textId="1CBF9742" w:rsidR="00FF7846" w:rsidRPr="004C143B" w:rsidRDefault="00FF7846" w:rsidP="000805B0">
            <w:pPr>
              <w:pStyle w:val="ListParagraph"/>
              <w:numPr>
                <w:ilvl w:val="0"/>
                <w:numId w:val="38"/>
              </w:numPr>
              <w:rPr>
                <w:rFonts w:asciiTheme="minorHAnsi" w:eastAsia="Times New Roman" w:hAnsiTheme="minorHAnsi" w:cstheme="minorHAnsi"/>
                <w:color w:val="000000"/>
              </w:rPr>
            </w:pPr>
            <w:r>
              <w:rPr>
                <w:rFonts w:asciiTheme="minorHAnsi" w:hAnsiTheme="minorHAnsi"/>
                <w:color w:val="000000"/>
              </w:rPr>
              <w:t>Préparer une proposition.</w:t>
            </w:r>
          </w:p>
          <w:p w14:paraId="73A4E619" w14:textId="37CED7FA" w:rsidR="00FF7846" w:rsidRPr="004C143B" w:rsidRDefault="00FF7846" w:rsidP="000805B0">
            <w:pPr>
              <w:pStyle w:val="ListParagraph"/>
              <w:numPr>
                <w:ilvl w:val="0"/>
                <w:numId w:val="38"/>
              </w:numPr>
              <w:rPr>
                <w:rFonts w:asciiTheme="minorHAnsi" w:eastAsia="Times New Roman" w:hAnsiTheme="minorHAnsi" w:cstheme="minorHAnsi"/>
                <w:color w:val="000000"/>
              </w:rPr>
            </w:pPr>
            <w:r>
              <w:rPr>
                <w:rFonts w:asciiTheme="minorHAnsi" w:hAnsiTheme="minorHAnsi"/>
                <w:color w:val="000000"/>
              </w:rPr>
              <w:t>Sensibilisation des partenaires et des bailleurs de fonds.</w:t>
            </w:r>
          </w:p>
        </w:tc>
        <w:tc>
          <w:tcPr>
            <w:tcW w:w="910" w:type="pct"/>
            <w:shd w:val="clear" w:color="auto" w:fill="DDEBF7"/>
            <w:noWrap/>
          </w:tcPr>
          <w:p w14:paraId="2599067A" w14:textId="77777777" w:rsidR="00FF7846" w:rsidRPr="004C143B" w:rsidRDefault="00FF7846" w:rsidP="00E03E71">
            <w:pPr>
              <w:pStyle w:val="ListParagraph"/>
              <w:numPr>
                <w:ilvl w:val="0"/>
                <w:numId w:val="38"/>
              </w:numPr>
              <w:rPr>
                <w:rFonts w:asciiTheme="minorHAnsi" w:eastAsia="Times New Roman" w:hAnsiTheme="minorHAnsi" w:cstheme="minorHAnsi"/>
                <w:color w:val="000000"/>
              </w:rPr>
            </w:pPr>
            <w:r>
              <w:rPr>
                <w:rFonts w:asciiTheme="minorHAnsi" w:hAnsiTheme="minorHAnsi"/>
                <w:color w:val="000000"/>
              </w:rPr>
              <w:t xml:space="preserve">Préparer une proposition.  </w:t>
            </w:r>
          </w:p>
          <w:p w14:paraId="181C54C8" w14:textId="28DEF4E4" w:rsidR="00FF7846" w:rsidRPr="004C143B" w:rsidRDefault="00FF7846" w:rsidP="00E03E71">
            <w:pPr>
              <w:pStyle w:val="ListParagraph"/>
              <w:numPr>
                <w:ilvl w:val="0"/>
                <w:numId w:val="38"/>
              </w:numPr>
              <w:rPr>
                <w:rFonts w:asciiTheme="minorHAnsi" w:eastAsia="Times New Roman" w:hAnsiTheme="minorHAnsi" w:cstheme="minorHAnsi"/>
                <w:color w:val="000000"/>
              </w:rPr>
            </w:pPr>
            <w:r>
              <w:rPr>
                <w:rFonts w:asciiTheme="minorHAnsi" w:hAnsiTheme="minorHAnsi"/>
                <w:color w:val="000000"/>
              </w:rPr>
              <w:t>Sensibilisation des partenaires et des bailleurs de fonds.</w:t>
            </w:r>
          </w:p>
        </w:tc>
      </w:tr>
      <w:tr w:rsidR="00864A66" w:rsidRPr="004C143B" w14:paraId="1C1E53D9" w14:textId="77777777" w:rsidTr="004C143B">
        <w:trPr>
          <w:cantSplit/>
        </w:trPr>
        <w:tc>
          <w:tcPr>
            <w:tcW w:w="200" w:type="pct"/>
            <w:shd w:val="clear" w:color="auto" w:fill="FFFFFF" w:themeFill="background1"/>
          </w:tcPr>
          <w:p w14:paraId="5D03D528" w14:textId="77777777" w:rsidR="00FF7846" w:rsidRPr="004C143B" w:rsidRDefault="00FF7846" w:rsidP="004C143B">
            <w:pPr>
              <w:pStyle w:val="ListParagraph"/>
              <w:numPr>
                <w:ilvl w:val="0"/>
                <w:numId w:val="45"/>
              </w:numPr>
              <w:ind w:left="0" w:firstLine="0"/>
              <w:rPr>
                <w:rFonts w:asciiTheme="minorHAnsi" w:eastAsia="Times New Roman" w:hAnsiTheme="minorHAnsi" w:cstheme="minorHAnsi"/>
                <w:b/>
                <w:bCs/>
                <w:color w:val="000000"/>
                <w:lang w:eastAsia="en-GB"/>
              </w:rPr>
            </w:pPr>
          </w:p>
        </w:tc>
        <w:tc>
          <w:tcPr>
            <w:tcW w:w="606" w:type="pct"/>
            <w:shd w:val="clear" w:color="auto" w:fill="FFFFFF" w:themeFill="background1"/>
            <w:noWrap/>
          </w:tcPr>
          <w:p w14:paraId="2C6965CE" w14:textId="49B360A4" w:rsidR="00FF7846" w:rsidRPr="004C143B" w:rsidRDefault="00FF7846" w:rsidP="00BE3A3F">
            <w:pPr>
              <w:ind w:left="0" w:firstLine="0"/>
              <w:rPr>
                <w:rFonts w:asciiTheme="minorHAnsi" w:eastAsia="Times New Roman" w:hAnsiTheme="minorHAnsi" w:cstheme="minorHAnsi"/>
                <w:color w:val="000000"/>
              </w:rPr>
            </w:pPr>
            <w:r>
              <w:rPr>
                <w:rFonts w:asciiTheme="minorHAnsi" w:hAnsiTheme="minorHAnsi"/>
                <w:color w:val="000000"/>
              </w:rPr>
              <w:t xml:space="preserve">Inventaires des zones humides </w:t>
            </w:r>
          </w:p>
        </w:tc>
        <w:tc>
          <w:tcPr>
            <w:tcW w:w="809" w:type="pct"/>
            <w:shd w:val="clear" w:color="auto" w:fill="FFFFFF" w:themeFill="background1"/>
          </w:tcPr>
          <w:p w14:paraId="4FB9FCA2" w14:textId="396F8CA9" w:rsidR="00FF7846" w:rsidRPr="004C143B" w:rsidRDefault="00FF7846" w:rsidP="00EB68CB">
            <w:pPr>
              <w:ind w:left="0" w:firstLine="0"/>
              <w:rPr>
                <w:rFonts w:asciiTheme="minorHAnsi" w:eastAsia="Times New Roman" w:hAnsiTheme="minorHAnsi" w:cstheme="minorHAnsi"/>
                <w:color w:val="000000"/>
              </w:rPr>
            </w:pPr>
            <w:r>
              <w:rPr>
                <w:rFonts w:asciiTheme="minorHAnsi" w:hAnsiTheme="minorHAnsi"/>
                <w:color w:val="000000"/>
              </w:rPr>
              <w:t>Aider les Parties contractantes à commencer, mener ou achever l’inventaire de leurs zones humides. </w:t>
            </w:r>
          </w:p>
        </w:tc>
        <w:tc>
          <w:tcPr>
            <w:tcW w:w="454" w:type="pct"/>
            <w:shd w:val="clear" w:color="auto" w:fill="FFFFFF" w:themeFill="background1"/>
            <w:noWrap/>
          </w:tcPr>
          <w:p w14:paraId="009B842C" w14:textId="0970EC27" w:rsidR="00FF7846" w:rsidRPr="004C143B" w:rsidRDefault="00FF7846" w:rsidP="00FF7846">
            <w:pPr>
              <w:ind w:left="0" w:firstLine="0"/>
              <w:jc w:val="center"/>
              <w:rPr>
                <w:rFonts w:asciiTheme="minorHAnsi" w:eastAsia="Times New Roman" w:hAnsiTheme="minorHAnsi" w:cstheme="minorHAnsi"/>
                <w:color w:val="000000"/>
              </w:rPr>
            </w:pPr>
            <w:r>
              <w:rPr>
                <w:rFonts w:asciiTheme="minorHAnsi" w:hAnsiTheme="minorHAnsi"/>
                <w:color w:val="000000"/>
              </w:rPr>
              <w:t>165 000</w:t>
            </w:r>
          </w:p>
        </w:tc>
        <w:tc>
          <w:tcPr>
            <w:tcW w:w="1111" w:type="pct"/>
            <w:shd w:val="clear" w:color="auto" w:fill="FFFFFF" w:themeFill="background1"/>
          </w:tcPr>
          <w:p w14:paraId="17257408" w14:textId="6F0ACCE0" w:rsidR="00AB667B" w:rsidRPr="004C143B" w:rsidRDefault="28387FA0" w:rsidP="36DAF3CC">
            <w:pPr>
              <w:pStyle w:val="ListParagraph"/>
              <w:numPr>
                <w:ilvl w:val="0"/>
                <w:numId w:val="47"/>
              </w:numPr>
              <w:rPr>
                <w:rFonts w:asciiTheme="minorHAnsi" w:eastAsia="Times New Roman" w:hAnsiTheme="minorHAnsi" w:cstheme="minorHAnsi"/>
                <w:color w:val="000000"/>
              </w:rPr>
            </w:pPr>
            <w:r>
              <w:rPr>
                <w:rFonts w:asciiTheme="minorHAnsi" w:hAnsiTheme="minorHAnsi"/>
                <w:color w:val="000000" w:themeColor="text1"/>
              </w:rPr>
              <w:t xml:space="preserve">Partager la proposition de projet avec les partenaires et les bailleurs de fonds. </w:t>
            </w:r>
          </w:p>
          <w:p w14:paraId="48C8D9F4" w14:textId="31A17818" w:rsidR="00FF7846" w:rsidRPr="00F37FA4" w:rsidRDefault="00FF5E1D" w:rsidP="00F37FA4">
            <w:pPr>
              <w:pStyle w:val="ListParagraph"/>
              <w:numPr>
                <w:ilvl w:val="0"/>
                <w:numId w:val="47"/>
              </w:numPr>
              <w:rPr>
                <w:rFonts w:asciiTheme="minorHAnsi" w:eastAsia="Times New Roman" w:hAnsiTheme="minorHAnsi" w:cstheme="minorHAnsi"/>
                <w:color w:val="000000"/>
              </w:rPr>
            </w:pPr>
            <w:r>
              <w:rPr>
                <w:rFonts w:asciiTheme="minorHAnsi" w:hAnsiTheme="minorHAnsi"/>
                <w:color w:val="000000" w:themeColor="text1"/>
              </w:rPr>
              <w:t xml:space="preserve">Informer les bailleurs de fonds actuels de l’état d’avancement de la mise en œuvre. </w:t>
            </w:r>
          </w:p>
        </w:tc>
        <w:tc>
          <w:tcPr>
            <w:tcW w:w="910" w:type="pct"/>
            <w:shd w:val="clear" w:color="auto" w:fill="FFFFFF" w:themeFill="background1"/>
            <w:noWrap/>
          </w:tcPr>
          <w:p w14:paraId="2AEC3FB0" w14:textId="32257B29" w:rsidR="00FF7846" w:rsidRPr="004C143B" w:rsidRDefault="00FF7846" w:rsidP="00D563B4">
            <w:pPr>
              <w:pStyle w:val="ListParagraph"/>
              <w:numPr>
                <w:ilvl w:val="0"/>
                <w:numId w:val="38"/>
              </w:numPr>
              <w:rPr>
                <w:rFonts w:asciiTheme="minorHAnsi" w:eastAsia="Times New Roman" w:hAnsiTheme="minorHAnsi" w:cstheme="minorHAnsi"/>
                <w:color w:val="000000"/>
              </w:rPr>
            </w:pPr>
            <w:r>
              <w:rPr>
                <w:rFonts w:asciiTheme="minorHAnsi" w:hAnsiTheme="minorHAnsi"/>
                <w:color w:val="000000"/>
              </w:rPr>
              <w:t xml:space="preserve">Sensibilisation des partenaires et des bailleurs de fonds. </w:t>
            </w:r>
          </w:p>
          <w:p w14:paraId="692A2D40" w14:textId="1A890983" w:rsidR="00FF7846" w:rsidRPr="004C143B" w:rsidRDefault="00FF5E1D" w:rsidP="004C143B">
            <w:pPr>
              <w:pStyle w:val="ListParagraph"/>
              <w:numPr>
                <w:ilvl w:val="0"/>
                <w:numId w:val="38"/>
              </w:numPr>
            </w:pPr>
            <w:r>
              <w:rPr>
                <w:rFonts w:asciiTheme="minorHAnsi" w:hAnsiTheme="minorHAnsi"/>
                <w:color w:val="000000"/>
              </w:rPr>
              <w:t xml:space="preserve">Informer les bailleurs de fonds actuels de l'état d'avancement de la mise en œuvre. </w:t>
            </w:r>
          </w:p>
        </w:tc>
        <w:tc>
          <w:tcPr>
            <w:tcW w:w="910" w:type="pct"/>
            <w:shd w:val="clear" w:color="auto" w:fill="FFFFFF" w:themeFill="background1"/>
            <w:noWrap/>
          </w:tcPr>
          <w:p w14:paraId="6911D946" w14:textId="62F29647" w:rsidR="00FF7846" w:rsidRPr="004C143B" w:rsidRDefault="00FF7846" w:rsidP="00E03E71">
            <w:pPr>
              <w:pStyle w:val="ListParagraph"/>
              <w:numPr>
                <w:ilvl w:val="0"/>
                <w:numId w:val="38"/>
              </w:numPr>
              <w:rPr>
                <w:rFonts w:asciiTheme="minorHAnsi" w:eastAsia="Times New Roman" w:hAnsiTheme="minorHAnsi" w:cstheme="minorHAnsi"/>
                <w:color w:val="000000"/>
              </w:rPr>
            </w:pPr>
            <w:r>
              <w:rPr>
                <w:rFonts w:asciiTheme="minorHAnsi" w:hAnsiTheme="minorHAnsi"/>
                <w:color w:val="000000"/>
              </w:rPr>
              <w:t xml:space="preserve">Sensibilisation des partenaires et des bailleurs de fonds. </w:t>
            </w:r>
          </w:p>
          <w:p w14:paraId="1216E2F8" w14:textId="163EA36F" w:rsidR="00FF7846" w:rsidRPr="004C143B" w:rsidRDefault="00FF5E1D" w:rsidP="00F37FA4">
            <w:pPr>
              <w:pStyle w:val="ListParagraph"/>
              <w:numPr>
                <w:ilvl w:val="0"/>
                <w:numId w:val="38"/>
              </w:numPr>
            </w:pPr>
            <w:r>
              <w:rPr>
                <w:rFonts w:asciiTheme="minorHAnsi" w:hAnsiTheme="minorHAnsi"/>
                <w:color w:val="000000"/>
              </w:rPr>
              <w:t xml:space="preserve">Informer les bailleurs de fonds actuels de l'état d'avancement de la mise en œuvre. </w:t>
            </w:r>
          </w:p>
        </w:tc>
      </w:tr>
      <w:tr w:rsidR="00E66205" w:rsidRPr="004C143B" w14:paraId="29EE9B08" w14:textId="77777777" w:rsidTr="004C143B">
        <w:trPr>
          <w:cantSplit/>
        </w:trPr>
        <w:tc>
          <w:tcPr>
            <w:tcW w:w="200" w:type="pct"/>
            <w:shd w:val="clear" w:color="auto" w:fill="DDEBF7"/>
          </w:tcPr>
          <w:p w14:paraId="7B8B59CA" w14:textId="77777777" w:rsidR="00FF7846" w:rsidRPr="004C143B" w:rsidRDefault="00FF7846" w:rsidP="004C143B">
            <w:pPr>
              <w:pStyle w:val="ListParagraph"/>
              <w:numPr>
                <w:ilvl w:val="0"/>
                <w:numId w:val="45"/>
              </w:numPr>
              <w:ind w:left="0" w:firstLine="0"/>
              <w:rPr>
                <w:rFonts w:asciiTheme="minorHAnsi" w:eastAsia="Times New Roman" w:hAnsiTheme="minorHAnsi" w:cstheme="minorHAnsi"/>
                <w:b/>
                <w:bCs/>
                <w:color w:val="000000"/>
                <w:lang w:eastAsia="en-GB"/>
              </w:rPr>
            </w:pPr>
          </w:p>
        </w:tc>
        <w:tc>
          <w:tcPr>
            <w:tcW w:w="606" w:type="pct"/>
            <w:shd w:val="clear" w:color="auto" w:fill="DDEBF7"/>
            <w:noWrap/>
          </w:tcPr>
          <w:p w14:paraId="691E1EA3" w14:textId="0F841565" w:rsidR="00FF7846" w:rsidRPr="004C143B" w:rsidRDefault="00FF7846" w:rsidP="00BE3A3F">
            <w:pPr>
              <w:ind w:left="0" w:firstLine="0"/>
              <w:rPr>
                <w:rFonts w:asciiTheme="minorHAnsi" w:eastAsia="Times New Roman" w:hAnsiTheme="minorHAnsi" w:cstheme="minorHAnsi"/>
                <w:color w:val="000000"/>
              </w:rPr>
            </w:pPr>
            <w:r>
              <w:rPr>
                <w:rFonts w:asciiTheme="minorHAnsi" w:hAnsiTheme="minorHAnsi"/>
                <w:color w:val="000000"/>
              </w:rPr>
              <w:t>Frais de déplacement des délégués parrainés pour la COP15</w:t>
            </w:r>
          </w:p>
        </w:tc>
        <w:tc>
          <w:tcPr>
            <w:tcW w:w="809" w:type="pct"/>
            <w:shd w:val="clear" w:color="auto" w:fill="DDEBF7"/>
          </w:tcPr>
          <w:p w14:paraId="64BC7012" w14:textId="747D2F6C" w:rsidR="00FF7846" w:rsidRPr="004C143B" w:rsidRDefault="00FF7846" w:rsidP="00EB68CB">
            <w:pPr>
              <w:ind w:left="0" w:firstLine="0"/>
              <w:rPr>
                <w:rFonts w:asciiTheme="minorHAnsi" w:eastAsia="Times New Roman" w:hAnsiTheme="minorHAnsi" w:cstheme="minorHAnsi"/>
                <w:color w:val="000000"/>
              </w:rPr>
            </w:pPr>
            <w:r>
              <w:rPr>
                <w:rFonts w:asciiTheme="minorHAnsi" w:hAnsiTheme="minorHAnsi"/>
                <w:color w:val="000000"/>
              </w:rPr>
              <w:t>Soutien financier aux Parties contractantes figurant sur la liste du CAD et des petits États insulaires en développement, afin de leur permettre de participer à la session.</w:t>
            </w:r>
          </w:p>
        </w:tc>
        <w:tc>
          <w:tcPr>
            <w:tcW w:w="454" w:type="pct"/>
            <w:shd w:val="clear" w:color="auto" w:fill="DDEBF7"/>
            <w:noWrap/>
          </w:tcPr>
          <w:p w14:paraId="2A0E5FCF" w14:textId="0D163860" w:rsidR="00FF7846" w:rsidRPr="004C143B" w:rsidRDefault="00FF7846" w:rsidP="00FF7846">
            <w:pPr>
              <w:ind w:left="0" w:firstLine="0"/>
              <w:jc w:val="center"/>
              <w:rPr>
                <w:rFonts w:asciiTheme="minorHAnsi" w:eastAsia="Times New Roman" w:hAnsiTheme="minorHAnsi" w:cstheme="minorHAnsi"/>
                <w:color w:val="000000"/>
              </w:rPr>
            </w:pPr>
            <w:r>
              <w:rPr>
                <w:rFonts w:asciiTheme="minorHAnsi" w:hAnsiTheme="minorHAnsi"/>
                <w:color w:val="000000"/>
              </w:rPr>
              <w:t>600 000</w:t>
            </w:r>
          </w:p>
        </w:tc>
        <w:tc>
          <w:tcPr>
            <w:tcW w:w="1111" w:type="pct"/>
            <w:shd w:val="clear" w:color="auto" w:fill="DDEBF7"/>
          </w:tcPr>
          <w:p w14:paraId="62963168" w14:textId="16CCE769" w:rsidR="00FF7846" w:rsidRPr="004C143B" w:rsidRDefault="7068859A" w:rsidP="36DAF3CC">
            <w:pPr>
              <w:pStyle w:val="ListParagraph"/>
              <w:numPr>
                <w:ilvl w:val="0"/>
                <w:numId w:val="46"/>
              </w:numPr>
              <w:rPr>
                <w:rFonts w:asciiTheme="minorHAnsi" w:eastAsia="Times New Roman" w:hAnsiTheme="minorHAnsi" w:cstheme="minorHAnsi"/>
                <w:color w:val="000000"/>
              </w:rPr>
            </w:pPr>
            <w:r>
              <w:rPr>
                <w:rFonts w:asciiTheme="minorHAnsi" w:hAnsiTheme="minorHAnsi"/>
                <w:color w:val="000000" w:themeColor="text1"/>
              </w:rPr>
              <w:t xml:space="preserve">Faire l’état des lieux des bailleurs de fonds. </w:t>
            </w:r>
          </w:p>
        </w:tc>
        <w:tc>
          <w:tcPr>
            <w:tcW w:w="910" w:type="pct"/>
            <w:shd w:val="clear" w:color="auto" w:fill="DDEBF7"/>
            <w:noWrap/>
          </w:tcPr>
          <w:p w14:paraId="07007C4C" w14:textId="77777777" w:rsidR="00FF7846" w:rsidRPr="004C143B" w:rsidRDefault="00FF7846" w:rsidP="00231D73">
            <w:pPr>
              <w:pStyle w:val="ListParagraph"/>
              <w:numPr>
                <w:ilvl w:val="0"/>
                <w:numId w:val="42"/>
              </w:numPr>
              <w:rPr>
                <w:rFonts w:asciiTheme="minorHAnsi" w:eastAsia="Times New Roman" w:hAnsiTheme="minorHAnsi" w:cstheme="minorHAnsi"/>
                <w:color w:val="000000"/>
              </w:rPr>
            </w:pPr>
            <w:r>
              <w:rPr>
                <w:rFonts w:asciiTheme="minorHAnsi" w:hAnsiTheme="minorHAnsi"/>
                <w:color w:val="000000"/>
              </w:rPr>
              <w:t xml:space="preserve">Préparer la proposition. </w:t>
            </w:r>
          </w:p>
          <w:p w14:paraId="047E4079" w14:textId="0F7C1F73" w:rsidR="00FF7846" w:rsidRPr="004C143B" w:rsidRDefault="00FF7846" w:rsidP="00231D73">
            <w:pPr>
              <w:pStyle w:val="ListParagraph"/>
              <w:numPr>
                <w:ilvl w:val="0"/>
                <w:numId w:val="42"/>
              </w:numPr>
              <w:rPr>
                <w:rFonts w:asciiTheme="minorHAnsi" w:eastAsia="Times New Roman" w:hAnsiTheme="minorHAnsi" w:cstheme="minorHAnsi"/>
                <w:color w:val="000000"/>
              </w:rPr>
            </w:pPr>
            <w:r>
              <w:rPr>
                <w:rFonts w:asciiTheme="minorHAnsi" w:hAnsiTheme="minorHAnsi"/>
                <w:color w:val="000000"/>
              </w:rPr>
              <w:t>Sensibilisation des partenaires et des bailleurs de fonds.</w:t>
            </w:r>
          </w:p>
        </w:tc>
        <w:tc>
          <w:tcPr>
            <w:tcW w:w="910" w:type="pct"/>
            <w:shd w:val="clear" w:color="auto" w:fill="DDEBF7"/>
            <w:noWrap/>
          </w:tcPr>
          <w:p w14:paraId="7A7C253D" w14:textId="4DD67272" w:rsidR="00FF7846" w:rsidRPr="004C143B" w:rsidRDefault="00FF7846" w:rsidP="00231D73">
            <w:pPr>
              <w:pStyle w:val="ListParagraph"/>
              <w:numPr>
                <w:ilvl w:val="0"/>
                <w:numId w:val="42"/>
              </w:numPr>
              <w:rPr>
                <w:rFonts w:asciiTheme="minorHAnsi" w:eastAsia="Times New Roman" w:hAnsiTheme="minorHAnsi" w:cstheme="minorHAnsi"/>
                <w:color w:val="000000"/>
              </w:rPr>
            </w:pPr>
            <w:r>
              <w:rPr>
                <w:rFonts w:asciiTheme="minorHAnsi" w:hAnsiTheme="minorHAnsi"/>
                <w:color w:val="000000"/>
              </w:rPr>
              <w:t>Sensibilisation des partenaires et des bailleurs de fonds.</w:t>
            </w:r>
          </w:p>
        </w:tc>
      </w:tr>
      <w:tr w:rsidR="00864A66" w:rsidRPr="004C143B" w14:paraId="59FF6066" w14:textId="77777777" w:rsidTr="004C143B">
        <w:trPr>
          <w:cantSplit/>
        </w:trPr>
        <w:tc>
          <w:tcPr>
            <w:tcW w:w="200" w:type="pct"/>
            <w:shd w:val="clear" w:color="auto" w:fill="FFFFFF" w:themeFill="background1"/>
          </w:tcPr>
          <w:p w14:paraId="6209A82B" w14:textId="77777777" w:rsidR="00FF7846" w:rsidRPr="004C143B" w:rsidRDefault="00FF7846" w:rsidP="004C143B">
            <w:pPr>
              <w:pStyle w:val="ListParagraph"/>
              <w:numPr>
                <w:ilvl w:val="0"/>
                <w:numId w:val="45"/>
              </w:numPr>
              <w:ind w:left="0" w:firstLine="0"/>
              <w:rPr>
                <w:rFonts w:asciiTheme="minorHAnsi" w:eastAsia="Times New Roman" w:hAnsiTheme="minorHAnsi" w:cstheme="minorHAnsi"/>
                <w:b/>
                <w:bCs/>
                <w:color w:val="000000"/>
                <w:lang w:eastAsia="en-GB"/>
              </w:rPr>
            </w:pPr>
          </w:p>
        </w:tc>
        <w:tc>
          <w:tcPr>
            <w:tcW w:w="606" w:type="pct"/>
            <w:shd w:val="clear" w:color="auto" w:fill="FFFFFF" w:themeFill="background1"/>
            <w:noWrap/>
            <w:hideMark/>
          </w:tcPr>
          <w:p w14:paraId="316BD5BB" w14:textId="293A0CCD" w:rsidR="00FF7846" w:rsidRPr="004C143B" w:rsidRDefault="00FF7846" w:rsidP="004F3F1A">
            <w:pPr>
              <w:ind w:left="0" w:firstLine="0"/>
              <w:rPr>
                <w:rFonts w:asciiTheme="minorHAnsi" w:eastAsia="Times New Roman" w:hAnsiTheme="minorHAnsi" w:cstheme="minorHAnsi"/>
                <w:color w:val="000000"/>
              </w:rPr>
            </w:pPr>
            <w:r>
              <w:rPr>
                <w:rFonts w:asciiTheme="minorHAnsi" w:hAnsiTheme="minorHAnsi"/>
                <w:color w:val="000000"/>
              </w:rPr>
              <w:t>Plan de travail du GEST</w:t>
            </w:r>
          </w:p>
        </w:tc>
        <w:tc>
          <w:tcPr>
            <w:tcW w:w="809" w:type="pct"/>
            <w:shd w:val="clear" w:color="auto" w:fill="FFFFFF" w:themeFill="background1"/>
          </w:tcPr>
          <w:p w14:paraId="7EC1EBDA" w14:textId="0B161B8D" w:rsidR="00FF7846" w:rsidRPr="004C143B" w:rsidRDefault="00FF7846" w:rsidP="00EB68CB">
            <w:pPr>
              <w:ind w:left="0" w:firstLine="0"/>
              <w:rPr>
                <w:rFonts w:asciiTheme="minorHAnsi" w:eastAsia="Times New Roman" w:hAnsiTheme="minorHAnsi" w:cstheme="minorHAnsi"/>
                <w:color w:val="000000"/>
              </w:rPr>
            </w:pPr>
            <w:r>
              <w:rPr>
                <w:rFonts w:asciiTheme="minorHAnsi" w:hAnsiTheme="minorHAnsi"/>
                <w:color w:val="000000"/>
              </w:rPr>
              <w:t>Appuyer l’élaboration et la production des produits détaillés dans le plan de travail du Groupe d’évaluation scientifique et technique.</w:t>
            </w:r>
          </w:p>
        </w:tc>
        <w:tc>
          <w:tcPr>
            <w:tcW w:w="454" w:type="pct"/>
            <w:shd w:val="clear" w:color="auto" w:fill="FFFFFF" w:themeFill="background1"/>
            <w:noWrap/>
            <w:hideMark/>
          </w:tcPr>
          <w:p w14:paraId="5D1A53D8" w14:textId="0B04F5BA" w:rsidR="00FF7846" w:rsidRPr="004C143B" w:rsidRDefault="00FF7846" w:rsidP="00FF7846">
            <w:pPr>
              <w:ind w:left="0" w:firstLine="0"/>
              <w:jc w:val="center"/>
              <w:rPr>
                <w:rFonts w:asciiTheme="minorHAnsi" w:eastAsia="Times New Roman" w:hAnsiTheme="minorHAnsi" w:cstheme="minorHAnsi"/>
                <w:color w:val="000000"/>
              </w:rPr>
            </w:pPr>
            <w:r>
              <w:rPr>
                <w:rFonts w:asciiTheme="minorHAnsi" w:hAnsiTheme="minorHAnsi"/>
                <w:color w:val="000000"/>
              </w:rPr>
              <w:t>300 000</w:t>
            </w:r>
          </w:p>
        </w:tc>
        <w:tc>
          <w:tcPr>
            <w:tcW w:w="1111" w:type="pct"/>
            <w:shd w:val="clear" w:color="auto" w:fill="FFFFFF" w:themeFill="background1"/>
          </w:tcPr>
          <w:p w14:paraId="093AB9A0" w14:textId="10C538F7" w:rsidR="00FF7846" w:rsidRPr="004C143B" w:rsidRDefault="00FF7846" w:rsidP="00FA49EA">
            <w:pPr>
              <w:pStyle w:val="ListParagraph"/>
              <w:numPr>
                <w:ilvl w:val="0"/>
                <w:numId w:val="37"/>
              </w:numPr>
              <w:rPr>
                <w:rFonts w:asciiTheme="minorHAnsi" w:eastAsia="Times New Roman" w:hAnsiTheme="minorHAnsi" w:cstheme="minorHAnsi"/>
                <w:color w:val="000000"/>
              </w:rPr>
            </w:pPr>
            <w:r>
              <w:rPr>
                <w:rFonts w:asciiTheme="minorHAnsi" w:hAnsiTheme="minorHAnsi"/>
                <w:color w:val="000000"/>
              </w:rPr>
              <w:t>Élaborer des propositions de financement sur la base du plan de travail approuvé du GEST.</w:t>
            </w:r>
          </w:p>
          <w:p w14:paraId="2CEFDD82" w14:textId="31F5CAD9" w:rsidR="00FF7846" w:rsidRPr="004C143B" w:rsidRDefault="00FF7846" w:rsidP="00FA49EA">
            <w:pPr>
              <w:pStyle w:val="ListParagraph"/>
              <w:numPr>
                <w:ilvl w:val="0"/>
                <w:numId w:val="37"/>
              </w:numPr>
              <w:rPr>
                <w:rFonts w:asciiTheme="minorHAnsi" w:eastAsia="Times New Roman" w:hAnsiTheme="minorHAnsi" w:cstheme="minorHAnsi"/>
                <w:color w:val="000000"/>
              </w:rPr>
            </w:pPr>
            <w:r>
              <w:rPr>
                <w:rFonts w:asciiTheme="minorHAnsi" w:hAnsiTheme="minorHAnsi"/>
                <w:color w:val="000000"/>
              </w:rPr>
              <w:t xml:space="preserve">Faire l’état des lieux des bailleurs de fonds. </w:t>
            </w:r>
          </w:p>
          <w:p w14:paraId="09E1B158" w14:textId="7110E6F0" w:rsidR="00FF7846" w:rsidRPr="004C143B" w:rsidRDefault="00FF7846" w:rsidP="00C03F48">
            <w:pPr>
              <w:pStyle w:val="ListParagraph"/>
              <w:numPr>
                <w:ilvl w:val="0"/>
                <w:numId w:val="37"/>
              </w:numPr>
              <w:rPr>
                <w:rFonts w:asciiTheme="minorHAnsi" w:eastAsia="Times New Roman" w:hAnsiTheme="minorHAnsi" w:cstheme="minorHAnsi"/>
                <w:color w:val="000000"/>
              </w:rPr>
            </w:pPr>
            <w:r>
              <w:rPr>
                <w:rFonts w:asciiTheme="minorHAnsi" w:hAnsiTheme="minorHAnsi"/>
                <w:color w:val="000000"/>
              </w:rPr>
              <w:t xml:space="preserve">Sensibilisation des partenaires et des bailleurs de fonds. </w:t>
            </w:r>
          </w:p>
        </w:tc>
        <w:tc>
          <w:tcPr>
            <w:tcW w:w="910" w:type="pct"/>
            <w:shd w:val="clear" w:color="auto" w:fill="FFFFFF" w:themeFill="background1"/>
            <w:noWrap/>
            <w:hideMark/>
          </w:tcPr>
          <w:p w14:paraId="0F7BAA8C" w14:textId="67219FF1" w:rsidR="00FF7846" w:rsidRPr="004C143B" w:rsidRDefault="00FF7846" w:rsidP="00B60C3F">
            <w:pPr>
              <w:pStyle w:val="ListParagraph"/>
              <w:numPr>
                <w:ilvl w:val="0"/>
                <w:numId w:val="37"/>
              </w:numPr>
              <w:rPr>
                <w:rFonts w:asciiTheme="minorHAnsi" w:eastAsia="Times New Roman" w:hAnsiTheme="minorHAnsi" w:cstheme="minorHAnsi"/>
                <w:color w:val="000000"/>
              </w:rPr>
            </w:pPr>
            <w:r>
              <w:rPr>
                <w:rFonts w:asciiTheme="minorHAnsi" w:hAnsiTheme="minorHAnsi"/>
                <w:color w:val="000000"/>
              </w:rPr>
              <w:t xml:space="preserve">Sensibilisation des partenaires et des bailleurs de fonds. </w:t>
            </w:r>
          </w:p>
          <w:p w14:paraId="560F7124" w14:textId="164A7A4E" w:rsidR="00FF7846" w:rsidRPr="004C143B" w:rsidRDefault="00FF7846" w:rsidP="00EB68CB">
            <w:pPr>
              <w:ind w:left="0" w:firstLine="0"/>
              <w:rPr>
                <w:rFonts w:asciiTheme="minorHAnsi" w:eastAsia="Times New Roman" w:hAnsiTheme="minorHAnsi" w:cstheme="minorHAnsi"/>
                <w:color w:val="000000"/>
                <w:lang w:eastAsia="en-GB"/>
              </w:rPr>
            </w:pPr>
          </w:p>
        </w:tc>
        <w:tc>
          <w:tcPr>
            <w:tcW w:w="910" w:type="pct"/>
            <w:shd w:val="clear" w:color="auto" w:fill="FFFFFF" w:themeFill="background1"/>
            <w:noWrap/>
            <w:hideMark/>
          </w:tcPr>
          <w:p w14:paraId="42EC483F" w14:textId="36F16E4F" w:rsidR="00FF7846" w:rsidRPr="004C143B" w:rsidRDefault="00FF7846" w:rsidP="00FA49EA">
            <w:pPr>
              <w:pStyle w:val="ListParagraph"/>
              <w:numPr>
                <w:ilvl w:val="0"/>
                <w:numId w:val="37"/>
              </w:numPr>
              <w:rPr>
                <w:rFonts w:asciiTheme="minorHAnsi" w:eastAsia="Times New Roman" w:hAnsiTheme="minorHAnsi" w:cstheme="minorHAnsi"/>
                <w:color w:val="000000"/>
              </w:rPr>
            </w:pPr>
            <w:r>
              <w:rPr>
                <w:rFonts w:asciiTheme="minorHAnsi" w:hAnsiTheme="minorHAnsi"/>
                <w:color w:val="000000"/>
              </w:rPr>
              <w:t xml:space="preserve"> Sensibilisation des partenaires et des bailleurs de fonds. </w:t>
            </w:r>
          </w:p>
          <w:p w14:paraId="29744C98" w14:textId="7D9C82FB" w:rsidR="00FF7846" w:rsidRPr="004C143B" w:rsidRDefault="00FF7846" w:rsidP="00EB68CB">
            <w:pPr>
              <w:ind w:left="0" w:firstLine="0"/>
              <w:rPr>
                <w:rFonts w:asciiTheme="minorHAnsi" w:eastAsia="Times New Roman" w:hAnsiTheme="minorHAnsi" w:cstheme="minorHAnsi"/>
                <w:color w:val="000000"/>
                <w:lang w:eastAsia="en-GB"/>
              </w:rPr>
            </w:pPr>
          </w:p>
        </w:tc>
      </w:tr>
      <w:tr w:rsidR="00E66205" w:rsidRPr="004C143B" w14:paraId="0E948F79" w14:textId="77777777" w:rsidTr="004C143B">
        <w:trPr>
          <w:cantSplit/>
        </w:trPr>
        <w:tc>
          <w:tcPr>
            <w:tcW w:w="200" w:type="pct"/>
            <w:shd w:val="clear" w:color="auto" w:fill="DDEBF7"/>
          </w:tcPr>
          <w:p w14:paraId="0E431ACA" w14:textId="77777777" w:rsidR="00FF7846" w:rsidRPr="004C143B" w:rsidRDefault="00FF7846" w:rsidP="004C143B">
            <w:pPr>
              <w:pStyle w:val="ListParagraph"/>
              <w:numPr>
                <w:ilvl w:val="0"/>
                <w:numId w:val="45"/>
              </w:numPr>
              <w:ind w:left="0" w:firstLine="0"/>
              <w:rPr>
                <w:rFonts w:asciiTheme="minorHAnsi" w:eastAsia="Times New Roman" w:hAnsiTheme="minorHAnsi" w:cstheme="minorHAnsi"/>
                <w:b/>
                <w:bCs/>
                <w:color w:val="000000"/>
                <w:lang w:eastAsia="en-GB"/>
              </w:rPr>
            </w:pPr>
          </w:p>
        </w:tc>
        <w:tc>
          <w:tcPr>
            <w:tcW w:w="606" w:type="pct"/>
            <w:shd w:val="clear" w:color="auto" w:fill="DDEBF7"/>
            <w:noWrap/>
            <w:hideMark/>
          </w:tcPr>
          <w:p w14:paraId="4F7FB15D" w14:textId="6670EDA9" w:rsidR="00FF7846" w:rsidRPr="004C143B" w:rsidRDefault="00FF7846" w:rsidP="00BE3A3F">
            <w:pPr>
              <w:ind w:left="0" w:firstLine="0"/>
              <w:rPr>
                <w:rFonts w:asciiTheme="minorHAnsi" w:eastAsia="Times New Roman" w:hAnsiTheme="minorHAnsi" w:cstheme="minorHAnsi"/>
                <w:color w:val="000000"/>
              </w:rPr>
            </w:pPr>
            <w:r>
              <w:rPr>
                <w:rFonts w:asciiTheme="minorHAnsi" w:hAnsiTheme="minorHAnsi"/>
                <w:color w:val="000000"/>
              </w:rPr>
              <w:t>Frais de déplacement des délégués avant la COP15</w:t>
            </w:r>
          </w:p>
        </w:tc>
        <w:tc>
          <w:tcPr>
            <w:tcW w:w="809" w:type="pct"/>
            <w:shd w:val="clear" w:color="auto" w:fill="DDEBF7"/>
          </w:tcPr>
          <w:p w14:paraId="6D4A2A20" w14:textId="643B5132" w:rsidR="00FF7846" w:rsidRPr="004C143B" w:rsidRDefault="00FF7846" w:rsidP="00EB68CB">
            <w:pPr>
              <w:ind w:left="0" w:firstLine="0"/>
              <w:rPr>
                <w:rFonts w:asciiTheme="minorHAnsi" w:eastAsia="Times New Roman" w:hAnsiTheme="minorHAnsi" w:cstheme="minorHAnsi"/>
                <w:color w:val="000000"/>
              </w:rPr>
            </w:pPr>
            <w:r>
              <w:rPr>
                <w:rFonts w:asciiTheme="minorHAnsi" w:hAnsiTheme="minorHAnsi"/>
                <w:color w:val="000000"/>
              </w:rPr>
              <w:t xml:space="preserve">Soutien financier pour permettre la participation en personne aux réunions régionales. </w:t>
            </w:r>
          </w:p>
        </w:tc>
        <w:tc>
          <w:tcPr>
            <w:tcW w:w="454" w:type="pct"/>
            <w:shd w:val="clear" w:color="auto" w:fill="DDEBF7"/>
            <w:noWrap/>
            <w:hideMark/>
          </w:tcPr>
          <w:p w14:paraId="2F4876EB" w14:textId="3855593E" w:rsidR="00FF7846" w:rsidRPr="004C143B" w:rsidRDefault="00FF7846" w:rsidP="00FF7846">
            <w:pPr>
              <w:ind w:left="0" w:firstLine="0"/>
              <w:jc w:val="center"/>
              <w:rPr>
                <w:rFonts w:asciiTheme="minorHAnsi" w:eastAsia="Times New Roman" w:hAnsiTheme="minorHAnsi" w:cstheme="minorHAnsi"/>
                <w:color w:val="000000"/>
              </w:rPr>
            </w:pPr>
            <w:r>
              <w:rPr>
                <w:rFonts w:asciiTheme="minorHAnsi" w:hAnsiTheme="minorHAnsi"/>
                <w:color w:val="000000"/>
              </w:rPr>
              <w:t>650 000</w:t>
            </w:r>
          </w:p>
        </w:tc>
        <w:tc>
          <w:tcPr>
            <w:tcW w:w="1111" w:type="pct"/>
            <w:shd w:val="clear" w:color="auto" w:fill="DDEBF7"/>
          </w:tcPr>
          <w:p w14:paraId="531993C3" w14:textId="77777777" w:rsidR="00FF7846" w:rsidRPr="004C143B" w:rsidRDefault="00FF7846" w:rsidP="00EB68CB">
            <w:pPr>
              <w:ind w:left="0" w:firstLine="0"/>
              <w:rPr>
                <w:rFonts w:asciiTheme="minorHAnsi" w:eastAsia="Times New Roman" w:hAnsiTheme="minorHAnsi" w:cstheme="minorHAnsi"/>
                <w:color w:val="000000"/>
                <w:lang w:eastAsia="en-GB"/>
              </w:rPr>
            </w:pPr>
          </w:p>
        </w:tc>
        <w:tc>
          <w:tcPr>
            <w:tcW w:w="910" w:type="pct"/>
            <w:shd w:val="clear" w:color="auto" w:fill="DDEBF7"/>
            <w:noWrap/>
            <w:hideMark/>
          </w:tcPr>
          <w:p w14:paraId="24BC6317" w14:textId="77777777" w:rsidR="00FF7846" w:rsidRPr="004C143B" w:rsidRDefault="00FF7846" w:rsidP="00B60C3F">
            <w:pPr>
              <w:pStyle w:val="ListParagraph"/>
              <w:numPr>
                <w:ilvl w:val="0"/>
                <w:numId w:val="37"/>
              </w:numPr>
              <w:rPr>
                <w:rFonts w:asciiTheme="minorHAnsi" w:eastAsia="Times New Roman" w:hAnsiTheme="minorHAnsi" w:cstheme="minorHAnsi"/>
                <w:color w:val="000000"/>
              </w:rPr>
            </w:pPr>
            <w:r>
              <w:rPr>
                <w:rFonts w:asciiTheme="minorHAnsi" w:hAnsiTheme="minorHAnsi"/>
                <w:color w:val="000000"/>
              </w:rPr>
              <w:t xml:space="preserve"> Sensibilisation des partenaires et des bailleurs de fonds. </w:t>
            </w:r>
          </w:p>
          <w:p w14:paraId="0A06D48A" w14:textId="6A32328F" w:rsidR="00FF7846" w:rsidRPr="004C143B" w:rsidRDefault="00FF7846" w:rsidP="00EB68CB">
            <w:pPr>
              <w:ind w:left="0" w:firstLine="0"/>
              <w:rPr>
                <w:rFonts w:asciiTheme="minorHAnsi" w:eastAsia="Times New Roman" w:hAnsiTheme="minorHAnsi" w:cstheme="minorHAnsi"/>
                <w:color w:val="000000"/>
                <w:lang w:eastAsia="en-GB"/>
              </w:rPr>
            </w:pPr>
          </w:p>
        </w:tc>
        <w:tc>
          <w:tcPr>
            <w:tcW w:w="910" w:type="pct"/>
            <w:shd w:val="clear" w:color="auto" w:fill="DDEBF7"/>
            <w:noWrap/>
            <w:hideMark/>
          </w:tcPr>
          <w:p w14:paraId="43146A54" w14:textId="109886D4" w:rsidR="00FF7846" w:rsidRPr="004C143B" w:rsidRDefault="00FF7846" w:rsidP="00EB68CB">
            <w:pPr>
              <w:ind w:left="0" w:firstLine="0"/>
              <w:rPr>
                <w:rFonts w:asciiTheme="minorHAnsi" w:eastAsia="Times New Roman" w:hAnsiTheme="minorHAnsi" w:cstheme="minorHAnsi"/>
                <w:color w:val="000000"/>
                <w:lang w:eastAsia="en-GB"/>
              </w:rPr>
            </w:pPr>
          </w:p>
        </w:tc>
      </w:tr>
      <w:tr w:rsidR="00E66205" w:rsidRPr="004C143B" w14:paraId="1B787079" w14:textId="77777777" w:rsidTr="004C143B">
        <w:trPr>
          <w:cantSplit/>
        </w:trPr>
        <w:tc>
          <w:tcPr>
            <w:tcW w:w="200" w:type="pct"/>
          </w:tcPr>
          <w:p w14:paraId="1EFB2F7C" w14:textId="77777777" w:rsidR="00FF7846" w:rsidRPr="004C143B" w:rsidRDefault="00FF7846" w:rsidP="004C143B">
            <w:pPr>
              <w:pStyle w:val="ListParagraph"/>
              <w:numPr>
                <w:ilvl w:val="0"/>
                <w:numId w:val="45"/>
              </w:numPr>
              <w:ind w:left="0" w:firstLine="0"/>
              <w:rPr>
                <w:rFonts w:asciiTheme="minorHAnsi" w:eastAsia="Times New Roman" w:hAnsiTheme="minorHAnsi" w:cstheme="minorHAnsi"/>
                <w:b/>
                <w:bCs/>
                <w:color w:val="000000"/>
                <w:lang w:eastAsia="en-GB"/>
              </w:rPr>
            </w:pPr>
          </w:p>
        </w:tc>
        <w:tc>
          <w:tcPr>
            <w:tcW w:w="606" w:type="pct"/>
            <w:shd w:val="clear" w:color="auto" w:fill="auto"/>
            <w:noWrap/>
            <w:hideMark/>
          </w:tcPr>
          <w:p w14:paraId="314F6701" w14:textId="7C109FAE" w:rsidR="00FF7846" w:rsidRPr="004C143B" w:rsidRDefault="00FF7846" w:rsidP="0006198A">
            <w:pPr>
              <w:ind w:left="0" w:firstLine="0"/>
              <w:rPr>
                <w:rFonts w:asciiTheme="minorHAnsi" w:eastAsia="Times New Roman" w:hAnsiTheme="minorHAnsi" w:cstheme="minorHAnsi"/>
                <w:color w:val="000000"/>
              </w:rPr>
            </w:pPr>
            <w:r>
              <w:rPr>
                <w:rFonts w:asciiTheme="minorHAnsi" w:hAnsiTheme="minorHAnsi"/>
                <w:color w:val="000000"/>
              </w:rPr>
              <w:t xml:space="preserve">Programme de CESP </w:t>
            </w:r>
          </w:p>
        </w:tc>
        <w:tc>
          <w:tcPr>
            <w:tcW w:w="809" w:type="pct"/>
          </w:tcPr>
          <w:p w14:paraId="4923E8B7" w14:textId="1B1DA1BA" w:rsidR="00FF7846" w:rsidRPr="004C143B" w:rsidRDefault="00FF7846" w:rsidP="00EB68CB">
            <w:pPr>
              <w:ind w:left="0" w:firstLine="0"/>
              <w:rPr>
                <w:rFonts w:asciiTheme="minorHAnsi" w:eastAsia="Times New Roman" w:hAnsiTheme="minorHAnsi" w:cstheme="minorHAnsi"/>
                <w:color w:val="000000"/>
              </w:rPr>
            </w:pPr>
            <w:r>
              <w:rPr>
                <w:rFonts w:asciiTheme="minorHAnsi" w:hAnsiTheme="minorHAnsi"/>
                <w:color w:val="000000"/>
              </w:rPr>
              <w:t>Financement des activités du plan de travail du Groupe de surveillance des activités de CESP.</w:t>
            </w:r>
          </w:p>
        </w:tc>
        <w:tc>
          <w:tcPr>
            <w:tcW w:w="454" w:type="pct"/>
            <w:shd w:val="clear" w:color="auto" w:fill="auto"/>
            <w:noWrap/>
            <w:hideMark/>
          </w:tcPr>
          <w:p w14:paraId="09451D31" w14:textId="3FD2279E" w:rsidR="00FF7846" w:rsidRPr="004C143B" w:rsidRDefault="00FF7846" w:rsidP="00FF7846">
            <w:pPr>
              <w:ind w:left="0" w:firstLine="0"/>
              <w:jc w:val="center"/>
              <w:rPr>
                <w:rFonts w:asciiTheme="minorHAnsi" w:eastAsia="Times New Roman" w:hAnsiTheme="minorHAnsi" w:cstheme="minorHAnsi"/>
                <w:color w:val="000000"/>
              </w:rPr>
            </w:pPr>
            <w:r>
              <w:rPr>
                <w:rFonts w:asciiTheme="minorHAnsi" w:hAnsiTheme="minorHAnsi"/>
                <w:color w:val="000000"/>
              </w:rPr>
              <w:t>200 000</w:t>
            </w:r>
          </w:p>
        </w:tc>
        <w:tc>
          <w:tcPr>
            <w:tcW w:w="1111" w:type="pct"/>
          </w:tcPr>
          <w:p w14:paraId="7F2B1E13" w14:textId="24CAC58E" w:rsidR="00FF7846" w:rsidRPr="004C143B" w:rsidRDefault="00FF7846" w:rsidP="00B9377B">
            <w:pPr>
              <w:pStyle w:val="ListParagraph"/>
              <w:numPr>
                <w:ilvl w:val="0"/>
                <w:numId w:val="37"/>
              </w:numPr>
              <w:rPr>
                <w:rFonts w:asciiTheme="minorHAnsi" w:eastAsia="Times New Roman" w:hAnsiTheme="minorHAnsi" w:cstheme="minorHAnsi"/>
                <w:color w:val="000000"/>
              </w:rPr>
            </w:pPr>
            <w:r>
              <w:rPr>
                <w:rFonts w:asciiTheme="minorHAnsi" w:hAnsiTheme="minorHAnsi"/>
                <w:color w:val="000000"/>
              </w:rPr>
              <w:t xml:space="preserve">Élaborer des propositions sur la base du plan de travail du Groupe de surveillance des activités de CESP. </w:t>
            </w:r>
          </w:p>
          <w:p w14:paraId="342DCC25" w14:textId="2DEB3E5B" w:rsidR="00FF7846" w:rsidRPr="004C143B" w:rsidRDefault="00FF7846" w:rsidP="00DD7DAF">
            <w:pPr>
              <w:pStyle w:val="ListParagraph"/>
              <w:numPr>
                <w:ilvl w:val="0"/>
                <w:numId w:val="37"/>
              </w:numPr>
              <w:rPr>
                <w:rFonts w:asciiTheme="minorHAnsi" w:eastAsia="Times New Roman" w:hAnsiTheme="minorHAnsi" w:cstheme="minorHAnsi"/>
                <w:color w:val="000000"/>
              </w:rPr>
            </w:pPr>
            <w:r>
              <w:rPr>
                <w:rFonts w:asciiTheme="minorHAnsi" w:hAnsiTheme="minorHAnsi"/>
                <w:color w:val="000000"/>
              </w:rPr>
              <w:t xml:space="preserve">Faire l’état des lieux des bailleurs de fonds.  </w:t>
            </w:r>
          </w:p>
          <w:p w14:paraId="36D2024E" w14:textId="28DA143F" w:rsidR="00FF7846" w:rsidRPr="004C143B" w:rsidRDefault="00FF7846" w:rsidP="004C143B">
            <w:pPr>
              <w:pStyle w:val="ListParagraph"/>
              <w:numPr>
                <w:ilvl w:val="0"/>
                <w:numId w:val="37"/>
              </w:numPr>
              <w:rPr>
                <w:rFonts w:asciiTheme="minorHAnsi" w:eastAsia="Times New Roman" w:hAnsiTheme="minorHAnsi" w:cstheme="minorHAnsi"/>
                <w:color w:val="000000"/>
              </w:rPr>
            </w:pPr>
            <w:r>
              <w:rPr>
                <w:rFonts w:asciiTheme="minorHAnsi" w:hAnsiTheme="minorHAnsi"/>
                <w:color w:val="000000"/>
              </w:rPr>
              <w:t>Sensibilisation des partenaires et des bailleurs de fonds.</w:t>
            </w:r>
          </w:p>
        </w:tc>
        <w:tc>
          <w:tcPr>
            <w:tcW w:w="910" w:type="pct"/>
            <w:shd w:val="clear" w:color="auto" w:fill="auto"/>
            <w:noWrap/>
            <w:hideMark/>
          </w:tcPr>
          <w:p w14:paraId="3B7D9121" w14:textId="5EC42252" w:rsidR="00FF7846" w:rsidRPr="004C143B" w:rsidRDefault="00FF7846" w:rsidP="00025997">
            <w:pPr>
              <w:pStyle w:val="ListParagraph"/>
              <w:numPr>
                <w:ilvl w:val="0"/>
                <w:numId w:val="37"/>
              </w:numPr>
              <w:rPr>
                <w:rFonts w:asciiTheme="minorHAnsi" w:eastAsia="Times New Roman" w:hAnsiTheme="minorHAnsi" w:cstheme="minorHAnsi"/>
                <w:color w:val="000000"/>
              </w:rPr>
            </w:pPr>
            <w:r>
              <w:rPr>
                <w:rFonts w:asciiTheme="minorHAnsi" w:hAnsiTheme="minorHAnsi"/>
                <w:color w:val="000000"/>
              </w:rPr>
              <w:t xml:space="preserve">Sensibilisation des partenaires et des bailleurs de fonds. </w:t>
            </w:r>
          </w:p>
        </w:tc>
        <w:tc>
          <w:tcPr>
            <w:tcW w:w="910" w:type="pct"/>
            <w:shd w:val="clear" w:color="auto" w:fill="auto"/>
            <w:noWrap/>
            <w:hideMark/>
          </w:tcPr>
          <w:p w14:paraId="5B357EE5" w14:textId="256586B2" w:rsidR="00FF7846" w:rsidRPr="004C143B" w:rsidRDefault="00FF7846" w:rsidP="00BE3A3F">
            <w:pPr>
              <w:pStyle w:val="ListParagraph"/>
              <w:numPr>
                <w:ilvl w:val="0"/>
                <w:numId w:val="37"/>
              </w:numPr>
              <w:rPr>
                <w:rFonts w:asciiTheme="minorHAnsi" w:eastAsia="Times New Roman" w:hAnsiTheme="minorHAnsi" w:cstheme="minorHAnsi"/>
                <w:color w:val="000000"/>
              </w:rPr>
            </w:pPr>
            <w:r>
              <w:rPr>
                <w:rFonts w:asciiTheme="minorHAnsi" w:hAnsiTheme="minorHAnsi"/>
                <w:color w:val="000000"/>
              </w:rPr>
              <w:t xml:space="preserve">Sensibilisation des partenaires et des bailleurs de fonds. </w:t>
            </w:r>
          </w:p>
        </w:tc>
      </w:tr>
    </w:tbl>
    <w:p w14:paraId="2707D42C" w14:textId="65A5ED6A" w:rsidR="00073625" w:rsidRDefault="00073625" w:rsidP="007972E0">
      <w:pPr>
        <w:contextualSpacing/>
        <w:rPr>
          <w:rFonts w:eastAsia="Times New Roman"/>
          <w:b/>
          <w:bCs/>
          <w:color w:val="000000"/>
          <w:lang w:eastAsia="en-GB"/>
        </w:rPr>
      </w:pPr>
    </w:p>
    <w:p w14:paraId="2991D5B9" w14:textId="77777777" w:rsidR="00073625" w:rsidRDefault="00073625">
      <w:pPr>
        <w:rPr>
          <w:rFonts w:eastAsia="Times New Roman"/>
          <w:b/>
          <w:bCs/>
          <w:color w:val="000000"/>
        </w:rPr>
      </w:pPr>
      <w:r>
        <w:br w:type="page"/>
      </w:r>
    </w:p>
    <w:p w14:paraId="68D080BB" w14:textId="67583A21" w:rsidR="008D641C" w:rsidRPr="00073625" w:rsidRDefault="00546ADC" w:rsidP="007972E0">
      <w:pPr>
        <w:contextualSpacing/>
        <w:rPr>
          <w:rFonts w:eastAsia="Times New Roman"/>
          <w:b/>
          <w:bCs/>
          <w:color w:val="000000"/>
          <w:sz w:val="24"/>
          <w:szCs w:val="24"/>
        </w:rPr>
      </w:pPr>
      <w:r>
        <w:rPr>
          <w:b/>
          <w:color w:val="000000"/>
          <w:sz w:val="24"/>
        </w:rPr>
        <w:lastRenderedPageBreak/>
        <w:t>Annexe 2</w:t>
      </w:r>
    </w:p>
    <w:p w14:paraId="309554E2" w14:textId="74072DEC" w:rsidR="003A560E" w:rsidRPr="00073625" w:rsidRDefault="00546ADC" w:rsidP="007972E0">
      <w:pPr>
        <w:contextualSpacing/>
        <w:rPr>
          <w:rFonts w:eastAsia="Times New Roman"/>
          <w:color w:val="000000"/>
          <w:sz w:val="24"/>
          <w:szCs w:val="24"/>
        </w:rPr>
      </w:pPr>
      <w:r>
        <w:rPr>
          <w:b/>
          <w:color w:val="000000"/>
          <w:sz w:val="24"/>
        </w:rPr>
        <w:t>Activités visant à faciliter la mobilisation des ressources pour les Parties contractantes</w:t>
      </w:r>
      <w:r>
        <w:rPr>
          <w:color w:val="000000"/>
          <w:sz w:val="24"/>
        </w:rPr>
        <w:t xml:space="preserve"> </w:t>
      </w:r>
    </w:p>
    <w:p w14:paraId="0C12DB2D" w14:textId="1AA1AC45" w:rsidR="00DB7948" w:rsidRDefault="00DB7948" w:rsidP="007972E0">
      <w:pPr>
        <w:contextualSpacing/>
        <w:rPr>
          <w:rFonts w:asciiTheme="minorHAnsi" w:eastAsiaTheme="minorHAnsi" w:hAnsiTheme="minorHAnsi" w:cstheme="minorHAnsi"/>
        </w:rPr>
      </w:pPr>
    </w:p>
    <w:p w14:paraId="475A820C" w14:textId="77777777" w:rsidR="00073625" w:rsidRPr="0006198A" w:rsidRDefault="00073625" w:rsidP="007972E0">
      <w:pPr>
        <w:contextualSpacing/>
        <w:rPr>
          <w:rFonts w:asciiTheme="minorHAnsi" w:eastAsiaTheme="minorHAnsi" w:hAnsiTheme="minorHAnsi" w:cstheme="minorHAnsi"/>
        </w:rPr>
      </w:pPr>
    </w:p>
    <w:tbl>
      <w:tblPr>
        <w:tblW w:w="14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547"/>
        <w:gridCol w:w="4257"/>
        <w:gridCol w:w="3686"/>
        <w:gridCol w:w="3539"/>
      </w:tblGrid>
      <w:tr w:rsidR="006B7C23" w:rsidRPr="00FF5E1D" w14:paraId="18B7AA89" w14:textId="77777777" w:rsidTr="00BE3A3F">
        <w:tc>
          <w:tcPr>
            <w:tcW w:w="2547" w:type="dxa"/>
            <w:shd w:val="clear" w:color="000000" w:fill="B4C6E7"/>
            <w:noWrap/>
            <w:hideMark/>
          </w:tcPr>
          <w:p w14:paraId="6C102481" w14:textId="63B5914F" w:rsidR="005C055C" w:rsidRPr="00FF5E1D" w:rsidRDefault="005E498A" w:rsidP="00E96B1B">
            <w:pPr>
              <w:ind w:left="0" w:firstLine="0"/>
              <w:jc w:val="center"/>
              <w:rPr>
                <w:rFonts w:eastAsia="Times New Roman"/>
                <w:b/>
                <w:bCs/>
                <w:color w:val="000000"/>
              </w:rPr>
            </w:pPr>
            <w:r>
              <w:rPr>
                <w:b/>
                <w:color w:val="000000"/>
              </w:rPr>
              <w:t>Activité</w:t>
            </w:r>
          </w:p>
        </w:tc>
        <w:tc>
          <w:tcPr>
            <w:tcW w:w="4257" w:type="dxa"/>
            <w:shd w:val="clear" w:color="000000" w:fill="B4C6E7"/>
            <w:noWrap/>
            <w:hideMark/>
          </w:tcPr>
          <w:p w14:paraId="4255555C" w14:textId="01551245" w:rsidR="005C055C" w:rsidRPr="00FF5E1D" w:rsidRDefault="005C055C" w:rsidP="00E96B1B">
            <w:pPr>
              <w:ind w:left="0" w:firstLine="0"/>
              <w:jc w:val="center"/>
              <w:rPr>
                <w:rFonts w:eastAsia="Times New Roman"/>
                <w:b/>
                <w:bCs/>
                <w:color w:val="000000"/>
              </w:rPr>
            </w:pPr>
            <w:r>
              <w:rPr>
                <w:b/>
                <w:color w:val="000000"/>
              </w:rPr>
              <w:t>2023</w:t>
            </w:r>
          </w:p>
        </w:tc>
        <w:tc>
          <w:tcPr>
            <w:tcW w:w="3686" w:type="dxa"/>
            <w:shd w:val="clear" w:color="000000" w:fill="B4C6E7"/>
            <w:noWrap/>
            <w:hideMark/>
          </w:tcPr>
          <w:p w14:paraId="5EB884DC" w14:textId="50F808FB" w:rsidR="005C055C" w:rsidRPr="00FF5E1D" w:rsidRDefault="005C055C" w:rsidP="00E96B1B">
            <w:pPr>
              <w:ind w:left="0" w:firstLine="0"/>
              <w:jc w:val="center"/>
              <w:rPr>
                <w:rFonts w:eastAsia="Times New Roman"/>
                <w:b/>
                <w:bCs/>
                <w:color w:val="000000"/>
              </w:rPr>
            </w:pPr>
            <w:r>
              <w:rPr>
                <w:b/>
                <w:color w:val="000000"/>
              </w:rPr>
              <w:t>2024</w:t>
            </w:r>
          </w:p>
        </w:tc>
        <w:tc>
          <w:tcPr>
            <w:tcW w:w="3539" w:type="dxa"/>
            <w:shd w:val="clear" w:color="000000" w:fill="B4C6E7"/>
            <w:noWrap/>
            <w:hideMark/>
          </w:tcPr>
          <w:p w14:paraId="67CDCEFA" w14:textId="0AF5B680" w:rsidR="005C055C" w:rsidRPr="00FF5E1D" w:rsidRDefault="005C055C" w:rsidP="00E96B1B">
            <w:pPr>
              <w:ind w:left="0" w:firstLine="0"/>
              <w:jc w:val="center"/>
              <w:rPr>
                <w:rFonts w:eastAsia="Times New Roman"/>
                <w:b/>
                <w:bCs/>
                <w:color w:val="000000"/>
              </w:rPr>
            </w:pPr>
            <w:r>
              <w:rPr>
                <w:b/>
                <w:color w:val="000000"/>
              </w:rPr>
              <w:t>2025</w:t>
            </w:r>
          </w:p>
        </w:tc>
      </w:tr>
      <w:tr w:rsidR="005C055C" w:rsidRPr="00FF5E1D" w14:paraId="25C877EF" w14:textId="77777777" w:rsidTr="00BE3A3F">
        <w:trPr>
          <w:trHeight w:val="1932"/>
        </w:trPr>
        <w:tc>
          <w:tcPr>
            <w:tcW w:w="2547" w:type="dxa"/>
            <w:shd w:val="clear" w:color="auto" w:fill="auto"/>
            <w:noWrap/>
          </w:tcPr>
          <w:p w14:paraId="36BFD98B" w14:textId="15890A23" w:rsidR="005C055C" w:rsidRPr="00FF5E1D" w:rsidRDefault="005C055C" w:rsidP="00D6149C">
            <w:pPr>
              <w:ind w:left="0" w:firstLine="0"/>
              <w:rPr>
                <w:rFonts w:eastAsia="Times New Roman"/>
                <w:color w:val="000000"/>
              </w:rPr>
            </w:pPr>
            <w:r>
              <w:rPr>
                <w:color w:val="000000"/>
              </w:rPr>
              <w:t xml:space="preserve">Partage des connaissances et formation </w:t>
            </w:r>
          </w:p>
          <w:p w14:paraId="5AA12598" w14:textId="39EF91F9" w:rsidR="00F33B96" w:rsidRPr="00FF5E1D" w:rsidRDefault="00F33B96" w:rsidP="00D6149C">
            <w:pPr>
              <w:ind w:left="0" w:firstLine="0"/>
              <w:rPr>
                <w:rFonts w:eastAsia="Times New Roman"/>
                <w:color w:val="000000"/>
                <w:lang w:eastAsia="en-GB"/>
              </w:rPr>
            </w:pPr>
          </w:p>
        </w:tc>
        <w:tc>
          <w:tcPr>
            <w:tcW w:w="4257" w:type="dxa"/>
            <w:shd w:val="clear" w:color="auto" w:fill="auto"/>
            <w:noWrap/>
          </w:tcPr>
          <w:p w14:paraId="0535FFB8" w14:textId="4A05F3C7" w:rsidR="00D5480A" w:rsidRPr="00FF5E1D" w:rsidRDefault="00D7646A" w:rsidP="00BE3A3F">
            <w:pPr>
              <w:pStyle w:val="ListParagraph"/>
              <w:numPr>
                <w:ilvl w:val="0"/>
                <w:numId w:val="44"/>
              </w:numPr>
              <w:ind w:left="377" w:hanging="283"/>
              <w:rPr>
                <w:rFonts w:eastAsia="Times New Roman"/>
                <w:color w:val="000000"/>
              </w:rPr>
            </w:pPr>
            <w:r>
              <w:rPr>
                <w:color w:val="000000"/>
              </w:rPr>
              <w:t xml:space="preserve">Consolider les résultats d’une </w:t>
            </w:r>
            <w:r>
              <w:rPr>
                <w:i/>
                <w:color w:val="000000"/>
              </w:rPr>
              <w:t>enquête d’évaluation des besoins*</w:t>
            </w:r>
            <w:r>
              <w:rPr>
                <w:color w:val="000000"/>
              </w:rPr>
              <w:t xml:space="preserve"> dans un plan de partage des connaissances et de formation. </w:t>
            </w:r>
          </w:p>
          <w:p w14:paraId="0A4008AC" w14:textId="78841F70" w:rsidR="005E498A" w:rsidRPr="00FF5E1D" w:rsidRDefault="00414B9D" w:rsidP="00BE3A3F">
            <w:pPr>
              <w:pStyle w:val="ListParagraph"/>
              <w:numPr>
                <w:ilvl w:val="0"/>
                <w:numId w:val="44"/>
              </w:numPr>
              <w:ind w:left="377" w:hanging="283"/>
              <w:rPr>
                <w:rFonts w:eastAsia="Times New Roman"/>
                <w:color w:val="000000"/>
              </w:rPr>
            </w:pPr>
            <w:r>
              <w:rPr>
                <w:color w:val="000000"/>
              </w:rPr>
              <w:t>Préparer/partager les ressources et orientations pertinentes sur le site Web et autres canaux.</w:t>
            </w:r>
          </w:p>
          <w:p w14:paraId="732C13B4" w14:textId="37C74C73" w:rsidR="00D21C5C" w:rsidRPr="00CF5B44" w:rsidRDefault="00D21C5C" w:rsidP="00CF5B44">
            <w:pPr>
              <w:pStyle w:val="ListParagraph"/>
              <w:numPr>
                <w:ilvl w:val="0"/>
                <w:numId w:val="44"/>
              </w:numPr>
              <w:ind w:left="377" w:hanging="283"/>
              <w:rPr>
                <w:rFonts w:eastAsia="Times New Roman"/>
                <w:color w:val="000000"/>
              </w:rPr>
            </w:pPr>
            <w:r>
              <w:rPr>
                <w:color w:val="000000"/>
              </w:rPr>
              <w:t xml:space="preserve">Organiser des webinaires sur la mobilisation des ressources et la collecte de fonds. </w:t>
            </w:r>
          </w:p>
        </w:tc>
        <w:tc>
          <w:tcPr>
            <w:tcW w:w="3686" w:type="dxa"/>
            <w:shd w:val="clear" w:color="auto" w:fill="auto"/>
            <w:noWrap/>
          </w:tcPr>
          <w:p w14:paraId="24E003CC" w14:textId="6B67F3C1" w:rsidR="001275BA" w:rsidRPr="00FF5E1D" w:rsidRDefault="00824DC8" w:rsidP="00BE3A3F">
            <w:pPr>
              <w:pStyle w:val="ListParagraph"/>
              <w:numPr>
                <w:ilvl w:val="0"/>
                <w:numId w:val="44"/>
              </w:numPr>
              <w:ind w:left="377" w:hanging="283"/>
              <w:rPr>
                <w:rFonts w:eastAsia="Times New Roman"/>
                <w:color w:val="000000"/>
              </w:rPr>
            </w:pPr>
            <w:r>
              <w:rPr>
                <w:color w:val="000000"/>
              </w:rPr>
              <w:t xml:space="preserve">Sur la base des résultats de l’évaluation des besoins, offrir une formation et des conseils en ligne, en collaboration avec les partenaires concernés. </w:t>
            </w:r>
          </w:p>
          <w:p w14:paraId="353B7288" w14:textId="77777777" w:rsidR="0058678D" w:rsidRPr="00FF5E1D" w:rsidRDefault="0058678D" w:rsidP="00BE3A3F">
            <w:pPr>
              <w:pStyle w:val="ListParagraph"/>
              <w:numPr>
                <w:ilvl w:val="0"/>
                <w:numId w:val="44"/>
              </w:numPr>
              <w:ind w:left="377" w:hanging="283"/>
              <w:rPr>
                <w:rFonts w:eastAsia="Times New Roman"/>
                <w:color w:val="000000"/>
              </w:rPr>
            </w:pPr>
            <w:r>
              <w:rPr>
                <w:color w:val="000000"/>
              </w:rPr>
              <w:t>Préparer/partager les ressources et orientations pertinentes sur le site Web et autres canaux.</w:t>
            </w:r>
          </w:p>
          <w:p w14:paraId="7CFCD846" w14:textId="52994EFC" w:rsidR="005C055C" w:rsidRPr="00FF5E1D" w:rsidRDefault="005C055C" w:rsidP="00BE3A3F">
            <w:pPr>
              <w:ind w:left="377" w:hanging="283"/>
              <w:rPr>
                <w:rFonts w:eastAsia="Times New Roman"/>
                <w:color w:val="000000"/>
                <w:lang w:eastAsia="en-GB"/>
              </w:rPr>
            </w:pPr>
          </w:p>
        </w:tc>
        <w:tc>
          <w:tcPr>
            <w:tcW w:w="3539" w:type="dxa"/>
            <w:shd w:val="clear" w:color="auto" w:fill="auto"/>
            <w:noWrap/>
          </w:tcPr>
          <w:p w14:paraId="4D80801C" w14:textId="77777777" w:rsidR="00CE7C37" w:rsidRPr="00FF5E1D" w:rsidRDefault="00CE7C37" w:rsidP="00BE3A3F">
            <w:pPr>
              <w:pStyle w:val="ListParagraph"/>
              <w:numPr>
                <w:ilvl w:val="0"/>
                <w:numId w:val="44"/>
              </w:numPr>
              <w:ind w:left="377" w:hanging="283"/>
              <w:rPr>
                <w:rFonts w:eastAsia="Times New Roman"/>
                <w:color w:val="000000"/>
              </w:rPr>
            </w:pPr>
            <w:r>
              <w:rPr>
                <w:color w:val="000000"/>
              </w:rPr>
              <w:t xml:space="preserve">Sur la base des résultats de l'évaluation des besoins, offrir une formation et des conseils en ligne, en collaboration avec les partenaires concernés. </w:t>
            </w:r>
          </w:p>
          <w:p w14:paraId="64CED8AE" w14:textId="3EA12863" w:rsidR="0092749C" w:rsidRPr="00FF5E1D" w:rsidRDefault="0092749C" w:rsidP="00BE3A3F">
            <w:pPr>
              <w:pStyle w:val="ListParagraph"/>
              <w:numPr>
                <w:ilvl w:val="0"/>
                <w:numId w:val="44"/>
              </w:numPr>
              <w:ind w:left="377" w:hanging="283"/>
              <w:rPr>
                <w:rFonts w:eastAsia="Times New Roman"/>
                <w:color w:val="000000"/>
              </w:rPr>
            </w:pPr>
            <w:r>
              <w:rPr>
                <w:color w:val="000000"/>
              </w:rPr>
              <w:t>Préparer/partager les ressources et orientations pertinentes sur le site Web et autres canaux.</w:t>
            </w:r>
          </w:p>
          <w:p w14:paraId="0B01E740" w14:textId="660B7431" w:rsidR="005C055C" w:rsidRPr="00FF5E1D" w:rsidRDefault="005C055C" w:rsidP="00BE3A3F">
            <w:pPr>
              <w:ind w:left="377" w:hanging="283"/>
              <w:rPr>
                <w:rFonts w:eastAsia="Times New Roman"/>
                <w:color w:val="000000"/>
                <w:lang w:eastAsia="en-GB"/>
              </w:rPr>
            </w:pPr>
          </w:p>
        </w:tc>
      </w:tr>
      <w:tr w:rsidR="005C055C" w:rsidRPr="00FF5E1D" w14:paraId="0A3C430D" w14:textId="77777777" w:rsidTr="00BE3A3F">
        <w:tc>
          <w:tcPr>
            <w:tcW w:w="2547" w:type="dxa"/>
            <w:shd w:val="clear" w:color="auto" w:fill="auto"/>
            <w:noWrap/>
          </w:tcPr>
          <w:p w14:paraId="16ADDABA" w14:textId="6798BA94" w:rsidR="005C055C" w:rsidRPr="00FF5E1D" w:rsidRDefault="005C055C" w:rsidP="00D6149C">
            <w:pPr>
              <w:ind w:left="0" w:firstLine="0"/>
              <w:rPr>
                <w:rFonts w:eastAsia="Times New Roman"/>
                <w:color w:val="000000"/>
              </w:rPr>
            </w:pPr>
            <w:r>
              <w:rPr>
                <w:color w:val="000000"/>
              </w:rPr>
              <w:t xml:space="preserve">Base de données des organismes de financement </w:t>
            </w:r>
          </w:p>
        </w:tc>
        <w:tc>
          <w:tcPr>
            <w:tcW w:w="4257" w:type="dxa"/>
            <w:shd w:val="clear" w:color="auto" w:fill="auto"/>
            <w:noWrap/>
          </w:tcPr>
          <w:p w14:paraId="3B284CB7" w14:textId="21B7DD50" w:rsidR="005C055C" w:rsidRPr="00FF5E1D" w:rsidRDefault="00D35BCB" w:rsidP="00BE3A3F">
            <w:pPr>
              <w:pStyle w:val="ListParagraph"/>
              <w:numPr>
                <w:ilvl w:val="0"/>
                <w:numId w:val="44"/>
              </w:numPr>
              <w:ind w:left="377" w:hanging="283"/>
              <w:rPr>
                <w:rFonts w:eastAsia="Times New Roman"/>
                <w:color w:val="000000"/>
              </w:rPr>
            </w:pPr>
            <w:r>
              <w:rPr>
                <w:color w:val="000000"/>
              </w:rPr>
              <w:t>Mettre à jour la base de données et en partager le lien.</w:t>
            </w:r>
          </w:p>
          <w:p w14:paraId="26ACCF50" w14:textId="3221B830" w:rsidR="005C055C" w:rsidRPr="00FF5E1D" w:rsidRDefault="004C5E3B" w:rsidP="00BE3A3F">
            <w:pPr>
              <w:pStyle w:val="ListParagraph"/>
              <w:numPr>
                <w:ilvl w:val="0"/>
                <w:numId w:val="44"/>
              </w:numPr>
              <w:ind w:left="377" w:hanging="283"/>
              <w:rPr>
                <w:rFonts w:eastAsia="Times New Roman"/>
                <w:color w:val="000000"/>
              </w:rPr>
            </w:pPr>
            <w:r>
              <w:rPr>
                <w:color w:val="000000"/>
              </w:rPr>
              <w:t>Informer régulièrement les P</w:t>
            </w:r>
            <w:r>
              <w:rPr>
                <w:rFonts w:asciiTheme="minorHAnsi" w:hAnsiTheme="minorHAnsi"/>
                <w:color w:val="000000"/>
              </w:rPr>
              <w:t>arties contract</w:t>
            </w:r>
            <w:r>
              <w:rPr>
                <w:color w:val="000000"/>
              </w:rPr>
              <w:t xml:space="preserve">antes qui ont demandé à être notifiées des possibilités de financement. </w:t>
            </w:r>
          </w:p>
        </w:tc>
        <w:tc>
          <w:tcPr>
            <w:tcW w:w="3686" w:type="dxa"/>
            <w:shd w:val="clear" w:color="auto" w:fill="auto"/>
            <w:noWrap/>
          </w:tcPr>
          <w:p w14:paraId="60FA75C6" w14:textId="0B6B98D5" w:rsidR="005C055C" w:rsidRPr="00FF5E1D" w:rsidRDefault="005C055C" w:rsidP="00BE3A3F">
            <w:pPr>
              <w:pStyle w:val="ListParagraph"/>
              <w:numPr>
                <w:ilvl w:val="0"/>
                <w:numId w:val="44"/>
              </w:numPr>
              <w:ind w:left="377" w:hanging="283"/>
              <w:rPr>
                <w:rFonts w:eastAsia="Times New Roman"/>
                <w:color w:val="000000"/>
              </w:rPr>
            </w:pPr>
            <w:r>
              <w:rPr>
                <w:color w:val="000000"/>
              </w:rPr>
              <w:t>Mettre à jour la base de données et en partager le lien.</w:t>
            </w:r>
          </w:p>
          <w:p w14:paraId="2E1A30C6" w14:textId="01B42294" w:rsidR="004316B7" w:rsidRPr="00FF5E1D" w:rsidRDefault="004316B7" w:rsidP="00BE3A3F">
            <w:pPr>
              <w:pStyle w:val="ListParagraph"/>
              <w:numPr>
                <w:ilvl w:val="0"/>
                <w:numId w:val="44"/>
              </w:numPr>
              <w:ind w:left="377" w:hanging="283"/>
              <w:rPr>
                <w:rFonts w:eastAsia="Times New Roman"/>
                <w:color w:val="000000"/>
              </w:rPr>
            </w:pPr>
            <w:r>
              <w:rPr>
                <w:color w:val="000000"/>
              </w:rPr>
              <w:t>Informer régulièrement les P</w:t>
            </w:r>
            <w:r>
              <w:rPr>
                <w:rFonts w:asciiTheme="minorHAnsi" w:hAnsiTheme="minorHAnsi"/>
                <w:color w:val="000000"/>
              </w:rPr>
              <w:t>arties contract</w:t>
            </w:r>
            <w:r>
              <w:rPr>
                <w:color w:val="000000"/>
              </w:rPr>
              <w:t xml:space="preserve">antes qui ont demandé à être notifiées des possibilités de financement. </w:t>
            </w:r>
          </w:p>
          <w:p w14:paraId="4E99FD50" w14:textId="6BB2525E" w:rsidR="005C055C" w:rsidRPr="00FF5E1D" w:rsidRDefault="005C055C" w:rsidP="00BE3A3F">
            <w:pPr>
              <w:pStyle w:val="ListParagraph"/>
              <w:ind w:left="377" w:hanging="283"/>
              <w:rPr>
                <w:rFonts w:eastAsia="Times New Roman"/>
                <w:color w:val="000000"/>
                <w:lang w:eastAsia="en-GB"/>
              </w:rPr>
            </w:pPr>
          </w:p>
        </w:tc>
        <w:tc>
          <w:tcPr>
            <w:tcW w:w="3539" w:type="dxa"/>
            <w:shd w:val="clear" w:color="auto" w:fill="auto"/>
            <w:noWrap/>
          </w:tcPr>
          <w:p w14:paraId="4ABEBBEC" w14:textId="2AE9816A" w:rsidR="005C055C" w:rsidRPr="00FF5E1D" w:rsidRDefault="005C055C" w:rsidP="00BE3A3F">
            <w:pPr>
              <w:pStyle w:val="ListParagraph"/>
              <w:numPr>
                <w:ilvl w:val="0"/>
                <w:numId w:val="44"/>
              </w:numPr>
              <w:ind w:left="377" w:hanging="283"/>
              <w:rPr>
                <w:rFonts w:eastAsia="Times New Roman"/>
                <w:color w:val="000000"/>
              </w:rPr>
            </w:pPr>
            <w:r>
              <w:rPr>
                <w:color w:val="000000"/>
              </w:rPr>
              <w:t xml:space="preserve">Mettre à jour la base de données et en partager le lien. </w:t>
            </w:r>
          </w:p>
          <w:p w14:paraId="0497CA52" w14:textId="78F0F250" w:rsidR="005C055C" w:rsidRPr="00FF5E1D" w:rsidRDefault="004316B7" w:rsidP="00BE3A3F">
            <w:pPr>
              <w:pStyle w:val="ListParagraph"/>
              <w:numPr>
                <w:ilvl w:val="0"/>
                <w:numId w:val="44"/>
              </w:numPr>
              <w:ind w:left="377" w:hanging="283"/>
              <w:rPr>
                <w:rFonts w:eastAsia="Times New Roman"/>
                <w:color w:val="000000"/>
              </w:rPr>
            </w:pPr>
            <w:r>
              <w:rPr>
                <w:color w:val="000000"/>
              </w:rPr>
              <w:t>Informer régulièrement les P</w:t>
            </w:r>
            <w:r>
              <w:rPr>
                <w:rFonts w:asciiTheme="minorHAnsi" w:hAnsiTheme="minorHAnsi"/>
                <w:color w:val="000000"/>
              </w:rPr>
              <w:t>arties contract</w:t>
            </w:r>
            <w:r>
              <w:rPr>
                <w:color w:val="000000"/>
              </w:rPr>
              <w:t xml:space="preserve">antes qui ont demandé à être notifiées des possibilités de financement. </w:t>
            </w:r>
          </w:p>
        </w:tc>
      </w:tr>
    </w:tbl>
    <w:p w14:paraId="796C824B" w14:textId="6165FA19" w:rsidR="00BA6BC1" w:rsidRDefault="00BA6BC1" w:rsidP="001275BA">
      <w:pPr>
        <w:contextualSpacing/>
        <w:rPr>
          <w:rFonts w:asciiTheme="minorHAnsi" w:eastAsiaTheme="minorHAnsi" w:hAnsiTheme="minorHAnsi" w:cstheme="minorHAnsi"/>
        </w:rPr>
      </w:pPr>
      <w:r>
        <w:rPr>
          <w:rFonts w:asciiTheme="minorHAnsi" w:hAnsiTheme="minorHAnsi"/>
        </w:rPr>
        <w:t xml:space="preserve"> </w:t>
      </w:r>
    </w:p>
    <w:p w14:paraId="20388500" w14:textId="4F07CE17" w:rsidR="00683790" w:rsidRPr="00BE3A3F" w:rsidRDefault="00BE3A3F" w:rsidP="00BE3A3F">
      <w:pPr>
        <w:ind w:left="0" w:firstLine="0"/>
        <w:rPr>
          <w:rFonts w:eastAsia="Times New Roman"/>
          <w:color w:val="000000"/>
          <w:sz w:val="20"/>
          <w:szCs w:val="20"/>
        </w:rPr>
      </w:pPr>
      <w:r>
        <w:rPr>
          <w:color w:val="000000"/>
          <w:sz w:val="20"/>
        </w:rPr>
        <w:t xml:space="preserve">* Les Parties contractantes de la Convention ont fait part de leur besoin de disposer d’informations pour renforcer les capacités et faciliter les efforts locaux, nationaux et régionaux de mobilisation des ressources. L’enquête d’évaluation des besoins, qui sera menée en 2023, permettra d’identifier les besoins urgents en matière de renforcement des capacités, de contribuer à l’élaboration d’outils de connaissance pertinents et de préciser le public visé pour le renforcement des capacités. L’évaluation des besoins permettra en outre au Secrétariat de déterminer s’il </w:t>
      </w:r>
      <w:r w:rsidR="004F3F1A">
        <w:rPr>
          <w:color w:val="000000"/>
          <w:sz w:val="20"/>
        </w:rPr>
        <w:t>sera</w:t>
      </w:r>
      <w:r>
        <w:rPr>
          <w:color w:val="000000"/>
          <w:sz w:val="20"/>
        </w:rPr>
        <w:t xml:space="preserve"> nécessaire d’élaborer des supports d’information de haut niveau sur la mobilisation des ressources et la collecte de fonds, tels qu’une vue d’ensemble des sources de financement nationales et internationales et des tendances pour les zones humides.</w:t>
      </w:r>
    </w:p>
    <w:sectPr w:rsidR="00683790" w:rsidRPr="00BE3A3F" w:rsidSect="00E96B1B">
      <w:footerReference w:type="default" r:id="rId12"/>
      <w:headerReference w:type="first" r:id="rId13"/>
      <w:footerReference w:type="firs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922C2" w14:textId="77777777" w:rsidR="00397C65" w:rsidRDefault="00397C65" w:rsidP="00DF2386">
      <w:r>
        <w:separator/>
      </w:r>
    </w:p>
  </w:endnote>
  <w:endnote w:type="continuationSeparator" w:id="0">
    <w:p w14:paraId="2D601352" w14:textId="77777777" w:rsidR="00397C65" w:rsidRDefault="00397C65"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BFB53" w14:textId="3BF8CD9C" w:rsidR="00F73E71" w:rsidRDefault="007972E0" w:rsidP="00E96B1B">
    <w:pPr>
      <w:pStyle w:val="Header"/>
      <w:tabs>
        <w:tab w:val="clear" w:pos="9026"/>
        <w:tab w:val="right" w:pos="9180"/>
      </w:tabs>
      <w:rPr>
        <w:noProof/>
      </w:rPr>
    </w:pPr>
    <w:r>
      <w:rPr>
        <w:sz w:val="20"/>
      </w:rPr>
      <w:t>SC62 Doc.18</w:t>
    </w:r>
    <w:r>
      <w:tab/>
    </w:r>
    <w:r>
      <w:tab/>
    </w:r>
    <w:sdt>
      <w:sdtPr>
        <w:rPr>
          <w:color w:val="2B579A"/>
          <w:shd w:val="clear" w:color="auto" w:fill="E6E6E6"/>
        </w:rPr>
        <w:id w:val="-1790969534"/>
        <w:docPartObj>
          <w:docPartGallery w:val="Page Numbers (Top of Page)"/>
          <w:docPartUnique/>
        </w:docPartObj>
      </w:sdtPr>
      <w:sdtEndPr>
        <w:rPr>
          <w:noProof/>
          <w:color w:val="auto"/>
          <w:shd w:val="clear" w:color="auto" w:fill="auto"/>
        </w:rPr>
      </w:sdtEndPr>
      <w:sdtContent>
        <w:r w:rsidR="00F73E71" w:rsidRPr="00F344DE">
          <w:rPr>
            <w:color w:val="2B579A"/>
            <w:sz w:val="20"/>
            <w:shd w:val="clear" w:color="auto" w:fill="E6E6E6"/>
          </w:rPr>
          <w:fldChar w:fldCharType="begin"/>
        </w:r>
        <w:r w:rsidR="00F73E71" w:rsidRPr="00F344DE">
          <w:rPr>
            <w:sz w:val="20"/>
          </w:rPr>
          <w:instrText xml:space="preserve"> PAGE   \* MERGEFORMAT </w:instrText>
        </w:r>
        <w:r w:rsidR="00F73E71" w:rsidRPr="00F344DE">
          <w:rPr>
            <w:color w:val="2B579A"/>
            <w:sz w:val="20"/>
            <w:shd w:val="clear" w:color="auto" w:fill="E6E6E6"/>
          </w:rPr>
          <w:fldChar w:fldCharType="separate"/>
        </w:r>
        <w:r w:rsidR="00DB77F7">
          <w:rPr>
            <w:noProof/>
            <w:sz w:val="20"/>
          </w:rPr>
          <w:t>2</w:t>
        </w:r>
        <w:r w:rsidR="00F73E71" w:rsidRPr="00F344DE">
          <w:rPr>
            <w:color w:val="2B579A"/>
            <w:sz w:val="20"/>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FFC79" w14:textId="5663DAB2" w:rsidR="00E96B1B" w:rsidRDefault="00E96B1B" w:rsidP="00E96B1B">
    <w:pPr>
      <w:pStyle w:val="Header"/>
      <w:tabs>
        <w:tab w:val="clear" w:pos="9026"/>
        <w:tab w:val="right" w:pos="14040"/>
      </w:tabs>
      <w:rPr>
        <w:noProof/>
      </w:rPr>
    </w:pPr>
    <w:r>
      <w:rPr>
        <w:sz w:val="20"/>
      </w:rPr>
      <w:t>SC62 Doc.18</w:t>
    </w:r>
    <w:r>
      <w:tab/>
    </w:r>
    <w:r>
      <w:tab/>
    </w:r>
    <w:sdt>
      <w:sdtPr>
        <w:rPr>
          <w:color w:val="2B579A"/>
          <w:shd w:val="clear" w:color="auto" w:fill="E6E6E6"/>
        </w:rPr>
        <w:id w:val="1295647979"/>
        <w:docPartObj>
          <w:docPartGallery w:val="Page Numbers (Top of Page)"/>
          <w:docPartUnique/>
        </w:docPartObj>
      </w:sdtPr>
      <w:sdtEndPr>
        <w:rPr>
          <w:noProof/>
          <w:color w:val="auto"/>
          <w:shd w:val="clear" w:color="auto" w:fill="auto"/>
        </w:rPr>
      </w:sdtEndPr>
      <w:sdtContent>
        <w:r w:rsidRPr="00F344DE">
          <w:rPr>
            <w:color w:val="2B579A"/>
            <w:sz w:val="20"/>
            <w:shd w:val="clear" w:color="auto" w:fill="E6E6E6"/>
          </w:rPr>
          <w:fldChar w:fldCharType="begin"/>
        </w:r>
        <w:r w:rsidRPr="00F344DE">
          <w:rPr>
            <w:sz w:val="20"/>
          </w:rPr>
          <w:instrText xml:space="preserve"> PAGE   \* MERGEFORMAT </w:instrText>
        </w:r>
        <w:r w:rsidRPr="00F344DE">
          <w:rPr>
            <w:color w:val="2B579A"/>
            <w:sz w:val="20"/>
            <w:shd w:val="clear" w:color="auto" w:fill="E6E6E6"/>
          </w:rPr>
          <w:fldChar w:fldCharType="separate"/>
        </w:r>
        <w:r w:rsidR="00DB77F7">
          <w:rPr>
            <w:noProof/>
            <w:sz w:val="20"/>
          </w:rPr>
          <w:t>6</w:t>
        </w:r>
        <w:r w:rsidRPr="00F344DE">
          <w:rPr>
            <w:color w:val="2B579A"/>
            <w:sz w:val="20"/>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49336" w14:textId="48CB38A1" w:rsidR="2718667C" w:rsidRDefault="2718667C" w:rsidP="27186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D30F" w14:textId="77777777" w:rsidR="00397C65" w:rsidRDefault="00397C65" w:rsidP="00DF2386">
      <w:r>
        <w:separator/>
      </w:r>
    </w:p>
  </w:footnote>
  <w:footnote w:type="continuationSeparator" w:id="0">
    <w:p w14:paraId="201340C2" w14:textId="77777777" w:rsidR="00397C65" w:rsidRDefault="00397C65" w:rsidP="00DF2386">
      <w:r>
        <w:continuationSeparator/>
      </w:r>
    </w:p>
  </w:footnote>
  <w:footnote w:id="1">
    <w:p w14:paraId="60717303" w14:textId="0BDB5290" w:rsidR="00C35FF5" w:rsidRDefault="00C35FF5" w:rsidP="00343993">
      <w:pPr>
        <w:pStyle w:val="FootnoteText"/>
        <w:ind w:left="0" w:firstLine="0"/>
      </w:pPr>
      <w:r>
        <w:rPr>
          <w:rStyle w:val="FootnoteReference"/>
        </w:rPr>
        <w:footnoteRef/>
      </w:r>
      <w:r>
        <w:t xml:space="preserve"> Voir </w:t>
      </w:r>
      <w:hyperlink r:id="rId1" w:history="1">
        <w:r w:rsidR="00343993" w:rsidRPr="00D31095">
          <w:rPr>
            <w:rStyle w:val="Hyperlink"/>
          </w:rPr>
          <w:t>https://www.ramsar.org/fr/document/sc57-doc19-plan-de-travail-de-la-convention-de-ramsar-pour-la-mobilisation-des-ressources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F1CD2" w14:textId="034F8EC5" w:rsidR="2718667C" w:rsidRDefault="2718667C" w:rsidP="27186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61B686A"/>
    <w:multiLevelType w:val="hybridMultilevel"/>
    <w:tmpl w:val="1FD48B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45B82876">
      <w:start w:val="1"/>
      <w:numFmt w:val="decimal"/>
      <w:lvlText w:val="%3)"/>
      <w:lvlJc w:val="left"/>
      <w:pPr>
        <w:ind w:left="2340" w:hanging="360"/>
      </w:pPr>
      <w:rPr>
        <w:rFonts w:hint="default"/>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87474"/>
    <w:multiLevelType w:val="hybridMultilevel"/>
    <w:tmpl w:val="FAC265E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87210F"/>
    <w:multiLevelType w:val="hybridMultilevel"/>
    <w:tmpl w:val="4E02201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394229"/>
    <w:multiLevelType w:val="hybridMultilevel"/>
    <w:tmpl w:val="D5B4D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050999"/>
    <w:multiLevelType w:val="hybridMultilevel"/>
    <w:tmpl w:val="CD665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DA5969"/>
    <w:multiLevelType w:val="hybridMultilevel"/>
    <w:tmpl w:val="D728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4F4317"/>
    <w:multiLevelType w:val="hybridMultilevel"/>
    <w:tmpl w:val="F1E811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7D4538"/>
    <w:multiLevelType w:val="hybridMultilevel"/>
    <w:tmpl w:val="918AF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D2289"/>
    <w:multiLevelType w:val="hybridMultilevel"/>
    <w:tmpl w:val="E9B6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2" w15:restartNumberingAfterBreak="0">
    <w:nsid w:val="5DD8612A"/>
    <w:multiLevelType w:val="hybridMultilevel"/>
    <w:tmpl w:val="33E09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1152F"/>
    <w:multiLevelType w:val="hybridMultilevel"/>
    <w:tmpl w:val="1D26BC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694B52"/>
    <w:multiLevelType w:val="hybridMultilevel"/>
    <w:tmpl w:val="B45E1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DC5441"/>
    <w:multiLevelType w:val="hybridMultilevel"/>
    <w:tmpl w:val="67966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8"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3C7912"/>
    <w:multiLevelType w:val="hybridMultilevel"/>
    <w:tmpl w:val="05061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446758"/>
    <w:multiLevelType w:val="hybridMultilevel"/>
    <w:tmpl w:val="A5CAA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847ABF"/>
    <w:multiLevelType w:val="hybridMultilevel"/>
    <w:tmpl w:val="66D8C7B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7CAF16F5"/>
    <w:multiLevelType w:val="hybridMultilevel"/>
    <w:tmpl w:val="C60A0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9D26AF"/>
    <w:multiLevelType w:val="hybridMultilevel"/>
    <w:tmpl w:val="1D26BC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6"/>
  </w:num>
  <w:num w:numId="7">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10"/>
  </w:num>
  <w:num w:numId="13">
    <w:abstractNumId w:val="24"/>
  </w:num>
  <w:num w:numId="14">
    <w:abstractNumId w:val="18"/>
  </w:num>
  <w:num w:numId="15">
    <w:abstractNumId w:val="4"/>
  </w:num>
  <w:num w:numId="16">
    <w:abstractNumId w:val="20"/>
  </w:num>
  <w:num w:numId="17">
    <w:abstractNumId w:val="26"/>
  </w:num>
  <w:num w:numId="18">
    <w:abstractNumId w:val="44"/>
  </w:num>
  <w:num w:numId="19">
    <w:abstractNumId w:val="38"/>
  </w:num>
  <w:num w:numId="20">
    <w:abstractNumId w:val="29"/>
  </w:num>
  <w:num w:numId="21">
    <w:abstractNumId w:val="31"/>
  </w:num>
  <w:num w:numId="22">
    <w:abstractNumId w:val="22"/>
  </w:num>
  <w:num w:numId="23">
    <w:abstractNumId w:val="27"/>
  </w:num>
  <w:num w:numId="24">
    <w:abstractNumId w:val="25"/>
  </w:num>
  <w:num w:numId="25">
    <w:abstractNumId w:val="37"/>
  </w:num>
  <w:num w:numId="26">
    <w:abstractNumId w:val="14"/>
  </w:num>
  <w:num w:numId="27">
    <w:abstractNumId w:val="0"/>
  </w:num>
  <w:num w:numId="28">
    <w:abstractNumId w:val="17"/>
  </w:num>
  <w:num w:numId="29">
    <w:abstractNumId w:val="6"/>
  </w:num>
  <w:num w:numId="30">
    <w:abstractNumId w:val="33"/>
  </w:num>
  <w:num w:numId="31">
    <w:abstractNumId w:val="2"/>
  </w:num>
  <w:num w:numId="32">
    <w:abstractNumId w:val="41"/>
  </w:num>
  <w:num w:numId="33">
    <w:abstractNumId w:val="43"/>
  </w:num>
  <w:num w:numId="34">
    <w:abstractNumId w:val="15"/>
  </w:num>
  <w:num w:numId="35">
    <w:abstractNumId w:val="3"/>
  </w:num>
  <w:num w:numId="36">
    <w:abstractNumId w:val="5"/>
  </w:num>
  <w:num w:numId="37">
    <w:abstractNumId w:val="32"/>
  </w:num>
  <w:num w:numId="38">
    <w:abstractNumId w:val="35"/>
  </w:num>
  <w:num w:numId="39">
    <w:abstractNumId w:val="40"/>
  </w:num>
  <w:num w:numId="40">
    <w:abstractNumId w:val="9"/>
  </w:num>
  <w:num w:numId="41">
    <w:abstractNumId w:val="39"/>
  </w:num>
  <w:num w:numId="42">
    <w:abstractNumId w:val="21"/>
  </w:num>
  <w:num w:numId="43">
    <w:abstractNumId w:val="34"/>
  </w:num>
  <w:num w:numId="44">
    <w:abstractNumId w:val="28"/>
  </w:num>
  <w:num w:numId="45">
    <w:abstractNumId w:val="7"/>
  </w:num>
  <w:num w:numId="46">
    <w:abstractNumId w:val="42"/>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121D0"/>
    <w:rsid w:val="00014168"/>
    <w:rsid w:val="00016234"/>
    <w:rsid w:val="000179F0"/>
    <w:rsid w:val="00017A16"/>
    <w:rsid w:val="00017D58"/>
    <w:rsid w:val="000222D0"/>
    <w:rsid w:val="00022C0D"/>
    <w:rsid w:val="00022E56"/>
    <w:rsid w:val="00023C41"/>
    <w:rsid w:val="00025997"/>
    <w:rsid w:val="00026E09"/>
    <w:rsid w:val="00037264"/>
    <w:rsid w:val="00037CE0"/>
    <w:rsid w:val="00043470"/>
    <w:rsid w:val="00046657"/>
    <w:rsid w:val="00050124"/>
    <w:rsid w:val="00053929"/>
    <w:rsid w:val="00056BB9"/>
    <w:rsid w:val="0006198A"/>
    <w:rsid w:val="00061C9C"/>
    <w:rsid w:val="00070C41"/>
    <w:rsid w:val="0007256F"/>
    <w:rsid w:val="00073625"/>
    <w:rsid w:val="00074DE8"/>
    <w:rsid w:val="000756B8"/>
    <w:rsid w:val="000805B0"/>
    <w:rsid w:val="00081E4B"/>
    <w:rsid w:val="00082A54"/>
    <w:rsid w:val="00082B39"/>
    <w:rsid w:val="000847F3"/>
    <w:rsid w:val="000857B3"/>
    <w:rsid w:val="00085CA5"/>
    <w:rsid w:val="0008690D"/>
    <w:rsid w:val="00086B73"/>
    <w:rsid w:val="00086BAD"/>
    <w:rsid w:val="00095C2C"/>
    <w:rsid w:val="000A3137"/>
    <w:rsid w:val="000A3E3E"/>
    <w:rsid w:val="000A7F34"/>
    <w:rsid w:val="000B11FE"/>
    <w:rsid w:val="000B3626"/>
    <w:rsid w:val="000B4EA0"/>
    <w:rsid w:val="000B76DB"/>
    <w:rsid w:val="000C1C39"/>
    <w:rsid w:val="000C2489"/>
    <w:rsid w:val="000C5C18"/>
    <w:rsid w:val="000D3AC2"/>
    <w:rsid w:val="000D5C76"/>
    <w:rsid w:val="000E2FA0"/>
    <w:rsid w:val="000E47E9"/>
    <w:rsid w:val="000E608E"/>
    <w:rsid w:val="001017DC"/>
    <w:rsid w:val="001033E1"/>
    <w:rsid w:val="00115CB9"/>
    <w:rsid w:val="0012096C"/>
    <w:rsid w:val="001233FA"/>
    <w:rsid w:val="001257FE"/>
    <w:rsid w:val="0012581E"/>
    <w:rsid w:val="001275BA"/>
    <w:rsid w:val="00127828"/>
    <w:rsid w:val="001301B9"/>
    <w:rsid w:val="00130DF2"/>
    <w:rsid w:val="00135A1E"/>
    <w:rsid w:val="0014601C"/>
    <w:rsid w:val="00146AB1"/>
    <w:rsid w:val="00152068"/>
    <w:rsid w:val="00153132"/>
    <w:rsid w:val="00154373"/>
    <w:rsid w:val="00160BCB"/>
    <w:rsid w:val="00161BDA"/>
    <w:rsid w:val="001626D0"/>
    <w:rsid w:val="00170B94"/>
    <w:rsid w:val="00171618"/>
    <w:rsid w:val="0017331A"/>
    <w:rsid w:val="001742FC"/>
    <w:rsid w:val="001819B1"/>
    <w:rsid w:val="00190CDC"/>
    <w:rsid w:val="0019323F"/>
    <w:rsid w:val="00197D3C"/>
    <w:rsid w:val="001A00ED"/>
    <w:rsid w:val="001A2D10"/>
    <w:rsid w:val="001B3F20"/>
    <w:rsid w:val="001B7860"/>
    <w:rsid w:val="001C31AE"/>
    <w:rsid w:val="001C4CF5"/>
    <w:rsid w:val="001C5E41"/>
    <w:rsid w:val="001C77BC"/>
    <w:rsid w:val="001D061B"/>
    <w:rsid w:val="001D4592"/>
    <w:rsid w:val="001D48BB"/>
    <w:rsid w:val="001E00E3"/>
    <w:rsid w:val="001E2777"/>
    <w:rsid w:val="001F05F3"/>
    <w:rsid w:val="001F2349"/>
    <w:rsid w:val="001F5035"/>
    <w:rsid w:val="001F6A49"/>
    <w:rsid w:val="00200197"/>
    <w:rsid w:val="002005D2"/>
    <w:rsid w:val="0020298B"/>
    <w:rsid w:val="00203B2A"/>
    <w:rsid w:val="002056FC"/>
    <w:rsid w:val="00206111"/>
    <w:rsid w:val="00206A06"/>
    <w:rsid w:val="002137E0"/>
    <w:rsid w:val="0021546F"/>
    <w:rsid w:val="0022042A"/>
    <w:rsid w:val="0022179C"/>
    <w:rsid w:val="0022797F"/>
    <w:rsid w:val="00230310"/>
    <w:rsid w:val="00231D73"/>
    <w:rsid w:val="00235638"/>
    <w:rsid w:val="00242F60"/>
    <w:rsid w:val="00246895"/>
    <w:rsid w:val="00247B05"/>
    <w:rsid w:val="002613BD"/>
    <w:rsid w:val="00262838"/>
    <w:rsid w:val="0026361B"/>
    <w:rsid w:val="00267DF5"/>
    <w:rsid w:val="002740DA"/>
    <w:rsid w:val="002741AC"/>
    <w:rsid w:val="00275F13"/>
    <w:rsid w:val="002819C0"/>
    <w:rsid w:val="00284575"/>
    <w:rsid w:val="00295556"/>
    <w:rsid w:val="00295AEB"/>
    <w:rsid w:val="00295BB5"/>
    <w:rsid w:val="002A02DF"/>
    <w:rsid w:val="002A5A4D"/>
    <w:rsid w:val="002B198D"/>
    <w:rsid w:val="002B4262"/>
    <w:rsid w:val="002B643F"/>
    <w:rsid w:val="002B7464"/>
    <w:rsid w:val="002C3A1E"/>
    <w:rsid w:val="002C4470"/>
    <w:rsid w:val="002C6203"/>
    <w:rsid w:val="002C67D1"/>
    <w:rsid w:val="002C7D31"/>
    <w:rsid w:val="002D5A4D"/>
    <w:rsid w:val="002E123C"/>
    <w:rsid w:val="002E22AF"/>
    <w:rsid w:val="002E7094"/>
    <w:rsid w:val="002F03C1"/>
    <w:rsid w:val="002F3147"/>
    <w:rsid w:val="002F45DC"/>
    <w:rsid w:val="00305EA1"/>
    <w:rsid w:val="00307D21"/>
    <w:rsid w:val="00310A9C"/>
    <w:rsid w:val="00313043"/>
    <w:rsid w:val="00315E1A"/>
    <w:rsid w:val="00320B4C"/>
    <w:rsid w:val="003210CC"/>
    <w:rsid w:val="0032230C"/>
    <w:rsid w:val="00322C05"/>
    <w:rsid w:val="00324398"/>
    <w:rsid w:val="0032703B"/>
    <w:rsid w:val="00330516"/>
    <w:rsid w:val="003358FF"/>
    <w:rsid w:val="00341A7F"/>
    <w:rsid w:val="00342B68"/>
    <w:rsid w:val="00343993"/>
    <w:rsid w:val="0034656F"/>
    <w:rsid w:val="00350C75"/>
    <w:rsid w:val="003547A4"/>
    <w:rsid w:val="00355EAC"/>
    <w:rsid w:val="00357218"/>
    <w:rsid w:val="00363AA1"/>
    <w:rsid w:val="003740D2"/>
    <w:rsid w:val="00380408"/>
    <w:rsid w:val="0038110E"/>
    <w:rsid w:val="00384FC3"/>
    <w:rsid w:val="00397C65"/>
    <w:rsid w:val="003A3804"/>
    <w:rsid w:val="003A4C3B"/>
    <w:rsid w:val="003A52BE"/>
    <w:rsid w:val="003A54A0"/>
    <w:rsid w:val="003A560E"/>
    <w:rsid w:val="003A5866"/>
    <w:rsid w:val="003A6E9F"/>
    <w:rsid w:val="003B5172"/>
    <w:rsid w:val="003B7816"/>
    <w:rsid w:val="003C0DA6"/>
    <w:rsid w:val="003C6DF4"/>
    <w:rsid w:val="003C7251"/>
    <w:rsid w:val="003D4CD6"/>
    <w:rsid w:val="003E2B58"/>
    <w:rsid w:val="003F0E5F"/>
    <w:rsid w:val="003F32E3"/>
    <w:rsid w:val="0041332D"/>
    <w:rsid w:val="00414B9D"/>
    <w:rsid w:val="0041770E"/>
    <w:rsid w:val="00421291"/>
    <w:rsid w:val="004228C7"/>
    <w:rsid w:val="00424028"/>
    <w:rsid w:val="004245D7"/>
    <w:rsid w:val="0042798B"/>
    <w:rsid w:val="0043045F"/>
    <w:rsid w:val="004316B7"/>
    <w:rsid w:val="00434913"/>
    <w:rsid w:val="00434E29"/>
    <w:rsid w:val="004428A5"/>
    <w:rsid w:val="00444CF6"/>
    <w:rsid w:val="004474F8"/>
    <w:rsid w:val="0046699F"/>
    <w:rsid w:val="004740F6"/>
    <w:rsid w:val="00476312"/>
    <w:rsid w:val="00477550"/>
    <w:rsid w:val="004809E2"/>
    <w:rsid w:val="004844A8"/>
    <w:rsid w:val="00492AB5"/>
    <w:rsid w:val="00495544"/>
    <w:rsid w:val="00496803"/>
    <w:rsid w:val="004A2725"/>
    <w:rsid w:val="004A72F2"/>
    <w:rsid w:val="004B1D44"/>
    <w:rsid w:val="004B3AA4"/>
    <w:rsid w:val="004B3AD8"/>
    <w:rsid w:val="004B4D26"/>
    <w:rsid w:val="004B50C5"/>
    <w:rsid w:val="004B6688"/>
    <w:rsid w:val="004C143B"/>
    <w:rsid w:val="004C1F8B"/>
    <w:rsid w:val="004C5E3B"/>
    <w:rsid w:val="004C611A"/>
    <w:rsid w:val="004D0EC2"/>
    <w:rsid w:val="004D108F"/>
    <w:rsid w:val="004D4A0A"/>
    <w:rsid w:val="004D5399"/>
    <w:rsid w:val="004D5E25"/>
    <w:rsid w:val="004D7819"/>
    <w:rsid w:val="004E13FF"/>
    <w:rsid w:val="004E4374"/>
    <w:rsid w:val="004E5FA8"/>
    <w:rsid w:val="004F3F1A"/>
    <w:rsid w:val="005050F1"/>
    <w:rsid w:val="00505AD0"/>
    <w:rsid w:val="0051601F"/>
    <w:rsid w:val="0051797C"/>
    <w:rsid w:val="00521444"/>
    <w:rsid w:val="0052408D"/>
    <w:rsid w:val="005244A4"/>
    <w:rsid w:val="00527783"/>
    <w:rsid w:val="00532598"/>
    <w:rsid w:val="00532B29"/>
    <w:rsid w:val="0053663D"/>
    <w:rsid w:val="00540905"/>
    <w:rsid w:val="00542391"/>
    <w:rsid w:val="005434FF"/>
    <w:rsid w:val="00546ADC"/>
    <w:rsid w:val="00551F9F"/>
    <w:rsid w:val="005532BA"/>
    <w:rsid w:val="00553610"/>
    <w:rsid w:val="00553973"/>
    <w:rsid w:val="00553FC9"/>
    <w:rsid w:val="00555BA9"/>
    <w:rsid w:val="00557F9C"/>
    <w:rsid w:val="0056419E"/>
    <w:rsid w:val="00566F2F"/>
    <w:rsid w:val="00570550"/>
    <w:rsid w:val="005814B5"/>
    <w:rsid w:val="00582032"/>
    <w:rsid w:val="00585521"/>
    <w:rsid w:val="00586393"/>
    <w:rsid w:val="0058678D"/>
    <w:rsid w:val="005904FE"/>
    <w:rsid w:val="00593E93"/>
    <w:rsid w:val="005968E8"/>
    <w:rsid w:val="005A1D60"/>
    <w:rsid w:val="005A286A"/>
    <w:rsid w:val="005A4B85"/>
    <w:rsid w:val="005A4DAE"/>
    <w:rsid w:val="005B5CB5"/>
    <w:rsid w:val="005B61FD"/>
    <w:rsid w:val="005C055C"/>
    <w:rsid w:val="005C445D"/>
    <w:rsid w:val="005C46C0"/>
    <w:rsid w:val="005D00C3"/>
    <w:rsid w:val="005D0365"/>
    <w:rsid w:val="005D3E9D"/>
    <w:rsid w:val="005D489D"/>
    <w:rsid w:val="005D6E28"/>
    <w:rsid w:val="005E0FFB"/>
    <w:rsid w:val="005E498A"/>
    <w:rsid w:val="005E5D0E"/>
    <w:rsid w:val="005F0EF6"/>
    <w:rsid w:val="005F3849"/>
    <w:rsid w:val="005F3E88"/>
    <w:rsid w:val="005F6C2C"/>
    <w:rsid w:val="00606269"/>
    <w:rsid w:val="00614418"/>
    <w:rsid w:val="00615DAE"/>
    <w:rsid w:val="00616192"/>
    <w:rsid w:val="0062380A"/>
    <w:rsid w:val="006256D3"/>
    <w:rsid w:val="00625A2C"/>
    <w:rsid w:val="00627BB7"/>
    <w:rsid w:val="006305C5"/>
    <w:rsid w:val="00635D5E"/>
    <w:rsid w:val="00636543"/>
    <w:rsid w:val="00640429"/>
    <w:rsid w:val="006427DA"/>
    <w:rsid w:val="0064334F"/>
    <w:rsid w:val="00644A13"/>
    <w:rsid w:val="00645D5E"/>
    <w:rsid w:val="0065136E"/>
    <w:rsid w:val="00652D40"/>
    <w:rsid w:val="00655300"/>
    <w:rsid w:val="00661326"/>
    <w:rsid w:val="0066786E"/>
    <w:rsid w:val="00670D71"/>
    <w:rsid w:val="00676106"/>
    <w:rsid w:val="00680B6D"/>
    <w:rsid w:val="00683790"/>
    <w:rsid w:val="006846BB"/>
    <w:rsid w:val="00684DE6"/>
    <w:rsid w:val="00694B11"/>
    <w:rsid w:val="00694F87"/>
    <w:rsid w:val="006A02A4"/>
    <w:rsid w:val="006A78BC"/>
    <w:rsid w:val="006B34FD"/>
    <w:rsid w:val="006B7C23"/>
    <w:rsid w:val="006C1CEA"/>
    <w:rsid w:val="006C2C45"/>
    <w:rsid w:val="006C4E58"/>
    <w:rsid w:val="006D183D"/>
    <w:rsid w:val="006D5DAF"/>
    <w:rsid w:val="006E131B"/>
    <w:rsid w:val="006E68F8"/>
    <w:rsid w:val="006E7DCE"/>
    <w:rsid w:val="007050FF"/>
    <w:rsid w:val="00712D42"/>
    <w:rsid w:val="00713EA4"/>
    <w:rsid w:val="007166C8"/>
    <w:rsid w:val="00716D08"/>
    <w:rsid w:val="00717A5F"/>
    <w:rsid w:val="00720311"/>
    <w:rsid w:val="00722266"/>
    <w:rsid w:val="007251F9"/>
    <w:rsid w:val="00732F76"/>
    <w:rsid w:val="007333D0"/>
    <w:rsid w:val="00735CD2"/>
    <w:rsid w:val="0073777D"/>
    <w:rsid w:val="00743C4C"/>
    <w:rsid w:val="007443CF"/>
    <w:rsid w:val="007463CA"/>
    <w:rsid w:val="00752764"/>
    <w:rsid w:val="00752DDB"/>
    <w:rsid w:val="007537BD"/>
    <w:rsid w:val="00753FDB"/>
    <w:rsid w:val="00754942"/>
    <w:rsid w:val="00754B07"/>
    <w:rsid w:val="00760886"/>
    <w:rsid w:val="00761B3D"/>
    <w:rsid w:val="00762121"/>
    <w:rsid w:val="00764BE5"/>
    <w:rsid w:val="00766962"/>
    <w:rsid w:val="007745D0"/>
    <w:rsid w:val="00775287"/>
    <w:rsid w:val="007772E6"/>
    <w:rsid w:val="0078026C"/>
    <w:rsid w:val="007830E8"/>
    <w:rsid w:val="00783502"/>
    <w:rsid w:val="0078638E"/>
    <w:rsid w:val="00787686"/>
    <w:rsid w:val="0079024D"/>
    <w:rsid w:val="007918CE"/>
    <w:rsid w:val="00794CF7"/>
    <w:rsid w:val="007972E0"/>
    <w:rsid w:val="00797BFF"/>
    <w:rsid w:val="007A6DA3"/>
    <w:rsid w:val="007B0010"/>
    <w:rsid w:val="007B23F9"/>
    <w:rsid w:val="007B4D2B"/>
    <w:rsid w:val="007C6EE2"/>
    <w:rsid w:val="007D33F4"/>
    <w:rsid w:val="007E6B93"/>
    <w:rsid w:val="007E7F95"/>
    <w:rsid w:val="007F0929"/>
    <w:rsid w:val="007F0940"/>
    <w:rsid w:val="007F09D5"/>
    <w:rsid w:val="007F3ABE"/>
    <w:rsid w:val="007F5E45"/>
    <w:rsid w:val="007F68AC"/>
    <w:rsid w:val="008017FF"/>
    <w:rsid w:val="00803485"/>
    <w:rsid w:val="00804188"/>
    <w:rsid w:val="008051B3"/>
    <w:rsid w:val="00813DBA"/>
    <w:rsid w:val="008205BF"/>
    <w:rsid w:val="00820624"/>
    <w:rsid w:val="008235CB"/>
    <w:rsid w:val="00824DC8"/>
    <w:rsid w:val="008328E9"/>
    <w:rsid w:val="0083453D"/>
    <w:rsid w:val="00835BCB"/>
    <w:rsid w:val="00835CDC"/>
    <w:rsid w:val="00836EA1"/>
    <w:rsid w:val="00837A92"/>
    <w:rsid w:val="00842068"/>
    <w:rsid w:val="00850B09"/>
    <w:rsid w:val="00863B9D"/>
    <w:rsid w:val="00863BE6"/>
    <w:rsid w:val="00864A66"/>
    <w:rsid w:val="00870A12"/>
    <w:rsid w:val="008775BC"/>
    <w:rsid w:val="00882F1B"/>
    <w:rsid w:val="008915E7"/>
    <w:rsid w:val="0089557D"/>
    <w:rsid w:val="008977AA"/>
    <w:rsid w:val="008A2260"/>
    <w:rsid w:val="008A70CE"/>
    <w:rsid w:val="008B6D3A"/>
    <w:rsid w:val="008C1E65"/>
    <w:rsid w:val="008C25E4"/>
    <w:rsid w:val="008C2DAE"/>
    <w:rsid w:val="008D55C6"/>
    <w:rsid w:val="008D5F82"/>
    <w:rsid w:val="008D641C"/>
    <w:rsid w:val="008E7B86"/>
    <w:rsid w:val="008F102F"/>
    <w:rsid w:val="008F1975"/>
    <w:rsid w:val="008F79F9"/>
    <w:rsid w:val="00903D13"/>
    <w:rsid w:val="009056D1"/>
    <w:rsid w:val="009059A9"/>
    <w:rsid w:val="00906CA3"/>
    <w:rsid w:val="00915044"/>
    <w:rsid w:val="0092515E"/>
    <w:rsid w:val="0092749C"/>
    <w:rsid w:val="009334E5"/>
    <w:rsid w:val="00942FBD"/>
    <w:rsid w:val="009454F0"/>
    <w:rsid w:val="009463C5"/>
    <w:rsid w:val="0094770B"/>
    <w:rsid w:val="00950A44"/>
    <w:rsid w:val="00951355"/>
    <w:rsid w:val="00954CB0"/>
    <w:rsid w:val="00955C1A"/>
    <w:rsid w:val="00955C1B"/>
    <w:rsid w:val="00961013"/>
    <w:rsid w:val="00966D68"/>
    <w:rsid w:val="00974721"/>
    <w:rsid w:val="0097495E"/>
    <w:rsid w:val="00975D7F"/>
    <w:rsid w:val="009766E4"/>
    <w:rsid w:val="0098651C"/>
    <w:rsid w:val="0098760A"/>
    <w:rsid w:val="00997574"/>
    <w:rsid w:val="009B2267"/>
    <w:rsid w:val="009B275E"/>
    <w:rsid w:val="009B2CEE"/>
    <w:rsid w:val="009B3337"/>
    <w:rsid w:val="009B4722"/>
    <w:rsid w:val="009B67EC"/>
    <w:rsid w:val="009C31C0"/>
    <w:rsid w:val="009D5BFC"/>
    <w:rsid w:val="009E0AE8"/>
    <w:rsid w:val="009E0D04"/>
    <w:rsid w:val="009E0E77"/>
    <w:rsid w:val="009E3748"/>
    <w:rsid w:val="009E5374"/>
    <w:rsid w:val="009F0A66"/>
    <w:rsid w:val="009F229C"/>
    <w:rsid w:val="009F345D"/>
    <w:rsid w:val="009F40B7"/>
    <w:rsid w:val="009F5DC6"/>
    <w:rsid w:val="00A01E6F"/>
    <w:rsid w:val="00A02861"/>
    <w:rsid w:val="00A03650"/>
    <w:rsid w:val="00A108E9"/>
    <w:rsid w:val="00A13218"/>
    <w:rsid w:val="00A227A3"/>
    <w:rsid w:val="00A24404"/>
    <w:rsid w:val="00A25597"/>
    <w:rsid w:val="00A26FCC"/>
    <w:rsid w:val="00A274D1"/>
    <w:rsid w:val="00A2906E"/>
    <w:rsid w:val="00A42339"/>
    <w:rsid w:val="00A451CF"/>
    <w:rsid w:val="00A474CB"/>
    <w:rsid w:val="00A50A38"/>
    <w:rsid w:val="00A60B73"/>
    <w:rsid w:val="00A61462"/>
    <w:rsid w:val="00A773A1"/>
    <w:rsid w:val="00A773EC"/>
    <w:rsid w:val="00A80080"/>
    <w:rsid w:val="00A8221E"/>
    <w:rsid w:val="00A976E3"/>
    <w:rsid w:val="00AA09C1"/>
    <w:rsid w:val="00AA13F3"/>
    <w:rsid w:val="00AA6F39"/>
    <w:rsid w:val="00AA7291"/>
    <w:rsid w:val="00AB4951"/>
    <w:rsid w:val="00AB51CC"/>
    <w:rsid w:val="00AB667B"/>
    <w:rsid w:val="00AC0715"/>
    <w:rsid w:val="00AC07F6"/>
    <w:rsid w:val="00AC38B1"/>
    <w:rsid w:val="00AC4EEB"/>
    <w:rsid w:val="00AC6C66"/>
    <w:rsid w:val="00AC7C43"/>
    <w:rsid w:val="00AD1EE9"/>
    <w:rsid w:val="00AD38DC"/>
    <w:rsid w:val="00AD3BFE"/>
    <w:rsid w:val="00AE2DB6"/>
    <w:rsid w:val="00AE3634"/>
    <w:rsid w:val="00AE54C8"/>
    <w:rsid w:val="00AE7389"/>
    <w:rsid w:val="00AF1FB1"/>
    <w:rsid w:val="00B007F4"/>
    <w:rsid w:val="00B04998"/>
    <w:rsid w:val="00B05D5E"/>
    <w:rsid w:val="00B13C8F"/>
    <w:rsid w:val="00B147E5"/>
    <w:rsid w:val="00B167C8"/>
    <w:rsid w:val="00B16E93"/>
    <w:rsid w:val="00B17BD0"/>
    <w:rsid w:val="00B26337"/>
    <w:rsid w:val="00B26490"/>
    <w:rsid w:val="00B27F09"/>
    <w:rsid w:val="00B30B06"/>
    <w:rsid w:val="00B315A0"/>
    <w:rsid w:val="00B34A18"/>
    <w:rsid w:val="00B35D1A"/>
    <w:rsid w:val="00B41529"/>
    <w:rsid w:val="00B420C5"/>
    <w:rsid w:val="00B468CE"/>
    <w:rsid w:val="00B504CA"/>
    <w:rsid w:val="00B54D17"/>
    <w:rsid w:val="00B579CB"/>
    <w:rsid w:val="00B60C3F"/>
    <w:rsid w:val="00B61DD1"/>
    <w:rsid w:val="00B626CD"/>
    <w:rsid w:val="00B654A4"/>
    <w:rsid w:val="00B656D0"/>
    <w:rsid w:val="00B70083"/>
    <w:rsid w:val="00B72846"/>
    <w:rsid w:val="00B72932"/>
    <w:rsid w:val="00B80C90"/>
    <w:rsid w:val="00B83F45"/>
    <w:rsid w:val="00B9377B"/>
    <w:rsid w:val="00B94144"/>
    <w:rsid w:val="00B95012"/>
    <w:rsid w:val="00B9537B"/>
    <w:rsid w:val="00B9546C"/>
    <w:rsid w:val="00BA033C"/>
    <w:rsid w:val="00BA6BC1"/>
    <w:rsid w:val="00BB06B2"/>
    <w:rsid w:val="00BB28F6"/>
    <w:rsid w:val="00BB2D40"/>
    <w:rsid w:val="00BB6EAC"/>
    <w:rsid w:val="00BC02B7"/>
    <w:rsid w:val="00BC2609"/>
    <w:rsid w:val="00BD02B7"/>
    <w:rsid w:val="00BE0B8E"/>
    <w:rsid w:val="00BE109B"/>
    <w:rsid w:val="00BE3A3F"/>
    <w:rsid w:val="00BE5E92"/>
    <w:rsid w:val="00BE75A4"/>
    <w:rsid w:val="00BF6436"/>
    <w:rsid w:val="00C03F48"/>
    <w:rsid w:val="00C13145"/>
    <w:rsid w:val="00C17E09"/>
    <w:rsid w:val="00C208F7"/>
    <w:rsid w:val="00C212FF"/>
    <w:rsid w:val="00C2411D"/>
    <w:rsid w:val="00C2456E"/>
    <w:rsid w:val="00C26902"/>
    <w:rsid w:val="00C26EC3"/>
    <w:rsid w:val="00C30AF5"/>
    <w:rsid w:val="00C35FF5"/>
    <w:rsid w:val="00C40E0E"/>
    <w:rsid w:val="00C47732"/>
    <w:rsid w:val="00C53A82"/>
    <w:rsid w:val="00C54E82"/>
    <w:rsid w:val="00C63CAB"/>
    <w:rsid w:val="00C65EB0"/>
    <w:rsid w:val="00C732BC"/>
    <w:rsid w:val="00C7522B"/>
    <w:rsid w:val="00C80AEB"/>
    <w:rsid w:val="00C9549C"/>
    <w:rsid w:val="00C96275"/>
    <w:rsid w:val="00CA412D"/>
    <w:rsid w:val="00CA439F"/>
    <w:rsid w:val="00CB50F3"/>
    <w:rsid w:val="00CB59D1"/>
    <w:rsid w:val="00CC06A3"/>
    <w:rsid w:val="00CC197E"/>
    <w:rsid w:val="00CC63F8"/>
    <w:rsid w:val="00CC7738"/>
    <w:rsid w:val="00CD5A42"/>
    <w:rsid w:val="00CE0038"/>
    <w:rsid w:val="00CE1C48"/>
    <w:rsid w:val="00CE41CF"/>
    <w:rsid w:val="00CE4B81"/>
    <w:rsid w:val="00CE750F"/>
    <w:rsid w:val="00CE7C37"/>
    <w:rsid w:val="00CF0973"/>
    <w:rsid w:val="00CF5B44"/>
    <w:rsid w:val="00CF7A36"/>
    <w:rsid w:val="00D160CB"/>
    <w:rsid w:val="00D17B32"/>
    <w:rsid w:val="00D2023C"/>
    <w:rsid w:val="00D21C5C"/>
    <w:rsid w:val="00D245A1"/>
    <w:rsid w:val="00D260EE"/>
    <w:rsid w:val="00D278A7"/>
    <w:rsid w:val="00D35BCB"/>
    <w:rsid w:val="00D405DB"/>
    <w:rsid w:val="00D415E2"/>
    <w:rsid w:val="00D42055"/>
    <w:rsid w:val="00D5480A"/>
    <w:rsid w:val="00D563B4"/>
    <w:rsid w:val="00D60B2A"/>
    <w:rsid w:val="00D630A8"/>
    <w:rsid w:val="00D647C3"/>
    <w:rsid w:val="00D650C2"/>
    <w:rsid w:val="00D706EF"/>
    <w:rsid w:val="00D7646A"/>
    <w:rsid w:val="00D7768F"/>
    <w:rsid w:val="00D8229A"/>
    <w:rsid w:val="00D82A28"/>
    <w:rsid w:val="00D91624"/>
    <w:rsid w:val="00D92A1E"/>
    <w:rsid w:val="00D95555"/>
    <w:rsid w:val="00D9633A"/>
    <w:rsid w:val="00DA32BF"/>
    <w:rsid w:val="00DB77F7"/>
    <w:rsid w:val="00DB7948"/>
    <w:rsid w:val="00DD1AB4"/>
    <w:rsid w:val="00DD5B60"/>
    <w:rsid w:val="00DD6844"/>
    <w:rsid w:val="00DD696F"/>
    <w:rsid w:val="00DD71D6"/>
    <w:rsid w:val="00DD7DAF"/>
    <w:rsid w:val="00DE189D"/>
    <w:rsid w:val="00DF2386"/>
    <w:rsid w:val="00DF4C94"/>
    <w:rsid w:val="00DF6E11"/>
    <w:rsid w:val="00DF6E76"/>
    <w:rsid w:val="00DF7FE7"/>
    <w:rsid w:val="00E03E71"/>
    <w:rsid w:val="00E06E21"/>
    <w:rsid w:val="00E13995"/>
    <w:rsid w:val="00E16295"/>
    <w:rsid w:val="00E20712"/>
    <w:rsid w:val="00E22FF0"/>
    <w:rsid w:val="00E318A4"/>
    <w:rsid w:val="00E337C9"/>
    <w:rsid w:val="00E36E2C"/>
    <w:rsid w:val="00E3797F"/>
    <w:rsid w:val="00E40890"/>
    <w:rsid w:val="00E46367"/>
    <w:rsid w:val="00E46897"/>
    <w:rsid w:val="00E5063A"/>
    <w:rsid w:val="00E54353"/>
    <w:rsid w:val="00E62742"/>
    <w:rsid w:val="00E63842"/>
    <w:rsid w:val="00E63F0B"/>
    <w:rsid w:val="00E66205"/>
    <w:rsid w:val="00E76D2C"/>
    <w:rsid w:val="00E80A06"/>
    <w:rsid w:val="00E90EFC"/>
    <w:rsid w:val="00E93F24"/>
    <w:rsid w:val="00E95815"/>
    <w:rsid w:val="00E96B1B"/>
    <w:rsid w:val="00EA1FEA"/>
    <w:rsid w:val="00EA3A7F"/>
    <w:rsid w:val="00EA3CBA"/>
    <w:rsid w:val="00EA54CD"/>
    <w:rsid w:val="00EA653F"/>
    <w:rsid w:val="00EB68CB"/>
    <w:rsid w:val="00EC096B"/>
    <w:rsid w:val="00EC4519"/>
    <w:rsid w:val="00ED09D6"/>
    <w:rsid w:val="00ED0E3C"/>
    <w:rsid w:val="00EF4C46"/>
    <w:rsid w:val="00EF5C84"/>
    <w:rsid w:val="00EF6365"/>
    <w:rsid w:val="00EF72AB"/>
    <w:rsid w:val="00F00593"/>
    <w:rsid w:val="00F029DC"/>
    <w:rsid w:val="00F03341"/>
    <w:rsid w:val="00F04120"/>
    <w:rsid w:val="00F078F1"/>
    <w:rsid w:val="00F10468"/>
    <w:rsid w:val="00F1199E"/>
    <w:rsid w:val="00F12D1E"/>
    <w:rsid w:val="00F13691"/>
    <w:rsid w:val="00F15323"/>
    <w:rsid w:val="00F15F5A"/>
    <w:rsid w:val="00F26784"/>
    <w:rsid w:val="00F32D03"/>
    <w:rsid w:val="00F3331F"/>
    <w:rsid w:val="00F33B96"/>
    <w:rsid w:val="00F344DE"/>
    <w:rsid w:val="00F35A34"/>
    <w:rsid w:val="00F35B51"/>
    <w:rsid w:val="00F37FA4"/>
    <w:rsid w:val="00F411B5"/>
    <w:rsid w:val="00F41860"/>
    <w:rsid w:val="00F468BE"/>
    <w:rsid w:val="00F52ABC"/>
    <w:rsid w:val="00F53177"/>
    <w:rsid w:val="00F535CE"/>
    <w:rsid w:val="00F57542"/>
    <w:rsid w:val="00F57F55"/>
    <w:rsid w:val="00F61FE3"/>
    <w:rsid w:val="00F623B3"/>
    <w:rsid w:val="00F627A0"/>
    <w:rsid w:val="00F655F6"/>
    <w:rsid w:val="00F65F11"/>
    <w:rsid w:val="00F673F7"/>
    <w:rsid w:val="00F73BA1"/>
    <w:rsid w:val="00F73E71"/>
    <w:rsid w:val="00F81B6D"/>
    <w:rsid w:val="00F87126"/>
    <w:rsid w:val="00F90DBE"/>
    <w:rsid w:val="00F93A33"/>
    <w:rsid w:val="00FA2506"/>
    <w:rsid w:val="00FA2E1C"/>
    <w:rsid w:val="00FA49EA"/>
    <w:rsid w:val="00FA76D5"/>
    <w:rsid w:val="00FB4204"/>
    <w:rsid w:val="00FB4C0B"/>
    <w:rsid w:val="00FC2EEF"/>
    <w:rsid w:val="00FC6FDA"/>
    <w:rsid w:val="00FD30C3"/>
    <w:rsid w:val="00FD611B"/>
    <w:rsid w:val="00FE24B0"/>
    <w:rsid w:val="00FF0B86"/>
    <w:rsid w:val="00FF170C"/>
    <w:rsid w:val="00FF5E1D"/>
    <w:rsid w:val="00FF7846"/>
    <w:rsid w:val="074955AE"/>
    <w:rsid w:val="0775E00A"/>
    <w:rsid w:val="0CC00D48"/>
    <w:rsid w:val="0F268C2F"/>
    <w:rsid w:val="10582C45"/>
    <w:rsid w:val="11133C19"/>
    <w:rsid w:val="13E7FEB2"/>
    <w:rsid w:val="16D4FB99"/>
    <w:rsid w:val="18D4C483"/>
    <w:rsid w:val="1CA1DDE8"/>
    <w:rsid w:val="20A924F8"/>
    <w:rsid w:val="20B4159D"/>
    <w:rsid w:val="2244F559"/>
    <w:rsid w:val="23E0C5BA"/>
    <w:rsid w:val="24D9BE47"/>
    <w:rsid w:val="24FFA82E"/>
    <w:rsid w:val="256F4F2C"/>
    <w:rsid w:val="257C961B"/>
    <w:rsid w:val="2663E06F"/>
    <w:rsid w:val="2718667C"/>
    <w:rsid w:val="28387FA0"/>
    <w:rsid w:val="29FA3B0F"/>
    <w:rsid w:val="2B59FD36"/>
    <w:rsid w:val="34907CCF"/>
    <w:rsid w:val="36C7E7F2"/>
    <w:rsid w:val="36DAF3CC"/>
    <w:rsid w:val="39951C27"/>
    <w:rsid w:val="3B1E81F5"/>
    <w:rsid w:val="3B30EC88"/>
    <w:rsid w:val="3BD4D9B1"/>
    <w:rsid w:val="3BFC4485"/>
    <w:rsid w:val="3EAFAF48"/>
    <w:rsid w:val="3F289EC0"/>
    <w:rsid w:val="426C3063"/>
    <w:rsid w:val="49AFEA9B"/>
    <w:rsid w:val="4B83F2E5"/>
    <w:rsid w:val="4F594EAE"/>
    <w:rsid w:val="50907C90"/>
    <w:rsid w:val="532F1128"/>
    <w:rsid w:val="55D330FD"/>
    <w:rsid w:val="56044167"/>
    <w:rsid w:val="563C09AA"/>
    <w:rsid w:val="5757E526"/>
    <w:rsid w:val="5834D317"/>
    <w:rsid w:val="5A11C856"/>
    <w:rsid w:val="5AB60B84"/>
    <w:rsid w:val="5B45E4CA"/>
    <w:rsid w:val="5CE70B38"/>
    <w:rsid w:val="5F0C3C9F"/>
    <w:rsid w:val="6087FC94"/>
    <w:rsid w:val="609FA553"/>
    <w:rsid w:val="67C6BF68"/>
    <w:rsid w:val="67DCD925"/>
    <w:rsid w:val="695E3E8F"/>
    <w:rsid w:val="6CD6DA24"/>
    <w:rsid w:val="70100E02"/>
    <w:rsid w:val="7068859A"/>
    <w:rsid w:val="74147DAF"/>
    <w:rsid w:val="75BB9F32"/>
    <w:rsid w:val="76E07E4F"/>
    <w:rsid w:val="775CF360"/>
    <w:rsid w:val="78284743"/>
    <w:rsid w:val="799E9C83"/>
    <w:rsid w:val="7CC56758"/>
    <w:rsid w:val="7E4F121E"/>
    <w:rsid w:val="7E8A1C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7D200A"/>
  <w15:docId w15:val="{F445D6A4-8D96-485D-8842-06EAEFE9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43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32037325">
      <w:bodyDiv w:val="1"/>
      <w:marLeft w:val="0"/>
      <w:marRight w:val="0"/>
      <w:marTop w:val="0"/>
      <w:marBottom w:val="0"/>
      <w:divBdr>
        <w:top w:val="none" w:sz="0" w:space="0" w:color="auto"/>
        <w:left w:val="none" w:sz="0" w:space="0" w:color="auto"/>
        <w:bottom w:val="none" w:sz="0" w:space="0" w:color="auto"/>
        <w:right w:val="none" w:sz="0" w:space="0" w:color="auto"/>
      </w:divBdr>
    </w:div>
    <w:div w:id="9645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document/sc57-doc19-plan-de-travail-de-la-convention-de-ramsar-pour-la-mobilisation-des-res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03A5786B231842823F4788613102AF" ma:contentTypeVersion="4" ma:contentTypeDescription="Create a new document." ma:contentTypeScope="" ma:versionID="a8134e40f42453dbe842de2c471c1410">
  <xsd:schema xmlns:xsd="http://www.w3.org/2001/XMLSchema" xmlns:xs="http://www.w3.org/2001/XMLSchema" xmlns:p="http://schemas.microsoft.com/office/2006/metadata/properties" xmlns:ns2="61a8272d-96cf-4049-bae8-824c01106527" xmlns:ns3="2091f3a7-85e0-4369-82dd-069689515281" targetNamespace="http://schemas.microsoft.com/office/2006/metadata/properties" ma:root="true" ma:fieldsID="e85e3404e872e2e61a58673f4ac3cc0c" ns2:_="" ns3:_="">
    <xsd:import namespace="61a8272d-96cf-4049-bae8-824c01106527"/>
    <xsd:import namespace="2091f3a7-85e0-4369-82dd-0696895152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8272d-96cf-4049-bae8-824c01106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91f3a7-85e0-4369-82dd-0696895152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829F8-2D3A-4AF6-8422-48CB707B6414}">
  <ds:schemaRefs>
    <ds:schemaRef ds:uri="http://purl.org/dc/terms/"/>
    <ds:schemaRef ds:uri="http://purl.org/dc/dcmitype/"/>
    <ds:schemaRef ds:uri="2091f3a7-85e0-4369-82dd-069689515281"/>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61a8272d-96cf-4049-bae8-824c01106527"/>
    <ds:schemaRef ds:uri="http://www.w3.org/XML/1998/namespace"/>
  </ds:schemaRefs>
</ds:datastoreItem>
</file>

<file path=customXml/itemProps2.xml><?xml version="1.0" encoding="utf-8"?>
<ds:datastoreItem xmlns:ds="http://schemas.openxmlformats.org/officeDocument/2006/customXml" ds:itemID="{68BFCD39-44AD-453B-AF58-6B18611A0DD6}">
  <ds:schemaRefs>
    <ds:schemaRef ds:uri="http://schemas.microsoft.com/sharepoint/v3/contenttype/forms"/>
  </ds:schemaRefs>
</ds:datastoreItem>
</file>

<file path=customXml/itemProps3.xml><?xml version="1.0" encoding="utf-8"?>
<ds:datastoreItem xmlns:ds="http://schemas.openxmlformats.org/officeDocument/2006/customXml" ds:itemID="{07E76396-E152-459A-BBBB-2652F0612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8272d-96cf-4049-bae8-824c01106527"/>
    <ds:schemaRef ds:uri="2091f3a7-85e0-4369-82dd-069689515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862549-A838-408F-9D64-F4CFABE7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Ed Jennings</cp:lastModifiedBy>
  <cp:revision>3</cp:revision>
  <cp:lastPrinted>2023-05-15T07:14:00Z</cp:lastPrinted>
  <dcterms:created xsi:type="dcterms:W3CDTF">2023-05-24T14:35:00Z</dcterms:created>
  <dcterms:modified xsi:type="dcterms:W3CDTF">2023-06-01T12:55:00Z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0x010100F203A5786B231842823F4788613102AF</vt:lpwstr>
  </property>
</Properties>
</file>