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4E64" w14:textId="77777777" w:rsidR="0003733D" w:rsidRPr="005F680E" w:rsidRDefault="0003733D" w:rsidP="00BC7FC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tabs>
          <w:tab w:val="left" w:pos="8789"/>
        </w:tabs>
        <w:spacing w:after="0" w:line="240" w:lineRule="auto"/>
        <w:ind w:right="4490"/>
        <w:rPr>
          <w:rFonts w:asciiTheme="minorHAnsi" w:hAnsiTheme="minorHAnsi" w:cstheme="minorHAnsi"/>
          <w:bCs/>
        </w:rPr>
      </w:pPr>
      <w:r w:rsidRPr="005F680E">
        <w:rPr>
          <w:rFonts w:asciiTheme="minorHAnsi" w:hAnsiTheme="minorHAnsi" w:cstheme="minorHAnsi"/>
          <w:bCs/>
        </w:rPr>
        <w:t>THE CONVENTION ON WETLANDS</w:t>
      </w:r>
    </w:p>
    <w:p w14:paraId="78C70AF9" w14:textId="77777777" w:rsidR="0003733D" w:rsidRPr="005F680E" w:rsidRDefault="0003733D" w:rsidP="00BC7FC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tabs>
          <w:tab w:val="left" w:pos="8789"/>
        </w:tabs>
        <w:spacing w:after="0" w:line="240" w:lineRule="auto"/>
        <w:ind w:right="4490"/>
        <w:rPr>
          <w:rFonts w:asciiTheme="minorHAnsi" w:hAnsiTheme="minorHAnsi" w:cstheme="minorHAnsi"/>
          <w:bCs/>
        </w:rPr>
      </w:pPr>
      <w:r w:rsidRPr="005F680E">
        <w:rPr>
          <w:rFonts w:asciiTheme="minorHAnsi" w:hAnsiTheme="minorHAnsi" w:cstheme="minorHAnsi"/>
          <w:bCs/>
        </w:rPr>
        <w:t xml:space="preserve">62nd </w:t>
      </w:r>
      <w:r>
        <w:rPr>
          <w:rFonts w:asciiTheme="minorHAnsi" w:hAnsiTheme="minorHAnsi" w:cstheme="minorHAnsi"/>
          <w:bCs/>
        </w:rPr>
        <w:t>m</w:t>
      </w:r>
      <w:r w:rsidRPr="005F680E">
        <w:rPr>
          <w:rFonts w:asciiTheme="minorHAnsi" w:hAnsiTheme="minorHAnsi" w:cstheme="minorHAnsi"/>
          <w:bCs/>
        </w:rPr>
        <w:t>eeting of the Standing Committee</w:t>
      </w:r>
    </w:p>
    <w:p w14:paraId="06FCD897" w14:textId="77777777" w:rsidR="0003733D" w:rsidRPr="005F680E" w:rsidRDefault="0003733D" w:rsidP="00BC7FCF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tabs>
          <w:tab w:val="left" w:pos="8789"/>
        </w:tabs>
        <w:spacing w:after="0" w:line="240" w:lineRule="auto"/>
        <w:ind w:right="4490"/>
        <w:rPr>
          <w:rFonts w:asciiTheme="minorHAnsi" w:hAnsiTheme="minorHAnsi" w:cstheme="minorHAnsi"/>
          <w:bCs/>
        </w:rPr>
      </w:pPr>
      <w:r w:rsidRPr="005F680E">
        <w:rPr>
          <w:rFonts w:asciiTheme="minorHAnsi" w:hAnsiTheme="minorHAnsi" w:cstheme="minorHAnsi"/>
          <w:bCs/>
        </w:rPr>
        <w:t>Gland, Switzerland, 4-8 September 2023</w:t>
      </w:r>
    </w:p>
    <w:p w14:paraId="2D0DBC26" w14:textId="77777777" w:rsidR="0003733D" w:rsidRPr="002F22EE" w:rsidRDefault="0003733D" w:rsidP="00BC7FCF">
      <w:pPr>
        <w:tabs>
          <w:tab w:val="left" w:pos="8789"/>
        </w:tabs>
        <w:spacing w:after="0" w:line="240" w:lineRule="auto"/>
        <w:ind w:right="4490"/>
        <w:rPr>
          <w:lang w:val="en-US"/>
        </w:rPr>
      </w:pPr>
    </w:p>
    <w:p w14:paraId="02F7C67D" w14:textId="740ECF4D" w:rsidR="0003733D" w:rsidRPr="002F22EE" w:rsidRDefault="0003733D" w:rsidP="00BC7FCF">
      <w:pPr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F22EE">
        <w:rPr>
          <w:rFonts w:asciiTheme="minorHAnsi" w:hAnsiTheme="minorHAnsi" w:cstheme="minorHAnsi"/>
          <w:b/>
          <w:sz w:val="28"/>
          <w:szCs w:val="28"/>
          <w:lang w:val="en-US"/>
        </w:rPr>
        <w:t>SC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62 </w:t>
      </w:r>
      <w:r w:rsidRPr="002F22EE">
        <w:rPr>
          <w:rFonts w:asciiTheme="minorHAnsi" w:hAnsiTheme="minorHAnsi" w:cstheme="minorHAnsi"/>
          <w:b/>
          <w:sz w:val="28"/>
          <w:szCs w:val="28"/>
          <w:lang w:val="en-US"/>
        </w:rPr>
        <w:t>Doc.</w:t>
      </w:r>
      <w:r w:rsidR="00BC7FCF">
        <w:rPr>
          <w:rFonts w:asciiTheme="minorHAnsi" w:hAnsiTheme="minorHAnsi" w:cstheme="minorHAnsi"/>
          <w:b/>
          <w:sz w:val="28"/>
          <w:szCs w:val="28"/>
          <w:lang w:val="en-US"/>
        </w:rPr>
        <w:t>16.2</w:t>
      </w:r>
    </w:p>
    <w:p w14:paraId="7686643A" w14:textId="77777777" w:rsidR="0003733D" w:rsidRPr="002F22EE" w:rsidRDefault="0003733D" w:rsidP="00BC7FCF">
      <w:pPr>
        <w:spacing w:after="0" w:line="240" w:lineRule="auto"/>
        <w:jc w:val="center"/>
        <w:rPr>
          <w:rFonts w:asciiTheme="minorHAnsi" w:hAnsiTheme="minorHAnsi" w:cstheme="minorHAnsi"/>
          <w:bCs/>
          <w:lang w:val="en-US"/>
        </w:rPr>
      </w:pPr>
    </w:p>
    <w:p w14:paraId="3273EC26" w14:textId="6AF03462" w:rsidR="0003733D" w:rsidRPr="0003733D" w:rsidRDefault="0003733D" w:rsidP="00BC7F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3733D">
        <w:rPr>
          <w:rFonts w:asciiTheme="minorHAnsi" w:hAnsiTheme="minorHAnsi" w:cstheme="minorHAnsi"/>
          <w:b/>
          <w:bCs/>
          <w:sz w:val="28"/>
          <w:szCs w:val="28"/>
        </w:rPr>
        <w:t xml:space="preserve">Communication, capacity building, education, participation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03733D">
        <w:rPr>
          <w:rFonts w:asciiTheme="minorHAnsi" w:hAnsiTheme="minorHAnsi" w:cstheme="minorHAnsi"/>
          <w:b/>
          <w:bCs/>
          <w:sz w:val="28"/>
          <w:szCs w:val="28"/>
        </w:rPr>
        <w:t>and awareness (CEPA)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01EBB504" w14:textId="4DAFEB40" w:rsidR="001E2F37" w:rsidRPr="005B43FD" w:rsidRDefault="00A611BF" w:rsidP="00BC7FC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97EB0">
        <w:rPr>
          <w:rFonts w:asciiTheme="minorHAnsi" w:hAnsiTheme="minorHAnsi" w:cstheme="minorHAnsi"/>
          <w:b/>
          <w:bCs/>
          <w:sz w:val="28"/>
          <w:szCs w:val="28"/>
        </w:rPr>
        <w:t>CEPA Oversight Panel work plan, 2023-2025</w:t>
      </w:r>
    </w:p>
    <w:p w14:paraId="7C8D4929" w14:textId="07FD660C" w:rsidR="005B43FD" w:rsidRDefault="005B43FD" w:rsidP="00BC7FCF">
      <w:pPr>
        <w:spacing w:after="0" w:line="240" w:lineRule="auto"/>
      </w:pPr>
    </w:p>
    <w:p w14:paraId="1F4092EF" w14:textId="772AC8BA" w:rsidR="00BC7FCF" w:rsidRDefault="00BC7FCF" w:rsidP="00BC7FCF">
      <w:pPr>
        <w:spacing w:after="0" w:line="240" w:lineRule="auto"/>
      </w:pPr>
      <w:r w:rsidRPr="007F7F60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F639243" wp14:editId="5FEAF02E">
                <wp:extent cx="5731510" cy="939800"/>
                <wp:effectExtent l="0" t="0" r="2159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F344" w14:textId="77777777" w:rsidR="00490BC2" w:rsidRPr="000E637A" w:rsidRDefault="00490BC2" w:rsidP="00490BC2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E637A">
                              <w:rPr>
                                <w:rFonts w:asciiTheme="minorHAnsi" w:hAnsiTheme="minorHAnsi" w:cstheme="minorHAnsi"/>
                                <w:b/>
                              </w:rPr>
                              <w:t>Action requested:</w:t>
                            </w:r>
                          </w:p>
                          <w:p w14:paraId="4D65463B" w14:textId="77777777" w:rsidR="00490BC2" w:rsidRDefault="00490BC2" w:rsidP="00490BC2">
                            <w:pPr>
                              <w:pStyle w:val="ColorfulList-Accent11"/>
                              <w:ind w:left="0"/>
                            </w:pPr>
                          </w:p>
                          <w:p w14:paraId="57036F6D" w14:textId="25AED090" w:rsidR="00490BC2" w:rsidRDefault="00490BC2" w:rsidP="00490BC2">
                            <w:pPr>
                              <w:pStyle w:val="ColorfulList-Accent11"/>
                              <w:ind w:left="0" w:firstLine="0"/>
                            </w:pPr>
                            <w:r>
                              <w:t xml:space="preserve">The Standing Committee is </w:t>
                            </w:r>
                            <w:r>
                              <w:rPr>
                                <w:rFonts w:cs="Calibri"/>
                              </w:rPr>
                              <w:t xml:space="preserve">invited to </w:t>
                            </w:r>
                            <w:r w:rsidR="00CF2B6B">
                              <w:rPr>
                                <w:rFonts w:cs="Calibri"/>
                              </w:rPr>
                              <w:t xml:space="preserve">take </w:t>
                            </w:r>
                            <w:r>
                              <w:rPr>
                                <w:rFonts w:cs="Calibri"/>
                              </w:rPr>
                              <w:t xml:space="preserve">note </w:t>
                            </w:r>
                            <w:r w:rsidR="00CF2B6B">
                              <w:rPr>
                                <w:rFonts w:cs="Calibri"/>
                              </w:rPr>
                              <w:t xml:space="preserve">of </w:t>
                            </w:r>
                            <w:r>
                              <w:rPr>
                                <w:rFonts w:cs="Calibri"/>
                              </w:rPr>
                              <w:t xml:space="preserve">the </w:t>
                            </w:r>
                            <w:r w:rsidR="00997EB0" w:rsidRPr="00BC7FCF">
                              <w:rPr>
                                <w:rFonts w:cs="Calibri"/>
                              </w:rPr>
                              <w:t>work plan</w:t>
                            </w:r>
                            <w:r w:rsidR="00997EB0">
                              <w:rPr>
                                <w:rFonts w:cs="Calibri"/>
                              </w:rPr>
                              <w:t xml:space="preserve"> of the </w:t>
                            </w:r>
                            <w:r w:rsidRPr="00BC7FCF">
                              <w:rPr>
                                <w:rFonts w:cs="Calibri"/>
                              </w:rPr>
                              <w:t xml:space="preserve">CEPA Oversight Panel </w:t>
                            </w:r>
                            <w:r>
                              <w:rPr>
                                <w:rFonts w:cs="Calibri"/>
                              </w:rPr>
                              <w:t>for</w:t>
                            </w:r>
                            <w:r w:rsidRPr="00BC7FCF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CF2B6B">
                              <w:rPr>
                                <w:rFonts w:cs="Calibri"/>
                              </w:rPr>
                              <w:br/>
                            </w:r>
                            <w:r w:rsidRPr="00BC7FCF">
                              <w:rPr>
                                <w:rFonts w:cs="Calibri"/>
                              </w:rPr>
                              <w:t>2023-2025</w:t>
                            </w:r>
                            <w:r w:rsidR="00997EB0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64AA9BE8" w14:textId="77777777" w:rsidR="00BC7FCF" w:rsidRDefault="00BC7FCF" w:rsidP="00490BC2">
                            <w:pPr>
                              <w:pStyle w:val="ColorfulList-Accent11"/>
                              <w:ind w:left="0" w:firstLine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E631C3" w14:textId="77777777" w:rsidR="00BC7FCF" w:rsidRPr="007F7F60" w:rsidRDefault="00BC7FCF" w:rsidP="00BC7FC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639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">
                <v:textbox>
                  <w:txbxContent>
                    <w:p w14:paraId="1F34F344" w14:textId="77777777" w:rsidR="00490BC2" w:rsidRPr="000E637A" w:rsidRDefault="00490BC2" w:rsidP="00490BC2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E637A">
                        <w:rPr>
                          <w:rFonts w:asciiTheme="minorHAnsi" w:hAnsiTheme="minorHAnsi" w:cstheme="minorHAnsi"/>
                          <w:b/>
                        </w:rPr>
                        <w:t>Action requested:</w:t>
                      </w:r>
                    </w:p>
                    <w:p w14:paraId="4D65463B" w14:textId="77777777" w:rsidR="00490BC2" w:rsidRDefault="00490BC2" w:rsidP="00490BC2">
                      <w:pPr>
                        <w:pStyle w:val="ColorfulList-Accent11"/>
                        <w:ind w:left="0"/>
                      </w:pPr>
                    </w:p>
                    <w:p w14:paraId="57036F6D" w14:textId="25AED090" w:rsidR="00490BC2" w:rsidRDefault="00490BC2" w:rsidP="00490BC2">
                      <w:pPr>
                        <w:pStyle w:val="ColorfulList-Accent11"/>
                        <w:ind w:left="0" w:firstLine="0"/>
                      </w:pPr>
                      <w:r>
                        <w:t xml:space="preserve">The Standing Committee is </w:t>
                      </w:r>
                      <w:r>
                        <w:rPr>
                          <w:rFonts w:cs="Calibri"/>
                        </w:rPr>
                        <w:t xml:space="preserve">invited to </w:t>
                      </w:r>
                      <w:r w:rsidR="00CF2B6B">
                        <w:rPr>
                          <w:rFonts w:cs="Calibri"/>
                        </w:rPr>
                        <w:t xml:space="preserve">take </w:t>
                      </w:r>
                      <w:r>
                        <w:rPr>
                          <w:rFonts w:cs="Calibri"/>
                        </w:rPr>
                        <w:t xml:space="preserve">note </w:t>
                      </w:r>
                      <w:r w:rsidR="00CF2B6B">
                        <w:rPr>
                          <w:rFonts w:cs="Calibri"/>
                        </w:rPr>
                        <w:t xml:space="preserve">of </w:t>
                      </w:r>
                      <w:r>
                        <w:rPr>
                          <w:rFonts w:cs="Calibri"/>
                        </w:rPr>
                        <w:t xml:space="preserve">the </w:t>
                      </w:r>
                      <w:r w:rsidR="00997EB0" w:rsidRPr="00BC7FCF">
                        <w:rPr>
                          <w:rFonts w:cs="Calibri"/>
                        </w:rPr>
                        <w:t>work plan</w:t>
                      </w:r>
                      <w:r w:rsidR="00997EB0">
                        <w:rPr>
                          <w:rFonts w:cs="Calibri"/>
                        </w:rPr>
                        <w:t xml:space="preserve"> </w:t>
                      </w:r>
                      <w:r w:rsidR="00997EB0">
                        <w:rPr>
                          <w:rFonts w:cs="Calibri"/>
                        </w:rPr>
                        <w:t xml:space="preserve">of the </w:t>
                      </w:r>
                      <w:r w:rsidRPr="00BC7FCF">
                        <w:rPr>
                          <w:rFonts w:cs="Calibri"/>
                        </w:rPr>
                        <w:t xml:space="preserve">CEPA Oversight Panel </w:t>
                      </w:r>
                      <w:r>
                        <w:rPr>
                          <w:rFonts w:cs="Calibri"/>
                        </w:rPr>
                        <w:t>for</w:t>
                      </w:r>
                      <w:r w:rsidRPr="00BC7FCF">
                        <w:rPr>
                          <w:rFonts w:cs="Calibri"/>
                        </w:rPr>
                        <w:t xml:space="preserve"> </w:t>
                      </w:r>
                      <w:r w:rsidR="00CF2B6B">
                        <w:rPr>
                          <w:rFonts w:cs="Calibri"/>
                        </w:rPr>
                        <w:br/>
                      </w:r>
                      <w:r w:rsidRPr="00BC7FCF">
                        <w:rPr>
                          <w:rFonts w:cs="Calibri"/>
                        </w:rPr>
                        <w:t>2023-2025</w:t>
                      </w:r>
                      <w:r w:rsidR="00997EB0">
                        <w:rPr>
                          <w:rFonts w:cs="Calibri"/>
                        </w:rPr>
                        <w:t>.</w:t>
                      </w:r>
                    </w:p>
                    <w:p w14:paraId="64AA9BE8" w14:textId="77777777" w:rsidR="00BC7FCF" w:rsidRDefault="00BC7FCF" w:rsidP="00490BC2">
                      <w:pPr>
                        <w:pStyle w:val="ColorfulList-Accent11"/>
                        <w:ind w:left="0" w:firstLine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2CE631C3" w14:textId="77777777" w:rsidR="00BC7FCF" w:rsidRPr="007F7F60" w:rsidRDefault="00BC7FCF" w:rsidP="00BC7FCF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90F156" w14:textId="26BB4325" w:rsidR="005B43FD" w:rsidRDefault="005B43FD" w:rsidP="00BC7FCF">
      <w:pPr>
        <w:spacing w:after="0" w:line="240" w:lineRule="auto"/>
      </w:pPr>
    </w:p>
    <w:p w14:paraId="790BA2A7" w14:textId="77777777" w:rsidR="00490BC2" w:rsidRDefault="00490BC2" w:rsidP="00BC7FCF">
      <w:pPr>
        <w:spacing w:after="0" w:line="240" w:lineRule="auto"/>
      </w:pPr>
    </w:p>
    <w:p w14:paraId="157D71C1" w14:textId="53B06341" w:rsidR="007954C4" w:rsidRDefault="005B43FD" w:rsidP="00BC7FCF">
      <w:p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A611BF" w:rsidRPr="005B43FD">
        <w:rPr>
          <w:rFonts w:asciiTheme="minorHAnsi" w:hAnsiTheme="minorHAnsi" w:cstheme="minorHAnsi"/>
        </w:rPr>
        <w:t xml:space="preserve">The </w:t>
      </w:r>
      <w:r w:rsidR="00282C83" w:rsidRPr="005B43FD">
        <w:rPr>
          <w:rFonts w:asciiTheme="minorHAnsi" w:hAnsiTheme="minorHAnsi" w:cstheme="minorHAnsi"/>
        </w:rPr>
        <w:t>Convention on Wetlands</w:t>
      </w:r>
      <w:r w:rsidR="00A611BF" w:rsidRPr="005B43FD">
        <w:rPr>
          <w:rFonts w:asciiTheme="minorHAnsi" w:hAnsiTheme="minorHAnsi" w:cstheme="minorHAnsi"/>
        </w:rPr>
        <w:t xml:space="preserve"> CEPA Oversight Panel (OP) was convened in early 2023 and </w:t>
      </w:r>
      <w:r w:rsidR="00282C83" w:rsidRPr="005B43FD">
        <w:rPr>
          <w:rFonts w:asciiTheme="minorHAnsi" w:hAnsiTheme="minorHAnsi" w:cstheme="minorHAnsi"/>
        </w:rPr>
        <w:t>developed a work plan</w:t>
      </w:r>
      <w:r w:rsidR="004E6076">
        <w:rPr>
          <w:rFonts w:asciiTheme="minorHAnsi" w:hAnsiTheme="minorHAnsi" w:cstheme="minorHAnsi"/>
        </w:rPr>
        <w:t xml:space="preserve"> to present to </w:t>
      </w:r>
      <w:r w:rsidR="00997EB0">
        <w:rPr>
          <w:rFonts w:asciiTheme="minorHAnsi" w:hAnsiTheme="minorHAnsi" w:cstheme="minorHAnsi"/>
        </w:rPr>
        <w:t>the 62nd meeting of the Standing Committee (</w:t>
      </w:r>
      <w:r w:rsidR="004E6076">
        <w:rPr>
          <w:rFonts w:asciiTheme="minorHAnsi" w:hAnsiTheme="minorHAnsi" w:cstheme="minorHAnsi"/>
        </w:rPr>
        <w:t>SC62</w:t>
      </w:r>
      <w:r w:rsidR="00997EB0">
        <w:rPr>
          <w:rFonts w:asciiTheme="minorHAnsi" w:hAnsiTheme="minorHAnsi" w:cstheme="minorHAnsi"/>
        </w:rPr>
        <w:t>)</w:t>
      </w:r>
      <w:r w:rsidR="004E6076">
        <w:rPr>
          <w:rFonts w:asciiTheme="minorHAnsi" w:hAnsiTheme="minorHAnsi" w:cstheme="minorHAnsi"/>
        </w:rPr>
        <w:t xml:space="preserve"> for its information</w:t>
      </w:r>
      <w:r w:rsidR="00997EB0">
        <w:rPr>
          <w:rFonts w:asciiTheme="minorHAnsi" w:hAnsiTheme="minorHAnsi" w:cstheme="minorHAnsi"/>
        </w:rPr>
        <w:t>,</w:t>
      </w:r>
      <w:r w:rsidR="00282C83" w:rsidRPr="005B43FD">
        <w:rPr>
          <w:rFonts w:asciiTheme="minorHAnsi" w:hAnsiTheme="minorHAnsi" w:cstheme="minorHAnsi"/>
        </w:rPr>
        <w:t xml:space="preserve"> as instructed in</w:t>
      </w:r>
      <w:r w:rsidR="00E630E3" w:rsidRPr="005B43FD">
        <w:rPr>
          <w:rFonts w:asciiTheme="minorHAnsi" w:hAnsiTheme="minorHAnsi" w:cstheme="minorHAnsi"/>
        </w:rPr>
        <w:t xml:space="preserve"> </w:t>
      </w:r>
      <w:r w:rsidRPr="005B43FD">
        <w:rPr>
          <w:rFonts w:asciiTheme="minorHAnsi" w:hAnsiTheme="minorHAnsi" w:cstheme="minorHAnsi"/>
        </w:rPr>
        <w:t xml:space="preserve">paragraph 11 </w:t>
      </w:r>
      <w:r>
        <w:rPr>
          <w:rFonts w:asciiTheme="minorHAnsi" w:hAnsiTheme="minorHAnsi" w:cstheme="minorHAnsi"/>
        </w:rPr>
        <w:t xml:space="preserve">of </w:t>
      </w:r>
      <w:r w:rsidR="00E630E3" w:rsidRPr="005B43FD">
        <w:rPr>
          <w:rFonts w:asciiTheme="minorHAnsi" w:hAnsiTheme="minorHAnsi" w:cstheme="minorHAnsi"/>
        </w:rPr>
        <w:t>Resolution XIV.8</w:t>
      </w:r>
      <w:r>
        <w:rPr>
          <w:rFonts w:asciiTheme="minorHAnsi" w:hAnsiTheme="minorHAnsi" w:cstheme="minorHAnsi"/>
        </w:rPr>
        <w:t xml:space="preserve"> on</w:t>
      </w:r>
      <w:r w:rsidR="00E630E3" w:rsidRPr="005B43FD">
        <w:rPr>
          <w:rFonts w:asciiTheme="minorHAnsi" w:hAnsiTheme="minorHAnsi" w:cstheme="minorHAnsi"/>
        </w:rPr>
        <w:t xml:space="preserve"> </w:t>
      </w:r>
      <w:r w:rsidRPr="005B43FD">
        <w:rPr>
          <w:rFonts w:asciiTheme="minorHAnsi" w:hAnsiTheme="minorHAnsi" w:cstheme="minorHAnsi"/>
          <w:i/>
        </w:rPr>
        <w:t>The new CEPA approach</w:t>
      </w:r>
      <w:r>
        <w:rPr>
          <w:rFonts w:asciiTheme="minorHAnsi" w:hAnsiTheme="minorHAnsi" w:cstheme="minorHAnsi"/>
        </w:rPr>
        <w:t xml:space="preserve"> </w:t>
      </w:r>
      <w:r w:rsidR="00A611BF" w:rsidRPr="005B43FD">
        <w:rPr>
          <w:rFonts w:asciiTheme="minorHAnsi" w:hAnsiTheme="minorHAnsi" w:cstheme="minorHAnsi"/>
        </w:rPr>
        <w:t xml:space="preserve">to guide </w:t>
      </w:r>
      <w:r w:rsidR="00282C83" w:rsidRPr="005B43FD">
        <w:rPr>
          <w:rFonts w:asciiTheme="minorHAnsi" w:hAnsiTheme="minorHAnsi" w:cstheme="minorHAnsi"/>
        </w:rPr>
        <w:t>the</w:t>
      </w:r>
      <w:r w:rsidR="00A611BF" w:rsidRPr="005B43FD">
        <w:rPr>
          <w:rFonts w:asciiTheme="minorHAnsi" w:hAnsiTheme="minorHAnsi" w:cstheme="minorHAnsi"/>
        </w:rPr>
        <w:t xml:space="preserve"> activities</w:t>
      </w:r>
      <w:r w:rsidR="00282C83" w:rsidRPr="005B43FD">
        <w:rPr>
          <w:rFonts w:asciiTheme="minorHAnsi" w:hAnsiTheme="minorHAnsi" w:cstheme="minorHAnsi"/>
        </w:rPr>
        <w:t xml:space="preserve"> of the Panel</w:t>
      </w:r>
      <w:r w:rsidR="00A611BF" w:rsidRPr="005B43FD">
        <w:rPr>
          <w:rFonts w:asciiTheme="minorHAnsi" w:hAnsiTheme="minorHAnsi" w:cstheme="minorHAnsi"/>
        </w:rPr>
        <w:t xml:space="preserve"> during the triennium, until COP15 in 2025. </w:t>
      </w:r>
    </w:p>
    <w:p w14:paraId="4A12C60E" w14:textId="77777777" w:rsidR="007954C4" w:rsidRDefault="007954C4" w:rsidP="00BC7FCF">
      <w:pPr>
        <w:spacing w:after="0" w:line="240" w:lineRule="auto"/>
        <w:ind w:left="426" w:hanging="426"/>
        <w:rPr>
          <w:rFonts w:asciiTheme="minorHAnsi" w:hAnsiTheme="minorHAnsi" w:cstheme="minorHAnsi"/>
        </w:rPr>
      </w:pPr>
    </w:p>
    <w:p w14:paraId="4A8C0FCD" w14:textId="1BE902A5" w:rsidR="00A611BF" w:rsidRDefault="007954C4" w:rsidP="00BC7FCF">
      <w:pPr>
        <w:spacing w:after="0" w:line="240" w:lineRule="auto"/>
        <w:ind w:left="4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A611BF" w:rsidRPr="005B43FD">
        <w:rPr>
          <w:rFonts w:asciiTheme="minorHAnsi" w:hAnsiTheme="minorHAnsi" w:cstheme="minorHAnsi"/>
        </w:rPr>
        <w:t>The work plan</w:t>
      </w:r>
      <w:r>
        <w:rPr>
          <w:rFonts w:asciiTheme="minorHAnsi" w:hAnsiTheme="minorHAnsi" w:cstheme="minorHAnsi"/>
        </w:rPr>
        <w:t>, included in the present document at Annex 1,</w:t>
      </w:r>
      <w:r w:rsidR="00A611BF" w:rsidRPr="005B43FD">
        <w:rPr>
          <w:rFonts w:asciiTheme="minorHAnsi" w:hAnsiTheme="minorHAnsi" w:cstheme="minorHAnsi"/>
        </w:rPr>
        <w:t xml:space="preserve"> is based on the </w:t>
      </w:r>
      <w:r w:rsidRPr="005B43FD">
        <w:rPr>
          <w:rFonts w:asciiTheme="minorHAnsi" w:hAnsiTheme="minorHAnsi" w:cstheme="minorHAnsi"/>
        </w:rPr>
        <w:t xml:space="preserve">new </w:t>
      </w:r>
      <w:r w:rsidR="00A611BF" w:rsidRPr="005B43FD">
        <w:rPr>
          <w:rFonts w:asciiTheme="minorHAnsi" w:hAnsiTheme="minorHAnsi" w:cstheme="minorHAnsi"/>
        </w:rPr>
        <w:t xml:space="preserve">CEPA approach </w:t>
      </w:r>
      <w:r w:rsidR="00282C83" w:rsidRPr="005B43FD">
        <w:rPr>
          <w:rFonts w:asciiTheme="minorHAnsi" w:hAnsiTheme="minorHAnsi" w:cstheme="minorHAnsi"/>
        </w:rPr>
        <w:t xml:space="preserve">identified in Resolution XIV.8 </w:t>
      </w:r>
      <w:r w:rsidR="00A611BF" w:rsidRPr="005B43FD">
        <w:rPr>
          <w:rFonts w:asciiTheme="minorHAnsi" w:hAnsiTheme="minorHAnsi" w:cstheme="minorHAnsi"/>
        </w:rPr>
        <w:t>adopted at COP14 in Wuhan</w:t>
      </w:r>
      <w:r w:rsidR="00282C83" w:rsidRPr="005B43FD">
        <w:rPr>
          <w:rFonts w:asciiTheme="minorHAnsi" w:hAnsiTheme="minorHAnsi" w:cstheme="minorHAnsi"/>
        </w:rPr>
        <w:t xml:space="preserve"> and Geneva</w:t>
      </w:r>
      <w:r w:rsidR="00A611BF" w:rsidRPr="005B43FD">
        <w:rPr>
          <w:rFonts w:asciiTheme="minorHAnsi" w:hAnsiTheme="minorHAnsi" w:cstheme="minorHAnsi"/>
        </w:rPr>
        <w:t>, and aims to deliver the basic tenets of the new</w:t>
      </w:r>
      <w:r w:rsidR="00150E22" w:rsidRPr="005B43FD">
        <w:rPr>
          <w:rFonts w:asciiTheme="minorHAnsi" w:hAnsiTheme="minorHAnsi" w:cstheme="minorHAnsi"/>
        </w:rPr>
        <w:t xml:space="preserve"> approach which are to </w:t>
      </w:r>
      <w:r w:rsidR="005B43FD" w:rsidRPr="005B43FD">
        <w:rPr>
          <w:rFonts w:asciiTheme="minorHAnsi" w:hAnsiTheme="minorHAnsi" w:cstheme="minorHAnsi"/>
        </w:rPr>
        <w:t>prioriti</w:t>
      </w:r>
      <w:r w:rsidR="005B43FD">
        <w:rPr>
          <w:rFonts w:asciiTheme="minorHAnsi" w:hAnsiTheme="minorHAnsi" w:cstheme="minorHAnsi"/>
        </w:rPr>
        <w:t>z</w:t>
      </w:r>
      <w:r w:rsidR="005B43FD" w:rsidRPr="005B43FD">
        <w:rPr>
          <w:rFonts w:asciiTheme="minorHAnsi" w:hAnsiTheme="minorHAnsi" w:cstheme="minorHAnsi"/>
        </w:rPr>
        <w:t xml:space="preserve">e </w:t>
      </w:r>
      <w:r w:rsidR="00A611BF" w:rsidRPr="005B43FD">
        <w:rPr>
          <w:rFonts w:asciiTheme="minorHAnsi" w:hAnsiTheme="minorHAnsi" w:cstheme="minorHAnsi"/>
        </w:rPr>
        <w:t>and simplify, align better to the Strategic Plan, and build the efficacy of the CEPA programme</w:t>
      </w:r>
      <w:r w:rsidR="00150E22" w:rsidRPr="005B43FD">
        <w:rPr>
          <w:rFonts w:asciiTheme="minorHAnsi" w:hAnsiTheme="minorHAnsi" w:cstheme="minorHAnsi"/>
        </w:rPr>
        <w:t xml:space="preserve"> across the </w:t>
      </w:r>
      <w:r w:rsidR="00282C83" w:rsidRPr="005B43FD">
        <w:rPr>
          <w:rFonts w:asciiTheme="minorHAnsi" w:hAnsiTheme="minorHAnsi" w:cstheme="minorHAnsi"/>
        </w:rPr>
        <w:t>bodies of the Convention.</w:t>
      </w:r>
    </w:p>
    <w:p w14:paraId="725649F4" w14:textId="77777777" w:rsidR="005B43FD" w:rsidRPr="005B43FD" w:rsidRDefault="005B43FD" w:rsidP="00BC7FCF">
      <w:pPr>
        <w:spacing w:after="0" w:line="240" w:lineRule="auto"/>
        <w:ind w:left="426" w:hanging="426"/>
        <w:rPr>
          <w:rFonts w:asciiTheme="minorHAnsi" w:hAnsiTheme="minorHAnsi" w:cstheme="minorHAnsi"/>
        </w:rPr>
      </w:pPr>
    </w:p>
    <w:p w14:paraId="6600052F" w14:textId="77777777" w:rsidR="0003733D" w:rsidRDefault="0003733D" w:rsidP="00BC7FCF">
      <w:pPr>
        <w:spacing w:after="0" w:line="240" w:lineRule="auto"/>
        <w:sectPr w:rsidR="0003733D" w:rsidSect="000373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86A103" w14:textId="258D5306" w:rsidR="00A611BF" w:rsidRPr="005B43FD" w:rsidRDefault="005B43FD" w:rsidP="00BC7FC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B43FD">
        <w:rPr>
          <w:rFonts w:asciiTheme="minorHAnsi" w:hAnsiTheme="minorHAnsi" w:cstheme="minorHAnsi"/>
          <w:b/>
          <w:sz w:val="24"/>
          <w:szCs w:val="24"/>
        </w:rPr>
        <w:lastRenderedPageBreak/>
        <w:t>Annex 1</w:t>
      </w:r>
    </w:p>
    <w:p w14:paraId="682F3E20" w14:textId="77777777" w:rsidR="005B43FD" w:rsidRPr="005B43FD" w:rsidRDefault="005B43FD" w:rsidP="00BC7FC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B43FD">
        <w:rPr>
          <w:rFonts w:asciiTheme="minorHAnsi" w:hAnsiTheme="minorHAnsi" w:cstheme="minorHAnsi"/>
          <w:b/>
          <w:bCs/>
          <w:sz w:val="24"/>
          <w:szCs w:val="24"/>
        </w:rPr>
        <w:t>CEPA Oversight Panel work plan, 2023-2025</w:t>
      </w:r>
    </w:p>
    <w:p w14:paraId="39B6D21D" w14:textId="37F6ABAC" w:rsidR="005B43FD" w:rsidRDefault="005B43FD" w:rsidP="00BC7FCF">
      <w:pPr>
        <w:spacing w:after="0" w:line="240" w:lineRule="auto"/>
      </w:pPr>
    </w:p>
    <w:p w14:paraId="0D24C279" w14:textId="6CB25143" w:rsidR="00BC7FCF" w:rsidRDefault="00BC7FCF" w:rsidP="00BC7FCF">
      <w:pPr>
        <w:spacing w:after="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2057"/>
        <w:gridCol w:w="59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050464" w:rsidRPr="00BC7FCF" w14:paraId="76D5B8F3" w14:textId="77777777" w:rsidTr="0087303C">
        <w:trPr>
          <w:cantSplit/>
          <w:tblHeader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BBEB1" w14:textId="285A5AA7" w:rsidR="00050464" w:rsidRPr="00BC7FCF" w:rsidRDefault="00050464" w:rsidP="00050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Work area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F5488" w14:textId="5588C05C" w:rsidR="00050464" w:rsidRPr="00BC7FCF" w:rsidRDefault="00050464" w:rsidP="00050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Tasks</w:t>
            </w:r>
          </w:p>
        </w:tc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AC325" w14:textId="1313ECA2" w:rsidR="00050464" w:rsidRPr="00BC7FCF" w:rsidRDefault="00050464" w:rsidP="00050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Lead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notes</w:t>
            </w:r>
            <w:r w:rsidRPr="00BC7FCF">
              <w:rPr>
                <w:rStyle w:val="FootnoteReference"/>
                <w:rFonts w:asciiTheme="minorHAnsi" w:eastAsia="Times New Roman" w:hAnsiTheme="minorHAnsi" w:cstheme="minorHAnsi"/>
                <w:b/>
                <w:bCs/>
              </w:rPr>
              <w:footnoteReference w:id="1"/>
            </w:r>
          </w:p>
        </w:tc>
        <w:tc>
          <w:tcPr>
            <w:tcW w:w="5919" w:type="dxa"/>
            <w:gridSpan w:val="10"/>
            <w:tcBorders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A9CFF" w14:textId="68A9CCC2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Dates</w:t>
            </w:r>
          </w:p>
        </w:tc>
      </w:tr>
      <w:tr w:rsidR="0087303C" w:rsidRPr="00BC7FCF" w14:paraId="2CEFDCB1" w14:textId="77777777" w:rsidTr="0087303C">
        <w:trPr>
          <w:cantSplit/>
          <w:tblHeader/>
        </w:trPr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54C13" w14:textId="2860E5BD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429E1" w14:textId="16083FEA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76054" w14:textId="4E50E5E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7323C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2023 Q2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EF8B9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2023 Q3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88B47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2023 Q4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3F3DD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2024 Q1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F53A8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2024 Q2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91CDD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2024 Q3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25130A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2024 Q4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84EC9" w14:textId="7EC58EA4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2025 Q1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33AEE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2025 Q2</w:t>
            </w: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881FF" w14:textId="77777777" w:rsidR="00050464" w:rsidRPr="00BC7FCF" w:rsidRDefault="00050464" w:rsidP="00BC7F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C7FCF">
              <w:rPr>
                <w:rFonts w:asciiTheme="minorHAnsi" w:eastAsia="Times New Roman" w:hAnsiTheme="minorHAnsi" w:cstheme="minorHAnsi"/>
                <w:b/>
                <w:bCs/>
              </w:rPr>
              <w:t>2025 Q3</w:t>
            </w:r>
          </w:p>
        </w:tc>
      </w:tr>
      <w:tr w:rsidR="0087303C" w:rsidRPr="00BC7FCF" w14:paraId="3DE76772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24FF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Create CEPA OP work plan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F26C27" w14:textId="1E3227C2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Sub-group create a work plan for the period 2023-25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C019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TM; CR; Work group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4D2A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1DBE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E368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FFFA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EFB7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0CEC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89E7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56CE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033B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D8E4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34A6A62E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7868B6" w14:textId="3904F1B4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 xml:space="preserve">Review Resolutions CEPA 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560854" w14:textId="4E104FA3" w:rsidR="00BC7FCF" w:rsidRPr="00BC7FCF" w:rsidRDefault="00BC7FCF" w:rsidP="0087303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 xml:space="preserve">Examine existing documentation to identify key responsibilities and activities, particularly regarding Resolution </w:t>
            </w:r>
            <w:r w:rsidR="0087303C" w:rsidRPr="00BC7FCF">
              <w:rPr>
                <w:rFonts w:asciiTheme="minorHAnsi" w:eastAsia="Times New Roman" w:hAnsiTheme="minorHAnsi" w:cstheme="minorHAnsi"/>
              </w:rPr>
              <w:t xml:space="preserve">XIV.8 </w:t>
            </w:r>
            <w:r w:rsidRPr="00BC7FCF">
              <w:rPr>
                <w:rFonts w:asciiTheme="minorHAnsi" w:eastAsia="Times New Roman" w:hAnsiTheme="minorHAnsi" w:cstheme="minorHAnsi"/>
              </w:rPr>
              <w:t xml:space="preserve">on the </w:t>
            </w:r>
            <w:r w:rsidR="0087303C">
              <w:rPr>
                <w:rFonts w:asciiTheme="minorHAnsi" w:eastAsia="Times New Roman" w:hAnsiTheme="minorHAnsi" w:cstheme="minorHAnsi"/>
              </w:rPr>
              <w:t>n</w:t>
            </w:r>
            <w:r w:rsidR="0087303C" w:rsidRPr="00BC7FCF">
              <w:rPr>
                <w:rFonts w:asciiTheme="minorHAnsi" w:eastAsia="Times New Roman" w:hAnsiTheme="minorHAnsi" w:cstheme="minorHAnsi"/>
              </w:rPr>
              <w:t xml:space="preserve">ew </w:t>
            </w:r>
            <w:r w:rsidRPr="00BC7FCF">
              <w:rPr>
                <w:rFonts w:asciiTheme="minorHAnsi" w:eastAsia="Times New Roman" w:hAnsiTheme="minorHAnsi" w:cstheme="minorHAnsi"/>
              </w:rPr>
              <w:t>CEPA approach and</w:t>
            </w:r>
            <w:r w:rsidR="0087303C">
              <w:rPr>
                <w:rFonts w:asciiTheme="minorHAnsi" w:eastAsia="Times New Roman" w:hAnsiTheme="minorHAnsi" w:cstheme="minorHAnsi"/>
              </w:rPr>
              <w:t xml:space="preserve"> the </w:t>
            </w:r>
            <w:r w:rsidRPr="00BC7FCF">
              <w:rPr>
                <w:rFonts w:asciiTheme="minorHAnsi" w:eastAsia="Times New Roman" w:hAnsiTheme="minorHAnsi" w:cstheme="minorHAnsi"/>
              </w:rPr>
              <w:t>original CEPA Resolution XII.9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8A3BE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81DE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EECE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2005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F36C2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92BF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8C97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4FA0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8895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92A7D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FE87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28D327FD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1F0F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Submit report for SC62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C67E7D" w14:textId="7778326D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First report on progress of the CEPA OP for SC62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F48F8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TM; CR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F177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484CD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7927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A27C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513F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1C1C0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B6FC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C63E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1BF1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C4F8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70F74792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B1CEC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Regular CEPA OP meetings online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55A4A6" w14:textId="62CBFA0D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Quarterly meetings of the CEPA OP, with additional task teams for specific tasks. Explore option of a face-to-face meeting, funding allowing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9A224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TM; CR; Secretariat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31EC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603EF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5C439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9940E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5CE53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D176D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A1C5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DC21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CDF8D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8F83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3D9D9678" w14:textId="77777777" w:rsidTr="0087303C">
        <w:trPr>
          <w:cantSplit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193F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Support CEPA Focal Points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6422C" w14:textId="14762265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Update guidance on role and responsibilities of CEPA Focal Points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F56AD9" w14:textId="1D68AE2E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Secretariat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0F10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A9C0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40FBF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EB50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4A5C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98153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29D9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5B0E8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3098E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66FA5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1456F72C" w14:textId="77777777" w:rsidTr="0087303C">
        <w:trPr>
          <w:cantSplit/>
        </w:trPr>
        <w:tc>
          <w:tcPr>
            <w:tcW w:w="1701" w:type="dxa"/>
            <w:vMerge/>
            <w:hideMark/>
          </w:tcPr>
          <w:p w14:paraId="61A2576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FF425" w14:textId="2576ACE4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Regular communication with CEPA Focal Points, including surveys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feedback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5EE3C" w14:textId="0E71113E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Secretariat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12F8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8ABE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690C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E264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F136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9788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14F1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34DB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8453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3EE3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423DE94E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550D2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Proposal for future operations of CEPA OP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E58307" w14:textId="70CBA012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To create a proposal for nomination process, terms of reference, relationships with other Convention bodies etc.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E08DCB" w14:textId="55114E41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Secretariat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C6DF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2EEE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2DAE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5578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5B3D6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F086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766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7853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586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4683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55AAB4F1" w14:textId="77777777" w:rsidTr="0087303C">
        <w:trPr>
          <w:cantSplit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C3671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lastRenderedPageBreak/>
              <w:t>New CEPA guidance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1767A" w14:textId="4644BCC2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 xml:space="preserve">Review existing CEPA guidance and </w:t>
            </w:r>
            <w:r w:rsidR="0087303C">
              <w:rPr>
                <w:rFonts w:asciiTheme="minorHAnsi" w:eastAsia="Times New Roman" w:hAnsiTheme="minorHAnsi" w:cstheme="minorHAnsi"/>
              </w:rPr>
              <w:t>H</w:t>
            </w:r>
            <w:r w:rsidRPr="00BC7FCF">
              <w:rPr>
                <w:rFonts w:asciiTheme="minorHAnsi" w:eastAsia="Times New Roman" w:hAnsiTheme="minorHAnsi" w:cstheme="minorHAnsi"/>
              </w:rPr>
              <w:t>andbook 6 (Wetlands CEPA)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9AEF9A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6B325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73883A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E0798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B602A0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F74A3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7A7A1D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B8FC3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B714E4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93BC8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7300A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48D76860" w14:textId="77777777" w:rsidTr="0087303C">
        <w:trPr>
          <w:cantSplit/>
        </w:trPr>
        <w:tc>
          <w:tcPr>
            <w:tcW w:w="1701" w:type="dxa"/>
            <w:vMerge/>
            <w:hideMark/>
          </w:tcPr>
          <w:p w14:paraId="10EC5C11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94BBD6" w14:textId="5DA25A40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Consult on need for guidance for CEPA delivery groups locally and nationally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F6DB68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BF660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37B9A9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A5ABE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D7F666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49CEC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4B27F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D084C8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2D3E8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850A8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B3406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7B498F89" w14:textId="77777777" w:rsidTr="0087303C">
        <w:trPr>
          <w:cantSplit/>
        </w:trPr>
        <w:tc>
          <w:tcPr>
            <w:tcW w:w="1701" w:type="dxa"/>
            <w:vMerge/>
            <w:hideMark/>
          </w:tcPr>
          <w:p w14:paraId="0ACC0C70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5D278" w14:textId="4EF62EDF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Respond to consultation with key CEPA support tools, possibly through external consultant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681EC2" w14:textId="61347AA9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="00343267" w:rsidRPr="00BC7FCF">
              <w:rPr>
                <w:rFonts w:asciiTheme="minorHAnsi" w:eastAsia="Times New Roman" w:hAnsiTheme="minorHAnsi" w:cstheme="minorHAnsi"/>
              </w:rPr>
              <w:t>Secretariat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0D82A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17503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2BEF2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40F00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B0389D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7888B2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0EE34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F1D0D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EA6598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86B4F" w14:textId="77777777" w:rsidR="00BC7FCF" w:rsidRPr="00BC7FCF" w:rsidRDefault="00BC7FCF" w:rsidP="00050464">
            <w:pPr>
              <w:keepNext/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341027" w14:paraId="4957261C" w14:textId="77777777" w:rsidTr="0087303C">
        <w:trPr>
          <w:cantSplit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472C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Strategic Plan 5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852260" w14:textId="69B3561B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Work with the Strategic Plan consultant, STRP and Secretariat to ensure CEPA incorporated into SP5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849909" w14:textId="3115ACA9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  <w:r w:rsidRPr="00BC7FCF">
              <w:rPr>
                <w:rFonts w:asciiTheme="minorHAnsi" w:eastAsia="Times New Roman" w:hAnsiTheme="minorHAnsi" w:cstheme="minorHAnsi"/>
                <w:lang w:val="fr-FR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  <w:lang w:val="fr-FR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  <w:lang w:val="fr-FR"/>
              </w:rPr>
              <w:t>consultant</w:t>
            </w:r>
            <w:r w:rsidR="00050464">
              <w:rPr>
                <w:rFonts w:asciiTheme="minorHAnsi" w:eastAsia="Times New Roman" w:hAnsiTheme="minorHAnsi" w:cstheme="minorHAnsi"/>
                <w:lang w:val="fr-FR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  <w:lang w:val="fr-FR"/>
              </w:rPr>
              <w:t>SP WG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FD82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3D03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8BB5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7796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A4AB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18C4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F36F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B896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303B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17DE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</w:tr>
      <w:tr w:rsidR="0087303C" w:rsidRPr="00BC7FCF" w14:paraId="0E260BE2" w14:textId="77777777" w:rsidTr="0087303C">
        <w:trPr>
          <w:cantSplit/>
        </w:trPr>
        <w:tc>
          <w:tcPr>
            <w:tcW w:w="1701" w:type="dxa"/>
            <w:vMerge/>
            <w:hideMark/>
          </w:tcPr>
          <w:p w14:paraId="2F5DE64D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lang w:val="fr-FR"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58E18D" w14:textId="159CC781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SP</w:t>
            </w:r>
            <w:r w:rsidR="0087303C">
              <w:rPr>
                <w:rFonts w:asciiTheme="minorHAnsi" w:eastAsia="Times New Roman" w:hAnsiTheme="minorHAnsi" w:cstheme="minorHAnsi"/>
              </w:rPr>
              <w:t>5</w:t>
            </w:r>
            <w:r w:rsidRPr="00BC7FCF">
              <w:rPr>
                <w:rFonts w:asciiTheme="minorHAnsi" w:eastAsia="Times New Roman" w:hAnsiTheme="minorHAnsi" w:cstheme="minorHAnsi"/>
              </w:rPr>
              <w:t xml:space="preserve"> submitted with CEPA embedded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D1C64D" w14:textId="00203B13" w:rsidR="00BC7FCF" w:rsidRPr="00BC7FCF" w:rsidRDefault="00341027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</w:t>
            </w:r>
            <w:bookmarkStart w:id="0" w:name="_GoBack"/>
            <w:bookmarkEnd w:id="0"/>
            <w:r w:rsidR="00BC7FCF" w:rsidRPr="00BC7FCF">
              <w:rPr>
                <w:rFonts w:asciiTheme="minorHAnsi" w:eastAsia="Times New Roman" w:hAnsiTheme="minorHAnsi" w:cstheme="minorHAnsi"/>
              </w:rPr>
              <w:t>onsultant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="00BC7FCF" w:rsidRPr="00BC7FCF">
              <w:rPr>
                <w:rFonts w:asciiTheme="minorHAnsi" w:eastAsia="Times New Roman" w:hAnsiTheme="minorHAnsi" w:cstheme="minorHAnsi"/>
              </w:rPr>
              <w:t>SP WG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136E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478A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5DA6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F9DBD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4C41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947F0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9F7F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BE448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14E5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670B3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6995323A" w14:textId="77777777" w:rsidTr="0087303C">
        <w:trPr>
          <w:cantSplit/>
        </w:trPr>
        <w:tc>
          <w:tcPr>
            <w:tcW w:w="1701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29AD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COP15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1B1DB8" w14:textId="72F9A610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Seek support for CEPA actions within SP5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50001A" w14:textId="5F79495F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AAs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Secretariat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09A4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B251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A4C3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A3BF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A1FE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6013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8B24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D3DB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F4839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9455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1C41E5EF" w14:textId="77777777" w:rsidTr="0087303C">
        <w:trPr>
          <w:cantSplit/>
        </w:trPr>
        <w:tc>
          <w:tcPr>
            <w:tcW w:w="1701" w:type="dxa"/>
            <w:vMerge/>
            <w:hideMark/>
          </w:tcPr>
          <w:p w14:paraId="1BB4DA4D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277FC9" w14:textId="253033AC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Hold side event(s)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5E0441" w14:textId="7606274E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Secretariat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D6215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C98D2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7D6E5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BF9F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14C6C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0DC75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44078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A37E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4F599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2C799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63C4F8F4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FD8D17" w14:textId="6E926AB6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STRP-CEPA synergies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1A656D" w14:textId="560A37DD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Review current approaches to disseminating STRP products and identify opportunities for enhancing uptake of all STRP products produced during 2023-2025 triennium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B1D7AB" w14:textId="556D8842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STRP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Secretariat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ABA97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920FA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7055E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9D95D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8AB8E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E4D86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4FAB4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69DEC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93CC3D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0EFB2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39E424ED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49885B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4EDF08" w14:textId="2CC900AA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Seek opportunities for STRP products to inform WWD activities and other global environmental events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CEDAB3" w14:textId="221CE7F4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A8BF9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CC124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E4F2C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42616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9EC31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AE54B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F3EB4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951E78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BE8CC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2A939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3D6FA4CB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94E9BE" w14:textId="5CA795C6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Specific STRP tasks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8014E" w14:textId="35F6B47B" w:rsidR="00BC7FCF" w:rsidRPr="00BC7FCF" w:rsidDel="00241E2A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Liaise with STRP Thematic Leads (TWA 1 – TWA 5) and Secretariat, and for relevant tasks help source relevant case studies and identify linkages with regional and global CEPA activities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B6DAAA" w14:textId="7C8C3D6F" w:rsidR="00BC7FCF" w:rsidRPr="00BC7FCF" w:rsidDel="00241E2A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STRP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Secretariat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EF709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C0347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A9959E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DDA6E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58402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A23BBC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DA892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CC0ED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62CD2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65836C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6A7F8481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86E5D8" w14:textId="3D03790B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lastRenderedPageBreak/>
              <w:t>GWO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2C45CA" w14:textId="610E0DDF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Support content of GWO 2025 (STRP Task 5.1) the development of future GWO themes (STRP Task 5.3) and provide advice on GWO release and promotion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7E4AAC" w14:textId="22CF61AC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STRP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</w:p>
        </w:tc>
        <w:tc>
          <w:tcPr>
            <w:tcW w:w="59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037EB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21820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864C4B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299591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5B979F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D46E3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957B2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A1E64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0BEF3D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E5A88A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7303C" w:rsidRPr="00BC7FCF" w14:paraId="0B82CD7A" w14:textId="77777777" w:rsidTr="0087303C">
        <w:trPr>
          <w:cantSplit/>
        </w:trPr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0B48EB" w14:textId="6B94124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Ramsar Wetland City Accreditation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F9231C" w14:textId="63E9F5F0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Support the Ramsar Wetland City Accreditation scheme to deliver effective CEPA activities</w:t>
            </w:r>
          </w:p>
        </w:tc>
        <w:tc>
          <w:tcPr>
            <w:tcW w:w="2057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C4A470" w14:textId="0190F37E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C7FCF">
              <w:rPr>
                <w:rFonts w:asciiTheme="minorHAnsi" w:eastAsia="Times New Roman" w:hAnsiTheme="minorHAnsi" w:cstheme="minorHAnsi"/>
              </w:rPr>
              <w:t>CEPA OP</w:t>
            </w:r>
            <w:r w:rsidR="00050464">
              <w:rPr>
                <w:rFonts w:asciiTheme="minorHAnsi" w:eastAsia="Times New Roman" w:hAnsiTheme="minorHAnsi" w:cstheme="minorHAnsi"/>
              </w:rPr>
              <w:t xml:space="preserve"> / </w:t>
            </w:r>
            <w:r w:rsidRPr="00BC7FCF">
              <w:rPr>
                <w:rFonts w:asciiTheme="minorHAnsi" w:eastAsia="Times New Roman" w:hAnsiTheme="minorHAnsi" w:cstheme="minorHAnsi"/>
              </w:rPr>
              <w:t>Wetland City IAC</w:t>
            </w:r>
          </w:p>
        </w:tc>
        <w:tc>
          <w:tcPr>
            <w:tcW w:w="59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E55087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F296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33C03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522DE9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80FEC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7A720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E36106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0DFA52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48FF24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9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7102BC" w14:textId="77777777" w:rsidR="00BC7FCF" w:rsidRPr="00BC7FCF" w:rsidRDefault="00BC7FCF" w:rsidP="00BC7FCF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B6EF697" w14:textId="77777777" w:rsidR="00A611BF" w:rsidRPr="00BF73E0" w:rsidRDefault="00A611BF" w:rsidP="007954C4">
      <w:pPr>
        <w:spacing w:after="0" w:line="240" w:lineRule="auto"/>
        <w:rPr>
          <w:strike/>
        </w:rPr>
      </w:pPr>
    </w:p>
    <w:sectPr w:rsidR="00A611BF" w:rsidRPr="00BF73E0" w:rsidSect="0087303C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E5D9" w14:textId="77777777" w:rsidR="005B43FD" w:rsidRDefault="005B43FD" w:rsidP="005B43FD">
      <w:pPr>
        <w:spacing w:after="0" w:line="240" w:lineRule="auto"/>
      </w:pPr>
      <w:r>
        <w:separator/>
      </w:r>
    </w:p>
  </w:endnote>
  <w:endnote w:type="continuationSeparator" w:id="0">
    <w:p w14:paraId="2E89CE62" w14:textId="77777777" w:rsidR="005B43FD" w:rsidRDefault="005B43FD" w:rsidP="005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4619" w14:textId="6BC1346F" w:rsidR="00BC7FCF" w:rsidRPr="00BC7FCF" w:rsidRDefault="00BC7FCF" w:rsidP="00BC7FCF">
    <w:pPr>
      <w:pStyle w:val="Footer"/>
      <w:tabs>
        <w:tab w:val="clear" w:pos="9026"/>
        <w:tab w:val="left" w:pos="13750"/>
      </w:tabs>
      <w:ind w:right="66"/>
      <w:rPr>
        <w:rFonts w:asciiTheme="minorHAnsi" w:hAnsiTheme="minorHAnsi" w:cstheme="minorHAnsi"/>
        <w:sz w:val="20"/>
        <w:szCs w:val="20"/>
      </w:rPr>
    </w:pPr>
    <w:r w:rsidRPr="00967BF4">
      <w:rPr>
        <w:rFonts w:asciiTheme="minorHAnsi" w:hAnsiTheme="minorHAnsi" w:cstheme="minorHAnsi"/>
        <w:sz w:val="20"/>
        <w:szCs w:val="20"/>
      </w:rPr>
      <w:t>SC</w:t>
    </w:r>
    <w:r>
      <w:rPr>
        <w:rFonts w:asciiTheme="minorHAnsi" w:hAnsiTheme="minorHAnsi" w:cstheme="minorHAnsi"/>
        <w:sz w:val="20"/>
        <w:szCs w:val="20"/>
      </w:rPr>
      <w:t xml:space="preserve">62 </w:t>
    </w:r>
    <w:r w:rsidRPr="00967BF4">
      <w:rPr>
        <w:rFonts w:asciiTheme="minorHAnsi" w:hAnsiTheme="minorHAnsi" w:cstheme="minorHAnsi"/>
        <w:sz w:val="20"/>
        <w:szCs w:val="20"/>
      </w:rPr>
      <w:t>Doc.</w:t>
    </w:r>
    <w:r>
      <w:rPr>
        <w:rFonts w:asciiTheme="minorHAnsi" w:hAnsiTheme="minorHAnsi" w:cstheme="minorHAnsi"/>
        <w:sz w:val="20"/>
        <w:szCs w:val="20"/>
      </w:rPr>
      <w:t>16.2</w:t>
    </w:r>
    <w:r w:rsidRPr="00967BF4">
      <w:rPr>
        <w:rFonts w:asciiTheme="minorHAnsi" w:hAnsiTheme="minorHAnsi" w:cstheme="minorHAnsi"/>
        <w:sz w:val="20"/>
        <w:szCs w:val="20"/>
      </w:rPr>
      <w:tab/>
    </w:r>
    <w:r w:rsidRPr="00967BF4">
      <w:rPr>
        <w:rFonts w:asciiTheme="minorHAnsi" w:hAnsiTheme="minorHAnsi" w:cstheme="minorHAnsi"/>
        <w:sz w:val="20"/>
        <w:szCs w:val="20"/>
      </w:rPr>
      <w:tab/>
    </w:r>
    <w:r w:rsidRPr="00967BF4">
      <w:rPr>
        <w:rFonts w:asciiTheme="minorHAnsi" w:hAnsiTheme="minorHAnsi" w:cstheme="minorHAnsi"/>
        <w:sz w:val="20"/>
        <w:szCs w:val="20"/>
      </w:rPr>
      <w:fldChar w:fldCharType="begin"/>
    </w:r>
    <w:r w:rsidRPr="00967BF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67BF4">
      <w:rPr>
        <w:rFonts w:asciiTheme="minorHAnsi" w:hAnsiTheme="minorHAnsi" w:cstheme="minorHAnsi"/>
        <w:sz w:val="20"/>
        <w:szCs w:val="20"/>
      </w:rPr>
      <w:fldChar w:fldCharType="separate"/>
    </w:r>
    <w:r w:rsidR="00341027">
      <w:rPr>
        <w:rFonts w:asciiTheme="minorHAnsi" w:hAnsiTheme="minorHAnsi" w:cstheme="minorHAnsi"/>
        <w:noProof/>
        <w:sz w:val="20"/>
        <w:szCs w:val="20"/>
      </w:rPr>
      <w:t>4</w:t>
    </w:r>
    <w:r w:rsidRPr="00967BF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4341" w14:textId="77777777" w:rsidR="005B43FD" w:rsidRDefault="005B43FD" w:rsidP="005B43FD">
      <w:pPr>
        <w:spacing w:after="0" w:line="240" w:lineRule="auto"/>
      </w:pPr>
      <w:r>
        <w:separator/>
      </w:r>
    </w:p>
  </w:footnote>
  <w:footnote w:type="continuationSeparator" w:id="0">
    <w:p w14:paraId="465243E2" w14:textId="77777777" w:rsidR="005B43FD" w:rsidRDefault="005B43FD" w:rsidP="005B43FD">
      <w:pPr>
        <w:spacing w:after="0" w:line="240" w:lineRule="auto"/>
      </w:pPr>
      <w:r>
        <w:continuationSeparator/>
      </w:r>
    </w:p>
  </w:footnote>
  <w:footnote w:id="1">
    <w:p w14:paraId="1A896BDC" w14:textId="0432C688" w:rsidR="00050464" w:rsidRDefault="00050464" w:rsidP="005B43FD">
      <w:pPr>
        <w:spacing w:after="0" w:line="240" w:lineRule="auto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5B43FD">
        <w:rPr>
          <w:rFonts w:asciiTheme="minorHAnsi" w:hAnsiTheme="minorHAnsi" w:cstheme="minorHAnsi"/>
        </w:rPr>
        <w:t>TM = Tsayi Mouvagha, Chair of CEPA OP</w:t>
      </w:r>
    </w:p>
    <w:p w14:paraId="18760E5A" w14:textId="0D699DC5" w:rsidR="00050464" w:rsidRPr="005B43FD" w:rsidRDefault="00050464" w:rsidP="005B43FD">
      <w:pPr>
        <w:spacing w:after="0" w:line="240" w:lineRule="auto"/>
        <w:rPr>
          <w:rFonts w:asciiTheme="minorHAnsi" w:hAnsiTheme="minorHAnsi" w:cstheme="minorHAnsi"/>
        </w:rPr>
      </w:pPr>
      <w:r w:rsidRPr="005B43FD">
        <w:rPr>
          <w:rFonts w:asciiTheme="minorHAnsi" w:hAnsiTheme="minorHAnsi" w:cstheme="minorHAnsi"/>
        </w:rPr>
        <w:t>CR = Chris Rostron, Vice Chair of CEPA OP</w:t>
      </w:r>
    </w:p>
    <w:p w14:paraId="04113F0F" w14:textId="77777777" w:rsidR="00050464" w:rsidRDefault="0005046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BF"/>
    <w:rsid w:val="0003733D"/>
    <w:rsid w:val="00050464"/>
    <w:rsid w:val="000816EB"/>
    <w:rsid w:val="0008300C"/>
    <w:rsid w:val="000A05CD"/>
    <w:rsid w:val="00116664"/>
    <w:rsid w:val="00121430"/>
    <w:rsid w:val="00150E22"/>
    <w:rsid w:val="00166759"/>
    <w:rsid w:val="00176FB3"/>
    <w:rsid w:val="001E2F37"/>
    <w:rsid w:val="00241E2A"/>
    <w:rsid w:val="002811C2"/>
    <w:rsid w:val="00282C83"/>
    <w:rsid w:val="00341027"/>
    <w:rsid w:val="00343267"/>
    <w:rsid w:val="003A1FE1"/>
    <w:rsid w:val="00434D1B"/>
    <w:rsid w:val="00446B1B"/>
    <w:rsid w:val="004474DF"/>
    <w:rsid w:val="00490BC2"/>
    <w:rsid w:val="004D2AD9"/>
    <w:rsid w:val="004E6076"/>
    <w:rsid w:val="004F79ED"/>
    <w:rsid w:val="005B43FD"/>
    <w:rsid w:val="005D39DF"/>
    <w:rsid w:val="00605B7C"/>
    <w:rsid w:val="00663D79"/>
    <w:rsid w:val="006835E2"/>
    <w:rsid w:val="006D5610"/>
    <w:rsid w:val="006F741D"/>
    <w:rsid w:val="00777252"/>
    <w:rsid w:val="007954C4"/>
    <w:rsid w:val="007E303B"/>
    <w:rsid w:val="00864CCF"/>
    <w:rsid w:val="0087303C"/>
    <w:rsid w:val="008F74BD"/>
    <w:rsid w:val="00980AFA"/>
    <w:rsid w:val="00997EB0"/>
    <w:rsid w:val="00A611BF"/>
    <w:rsid w:val="00B10D0D"/>
    <w:rsid w:val="00BC7FCF"/>
    <w:rsid w:val="00BF73E0"/>
    <w:rsid w:val="00CB7955"/>
    <w:rsid w:val="00CF2B6B"/>
    <w:rsid w:val="00D331AE"/>
    <w:rsid w:val="00D65489"/>
    <w:rsid w:val="00DE6C70"/>
    <w:rsid w:val="00E33060"/>
    <w:rsid w:val="00E630E3"/>
    <w:rsid w:val="00F312D9"/>
    <w:rsid w:val="00F824FC"/>
    <w:rsid w:val="00F87263"/>
    <w:rsid w:val="00F945CC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A811"/>
  <w15:chartTrackingRefBased/>
  <w15:docId w15:val="{61528E06-E80B-4947-B750-499CE6A9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83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83"/>
    <w:rPr>
      <w:rFonts w:ascii="MS Shell Dlg" w:hAnsi="MS Shell Dlg" w:cs="MS Shell Dlg"/>
      <w:sz w:val="18"/>
      <w:szCs w:val="18"/>
    </w:rPr>
  </w:style>
  <w:style w:type="paragraph" w:styleId="Revision">
    <w:name w:val="Revision"/>
    <w:hidden/>
    <w:uiPriority w:val="99"/>
    <w:semiHidden/>
    <w:rsid w:val="003A1FE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43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3F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C7FCF"/>
    <w:pPr>
      <w:spacing w:after="0" w:line="240" w:lineRule="auto"/>
      <w:ind w:left="720" w:hanging="425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C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CF"/>
  </w:style>
  <w:style w:type="paragraph" w:styleId="Footer">
    <w:name w:val="footer"/>
    <w:basedOn w:val="Normal"/>
    <w:link w:val="FooterChar"/>
    <w:uiPriority w:val="99"/>
    <w:unhideWhenUsed/>
    <w:rsid w:val="00BC7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DA1B-00EB-4B78-B3A6-03CBB71956FC}">
  <ds:schemaRefs>
    <ds:schemaRef ds:uri="http://purl.org/dc/terms/"/>
    <ds:schemaRef ds:uri="http://purl.org/dc/dcmitype/"/>
    <ds:schemaRef ds:uri="8c0b6b05-eb82-4bda-97e8-cd82d0d6b45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dd258d-19a7-41ba-8260-b0918f25313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E30B98-DCFD-411F-845C-E1834205E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177A4-BD62-4AA7-A707-01A40448E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BC2D7-8C87-424F-8931-91192A36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4</cp:revision>
  <dcterms:created xsi:type="dcterms:W3CDTF">2023-05-31T09:25:00Z</dcterms:created>
  <dcterms:modified xsi:type="dcterms:W3CDTF">2023-06-02T13:27:00Z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