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61" w:rsidRPr="001617A3" w:rsidRDefault="00F330B2" w:rsidP="00F12261">
      <w:pPr>
        <w:pBdr>
          <w:top w:val="single" w:sz="12" w:space="0" w:color="auto" w:shadow="1"/>
          <w:left w:val="single" w:sz="12" w:space="4" w:color="auto" w:shadow="1"/>
          <w:bottom w:val="single" w:sz="12" w:space="1" w:color="auto" w:shadow="1"/>
          <w:right w:val="single" w:sz="12" w:space="0" w:color="auto" w:shadow="1"/>
        </w:pBdr>
        <w:spacing w:after="0" w:line="240" w:lineRule="auto"/>
        <w:ind w:left="426" w:right="2792" w:hanging="426"/>
        <w:rPr>
          <w:rFonts w:eastAsia="Times New Roman" w:cstheme="minorHAnsi"/>
          <w:bCs/>
          <w:sz w:val="24"/>
          <w:szCs w:val="20"/>
          <w:lang w:val="fr-FR" w:eastAsia="en-GB"/>
        </w:rPr>
      </w:pPr>
      <w:r w:rsidRPr="001617A3">
        <w:rPr>
          <w:rFonts w:eastAsia="Times New Roman" w:cstheme="minorHAnsi"/>
          <w:bCs/>
          <w:sz w:val="24"/>
          <w:szCs w:val="20"/>
          <w:lang w:val="fr-FR" w:eastAsia="en-GB"/>
        </w:rPr>
        <w:t xml:space="preserve">CONVENTION SUR LES ZONES HUMIDES </w:t>
      </w:r>
      <w:r w:rsidR="00F12261" w:rsidRPr="001617A3">
        <w:rPr>
          <w:rFonts w:eastAsia="Times New Roman" w:cstheme="minorHAnsi"/>
          <w:bCs/>
          <w:sz w:val="24"/>
          <w:szCs w:val="20"/>
          <w:lang w:val="fr-FR" w:eastAsia="en-GB"/>
        </w:rPr>
        <w:t>(Ramsar, Iran, 1971)</w:t>
      </w:r>
    </w:p>
    <w:p w:rsidR="00F330B2" w:rsidRPr="001617A3" w:rsidRDefault="00F330B2" w:rsidP="00F330B2">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1617A3">
        <w:rPr>
          <w:rFonts w:eastAsia="Times New Roman" w:cstheme="minorHAnsi"/>
          <w:bCs/>
          <w:sz w:val="24"/>
          <w:szCs w:val="20"/>
          <w:lang w:val="fr-FR" w:eastAsia="en-GB"/>
        </w:rPr>
        <w:t>51</w:t>
      </w:r>
      <w:r w:rsidRPr="001617A3">
        <w:rPr>
          <w:rFonts w:eastAsia="Times New Roman" w:cstheme="minorHAnsi"/>
          <w:bCs/>
          <w:sz w:val="24"/>
          <w:szCs w:val="20"/>
          <w:vertAlign w:val="superscript"/>
          <w:lang w:val="fr-FR" w:eastAsia="en-GB"/>
        </w:rPr>
        <w:t>e</w:t>
      </w:r>
      <w:r w:rsidRPr="001617A3">
        <w:rPr>
          <w:rFonts w:eastAsia="Times New Roman" w:cstheme="minorHAnsi"/>
          <w:bCs/>
          <w:sz w:val="24"/>
          <w:szCs w:val="20"/>
          <w:lang w:val="fr-FR" w:eastAsia="en-GB"/>
        </w:rPr>
        <w:t xml:space="preserve"> Réunion du Comité permanent</w:t>
      </w:r>
    </w:p>
    <w:p w:rsidR="00F12261" w:rsidRPr="001617A3" w:rsidRDefault="00F330B2" w:rsidP="00F330B2">
      <w:pPr>
        <w:pBdr>
          <w:top w:val="single" w:sz="12" w:space="0" w:color="auto" w:shadow="1"/>
          <w:left w:val="single" w:sz="12" w:space="4" w:color="auto" w:shadow="1"/>
          <w:bottom w:val="single" w:sz="12" w:space="1" w:color="auto" w:shadow="1"/>
          <w:right w:val="single" w:sz="12" w:space="0" w:color="auto" w:shadow="1"/>
        </w:pBdr>
        <w:spacing w:after="0" w:line="240" w:lineRule="auto"/>
        <w:ind w:right="2792"/>
        <w:rPr>
          <w:rFonts w:eastAsia="Times New Roman" w:cstheme="minorHAnsi"/>
          <w:bCs/>
          <w:sz w:val="24"/>
          <w:szCs w:val="20"/>
          <w:lang w:val="fr-FR" w:eastAsia="en-GB"/>
        </w:rPr>
      </w:pPr>
      <w:r w:rsidRPr="001617A3">
        <w:rPr>
          <w:rFonts w:eastAsia="Times New Roman" w:cstheme="minorHAnsi"/>
          <w:bCs/>
          <w:sz w:val="24"/>
          <w:szCs w:val="20"/>
          <w:lang w:val="fr-FR" w:eastAsia="en-GB"/>
        </w:rPr>
        <w:t>Gland, Suisse, 23</w:t>
      </w:r>
      <w:r w:rsidR="00F823AC" w:rsidRPr="001617A3">
        <w:rPr>
          <w:rFonts w:eastAsia="Times New Roman" w:cstheme="minorHAnsi"/>
          <w:bCs/>
          <w:sz w:val="24"/>
          <w:szCs w:val="20"/>
          <w:lang w:val="fr-FR" w:eastAsia="en-GB"/>
        </w:rPr>
        <w:t xml:space="preserve"> au </w:t>
      </w:r>
      <w:r w:rsidRPr="001617A3">
        <w:rPr>
          <w:rFonts w:eastAsia="Times New Roman" w:cstheme="minorHAnsi"/>
          <w:bCs/>
          <w:sz w:val="24"/>
          <w:szCs w:val="20"/>
          <w:lang w:val="fr-FR" w:eastAsia="en-GB"/>
        </w:rPr>
        <w:t>27 novembre 2015</w:t>
      </w:r>
    </w:p>
    <w:p w:rsidR="00F12261" w:rsidRPr="001617A3" w:rsidRDefault="00F12261" w:rsidP="00F12261">
      <w:pPr>
        <w:spacing w:after="0" w:line="240" w:lineRule="auto"/>
        <w:rPr>
          <w:rFonts w:ascii="Times New Roman" w:eastAsia="Times New Roman" w:hAnsi="Times New Roman" w:cs="Times New Roman"/>
          <w:sz w:val="28"/>
          <w:szCs w:val="28"/>
          <w:lang w:val="fr-FR" w:eastAsia="en-GB"/>
        </w:rPr>
      </w:pPr>
    </w:p>
    <w:p w:rsidR="00F12261" w:rsidRPr="001617A3" w:rsidRDefault="00F12261" w:rsidP="00F12261">
      <w:pPr>
        <w:spacing w:after="0" w:line="240" w:lineRule="auto"/>
        <w:jc w:val="right"/>
        <w:rPr>
          <w:rFonts w:eastAsia="Times New Roman" w:cstheme="minorHAnsi"/>
          <w:b/>
          <w:sz w:val="28"/>
          <w:szCs w:val="28"/>
          <w:lang w:val="fr-FR" w:eastAsia="en-GB"/>
        </w:rPr>
      </w:pPr>
      <w:r w:rsidRPr="001617A3">
        <w:rPr>
          <w:rFonts w:eastAsia="Times New Roman" w:cstheme="minorHAnsi"/>
          <w:b/>
          <w:sz w:val="28"/>
          <w:szCs w:val="28"/>
          <w:lang w:val="fr-FR" w:eastAsia="en-GB"/>
        </w:rPr>
        <w:t>SC51-20</w:t>
      </w:r>
    </w:p>
    <w:p w:rsidR="00F12261" w:rsidRPr="001617A3" w:rsidRDefault="00F12261" w:rsidP="00F12261">
      <w:pPr>
        <w:spacing w:after="0" w:line="240" w:lineRule="auto"/>
        <w:jc w:val="center"/>
        <w:rPr>
          <w:rFonts w:eastAsia="Times New Roman" w:cs="Times New Roman"/>
          <w:b/>
          <w:sz w:val="28"/>
          <w:szCs w:val="28"/>
          <w:lang w:val="fr-FR" w:eastAsia="en-GB"/>
        </w:rPr>
      </w:pPr>
    </w:p>
    <w:p w:rsidR="004B7853" w:rsidRPr="001617A3" w:rsidRDefault="007C012B" w:rsidP="00F12261">
      <w:pPr>
        <w:spacing w:after="0" w:line="240" w:lineRule="auto"/>
        <w:jc w:val="center"/>
        <w:rPr>
          <w:rFonts w:eastAsia="Times New Roman" w:cstheme="minorHAnsi"/>
          <w:b/>
          <w:sz w:val="28"/>
          <w:szCs w:val="28"/>
          <w:lang w:val="fr-FR" w:eastAsia="en-GB"/>
        </w:rPr>
      </w:pPr>
      <w:r w:rsidRPr="001617A3">
        <w:rPr>
          <w:rFonts w:eastAsia="Times New Roman" w:cstheme="minorHAnsi"/>
          <w:b/>
          <w:sz w:val="28"/>
          <w:szCs w:val="28"/>
          <w:lang w:val="fr-FR" w:eastAsia="en-GB"/>
        </w:rPr>
        <w:t>R</w:t>
      </w:r>
      <w:r w:rsidR="00A32437" w:rsidRPr="001617A3">
        <w:rPr>
          <w:rFonts w:eastAsia="Times New Roman" w:cstheme="minorHAnsi"/>
          <w:b/>
          <w:sz w:val="28"/>
          <w:szCs w:val="28"/>
          <w:lang w:val="fr-FR" w:eastAsia="en-GB"/>
        </w:rPr>
        <w:t>ap</w:t>
      </w:r>
      <w:r w:rsidRPr="001617A3">
        <w:rPr>
          <w:rFonts w:eastAsia="Times New Roman" w:cstheme="minorHAnsi"/>
          <w:b/>
          <w:sz w:val="28"/>
          <w:szCs w:val="28"/>
          <w:lang w:val="fr-FR" w:eastAsia="en-GB"/>
        </w:rPr>
        <w:t xml:space="preserve">port </w:t>
      </w:r>
      <w:r w:rsidR="00A32437" w:rsidRPr="001617A3">
        <w:rPr>
          <w:rFonts w:eastAsia="Times New Roman" w:cstheme="minorHAnsi"/>
          <w:b/>
          <w:sz w:val="28"/>
          <w:szCs w:val="28"/>
          <w:lang w:val="fr-FR" w:eastAsia="en-GB"/>
        </w:rPr>
        <w:t>sur les efforts d’appel de fonds en faveur de délégués</w:t>
      </w:r>
      <w:r w:rsidR="001617A3" w:rsidRPr="001617A3">
        <w:rPr>
          <w:rFonts w:eastAsia="Times New Roman" w:cstheme="minorHAnsi"/>
          <w:b/>
          <w:sz w:val="28"/>
          <w:szCs w:val="28"/>
          <w:lang w:val="fr-FR" w:eastAsia="en-GB"/>
        </w:rPr>
        <w:t>,</w:t>
      </w:r>
      <w:r w:rsidR="00A32437" w:rsidRPr="001617A3">
        <w:rPr>
          <w:rFonts w:eastAsia="Times New Roman" w:cstheme="minorHAnsi"/>
          <w:b/>
          <w:sz w:val="28"/>
          <w:szCs w:val="28"/>
          <w:lang w:val="fr-FR" w:eastAsia="en-GB"/>
        </w:rPr>
        <w:t xml:space="preserve"> </w:t>
      </w:r>
      <w:r w:rsidR="001617A3" w:rsidRPr="001617A3">
        <w:rPr>
          <w:rFonts w:eastAsia="Times New Roman" w:cstheme="minorHAnsi"/>
          <w:b/>
          <w:sz w:val="28"/>
          <w:szCs w:val="28"/>
          <w:lang w:val="fr-FR" w:eastAsia="en-GB"/>
        </w:rPr>
        <w:t>pour</w:t>
      </w:r>
      <w:r w:rsidR="00A32437" w:rsidRPr="001617A3">
        <w:rPr>
          <w:rFonts w:eastAsia="Times New Roman" w:cstheme="minorHAnsi"/>
          <w:b/>
          <w:sz w:val="28"/>
          <w:szCs w:val="28"/>
          <w:lang w:val="fr-FR" w:eastAsia="en-GB"/>
        </w:rPr>
        <w:t xml:space="preserve"> la </w:t>
      </w:r>
      <w:r w:rsidRPr="001617A3">
        <w:rPr>
          <w:rFonts w:eastAsia="Times New Roman" w:cstheme="minorHAnsi"/>
          <w:b/>
          <w:sz w:val="28"/>
          <w:szCs w:val="28"/>
          <w:lang w:val="fr-FR" w:eastAsia="en-GB"/>
        </w:rPr>
        <w:t>COP12</w:t>
      </w:r>
      <w:r w:rsidR="00A32437" w:rsidRPr="001617A3">
        <w:rPr>
          <w:rFonts w:eastAsia="Times New Roman" w:cstheme="minorHAnsi"/>
          <w:b/>
          <w:sz w:val="28"/>
          <w:szCs w:val="28"/>
          <w:lang w:val="fr-FR" w:eastAsia="en-GB"/>
        </w:rPr>
        <w:t xml:space="preserve">, conformément à la </w:t>
      </w:r>
      <w:r w:rsidRPr="001617A3">
        <w:rPr>
          <w:rFonts w:eastAsia="Times New Roman" w:cstheme="minorHAnsi"/>
          <w:b/>
          <w:sz w:val="28"/>
          <w:szCs w:val="28"/>
          <w:lang w:val="fr-FR" w:eastAsia="en-GB"/>
        </w:rPr>
        <w:t>R</w:t>
      </w:r>
      <w:r w:rsidR="00A32437" w:rsidRPr="001617A3">
        <w:rPr>
          <w:rFonts w:eastAsia="Times New Roman" w:cstheme="minorHAnsi"/>
          <w:b/>
          <w:sz w:val="28"/>
          <w:szCs w:val="28"/>
          <w:lang w:val="fr-FR" w:eastAsia="en-GB"/>
        </w:rPr>
        <w:t>é</w:t>
      </w:r>
      <w:r w:rsidRPr="001617A3">
        <w:rPr>
          <w:rFonts w:eastAsia="Times New Roman" w:cstheme="minorHAnsi"/>
          <w:b/>
          <w:sz w:val="28"/>
          <w:szCs w:val="28"/>
          <w:lang w:val="fr-FR" w:eastAsia="en-GB"/>
        </w:rPr>
        <w:t>solution XII.1</w:t>
      </w:r>
    </w:p>
    <w:p w:rsidR="007C012B" w:rsidRPr="001617A3" w:rsidRDefault="007C012B" w:rsidP="00F12261">
      <w:pPr>
        <w:spacing w:after="0" w:line="240" w:lineRule="auto"/>
        <w:jc w:val="center"/>
        <w:rPr>
          <w:rFonts w:cs="Times New Roman"/>
          <w:b/>
          <w:sz w:val="28"/>
          <w:szCs w:val="28"/>
          <w:lang w:val="fr-FR"/>
        </w:rPr>
      </w:pPr>
    </w:p>
    <w:p w:rsidR="00550503" w:rsidRPr="001617A3" w:rsidRDefault="004B7853" w:rsidP="00F12261">
      <w:pPr>
        <w:spacing w:after="0" w:line="240" w:lineRule="auto"/>
        <w:rPr>
          <w:rFonts w:ascii="Times New Roman" w:hAnsi="Times New Roman" w:cs="Times New Roman"/>
          <w:lang w:val="fr-FR"/>
        </w:rPr>
      </w:pPr>
      <w:r w:rsidRPr="001617A3">
        <w:rPr>
          <w:rFonts w:ascii="Times New Roman" w:hAnsi="Times New Roman" w:cs="Times New Roman"/>
          <w:noProof/>
          <w:lang w:eastAsia="en-GB"/>
        </w:rPr>
        <mc:AlternateContent>
          <mc:Choice Requires="wps">
            <w:drawing>
              <wp:inline distT="0" distB="0" distL="0" distR="0" wp14:anchorId="5257204A" wp14:editId="737E9703">
                <wp:extent cx="5723906" cy="653143"/>
                <wp:effectExtent l="0" t="0" r="1016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906" cy="653143"/>
                        </a:xfrm>
                        <a:prstGeom prst="rect">
                          <a:avLst/>
                        </a:prstGeom>
                        <a:solidFill>
                          <a:srgbClr val="FFFFFF"/>
                        </a:solidFill>
                        <a:ln w="9525">
                          <a:solidFill>
                            <a:srgbClr val="000000"/>
                          </a:solidFill>
                          <a:miter lim="800000"/>
                          <a:headEnd/>
                          <a:tailEnd/>
                        </a:ln>
                      </wps:spPr>
                      <wps:txbx>
                        <w:txbxContent>
                          <w:p w:rsidR="00F12261" w:rsidRPr="00A32437" w:rsidRDefault="004B7853" w:rsidP="005A1ECC">
                            <w:pPr>
                              <w:spacing w:after="0" w:line="240" w:lineRule="auto"/>
                              <w:rPr>
                                <w:rFonts w:cs="Times New Roman"/>
                                <w:lang w:val="fr-FR"/>
                              </w:rPr>
                            </w:pPr>
                            <w:r w:rsidRPr="00A32437">
                              <w:rPr>
                                <w:rFonts w:cs="Times New Roman"/>
                                <w:b/>
                                <w:lang w:val="fr-FR"/>
                              </w:rPr>
                              <w:t xml:space="preserve">Action </w:t>
                            </w:r>
                            <w:r w:rsidR="00A32437" w:rsidRPr="00A32437">
                              <w:rPr>
                                <w:rFonts w:cs="Times New Roman"/>
                                <w:b/>
                                <w:lang w:val="fr-FR"/>
                              </w:rPr>
                              <w:t xml:space="preserve">requise </w:t>
                            </w:r>
                            <w:r w:rsidRPr="00A32437">
                              <w:rPr>
                                <w:rFonts w:cs="Times New Roman"/>
                                <w:lang w:val="fr-FR"/>
                              </w:rPr>
                              <w:t xml:space="preserve">:  </w:t>
                            </w:r>
                          </w:p>
                          <w:p w:rsidR="00AB3999" w:rsidRPr="00A32437" w:rsidRDefault="00A32437" w:rsidP="005A1ECC">
                            <w:pPr>
                              <w:spacing w:after="0" w:line="240" w:lineRule="auto"/>
                              <w:rPr>
                                <w:rFonts w:cs="Times New Roman"/>
                                <w:lang w:val="fr-FR"/>
                              </w:rPr>
                            </w:pPr>
                            <w:r w:rsidRPr="00A32437">
                              <w:rPr>
                                <w:rFonts w:cs="Times New Roman"/>
                                <w:lang w:val="fr-FR"/>
                              </w:rPr>
                              <w:t>Le Sous-groupe sur les finances est invit</w:t>
                            </w:r>
                            <w:r w:rsidR="00F823AC">
                              <w:rPr>
                                <w:rFonts w:cs="Times New Roman"/>
                                <w:lang w:val="fr-FR"/>
                              </w:rPr>
                              <w:t>é</w:t>
                            </w:r>
                            <w:r w:rsidRPr="00A32437">
                              <w:rPr>
                                <w:rFonts w:cs="Times New Roman"/>
                                <w:lang w:val="fr-FR"/>
                              </w:rPr>
                              <w:t xml:space="preserve"> à examiner les mesures prises par le</w:t>
                            </w:r>
                            <w:r w:rsidR="007C012B" w:rsidRPr="00A32437">
                              <w:rPr>
                                <w:rFonts w:cs="Times New Roman"/>
                                <w:lang w:val="fr-FR"/>
                              </w:rPr>
                              <w:t xml:space="preserve"> Secr</w:t>
                            </w:r>
                            <w:r w:rsidRPr="00A32437">
                              <w:rPr>
                                <w:rFonts w:cs="Times New Roman"/>
                                <w:lang w:val="fr-FR"/>
                              </w:rPr>
                              <w:t>é</w:t>
                            </w:r>
                            <w:r w:rsidR="007C012B" w:rsidRPr="00A32437">
                              <w:rPr>
                                <w:rFonts w:cs="Times New Roman"/>
                                <w:lang w:val="fr-FR"/>
                              </w:rPr>
                              <w:t xml:space="preserve">tariat </w:t>
                            </w:r>
                            <w:r w:rsidRPr="00A32437">
                              <w:rPr>
                                <w:rFonts w:cs="Times New Roman"/>
                                <w:lang w:val="fr-FR"/>
                              </w:rPr>
                              <w:t>pour obtenir des fonds en faveur de délégués</w:t>
                            </w:r>
                            <w:r w:rsidR="001617A3">
                              <w:rPr>
                                <w:rFonts w:cs="Times New Roman"/>
                                <w:lang w:val="fr-FR"/>
                              </w:rPr>
                              <w:t>,</w:t>
                            </w:r>
                            <w:r w:rsidR="007C012B" w:rsidRPr="00A32437">
                              <w:rPr>
                                <w:rFonts w:cs="Times New Roman"/>
                                <w:lang w:val="fr-FR"/>
                              </w:rPr>
                              <w:t xml:space="preserve"> </w:t>
                            </w:r>
                            <w:r w:rsidR="001617A3">
                              <w:rPr>
                                <w:rFonts w:cs="Times New Roman"/>
                                <w:lang w:val="fr-FR"/>
                              </w:rPr>
                              <w:t>pour</w:t>
                            </w:r>
                            <w:r w:rsidRPr="00A32437">
                              <w:rPr>
                                <w:rFonts w:cs="Times New Roman"/>
                                <w:lang w:val="fr-FR"/>
                              </w:rPr>
                              <w:t xml:space="preserve"> la</w:t>
                            </w:r>
                            <w:r w:rsidR="007C012B" w:rsidRPr="00A32437">
                              <w:rPr>
                                <w:rFonts w:cs="Times New Roman"/>
                                <w:lang w:val="fr-FR"/>
                              </w:rPr>
                              <w:t xml:space="preserve"> </w:t>
                            </w:r>
                            <w:r w:rsidR="00611FEA" w:rsidRPr="00A32437">
                              <w:rPr>
                                <w:rFonts w:cs="Times New Roman"/>
                                <w:lang w:val="fr-FR"/>
                              </w:rPr>
                              <w:t>COP12</w:t>
                            </w:r>
                            <w:r w:rsidR="00F823AC">
                              <w:rPr>
                                <w:rFonts w:cs="Times New Roman"/>
                                <w:lang w:val="fr-FR"/>
                              </w:rPr>
                              <w:t>.</w:t>
                            </w:r>
                            <w:r w:rsidR="00611FEA" w:rsidRPr="00A32437">
                              <w:rPr>
                                <w:rFonts w:cs="Times New Roman"/>
                                <w:lang w:val="fr-FR"/>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0.7pt;height:5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ftIwIAAEYEAAAOAAAAZHJzL2Uyb0RvYy54bWysU9uO2yAQfa/Uf0C8N3auu7HirLbZpqq0&#10;vUi7/QCMcYwKDAUSe/v1HbA3TW8vVXlADDMcZs6Z2dz0WpGTcF6CKel0klMiDIdamkNJPz/uX11T&#10;4gMzNVNgREmfhKc325cvNp0txAxaULVwBEGMLzpb0jYEW2SZ563QzE/ACoPOBpxmAU13yGrHOkTX&#10;Kpvl+SrrwNXWARfe4+3d4KTbhN80goePTeNFIKqkmFtIu0t7Ffdsu2HFwTHbSj6mwf4hC82kwU/P&#10;UHcsMHJ08jcoLbkDD02YcNAZNI3kItWA1UzzX6p5aJkVqRYkx9szTf7/wfIPp0+OyLqk8/yKEsM0&#10;ivQo+kBeQ09mkZ/O+gLDHiwGhh6vUedUq7f3wL94YmDXMnMQt85B1wpWY37T+DK7eDrg+AhSde+h&#10;xm/YMUAC6hunI3lIB0F01OnprE1MhePl8mo2X+crSjj6Vsv5dDFPX7Di+bV1PrwVoEk8lNSh9gmd&#10;ne59iNmw4jkkfuZByXovlUqGO1Q75ciJYZ/s0xrRfwpThnQlXS9ny4GAv0Lkaf0JQsuADa+kLun1&#10;OYgVkbY3pk7tGJhUwxlTVmbkMVI3kBj6qh91qaB+QkYdDI2Ng4iHFtw3Sjps6pL6r0fmBCXqnUFV&#10;1tPFIk5BMhZIKRru0lNdepjhCFXSQMlw3IU0OZEwA7eoXiMTsVHmIZMxV2zWxPc4WHEaLu0U9WP8&#10;t98BAAD//wMAUEsDBBQABgAIAAAAIQCY2dIu3AAAAAUBAAAPAAAAZHJzL2Rvd25yZXYueG1sTI/B&#10;TsMwEETvSPyDtUhcUOu0VG0T4lQICQS3UhBc3XibRNjrYLtp+HsWLnAZaTWjmbflZnRWDBhi50nB&#10;bJqBQKq96ahR8PpyP1mDiEmT0dYTKvjCCJvq/KzUhfEnesZhlxrBJRQLraBNqS+kjHWLTsep75HY&#10;O/jgdOIzNNIEfeJyZ+U8y5bS6Y54odU93rVYf+yOTsF68Ti8x6fr7Vu9PNg8Xa2Gh8+g1OXFeHsD&#10;IuGY/sLwg8/oUDHT3h/JRGEV8CPpV9nLs9kCxJ5D2TwHWZXyP331DQAA//8DAFBLAQItABQABgAI&#10;AAAAIQC2gziS/gAAAOEBAAATAAAAAAAAAAAAAAAAAAAAAABbQ29udGVudF9UeXBlc10ueG1sUEsB&#10;Ai0AFAAGAAgAAAAhADj9If/WAAAAlAEAAAsAAAAAAAAAAAAAAAAALwEAAF9yZWxzLy5yZWxzUEsB&#10;Ai0AFAAGAAgAAAAhAEPAh+0jAgAARgQAAA4AAAAAAAAAAAAAAAAALgIAAGRycy9lMm9Eb2MueG1s&#10;UEsBAi0AFAAGAAgAAAAhAJjZ0i7cAAAABQEAAA8AAAAAAAAAAAAAAAAAfQQAAGRycy9kb3ducmV2&#10;LnhtbFBLBQYAAAAABAAEAPMAAACGBQAAAAA=&#10;">
                <v:textbox>
                  <w:txbxContent>
                    <w:p w:rsidR="00F12261" w:rsidRPr="00A32437" w:rsidRDefault="004B7853" w:rsidP="005A1ECC">
                      <w:pPr>
                        <w:spacing w:after="0" w:line="240" w:lineRule="auto"/>
                        <w:rPr>
                          <w:rFonts w:cs="Times New Roman"/>
                          <w:lang w:val="fr-FR"/>
                        </w:rPr>
                      </w:pPr>
                      <w:r w:rsidRPr="00A32437">
                        <w:rPr>
                          <w:rFonts w:cs="Times New Roman"/>
                          <w:b/>
                          <w:lang w:val="fr-FR"/>
                        </w:rPr>
                        <w:t xml:space="preserve">Action </w:t>
                      </w:r>
                      <w:r w:rsidR="00A32437" w:rsidRPr="00A32437">
                        <w:rPr>
                          <w:rFonts w:cs="Times New Roman"/>
                          <w:b/>
                          <w:lang w:val="fr-FR"/>
                        </w:rPr>
                        <w:t xml:space="preserve">requise </w:t>
                      </w:r>
                      <w:r w:rsidRPr="00A32437">
                        <w:rPr>
                          <w:rFonts w:cs="Times New Roman"/>
                          <w:lang w:val="fr-FR"/>
                        </w:rPr>
                        <w:t xml:space="preserve">:  </w:t>
                      </w:r>
                    </w:p>
                    <w:p w:rsidR="00AB3999" w:rsidRPr="00A32437" w:rsidRDefault="00A32437" w:rsidP="005A1ECC">
                      <w:pPr>
                        <w:spacing w:after="0" w:line="240" w:lineRule="auto"/>
                        <w:rPr>
                          <w:rFonts w:cs="Times New Roman"/>
                          <w:lang w:val="fr-FR"/>
                        </w:rPr>
                      </w:pPr>
                      <w:r w:rsidRPr="00A32437">
                        <w:rPr>
                          <w:rFonts w:cs="Times New Roman"/>
                          <w:lang w:val="fr-FR"/>
                        </w:rPr>
                        <w:t>Le Sous-groupe sur les finances est invit</w:t>
                      </w:r>
                      <w:r w:rsidR="00F823AC">
                        <w:rPr>
                          <w:rFonts w:cs="Times New Roman"/>
                          <w:lang w:val="fr-FR"/>
                        </w:rPr>
                        <w:t>é</w:t>
                      </w:r>
                      <w:r w:rsidRPr="00A32437">
                        <w:rPr>
                          <w:rFonts w:cs="Times New Roman"/>
                          <w:lang w:val="fr-FR"/>
                        </w:rPr>
                        <w:t xml:space="preserve"> à examiner les mesures prises par le</w:t>
                      </w:r>
                      <w:r w:rsidR="007C012B" w:rsidRPr="00A32437">
                        <w:rPr>
                          <w:rFonts w:cs="Times New Roman"/>
                          <w:lang w:val="fr-FR"/>
                        </w:rPr>
                        <w:t xml:space="preserve"> Secr</w:t>
                      </w:r>
                      <w:r w:rsidRPr="00A32437">
                        <w:rPr>
                          <w:rFonts w:cs="Times New Roman"/>
                          <w:lang w:val="fr-FR"/>
                        </w:rPr>
                        <w:t>é</w:t>
                      </w:r>
                      <w:r w:rsidR="007C012B" w:rsidRPr="00A32437">
                        <w:rPr>
                          <w:rFonts w:cs="Times New Roman"/>
                          <w:lang w:val="fr-FR"/>
                        </w:rPr>
                        <w:t xml:space="preserve">tariat </w:t>
                      </w:r>
                      <w:r w:rsidRPr="00A32437">
                        <w:rPr>
                          <w:rFonts w:cs="Times New Roman"/>
                          <w:lang w:val="fr-FR"/>
                        </w:rPr>
                        <w:t>pour obtenir des fonds en faveur de délégués</w:t>
                      </w:r>
                      <w:r w:rsidR="001617A3">
                        <w:rPr>
                          <w:rFonts w:cs="Times New Roman"/>
                          <w:lang w:val="fr-FR"/>
                        </w:rPr>
                        <w:t>,</w:t>
                      </w:r>
                      <w:r w:rsidR="007C012B" w:rsidRPr="00A32437">
                        <w:rPr>
                          <w:rFonts w:cs="Times New Roman"/>
                          <w:lang w:val="fr-FR"/>
                        </w:rPr>
                        <w:t xml:space="preserve"> </w:t>
                      </w:r>
                      <w:r w:rsidR="001617A3">
                        <w:rPr>
                          <w:rFonts w:cs="Times New Roman"/>
                          <w:lang w:val="fr-FR"/>
                        </w:rPr>
                        <w:t>pour</w:t>
                      </w:r>
                      <w:r w:rsidRPr="00A32437">
                        <w:rPr>
                          <w:rFonts w:cs="Times New Roman"/>
                          <w:lang w:val="fr-FR"/>
                        </w:rPr>
                        <w:t xml:space="preserve"> la</w:t>
                      </w:r>
                      <w:r w:rsidR="007C012B" w:rsidRPr="00A32437">
                        <w:rPr>
                          <w:rFonts w:cs="Times New Roman"/>
                          <w:lang w:val="fr-FR"/>
                        </w:rPr>
                        <w:t xml:space="preserve"> </w:t>
                      </w:r>
                      <w:r w:rsidR="00611FEA" w:rsidRPr="00A32437">
                        <w:rPr>
                          <w:rFonts w:cs="Times New Roman"/>
                          <w:lang w:val="fr-FR"/>
                        </w:rPr>
                        <w:t>COP12</w:t>
                      </w:r>
                      <w:r w:rsidR="00F823AC">
                        <w:rPr>
                          <w:rFonts w:cs="Times New Roman"/>
                          <w:lang w:val="fr-FR"/>
                        </w:rPr>
                        <w:t>.</w:t>
                      </w:r>
                      <w:r w:rsidR="00611FEA" w:rsidRPr="00A32437">
                        <w:rPr>
                          <w:rFonts w:cs="Times New Roman"/>
                          <w:lang w:val="fr-FR"/>
                        </w:rPr>
                        <w:t xml:space="preserve"> </w:t>
                      </w:r>
                    </w:p>
                  </w:txbxContent>
                </v:textbox>
                <w10:anchorlock/>
              </v:shape>
            </w:pict>
          </mc:Fallback>
        </mc:AlternateContent>
      </w:r>
    </w:p>
    <w:p w:rsidR="003F4FE1" w:rsidRPr="001617A3" w:rsidRDefault="003F4FE1" w:rsidP="00F12261">
      <w:pPr>
        <w:spacing w:after="0" w:line="240" w:lineRule="auto"/>
        <w:rPr>
          <w:rFonts w:cs="Times New Roman"/>
          <w:lang w:val="fr-FR"/>
        </w:rPr>
      </w:pPr>
    </w:p>
    <w:p w:rsidR="009D7055" w:rsidRPr="001617A3" w:rsidRDefault="009D7055" w:rsidP="00F12261">
      <w:pPr>
        <w:spacing w:after="0" w:line="240" w:lineRule="auto"/>
        <w:rPr>
          <w:rFonts w:cs="Times New Roman"/>
          <w:lang w:val="fr-FR"/>
        </w:rPr>
      </w:pPr>
    </w:p>
    <w:p w:rsidR="00800861" w:rsidRPr="001617A3" w:rsidRDefault="00800861" w:rsidP="00F12261">
      <w:pPr>
        <w:spacing w:after="0" w:line="240" w:lineRule="auto"/>
        <w:rPr>
          <w:rFonts w:cs="Times New Roman"/>
          <w:b/>
          <w:lang w:val="fr-FR"/>
        </w:rPr>
      </w:pPr>
      <w:r w:rsidRPr="001617A3">
        <w:rPr>
          <w:rFonts w:cs="Times New Roman"/>
          <w:b/>
          <w:lang w:val="fr-FR"/>
        </w:rPr>
        <w:t>Introduction</w:t>
      </w:r>
    </w:p>
    <w:p w:rsidR="001A33C1" w:rsidRPr="001617A3" w:rsidRDefault="001A33C1" w:rsidP="00F12261">
      <w:pPr>
        <w:spacing w:after="0" w:line="240" w:lineRule="auto"/>
        <w:rPr>
          <w:rFonts w:cs="Times New Roman"/>
          <w:lang w:val="fr-FR"/>
        </w:rPr>
      </w:pPr>
    </w:p>
    <w:p w:rsidR="009F29D1" w:rsidRPr="001617A3" w:rsidRDefault="001F4D69" w:rsidP="005A1ECC">
      <w:pPr>
        <w:pStyle w:val="ListParagraph"/>
        <w:numPr>
          <w:ilvl w:val="0"/>
          <w:numId w:val="13"/>
        </w:numPr>
        <w:spacing w:after="0" w:line="240" w:lineRule="auto"/>
        <w:ind w:left="426" w:hanging="426"/>
        <w:rPr>
          <w:lang w:val="fr-FR"/>
        </w:rPr>
      </w:pPr>
      <w:r w:rsidRPr="001617A3">
        <w:rPr>
          <w:lang w:val="fr-FR"/>
        </w:rPr>
        <w:t>Comme d’habitude, le Secrétariat a procédé à des appels de fonds pour couvrir les frais associés aux voyages et à l’hébergement de délégués assistant à la COP12, provenant de pays figurant sur la liste CAD/OCDE des bénéficiaires de l’aide.</w:t>
      </w:r>
      <w:r w:rsidR="001A33C1" w:rsidRPr="001617A3">
        <w:rPr>
          <w:lang w:val="fr-FR"/>
        </w:rPr>
        <w:t xml:space="preserve"> </w:t>
      </w:r>
    </w:p>
    <w:p w:rsidR="009F29D1" w:rsidRPr="001617A3" w:rsidRDefault="009F29D1" w:rsidP="005A1ECC">
      <w:pPr>
        <w:pStyle w:val="ListParagraph"/>
        <w:spacing w:after="0" w:line="240" w:lineRule="auto"/>
        <w:ind w:left="426" w:hanging="426"/>
        <w:rPr>
          <w:lang w:val="fr-FR"/>
        </w:rPr>
      </w:pPr>
    </w:p>
    <w:p w:rsidR="001A33C1" w:rsidRPr="001617A3" w:rsidRDefault="001F4D69" w:rsidP="005A1ECC">
      <w:pPr>
        <w:pStyle w:val="ListParagraph"/>
        <w:numPr>
          <w:ilvl w:val="0"/>
          <w:numId w:val="13"/>
        </w:numPr>
        <w:spacing w:after="0" w:line="240" w:lineRule="auto"/>
        <w:ind w:left="426" w:hanging="426"/>
        <w:rPr>
          <w:lang w:val="fr-FR"/>
        </w:rPr>
      </w:pPr>
      <w:r w:rsidRPr="001617A3">
        <w:rPr>
          <w:lang w:val="fr-FR"/>
        </w:rPr>
        <w:t xml:space="preserve">À ce jour, </w:t>
      </w:r>
      <w:r w:rsidR="001A33C1" w:rsidRPr="001617A3">
        <w:rPr>
          <w:lang w:val="fr-FR"/>
        </w:rPr>
        <w:t>443</w:t>
      </w:r>
      <w:r w:rsidRPr="001617A3">
        <w:rPr>
          <w:lang w:val="fr-FR"/>
        </w:rPr>
        <w:t> </w:t>
      </w:r>
      <w:r w:rsidR="001A33C1" w:rsidRPr="001617A3">
        <w:rPr>
          <w:lang w:val="fr-FR"/>
        </w:rPr>
        <w:t>434</w:t>
      </w:r>
      <w:r w:rsidRPr="001617A3">
        <w:rPr>
          <w:lang w:val="fr-FR"/>
        </w:rPr>
        <w:t> CHF</w:t>
      </w:r>
      <w:r w:rsidR="001A33C1" w:rsidRPr="001617A3">
        <w:rPr>
          <w:lang w:val="fr-FR"/>
        </w:rPr>
        <w:t xml:space="preserve"> </w:t>
      </w:r>
      <w:r w:rsidRPr="001617A3">
        <w:rPr>
          <w:lang w:val="fr-FR"/>
        </w:rPr>
        <w:t xml:space="preserve">ont été obtenus pour les délégués parrainés </w:t>
      </w:r>
      <w:r w:rsidR="001617A3" w:rsidRPr="001617A3">
        <w:rPr>
          <w:lang w:val="fr-FR"/>
        </w:rPr>
        <w:t>pour</w:t>
      </w:r>
      <w:r w:rsidRPr="001617A3">
        <w:rPr>
          <w:lang w:val="fr-FR"/>
        </w:rPr>
        <w:t xml:space="preserve"> la COP12. Ce chiffre se compare avec </w:t>
      </w:r>
      <w:r w:rsidR="009F29D1" w:rsidRPr="001617A3">
        <w:rPr>
          <w:lang w:val="fr-FR"/>
        </w:rPr>
        <w:t>419</w:t>
      </w:r>
      <w:r w:rsidRPr="001617A3">
        <w:rPr>
          <w:lang w:val="fr-FR"/>
        </w:rPr>
        <w:t> </w:t>
      </w:r>
      <w:r w:rsidR="009F29D1" w:rsidRPr="001617A3">
        <w:rPr>
          <w:lang w:val="fr-FR"/>
        </w:rPr>
        <w:t>912</w:t>
      </w:r>
      <w:r w:rsidRPr="001617A3">
        <w:rPr>
          <w:lang w:val="fr-FR"/>
        </w:rPr>
        <w:t> CHF</w:t>
      </w:r>
      <w:r w:rsidR="009F29D1" w:rsidRPr="001617A3">
        <w:rPr>
          <w:lang w:val="fr-FR"/>
        </w:rPr>
        <w:t xml:space="preserve"> </w:t>
      </w:r>
      <w:r w:rsidRPr="001617A3">
        <w:rPr>
          <w:lang w:val="fr-FR"/>
        </w:rPr>
        <w:t xml:space="preserve">pour la </w:t>
      </w:r>
      <w:r w:rsidR="009F29D1" w:rsidRPr="001617A3">
        <w:rPr>
          <w:lang w:val="fr-FR"/>
        </w:rPr>
        <w:t xml:space="preserve">COP11 </w:t>
      </w:r>
      <w:r w:rsidRPr="001617A3">
        <w:rPr>
          <w:lang w:val="fr-FR"/>
        </w:rPr>
        <w:t>et</w:t>
      </w:r>
      <w:r w:rsidR="009F29D1" w:rsidRPr="001617A3">
        <w:rPr>
          <w:lang w:val="fr-FR"/>
        </w:rPr>
        <w:t xml:space="preserve"> 446</w:t>
      </w:r>
      <w:r w:rsidRPr="001617A3">
        <w:rPr>
          <w:lang w:val="fr-FR"/>
        </w:rPr>
        <w:t> </w:t>
      </w:r>
      <w:r w:rsidR="009F29D1" w:rsidRPr="001617A3">
        <w:rPr>
          <w:lang w:val="fr-FR"/>
        </w:rPr>
        <w:t>090</w:t>
      </w:r>
      <w:r w:rsidRPr="001617A3">
        <w:rPr>
          <w:lang w:val="fr-FR"/>
        </w:rPr>
        <w:t xml:space="preserve"> CHF pour la </w:t>
      </w:r>
      <w:r w:rsidR="009F29D1" w:rsidRPr="001617A3">
        <w:rPr>
          <w:lang w:val="fr-FR"/>
        </w:rPr>
        <w:t>COP10.</w:t>
      </w:r>
    </w:p>
    <w:p w:rsidR="001A33C1" w:rsidRPr="001617A3" w:rsidRDefault="001A33C1" w:rsidP="005A1ECC">
      <w:pPr>
        <w:pStyle w:val="ListParagraph"/>
        <w:spacing w:after="0" w:line="240" w:lineRule="auto"/>
        <w:ind w:left="426" w:hanging="426"/>
        <w:rPr>
          <w:lang w:val="fr-FR"/>
        </w:rPr>
      </w:pPr>
    </w:p>
    <w:p w:rsidR="00EC09CF" w:rsidRPr="001617A3" w:rsidRDefault="001F4D69" w:rsidP="005A1ECC">
      <w:pPr>
        <w:pStyle w:val="ListParagraph"/>
        <w:numPr>
          <w:ilvl w:val="0"/>
          <w:numId w:val="13"/>
        </w:numPr>
        <w:spacing w:after="0" w:line="240" w:lineRule="auto"/>
        <w:ind w:left="426" w:hanging="426"/>
        <w:rPr>
          <w:lang w:val="fr-FR"/>
        </w:rPr>
      </w:pPr>
      <w:r w:rsidRPr="001617A3">
        <w:rPr>
          <w:lang w:val="fr-FR"/>
        </w:rPr>
        <w:t>Dans la Résolution </w:t>
      </w:r>
      <w:r w:rsidR="00EC09CF" w:rsidRPr="001617A3">
        <w:rPr>
          <w:lang w:val="fr-FR"/>
        </w:rPr>
        <w:t>XII.1</w:t>
      </w:r>
      <w:r w:rsidRPr="001617A3">
        <w:rPr>
          <w:lang w:val="fr-FR"/>
        </w:rPr>
        <w:t xml:space="preserve">, il est indiqué que le Sous-groupe sur les finances : </w:t>
      </w:r>
      <w:r w:rsidR="00EC09CF" w:rsidRPr="001617A3">
        <w:rPr>
          <w:lang w:val="fr-FR"/>
        </w:rPr>
        <w:t xml:space="preserve"> </w:t>
      </w:r>
    </w:p>
    <w:p w:rsidR="00EC09CF" w:rsidRPr="001617A3" w:rsidRDefault="00EC09CF" w:rsidP="00F12261">
      <w:pPr>
        <w:pStyle w:val="ListParagraph"/>
        <w:spacing w:after="0" w:line="240" w:lineRule="auto"/>
        <w:ind w:left="426"/>
        <w:contextualSpacing w:val="0"/>
        <w:rPr>
          <w:lang w:val="fr-FR"/>
        </w:rPr>
      </w:pPr>
    </w:p>
    <w:p w:rsidR="00F330B2" w:rsidRPr="001617A3" w:rsidRDefault="00F330B2" w:rsidP="00F330B2">
      <w:pPr>
        <w:pStyle w:val="ListParagraph"/>
        <w:spacing w:after="0" w:line="240" w:lineRule="auto"/>
        <w:ind w:left="851"/>
        <w:contextualSpacing w:val="0"/>
        <w:rPr>
          <w:i/>
          <w:lang w:val="fr-FR"/>
        </w:rPr>
      </w:pPr>
      <w:r w:rsidRPr="001617A3">
        <w:rPr>
          <w:i/>
          <w:lang w:val="fr-FR"/>
        </w:rPr>
        <w:t>NOTE que 115 000 CHF du fonds de réserve 2013- 2015 ont été utilisés pour parrainer des délégués éligibles et s’assurer que toutes les Parties pouvaient réellement participer à la COP12; et NOTE EN OUTRE que cette utilisation ne constitue pas un précédent pour la Convention et qu’elle est considérée comme une exception à la pratique habituelle qui s’explique par le climat économique mondial et la difficulté d’obtenir des contributions volontaires auprès des Parties contractantes et d’autres sources externes.</w:t>
      </w:r>
    </w:p>
    <w:p w:rsidR="00F330B2" w:rsidRPr="001617A3" w:rsidRDefault="00F330B2" w:rsidP="00F330B2">
      <w:pPr>
        <w:pStyle w:val="ListParagraph"/>
        <w:ind w:left="426" w:hanging="426"/>
        <w:rPr>
          <w:i/>
          <w:lang w:val="fr-FR"/>
        </w:rPr>
      </w:pPr>
    </w:p>
    <w:p w:rsidR="00AB3999" w:rsidRPr="001617A3" w:rsidRDefault="00F330B2" w:rsidP="00F330B2">
      <w:pPr>
        <w:pStyle w:val="ListParagraph"/>
        <w:spacing w:after="0" w:line="240" w:lineRule="auto"/>
        <w:ind w:left="851" w:right="521"/>
        <w:contextualSpacing w:val="0"/>
        <w:rPr>
          <w:rFonts w:cs="Times New Roman"/>
          <w:i/>
          <w:lang w:val="fr-FR"/>
        </w:rPr>
      </w:pPr>
      <w:r w:rsidRPr="001617A3">
        <w:rPr>
          <w:i/>
          <w:lang w:val="fr-FR"/>
        </w:rPr>
        <w:t>PRIE le Secrétaire général de poursuivre ses efforts et de solliciter des contributions externes de façon à rembourser les sommes puisées dans la réserve en raison de ces circonstances exceptionnelles, et de faire rapport lors des prochaines réunions du Sous-groupe sur les finances sur les progrès accomplis à cet égard.</w:t>
      </w:r>
    </w:p>
    <w:p w:rsidR="00EC09CF" w:rsidRPr="001617A3" w:rsidRDefault="00EC09CF" w:rsidP="00F12261">
      <w:pPr>
        <w:pStyle w:val="ListParagraph"/>
        <w:spacing w:after="0" w:line="240" w:lineRule="auto"/>
        <w:ind w:left="1146"/>
        <w:contextualSpacing w:val="0"/>
        <w:rPr>
          <w:rFonts w:cs="Times New Roman"/>
          <w:lang w:val="fr-FR"/>
        </w:rPr>
      </w:pPr>
    </w:p>
    <w:p w:rsidR="00FE3CD3" w:rsidRPr="001617A3" w:rsidRDefault="001F4D69" w:rsidP="005A1ECC">
      <w:pPr>
        <w:pStyle w:val="ListParagraph"/>
        <w:numPr>
          <w:ilvl w:val="0"/>
          <w:numId w:val="13"/>
        </w:numPr>
        <w:spacing w:after="0" w:line="240" w:lineRule="auto"/>
        <w:ind w:left="426" w:hanging="426"/>
        <w:rPr>
          <w:lang w:val="fr-FR"/>
        </w:rPr>
      </w:pPr>
      <w:r w:rsidRPr="001617A3">
        <w:rPr>
          <w:lang w:val="fr-FR"/>
        </w:rPr>
        <w:t>Le Secrétariat présente ci</w:t>
      </w:r>
      <w:r w:rsidRPr="001617A3">
        <w:rPr>
          <w:lang w:val="fr-FR"/>
        </w:rPr>
        <w:noBreakHyphen/>
        <w:t xml:space="preserve">dessous un résumé de la situation actuelle et des mesures prises afin d’atteindre le niveau actuel de fonds </w:t>
      </w:r>
      <w:r w:rsidRPr="00FC7BD0">
        <w:rPr>
          <w:lang w:val="fr-FR"/>
        </w:rPr>
        <w:t>engagés.</w:t>
      </w:r>
      <w:r w:rsidRPr="001617A3">
        <w:rPr>
          <w:lang w:val="fr-FR"/>
        </w:rPr>
        <w:t xml:space="preserve"> </w:t>
      </w:r>
    </w:p>
    <w:p w:rsidR="00883BF8" w:rsidRPr="001617A3" w:rsidRDefault="00F25587" w:rsidP="009D7055">
      <w:pPr>
        <w:tabs>
          <w:tab w:val="left" w:pos="2057"/>
        </w:tabs>
        <w:spacing w:after="0" w:line="240" w:lineRule="auto"/>
        <w:rPr>
          <w:rFonts w:cs="Times New Roman"/>
          <w:lang w:val="fr-FR"/>
        </w:rPr>
      </w:pPr>
      <w:r w:rsidRPr="001617A3">
        <w:rPr>
          <w:rFonts w:cs="Times New Roman"/>
          <w:lang w:val="fr-FR"/>
        </w:rPr>
        <w:tab/>
      </w:r>
    </w:p>
    <w:p w:rsidR="000003A7" w:rsidRPr="001617A3" w:rsidRDefault="001F4D69" w:rsidP="00F12261">
      <w:pPr>
        <w:spacing w:after="0" w:line="240" w:lineRule="auto"/>
        <w:rPr>
          <w:rFonts w:cs="Times New Roman"/>
          <w:lang w:val="fr-FR"/>
        </w:rPr>
      </w:pPr>
      <w:r w:rsidRPr="001617A3">
        <w:rPr>
          <w:rFonts w:cs="Times New Roman"/>
          <w:b/>
          <w:lang w:val="fr-FR"/>
        </w:rPr>
        <w:t xml:space="preserve">Mesures prises avant la </w:t>
      </w:r>
      <w:r w:rsidR="001617A3" w:rsidRPr="001617A3">
        <w:rPr>
          <w:rFonts w:cs="Times New Roman"/>
          <w:b/>
          <w:lang w:val="fr-FR"/>
        </w:rPr>
        <w:t>COP</w:t>
      </w:r>
      <w:r w:rsidR="000003A7" w:rsidRPr="001617A3">
        <w:rPr>
          <w:rFonts w:cs="Times New Roman"/>
          <w:b/>
          <w:lang w:val="fr-FR"/>
        </w:rPr>
        <w:t>12</w:t>
      </w:r>
    </w:p>
    <w:p w:rsidR="000003A7" w:rsidRPr="001617A3" w:rsidRDefault="000003A7" w:rsidP="00F12261">
      <w:pPr>
        <w:spacing w:after="0" w:line="240" w:lineRule="auto"/>
        <w:rPr>
          <w:rFonts w:cs="Times New Roman"/>
          <w:lang w:val="fr-FR"/>
        </w:rPr>
      </w:pPr>
    </w:p>
    <w:p w:rsidR="000003A7" w:rsidRPr="001617A3" w:rsidRDefault="001F4D69" w:rsidP="005A1ECC">
      <w:pPr>
        <w:pStyle w:val="ListParagraph"/>
        <w:numPr>
          <w:ilvl w:val="0"/>
          <w:numId w:val="13"/>
        </w:numPr>
        <w:spacing w:after="0" w:line="240" w:lineRule="auto"/>
        <w:ind w:left="426" w:hanging="426"/>
        <w:rPr>
          <w:rFonts w:cs="Times New Roman"/>
          <w:lang w:val="fr-FR"/>
        </w:rPr>
      </w:pPr>
      <w:r w:rsidRPr="001617A3">
        <w:rPr>
          <w:rFonts w:cs="Times New Roman"/>
          <w:lang w:val="fr-FR"/>
        </w:rPr>
        <w:t xml:space="preserve">La première lettre demandant un appui pour couvrir les </w:t>
      </w:r>
      <w:r w:rsidR="001617A3" w:rsidRPr="001617A3">
        <w:rPr>
          <w:rFonts w:cs="Times New Roman"/>
          <w:lang w:val="fr-FR"/>
        </w:rPr>
        <w:t>coûts</w:t>
      </w:r>
      <w:r w:rsidRPr="001617A3">
        <w:rPr>
          <w:rFonts w:cs="Times New Roman"/>
          <w:lang w:val="fr-FR"/>
        </w:rPr>
        <w:t xml:space="preserve"> des délégués parrainés </w:t>
      </w:r>
      <w:r w:rsidR="001617A3" w:rsidRPr="001617A3">
        <w:rPr>
          <w:rFonts w:cs="Times New Roman"/>
          <w:lang w:val="fr-FR"/>
        </w:rPr>
        <w:t>pour la</w:t>
      </w:r>
      <w:r w:rsidRPr="001617A3">
        <w:rPr>
          <w:rFonts w:cs="Times New Roman"/>
          <w:lang w:val="fr-FR"/>
        </w:rPr>
        <w:t xml:space="preserve"> COP12 a été envoyée à toutes les Parties contractantes le 20 novembre 2014. </w:t>
      </w:r>
    </w:p>
    <w:p w:rsidR="000003A7" w:rsidRPr="001617A3" w:rsidRDefault="000003A7" w:rsidP="005A1ECC">
      <w:pPr>
        <w:pStyle w:val="ListParagraph"/>
        <w:spacing w:after="0" w:line="240" w:lineRule="auto"/>
        <w:ind w:left="426" w:hanging="426"/>
        <w:rPr>
          <w:rFonts w:cs="Times New Roman"/>
          <w:lang w:val="fr-FR"/>
        </w:rPr>
      </w:pPr>
    </w:p>
    <w:p w:rsidR="000003A7" w:rsidRPr="001617A3" w:rsidRDefault="001F4D69" w:rsidP="005A1ECC">
      <w:pPr>
        <w:pStyle w:val="ListParagraph"/>
        <w:numPr>
          <w:ilvl w:val="0"/>
          <w:numId w:val="13"/>
        </w:numPr>
        <w:spacing w:after="0" w:line="240" w:lineRule="auto"/>
        <w:ind w:left="426" w:hanging="426"/>
        <w:rPr>
          <w:rFonts w:cs="Times New Roman"/>
          <w:lang w:val="fr-FR"/>
        </w:rPr>
      </w:pPr>
      <w:r w:rsidRPr="001617A3">
        <w:rPr>
          <w:rFonts w:cs="Times New Roman"/>
          <w:lang w:val="fr-FR"/>
        </w:rPr>
        <w:t xml:space="preserve">Les Conseillers régionaux principaux et le Chef des partenariats ont collaboré dans le cadre d’un suivi approfondi et ciblé. Cela comprend des centaines </w:t>
      </w:r>
      <w:r w:rsidR="00FC7BD0">
        <w:rPr>
          <w:rFonts w:cs="Times New Roman"/>
          <w:lang w:val="fr-FR"/>
        </w:rPr>
        <w:t>d’actions</w:t>
      </w:r>
      <w:r w:rsidRPr="001617A3">
        <w:rPr>
          <w:rFonts w:cs="Times New Roman"/>
          <w:lang w:val="fr-FR"/>
        </w:rPr>
        <w:t xml:space="preserve">, axées sur 26 entités </w:t>
      </w:r>
      <w:r w:rsidRPr="001617A3">
        <w:rPr>
          <w:rFonts w:cs="Times New Roman"/>
          <w:lang w:val="fr-FR"/>
        </w:rPr>
        <w:lastRenderedPageBreak/>
        <w:t xml:space="preserve">(gouvernementales et non gouvernementales) identifiées comme les plus </w:t>
      </w:r>
      <w:r w:rsidR="001617A3" w:rsidRPr="001617A3">
        <w:rPr>
          <w:rFonts w:cs="Times New Roman"/>
          <w:lang w:val="fr-FR"/>
        </w:rPr>
        <w:t>susceptibles</w:t>
      </w:r>
      <w:r w:rsidRPr="001617A3">
        <w:rPr>
          <w:rFonts w:cs="Times New Roman"/>
          <w:lang w:val="fr-FR"/>
        </w:rPr>
        <w:t xml:space="preserve"> d’apporter un appui. </w:t>
      </w:r>
    </w:p>
    <w:p w:rsidR="00883BF8" w:rsidRPr="001617A3" w:rsidRDefault="00883BF8" w:rsidP="00F12261">
      <w:pPr>
        <w:spacing w:after="0" w:line="240" w:lineRule="auto"/>
        <w:rPr>
          <w:rFonts w:cs="Times New Roman"/>
          <w:lang w:val="fr-FR"/>
        </w:rPr>
      </w:pPr>
    </w:p>
    <w:p w:rsidR="00883BF8" w:rsidRPr="001617A3" w:rsidRDefault="000D7EFE" w:rsidP="00F12261">
      <w:pPr>
        <w:spacing w:after="0" w:line="240" w:lineRule="auto"/>
        <w:rPr>
          <w:rFonts w:cs="Times New Roman"/>
          <w:b/>
          <w:lang w:val="fr-FR"/>
        </w:rPr>
      </w:pPr>
      <w:r w:rsidRPr="001617A3">
        <w:rPr>
          <w:rFonts w:cs="Times New Roman"/>
          <w:b/>
          <w:lang w:val="fr-FR"/>
        </w:rPr>
        <w:t>S</w:t>
      </w:r>
      <w:r w:rsidR="00883BF8" w:rsidRPr="001617A3">
        <w:rPr>
          <w:rFonts w:cs="Times New Roman"/>
          <w:b/>
          <w:lang w:val="fr-FR"/>
        </w:rPr>
        <w:t>ituation</w:t>
      </w:r>
      <w:r w:rsidR="00743E63" w:rsidRPr="001617A3">
        <w:rPr>
          <w:rFonts w:cs="Times New Roman"/>
          <w:b/>
          <w:lang w:val="fr-FR"/>
        </w:rPr>
        <w:t xml:space="preserve"> </w:t>
      </w:r>
      <w:r w:rsidR="001F4D69" w:rsidRPr="001617A3">
        <w:rPr>
          <w:rFonts w:cs="Times New Roman"/>
          <w:b/>
          <w:lang w:val="fr-FR"/>
        </w:rPr>
        <w:t xml:space="preserve">au 31 juillet </w:t>
      </w:r>
      <w:r w:rsidR="00743E63" w:rsidRPr="001617A3">
        <w:rPr>
          <w:rFonts w:cs="Times New Roman"/>
          <w:b/>
          <w:lang w:val="fr-FR"/>
        </w:rPr>
        <w:t>2015</w:t>
      </w:r>
    </w:p>
    <w:p w:rsidR="00883BF8" w:rsidRPr="001617A3" w:rsidRDefault="00883BF8" w:rsidP="00F12261">
      <w:pPr>
        <w:spacing w:after="0" w:line="240" w:lineRule="auto"/>
        <w:rPr>
          <w:rFonts w:cs="Times New Roman"/>
          <w:b/>
          <w:lang w:val="fr-FR"/>
        </w:rPr>
      </w:pPr>
    </w:p>
    <w:p w:rsidR="006B6A24" w:rsidRPr="001617A3" w:rsidRDefault="00FC7BD0" w:rsidP="005A1ECC">
      <w:pPr>
        <w:pStyle w:val="ListParagraph"/>
        <w:numPr>
          <w:ilvl w:val="0"/>
          <w:numId w:val="13"/>
        </w:numPr>
        <w:spacing w:after="0" w:line="240" w:lineRule="auto"/>
        <w:ind w:left="426" w:hanging="426"/>
        <w:rPr>
          <w:rFonts w:cs="Times New Roman"/>
          <w:lang w:val="fr-FR"/>
        </w:rPr>
      </w:pPr>
      <w:r>
        <w:rPr>
          <w:rFonts w:cs="Times New Roman"/>
          <w:lang w:val="fr-FR"/>
        </w:rPr>
        <w:t>Résumé de</w:t>
      </w:r>
      <w:r w:rsidR="001F4D69" w:rsidRPr="001617A3">
        <w:rPr>
          <w:rFonts w:cs="Times New Roman"/>
          <w:lang w:val="fr-FR"/>
        </w:rPr>
        <w:t xml:space="preserve"> l’état des fonds déjà obtenus pour couvrir les </w:t>
      </w:r>
      <w:r w:rsidR="001617A3" w:rsidRPr="001617A3">
        <w:rPr>
          <w:rFonts w:cs="Times New Roman"/>
          <w:lang w:val="fr-FR"/>
        </w:rPr>
        <w:t>coûts</w:t>
      </w:r>
      <w:r w:rsidR="001F4D69" w:rsidRPr="001617A3">
        <w:rPr>
          <w:rFonts w:cs="Times New Roman"/>
          <w:lang w:val="fr-FR"/>
        </w:rPr>
        <w:t xml:space="preserve"> des délégués parrainés pour la COP12 par rapport au budget de </w:t>
      </w:r>
      <w:r w:rsidR="00F232A6" w:rsidRPr="001617A3">
        <w:rPr>
          <w:rFonts w:cs="Times New Roman"/>
          <w:lang w:val="fr-FR"/>
        </w:rPr>
        <w:t>560</w:t>
      </w:r>
      <w:r w:rsidR="001F4D69" w:rsidRPr="001617A3">
        <w:rPr>
          <w:rFonts w:cs="Times New Roman"/>
          <w:lang w:val="fr-FR"/>
        </w:rPr>
        <w:t> 000 </w:t>
      </w:r>
      <w:r w:rsidR="00F232A6" w:rsidRPr="001617A3">
        <w:rPr>
          <w:rFonts w:cs="Times New Roman"/>
          <w:lang w:val="fr-FR"/>
        </w:rPr>
        <w:t>CHF</w:t>
      </w:r>
      <w:r w:rsidR="001F4D69" w:rsidRPr="001617A3">
        <w:rPr>
          <w:rFonts w:cs="Times New Roman"/>
          <w:lang w:val="fr-FR"/>
        </w:rPr>
        <w:t> </w:t>
      </w:r>
      <w:r w:rsidR="006B6A24" w:rsidRPr="001617A3">
        <w:rPr>
          <w:rFonts w:cs="Times New Roman"/>
          <w:lang w:val="fr-FR"/>
        </w:rPr>
        <w:t>:</w:t>
      </w:r>
    </w:p>
    <w:p w:rsidR="006B6A24" w:rsidRPr="001617A3" w:rsidRDefault="006B6A24" w:rsidP="00F12261">
      <w:pPr>
        <w:spacing w:after="0" w:line="240" w:lineRule="auto"/>
        <w:rPr>
          <w:rFonts w:cs="Times New Roman"/>
          <w:b/>
          <w:lang w:val="fr-FR"/>
        </w:rPr>
      </w:pPr>
    </w:p>
    <w:p w:rsidR="000D7EFE" w:rsidRPr="001617A3" w:rsidRDefault="000D7EFE" w:rsidP="009D7055">
      <w:pPr>
        <w:tabs>
          <w:tab w:val="left" w:pos="4393"/>
        </w:tabs>
        <w:spacing w:after="0" w:line="240" w:lineRule="auto"/>
        <w:rPr>
          <w:rFonts w:eastAsia="Times New Roman" w:cs="Times New Roman"/>
          <w:bCs/>
          <w:color w:val="000000"/>
          <w:lang w:val="fr-FR" w:eastAsia="en-GB"/>
        </w:rPr>
      </w:pPr>
      <w:r w:rsidRPr="001617A3">
        <w:rPr>
          <w:rFonts w:eastAsia="Times New Roman" w:cs="Times New Roman"/>
          <w:bCs/>
          <w:color w:val="000000"/>
          <w:lang w:val="fr-FR" w:eastAsia="en-GB"/>
        </w:rPr>
        <w:t>Table</w:t>
      </w:r>
      <w:r w:rsidR="001F4D69" w:rsidRPr="001617A3">
        <w:rPr>
          <w:rFonts w:eastAsia="Times New Roman" w:cs="Times New Roman"/>
          <w:bCs/>
          <w:color w:val="000000"/>
          <w:lang w:val="fr-FR" w:eastAsia="en-GB"/>
        </w:rPr>
        <w:t>au</w:t>
      </w:r>
      <w:r w:rsidRPr="001617A3">
        <w:rPr>
          <w:rFonts w:eastAsia="Times New Roman" w:cs="Times New Roman"/>
          <w:bCs/>
          <w:color w:val="000000"/>
          <w:lang w:val="fr-FR" w:eastAsia="en-GB"/>
        </w:rPr>
        <w:t xml:space="preserve"> 1</w:t>
      </w:r>
      <w:r w:rsidR="001F4D69" w:rsidRPr="001617A3">
        <w:rPr>
          <w:rFonts w:eastAsia="Times New Roman" w:cs="Times New Roman"/>
          <w:bCs/>
          <w:color w:val="000000"/>
          <w:lang w:val="fr-FR" w:eastAsia="en-GB"/>
        </w:rPr>
        <w:t> </w:t>
      </w:r>
      <w:r w:rsidRPr="001617A3">
        <w:rPr>
          <w:rFonts w:eastAsia="Times New Roman" w:cs="Times New Roman"/>
          <w:bCs/>
          <w:color w:val="000000"/>
          <w:lang w:val="fr-FR" w:eastAsia="en-GB"/>
        </w:rPr>
        <w:t>: </w:t>
      </w:r>
      <w:r w:rsidR="00FC7BD0">
        <w:rPr>
          <w:rFonts w:eastAsia="Times New Roman" w:cs="Times New Roman"/>
          <w:bCs/>
          <w:color w:val="000000"/>
          <w:lang w:val="fr-FR" w:eastAsia="en-GB"/>
        </w:rPr>
        <w:t>Couverture des</w:t>
      </w:r>
      <w:r w:rsidR="001F4D69" w:rsidRPr="001617A3">
        <w:rPr>
          <w:rFonts w:eastAsia="Times New Roman" w:cs="Times New Roman"/>
          <w:bCs/>
          <w:color w:val="000000"/>
          <w:lang w:val="fr-FR" w:eastAsia="en-GB"/>
        </w:rPr>
        <w:t xml:space="preserve"> coûts des délégués parrainés pour la COP12 (</w:t>
      </w:r>
      <w:r w:rsidR="001617A3" w:rsidRPr="001617A3">
        <w:rPr>
          <w:rFonts w:eastAsia="Times New Roman" w:cs="Times New Roman"/>
          <w:bCs/>
          <w:color w:val="000000"/>
          <w:lang w:val="fr-FR" w:eastAsia="en-GB"/>
        </w:rPr>
        <w:t xml:space="preserve">situation </w:t>
      </w:r>
      <w:r w:rsidR="001F4D69" w:rsidRPr="001617A3">
        <w:rPr>
          <w:rFonts w:eastAsia="Times New Roman" w:cs="Times New Roman"/>
          <w:bCs/>
          <w:color w:val="000000"/>
          <w:lang w:val="fr-FR" w:eastAsia="en-GB"/>
        </w:rPr>
        <w:t>au 31 juillet 2015)</w:t>
      </w:r>
      <w:r w:rsidRPr="001617A3">
        <w:rPr>
          <w:rFonts w:eastAsia="Times New Roman" w:cs="Times New Roman"/>
          <w:bCs/>
          <w:color w:val="000000"/>
          <w:lang w:val="fr-FR" w:eastAsia="en-GB"/>
        </w:rPr>
        <w:tab/>
      </w:r>
    </w:p>
    <w:p w:rsidR="000D7EFE" w:rsidRPr="001617A3" w:rsidRDefault="000D7EFE" w:rsidP="009D7055">
      <w:pPr>
        <w:tabs>
          <w:tab w:val="left" w:pos="4393"/>
        </w:tabs>
        <w:spacing w:after="0" w:line="240" w:lineRule="auto"/>
        <w:rPr>
          <w:rFonts w:eastAsia="Times New Roman" w:cs="Times New Roman"/>
          <w:bCs/>
          <w:color w:val="000000"/>
          <w:lang w:val="fr-FR" w:eastAsia="en-GB"/>
        </w:rPr>
      </w:pPr>
    </w:p>
    <w:tbl>
      <w:tblPr>
        <w:tblW w:w="834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3415"/>
      </w:tblGrid>
      <w:tr w:rsidR="000D7EFE" w:rsidRPr="001617A3" w:rsidTr="00357479">
        <w:trPr>
          <w:trHeight w:val="288"/>
        </w:trPr>
        <w:tc>
          <w:tcPr>
            <w:tcW w:w="3681" w:type="dxa"/>
            <w:shd w:val="clear" w:color="auto" w:fill="auto"/>
            <w:noWrap/>
            <w:vAlign w:val="center"/>
            <w:hideMark/>
          </w:tcPr>
          <w:p w:rsidR="007B48FF" w:rsidRPr="001617A3" w:rsidRDefault="001F4D69" w:rsidP="009D7055">
            <w:pPr>
              <w:spacing w:after="0" w:line="240" w:lineRule="auto"/>
              <w:ind w:left="313"/>
              <w:jc w:val="center"/>
              <w:rPr>
                <w:rFonts w:eastAsia="Times New Roman" w:cs="Times New Roman"/>
                <w:b/>
                <w:bCs/>
                <w:color w:val="000000"/>
                <w:lang w:val="fr-FR" w:eastAsia="en-GB"/>
              </w:rPr>
            </w:pPr>
            <w:r w:rsidRPr="001617A3">
              <w:rPr>
                <w:rFonts w:eastAsia="Times New Roman" w:cs="Times New Roman"/>
                <w:b/>
                <w:bCs/>
                <w:color w:val="000000"/>
                <w:lang w:val="fr-FR" w:eastAsia="en-GB"/>
              </w:rPr>
              <w:t>Bailleur de fonds</w:t>
            </w:r>
          </w:p>
        </w:tc>
        <w:tc>
          <w:tcPr>
            <w:tcW w:w="2551" w:type="dxa"/>
            <w:shd w:val="clear" w:color="auto" w:fill="auto"/>
            <w:noWrap/>
            <w:vAlign w:val="center"/>
            <w:hideMark/>
          </w:tcPr>
          <w:p w:rsidR="007B48FF" w:rsidRPr="001617A3" w:rsidRDefault="001F4D69" w:rsidP="009D7055">
            <w:pPr>
              <w:spacing w:after="0" w:line="240" w:lineRule="auto"/>
              <w:ind w:left="313"/>
              <w:jc w:val="center"/>
              <w:rPr>
                <w:rFonts w:eastAsia="Times New Roman" w:cs="Times New Roman"/>
                <w:b/>
                <w:bCs/>
                <w:color w:val="000000"/>
                <w:lang w:val="fr-FR" w:eastAsia="en-GB"/>
              </w:rPr>
            </w:pPr>
            <w:r w:rsidRPr="001617A3">
              <w:rPr>
                <w:rFonts w:eastAsia="Times New Roman" w:cs="Times New Roman"/>
                <w:b/>
                <w:bCs/>
                <w:color w:val="000000"/>
                <w:lang w:val="fr-FR" w:eastAsia="en-GB"/>
              </w:rPr>
              <w:t>Montant obtenu</w:t>
            </w:r>
            <w:r w:rsidR="000D7EFE" w:rsidRPr="001617A3">
              <w:rPr>
                <w:rFonts w:eastAsia="Times New Roman" w:cs="Times New Roman"/>
                <w:b/>
                <w:bCs/>
                <w:color w:val="000000"/>
                <w:lang w:val="fr-FR" w:eastAsia="en-GB"/>
              </w:rPr>
              <w:t xml:space="preserve"> </w:t>
            </w:r>
            <w:r w:rsidR="007B48FF" w:rsidRPr="001617A3">
              <w:rPr>
                <w:rFonts w:eastAsia="Times New Roman" w:cs="Times New Roman"/>
                <w:b/>
                <w:bCs/>
                <w:color w:val="000000"/>
                <w:lang w:val="fr-FR" w:eastAsia="en-GB"/>
              </w:rPr>
              <w:t>CHF</w:t>
            </w:r>
          </w:p>
        </w:tc>
      </w:tr>
      <w:tr w:rsidR="000D7EFE" w:rsidRPr="001617A3" w:rsidTr="00357479">
        <w:trPr>
          <w:trHeight w:val="288"/>
        </w:trPr>
        <w:tc>
          <w:tcPr>
            <w:tcW w:w="3681" w:type="dxa"/>
            <w:shd w:val="clear" w:color="auto" w:fill="auto"/>
            <w:noWrap/>
            <w:vAlign w:val="bottom"/>
            <w:hideMark/>
          </w:tcPr>
          <w:p w:rsidR="007B48FF" w:rsidRPr="001617A3" w:rsidRDefault="007B48FF"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Star Alliance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26</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000 </w:t>
            </w:r>
          </w:p>
        </w:tc>
      </w:tr>
      <w:tr w:rsidR="000D7EFE" w:rsidRPr="001617A3" w:rsidTr="00357479">
        <w:trPr>
          <w:trHeight w:val="288"/>
        </w:trPr>
        <w:tc>
          <w:tcPr>
            <w:tcW w:w="3681" w:type="dxa"/>
            <w:shd w:val="clear" w:color="auto" w:fill="auto"/>
            <w:noWrap/>
            <w:vAlign w:val="bottom"/>
            <w:hideMark/>
          </w:tcPr>
          <w:p w:rsidR="007B48FF" w:rsidRPr="001617A3" w:rsidRDefault="007B48FF" w:rsidP="001F4D69">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Australi</w:t>
            </w:r>
            <w:r w:rsidR="001F4D69" w:rsidRPr="001617A3">
              <w:rPr>
                <w:rFonts w:eastAsia="Times New Roman" w:cs="Times New Roman"/>
                <w:color w:val="000000"/>
                <w:lang w:val="fr-FR" w:eastAsia="en-GB"/>
              </w:rPr>
              <w:t>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29</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660 </w:t>
            </w:r>
          </w:p>
        </w:tc>
      </w:tr>
      <w:tr w:rsidR="000D7EFE" w:rsidRPr="001617A3" w:rsidTr="00357479">
        <w:trPr>
          <w:trHeight w:val="288"/>
        </w:trPr>
        <w:tc>
          <w:tcPr>
            <w:tcW w:w="3681" w:type="dxa"/>
            <w:shd w:val="clear" w:color="auto" w:fill="auto"/>
            <w:noWrap/>
            <w:vAlign w:val="bottom"/>
            <w:hideMark/>
          </w:tcPr>
          <w:p w:rsidR="007B48FF" w:rsidRPr="001617A3" w:rsidRDefault="004F7DF3" w:rsidP="001F4D69">
            <w:pPr>
              <w:spacing w:after="0" w:line="240" w:lineRule="auto"/>
              <w:ind w:left="313"/>
              <w:rPr>
                <w:rFonts w:eastAsia="Times New Roman" w:cs="Times New Roman"/>
                <w:color w:val="000000"/>
                <w:lang w:val="fr-FR" w:eastAsia="en-GB"/>
              </w:rPr>
            </w:pPr>
            <w:r>
              <w:rPr>
                <w:rFonts w:eastAsia="Times New Roman" w:cs="Times New Roman"/>
                <w:color w:val="000000"/>
                <w:lang w:val="fr-FR" w:eastAsia="en-GB"/>
              </w:rPr>
              <w:t>Autriche</w:t>
            </w:r>
          </w:p>
        </w:tc>
        <w:tc>
          <w:tcPr>
            <w:tcW w:w="2551" w:type="dxa"/>
            <w:shd w:val="clear" w:color="auto" w:fill="auto"/>
            <w:noWrap/>
            <w:vAlign w:val="bottom"/>
            <w:hideMark/>
          </w:tcPr>
          <w:p w:rsidR="007B48FF" w:rsidRPr="001617A3" w:rsidRDefault="001F4D69"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5 </w:t>
            </w:r>
            <w:r w:rsidR="007B48FF" w:rsidRPr="001617A3">
              <w:rPr>
                <w:rFonts w:eastAsia="Times New Roman" w:cs="Times New Roman"/>
                <w:color w:val="000000"/>
                <w:lang w:val="fr-FR" w:eastAsia="en-GB"/>
              </w:rPr>
              <w:t xml:space="preserve">166 </w:t>
            </w:r>
          </w:p>
        </w:tc>
      </w:tr>
      <w:tr w:rsidR="000D7EFE" w:rsidRPr="001617A3" w:rsidTr="00357479">
        <w:trPr>
          <w:trHeight w:val="288"/>
        </w:trPr>
        <w:tc>
          <w:tcPr>
            <w:tcW w:w="3681" w:type="dxa"/>
            <w:shd w:val="clear" w:color="auto" w:fill="auto"/>
            <w:noWrap/>
            <w:vAlign w:val="bottom"/>
            <w:hideMark/>
          </w:tcPr>
          <w:p w:rsidR="007B48FF" w:rsidRPr="001617A3" w:rsidRDefault="007B48FF"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Canada</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31</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155 </w:t>
            </w:r>
          </w:p>
        </w:tc>
      </w:tr>
      <w:tr w:rsidR="000D7EFE" w:rsidRPr="001617A3" w:rsidTr="00357479">
        <w:trPr>
          <w:trHeight w:val="288"/>
        </w:trPr>
        <w:tc>
          <w:tcPr>
            <w:tcW w:w="3681" w:type="dxa"/>
            <w:shd w:val="clear" w:color="auto" w:fill="auto"/>
            <w:noWrap/>
            <w:vAlign w:val="bottom"/>
            <w:hideMark/>
          </w:tcPr>
          <w:p w:rsidR="007B48FF" w:rsidRPr="001617A3" w:rsidRDefault="007B48FF"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Finland</w:t>
            </w:r>
            <w:r w:rsidR="001F4D69" w:rsidRPr="001617A3">
              <w:rPr>
                <w:rFonts w:eastAsia="Times New Roman" w:cs="Times New Roman"/>
                <w:color w:val="000000"/>
                <w:lang w:val="fr-FR" w:eastAsia="en-GB"/>
              </w:rPr>
              <w:t>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20</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604 </w:t>
            </w:r>
          </w:p>
        </w:tc>
      </w:tr>
      <w:tr w:rsidR="000D7EFE" w:rsidRPr="001617A3" w:rsidTr="00357479">
        <w:trPr>
          <w:trHeight w:val="288"/>
        </w:trPr>
        <w:tc>
          <w:tcPr>
            <w:tcW w:w="3681" w:type="dxa"/>
            <w:shd w:val="clear" w:color="auto" w:fill="auto"/>
            <w:noWrap/>
            <w:vAlign w:val="bottom"/>
            <w:hideMark/>
          </w:tcPr>
          <w:p w:rsidR="007B48FF" w:rsidRPr="001617A3" w:rsidRDefault="001F4D69"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Allemagne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10</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479 </w:t>
            </w:r>
          </w:p>
        </w:tc>
      </w:tr>
      <w:tr w:rsidR="000D7EFE" w:rsidRPr="001617A3" w:rsidTr="00357479">
        <w:trPr>
          <w:trHeight w:val="288"/>
        </w:trPr>
        <w:tc>
          <w:tcPr>
            <w:tcW w:w="3681" w:type="dxa"/>
            <w:shd w:val="clear" w:color="auto" w:fill="auto"/>
            <w:noWrap/>
            <w:vAlign w:val="bottom"/>
            <w:hideMark/>
          </w:tcPr>
          <w:p w:rsidR="007B48FF" w:rsidRPr="001617A3" w:rsidRDefault="001F4D69" w:rsidP="001F4D69">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Corée</w:t>
            </w:r>
            <w:r w:rsidR="007B48FF" w:rsidRPr="001617A3">
              <w:rPr>
                <w:rFonts w:eastAsia="Times New Roman" w:cs="Times New Roman"/>
                <w:color w:val="000000"/>
                <w:lang w:val="fr-FR" w:eastAsia="en-GB"/>
              </w:rPr>
              <w:t xml:space="preserve"> (R</w:t>
            </w:r>
            <w:r w:rsidRPr="001617A3">
              <w:rPr>
                <w:rFonts w:eastAsia="Times New Roman" w:cs="Times New Roman"/>
                <w:color w:val="000000"/>
                <w:lang w:val="fr-FR" w:eastAsia="en-GB"/>
              </w:rPr>
              <w:t>épublique de</w:t>
            </w:r>
            <w:r w:rsidR="007B48FF" w:rsidRPr="001617A3">
              <w:rPr>
                <w:rFonts w:eastAsia="Times New Roman" w:cs="Times New Roman"/>
                <w:color w:val="000000"/>
                <w:lang w:val="fr-FR" w:eastAsia="en-GB"/>
              </w:rPr>
              <w:t>)</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23</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883 </w:t>
            </w:r>
          </w:p>
        </w:tc>
      </w:tr>
      <w:tr w:rsidR="000D7EFE" w:rsidRPr="001617A3" w:rsidTr="00357479">
        <w:trPr>
          <w:trHeight w:val="288"/>
        </w:trPr>
        <w:tc>
          <w:tcPr>
            <w:tcW w:w="3681" w:type="dxa"/>
            <w:shd w:val="clear" w:color="auto" w:fill="auto"/>
            <w:noWrap/>
            <w:vAlign w:val="bottom"/>
            <w:hideMark/>
          </w:tcPr>
          <w:p w:rsidR="007B48FF" w:rsidRPr="001617A3" w:rsidRDefault="001F4D69"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Pays-Bas</w:t>
            </w:r>
            <w:r w:rsidR="00743E63" w:rsidRPr="001617A3">
              <w:rPr>
                <w:rFonts w:eastAsia="Times New Roman" w:cs="Times New Roman"/>
                <w:color w:val="000000"/>
                <w:lang w:val="fr-FR" w:eastAsia="en-GB"/>
              </w:rPr>
              <w:t>*</w:t>
            </w:r>
          </w:p>
        </w:tc>
        <w:tc>
          <w:tcPr>
            <w:tcW w:w="2551" w:type="dxa"/>
            <w:shd w:val="clear" w:color="auto" w:fill="auto"/>
            <w:noWrap/>
            <w:vAlign w:val="bottom"/>
            <w:hideMark/>
          </w:tcPr>
          <w:p w:rsidR="007B48FF" w:rsidRPr="001617A3" w:rsidRDefault="001F4D69"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7 </w:t>
            </w:r>
            <w:r w:rsidR="007B48FF" w:rsidRPr="001617A3">
              <w:rPr>
                <w:rFonts w:eastAsia="Times New Roman" w:cs="Times New Roman"/>
                <w:color w:val="000000"/>
                <w:lang w:val="fr-FR" w:eastAsia="en-GB"/>
              </w:rPr>
              <w:t xml:space="preserve">500 </w:t>
            </w:r>
          </w:p>
        </w:tc>
      </w:tr>
      <w:tr w:rsidR="000D7EFE" w:rsidRPr="001617A3" w:rsidTr="00357479">
        <w:trPr>
          <w:trHeight w:val="288"/>
        </w:trPr>
        <w:tc>
          <w:tcPr>
            <w:tcW w:w="3681" w:type="dxa"/>
            <w:shd w:val="clear" w:color="auto" w:fill="auto"/>
            <w:noWrap/>
            <w:vAlign w:val="bottom"/>
            <w:hideMark/>
          </w:tcPr>
          <w:p w:rsidR="007B48FF" w:rsidRPr="001617A3" w:rsidRDefault="001F4D69"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Norvège</w:t>
            </w:r>
          </w:p>
        </w:tc>
        <w:tc>
          <w:tcPr>
            <w:tcW w:w="2551" w:type="dxa"/>
            <w:shd w:val="clear" w:color="auto" w:fill="auto"/>
            <w:noWrap/>
            <w:vAlign w:val="bottom"/>
            <w:hideMark/>
          </w:tcPr>
          <w:p w:rsidR="007B48FF" w:rsidRPr="001617A3" w:rsidRDefault="00743E63"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63</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871</w:t>
            </w:r>
            <w:r w:rsidR="007B48FF" w:rsidRPr="001617A3">
              <w:rPr>
                <w:rFonts w:eastAsia="Times New Roman" w:cs="Times New Roman"/>
                <w:color w:val="000000"/>
                <w:lang w:val="fr-FR" w:eastAsia="en-GB"/>
              </w:rPr>
              <w:t xml:space="preserve"> </w:t>
            </w:r>
          </w:p>
        </w:tc>
      </w:tr>
      <w:tr w:rsidR="000D7EFE" w:rsidRPr="001617A3" w:rsidTr="00357479">
        <w:trPr>
          <w:trHeight w:val="288"/>
        </w:trPr>
        <w:tc>
          <w:tcPr>
            <w:tcW w:w="3681" w:type="dxa"/>
            <w:shd w:val="clear" w:color="auto" w:fill="auto"/>
            <w:noWrap/>
            <w:vAlign w:val="bottom"/>
            <w:hideMark/>
          </w:tcPr>
          <w:p w:rsidR="007B48FF" w:rsidRPr="001617A3" w:rsidRDefault="001F4D69"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Suède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55</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684 </w:t>
            </w:r>
          </w:p>
        </w:tc>
      </w:tr>
      <w:tr w:rsidR="000D7EFE" w:rsidRPr="001617A3" w:rsidTr="00357479">
        <w:trPr>
          <w:trHeight w:val="288"/>
        </w:trPr>
        <w:tc>
          <w:tcPr>
            <w:tcW w:w="3681" w:type="dxa"/>
            <w:shd w:val="clear" w:color="auto" w:fill="auto"/>
            <w:noWrap/>
            <w:vAlign w:val="bottom"/>
            <w:hideMark/>
          </w:tcPr>
          <w:p w:rsidR="007B48FF" w:rsidRPr="001617A3" w:rsidRDefault="001F4D69" w:rsidP="001F4D69">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Suisse</w:t>
            </w:r>
            <w:r w:rsidR="007B48FF"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délégués africains</w:t>
            </w:r>
            <w:r w:rsidR="007B48FF" w:rsidRPr="001617A3">
              <w:rPr>
                <w:rFonts w:eastAsia="Times New Roman" w:cs="Times New Roman"/>
                <w:color w:val="000000"/>
                <w:lang w:val="fr-FR" w:eastAsia="en-GB"/>
              </w:rPr>
              <w:t>)</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115</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000 </w:t>
            </w:r>
          </w:p>
        </w:tc>
      </w:tr>
      <w:tr w:rsidR="000D7EFE" w:rsidRPr="001617A3" w:rsidTr="00357479">
        <w:trPr>
          <w:trHeight w:val="288"/>
        </w:trPr>
        <w:tc>
          <w:tcPr>
            <w:tcW w:w="3681" w:type="dxa"/>
            <w:shd w:val="clear" w:color="auto" w:fill="auto"/>
            <w:noWrap/>
            <w:vAlign w:val="bottom"/>
            <w:hideMark/>
          </w:tcPr>
          <w:p w:rsidR="007B48FF" w:rsidRPr="001617A3" w:rsidRDefault="007B48FF"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 </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 </w:t>
            </w:r>
          </w:p>
        </w:tc>
      </w:tr>
      <w:tr w:rsidR="000D7EFE" w:rsidRPr="00CE77C3" w:rsidTr="00357479">
        <w:trPr>
          <w:trHeight w:val="288"/>
        </w:trPr>
        <w:tc>
          <w:tcPr>
            <w:tcW w:w="3681" w:type="dxa"/>
            <w:shd w:val="clear" w:color="auto" w:fill="auto"/>
            <w:noWrap/>
            <w:vAlign w:val="bottom"/>
            <w:hideMark/>
          </w:tcPr>
          <w:p w:rsidR="007B48FF" w:rsidRPr="001617A3" w:rsidRDefault="001F4D69" w:rsidP="001F4D69">
            <w:pPr>
              <w:spacing w:after="0" w:line="240" w:lineRule="auto"/>
              <w:ind w:left="313"/>
              <w:rPr>
                <w:rFonts w:eastAsia="Times New Roman" w:cs="Times New Roman"/>
                <w:b/>
                <w:bCs/>
                <w:color w:val="000000"/>
                <w:lang w:val="fr-FR" w:eastAsia="en-GB"/>
              </w:rPr>
            </w:pPr>
            <w:r w:rsidRPr="001617A3">
              <w:rPr>
                <w:rFonts w:eastAsia="Times New Roman" w:cs="Times New Roman"/>
                <w:b/>
                <w:bCs/>
                <w:color w:val="000000"/>
                <w:lang w:val="fr-FR" w:eastAsia="en-GB"/>
              </w:rPr>
              <w:t>Secrétariat</w:t>
            </w:r>
            <w:r w:rsidR="007B48FF" w:rsidRPr="001617A3">
              <w:rPr>
                <w:rFonts w:eastAsia="Times New Roman" w:cs="Times New Roman"/>
                <w:b/>
                <w:bCs/>
                <w:color w:val="000000"/>
                <w:lang w:val="fr-FR" w:eastAsia="en-GB"/>
              </w:rPr>
              <w:t xml:space="preserve">, </w:t>
            </w:r>
            <w:r w:rsidR="001617A3" w:rsidRPr="001617A3">
              <w:rPr>
                <w:rFonts w:eastAsia="Times New Roman" w:cs="Times New Roman"/>
                <w:b/>
                <w:bCs/>
                <w:color w:val="000000"/>
                <w:lang w:val="fr-FR" w:eastAsia="en-GB"/>
              </w:rPr>
              <w:t xml:space="preserve">fonds </w:t>
            </w:r>
            <w:r w:rsidRPr="001617A3">
              <w:rPr>
                <w:rFonts w:eastAsia="Times New Roman" w:cs="Times New Roman"/>
                <w:b/>
                <w:bCs/>
                <w:color w:val="000000"/>
                <w:lang w:val="fr-FR" w:eastAsia="en-GB"/>
              </w:rPr>
              <w:t>affecté</w:t>
            </w:r>
            <w:r w:rsidR="001617A3" w:rsidRPr="001617A3">
              <w:rPr>
                <w:rFonts w:eastAsia="Times New Roman" w:cs="Times New Roman"/>
                <w:b/>
                <w:bCs/>
                <w:color w:val="000000"/>
                <w:lang w:val="fr-FR" w:eastAsia="en-GB"/>
              </w:rPr>
              <w:t>s</w:t>
            </w:r>
            <w:r w:rsidRPr="001617A3">
              <w:rPr>
                <w:rFonts w:eastAsia="Times New Roman" w:cs="Times New Roman"/>
                <w:b/>
                <w:bCs/>
                <w:color w:val="000000"/>
                <w:lang w:val="fr-FR" w:eastAsia="en-GB"/>
              </w:rPr>
              <w:t xml:space="preserve"> au</w:t>
            </w:r>
            <w:r w:rsidR="001617A3" w:rsidRPr="001617A3">
              <w:rPr>
                <w:rFonts w:eastAsia="Times New Roman" w:cs="Times New Roman"/>
                <w:b/>
                <w:bCs/>
                <w:color w:val="000000"/>
                <w:lang w:val="fr-FR" w:eastAsia="en-GB"/>
              </w:rPr>
              <w:t>x</w:t>
            </w:r>
            <w:r w:rsidRPr="001617A3">
              <w:rPr>
                <w:rFonts w:eastAsia="Times New Roman" w:cs="Times New Roman"/>
                <w:b/>
                <w:bCs/>
                <w:color w:val="000000"/>
                <w:lang w:val="fr-FR" w:eastAsia="en-GB"/>
              </w:rPr>
              <w:t xml:space="preserve"> projet</w:t>
            </w:r>
            <w:r w:rsidR="001617A3" w:rsidRPr="001617A3">
              <w:rPr>
                <w:rFonts w:eastAsia="Times New Roman" w:cs="Times New Roman"/>
                <w:b/>
                <w:bCs/>
                <w:color w:val="000000"/>
                <w:lang w:val="fr-FR" w:eastAsia="en-GB"/>
              </w:rPr>
              <w:t>s</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 </w:t>
            </w:r>
          </w:p>
        </w:tc>
      </w:tr>
      <w:tr w:rsidR="000D7EFE" w:rsidRPr="001617A3" w:rsidTr="00357479">
        <w:trPr>
          <w:trHeight w:val="288"/>
        </w:trPr>
        <w:tc>
          <w:tcPr>
            <w:tcW w:w="3681" w:type="dxa"/>
            <w:shd w:val="clear" w:color="auto" w:fill="auto"/>
            <w:noWrap/>
            <w:vAlign w:val="bottom"/>
            <w:hideMark/>
          </w:tcPr>
          <w:p w:rsidR="007B48FF" w:rsidRPr="001617A3" w:rsidRDefault="00EE62D1"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China High Altitude</w:t>
            </w:r>
          </w:p>
        </w:tc>
        <w:tc>
          <w:tcPr>
            <w:tcW w:w="2551" w:type="dxa"/>
            <w:shd w:val="clear" w:color="auto" w:fill="auto"/>
            <w:noWrap/>
            <w:vAlign w:val="bottom"/>
            <w:hideMark/>
          </w:tcPr>
          <w:p w:rsidR="007B48FF" w:rsidRPr="001617A3" w:rsidRDefault="001F4D69"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3 </w:t>
            </w:r>
            <w:r w:rsidR="007B48FF" w:rsidRPr="001617A3">
              <w:rPr>
                <w:rFonts w:eastAsia="Times New Roman" w:cs="Times New Roman"/>
                <w:color w:val="000000"/>
                <w:lang w:val="fr-FR" w:eastAsia="en-GB"/>
              </w:rPr>
              <w:t xml:space="preserve">220 </w:t>
            </w:r>
          </w:p>
        </w:tc>
      </w:tr>
      <w:tr w:rsidR="000D7EFE" w:rsidRPr="001617A3" w:rsidTr="00357479">
        <w:trPr>
          <w:trHeight w:val="288"/>
        </w:trPr>
        <w:tc>
          <w:tcPr>
            <w:tcW w:w="3681" w:type="dxa"/>
            <w:shd w:val="clear" w:color="auto" w:fill="auto"/>
            <w:noWrap/>
            <w:vAlign w:val="bottom"/>
            <w:hideMark/>
          </w:tcPr>
          <w:p w:rsidR="007B48FF" w:rsidRPr="001617A3" w:rsidRDefault="004F7DF3" w:rsidP="004F7DF3">
            <w:pPr>
              <w:spacing w:after="0" w:line="240" w:lineRule="auto"/>
              <w:ind w:left="313"/>
              <w:rPr>
                <w:rFonts w:eastAsia="Times New Roman" w:cs="Times New Roman"/>
                <w:color w:val="000000"/>
                <w:lang w:val="fr-FR" w:eastAsia="en-GB"/>
              </w:rPr>
            </w:pPr>
            <w:r>
              <w:rPr>
                <w:rFonts w:eastAsia="Times New Roman" w:cs="Times New Roman"/>
                <w:color w:val="000000"/>
                <w:lang w:val="fr-FR" w:eastAsia="en-GB"/>
              </w:rPr>
              <w:t xml:space="preserve">Bureau régional du </w:t>
            </w:r>
            <w:r w:rsidR="001F4D69" w:rsidRPr="001617A3">
              <w:rPr>
                <w:rFonts w:eastAsia="Times New Roman" w:cs="Times New Roman"/>
                <w:color w:val="000000"/>
                <w:lang w:val="fr-FR" w:eastAsia="en-GB"/>
              </w:rPr>
              <w:t>PNUE</w:t>
            </w:r>
            <w:r>
              <w:rPr>
                <w:rFonts w:eastAsia="Times New Roman" w:cs="Times New Roman"/>
                <w:color w:val="000000"/>
                <w:lang w:val="fr-FR" w:eastAsia="en-GB"/>
              </w:rPr>
              <w:t xml:space="preserve"> en Asie occidentale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19</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771 </w:t>
            </w:r>
          </w:p>
        </w:tc>
      </w:tr>
      <w:tr w:rsidR="000D7EFE" w:rsidRPr="001617A3" w:rsidTr="00357479">
        <w:trPr>
          <w:trHeight w:val="288"/>
        </w:trPr>
        <w:tc>
          <w:tcPr>
            <w:tcW w:w="3681" w:type="dxa"/>
            <w:shd w:val="clear" w:color="auto" w:fill="auto"/>
            <w:noWrap/>
            <w:vAlign w:val="bottom"/>
            <w:hideMark/>
          </w:tcPr>
          <w:p w:rsidR="007B48FF" w:rsidRPr="001617A3" w:rsidRDefault="007B48FF"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Surplus</w:t>
            </w:r>
            <w:r w:rsidR="001F4D69" w:rsidRPr="001617A3">
              <w:rPr>
                <w:rFonts w:eastAsia="Times New Roman" w:cs="Times New Roman"/>
                <w:color w:val="000000"/>
                <w:lang w:val="fr-FR" w:eastAsia="en-GB"/>
              </w:rPr>
              <w:t xml:space="preserve"> RM européen</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31</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442 </w:t>
            </w:r>
          </w:p>
        </w:tc>
      </w:tr>
      <w:tr w:rsidR="000D7EFE" w:rsidRPr="001617A3" w:rsidTr="00357479">
        <w:trPr>
          <w:trHeight w:val="300"/>
        </w:trPr>
        <w:tc>
          <w:tcPr>
            <w:tcW w:w="3681" w:type="dxa"/>
            <w:shd w:val="clear" w:color="auto" w:fill="auto"/>
            <w:noWrap/>
            <w:vAlign w:val="bottom"/>
            <w:hideMark/>
          </w:tcPr>
          <w:p w:rsidR="007B48FF" w:rsidRPr="001617A3" w:rsidRDefault="007B48FF" w:rsidP="009D7055">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 </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 </w:t>
            </w:r>
          </w:p>
        </w:tc>
      </w:tr>
      <w:tr w:rsidR="000D7EFE" w:rsidRPr="001617A3" w:rsidTr="00357479">
        <w:trPr>
          <w:trHeight w:val="288"/>
        </w:trPr>
        <w:tc>
          <w:tcPr>
            <w:tcW w:w="3681" w:type="dxa"/>
            <w:shd w:val="clear" w:color="auto" w:fill="auto"/>
            <w:noWrap/>
            <w:vAlign w:val="bottom"/>
            <w:hideMark/>
          </w:tcPr>
          <w:p w:rsidR="007B48FF" w:rsidRPr="001617A3" w:rsidRDefault="007B48FF" w:rsidP="001F4D69">
            <w:pPr>
              <w:spacing w:after="0" w:line="240" w:lineRule="auto"/>
              <w:ind w:left="313"/>
              <w:rPr>
                <w:rFonts w:eastAsia="Times New Roman" w:cs="Times New Roman"/>
                <w:b/>
                <w:bCs/>
                <w:color w:val="000000"/>
                <w:lang w:val="fr-FR" w:eastAsia="en-GB"/>
              </w:rPr>
            </w:pPr>
            <w:r w:rsidRPr="001617A3">
              <w:rPr>
                <w:rFonts w:eastAsia="Times New Roman" w:cs="Times New Roman"/>
                <w:b/>
                <w:bCs/>
                <w:color w:val="000000"/>
                <w:lang w:val="fr-FR" w:eastAsia="en-GB"/>
              </w:rPr>
              <w:t>S</w:t>
            </w:r>
            <w:r w:rsidR="001F4D69" w:rsidRPr="001617A3">
              <w:rPr>
                <w:rFonts w:eastAsia="Times New Roman" w:cs="Times New Roman"/>
                <w:b/>
                <w:bCs/>
                <w:color w:val="000000"/>
                <w:lang w:val="fr-FR" w:eastAsia="en-GB"/>
              </w:rPr>
              <w:t>ous-total</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b/>
                <w:bCs/>
                <w:color w:val="000000"/>
                <w:lang w:val="fr-FR" w:eastAsia="en-GB"/>
              </w:rPr>
            </w:pPr>
            <w:r w:rsidRPr="001617A3">
              <w:rPr>
                <w:rFonts w:eastAsia="Times New Roman" w:cs="Times New Roman"/>
                <w:b/>
                <w:bCs/>
                <w:color w:val="000000"/>
                <w:lang w:val="fr-FR" w:eastAsia="en-GB"/>
              </w:rPr>
              <w:t>443</w:t>
            </w:r>
            <w:r w:rsidR="001F4D69" w:rsidRPr="001617A3">
              <w:rPr>
                <w:rFonts w:eastAsia="Times New Roman" w:cs="Times New Roman"/>
                <w:b/>
                <w:bCs/>
                <w:color w:val="000000"/>
                <w:lang w:val="fr-FR" w:eastAsia="en-GB"/>
              </w:rPr>
              <w:t xml:space="preserve"> </w:t>
            </w:r>
            <w:r w:rsidRPr="001617A3">
              <w:rPr>
                <w:rFonts w:eastAsia="Times New Roman" w:cs="Times New Roman"/>
                <w:b/>
                <w:bCs/>
                <w:color w:val="000000"/>
                <w:lang w:val="fr-FR" w:eastAsia="en-GB"/>
              </w:rPr>
              <w:t xml:space="preserve">434 </w:t>
            </w:r>
          </w:p>
        </w:tc>
      </w:tr>
      <w:tr w:rsidR="000D7EFE" w:rsidRPr="001617A3" w:rsidTr="00357479">
        <w:trPr>
          <w:trHeight w:val="300"/>
        </w:trPr>
        <w:tc>
          <w:tcPr>
            <w:tcW w:w="3681" w:type="dxa"/>
            <w:shd w:val="clear" w:color="auto" w:fill="auto"/>
            <w:noWrap/>
            <w:vAlign w:val="bottom"/>
            <w:hideMark/>
          </w:tcPr>
          <w:p w:rsidR="007B48FF" w:rsidRPr="001617A3" w:rsidRDefault="001F4D69" w:rsidP="001F4D69">
            <w:pPr>
              <w:spacing w:after="0" w:line="240" w:lineRule="auto"/>
              <w:ind w:left="313"/>
              <w:rPr>
                <w:rFonts w:eastAsia="Times New Roman" w:cs="Times New Roman"/>
                <w:color w:val="000000"/>
                <w:lang w:val="fr-FR" w:eastAsia="en-GB"/>
              </w:rPr>
            </w:pPr>
            <w:r w:rsidRPr="001617A3">
              <w:rPr>
                <w:rFonts w:eastAsia="Times New Roman" w:cs="Times New Roman"/>
                <w:color w:val="000000"/>
                <w:lang w:val="fr-FR" w:eastAsia="en-GB"/>
              </w:rPr>
              <w:t>Fonds de réserve</w:t>
            </w:r>
          </w:p>
        </w:tc>
        <w:tc>
          <w:tcPr>
            <w:tcW w:w="2551" w:type="dxa"/>
            <w:shd w:val="clear" w:color="auto" w:fill="auto"/>
            <w:noWrap/>
            <w:vAlign w:val="bottom"/>
            <w:hideMark/>
          </w:tcPr>
          <w:p w:rsidR="007B48FF" w:rsidRPr="001617A3" w:rsidRDefault="007B48FF" w:rsidP="009D7055">
            <w:pPr>
              <w:spacing w:after="0" w:line="240" w:lineRule="auto"/>
              <w:ind w:left="313"/>
              <w:jc w:val="right"/>
              <w:rPr>
                <w:rFonts w:eastAsia="Times New Roman" w:cs="Times New Roman"/>
                <w:color w:val="000000"/>
                <w:lang w:val="fr-FR" w:eastAsia="en-GB"/>
              </w:rPr>
            </w:pPr>
            <w:r w:rsidRPr="001617A3">
              <w:rPr>
                <w:rFonts w:eastAsia="Times New Roman" w:cs="Times New Roman"/>
                <w:color w:val="000000"/>
                <w:lang w:val="fr-FR" w:eastAsia="en-GB"/>
              </w:rPr>
              <w:t>115</w:t>
            </w:r>
            <w:r w:rsidR="001F4D69" w:rsidRPr="001617A3">
              <w:rPr>
                <w:rFonts w:eastAsia="Times New Roman" w:cs="Times New Roman"/>
                <w:color w:val="000000"/>
                <w:lang w:val="fr-FR" w:eastAsia="en-GB"/>
              </w:rPr>
              <w:t xml:space="preserve"> </w:t>
            </w:r>
            <w:r w:rsidRPr="001617A3">
              <w:rPr>
                <w:rFonts w:eastAsia="Times New Roman" w:cs="Times New Roman"/>
                <w:color w:val="000000"/>
                <w:lang w:val="fr-FR" w:eastAsia="en-GB"/>
              </w:rPr>
              <w:t xml:space="preserve">000 </w:t>
            </w:r>
          </w:p>
        </w:tc>
      </w:tr>
      <w:tr w:rsidR="000D7EFE" w:rsidRPr="001617A3" w:rsidTr="00357479">
        <w:trPr>
          <w:trHeight w:val="300"/>
        </w:trPr>
        <w:tc>
          <w:tcPr>
            <w:tcW w:w="3681" w:type="dxa"/>
            <w:shd w:val="clear" w:color="auto" w:fill="C4BC96" w:themeFill="background2" w:themeFillShade="BF"/>
            <w:noWrap/>
            <w:vAlign w:val="bottom"/>
            <w:hideMark/>
          </w:tcPr>
          <w:p w:rsidR="007B48FF" w:rsidRPr="001617A3" w:rsidRDefault="007B48FF" w:rsidP="009D7055">
            <w:pPr>
              <w:spacing w:after="0" w:line="240" w:lineRule="auto"/>
              <w:ind w:left="313"/>
              <w:rPr>
                <w:rFonts w:eastAsia="Times New Roman" w:cs="Times New Roman"/>
                <w:b/>
                <w:bCs/>
                <w:color w:val="000000"/>
                <w:lang w:val="fr-FR" w:eastAsia="en-GB"/>
              </w:rPr>
            </w:pPr>
            <w:r w:rsidRPr="001617A3">
              <w:rPr>
                <w:rFonts w:eastAsia="Times New Roman" w:cs="Times New Roman"/>
                <w:b/>
                <w:bCs/>
                <w:color w:val="000000"/>
                <w:lang w:val="fr-FR" w:eastAsia="en-GB"/>
              </w:rPr>
              <w:t>Total</w:t>
            </w:r>
          </w:p>
        </w:tc>
        <w:tc>
          <w:tcPr>
            <w:tcW w:w="2551" w:type="dxa"/>
            <w:shd w:val="clear" w:color="auto" w:fill="C4BC96" w:themeFill="background2" w:themeFillShade="BF"/>
            <w:noWrap/>
            <w:vAlign w:val="bottom"/>
            <w:hideMark/>
          </w:tcPr>
          <w:p w:rsidR="007B48FF" w:rsidRPr="001617A3" w:rsidRDefault="007B48FF" w:rsidP="009D7055">
            <w:pPr>
              <w:spacing w:after="0" w:line="240" w:lineRule="auto"/>
              <w:ind w:left="313"/>
              <w:jc w:val="right"/>
              <w:rPr>
                <w:rFonts w:eastAsia="Times New Roman" w:cs="Times New Roman"/>
                <w:b/>
                <w:bCs/>
                <w:color w:val="000000"/>
                <w:lang w:val="fr-FR" w:eastAsia="en-GB"/>
              </w:rPr>
            </w:pPr>
            <w:r w:rsidRPr="001617A3">
              <w:rPr>
                <w:rFonts w:eastAsia="Times New Roman" w:cs="Times New Roman"/>
                <w:b/>
                <w:bCs/>
                <w:color w:val="000000"/>
                <w:lang w:val="fr-FR" w:eastAsia="en-GB"/>
              </w:rPr>
              <w:t>558</w:t>
            </w:r>
            <w:r w:rsidR="001F4D69" w:rsidRPr="001617A3">
              <w:rPr>
                <w:rFonts w:eastAsia="Times New Roman" w:cs="Times New Roman"/>
                <w:b/>
                <w:bCs/>
                <w:color w:val="000000"/>
                <w:lang w:val="fr-FR" w:eastAsia="en-GB"/>
              </w:rPr>
              <w:t xml:space="preserve"> </w:t>
            </w:r>
            <w:r w:rsidRPr="001617A3">
              <w:rPr>
                <w:rFonts w:eastAsia="Times New Roman" w:cs="Times New Roman"/>
                <w:b/>
                <w:bCs/>
                <w:color w:val="000000"/>
                <w:lang w:val="fr-FR" w:eastAsia="en-GB"/>
              </w:rPr>
              <w:t xml:space="preserve">434 </w:t>
            </w:r>
          </w:p>
        </w:tc>
      </w:tr>
    </w:tbl>
    <w:p w:rsidR="009D7055" w:rsidRPr="001617A3" w:rsidRDefault="009D7055" w:rsidP="00F12261">
      <w:pPr>
        <w:spacing w:after="0" w:line="240" w:lineRule="auto"/>
        <w:rPr>
          <w:rFonts w:cs="Times New Roman"/>
          <w:b/>
          <w:lang w:val="fr-FR"/>
        </w:rPr>
      </w:pPr>
    </w:p>
    <w:p w:rsidR="009D7055" w:rsidRPr="001617A3" w:rsidRDefault="009D7055" w:rsidP="00F12261">
      <w:pPr>
        <w:spacing w:after="0" w:line="240" w:lineRule="auto"/>
        <w:rPr>
          <w:rFonts w:cs="Times New Roman"/>
          <w:b/>
          <w:lang w:val="fr-FR"/>
        </w:rPr>
      </w:pPr>
    </w:p>
    <w:p w:rsidR="00BF6CAD" w:rsidRPr="001617A3" w:rsidRDefault="00B30109" w:rsidP="005A1ECC">
      <w:pPr>
        <w:pStyle w:val="ListParagraph"/>
        <w:numPr>
          <w:ilvl w:val="0"/>
          <w:numId w:val="13"/>
        </w:numPr>
        <w:spacing w:after="0" w:line="240" w:lineRule="auto"/>
        <w:ind w:left="426" w:hanging="426"/>
        <w:rPr>
          <w:rFonts w:cs="Times New Roman"/>
          <w:lang w:val="fr-FR"/>
        </w:rPr>
      </w:pPr>
      <w:r w:rsidRPr="001617A3">
        <w:rPr>
          <w:rFonts w:cs="Times New Roman"/>
          <w:lang w:val="fr-FR"/>
        </w:rPr>
        <w:t>La contribution du Fonds de réserve</w:t>
      </w:r>
      <w:r w:rsidR="001617A3" w:rsidRPr="001617A3">
        <w:rPr>
          <w:rFonts w:cs="Times New Roman"/>
          <w:lang w:val="fr-FR"/>
        </w:rPr>
        <w:t xml:space="preserve">, à hauteur </w:t>
      </w:r>
      <w:r w:rsidRPr="001617A3">
        <w:rPr>
          <w:rFonts w:cs="Times New Roman"/>
          <w:lang w:val="fr-FR"/>
        </w:rPr>
        <w:t xml:space="preserve">de </w:t>
      </w:r>
      <w:r w:rsidR="00273480" w:rsidRPr="001617A3">
        <w:rPr>
          <w:rFonts w:cs="Times New Roman"/>
          <w:lang w:val="fr-FR"/>
        </w:rPr>
        <w:t>115</w:t>
      </w:r>
      <w:r w:rsidRPr="001617A3">
        <w:rPr>
          <w:rFonts w:cs="Times New Roman"/>
          <w:lang w:val="fr-FR"/>
        </w:rPr>
        <w:t> </w:t>
      </w:r>
      <w:r w:rsidR="00273480" w:rsidRPr="001617A3">
        <w:rPr>
          <w:rFonts w:cs="Times New Roman"/>
          <w:lang w:val="fr-FR"/>
        </w:rPr>
        <w:t>000</w:t>
      </w:r>
      <w:r w:rsidRPr="001617A3">
        <w:rPr>
          <w:rFonts w:cs="Times New Roman"/>
          <w:lang w:val="fr-FR"/>
        </w:rPr>
        <w:t> CHF</w:t>
      </w:r>
      <w:r w:rsidR="001617A3" w:rsidRPr="001617A3">
        <w:rPr>
          <w:rFonts w:cs="Times New Roman"/>
          <w:lang w:val="fr-FR"/>
        </w:rPr>
        <w:t>,</w:t>
      </w:r>
      <w:r w:rsidRPr="001617A3">
        <w:rPr>
          <w:rFonts w:cs="Times New Roman"/>
          <w:lang w:val="fr-FR"/>
        </w:rPr>
        <w:t xml:space="preserve"> a été essentielle pour parrainer les délégués pour la COP12 et le Fonds de réserve doit maintenant être reconstitué à son niveau habituel. En conséquence, les efforts se poursuivent pour combler le déficit. Une lettre du Secrétaire général a été envoyée le 16 juillet 2015 afin de lancer </w:t>
      </w:r>
      <w:r w:rsidR="00CB0E63" w:rsidRPr="001617A3">
        <w:rPr>
          <w:rFonts w:cs="Times New Roman"/>
          <w:lang w:val="fr-FR"/>
        </w:rPr>
        <w:t xml:space="preserve">cette recherche (voir annexe 1). </w:t>
      </w:r>
      <w:r w:rsidR="00273480" w:rsidRPr="001617A3">
        <w:rPr>
          <w:rFonts w:cs="Times New Roman"/>
          <w:lang w:val="fr-FR"/>
        </w:rPr>
        <w:t xml:space="preserve"> </w:t>
      </w:r>
    </w:p>
    <w:p w:rsidR="00BF6CAD" w:rsidRPr="001617A3" w:rsidRDefault="00BF6CAD" w:rsidP="005A1ECC">
      <w:pPr>
        <w:pStyle w:val="ListParagraph"/>
        <w:spacing w:after="0" w:line="240" w:lineRule="auto"/>
        <w:ind w:left="426" w:hanging="426"/>
        <w:rPr>
          <w:rFonts w:cs="Times New Roman"/>
          <w:lang w:val="fr-FR"/>
        </w:rPr>
      </w:pPr>
    </w:p>
    <w:p w:rsidR="00BF6CAD" w:rsidRPr="001617A3" w:rsidRDefault="00CB0E63" w:rsidP="005A1ECC">
      <w:pPr>
        <w:pStyle w:val="ListParagraph"/>
        <w:numPr>
          <w:ilvl w:val="0"/>
          <w:numId w:val="13"/>
        </w:numPr>
        <w:spacing w:after="0" w:line="240" w:lineRule="auto"/>
        <w:ind w:left="426" w:hanging="426"/>
        <w:rPr>
          <w:rFonts w:cs="Times New Roman"/>
          <w:lang w:val="fr-FR"/>
        </w:rPr>
      </w:pPr>
      <w:r w:rsidRPr="001617A3">
        <w:rPr>
          <w:rFonts w:cs="Times New Roman"/>
          <w:lang w:val="fr-FR"/>
        </w:rPr>
        <w:t>Comme suivi à la lettre de juillet du Secrétaire général, les Conseillers régionaux principaux et le Chef des partenariats soulèveront proactivement la question d</w:t>
      </w:r>
      <w:r w:rsidR="001617A3" w:rsidRPr="001617A3">
        <w:rPr>
          <w:rFonts w:cs="Times New Roman"/>
          <w:lang w:val="fr-FR"/>
        </w:rPr>
        <w:t>’un</w:t>
      </w:r>
      <w:r w:rsidRPr="001617A3">
        <w:rPr>
          <w:rFonts w:cs="Times New Roman"/>
          <w:lang w:val="fr-FR"/>
        </w:rPr>
        <w:t xml:space="preserve"> financement additionnel dans leur</w:t>
      </w:r>
      <w:r w:rsidR="00416444" w:rsidRPr="001617A3">
        <w:rPr>
          <w:rFonts w:cs="Times New Roman"/>
          <w:lang w:val="fr-FR"/>
        </w:rPr>
        <w:t>s</w:t>
      </w:r>
      <w:r w:rsidRPr="001617A3">
        <w:rPr>
          <w:rFonts w:cs="Times New Roman"/>
          <w:lang w:val="fr-FR"/>
        </w:rPr>
        <w:t xml:space="preserve"> contact</w:t>
      </w:r>
      <w:r w:rsidR="00416444" w:rsidRPr="001617A3">
        <w:rPr>
          <w:rFonts w:cs="Times New Roman"/>
          <w:lang w:val="fr-FR"/>
        </w:rPr>
        <w:t>s</w:t>
      </w:r>
      <w:r w:rsidRPr="001617A3">
        <w:rPr>
          <w:rFonts w:cs="Times New Roman"/>
          <w:lang w:val="fr-FR"/>
        </w:rPr>
        <w:t xml:space="preserve"> avec les Parties contractantes.</w:t>
      </w:r>
    </w:p>
    <w:p w:rsidR="00EB7BF5" w:rsidRPr="001617A3" w:rsidRDefault="00EB7BF5" w:rsidP="005A1ECC">
      <w:pPr>
        <w:pStyle w:val="ListParagraph"/>
        <w:spacing w:after="0" w:line="240" w:lineRule="auto"/>
        <w:ind w:left="426" w:hanging="426"/>
        <w:rPr>
          <w:rFonts w:cs="Times New Roman"/>
          <w:lang w:val="fr-FR"/>
        </w:rPr>
      </w:pPr>
    </w:p>
    <w:p w:rsidR="00BF6CAD" w:rsidRPr="001617A3" w:rsidRDefault="00CB0E63" w:rsidP="00F12261">
      <w:pPr>
        <w:pStyle w:val="ListParagraph"/>
        <w:numPr>
          <w:ilvl w:val="0"/>
          <w:numId w:val="13"/>
        </w:numPr>
        <w:spacing w:after="0" w:line="240" w:lineRule="auto"/>
        <w:ind w:left="426" w:hanging="426"/>
        <w:rPr>
          <w:rFonts w:cs="Times New Roman"/>
          <w:lang w:val="fr-FR"/>
        </w:rPr>
      </w:pPr>
      <w:r w:rsidRPr="001617A3">
        <w:rPr>
          <w:rFonts w:cs="Times New Roman"/>
          <w:lang w:val="fr-FR"/>
        </w:rPr>
        <w:t xml:space="preserve">Les Pays-Bas se sont aussi engagés à </w:t>
      </w:r>
      <w:r w:rsidR="001617A3">
        <w:rPr>
          <w:rFonts w:cs="Times New Roman"/>
          <w:lang w:val="fr-FR"/>
        </w:rPr>
        <w:t>verser</w:t>
      </w:r>
      <w:r w:rsidRPr="001617A3">
        <w:rPr>
          <w:rFonts w:cs="Times New Roman"/>
          <w:lang w:val="fr-FR"/>
        </w:rPr>
        <w:t xml:space="preserve"> </w:t>
      </w:r>
      <w:r w:rsidR="00EB7BF5" w:rsidRPr="001617A3">
        <w:rPr>
          <w:rFonts w:cs="Times New Roman"/>
          <w:lang w:val="fr-FR"/>
        </w:rPr>
        <w:t>7500</w:t>
      </w:r>
      <w:r w:rsidRPr="001617A3">
        <w:rPr>
          <w:rFonts w:cs="Times New Roman"/>
          <w:lang w:val="fr-FR"/>
        </w:rPr>
        <w:t> CHF</w:t>
      </w:r>
      <w:r w:rsidR="00EB7BF5" w:rsidRPr="001617A3">
        <w:rPr>
          <w:rFonts w:cs="Times New Roman"/>
          <w:lang w:val="fr-FR"/>
        </w:rPr>
        <w:t xml:space="preserve"> </w:t>
      </w:r>
      <w:r w:rsidR="00F53CED" w:rsidRPr="001617A3">
        <w:rPr>
          <w:rFonts w:cs="Times New Roman"/>
          <w:lang w:val="fr-FR"/>
        </w:rPr>
        <w:t>(</w:t>
      </w:r>
      <w:r w:rsidRPr="001617A3">
        <w:rPr>
          <w:rFonts w:cs="Times New Roman"/>
          <w:lang w:val="fr-FR"/>
        </w:rPr>
        <w:t>* également inclus dans le tableau ci</w:t>
      </w:r>
      <w:r w:rsidRPr="001617A3">
        <w:rPr>
          <w:rFonts w:cs="Times New Roman"/>
          <w:lang w:val="fr-FR"/>
        </w:rPr>
        <w:noBreakHyphen/>
        <w:t xml:space="preserve">dessus) et le Gouvernement du Canada a officiellement confirmé par écrit qu’aucun financement additionnel ne serait </w:t>
      </w:r>
      <w:r w:rsidR="001617A3">
        <w:rPr>
          <w:rFonts w:cs="Times New Roman"/>
          <w:lang w:val="fr-FR"/>
        </w:rPr>
        <w:t>apporté</w:t>
      </w:r>
      <w:r w:rsidRPr="001617A3">
        <w:rPr>
          <w:rFonts w:cs="Times New Roman"/>
          <w:lang w:val="fr-FR"/>
        </w:rPr>
        <w:t xml:space="preserve">. </w:t>
      </w:r>
      <w:r w:rsidR="00BF6CAD" w:rsidRPr="001617A3">
        <w:rPr>
          <w:rFonts w:cs="Times New Roman"/>
          <w:lang w:val="fr-FR"/>
        </w:rPr>
        <w:br w:type="page"/>
      </w:r>
    </w:p>
    <w:p w:rsidR="00410869" w:rsidRPr="001617A3" w:rsidRDefault="00BF6CAD" w:rsidP="00F12261">
      <w:pPr>
        <w:spacing w:after="0" w:line="240" w:lineRule="auto"/>
        <w:rPr>
          <w:rFonts w:cs="Times New Roman"/>
          <w:b/>
          <w:sz w:val="24"/>
          <w:szCs w:val="24"/>
          <w:lang w:val="fr-FR"/>
        </w:rPr>
      </w:pPr>
      <w:r w:rsidRPr="001617A3">
        <w:rPr>
          <w:rFonts w:cs="Times New Roman"/>
          <w:b/>
          <w:sz w:val="24"/>
          <w:szCs w:val="24"/>
          <w:lang w:val="fr-FR"/>
        </w:rPr>
        <w:lastRenderedPageBreak/>
        <w:t>A</w:t>
      </w:r>
      <w:r w:rsidR="005A1ECC" w:rsidRPr="001617A3">
        <w:rPr>
          <w:rFonts w:cs="Times New Roman"/>
          <w:b/>
          <w:sz w:val="24"/>
          <w:szCs w:val="24"/>
          <w:lang w:val="fr-FR"/>
        </w:rPr>
        <w:t>nnex</w:t>
      </w:r>
      <w:r w:rsidR="00CB0E63" w:rsidRPr="001617A3">
        <w:rPr>
          <w:rFonts w:cs="Times New Roman"/>
          <w:b/>
          <w:sz w:val="24"/>
          <w:szCs w:val="24"/>
          <w:lang w:val="fr-FR"/>
        </w:rPr>
        <w:t>e</w:t>
      </w:r>
      <w:r w:rsidR="005A1ECC" w:rsidRPr="001617A3">
        <w:rPr>
          <w:rFonts w:cs="Times New Roman"/>
          <w:b/>
          <w:sz w:val="24"/>
          <w:szCs w:val="24"/>
          <w:lang w:val="fr-FR"/>
        </w:rPr>
        <w:t xml:space="preserve"> </w:t>
      </w:r>
      <w:r w:rsidR="000D7EFE" w:rsidRPr="001617A3">
        <w:rPr>
          <w:rFonts w:cs="Times New Roman"/>
          <w:b/>
          <w:sz w:val="24"/>
          <w:szCs w:val="24"/>
          <w:lang w:val="fr-FR"/>
        </w:rPr>
        <w:t>1</w:t>
      </w:r>
    </w:p>
    <w:p w:rsidR="009D7055" w:rsidRPr="001617A3" w:rsidRDefault="009D7055" w:rsidP="00F12261">
      <w:pPr>
        <w:spacing w:after="0" w:line="240" w:lineRule="auto"/>
        <w:rPr>
          <w:rFonts w:cs="Times New Roman"/>
          <w:b/>
          <w:sz w:val="24"/>
          <w:szCs w:val="24"/>
          <w:lang w:val="fr-FR"/>
        </w:rPr>
      </w:pPr>
    </w:p>
    <w:p w:rsidR="005A1ECC" w:rsidRPr="001617A3" w:rsidRDefault="000D7EFE" w:rsidP="00F12261">
      <w:pPr>
        <w:spacing w:after="0" w:line="240" w:lineRule="auto"/>
        <w:rPr>
          <w:rFonts w:cs="Times New Roman"/>
          <w:b/>
          <w:sz w:val="24"/>
          <w:szCs w:val="24"/>
          <w:lang w:val="fr-FR"/>
        </w:rPr>
      </w:pPr>
      <w:r w:rsidRPr="001617A3">
        <w:rPr>
          <w:rFonts w:cs="Times New Roman"/>
          <w:b/>
          <w:sz w:val="24"/>
          <w:szCs w:val="24"/>
          <w:lang w:val="fr-FR"/>
        </w:rPr>
        <w:t>Lett</w:t>
      </w:r>
      <w:r w:rsidR="00CB0E63" w:rsidRPr="001617A3">
        <w:rPr>
          <w:rFonts w:cs="Times New Roman"/>
          <w:b/>
          <w:sz w:val="24"/>
          <w:szCs w:val="24"/>
          <w:lang w:val="fr-FR"/>
        </w:rPr>
        <w:t>re du Secrétaire général, juillet</w:t>
      </w:r>
      <w:r w:rsidRPr="001617A3">
        <w:rPr>
          <w:rFonts w:cs="Times New Roman"/>
          <w:b/>
          <w:sz w:val="24"/>
          <w:szCs w:val="24"/>
          <w:lang w:val="fr-FR"/>
        </w:rPr>
        <w:t xml:space="preserve"> 2015</w:t>
      </w:r>
    </w:p>
    <w:p w:rsidR="009D7055" w:rsidRDefault="009D7055" w:rsidP="00F12261">
      <w:pPr>
        <w:spacing w:after="0" w:line="240" w:lineRule="auto"/>
        <w:jc w:val="center"/>
        <w:rPr>
          <w:rFonts w:cstheme="minorHAnsi"/>
          <w:lang w:val="fr-FR"/>
        </w:rPr>
      </w:pPr>
    </w:p>
    <w:p w:rsidR="00CE77C3" w:rsidRPr="001617A3" w:rsidRDefault="00CE77C3" w:rsidP="00F12261">
      <w:pPr>
        <w:spacing w:after="0" w:line="240" w:lineRule="auto"/>
        <w:jc w:val="center"/>
        <w:rPr>
          <w:rFonts w:cstheme="minorHAnsi"/>
          <w:lang w:val="fr-FR"/>
        </w:rPr>
      </w:pPr>
    </w:p>
    <w:p w:rsidR="003B5401" w:rsidRPr="001617A3" w:rsidRDefault="00CB0E63" w:rsidP="00F12261">
      <w:pPr>
        <w:spacing w:after="0" w:line="240" w:lineRule="auto"/>
        <w:jc w:val="center"/>
        <w:rPr>
          <w:rFonts w:cstheme="minorHAnsi"/>
          <w:lang w:val="fr-FR"/>
        </w:rPr>
      </w:pPr>
      <w:r w:rsidRPr="001617A3">
        <w:rPr>
          <w:rFonts w:cstheme="minorHAnsi"/>
          <w:lang w:val="fr-FR"/>
        </w:rPr>
        <w:t>Du Secrétaire général</w:t>
      </w:r>
    </w:p>
    <w:p w:rsidR="009D7055" w:rsidRPr="001617A3" w:rsidRDefault="009D7055" w:rsidP="00F12261">
      <w:pPr>
        <w:spacing w:after="0" w:line="240" w:lineRule="auto"/>
        <w:rPr>
          <w:rFonts w:cstheme="minorHAnsi"/>
          <w:lang w:val="fr-FR"/>
        </w:rPr>
      </w:pPr>
    </w:p>
    <w:p w:rsidR="009D7055" w:rsidRPr="001617A3" w:rsidRDefault="009D7055" w:rsidP="00F12261">
      <w:pPr>
        <w:spacing w:after="0" w:line="240" w:lineRule="auto"/>
        <w:rPr>
          <w:rFonts w:cstheme="minorHAnsi"/>
          <w:lang w:val="fr-FR"/>
        </w:rPr>
      </w:pPr>
    </w:p>
    <w:p w:rsidR="003B5401" w:rsidRPr="001617A3" w:rsidRDefault="003B5401" w:rsidP="00F12261">
      <w:pPr>
        <w:spacing w:after="0" w:line="240" w:lineRule="auto"/>
        <w:rPr>
          <w:rFonts w:cstheme="minorHAnsi"/>
          <w:lang w:val="fr-FR"/>
        </w:rPr>
      </w:pPr>
      <w:r w:rsidRPr="001617A3">
        <w:rPr>
          <w:rFonts w:cstheme="minorHAnsi"/>
          <w:lang w:val="fr-FR"/>
        </w:rPr>
        <w:t xml:space="preserve">Gland, 16 </w:t>
      </w:r>
      <w:r w:rsidR="00CB0E63" w:rsidRPr="001617A3">
        <w:rPr>
          <w:rFonts w:cstheme="minorHAnsi"/>
          <w:lang w:val="fr-FR"/>
        </w:rPr>
        <w:t>juillet</w:t>
      </w:r>
      <w:r w:rsidRPr="001617A3">
        <w:rPr>
          <w:rFonts w:cstheme="minorHAnsi"/>
          <w:lang w:val="fr-FR"/>
        </w:rPr>
        <w:t xml:space="preserve"> 2015</w:t>
      </w:r>
    </w:p>
    <w:p w:rsidR="003B5401" w:rsidRPr="001617A3" w:rsidRDefault="003B5401" w:rsidP="00F12261">
      <w:pPr>
        <w:spacing w:after="0" w:line="240" w:lineRule="auto"/>
        <w:rPr>
          <w:rFonts w:cstheme="minorHAnsi"/>
          <w:sz w:val="18"/>
          <w:szCs w:val="18"/>
          <w:lang w:val="fr-FR"/>
        </w:rPr>
      </w:pPr>
      <w:r w:rsidRPr="001617A3">
        <w:rPr>
          <w:rFonts w:cstheme="minorHAnsi"/>
          <w:sz w:val="18"/>
          <w:szCs w:val="18"/>
          <w:lang w:val="fr-FR"/>
        </w:rPr>
        <w:t>SG2015-224/CHB/CHP/deb</w:t>
      </w:r>
    </w:p>
    <w:p w:rsidR="00F12261" w:rsidRPr="001617A3" w:rsidRDefault="00F12261" w:rsidP="009D7055">
      <w:pPr>
        <w:spacing w:after="0" w:line="240" w:lineRule="auto"/>
        <w:ind w:right="-448"/>
        <w:rPr>
          <w:rFonts w:ascii="Calibri" w:hAnsi="Calibri" w:cs="Arial"/>
          <w:b/>
          <w:lang w:val="fr-FR"/>
        </w:rPr>
      </w:pPr>
    </w:p>
    <w:p w:rsidR="003B5401" w:rsidRPr="001617A3" w:rsidRDefault="00CB0E63" w:rsidP="009D7055">
      <w:pPr>
        <w:spacing w:after="0" w:line="240" w:lineRule="auto"/>
        <w:ind w:right="-448"/>
        <w:rPr>
          <w:rFonts w:ascii="Calibri" w:hAnsi="Calibri" w:cs="Arial"/>
          <w:b/>
          <w:lang w:val="fr-FR"/>
        </w:rPr>
      </w:pPr>
      <w:r w:rsidRPr="001617A3">
        <w:rPr>
          <w:rFonts w:ascii="Calibri" w:hAnsi="Calibri" w:cs="Arial"/>
          <w:b/>
          <w:lang w:val="fr-FR"/>
        </w:rPr>
        <w:t>Objet </w:t>
      </w:r>
      <w:r w:rsidR="003B5401" w:rsidRPr="001617A3">
        <w:rPr>
          <w:rFonts w:ascii="Calibri" w:hAnsi="Calibri" w:cs="Arial"/>
          <w:b/>
          <w:lang w:val="fr-FR"/>
        </w:rPr>
        <w:t>:</w:t>
      </w:r>
      <w:r w:rsidR="005A1ECC" w:rsidRPr="001617A3">
        <w:rPr>
          <w:rFonts w:ascii="Calibri" w:hAnsi="Calibri" w:cs="Arial"/>
          <w:b/>
          <w:lang w:val="fr-FR"/>
        </w:rPr>
        <w:t xml:space="preserve"> </w:t>
      </w:r>
      <w:r w:rsidRPr="001617A3">
        <w:rPr>
          <w:rFonts w:ascii="Calibri" w:hAnsi="Calibri" w:cs="Arial"/>
          <w:b/>
          <w:lang w:val="fr-FR"/>
        </w:rPr>
        <w:t xml:space="preserve">Poursuite des efforts d’appel de fonds pour les délégués parrainés </w:t>
      </w:r>
      <w:r w:rsidR="001617A3">
        <w:rPr>
          <w:rFonts w:ascii="Calibri" w:hAnsi="Calibri" w:cs="Arial"/>
          <w:b/>
          <w:lang w:val="fr-FR"/>
        </w:rPr>
        <w:t>pour</w:t>
      </w:r>
      <w:r w:rsidRPr="001617A3">
        <w:rPr>
          <w:rFonts w:ascii="Calibri" w:hAnsi="Calibri" w:cs="Arial"/>
          <w:b/>
          <w:lang w:val="fr-FR"/>
        </w:rPr>
        <w:t xml:space="preserve"> la </w:t>
      </w:r>
      <w:r w:rsidR="003B5401" w:rsidRPr="001617A3">
        <w:rPr>
          <w:rFonts w:ascii="Calibri" w:hAnsi="Calibri" w:cs="Arial"/>
          <w:b/>
          <w:lang w:val="fr-FR"/>
        </w:rPr>
        <w:t xml:space="preserve">COP 12 </w:t>
      </w:r>
      <w:r w:rsidRPr="001617A3">
        <w:rPr>
          <w:rFonts w:ascii="Calibri" w:hAnsi="Calibri" w:cs="Arial"/>
          <w:b/>
          <w:lang w:val="fr-FR"/>
        </w:rPr>
        <w:t>de la Convention de Ramsar</w:t>
      </w:r>
    </w:p>
    <w:p w:rsidR="00F12261" w:rsidRPr="001617A3" w:rsidRDefault="00F12261" w:rsidP="009D7055">
      <w:pPr>
        <w:spacing w:after="0" w:line="240" w:lineRule="auto"/>
        <w:ind w:right="-448"/>
        <w:rPr>
          <w:rFonts w:ascii="Calibri" w:hAnsi="Calibri" w:cs="Arial"/>
          <w:lang w:val="fr-FR"/>
        </w:rPr>
      </w:pPr>
    </w:p>
    <w:p w:rsidR="003B5401" w:rsidRPr="001617A3" w:rsidRDefault="00CB0E63" w:rsidP="009D7055">
      <w:pPr>
        <w:spacing w:after="0" w:line="240" w:lineRule="auto"/>
        <w:ind w:right="-448"/>
        <w:rPr>
          <w:rFonts w:ascii="Calibri" w:hAnsi="Calibri" w:cs="Arial"/>
          <w:lang w:val="fr-FR"/>
        </w:rPr>
      </w:pPr>
      <w:r w:rsidRPr="001617A3">
        <w:rPr>
          <w:rFonts w:ascii="Calibri" w:hAnsi="Calibri" w:cs="Arial"/>
          <w:lang w:val="fr-FR"/>
        </w:rPr>
        <w:t xml:space="preserve">Chères Parties contractantes, </w:t>
      </w:r>
    </w:p>
    <w:p w:rsidR="00F12261" w:rsidRPr="001617A3" w:rsidRDefault="00F12261" w:rsidP="009D7055">
      <w:pPr>
        <w:spacing w:after="0" w:line="240" w:lineRule="auto"/>
        <w:ind w:right="-448"/>
        <w:rPr>
          <w:rFonts w:ascii="Calibri" w:hAnsi="Calibri" w:cs="Arial"/>
          <w:lang w:val="fr-FR"/>
        </w:rPr>
      </w:pPr>
    </w:p>
    <w:p w:rsidR="003B5401" w:rsidRPr="001617A3" w:rsidRDefault="00A611B4" w:rsidP="009D7055">
      <w:pPr>
        <w:spacing w:after="0" w:line="240" w:lineRule="auto"/>
        <w:ind w:right="-448"/>
        <w:rPr>
          <w:rFonts w:ascii="Calibri" w:hAnsi="Calibri" w:cs="Arial"/>
          <w:lang w:val="fr-FR"/>
        </w:rPr>
      </w:pPr>
      <w:r w:rsidRPr="001617A3">
        <w:rPr>
          <w:rFonts w:ascii="Calibri" w:hAnsi="Calibri" w:cs="Arial"/>
          <w:lang w:val="fr-FR"/>
        </w:rPr>
        <w:t xml:space="preserve">Nous sommes extrêmement reconnaissants aux Parties contractantes généreuses qui ont déjà fourni un appui financier pour couvrir les coûts de la présence de délégués parrainés à la COP12, en particulier les délégués qui ont tant bénéficié de vos contributions précieuses à la COP. Toutefois, il reste un déficit de </w:t>
      </w:r>
      <w:r w:rsidR="003B5401" w:rsidRPr="001617A3">
        <w:rPr>
          <w:rFonts w:ascii="Calibri" w:hAnsi="Calibri" w:cs="Arial"/>
          <w:lang w:val="fr-FR"/>
        </w:rPr>
        <w:t>115</w:t>
      </w:r>
      <w:r w:rsidRPr="001617A3">
        <w:rPr>
          <w:rFonts w:ascii="Calibri" w:hAnsi="Calibri" w:cs="Arial"/>
          <w:lang w:val="fr-FR"/>
        </w:rPr>
        <w:t> </w:t>
      </w:r>
      <w:r w:rsidR="003B5401" w:rsidRPr="001617A3">
        <w:rPr>
          <w:rFonts w:ascii="Calibri" w:hAnsi="Calibri" w:cs="Arial"/>
          <w:lang w:val="fr-FR"/>
        </w:rPr>
        <w:t>000</w:t>
      </w:r>
      <w:r w:rsidRPr="001617A3">
        <w:rPr>
          <w:rFonts w:ascii="Calibri" w:hAnsi="Calibri" w:cs="Arial"/>
          <w:lang w:val="fr-FR"/>
        </w:rPr>
        <w:t> CHF entre les coûts inscrits au budget et utilisés et les fonds obtenus à ce jour. Nous souhaitons vous demander votre appui pour aider à combler ce déficit. Cette demande émane du Secrétariat, au nom des Parties, et répond directement au souhait de la 50</w:t>
      </w:r>
      <w:r w:rsidRPr="001617A3">
        <w:rPr>
          <w:rFonts w:ascii="Calibri" w:hAnsi="Calibri" w:cs="Arial"/>
          <w:vertAlign w:val="superscript"/>
          <w:lang w:val="fr-FR"/>
        </w:rPr>
        <w:t>e</w:t>
      </w:r>
      <w:r w:rsidRPr="001617A3">
        <w:rPr>
          <w:rFonts w:ascii="Calibri" w:hAnsi="Calibri" w:cs="Arial"/>
          <w:lang w:val="fr-FR"/>
        </w:rPr>
        <w:t xml:space="preserve"> Réunion du Comité permanent de voir que les efforts d’appels de fonds pour les délégués parrainés ne diminuent pas ni ne se réduisent après la COP12 mais se poursuivent jusqu’à ce que le déficit soit comblé. </w:t>
      </w:r>
    </w:p>
    <w:p w:rsidR="00F12261" w:rsidRPr="001617A3" w:rsidRDefault="00F12261" w:rsidP="009D7055">
      <w:pPr>
        <w:spacing w:after="0" w:line="240" w:lineRule="auto"/>
        <w:ind w:right="-448"/>
        <w:rPr>
          <w:rFonts w:ascii="Calibri" w:hAnsi="Calibri" w:cs="Arial"/>
          <w:lang w:val="fr-FR"/>
        </w:rPr>
      </w:pPr>
    </w:p>
    <w:p w:rsidR="003B5401" w:rsidRPr="001617A3" w:rsidRDefault="00A611B4" w:rsidP="009D7055">
      <w:pPr>
        <w:spacing w:after="0" w:line="240" w:lineRule="auto"/>
        <w:ind w:right="-448"/>
        <w:rPr>
          <w:rFonts w:ascii="Calibri" w:hAnsi="Calibri" w:cs="Arial"/>
          <w:lang w:val="fr-FR"/>
        </w:rPr>
      </w:pPr>
      <w:r w:rsidRPr="001617A3">
        <w:rPr>
          <w:rFonts w:ascii="Calibri" w:hAnsi="Calibri" w:cs="Arial"/>
          <w:lang w:val="fr-FR"/>
        </w:rPr>
        <w:t xml:space="preserve">En conséquence, pourriez-vous me faire savoir s’il </w:t>
      </w:r>
      <w:r w:rsidR="001617A3">
        <w:rPr>
          <w:rFonts w:ascii="Calibri" w:hAnsi="Calibri" w:cs="Arial"/>
          <w:lang w:val="fr-FR"/>
        </w:rPr>
        <w:t>serait possible</w:t>
      </w:r>
      <w:r w:rsidRPr="001617A3">
        <w:rPr>
          <w:rFonts w:ascii="Calibri" w:hAnsi="Calibri" w:cs="Arial"/>
          <w:lang w:val="fr-FR"/>
        </w:rPr>
        <w:t xml:space="preserve"> que votre gouvernement : </w:t>
      </w:r>
    </w:p>
    <w:p w:rsidR="009D7055" w:rsidRPr="001617A3" w:rsidRDefault="009D7055" w:rsidP="009D7055">
      <w:pPr>
        <w:spacing w:after="0" w:line="240" w:lineRule="auto"/>
        <w:ind w:right="-448"/>
        <w:rPr>
          <w:rFonts w:ascii="Calibri" w:hAnsi="Calibri" w:cs="Arial"/>
          <w:lang w:val="fr-FR"/>
        </w:rPr>
      </w:pPr>
    </w:p>
    <w:p w:rsidR="003B5401" w:rsidRPr="001617A3" w:rsidRDefault="00A611B4" w:rsidP="009D7055">
      <w:pPr>
        <w:pStyle w:val="ListParagraph"/>
        <w:numPr>
          <w:ilvl w:val="0"/>
          <w:numId w:val="27"/>
        </w:numPr>
        <w:spacing w:after="0" w:line="240" w:lineRule="auto"/>
        <w:ind w:left="426" w:right="-448" w:hanging="426"/>
        <w:rPr>
          <w:rFonts w:ascii="Calibri" w:hAnsi="Calibri" w:cs="Arial"/>
          <w:lang w:val="fr-FR"/>
        </w:rPr>
      </w:pPr>
      <w:r w:rsidRPr="001617A3">
        <w:rPr>
          <w:rFonts w:ascii="Calibri" w:hAnsi="Calibri" w:cs="Arial"/>
          <w:lang w:val="fr-FR"/>
        </w:rPr>
        <w:t xml:space="preserve">augmente le niveau d’engagement financier au-delà de votre engagement actuel;  </w:t>
      </w:r>
    </w:p>
    <w:p w:rsidR="003B5401" w:rsidRPr="001617A3" w:rsidRDefault="00A611B4" w:rsidP="009D7055">
      <w:pPr>
        <w:pStyle w:val="ListParagraph"/>
        <w:numPr>
          <w:ilvl w:val="0"/>
          <w:numId w:val="27"/>
        </w:numPr>
        <w:spacing w:after="0" w:line="240" w:lineRule="auto"/>
        <w:ind w:left="426" w:right="-448" w:hanging="426"/>
        <w:rPr>
          <w:rFonts w:ascii="Calibri" w:hAnsi="Calibri" w:cs="Arial"/>
          <w:lang w:val="fr-FR"/>
        </w:rPr>
      </w:pPr>
      <w:r w:rsidRPr="001617A3">
        <w:rPr>
          <w:rFonts w:ascii="Calibri" w:hAnsi="Calibri" w:cs="Arial"/>
          <w:lang w:val="fr-FR"/>
        </w:rPr>
        <w:t xml:space="preserve">étudie la possibilité d’un financement sur d’autres budgets qui pourraient maintenant être disponibles; ou </w:t>
      </w:r>
    </w:p>
    <w:p w:rsidR="003B5401" w:rsidRPr="001617A3" w:rsidRDefault="00A611B4" w:rsidP="009D7055">
      <w:pPr>
        <w:pStyle w:val="ListParagraph"/>
        <w:numPr>
          <w:ilvl w:val="0"/>
          <w:numId w:val="27"/>
        </w:numPr>
        <w:spacing w:after="0" w:line="240" w:lineRule="auto"/>
        <w:ind w:left="426" w:right="-448" w:hanging="426"/>
        <w:rPr>
          <w:rFonts w:ascii="Calibri" w:hAnsi="Calibri" w:cs="Arial"/>
          <w:lang w:val="fr-FR"/>
        </w:rPr>
      </w:pPr>
      <w:r w:rsidRPr="001617A3">
        <w:rPr>
          <w:rFonts w:ascii="Calibri" w:hAnsi="Calibri" w:cs="Arial"/>
          <w:lang w:val="fr-FR"/>
        </w:rPr>
        <w:t xml:space="preserve">recherche pour la première fois d’autres sources possibles d’appui </w:t>
      </w:r>
      <w:r w:rsidR="00757BCE">
        <w:rPr>
          <w:rFonts w:ascii="Calibri" w:hAnsi="Calibri" w:cs="Arial"/>
          <w:lang w:val="fr-FR"/>
        </w:rPr>
        <w:t>pouvant</w:t>
      </w:r>
      <w:r w:rsidRPr="001617A3">
        <w:rPr>
          <w:rFonts w:ascii="Calibri" w:hAnsi="Calibri" w:cs="Arial"/>
          <w:lang w:val="fr-FR"/>
        </w:rPr>
        <w:t xml:space="preserve"> être disponibles. </w:t>
      </w:r>
    </w:p>
    <w:p w:rsidR="00611FEA" w:rsidRPr="001617A3" w:rsidRDefault="00611FEA" w:rsidP="009D7055">
      <w:pPr>
        <w:spacing w:after="0" w:line="240" w:lineRule="auto"/>
        <w:ind w:right="-448"/>
        <w:rPr>
          <w:rFonts w:ascii="Calibri" w:hAnsi="Calibri" w:cs="Arial"/>
          <w:lang w:val="fr-FR"/>
        </w:rPr>
      </w:pPr>
    </w:p>
    <w:p w:rsidR="003B5401" w:rsidRPr="001617A3" w:rsidRDefault="00A611B4" w:rsidP="009D7055">
      <w:pPr>
        <w:spacing w:after="0" w:line="240" w:lineRule="auto"/>
        <w:ind w:right="-448"/>
        <w:rPr>
          <w:rFonts w:ascii="Calibri" w:hAnsi="Calibri" w:cs="Arial"/>
          <w:lang w:val="fr-FR"/>
        </w:rPr>
      </w:pPr>
      <w:r w:rsidRPr="001617A3">
        <w:rPr>
          <w:rFonts w:ascii="Calibri" w:hAnsi="Calibri" w:cs="Arial"/>
          <w:lang w:val="fr-FR"/>
        </w:rPr>
        <w:t xml:space="preserve">Le Secrétariat a étudié avec certains bailleurs de fonds non gouvernementaux la possibilité qu’ils nous fournissent des fonds mais cette approche n’a pour l’instant pas été positivement reçue. Nous avons aussi recherché des fonds auprès d’organisations internationales et d’organisations des Nations Unies telles que le Programme des Nations Unies pour l’environnement et le </w:t>
      </w:r>
      <w:r w:rsidR="003B5401" w:rsidRPr="001617A3">
        <w:rPr>
          <w:rFonts w:ascii="Calibri" w:hAnsi="Calibri" w:cs="Arial"/>
          <w:lang w:val="fr-FR"/>
        </w:rPr>
        <w:t xml:space="preserve">Commonwealth, </w:t>
      </w:r>
      <w:r w:rsidRPr="001617A3">
        <w:rPr>
          <w:rFonts w:ascii="Calibri" w:hAnsi="Calibri" w:cs="Arial"/>
          <w:lang w:val="fr-FR"/>
        </w:rPr>
        <w:t xml:space="preserve">mais une fois encore nous avons été informés qu’il n’y a pas de fonds disponibles </w:t>
      </w:r>
      <w:r w:rsidR="00757BCE">
        <w:rPr>
          <w:rFonts w:ascii="Calibri" w:hAnsi="Calibri" w:cs="Arial"/>
          <w:lang w:val="fr-FR"/>
        </w:rPr>
        <w:t>à cet effet</w:t>
      </w:r>
      <w:r w:rsidRPr="001617A3">
        <w:rPr>
          <w:rFonts w:ascii="Calibri" w:hAnsi="Calibri" w:cs="Arial"/>
          <w:lang w:val="fr-FR"/>
        </w:rPr>
        <w:t xml:space="preserve">. </w:t>
      </w:r>
    </w:p>
    <w:p w:rsidR="00F12261" w:rsidRPr="001617A3" w:rsidRDefault="00F12261" w:rsidP="009D7055">
      <w:pPr>
        <w:spacing w:after="0" w:line="240" w:lineRule="auto"/>
        <w:ind w:right="-448"/>
        <w:rPr>
          <w:rFonts w:ascii="Calibri" w:hAnsi="Calibri" w:cs="Arial"/>
          <w:lang w:val="fr-FR"/>
        </w:rPr>
      </w:pPr>
    </w:p>
    <w:p w:rsidR="003B5401" w:rsidRPr="001617A3" w:rsidRDefault="00A611B4" w:rsidP="009D7055">
      <w:pPr>
        <w:spacing w:after="0" w:line="240" w:lineRule="auto"/>
        <w:ind w:right="-448"/>
        <w:rPr>
          <w:rFonts w:ascii="Calibri" w:hAnsi="Calibri" w:cs="Arial"/>
          <w:lang w:val="fr-FR"/>
        </w:rPr>
      </w:pPr>
      <w:r w:rsidRPr="001617A3">
        <w:rPr>
          <w:rFonts w:ascii="Calibri" w:hAnsi="Calibri" w:cs="Arial"/>
          <w:lang w:val="fr-FR"/>
        </w:rPr>
        <w:t xml:space="preserve">En conséquence, nous </w:t>
      </w:r>
      <w:r w:rsidR="00757BCE">
        <w:rPr>
          <w:rFonts w:ascii="Calibri" w:hAnsi="Calibri" w:cs="Arial"/>
          <w:lang w:val="fr-FR"/>
        </w:rPr>
        <w:t>voulons croire</w:t>
      </w:r>
      <w:r w:rsidRPr="001617A3">
        <w:rPr>
          <w:rFonts w:ascii="Calibri" w:hAnsi="Calibri" w:cs="Arial"/>
          <w:lang w:val="fr-FR"/>
        </w:rPr>
        <w:t xml:space="preserve"> qu’il reste une bonne possibilité que les Parties contract</w:t>
      </w:r>
      <w:r w:rsidR="00757BCE">
        <w:rPr>
          <w:rFonts w:ascii="Calibri" w:hAnsi="Calibri" w:cs="Arial"/>
          <w:lang w:val="fr-FR"/>
        </w:rPr>
        <w:t>antes à la Convention étudient d</w:t>
      </w:r>
      <w:r w:rsidRPr="001617A3">
        <w:rPr>
          <w:rFonts w:ascii="Calibri" w:hAnsi="Calibri" w:cs="Arial"/>
          <w:lang w:val="fr-FR"/>
        </w:rPr>
        <w:t>es options qui pourraient être à leur disposition même s’il s’agit de petites sommes. À titre de référence, et au cas où cela serait utile à vos propres efforts de communi</w:t>
      </w:r>
      <w:r w:rsidR="00757BCE">
        <w:rPr>
          <w:rFonts w:ascii="Calibri" w:hAnsi="Calibri" w:cs="Arial"/>
          <w:lang w:val="fr-FR"/>
        </w:rPr>
        <w:t>cation</w:t>
      </w:r>
      <w:r w:rsidRPr="001617A3">
        <w:rPr>
          <w:rFonts w:ascii="Calibri" w:hAnsi="Calibri" w:cs="Arial"/>
          <w:lang w:val="fr-FR"/>
        </w:rPr>
        <w:t xml:space="preserve"> avec des collègues ou d’autres organisations, vous trouverez ci-joint la lettre originale qui a été envoyée en 2014 à toutes les Parties contractantes et qui leur explique les besoins, ainsi que la liste de toutes les Parties et autres organisations qui ont déjà fait une contribution ainsi que le niveau d’appui fourni. </w:t>
      </w:r>
    </w:p>
    <w:p w:rsidR="00F12261" w:rsidRPr="001617A3" w:rsidRDefault="00F12261" w:rsidP="009D7055">
      <w:pPr>
        <w:spacing w:after="0" w:line="240" w:lineRule="auto"/>
        <w:ind w:right="-448"/>
        <w:rPr>
          <w:rFonts w:ascii="Calibri" w:hAnsi="Calibri" w:cs="Arial"/>
          <w:lang w:val="fr-FR"/>
        </w:rPr>
      </w:pPr>
    </w:p>
    <w:p w:rsidR="003B5401" w:rsidRPr="001617A3" w:rsidRDefault="00A611B4" w:rsidP="009D7055">
      <w:pPr>
        <w:spacing w:after="0" w:line="240" w:lineRule="auto"/>
        <w:ind w:right="-448"/>
        <w:rPr>
          <w:rFonts w:ascii="Calibri" w:hAnsi="Calibri" w:cs="Arial"/>
          <w:lang w:val="fr-FR"/>
        </w:rPr>
      </w:pPr>
      <w:r w:rsidRPr="001617A3">
        <w:rPr>
          <w:rFonts w:ascii="Calibri" w:hAnsi="Calibri" w:cs="Arial"/>
          <w:lang w:val="fr-FR"/>
        </w:rPr>
        <w:t xml:space="preserve">Merci d’avance </w:t>
      </w:r>
      <w:r w:rsidR="00757BCE">
        <w:rPr>
          <w:rFonts w:ascii="Calibri" w:hAnsi="Calibri" w:cs="Arial"/>
          <w:lang w:val="fr-FR"/>
        </w:rPr>
        <w:t>de bien vouloir accorder votre attention à</w:t>
      </w:r>
      <w:r w:rsidRPr="001617A3">
        <w:rPr>
          <w:rFonts w:ascii="Calibri" w:hAnsi="Calibri" w:cs="Arial"/>
          <w:lang w:val="fr-FR"/>
        </w:rPr>
        <w:t xml:space="preserve"> cette demande, </w:t>
      </w:r>
    </w:p>
    <w:p w:rsidR="00F12261" w:rsidRPr="001617A3" w:rsidRDefault="00F12261" w:rsidP="009D7055">
      <w:pPr>
        <w:spacing w:after="0" w:line="240" w:lineRule="auto"/>
        <w:ind w:right="-448"/>
        <w:rPr>
          <w:rFonts w:ascii="Calibri" w:hAnsi="Calibri" w:cs="Arial"/>
          <w:lang w:val="fr-FR"/>
        </w:rPr>
      </w:pPr>
    </w:p>
    <w:p w:rsidR="003B5401" w:rsidRPr="001617A3" w:rsidRDefault="00A611B4" w:rsidP="009D7055">
      <w:pPr>
        <w:spacing w:after="0" w:line="240" w:lineRule="auto"/>
        <w:ind w:right="-448"/>
        <w:rPr>
          <w:rFonts w:cstheme="minorHAnsi"/>
          <w:lang w:val="fr-FR"/>
        </w:rPr>
      </w:pPr>
      <w:r w:rsidRPr="001617A3">
        <w:rPr>
          <w:rFonts w:cstheme="minorHAnsi"/>
          <w:lang w:val="fr-FR"/>
        </w:rPr>
        <w:t>Cordialement</w:t>
      </w:r>
      <w:r w:rsidR="003B5401" w:rsidRPr="001617A3">
        <w:rPr>
          <w:rFonts w:cstheme="minorHAnsi"/>
          <w:lang w:val="fr-FR"/>
        </w:rPr>
        <w:t>,</w:t>
      </w:r>
    </w:p>
    <w:p w:rsidR="003B5401" w:rsidRPr="001617A3" w:rsidRDefault="003B5401" w:rsidP="009D7055">
      <w:pPr>
        <w:spacing w:after="0" w:line="240" w:lineRule="auto"/>
        <w:ind w:right="-448"/>
        <w:rPr>
          <w:rFonts w:cstheme="minorHAnsi"/>
          <w:lang w:val="fr-FR"/>
        </w:rPr>
      </w:pPr>
      <w:r w:rsidRPr="001617A3">
        <w:rPr>
          <w:noProof/>
          <w:lang w:eastAsia="en-GB"/>
        </w:rPr>
        <w:lastRenderedPageBreak/>
        <w:drawing>
          <wp:inline distT="0" distB="0" distL="0" distR="0" wp14:anchorId="5A745004" wp14:editId="3B2E8218">
            <wp:extent cx="792480" cy="762000"/>
            <wp:effectExtent l="0" t="0" r="7620" b="0"/>
            <wp:docPr id="1" name="Picture 1" descr="cid:image004.jpg@01D0A9C1.64758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A9C1.647584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92480" cy="762000"/>
                    </a:xfrm>
                    <a:prstGeom prst="rect">
                      <a:avLst/>
                    </a:prstGeom>
                    <a:noFill/>
                    <a:ln>
                      <a:noFill/>
                    </a:ln>
                  </pic:spPr>
                </pic:pic>
              </a:graphicData>
            </a:graphic>
          </wp:inline>
        </w:drawing>
      </w:r>
    </w:p>
    <w:p w:rsidR="003B5401" w:rsidRPr="001617A3" w:rsidRDefault="003B5401" w:rsidP="009D7055">
      <w:pPr>
        <w:ind w:right="-448"/>
        <w:rPr>
          <w:rFonts w:cstheme="minorHAnsi"/>
          <w:lang w:val="fr-FR"/>
        </w:rPr>
      </w:pPr>
      <w:r w:rsidRPr="001617A3">
        <w:rPr>
          <w:rFonts w:cstheme="minorHAnsi"/>
          <w:lang w:val="fr-FR"/>
        </w:rPr>
        <w:t>Christopher Briggs</w:t>
      </w:r>
    </w:p>
    <w:sectPr w:rsidR="003B5401" w:rsidRPr="001617A3" w:rsidSect="00CE77C3">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12" w:rsidRDefault="00877C12" w:rsidP="005A1ECC">
      <w:pPr>
        <w:spacing w:after="0" w:line="240" w:lineRule="auto"/>
      </w:pPr>
      <w:r>
        <w:separator/>
      </w:r>
    </w:p>
  </w:endnote>
  <w:endnote w:type="continuationSeparator" w:id="0">
    <w:p w:rsidR="00877C12" w:rsidRDefault="00877C12" w:rsidP="005A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C3" w:rsidRDefault="00CE77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946664"/>
      <w:docPartObj>
        <w:docPartGallery w:val="Page Numbers (Bottom of Page)"/>
        <w:docPartUnique/>
      </w:docPartObj>
    </w:sdtPr>
    <w:sdtEndPr/>
    <w:sdtContent>
      <w:p w:rsidR="005A1ECC" w:rsidRPr="005A1ECC" w:rsidRDefault="005A1ECC" w:rsidP="005A1ECC">
        <w:pPr>
          <w:pStyle w:val="Footer"/>
          <w:tabs>
            <w:tab w:val="clear" w:pos="4513"/>
            <w:tab w:val="clear" w:pos="9026"/>
            <w:tab w:val="right" w:pos="9072"/>
          </w:tabs>
          <w:rPr>
            <w:sz w:val="20"/>
            <w:szCs w:val="20"/>
          </w:rPr>
        </w:pPr>
        <w:r>
          <w:rPr>
            <w:sz w:val="20"/>
            <w:szCs w:val="20"/>
          </w:rPr>
          <w:t>SC51-</w:t>
        </w:r>
        <w:r w:rsidR="00CE77C3">
          <w:rPr>
            <w:sz w:val="20"/>
            <w:szCs w:val="20"/>
          </w:rPr>
          <w:t>20</w:t>
        </w:r>
        <w:r>
          <w:rPr>
            <w:sz w:val="20"/>
            <w:szCs w:val="20"/>
          </w:rPr>
          <w:tab/>
        </w:r>
        <w:r w:rsidRPr="00FD503E">
          <w:rPr>
            <w:sz w:val="20"/>
            <w:szCs w:val="20"/>
          </w:rPr>
          <w:fldChar w:fldCharType="begin"/>
        </w:r>
        <w:r w:rsidRPr="00FD503E">
          <w:rPr>
            <w:sz w:val="20"/>
            <w:szCs w:val="20"/>
          </w:rPr>
          <w:instrText xml:space="preserve"> PAGE   \* MERGEFORMAT </w:instrText>
        </w:r>
        <w:r w:rsidRPr="00FD503E">
          <w:rPr>
            <w:sz w:val="20"/>
            <w:szCs w:val="20"/>
          </w:rPr>
          <w:fldChar w:fldCharType="separate"/>
        </w:r>
        <w:r w:rsidR="00CE77C3">
          <w:rPr>
            <w:noProof/>
            <w:sz w:val="20"/>
            <w:szCs w:val="20"/>
          </w:rPr>
          <w:t>3</w:t>
        </w:r>
        <w:r w:rsidRPr="00FD503E">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C3" w:rsidRDefault="00CE77C3">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12" w:rsidRDefault="00877C12" w:rsidP="005A1ECC">
      <w:pPr>
        <w:spacing w:after="0" w:line="240" w:lineRule="auto"/>
      </w:pPr>
      <w:r>
        <w:separator/>
      </w:r>
    </w:p>
  </w:footnote>
  <w:footnote w:type="continuationSeparator" w:id="0">
    <w:p w:rsidR="00877C12" w:rsidRDefault="00877C12" w:rsidP="005A1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C3" w:rsidRDefault="00CE7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C3" w:rsidRDefault="00CE77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C3" w:rsidRDefault="00CE7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81F"/>
    <w:multiLevelType w:val="hybridMultilevel"/>
    <w:tmpl w:val="9B8CE818"/>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05FF8"/>
    <w:multiLevelType w:val="hybridMultilevel"/>
    <w:tmpl w:val="00D2DF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517EB7"/>
    <w:multiLevelType w:val="hybridMultilevel"/>
    <w:tmpl w:val="1CE2909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F5E19"/>
    <w:multiLevelType w:val="hybridMultilevel"/>
    <w:tmpl w:val="1658B578"/>
    <w:lvl w:ilvl="0" w:tplc="148A6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926FA6"/>
    <w:multiLevelType w:val="hybridMultilevel"/>
    <w:tmpl w:val="E146D9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2D186A"/>
    <w:multiLevelType w:val="hybridMultilevel"/>
    <w:tmpl w:val="AB94ED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22287F57"/>
    <w:multiLevelType w:val="hybridMultilevel"/>
    <w:tmpl w:val="B202ABF2"/>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8F2981"/>
    <w:multiLevelType w:val="hybridMultilevel"/>
    <w:tmpl w:val="C806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1537FE"/>
    <w:multiLevelType w:val="hybridMultilevel"/>
    <w:tmpl w:val="865E2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C25EF6"/>
    <w:multiLevelType w:val="hybridMultilevel"/>
    <w:tmpl w:val="5CC8E3BA"/>
    <w:lvl w:ilvl="0" w:tplc="BB484214">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C628E"/>
    <w:multiLevelType w:val="hybridMultilevel"/>
    <w:tmpl w:val="52169E0C"/>
    <w:lvl w:ilvl="0" w:tplc="14CAD4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7E15C1"/>
    <w:multiLevelType w:val="hybridMultilevel"/>
    <w:tmpl w:val="28A0CE36"/>
    <w:lvl w:ilvl="0" w:tplc="D1FAF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5F2E24"/>
    <w:multiLevelType w:val="hybridMultilevel"/>
    <w:tmpl w:val="BEC621DA"/>
    <w:lvl w:ilvl="0" w:tplc="14CAD4DA">
      <w:start w:val="1"/>
      <w:numFmt w:val="upp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D451B2"/>
    <w:multiLevelType w:val="hybridMultilevel"/>
    <w:tmpl w:val="B40809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45ED4A54"/>
    <w:multiLevelType w:val="hybridMultilevel"/>
    <w:tmpl w:val="864EC862"/>
    <w:lvl w:ilvl="0" w:tplc="344CAC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0168BA"/>
    <w:multiLevelType w:val="hybridMultilevel"/>
    <w:tmpl w:val="7EB6B1B8"/>
    <w:lvl w:ilvl="0" w:tplc="1284BF96">
      <w:start w:val="1"/>
      <w:numFmt w:val="upperRoman"/>
      <w:lvlText w:val="%1.)"/>
      <w:lvlJc w:val="left"/>
      <w:pPr>
        <w:ind w:left="1800" w:hanging="72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9F87B38"/>
    <w:multiLevelType w:val="hybridMultilevel"/>
    <w:tmpl w:val="EB14F2F0"/>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E87780"/>
    <w:multiLevelType w:val="hybridMultilevel"/>
    <w:tmpl w:val="4F724BD0"/>
    <w:lvl w:ilvl="0" w:tplc="B81C82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A037B39"/>
    <w:multiLevelType w:val="hybridMultilevel"/>
    <w:tmpl w:val="12883A2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CB01331"/>
    <w:multiLevelType w:val="hybridMultilevel"/>
    <w:tmpl w:val="C668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CD5BFD"/>
    <w:multiLevelType w:val="hybridMultilevel"/>
    <w:tmpl w:val="A69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1F7D56"/>
    <w:multiLevelType w:val="hybridMultilevel"/>
    <w:tmpl w:val="1EFADF3E"/>
    <w:lvl w:ilvl="0" w:tplc="14CAD4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9A62C6"/>
    <w:multiLevelType w:val="hybridMultilevel"/>
    <w:tmpl w:val="6BBA30AE"/>
    <w:lvl w:ilvl="0" w:tplc="08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7B05B5"/>
    <w:multiLevelType w:val="hybridMultilevel"/>
    <w:tmpl w:val="4C467B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5927013"/>
    <w:multiLevelType w:val="hybridMultilevel"/>
    <w:tmpl w:val="AB6C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70C07"/>
    <w:multiLevelType w:val="hybridMultilevel"/>
    <w:tmpl w:val="47E2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6EA15444"/>
    <w:multiLevelType w:val="hybridMultilevel"/>
    <w:tmpl w:val="DEDC4DF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7F6E6125"/>
    <w:multiLevelType w:val="hybridMultilevel"/>
    <w:tmpl w:val="001ECF70"/>
    <w:lvl w:ilvl="0" w:tplc="300A5CC8">
      <w:start w:val="1"/>
      <w:numFmt w:val="decimal"/>
      <w:lvlText w:val="%1.)"/>
      <w:lvlJc w:val="left"/>
      <w:pPr>
        <w:ind w:left="1500" w:hanging="7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0"/>
  </w:num>
  <w:num w:numId="3">
    <w:abstractNumId w:val="8"/>
  </w:num>
  <w:num w:numId="4">
    <w:abstractNumId w:val="24"/>
  </w:num>
  <w:num w:numId="5">
    <w:abstractNumId w:val="17"/>
  </w:num>
  <w:num w:numId="6">
    <w:abstractNumId w:val="7"/>
  </w:num>
  <w:num w:numId="7">
    <w:abstractNumId w:val="25"/>
  </w:num>
  <w:num w:numId="8">
    <w:abstractNumId w:val="10"/>
  </w:num>
  <w:num w:numId="9">
    <w:abstractNumId w:val="26"/>
  </w:num>
  <w:num w:numId="10">
    <w:abstractNumId w:val="11"/>
  </w:num>
  <w:num w:numId="11">
    <w:abstractNumId w:val="14"/>
  </w:num>
  <w:num w:numId="12">
    <w:abstractNumId w:val="0"/>
  </w:num>
  <w:num w:numId="13">
    <w:abstractNumId w:val="22"/>
  </w:num>
  <w:num w:numId="14">
    <w:abstractNumId w:val="18"/>
  </w:num>
  <w:num w:numId="15">
    <w:abstractNumId w:val="23"/>
  </w:num>
  <w:num w:numId="16">
    <w:abstractNumId w:val="4"/>
  </w:num>
  <w:num w:numId="17">
    <w:abstractNumId w:val="12"/>
  </w:num>
  <w:num w:numId="18">
    <w:abstractNumId w:val="21"/>
  </w:num>
  <w:num w:numId="19">
    <w:abstractNumId w:val="27"/>
  </w:num>
  <w:num w:numId="20">
    <w:abstractNumId w:val="5"/>
  </w:num>
  <w:num w:numId="21">
    <w:abstractNumId w:val="15"/>
  </w:num>
  <w:num w:numId="22">
    <w:abstractNumId w:val="13"/>
  </w:num>
  <w:num w:numId="23">
    <w:abstractNumId w:val="16"/>
  </w:num>
  <w:num w:numId="24">
    <w:abstractNumId w:val="2"/>
  </w:num>
  <w:num w:numId="25">
    <w:abstractNumId w:val="9"/>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29"/>
    <w:rsid w:val="000003A7"/>
    <w:rsid w:val="000110C2"/>
    <w:rsid w:val="0001303B"/>
    <w:rsid w:val="00045EC7"/>
    <w:rsid w:val="00071E52"/>
    <w:rsid w:val="000B37B0"/>
    <w:rsid w:val="000D4093"/>
    <w:rsid w:val="000D7EFE"/>
    <w:rsid w:val="001055DC"/>
    <w:rsid w:val="0012096C"/>
    <w:rsid w:val="001617A3"/>
    <w:rsid w:val="00164ECC"/>
    <w:rsid w:val="001749FF"/>
    <w:rsid w:val="00195DD8"/>
    <w:rsid w:val="001A33C1"/>
    <w:rsid w:val="001C1D5D"/>
    <w:rsid w:val="001F4D69"/>
    <w:rsid w:val="0020244D"/>
    <w:rsid w:val="00202F2A"/>
    <w:rsid w:val="00273480"/>
    <w:rsid w:val="002838E1"/>
    <w:rsid w:val="00295556"/>
    <w:rsid w:val="002A3754"/>
    <w:rsid w:val="002C756B"/>
    <w:rsid w:val="00357479"/>
    <w:rsid w:val="003B5401"/>
    <w:rsid w:val="003F09D4"/>
    <w:rsid w:val="003F2960"/>
    <w:rsid w:val="003F4FE1"/>
    <w:rsid w:val="00410869"/>
    <w:rsid w:val="00416444"/>
    <w:rsid w:val="00434C2A"/>
    <w:rsid w:val="00467FD9"/>
    <w:rsid w:val="004930AE"/>
    <w:rsid w:val="004B09CE"/>
    <w:rsid w:val="004B7853"/>
    <w:rsid w:val="004D4B21"/>
    <w:rsid w:val="004F7DF3"/>
    <w:rsid w:val="00550503"/>
    <w:rsid w:val="00556C08"/>
    <w:rsid w:val="005A1ECC"/>
    <w:rsid w:val="005C6752"/>
    <w:rsid w:val="005D067E"/>
    <w:rsid w:val="00611FEA"/>
    <w:rsid w:val="006840E1"/>
    <w:rsid w:val="006A3C56"/>
    <w:rsid w:val="006B6A24"/>
    <w:rsid w:val="006D405D"/>
    <w:rsid w:val="00720A95"/>
    <w:rsid w:val="00743E63"/>
    <w:rsid w:val="00757BCE"/>
    <w:rsid w:val="0079772A"/>
    <w:rsid w:val="007B48FF"/>
    <w:rsid w:val="007C012B"/>
    <w:rsid w:val="00800861"/>
    <w:rsid w:val="00831129"/>
    <w:rsid w:val="00856877"/>
    <w:rsid w:val="008732A1"/>
    <w:rsid w:val="00877C12"/>
    <w:rsid w:val="00883BF8"/>
    <w:rsid w:val="0088467C"/>
    <w:rsid w:val="008916E5"/>
    <w:rsid w:val="008B6F52"/>
    <w:rsid w:val="008F1F66"/>
    <w:rsid w:val="00905968"/>
    <w:rsid w:val="00906808"/>
    <w:rsid w:val="00960F20"/>
    <w:rsid w:val="00963090"/>
    <w:rsid w:val="009D7055"/>
    <w:rsid w:val="009D735D"/>
    <w:rsid w:val="009F29D1"/>
    <w:rsid w:val="00A32437"/>
    <w:rsid w:val="00A611B4"/>
    <w:rsid w:val="00AB3999"/>
    <w:rsid w:val="00B26692"/>
    <w:rsid w:val="00B27B99"/>
    <w:rsid w:val="00B30109"/>
    <w:rsid w:val="00B806A9"/>
    <w:rsid w:val="00BE17FD"/>
    <w:rsid w:val="00BF6CAD"/>
    <w:rsid w:val="00C21A70"/>
    <w:rsid w:val="00C47368"/>
    <w:rsid w:val="00C63E69"/>
    <w:rsid w:val="00C75633"/>
    <w:rsid w:val="00CB0E63"/>
    <w:rsid w:val="00CD238B"/>
    <w:rsid w:val="00CE2AE4"/>
    <w:rsid w:val="00CE77C3"/>
    <w:rsid w:val="00D035FB"/>
    <w:rsid w:val="00D15D47"/>
    <w:rsid w:val="00D17B0B"/>
    <w:rsid w:val="00D5423E"/>
    <w:rsid w:val="00D977D0"/>
    <w:rsid w:val="00DB3183"/>
    <w:rsid w:val="00DB579B"/>
    <w:rsid w:val="00DC1312"/>
    <w:rsid w:val="00DF01ED"/>
    <w:rsid w:val="00DF1BAC"/>
    <w:rsid w:val="00DF6919"/>
    <w:rsid w:val="00EA4EA3"/>
    <w:rsid w:val="00EB7BF5"/>
    <w:rsid w:val="00EC09CF"/>
    <w:rsid w:val="00EE62D1"/>
    <w:rsid w:val="00F12261"/>
    <w:rsid w:val="00F232A6"/>
    <w:rsid w:val="00F25587"/>
    <w:rsid w:val="00F330B2"/>
    <w:rsid w:val="00F53CED"/>
    <w:rsid w:val="00F65E59"/>
    <w:rsid w:val="00F823AC"/>
    <w:rsid w:val="00FC7BD0"/>
    <w:rsid w:val="00FE3CD3"/>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paragraph" w:styleId="Header">
    <w:name w:val="header"/>
    <w:basedOn w:val="Normal"/>
    <w:link w:val="HeaderChar"/>
    <w:uiPriority w:val="99"/>
    <w:unhideWhenUsed/>
    <w:rsid w:val="005A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CC"/>
  </w:style>
  <w:style w:type="paragraph" w:styleId="Footer">
    <w:name w:val="footer"/>
    <w:basedOn w:val="Normal"/>
    <w:link w:val="FooterChar"/>
    <w:uiPriority w:val="99"/>
    <w:unhideWhenUsed/>
    <w:rsid w:val="005A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B"/>
    <w:pPr>
      <w:ind w:left="720"/>
      <w:contextualSpacing/>
    </w:pPr>
  </w:style>
  <w:style w:type="character" w:styleId="CommentReference">
    <w:name w:val="annotation reference"/>
    <w:basedOn w:val="DefaultParagraphFont"/>
    <w:uiPriority w:val="99"/>
    <w:semiHidden/>
    <w:unhideWhenUsed/>
    <w:rsid w:val="003F4FE1"/>
    <w:rPr>
      <w:sz w:val="16"/>
      <w:szCs w:val="16"/>
    </w:rPr>
  </w:style>
  <w:style w:type="paragraph" w:styleId="CommentText">
    <w:name w:val="annotation text"/>
    <w:basedOn w:val="Normal"/>
    <w:link w:val="CommentTextChar"/>
    <w:uiPriority w:val="99"/>
    <w:semiHidden/>
    <w:unhideWhenUsed/>
    <w:rsid w:val="003F4FE1"/>
    <w:pPr>
      <w:spacing w:line="240" w:lineRule="auto"/>
    </w:pPr>
    <w:rPr>
      <w:sz w:val="20"/>
      <w:szCs w:val="20"/>
    </w:rPr>
  </w:style>
  <w:style w:type="character" w:customStyle="1" w:styleId="CommentTextChar">
    <w:name w:val="Comment Text Char"/>
    <w:basedOn w:val="DefaultParagraphFont"/>
    <w:link w:val="CommentText"/>
    <w:uiPriority w:val="99"/>
    <w:semiHidden/>
    <w:rsid w:val="003F4FE1"/>
    <w:rPr>
      <w:sz w:val="20"/>
      <w:szCs w:val="20"/>
    </w:rPr>
  </w:style>
  <w:style w:type="paragraph" w:styleId="CommentSubject">
    <w:name w:val="annotation subject"/>
    <w:basedOn w:val="CommentText"/>
    <w:next w:val="CommentText"/>
    <w:link w:val="CommentSubjectChar"/>
    <w:uiPriority w:val="99"/>
    <w:semiHidden/>
    <w:unhideWhenUsed/>
    <w:rsid w:val="003F4FE1"/>
    <w:rPr>
      <w:b/>
      <w:bCs/>
    </w:rPr>
  </w:style>
  <w:style w:type="character" w:customStyle="1" w:styleId="CommentSubjectChar">
    <w:name w:val="Comment Subject Char"/>
    <w:basedOn w:val="CommentTextChar"/>
    <w:link w:val="CommentSubject"/>
    <w:uiPriority w:val="99"/>
    <w:semiHidden/>
    <w:rsid w:val="003F4FE1"/>
    <w:rPr>
      <w:b/>
      <w:bCs/>
      <w:sz w:val="20"/>
      <w:szCs w:val="20"/>
    </w:rPr>
  </w:style>
  <w:style w:type="paragraph" w:styleId="BalloonText">
    <w:name w:val="Balloon Text"/>
    <w:basedOn w:val="Normal"/>
    <w:link w:val="BalloonTextChar"/>
    <w:uiPriority w:val="99"/>
    <w:semiHidden/>
    <w:unhideWhenUsed/>
    <w:rsid w:val="003F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FE1"/>
    <w:rPr>
      <w:rFonts w:ascii="Tahoma" w:hAnsi="Tahoma" w:cs="Tahoma"/>
      <w:sz w:val="16"/>
      <w:szCs w:val="16"/>
    </w:rPr>
  </w:style>
  <w:style w:type="paragraph" w:styleId="Header">
    <w:name w:val="header"/>
    <w:basedOn w:val="Normal"/>
    <w:link w:val="HeaderChar"/>
    <w:uiPriority w:val="99"/>
    <w:unhideWhenUsed/>
    <w:rsid w:val="005A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ECC"/>
  </w:style>
  <w:style w:type="paragraph" w:styleId="Footer">
    <w:name w:val="footer"/>
    <w:basedOn w:val="Normal"/>
    <w:link w:val="FooterChar"/>
    <w:uiPriority w:val="99"/>
    <w:unhideWhenUsed/>
    <w:rsid w:val="005A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0129">
      <w:bodyDiv w:val="1"/>
      <w:marLeft w:val="0"/>
      <w:marRight w:val="0"/>
      <w:marTop w:val="0"/>
      <w:marBottom w:val="0"/>
      <w:divBdr>
        <w:top w:val="none" w:sz="0" w:space="0" w:color="auto"/>
        <w:left w:val="none" w:sz="0" w:space="0" w:color="auto"/>
        <w:bottom w:val="none" w:sz="0" w:space="0" w:color="auto"/>
        <w:right w:val="none" w:sz="0" w:space="0" w:color="auto"/>
      </w:divBdr>
    </w:div>
    <w:div w:id="295258763">
      <w:bodyDiv w:val="1"/>
      <w:marLeft w:val="0"/>
      <w:marRight w:val="0"/>
      <w:marTop w:val="0"/>
      <w:marBottom w:val="0"/>
      <w:divBdr>
        <w:top w:val="none" w:sz="0" w:space="0" w:color="auto"/>
        <w:left w:val="none" w:sz="0" w:space="0" w:color="auto"/>
        <w:bottom w:val="none" w:sz="0" w:space="0" w:color="auto"/>
        <w:right w:val="none" w:sz="0" w:space="0" w:color="auto"/>
      </w:divBdr>
    </w:div>
    <w:div w:id="1031951895">
      <w:bodyDiv w:val="1"/>
      <w:marLeft w:val="0"/>
      <w:marRight w:val="0"/>
      <w:marTop w:val="0"/>
      <w:marBottom w:val="0"/>
      <w:divBdr>
        <w:top w:val="none" w:sz="0" w:space="0" w:color="auto"/>
        <w:left w:val="none" w:sz="0" w:space="0" w:color="auto"/>
        <w:bottom w:val="none" w:sz="0" w:space="0" w:color="auto"/>
        <w:right w:val="none" w:sz="0" w:space="0" w:color="auto"/>
      </w:divBdr>
    </w:div>
    <w:div w:id="1231623442">
      <w:bodyDiv w:val="1"/>
      <w:marLeft w:val="0"/>
      <w:marRight w:val="0"/>
      <w:marTop w:val="0"/>
      <w:marBottom w:val="0"/>
      <w:divBdr>
        <w:top w:val="none" w:sz="0" w:space="0" w:color="auto"/>
        <w:left w:val="none" w:sz="0" w:space="0" w:color="auto"/>
        <w:bottom w:val="none" w:sz="0" w:space="0" w:color="auto"/>
        <w:right w:val="none" w:sz="0" w:space="0" w:color="auto"/>
      </w:divBdr>
    </w:div>
    <w:div w:id="1575159126">
      <w:bodyDiv w:val="1"/>
      <w:marLeft w:val="0"/>
      <w:marRight w:val="0"/>
      <w:marTop w:val="0"/>
      <w:marBottom w:val="0"/>
      <w:divBdr>
        <w:top w:val="none" w:sz="0" w:space="0" w:color="auto"/>
        <w:left w:val="none" w:sz="0" w:space="0" w:color="auto"/>
        <w:bottom w:val="none" w:sz="0" w:space="0" w:color="auto"/>
        <w:right w:val="none" w:sz="0" w:space="0" w:color="auto"/>
      </w:divBdr>
    </w:div>
    <w:div w:id="16952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4.jpg@01D0A9C1.647584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DDF3-D31D-4AF3-9678-CCB29CBA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Ramsar\CadmusR</dc:creator>
  <cp:lastModifiedBy>Ramsar\JenningsE</cp:lastModifiedBy>
  <cp:revision>2</cp:revision>
  <cp:lastPrinted>2015-08-18T12:21:00Z</cp:lastPrinted>
  <dcterms:created xsi:type="dcterms:W3CDTF">2015-08-24T09:57:00Z</dcterms:created>
  <dcterms:modified xsi:type="dcterms:W3CDTF">2015-08-24T09:57:00Z</dcterms:modified>
</cp:coreProperties>
</file>