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7" w:rsidRPr="00D52116" w:rsidRDefault="005519F9" w:rsidP="00782C29">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CA"/>
        </w:rPr>
      </w:pPr>
      <w:bookmarkStart w:id="0" w:name="OLE_LINK3"/>
      <w:r w:rsidRPr="00D52116">
        <w:rPr>
          <w:rFonts w:ascii="Calibri" w:eastAsia="Batang" w:hAnsi="Calibri"/>
          <w:bCs/>
          <w:lang w:val="fr-CA"/>
        </w:rPr>
        <w:t>CONVENTION SUR LES ZONES HUMIDES</w:t>
      </w:r>
      <w:r w:rsidR="00554327" w:rsidRPr="00D52116">
        <w:rPr>
          <w:rFonts w:asciiTheme="minorHAnsi" w:hAnsiTheme="minorHAnsi" w:cstheme="minorHAnsi"/>
          <w:bCs/>
          <w:lang w:val="fr-CA"/>
        </w:rPr>
        <w:t xml:space="preserve"> (Ramsar, Iran, 1971)</w:t>
      </w:r>
    </w:p>
    <w:p w:rsidR="00554327" w:rsidRPr="00D52116" w:rsidRDefault="00357DFD" w:rsidP="00782C29">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CA"/>
        </w:rPr>
      </w:pPr>
      <w:r w:rsidRPr="00D52116">
        <w:rPr>
          <w:rFonts w:ascii="Calibri" w:eastAsia="Batang" w:hAnsi="Calibri"/>
          <w:bCs/>
          <w:lang w:val="fr-CA"/>
        </w:rPr>
        <w:t>51</w:t>
      </w:r>
      <w:r w:rsidRPr="00D52116">
        <w:rPr>
          <w:rFonts w:ascii="Calibri" w:eastAsia="Batang" w:hAnsi="Calibri"/>
          <w:bCs/>
          <w:vertAlign w:val="superscript"/>
          <w:lang w:val="fr-CA"/>
        </w:rPr>
        <w:t>e</w:t>
      </w:r>
      <w:r w:rsidRPr="00D52116">
        <w:rPr>
          <w:rFonts w:ascii="Calibri" w:eastAsia="Batang" w:hAnsi="Calibri"/>
          <w:bCs/>
          <w:lang w:val="fr-CA"/>
        </w:rPr>
        <w:t xml:space="preserve"> Réunion du Comité permanent</w:t>
      </w:r>
    </w:p>
    <w:p w:rsidR="00554327" w:rsidRPr="00D52116" w:rsidRDefault="00554327" w:rsidP="00782C29">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CA"/>
        </w:rPr>
      </w:pPr>
      <w:r w:rsidRPr="00D52116">
        <w:rPr>
          <w:rFonts w:asciiTheme="minorHAnsi" w:hAnsiTheme="minorHAnsi" w:cstheme="minorHAnsi"/>
          <w:bCs/>
          <w:lang w:val="fr-CA"/>
        </w:rPr>
        <w:t>Gland, S</w:t>
      </w:r>
      <w:r w:rsidR="00357DFD" w:rsidRPr="00D52116">
        <w:rPr>
          <w:rFonts w:asciiTheme="minorHAnsi" w:hAnsiTheme="minorHAnsi" w:cstheme="minorHAnsi"/>
          <w:bCs/>
          <w:lang w:val="fr-CA"/>
        </w:rPr>
        <w:t>uisse</w:t>
      </w:r>
      <w:r w:rsidRPr="00D52116">
        <w:rPr>
          <w:rFonts w:asciiTheme="minorHAnsi" w:hAnsiTheme="minorHAnsi" w:cstheme="minorHAnsi"/>
          <w:bCs/>
          <w:lang w:val="fr-CA"/>
        </w:rPr>
        <w:t>, 2</w:t>
      </w:r>
      <w:r w:rsidR="000F728B" w:rsidRPr="00D52116">
        <w:rPr>
          <w:rFonts w:asciiTheme="minorHAnsi" w:hAnsiTheme="minorHAnsi" w:cstheme="minorHAnsi"/>
          <w:bCs/>
          <w:lang w:val="fr-CA"/>
        </w:rPr>
        <w:t>3</w:t>
      </w:r>
      <w:r w:rsidR="00357DFD" w:rsidRPr="00D52116">
        <w:rPr>
          <w:rFonts w:asciiTheme="minorHAnsi" w:hAnsiTheme="minorHAnsi" w:cstheme="minorHAnsi"/>
          <w:bCs/>
          <w:lang w:val="fr-CA"/>
        </w:rPr>
        <w:t xml:space="preserve"> au </w:t>
      </w:r>
      <w:r w:rsidR="000F728B" w:rsidRPr="00D52116">
        <w:rPr>
          <w:rFonts w:asciiTheme="minorHAnsi" w:hAnsiTheme="minorHAnsi" w:cstheme="minorHAnsi"/>
          <w:bCs/>
          <w:lang w:val="fr-CA"/>
        </w:rPr>
        <w:t>27</w:t>
      </w:r>
      <w:r w:rsidRPr="00D52116">
        <w:rPr>
          <w:rFonts w:asciiTheme="minorHAnsi" w:hAnsiTheme="minorHAnsi" w:cstheme="minorHAnsi"/>
          <w:bCs/>
          <w:lang w:val="fr-CA"/>
        </w:rPr>
        <w:t xml:space="preserve"> </w:t>
      </w:r>
      <w:r w:rsidR="00357DFD" w:rsidRPr="00D52116">
        <w:rPr>
          <w:rFonts w:asciiTheme="minorHAnsi" w:hAnsiTheme="minorHAnsi" w:cstheme="minorHAnsi"/>
          <w:bCs/>
          <w:lang w:val="fr-CA"/>
        </w:rPr>
        <w:t>novembre</w:t>
      </w:r>
      <w:r w:rsidRPr="00D52116">
        <w:rPr>
          <w:rFonts w:asciiTheme="minorHAnsi" w:hAnsiTheme="minorHAnsi" w:cstheme="minorHAnsi"/>
          <w:bCs/>
          <w:lang w:val="fr-CA"/>
        </w:rPr>
        <w:t xml:space="preserve"> 201</w:t>
      </w:r>
      <w:r w:rsidR="000F728B" w:rsidRPr="00D52116">
        <w:rPr>
          <w:rFonts w:asciiTheme="minorHAnsi" w:hAnsiTheme="minorHAnsi" w:cstheme="minorHAnsi"/>
          <w:bCs/>
          <w:lang w:val="fr-CA"/>
        </w:rPr>
        <w:t>5</w:t>
      </w:r>
    </w:p>
    <w:p w:rsidR="00554327" w:rsidRPr="00D52116" w:rsidRDefault="00554327" w:rsidP="00782C29">
      <w:pPr>
        <w:jc w:val="right"/>
        <w:rPr>
          <w:rFonts w:asciiTheme="minorHAnsi" w:hAnsiTheme="minorHAnsi" w:cstheme="minorHAnsi"/>
          <w:b/>
          <w:sz w:val="28"/>
          <w:szCs w:val="28"/>
          <w:lang w:val="fr-CA"/>
        </w:rPr>
      </w:pPr>
    </w:p>
    <w:p w:rsidR="00554327" w:rsidRPr="00D52116" w:rsidRDefault="00554327" w:rsidP="00782C29">
      <w:pPr>
        <w:jc w:val="right"/>
        <w:rPr>
          <w:rFonts w:asciiTheme="minorHAnsi" w:hAnsiTheme="minorHAnsi" w:cstheme="minorHAnsi"/>
          <w:b/>
          <w:sz w:val="28"/>
          <w:szCs w:val="28"/>
          <w:lang w:val="fr-CA"/>
        </w:rPr>
      </w:pPr>
      <w:r w:rsidRPr="00D52116">
        <w:rPr>
          <w:rFonts w:asciiTheme="minorHAnsi" w:hAnsiTheme="minorHAnsi" w:cstheme="minorHAnsi"/>
          <w:b/>
          <w:sz w:val="28"/>
          <w:szCs w:val="28"/>
          <w:lang w:val="fr-CA"/>
        </w:rPr>
        <w:t>SC</w:t>
      </w:r>
      <w:r w:rsidR="000F728B" w:rsidRPr="00D52116">
        <w:rPr>
          <w:rFonts w:asciiTheme="minorHAnsi" w:hAnsiTheme="minorHAnsi" w:cstheme="minorHAnsi"/>
          <w:b/>
          <w:sz w:val="28"/>
          <w:szCs w:val="28"/>
          <w:lang w:val="fr-CA"/>
        </w:rPr>
        <w:t>51</w:t>
      </w:r>
      <w:r w:rsidRPr="00D52116">
        <w:rPr>
          <w:rFonts w:asciiTheme="minorHAnsi" w:hAnsiTheme="minorHAnsi" w:cstheme="minorHAnsi"/>
          <w:b/>
          <w:sz w:val="28"/>
          <w:szCs w:val="28"/>
          <w:lang w:val="fr-CA"/>
        </w:rPr>
        <w:t>-</w:t>
      </w:r>
      <w:r w:rsidR="00F3078D" w:rsidRPr="00D52116">
        <w:rPr>
          <w:rFonts w:asciiTheme="minorHAnsi" w:hAnsiTheme="minorHAnsi" w:cstheme="minorHAnsi"/>
          <w:b/>
          <w:sz w:val="28"/>
          <w:szCs w:val="28"/>
          <w:lang w:val="fr-CA"/>
        </w:rPr>
        <w:t>17</w:t>
      </w:r>
    </w:p>
    <w:p w:rsidR="00554327" w:rsidRPr="00D52116" w:rsidRDefault="00554327" w:rsidP="00782C29">
      <w:pPr>
        <w:jc w:val="center"/>
        <w:rPr>
          <w:rFonts w:asciiTheme="minorHAnsi" w:hAnsiTheme="minorHAnsi" w:cstheme="minorHAnsi"/>
          <w:b/>
          <w:sz w:val="28"/>
          <w:szCs w:val="28"/>
          <w:lang w:val="fr-CA"/>
        </w:rPr>
      </w:pPr>
    </w:p>
    <w:p w:rsidR="00C4266C" w:rsidRPr="00D52116" w:rsidRDefault="00357DFD" w:rsidP="00782C29">
      <w:pPr>
        <w:pStyle w:val="BodyText"/>
        <w:kinsoku w:val="0"/>
        <w:overflowPunct w:val="0"/>
        <w:spacing w:after="0"/>
        <w:ind w:right="-46"/>
        <w:jc w:val="center"/>
        <w:rPr>
          <w:rFonts w:asciiTheme="minorHAnsi" w:hAnsiTheme="minorHAnsi"/>
          <w:b/>
          <w:bCs/>
          <w:sz w:val="28"/>
          <w:szCs w:val="28"/>
          <w:lang w:val="fr-CA"/>
        </w:rPr>
      </w:pPr>
      <w:r w:rsidRPr="00D52116">
        <w:rPr>
          <w:rFonts w:asciiTheme="minorHAnsi" w:hAnsiTheme="minorHAnsi"/>
          <w:b/>
          <w:bCs/>
          <w:sz w:val="28"/>
          <w:szCs w:val="28"/>
          <w:lang w:val="fr-CA"/>
        </w:rPr>
        <w:t>Appui de consultant pour l’élaboration d’une stratégie décrivant l’éventuelle intégration, pas à pas, de l’arabe ou d’autres langues des Nations Unies dans les travaux de la Convention</w:t>
      </w:r>
    </w:p>
    <w:p w:rsidR="00554327" w:rsidRPr="00D52116" w:rsidRDefault="00554327" w:rsidP="00782C29">
      <w:pPr>
        <w:rPr>
          <w:rFonts w:asciiTheme="minorHAnsi" w:hAnsiTheme="minorHAnsi"/>
          <w:sz w:val="28"/>
          <w:szCs w:val="28"/>
          <w:lang w:val="fr-CA"/>
        </w:rPr>
      </w:pPr>
    </w:p>
    <w:p w:rsidR="00554327" w:rsidRPr="00D52116" w:rsidRDefault="00BF49ED" w:rsidP="00782C29">
      <w:pPr>
        <w:rPr>
          <w:rFonts w:asciiTheme="minorHAnsi" w:hAnsiTheme="minorHAnsi"/>
          <w:sz w:val="22"/>
          <w:szCs w:val="22"/>
          <w:lang w:val="fr-CA"/>
        </w:rPr>
      </w:pPr>
      <w:r w:rsidRPr="00D52116">
        <w:rPr>
          <w:rFonts w:asciiTheme="minorHAnsi" w:hAnsiTheme="minorHAnsi"/>
          <w:noProof/>
          <w:sz w:val="22"/>
          <w:szCs w:val="22"/>
        </w:rPr>
        <mc:AlternateContent>
          <mc:Choice Requires="wps">
            <w:drawing>
              <wp:inline distT="0" distB="0" distL="0" distR="0" wp14:anchorId="1504BEF5" wp14:editId="721E71FA">
                <wp:extent cx="5782945" cy="787179"/>
                <wp:effectExtent l="0" t="0" r="2730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787179"/>
                        </a:xfrm>
                        <a:prstGeom prst="rect">
                          <a:avLst/>
                        </a:prstGeom>
                        <a:solidFill>
                          <a:srgbClr val="FFFFFF"/>
                        </a:solidFill>
                        <a:ln w="9525">
                          <a:solidFill>
                            <a:srgbClr val="000000"/>
                          </a:solidFill>
                          <a:miter lim="800000"/>
                          <a:headEnd/>
                          <a:tailEnd/>
                        </a:ln>
                      </wps:spPr>
                      <wps:txbx>
                        <w:txbxContent>
                          <w:p w:rsidR="00A871DE" w:rsidRPr="00357DFD" w:rsidRDefault="00A871DE" w:rsidP="00554327">
                            <w:pPr>
                              <w:rPr>
                                <w:rFonts w:ascii="Calibri" w:hAnsi="Calibri" w:cs="Calibri"/>
                                <w:sz w:val="22"/>
                                <w:szCs w:val="22"/>
                                <w:lang w:val="fr-FR"/>
                              </w:rPr>
                            </w:pPr>
                            <w:r w:rsidRPr="00357DFD">
                              <w:rPr>
                                <w:rFonts w:ascii="Calibri" w:hAnsi="Calibri" w:cs="Calibri"/>
                                <w:b/>
                                <w:sz w:val="22"/>
                                <w:szCs w:val="22"/>
                                <w:lang w:val="fr-FR"/>
                              </w:rPr>
                              <w:t xml:space="preserve">Action </w:t>
                            </w:r>
                            <w:r w:rsidR="00357DFD" w:rsidRPr="00357DFD">
                              <w:rPr>
                                <w:rFonts w:ascii="Calibri" w:hAnsi="Calibri" w:cs="Calibri"/>
                                <w:b/>
                                <w:sz w:val="22"/>
                                <w:szCs w:val="22"/>
                                <w:lang w:val="fr-FR"/>
                              </w:rPr>
                              <w:t xml:space="preserve">requise </w:t>
                            </w:r>
                            <w:r w:rsidRPr="00357DFD">
                              <w:rPr>
                                <w:rFonts w:ascii="Calibri" w:hAnsi="Calibri" w:cs="Calibri"/>
                                <w:b/>
                                <w:sz w:val="22"/>
                                <w:szCs w:val="22"/>
                                <w:lang w:val="fr-FR"/>
                              </w:rPr>
                              <w:t>:</w:t>
                            </w:r>
                          </w:p>
                          <w:p w:rsidR="00A871DE" w:rsidRPr="00357DFD" w:rsidRDefault="00357DFD" w:rsidP="00F3078D">
                            <w:pPr>
                              <w:contextualSpacing/>
                              <w:jc w:val="both"/>
                              <w:rPr>
                                <w:rFonts w:ascii="Calibri" w:hAnsi="Calibri"/>
                                <w:sz w:val="22"/>
                                <w:szCs w:val="22"/>
                                <w:lang w:val="fr-CH"/>
                              </w:rPr>
                            </w:pPr>
                            <w:r w:rsidRPr="00357DFD">
                              <w:rPr>
                                <w:rFonts w:ascii="Calibri" w:hAnsi="Calibri" w:cs="Calibri"/>
                                <w:sz w:val="22"/>
                                <w:szCs w:val="22"/>
                                <w:lang w:val="fr-CH"/>
                              </w:rPr>
                              <w:t xml:space="preserve">Le Comité permanent est invité à donner son avis et </w:t>
                            </w:r>
                            <w:r w:rsidR="004851FA">
                              <w:rPr>
                                <w:rFonts w:ascii="Calibri" w:hAnsi="Calibri" w:cs="Calibri"/>
                                <w:sz w:val="22"/>
                                <w:szCs w:val="22"/>
                                <w:lang w:val="fr-CH"/>
                              </w:rPr>
                              <w:t xml:space="preserve">à </w:t>
                            </w:r>
                            <w:r w:rsidRPr="00357DFD">
                              <w:rPr>
                                <w:rFonts w:ascii="Calibri" w:hAnsi="Calibri" w:cs="Calibri"/>
                                <w:sz w:val="22"/>
                                <w:szCs w:val="22"/>
                                <w:lang w:val="fr-CH"/>
                              </w:rPr>
                              <w:t>approuver le cahier des charges et le budget d’un consultant chargé d’élaborer une stratégie décrivant l’éventuelle intégration, pas à pas, de l’arabe ou d’autres langues des Nations Unies dans les travaux de la Convention</w:t>
                            </w:r>
                            <w:r w:rsidR="00476874" w:rsidRPr="00357DFD">
                              <w:rPr>
                                <w:rFonts w:ascii="Calibri" w:hAnsi="Calibri" w:cs="Calibri"/>
                                <w:sz w:val="22"/>
                                <w:szCs w:val="22"/>
                                <w:lang w:val="fr-CH"/>
                              </w:rPr>
                              <w:t>.</w:t>
                            </w:r>
                          </w:p>
                          <w:p w:rsidR="00A871DE" w:rsidRPr="00357DFD" w:rsidRDefault="00A871DE" w:rsidP="00554327">
                            <w:pPr>
                              <w:pStyle w:val="ListParagraph"/>
                              <w:ind w:left="426"/>
                              <w:rPr>
                                <w:rFonts w:ascii="Calibri" w:hAnsi="Calibri"/>
                                <w:lang w:val="fr-CH"/>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">
                <v:textbox>
                  <w:txbxContent>
                    <w:p w:rsidR="00A871DE" w:rsidRPr="00357DFD" w:rsidRDefault="00A871DE" w:rsidP="00554327">
                      <w:pPr>
                        <w:rPr>
                          <w:rFonts w:ascii="Calibri" w:hAnsi="Calibri" w:cs="Calibri"/>
                          <w:sz w:val="22"/>
                          <w:szCs w:val="22"/>
                          <w:lang w:val="fr-FR"/>
                        </w:rPr>
                      </w:pPr>
                      <w:r w:rsidRPr="00357DFD">
                        <w:rPr>
                          <w:rFonts w:ascii="Calibri" w:hAnsi="Calibri" w:cs="Calibri"/>
                          <w:b/>
                          <w:sz w:val="22"/>
                          <w:szCs w:val="22"/>
                          <w:lang w:val="fr-FR"/>
                        </w:rPr>
                        <w:t xml:space="preserve">Action </w:t>
                      </w:r>
                      <w:r w:rsidR="00357DFD" w:rsidRPr="00357DFD">
                        <w:rPr>
                          <w:rFonts w:ascii="Calibri" w:hAnsi="Calibri" w:cs="Calibri"/>
                          <w:b/>
                          <w:sz w:val="22"/>
                          <w:szCs w:val="22"/>
                          <w:lang w:val="fr-FR"/>
                        </w:rPr>
                        <w:t xml:space="preserve">requise </w:t>
                      </w:r>
                      <w:r w:rsidRPr="00357DFD">
                        <w:rPr>
                          <w:rFonts w:ascii="Calibri" w:hAnsi="Calibri" w:cs="Calibri"/>
                          <w:b/>
                          <w:sz w:val="22"/>
                          <w:szCs w:val="22"/>
                          <w:lang w:val="fr-FR"/>
                        </w:rPr>
                        <w:t>:</w:t>
                      </w:r>
                    </w:p>
                    <w:p w:rsidR="00A871DE" w:rsidRPr="00357DFD" w:rsidRDefault="00357DFD" w:rsidP="00F3078D">
                      <w:pPr>
                        <w:contextualSpacing/>
                        <w:jc w:val="both"/>
                        <w:rPr>
                          <w:rFonts w:ascii="Calibri" w:hAnsi="Calibri"/>
                          <w:sz w:val="22"/>
                          <w:szCs w:val="22"/>
                          <w:lang w:val="fr-CH"/>
                        </w:rPr>
                      </w:pPr>
                      <w:r w:rsidRPr="00357DFD">
                        <w:rPr>
                          <w:rFonts w:ascii="Calibri" w:hAnsi="Calibri" w:cs="Calibri"/>
                          <w:sz w:val="22"/>
                          <w:szCs w:val="22"/>
                          <w:lang w:val="fr-CH"/>
                        </w:rPr>
                        <w:t xml:space="preserve">Le Comité permanent est invité à donner son avis et </w:t>
                      </w:r>
                      <w:r w:rsidR="004851FA">
                        <w:rPr>
                          <w:rFonts w:ascii="Calibri" w:hAnsi="Calibri" w:cs="Calibri"/>
                          <w:sz w:val="22"/>
                          <w:szCs w:val="22"/>
                          <w:lang w:val="fr-CH"/>
                        </w:rPr>
                        <w:t xml:space="preserve">à </w:t>
                      </w:r>
                      <w:r w:rsidRPr="00357DFD">
                        <w:rPr>
                          <w:rFonts w:ascii="Calibri" w:hAnsi="Calibri" w:cs="Calibri"/>
                          <w:sz w:val="22"/>
                          <w:szCs w:val="22"/>
                          <w:lang w:val="fr-CH"/>
                        </w:rPr>
                        <w:t>approuver le cahier des charges et le budget d’un consultant chargé d’élaborer une stratégie décrivant l’éventuelle intégration, pas à pas, de l’arabe ou d’autres langues des Nations Unies dans les travaux de la Convention</w:t>
                      </w:r>
                      <w:r w:rsidR="00476874" w:rsidRPr="00357DFD">
                        <w:rPr>
                          <w:rFonts w:ascii="Calibri" w:hAnsi="Calibri" w:cs="Calibri"/>
                          <w:sz w:val="22"/>
                          <w:szCs w:val="22"/>
                          <w:lang w:val="fr-CH"/>
                        </w:rPr>
                        <w:t>.</w:t>
                      </w:r>
                    </w:p>
                    <w:p w:rsidR="00A871DE" w:rsidRPr="00357DFD" w:rsidRDefault="00A871DE" w:rsidP="00554327">
                      <w:pPr>
                        <w:pStyle w:val="ListParagraph"/>
                        <w:ind w:left="426"/>
                        <w:rPr>
                          <w:rFonts w:ascii="Calibri" w:hAnsi="Calibri"/>
                          <w:lang w:val="fr-CH"/>
                        </w:rPr>
                      </w:pPr>
                    </w:p>
                  </w:txbxContent>
                </v:textbox>
                <w10:anchorlock/>
              </v:shape>
            </w:pict>
          </mc:Fallback>
        </mc:AlternateContent>
      </w:r>
    </w:p>
    <w:p w:rsidR="00994722" w:rsidRPr="00D52116" w:rsidRDefault="00994722" w:rsidP="00782C29">
      <w:pPr>
        <w:rPr>
          <w:rFonts w:asciiTheme="minorHAnsi" w:hAnsiTheme="minorHAnsi" w:cs="Calibri"/>
          <w:b/>
          <w:sz w:val="22"/>
          <w:szCs w:val="22"/>
          <w:lang w:val="fr-CA"/>
        </w:rPr>
      </w:pPr>
    </w:p>
    <w:p w:rsidR="00994722" w:rsidRPr="00D52116" w:rsidRDefault="00994722" w:rsidP="00782C29">
      <w:pPr>
        <w:rPr>
          <w:rFonts w:asciiTheme="minorHAnsi" w:hAnsiTheme="minorHAnsi" w:cs="Calibri"/>
          <w:b/>
          <w:sz w:val="22"/>
          <w:szCs w:val="22"/>
          <w:lang w:val="fr-CA"/>
        </w:rPr>
      </w:pPr>
    </w:p>
    <w:p w:rsidR="00AE44C5" w:rsidRPr="00D52116" w:rsidRDefault="00357DFD" w:rsidP="00782C29">
      <w:pPr>
        <w:pStyle w:val="ListParagraph"/>
        <w:numPr>
          <w:ilvl w:val="0"/>
          <w:numId w:val="1"/>
        </w:numPr>
        <w:spacing w:line="240" w:lineRule="auto"/>
        <w:ind w:left="426" w:hanging="426"/>
        <w:outlineLvl w:val="0"/>
        <w:rPr>
          <w:rFonts w:ascii="Calibri" w:eastAsia="Helvetica" w:hAnsi="Calibri" w:cs="Calibri"/>
          <w:lang w:val="fr-CA"/>
        </w:rPr>
      </w:pPr>
      <w:bookmarkStart w:id="1" w:name="OLE_LINK6"/>
      <w:bookmarkEnd w:id="0"/>
      <w:r w:rsidRPr="00D52116">
        <w:rPr>
          <w:rFonts w:ascii="Calibri" w:hAnsi="Calibri" w:cs="Calibri"/>
          <w:lang w:val="fr-CA"/>
        </w:rPr>
        <w:t xml:space="preserve">À </w:t>
      </w:r>
      <w:r w:rsidR="00F221B4" w:rsidRPr="00D52116">
        <w:rPr>
          <w:rFonts w:ascii="Calibri" w:hAnsi="Calibri" w:cs="Calibri"/>
          <w:lang w:val="fr-CA"/>
        </w:rPr>
        <w:t>s</w:t>
      </w:r>
      <w:r w:rsidRPr="00D52116">
        <w:rPr>
          <w:rFonts w:ascii="Calibri" w:hAnsi="Calibri" w:cs="Calibri"/>
          <w:lang w:val="fr-CA"/>
        </w:rPr>
        <w:t xml:space="preserve">a </w:t>
      </w:r>
      <w:r w:rsidR="000F728B" w:rsidRPr="00D52116">
        <w:rPr>
          <w:rFonts w:ascii="Calibri" w:hAnsi="Calibri" w:cs="Calibri"/>
          <w:lang w:val="fr-CA"/>
        </w:rPr>
        <w:t>12</w:t>
      </w:r>
      <w:r w:rsidRPr="00D52116">
        <w:rPr>
          <w:rFonts w:ascii="Calibri" w:hAnsi="Calibri" w:cs="Calibri"/>
          <w:vertAlign w:val="superscript"/>
          <w:lang w:val="fr-CA"/>
        </w:rPr>
        <w:t>e</w:t>
      </w:r>
      <w:r w:rsidR="000F728B" w:rsidRPr="00D52116">
        <w:rPr>
          <w:rFonts w:ascii="Calibri" w:hAnsi="Calibri" w:cs="Calibri"/>
          <w:lang w:val="fr-CA"/>
        </w:rPr>
        <w:t xml:space="preserve"> </w:t>
      </w:r>
      <w:r w:rsidRPr="00D52116">
        <w:rPr>
          <w:rFonts w:ascii="Calibri" w:hAnsi="Calibri" w:cs="Calibri"/>
          <w:lang w:val="fr-CA"/>
        </w:rPr>
        <w:t>Session</w:t>
      </w:r>
      <w:r w:rsidR="00F221B4" w:rsidRPr="00D52116">
        <w:rPr>
          <w:rFonts w:ascii="Calibri" w:hAnsi="Calibri" w:cs="Calibri"/>
          <w:lang w:val="fr-CA"/>
        </w:rPr>
        <w:t>,</w:t>
      </w:r>
      <w:r w:rsidRPr="00D52116">
        <w:rPr>
          <w:rFonts w:ascii="Calibri" w:hAnsi="Calibri" w:cs="Calibri"/>
          <w:lang w:val="fr-CA"/>
        </w:rPr>
        <w:t xml:space="preserve"> la</w:t>
      </w:r>
      <w:r w:rsidR="000F728B" w:rsidRPr="00D52116">
        <w:rPr>
          <w:rFonts w:ascii="Calibri" w:hAnsi="Calibri" w:cs="Calibri"/>
          <w:lang w:val="fr-CA"/>
        </w:rPr>
        <w:t xml:space="preserve"> </w:t>
      </w:r>
      <w:r w:rsidR="00F221B4" w:rsidRPr="00D52116">
        <w:rPr>
          <w:rFonts w:ascii="Calibri" w:hAnsi="Calibri" w:cs="Calibri"/>
          <w:lang w:val="fr-CA"/>
        </w:rPr>
        <w:t>Conférence</w:t>
      </w:r>
      <w:r w:rsidR="000F728B" w:rsidRPr="00D52116">
        <w:rPr>
          <w:rFonts w:ascii="Calibri" w:hAnsi="Calibri" w:cs="Calibri"/>
          <w:lang w:val="fr-CA"/>
        </w:rPr>
        <w:t xml:space="preserve"> </w:t>
      </w:r>
      <w:r w:rsidRPr="00D52116">
        <w:rPr>
          <w:rFonts w:ascii="Calibri" w:hAnsi="Calibri" w:cs="Calibri"/>
          <w:lang w:val="fr-CA"/>
        </w:rPr>
        <w:t xml:space="preserve">des </w:t>
      </w:r>
      <w:r w:rsidR="000F728B" w:rsidRPr="00D52116">
        <w:rPr>
          <w:rFonts w:ascii="Calibri" w:hAnsi="Calibri" w:cs="Calibri"/>
          <w:lang w:val="fr-CA"/>
        </w:rPr>
        <w:t xml:space="preserve">Parties </w:t>
      </w:r>
      <w:r w:rsidRPr="00D52116">
        <w:rPr>
          <w:rFonts w:ascii="Calibri" w:hAnsi="Calibri" w:cs="Calibri"/>
          <w:lang w:val="fr-CA"/>
        </w:rPr>
        <w:t>à la</w:t>
      </w:r>
      <w:r w:rsidR="000F728B" w:rsidRPr="00D52116">
        <w:rPr>
          <w:rFonts w:ascii="Calibri" w:hAnsi="Calibri" w:cs="Calibri"/>
          <w:lang w:val="fr-CA"/>
        </w:rPr>
        <w:t xml:space="preserve"> Convention</w:t>
      </w:r>
      <w:r w:rsidRPr="00D52116">
        <w:rPr>
          <w:rFonts w:ascii="Calibri" w:hAnsi="Calibri" w:cs="Calibri"/>
          <w:lang w:val="fr-CA"/>
        </w:rPr>
        <w:t xml:space="preserve"> de Ramsar</w:t>
      </w:r>
      <w:r w:rsidR="00F221B4" w:rsidRPr="00D52116">
        <w:rPr>
          <w:rFonts w:ascii="Calibri" w:hAnsi="Calibri" w:cs="Calibri"/>
          <w:lang w:val="fr-CA"/>
        </w:rPr>
        <w:t xml:space="preserve"> a adopté la</w:t>
      </w:r>
      <w:r w:rsidR="000F728B" w:rsidRPr="00D52116">
        <w:rPr>
          <w:rFonts w:ascii="Calibri" w:hAnsi="Calibri" w:cs="Calibri"/>
          <w:lang w:val="fr-CA"/>
        </w:rPr>
        <w:t xml:space="preserve"> </w:t>
      </w:r>
      <w:r w:rsidR="00AE44C5" w:rsidRPr="00D52116">
        <w:rPr>
          <w:rFonts w:ascii="Calibri" w:hAnsi="Calibri" w:cs="Calibri"/>
          <w:lang w:val="fr-CA"/>
        </w:rPr>
        <w:t>R</w:t>
      </w:r>
      <w:r w:rsidR="00F221B4" w:rsidRPr="00D52116">
        <w:rPr>
          <w:rFonts w:ascii="Calibri" w:hAnsi="Calibri" w:cs="Calibri"/>
          <w:lang w:val="fr-CA"/>
        </w:rPr>
        <w:t>é</w:t>
      </w:r>
      <w:r w:rsidR="00AE44C5" w:rsidRPr="00D52116">
        <w:rPr>
          <w:rFonts w:ascii="Calibri" w:hAnsi="Calibri" w:cs="Calibri"/>
          <w:lang w:val="fr-CA"/>
        </w:rPr>
        <w:t xml:space="preserve">solution XII.3 </w:t>
      </w:r>
      <w:r w:rsidR="00F221B4" w:rsidRPr="00D52116">
        <w:rPr>
          <w:rFonts w:ascii="Calibri" w:hAnsi="Calibri" w:cs="Calibri"/>
          <w:lang w:val="fr-CA"/>
        </w:rPr>
        <w:t xml:space="preserve">qui notait l’intérêt des </w:t>
      </w:r>
      <w:r w:rsidR="00AE44C5" w:rsidRPr="00D52116">
        <w:rPr>
          <w:rFonts w:ascii="Calibri" w:hAnsi="Calibri" w:cs="Calibri"/>
          <w:lang w:val="fr-CA"/>
        </w:rPr>
        <w:t xml:space="preserve">Parties </w:t>
      </w:r>
      <w:r w:rsidR="00F221B4" w:rsidRPr="00D52116">
        <w:rPr>
          <w:rFonts w:ascii="Calibri" w:hAnsi="Calibri" w:cs="Calibri"/>
          <w:lang w:val="fr-CA"/>
        </w:rPr>
        <w:t xml:space="preserve">à intégrer l’utilisation de l’arabe ou d’autres langues des Nations Unies dans les travaux de la </w:t>
      </w:r>
      <w:r w:rsidR="00AE44C5" w:rsidRPr="00D52116">
        <w:rPr>
          <w:rFonts w:ascii="Calibri" w:hAnsi="Calibri" w:cs="Calibri"/>
          <w:lang w:val="fr-CA"/>
        </w:rPr>
        <w:t xml:space="preserve">Convention </w:t>
      </w:r>
      <w:r w:rsidR="00F221B4" w:rsidRPr="00D52116">
        <w:rPr>
          <w:rFonts w:ascii="Calibri" w:hAnsi="Calibri" w:cs="Calibri"/>
          <w:lang w:val="fr-CA"/>
        </w:rPr>
        <w:t xml:space="preserve">afin de soutenir </w:t>
      </w:r>
      <w:r w:rsidR="004851FA">
        <w:rPr>
          <w:rFonts w:ascii="Calibri" w:hAnsi="Calibri" w:cs="Calibri"/>
          <w:lang w:val="fr-CA"/>
        </w:rPr>
        <w:t>le</w:t>
      </w:r>
      <w:r w:rsidR="00F221B4" w:rsidRPr="00D52116">
        <w:rPr>
          <w:rFonts w:ascii="Calibri" w:hAnsi="Calibri" w:cs="Calibri"/>
          <w:lang w:val="fr-CA"/>
        </w:rPr>
        <w:t xml:space="preserve"> développement </w:t>
      </w:r>
      <w:r w:rsidR="004851FA" w:rsidRPr="00D52116">
        <w:rPr>
          <w:rFonts w:ascii="Calibri" w:hAnsi="Calibri" w:cs="Calibri"/>
          <w:lang w:val="fr-CA"/>
        </w:rPr>
        <w:t xml:space="preserve">de la Convention </w:t>
      </w:r>
      <w:r w:rsidR="00F221B4" w:rsidRPr="00D52116">
        <w:rPr>
          <w:rFonts w:ascii="Calibri" w:hAnsi="Calibri" w:cs="Calibri"/>
          <w:lang w:val="fr-CA"/>
        </w:rPr>
        <w:t xml:space="preserve">et </w:t>
      </w:r>
      <w:r w:rsidR="004851FA">
        <w:rPr>
          <w:rFonts w:ascii="Calibri" w:hAnsi="Calibri" w:cs="Calibri"/>
          <w:lang w:val="fr-CA"/>
        </w:rPr>
        <w:t xml:space="preserve">d’améliorer son </w:t>
      </w:r>
      <w:r w:rsidR="00F221B4" w:rsidRPr="00D52116">
        <w:rPr>
          <w:rFonts w:ascii="Calibri" w:hAnsi="Calibri" w:cs="Calibri"/>
          <w:lang w:val="fr-CA"/>
        </w:rPr>
        <w:t>application</w:t>
      </w:r>
      <w:r w:rsidR="0024743A" w:rsidRPr="00D52116">
        <w:rPr>
          <w:rFonts w:ascii="Calibri" w:hAnsi="Calibri" w:cs="Calibri"/>
          <w:lang w:val="fr-CA"/>
        </w:rPr>
        <w:t xml:space="preserve">. </w:t>
      </w:r>
    </w:p>
    <w:p w:rsidR="00AE44C5" w:rsidRPr="00D52116" w:rsidRDefault="00AE44C5" w:rsidP="00782C29">
      <w:pPr>
        <w:pStyle w:val="ListParagraph"/>
        <w:spacing w:line="240" w:lineRule="auto"/>
        <w:ind w:left="426" w:firstLine="0"/>
        <w:outlineLvl w:val="0"/>
        <w:rPr>
          <w:rFonts w:ascii="Calibri" w:eastAsia="Helvetica" w:hAnsi="Calibri" w:cs="Calibri"/>
          <w:lang w:val="fr-CA"/>
        </w:rPr>
      </w:pPr>
    </w:p>
    <w:p w:rsidR="00AE44C5" w:rsidRPr="00D52116" w:rsidRDefault="00B8381C" w:rsidP="00782C29">
      <w:pPr>
        <w:pStyle w:val="ListParagraph"/>
        <w:numPr>
          <w:ilvl w:val="0"/>
          <w:numId w:val="1"/>
        </w:numPr>
        <w:spacing w:line="240" w:lineRule="auto"/>
        <w:ind w:left="426" w:hanging="426"/>
        <w:outlineLvl w:val="0"/>
        <w:rPr>
          <w:rFonts w:ascii="Calibri" w:eastAsia="Helvetica" w:hAnsi="Calibri" w:cs="Calibri"/>
          <w:lang w:val="fr-CA"/>
        </w:rPr>
      </w:pPr>
      <w:r w:rsidRPr="00D52116">
        <w:rPr>
          <w:rFonts w:ascii="Calibri" w:hAnsi="Calibri" w:cs="Calibri"/>
          <w:lang w:val="fr-CA"/>
        </w:rPr>
        <w:t>La Ré</w:t>
      </w:r>
      <w:r w:rsidR="0024743A" w:rsidRPr="00D52116">
        <w:rPr>
          <w:rFonts w:ascii="Calibri" w:hAnsi="Calibri" w:cs="Calibri"/>
          <w:lang w:val="fr-CA"/>
        </w:rPr>
        <w:t xml:space="preserve">solution XII.3 </w:t>
      </w:r>
      <w:r w:rsidRPr="00D52116">
        <w:rPr>
          <w:rFonts w:ascii="Calibri" w:hAnsi="Calibri" w:cs="Calibri"/>
          <w:lang w:val="fr-CA"/>
        </w:rPr>
        <w:t>demandait aussi au S</w:t>
      </w:r>
      <w:r w:rsidR="00AE44C5" w:rsidRPr="00D52116">
        <w:rPr>
          <w:rFonts w:ascii="Calibri" w:hAnsi="Calibri" w:cs="Calibri"/>
          <w:lang w:val="fr-CA"/>
        </w:rPr>
        <w:t>ec</w:t>
      </w:r>
      <w:r w:rsidRPr="00D52116">
        <w:rPr>
          <w:rFonts w:ascii="Calibri" w:hAnsi="Calibri" w:cs="Calibri"/>
          <w:lang w:val="fr-CA"/>
        </w:rPr>
        <w:t>ré</w:t>
      </w:r>
      <w:r w:rsidR="00AE44C5" w:rsidRPr="00D52116">
        <w:rPr>
          <w:rFonts w:ascii="Calibri" w:hAnsi="Calibri" w:cs="Calibri"/>
          <w:lang w:val="fr-CA"/>
        </w:rPr>
        <w:t xml:space="preserve">tariat </w:t>
      </w:r>
      <w:r w:rsidRPr="00D52116">
        <w:rPr>
          <w:rFonts w:ascii="Calibri" w:hAnsi="Calibri" w:cs="Calibri"/>
          <w:lang w:val="fr-CA"/>
        </w:rPr>
        <w:t xml:space="preserve">d’élaborer une stratégie, sous réserve des ressources disponibles, </w:t>
      </w:r>
      <w:bookmarkEnd w:id="1"/>
      <w:r w:rsidRPr="00D52116">
        <w:rPr>
          <w:rFonts w:ascii="Calibri" w:hAnsi="Calibri" w:cs="Calibri"/>
          <w:bCs/>
          <w:lang w:val="fr-CA"/>
        </w:rPr>
        <w:t>décrivant l’éventuelle intégration pas à pas de l’arabe ou d’autres langues des Nations Unies dans les travaux de la Convention</w:t>
      </w:r>
      <w:r w:rsidR="00AE44C5" w:rsidRPr="00D52116">
        <w:rPr>
          <w:rFonts w:ascii="Calibri" w:hAnsi="Calibri" w:cs="Calibri"/>
          <w:lang w:val="fr-CA"/>
        </w:rPr>
        <w:t xml:space="preserve">. </w:t>
      </w:r>
      <w:r w:rsidRPr="00D52116">
        <w:rPr>
          <w:rFonts w:ascii="Calibri" w:hAnsi="Calibri" w:cs="Calibri"/>
          <w:lang w:val="fr-CA"/>
        </w:rPr>
        <w:t>La</w:t>
      </w:r>
      <w:r w:rsidR="0024743A" w:rsidRPr="00D52116">
        <w:rPr>
          <w:rFonts w:ascii="Calibri" w:hAnsi="Calibri" w:cs="Calibri"/>
          <w:lang w:val="fr-CA"/>
        </w:rPr>
        <w:t xml:space="preserve"> </w:t>
      </w:r>
      <w:r w:rsidR="00AE44C5" w:rsidRPr="00D52116">
        <w:rPr>
          <w:rFonts w:ascii="Calibri" w:hAnsi="Calibri" w:cs="Calibri"/>
          <w:lang w:val="fr-CA"/>
        </w:rPr>
        <w:t>R</w:t>
      </w:r>
      <w:r w:rsidRPr="00D52116">
        <w:rPr>
          <w:rFonts w:ascii="Calibri" w:hAnsi="Calibri" w:cs="Calibri"/>
          <w:lang w:val="fr-CA"/>
        </w:rPr>
        <w:t>é</w:t>
      </w:r>
      <w:r w:rsidR="00AE44C5" w:rsidRPr="00D52116">
        <w:rPr>
          <w:rFonts w:ascii="Calibri" w:hAnsi="Calibri" w:cs="Calibri"/>
          <w:lang w:val="fr-CA"/>
        </w:rPr>
        <w:t>s</w:t>
      </w:r>
      <w:r w:rsidR="0024743A" w:rsidRPr="00D52116">
        <w:rPr>
          <w:rFonts w:ascii="Calibri" w:hAnsi="Calibri" w:cs="Calibri"/>
          <w:lang w:val="fr-CA"/>
        </w:rPr>
        <w:t xml:space="preserve">olution </w:t>
      </w:r>
      <w:r w:rsidRPr="00D52116">
        <w:rPr>
          <w:rFonts w:ascii="Calibri" w:hAnsi="Calibri" w:cs="Calibri"/>
          <w:lang w:val="fr-CA"/>
        </w:rPr>
        <w:t xml:space="preserve">demandait enfin au Comité permanent </w:t>
      </w:r>
      <w:r w:rsidRPr="00D52116">
        <w:rPr>
          <w:rFonts w:ascii="Calibri" w:hAnsi="Calibri" w:cs="Calibri"/>
          <w:bCs/>
          <w:lang w:val="fr-CA"/>
        </w:rPr>
        <w:t>de surveiller les progrès et de donner des conseils si nécessaire</w:t>
      </w:r>
      <w:r w:rsidR="00AE44C5" w:rsidRPr="00D52116">
        <w:rPr>
          <w:rFonts w:ascii="Calibri" w:hAnsi="Calibri" w:cs="Calibri"/>
          <w:lang w:val="fr-CA"/>
        </w:rPr>
        <w:t>.</w:t>
      </w:r>
    </w:p>
    <w:p w:rsidR="003B2333" w:rsidRPr="00D52116" w:rsidRDefault="003B2333" w:rsidP="00782C29">
      <w:pPr>
        <w:pStyle w:val="ListParagraph"/>
        <w:spacing w:line="240" w:lineRule="auto"/>
        <w:ind w:left="426" w:firstLine="0"/>
        <w:outlineLvl w:val="0"/>
        <w:rPr>
          <w:rFonts w:ascii="Calibri" w:eastAsia="Helvetica" w:hAnsi="Calibri" w:cs="Calibri"/>
          <w:lang w:val="fr-CA"/>
        </w:rPr>
      </w:pPr>
    </w:p>
    <w:p w:rsidR="00AE44C5" w:rsidRPr="00D52116" w:rsidRDefault="00B8381C" w:rsidP="00782C29">
      <w:pPr>
        <w:pStyle w:val="ListParagraph"/>
        <w:numPr>
          <w:ilvl w:val="0"/>
          <w:numId w:val="1"/>
        </w:numPr>
        <w:spacing w:line="240" w:lineRule="auto"/>
        <w:ind w:left="426" w:hanging="426"/>
        <w:outlineLvl w:val="0"/>
        <w:rPr>
          <w:rFonts w:ascii="Calibri" w:eastAsia="Helvetica" w:hAnsi="Calibri" w:cs="Calibri"/>
          <w:lang w:val="fr-CA"/>
        </w:rPr>
      </w:pPr>
      <w:r w:rsidRPr="00D52116">
        <w:rPr>
          <w:rFonts w:ascii="Calibri" w:eastAsia="Helvetica" w:hAnsi="Calibri" w:cs="Calibri"/>
          <w:lang w:val="fr-CA"/>
        </w:rPr>
        <w:t>En annexe 1 figure un projet de cahier des charges et de budget pour un consultant chargé de diriger l’élaboration de cette stratégie et les membres du Comité permanent sont</w:t>
      </w:r>
      <w:r w:rsidR="00C567B8">
        <w:rPr>
          <w:rFonts w:ascii="Calibri" w:eastAsia="Helvetica" w:hAnsi="Calibri" w:cs="Calibri"/>
          <w:lang w:val="fr-CA"/>
        </w:rPr>
        <w:t xml:space="preserve"> </w:t>
      </w:r>
      <w:r w:rsidRPr="00D52116">
        <w:rPr>
          <w:rFonts w:ascii="Calibri" w:eastAsia="Helvetica" w:hAnsi="Calibri" w:cs="Calibri"/>
          <w:lang w:val="fr-CA"/>
        </w:rPr>
        <w:t>invités à commenter ce document et à adopter une version finale à la 51</w:t>
      </w:r>
      <w:r w:rsidRPr="00D52116">
        <w:rPr>
          <w:rFonts w:ascii="Calibri" w:eastAsia="Helvetica" w:hAnsi="Calibri" w:cs="Calibri"/>
          <w:vertAlign w:val="superscript"/>
          <w:lang w:val="fr-CA"/>
        </w:rPr>
        <w:t>e</w:t>
      </w:r>
      <w:r w:rsidRPr="00D52116">
        <w:rPr>
          <w:rFonts w:ascii="Calibri" w:eastAsia="Helvetica" w:hAnsi="Calibri" w:cs="Calibri"/>
          <w:lang w:val="fr-CA"/>
        </w:rPr>
        <w:t xml:space="preserve"> Réunion du Comité permanent</w:t>
      </w:r>
      <w:r w:rsidR="00AE44C5" w:rsidRPr="00D52116">
        <w:rPr>
          <w:rFonts w:ascii="Calibri" w:eastAsia="Helvetica" w:hAnsi="Calibri" w:cs="Calibri"/>
          <w:lang w:val="fr-CA"/>
        </w:rPr>
        <w:t>.</w:t>
      </w:r>
    </w:p>
    <w:p w:rsidR="00F3078D" w:rsidRPr="00D52116" w:rsidRDefault="00F3078D" w:rsidP="00782C29">
      <w:pPr>
        <w:pStyle w:val="ListParagraph"/>
        <w:spacing w:line="240" w:lineRule="auto"/>
        <w:rPr>
          <w:rFonts w:ascii="Calibri" w:eastAsia="Helvetica" w:hAnsi="Calibri" w:cs="Calibri"/>
          <w:lang w:val="fr-CA"/>
        </w:rPr>
      </w:pPr>
    </w:p>
    <w:p w:rsidR="00F3078D" w:rsidRPr="00D52116" w:rsidRDefault="00F3078D" w:rsidP="00782C29">
      <w:pPr>
        <w:outlineLvl w:val="0"/>
        <w:rPr>
          <w:rFonts w:ascii="Calibri" w:eastAsia="Helvetica" w:hAnsi="Calibri" w:cs="Calibri"/>
          <w:lang w:val="fr-CA"/>
        </w:rPr>
      </w:pPr>
    </w:p>
    <w:p w:rsidR="00F3078D" w:rsidRPr="00D52116" w:rsidRDefault="00F3078D" w:rsidP="00782C29">
      <w:pPr>
        <w:rPr>
          <w:rFonts w:ascii="Calibri" w:eastAsia="Helvetica" w:hAnsi="Calibri" w:cs="Calibri"/>
          <w:lang w:val="fr-CA"/>
        </w:rPr>
      </w:pPr>
      <w:r w:rsidRPr="00D52116">
        <w:rPr>
          <w:rFonts w:ascii="Calibri" w:eastAsia="Helvetica" w:hAnsi="Calibri" w:cs="Calibri"/>
          <w:lang w:val="fr-CA"/>
        </w:rPr>
        <w:br w:type="page"/>
      </w:r>
    </w:p>
    <w:p w:rsidR="00F3078D" w:rsidRPr="00D52116" w:rsidRDefault="00F3078D" w:rsidP="00782C29">
      <w:pPr>
        <w:pStyle w:val="BodyText"/>
        <w:kinsoku w:val="0"/>
        <w:overflowPunct w:val="0"/>
        <w:spacing w:after="0"/>
        <w:ind w:right="-46"/>
        <w:rPr>
          <w:rFonts w:asciiTheme="minorHAnsi" w:hAnsiTheme="minorHAnsi"/>
          <w:b/>
          <w:bCs/>
          <w:lang w:val="fr-CA"/>
        </w:rPr>
      </w:pPr>
      <w:r w:rsidRPr="00D52116">
        <w:rPr>
          <w:rFonts w:asciiTheme="minorHAnsi" w:hAnsiTheme="minorHAnsi"/>
          <w:b/>
          <w:bCs/>
          <w:lang w:val="fr-CA"/>
        </w:rPr>
        <w:lastRenderedPageBreak/>
        <w:t>Annex</w:t>
      </w:r>
      <w:r w:rsidR="00AB6621" w:rsidRPr="00D52116">
        <w:rPr>
          <w:rFonts w:asciiTheme="minorHAnsi" w:hAnsiTheme="minorHAnsi"/>
          <w:b/>
          <w:bCs/>
          <w:lang w:val="fr-CA"/>
        </w:rPr>
        <w:t>e</w:t>
      </w:r>
      <w:r w:rsidRPr="00D52116">
        <w:rPr>
          <w:rFonts w:asciiTheme="minorHAnsi" w:hAnsiTheme="minorHAnsi"/>
          <w:b/>
          <w:bCs/>
          <w:lang w:val="fr-CA"/>
        </w:rPr>
        <w:t xml:space="preserve"> 1</w:t>
      </w:r>
    </w:p>
    <w:p w:rsidR="00F3078D" w:rsidRPr="00D52116" w:rsidRDefault="00F3078D" w:rsidP="00782C29">
      <w:pPr>
        <w:pStyle w:val="Default"/>
        <w:rPr>
          <w:rFonts w:asciiTheme="minorHAnsi" w:hAnsiTheme="minorHAnsi"/>
          <w:lang w:val="fr-CA"/>
        </w:rPr>
      </w:pPr>
    </w:p>
    <w:p w:rsidR="00F3078D" w:rsidRPr="00D52116" w:rsidRDefault="00AB6621" w:rsidP="00782C29">
      <w:pPr>
        <w:pStyle w:val="BodyText"/>
        <w:kinsoku w:val="0"/>
        <w:overflowPunct w:val="0"/>
        <w:spacing w:after="0"/>
        <w:ind w:right="-46"/>
        <w:rPr>
          <w:rFonts w:asciiTheme="minorHAnsi" w:hAnsiTheme="minorHAnsi"/>
          <w:b/>
          <w:bCs/>
          <w:lang w:val="fr-CA"/>
        </w:rPr>
      </w:pPr>
      <w:r w:rsidRPr="00D52116">
        <w:rPr>
          <w:rFonts w:asciiTheme="minorHAnsi" w:hAnsiTheme="minorHAnsi"/>
          <w:b/>
          <w:bCs/>
          <w:lang w:val="fr-CA"/>
        </w:rPr>
        <w:t>Cahier des charges pour un consultant chargé d’élaborer une stratégie décrivant l’éventuelle intégration pas à pas de l’arabe ou d’autres langues des Nations Unies dans les travaux de la Convention</w:t>
      </w:r>
    </w:p>
    <w:p w:rsidR="00F3078D" w:rsidRPr="00D52116" w:rsidRDefault="00F3078D" w:rsidP="00782C29">
      <w:pPr>
        <w:pStyle w:val="BodyText"/>
        <w:kinsoku w:val="0"/>
        <w:overflowPunct w:val="0"/>
        <w:spacing w:after="0"/>
        <w:ind w:right="-46"/>
        <w:rPr>
          <w:rFonts w:asciiTheme="minorHAnsi" w:hAnsiTheme="minorHAnsi"/>
          <w:b/>
          <w:bCs/>
          <w:sz w:val="22"/>
          <w:szCs w:val="22"/>
          <w:lang w:val="fr-CA"/>
        </w:rPr>
      </w:pPr>
    </w:p>
    <w:p w:rsidR="00F3078D" w:rsidRPr="00D52116" w:rsidRDefault="00F3078D" w:rsidP="00782C29">
      <w:pPr>
        <w:pStyle w:val="BodyText"/>
        <w:kinsoku w:val="0"/>
        <w:overflowPunct w:val="0"/>
        <w:spacing w:after="0"/>
        <w:ind w:right="-46"/>
        <w:rPr>
          <w:rFonts w:asciiTheme="minorHAnsi" w:hAnsiTheme="minorHAnsi"/>
          <w:b/>
          <w:bCs/>
          <w:sz w:val="22"/>
          <w:szCs w:val="22"/>
          <w:lang w:val="fr-CA"/>
        </w:rPr>
      </w:pPr>
    </w:p>
    <w:p w:rsidR="00F3078D" w:rsidRPr="00D52116" w:rsidRDefault="00AB6621" w:rsidP="00782C29">
      <w:pPr>
        <w:pStyle w:val="BodyText"/>
        <w:numPr>
          <w:ilvl w:val="0"/>
          <w:numId w:val="5"/>
        </w:numPr>
        <w:kinsoku w:val="0"/>
        <w:overflowPunct w:val="0"/>
        <w:spacing w:after="0"/>
        <w:ind w:left="284" w:right="-46" w:hanging="284"/>
        <w:rPr>
          <w:rFonts w:asciiTheme="minorHAnsi" w:hAnsiTheme="minorHAnsi"/>
          <w:b/>
          <w:bCs/>
          <w:sz w:val="22"/>
          <w:szCs w:val="22"/>
          <w:lang w:val="fr-CA"/>
        </w:rPr>
      </w:pPr>
      <w:r w:rsidRPr="00D52116">
        <w:rPr>
          <w:rFonts w:asciiTheme="minorHAnsi" w:hAnsiTheme="minorHAnsi"/>
          <w:b/>
          <w:bCs/>
          <w:sz w:val="22"/>
          <w:szCs w:val="22"/>
          <w:lang w:val="fr-CA"/>
        </w:rPr>
        <w:t>Contexte</w:t>
      </w:r>
    </w:p>
    <w:p w:rsidR="00F3078D" w:rsidRPr="00D52116" w:rsidRDefault="00F3078D" w:rsidP="00782C29">
      <w:pPr>
        <w:pStyle w:val="BodyText"/>
        <w:kinsoku w:val="0"/>
        <w:overflowPunct w:val="0"/>
        <w:spacing w:after="0"/>
        <w:ind w:right="-46"/>
        <w:rPr>
          <w:rFonts w:asciiTheme="minorHAnsi" w:hAnsiTheme="minorHAnsi"/>
          <w:sz w:val="22"/>
          <w:szCs w:val="22"/>
          <w:lang w:val="fr-CA"/>
        </w:rPr>
      </w:pPr>
    </w:p>
    <w:p w:rsidR="00F3078D" w:rsidRPr="00D52116" w:rsidRDefault="00AB6621" w:rsidP="00782C29">
      <w:pPr>
        <w:pStyle w:val="BodyText"/>
        <w:kinsoku w:val="0"/>
        <w:overflowPunct w:val="0"/>
        <w:spacing w:after="0"/>
        <w:ind w:right="-46"/>
        <w:rPr>
          <w:rFonts w:asciiTheme="minorHAnsi" w:hAnsiTheme="minorHAnsi"/>
          <w:sz w:val="22"/>
          <w:szCs w:val="22"/>
          <w:lang w:val="fr-CA"/>
        </w:rPr>
      </w:pPr>
      <w:r w:rsidRPr="00D52116">
        <w:rPr>
          <w:rFonts w:asciiTheme="minorHAnsi" w:hAnsiTheme="minorHAnsi"/>
          <w:sz w:val="22"/>
          <w:szCs w:val="22"/>
          <w:lang w:val="fr-CA"/>
        </w:rPr>
        <w:t>Actuellement</w:t>
      </w:r>
      <w:r w:rsidR="00F3078D" w:rsidRPr="00D52116">
        <w:rPr>
          <w:rFonts w:asciiTheme="minorHAnsi" w:hAnsiTheme="minorHAnsi"/>
          <w:sz w:val="22"/>
          <w:szCs w:val="22"/>
          <w:lang w:val="fr-CA"/>
        </w:rPr>
        <w:t xml:space="preserve">, </w:t>
      </w:r>
      <w:r w:rsidRPr="00D52116">
        <w:rPr>
          <w:rFonts w:asciiTheme="minorHAnsi" w:hAnsiTheme="minorHAnsi"/>
          <w:sz w:val="22"/>
          <w:szCs w:val="22"/>
          <w:lang w:val="fr-CA"/>
        </w:rPr>
        <w:t>les langues « officielles » et « de travail » de la Convention de Ramsar sont l’anglais, le français et l’espagnol. Toutefois,</w:t>
      </w:r>
      <w:r w:rsidR="00C567B8">
        <w:rPr>
          <w:rFonts w:asciiTheme="minorHAnsi" w:hAnsiTheme="minorHAnsi"/>
          <w:sz w:val="22"/>
          <w:szCs w:val="22"/>
          <w:lang w:val="fr-CA"/>
        </w:rPr>
        <w:t xml:space="preserve"> </w:t>
      </w:r>
      <w:r w:rsidRPr="00D52116">
        <w:rPr>
          <w:rFonts w:asciiTheme="minorHAnsi" w:hAnsiTheme="minorHAnsi"/>
          <w:sz w:val="22"/>
          <w:szCs w:val="22"/>
          <w:lang w:val="fr-CA"/>
        </w:rPr>
        <w:t>la</w:t>
      </w:r>
      <w:r w:rsidR="00F3078D" w:rsidRPr="00D52116">
        <w:rPr>
          <w:rFonts w:asciiTheme="minorHAnsi" w:hAnsiTheme="minorHAnsi"/>
          <w:sz w:val="22"/>
          <w:szCs w:val="22"/>
          <w:lang w:val="fr-CA"/>
        </w:rPr>
        <w:t xml:space="preserve"> Convention </w:t>
      </w:r>
      <w:r w:rsidRPr="00D52116">
        <w:rPr>
          <w:rFonts w:asciiTheme="minorHAnsi" w:hAnsiTheme="minorHAnsi"/>
          <w:sz w:val="22"/>
          <w:szCs w:val="22"/>
          <w:lang w:val="fr-CA"/>
        </w:rPr>
        <w:t>reconna</w:t>
      </w:r>
      <w:r w:rsidR="001C64E2" w:rsidRPr="00D52116">
        <w:rPr>
          <w:rFonts w:asciiTheme="minorHAnsi" w:hAnsiTheme="minorHAnsi"/>
          <w:sz w:val="22"/>
          <w:szCs w:val="22"/>
          <w:lang w:val="fr-CA"/>
        </w:rPr>
        <w:t>î</w:t>
      </w:r>
      <w:r w:rsidRPr="00D52116">
        <w:rPr>
          <w:rFonts w:asciiTheme="minorHAnsi" w:hAnsiTheme="minorHAnsi"/>
          <w:sz w:val="22"/>
          <w:szCs w:val="22"/>
          <w:lang w:val="fr-CA"/>
        </w:rPr>
        <w:t xml:space="preserve">t </w:t>
      </w:r>
      <w:r w:rsidR="001C64E2" w:rsidRPr="00D52116">
        <w:rPr>
          <w:rFonts w:asciiTheme="minorHAnsi" w:hAnsiTheme="minorHAnsi"/>
          <w:sz w:val="22"/>
          <w:szCs w:val="22"/>
          <w:lang w:val="fr-CA"/>
        </w:rPr>
        <w:t>l’importance de conduire les travaux de la Convention et de produire son matériel de communication et ses outils dans le plus grand nombre possible de langues officielles des Nations Unies</w:t>
      </w:r>
      <w:r w:rsidR="00F3078D" w:rsidRPr="00D52116">
        <w:rPr>
          <w:rFonts w:asciiTheme="minorHAnsi" w:hAnsiTheme="minorHAnsi"/>
          <w:sz w:val="22"/>
          <w:szCs w:val="22"/>
          <w:lang w:val="fr-CA"/>
        </w:rPr>
        <w:t xml:space="preserve">. </w:t>
      </w:r>
      <w:r w:rsidR="001C64E2" w:rsidRPr="00D52116">
        <w:rPr>
          <w:rFonts w:asciiTheme="minorHAnsi" w:hAnsiTheme="minorHAnsi"/>
          <w:sz w:val="22"/>
          <w:szCs w:val="22"/>
          <w:lang w:val="fr-CA"/>
        </w:rPr>
        <w:t>Les Parties à la</w:t>
      </w:r>
      <w:r w:rsidR="00F3078D" w:rsidRPr="00D52116">
        <w:rPr>
          <w:rFonts w:asciiTheme="minorHAnsi" w:hAnsiTheme="minorHAnsi"/>
          <w:sz w:val="22"/>
          <w:szCs w:val="22"/>
          <w:lang w:val="fr-CA"/>
        </w:rPr>
        <w:t xml:space="preserve"> Convention </w:t>
      </w:r>
      <w:r w:rsidR="001C64E2" w:rsidRPr="00D52116">
        <w:rPr>
          <w:rFonts w:asciiTheme="minorHAnsi" w:hAnsiTheme="minorHAnsi"/>
          <w:sz w:val="22"/>
          <w:szCs w:val="22"/>
          <w:lang w:val="fr-CA"/>
        </w:rPr>
        <w:t xml:space="preserve">ont exprimé cette opinion à travers de nombreuses décisions, notamment </w:t>
      </w:r>
      <w:r w:rsidR="00F3078D" w:rsidRPr="00D52116">
        <w:rPr>
          <w:rFonts w:asciiTheme="minorHAnsi" w:hAnsiTheme="minorHAnsi"/>
          <w:sz w:val="22"/>
          <w:szCs w:val="22"/>
          <w:lang w:val="fr-CA"/>
        </w:rPr>
        <w:t>:</w:t>
      </w:r>
    </w:p>
    <w:p w:rsidR="00F3078D" w:rsidRPr="00D52116" w:rsidRDefault="00F3078D" w:rsidP="00782C29">
      <w:pPr>
        <w:pStyle w:val="Default"/>
        <w:rPr>
          <w:lang w:val="fr-CA"/>
        </w:rPr>
      </w:pPr>
    </w:p>
    <w:p w:rsidR="00F3078D" w:rsidRPr="00D52116" w:rsidRDefault="00393AE4" w:rsidP="00782C29">
      <w:pPr>
        <w:pStyle w:val="BodyText"/>
        <w:numPr>
          <w:ilvl w:val="0"/>
          <w:numId w:val="8"/>
        </w:numPr>
        <w:kinsoku w:val="0"/>
        <w:overflowPunct w:val="0"/>
        <w:spacing w:after="0"/>
        <w:ind w:left="426" w:right="-46" w:hanging="426"/>
        <w:rPr>
          <w:rFonts w:asciiTheme="minorHAnsi" w:hAnsiTheme="minorHAnsi"/>
          <w:sz w:val="22"/>
          <w:szCs w:val="22"/>
          <w:lang w:val="fr-CA"/>
        </w:rPr>
      </w:pPr>
      <w:r>
        <w:rPr>
          <w:rFonts w:asciiTheme="minorHAnsi" w:hAnsiTheme="minorHAnsi"/>
          <w:sz w:val="22"/>
          <w:szCs w:val="22"/>
          <w:lang w:val="fr-CA"/>
        </w:rPr>
        <w:t>l</w:t>
      </w:r>
      <w:r w:rsidR="001C64E2" w:rsidRPr="00D52116">
        <w:rPr>
          <w:rFonts w:asciiTheme="minorHAnsi" w:hAnsiTheme="minorHAnsi"/>
          <w:sz w:val="22"/>
          <w:szCs w:val="22"/>
          <w:lang w:val="fr-CA"/>
        </w:rPr>
        <w:t xml:space="preserve">a </w:t>
      </w:r>
      <w:r w:rsidR="00F3078D" w:rsidRPr="00D52116">
        <w:rPr>
          <w:rFonts w:asciiTheme="minorHAnsi" w:hAnsiTheme="minorHAnsi"/>
          <w:sz w:val="22"/>
          <w:szCs w:val="22"/>
          <w:lang w:val="fr-CA"/>
        </w:rPr>
        <w:t>Recomm</w:t>
      </w:r>
      <w:r w:rsidR="001C64E2" w:rsidRPr="00D52116">
        <w:rPr>
          <w:rFonts w:asciiTheme="minorHAnsi" w:hAnsiTheme="minorHAnsi"/>
          <w:sz w:val="22"/>
          <w:szCs w:val="22"/>
          <w:lang w:val="fr-CA"/>
        </w:rPr>
        <w:t>a</w:t>
      </w:r>
      <w:r w:rsidR="00F3078D" w:rsidRPr="00D52116">
        <w:rPr>
          <w:rFonts w:asciiTheme="minorHAnsi" w:hAnsiTheme="minorHAnsi"/>
          <w:sz w:val="22"/>
          <w:szCs w:val="22"/>
          <w:lang w:val="fr-CA"/>
        </w:rPr>
        <w:t xml:space="preserve">ndation 1.7 </w:t>
      </w:r>
      <w:r w:rsidR="006E40E7" w:rsidRPr="00D52116">
        <w:rPr>
          <w:rFonts w:ascii="Calibri" w:hAnsi="Calibri"/>
          <w:i/>
          <w:sz w:val="22"/>
          <w:szCs w:val="22"/>
          <w:lang w:val="fr-CA"/>
        </w:rPr>
        <w:t>É</w:t>
      </w:r>
      <w:r w:rsidR="006E40E7" w:rsidRPr="00D52116">
        <w:rPr>
          <w:rFonts w:asciiTheme="minorHAnsi" w:hAnsiTheme="minorHAnsi"/>
          <w:i/>
          <w:sz w:val="22"/>
          <w:szCs w:val="22"/>
          <w:lang w:val="fr-CA"/>
        </w:rPr>
        <w:t>laboration d’un protocole en vue d’instaurer une procédure d’amendement à la Convention</w:t>
      </w:r>
      <w:r w:rsidR="00F3078D" w:rsidRPr="00D52116">
        <w:rPr>
          <w:rFonts w:asciiTheme="minorHAnsi" w:hAnsiTheme="minorHAnsi"/>
          <w:i/>
          <w:iCs/>
          <w:sz w:val="22"/>
          <w:szCs w:val="22"/>
          <w:lang w:val="fr-CA"/>
        </w:rPr>
        <w:t xml:space="preserve"> </w:t>
      </w:r>
      <w:r w:rsidR="00F3078D" w:rsidRPr="00D52116">
        <w:rPr>
          <w:rFonts w:asciiTheme="minorHAnsi" w:hAnsiTheme="minorHAnsi"/>
          <w:sz w:val="22"/>
          <w:szCs w:val="22"/>
          <w:lang w:val="fr-CA"/>
        </w:rPr>
        <w:t>[</w:t>
      </w:r>
      <w:hyperlink r:id="rId9" w:history="1">
        <w:r w:rsidR="00F3078D" w:rsidRPr="00D52116">
          <w:rPr>
            <w:rStyle w:val="Hyperlink"/>
            <w:rFonts w:asciiTheme="minorHAnsi" w:hAnsiTheme="minorHAnsi"/>
            <w:sz w:val="22"/>
            <w:szCs w:val="22"/>
            <w:lang w:val="fr-CA"/>
          </w:rPr>
          <w:t>link</w:t>
        </w:r>
      </w:hyperlink>
      <w:r w:rsidR="00F3078D" w:rsidRPr="00D52116">
        <w:rPr>
          <w:rFonts w:asciiTheme="minorHAnsi" w:hAnsiTheme="minorHAnsi"/>
          <w:sz w:val="22"/>
          <w:szCs w:val="22"/>
          <w:lang w:val="fr-CA"/>
        </w:rPr>
        <w:t xml:space="preserve">] </w:t>
      </w:r>
      <w:r w:rsidR="001C64E2" w:rsidRPr="00D52116">
        <w:rPr>
          <w:rFonts w:asciiTheme="minorHAnsi" w:hAnsiTheme="minorHAnsi"/>
          <w:sz w:val="22"/>
          <w:szCs w:val="22"/>
          <w:lang w:val="fr-CA"/>
        </w:rPr>
        <w:t>qui demandait que le texte de la</w:t>
      </w:r>
      <w:r w:rsidR="00C567B8">
        <w:rPr>
          <w:rFonts w:asciiTheme="minorHAnsi" w:hAnsiTheme="minorHAnsi"/>
          <w:sz w:val="22"/>
          <w:szCs w:val="22"/>
          <w:lang w:val="fr-CA"/>
        </w:rPr>
        <w:t xml:space="preserve"> </w:t>
      </w:r>
      <w:r w:rsidR="00F3078D" w:rsidRPr="00D52116">
        <w:rPr>
          <w:rFonts w:asciiTheme="minorHAnsi" w:hAnsiTheme="minorHAnsi"/>
          <w:sz w:val="22"/>
          <w:szCs w:val="22"/>
          <w:lang w:val="fr-CA"/>
        </w:rPr>
        <w:t xml:space="preserve">Convention </w:t>
      </w:r>
      <w:r w:rsidR="001C64E2" w:rsidRPr="00D52116">
        <w:rPr>
          <w:rFonts w:asciiTheme="minorHAnsi" w:hAnsiTheme="minorHAnsi"/>
          <w:sz w:val="22"/>
          <w:szCs w:val="22"/>
          <w:lang w:val="fr-CA"/>
        </w:rPr>
        <w:t>soit traduit dans les langues des Nations Unies</w:t>
      </w:r>
      <w:r w:rsidR="00F3078D" w:rsidRPr="00D52116">
        <w:rPr>
          <w:rFonts w:asciiTheme="minorHAnsi" w:hAnsiTheme="minorHAnsi"/>
          <w:sz w:val="22"/>
          <w:szCs w:val="22"/>
          <w:lang w:val="fr-CA"/>
        </w:rPr>
        <w:t>;</w:t>
      </w:r>
    </w:p>
    <w:p w:rsidR="00F3078D" w:rsidRPr="00D52116" w:rsidRDefault="00F3078D" w:rsidP="00782C29">
      <w:pPr>
        <w:pStyle w:val="Default"/>
        <w:ind w:left="426" w:hanging="426"/>
        <w:rPr>
          <w:lang w:val="fr-CA"/>
        </w:rPr>
      </w:pPr>
    </w:p>
    <w:p w:rsidR="00F3078D" w:rsidRPr="00D52116" w:rsidRDefault="00393AE4" w:rsidP="00782C29">
      <w:pPr>
        <w:pStyle w:val="BodyText"/>
        <w:numPr>
          <w:ilvl w:val="0"/>
          <w:numId w:val="8"/>
        </w:numPr>
        <w:kinsoku w:val="0"/>
        <w:overflowPunct w:val="0"/>
        <w:spacing w:after="0"/>
        <w:ind w:left="426" w:right="-46" w:hanging="426"/>
        <w:rPr>
          <w:rFonts w:asciiTheme="minorHAnsi" w:hAnsiTheme="minorHAnsi"/>
          <w:sz w:val="22"/>
          <w:szCs w:val="22"/>
          <w:lang w:val="fr-CA"/>
        </w:rPr>
      </w:pPr>
      <w:r>
        <w:rPr>
          <w:rFonts w:asciiTheme="minorHAnsi" w:hAnsiTheme="minorHAnsi"/>
          <w:sz w:val="22"/>
          <w:szCs w:val="22"/>
          <w:lang w:val="fr-CA"/>
        </w:rPr>
        <w:t>l</w:t>
      </w:r>
      <w:r w:rsidR="001C64E2" w:rsidRPr="00D52116">
        <w:rPr>
          <w:rFonts w:asciiTheme="minorHAnsi" w:hAnsiTheme="minorHAnsi"/>
          <w:sz w:val="22"/>
          <w:szCs w:val="22"/>
          <w:lang w:val="fr-CA"/>
        </w:rPr>
        <w:t xml:space="preserve">a </w:t>
      </w:r>
      <w:r w:rsidR="00F3078D" w:rsidRPr="00D52116">
        <w:rPr>
          <w:rFonts w:asciiTheme="minorHAnsi" w:hAnsiTheme="minorHAnsi"/>
          <w:sz w:val="22"/>
          <w:szCs w:val="22"/>
          <w:lang w:val="fr-CA"/>
        </w:rPr>
        <w:t>R</w:t>
      </w:r>
      <w:r w:rsidR="001C64E2" w:rsidRPr="00D52116">
        <w:rPr>
          <w:rFonts w:asciiTheme="minorHAnsi" w:hAnsiTheme="minorHAnsi"/>
          <w:sz w:val="22"/>
          <w:szCs w:val="22"/>
          <w:lang w:val="fr-CA"/>
        </w:rPr>
        <w:t>é</w:t>
      </w:r>
      <w:r w:rsidR="00AE6F2C" w:rsidRPr="00D52116">
        <w:rPr>
          <w:rFonts w:asciiTheme="minorHAnsi" w:hAnsiTheme="minorHAnsi"/>
          <w:sz w:val="22"/>
          <w:szCs w:val="22"/>
          <w:lang w:val="fr-CA"/>
        </w:rPr>
        <w:t>solu</w:t>
      </w:r>
      <w:r w:rsidR="00770C1E" w:rsidRPr="00D52116">
        <w:rPr>
          <w:rFonts w:asciiTheme="minorHAnsi" w:hAnsiTheme="minorHAnsi"/>
          <w:sz w:val="22"/>
          <w:szCs w:val="22"/>
          <w:lang w:val="fr-CA"/>
        </w:rPr>
        <w:t>tion</w:t>
      </w:r>
      <w:r w:rsidR="00F3078D" w:rsidRPr="00D52116">
        <w:rPr>
          <w:rFonts w:asciiTheme="minorHAnsi" w:hAnsiTheme="minorHAnsi"/>
          <w:sz w:val="22"/>
          <w:szCs w:val="22"/>
          <w:lang w:val="fr-CA"/>
        </w:rPr>
        <w:t xml:space="preserve"> 4.2 </w:t>
      </w:r>
      <w:r w:rsidR="006E40E7" w:rsidRPr="00D52116">
        <w:rPr>
          <w:rFonts w:asciiTheme="minorHAnsi" w:hAnsiTheme="minorHAnsi"/>
          <w:i/>
          <w:sz w:val="22"/>
          <w:szCs w:val="22"/>
          <w:lang w:val="fr-CA"/>
        </w:rPr>
        <w:t>Résolution sur les langues de travail de la</w:t>
      </w:r>
      <w:r w:rsidR="006E40E7" w:rsidRPr="00D52116">
        <w:rPr>
          <w:rFonts w:asciiTheme="minorHAnsi" w:hAnsiTheme="minorHAnsi"/>
          <w:sz w:val="22"/>
          <w:szCs w:val="22"/>
          <w:lang w:val="fr-CA"/>
        </w:rPr>
        <w:t xml:space="preserve"> </w:t>
      </w:r>
      <w:r w:rsidR="00F3078D" w:rsidRPr="00D52116">
        <w:rPr>
          <w:rFonts w:asciiTheme="minorHAnsi" w:hAnsiTheme="minorHAnsi"/>
          <w:i/>
          <w:iCs/>
          <w:sz w:val="22"/>
          <w:szCs w:val="22"/>
          <w:lang w:val="fr-CA"/>
        </w:rPr>
        <w:t>Conf</w:t>
      </w:r>
      <w:r w:rsidR="006E40E7" w:rsidRPr="00D52116">
        <w:rPr>
          <w:rFonts w:asciiTheme="minorHAnsi" w:hAnsiTheme="minorHAnsi"/>
          <w:i/>
          <w:iCs/>
          <w:sz w:val="22"/>
          <w:szCs w:val="22"/>
          <w:lang w:val="fr-CA"/>
        </w:rPr>
        <w:t>é</w:t>
      </w:r>
      <w:r w:rsidR="00F3078D" w:rsidRPr="00D52116">
        <w:rPr>
          <w:rFonts w:asciiTheme="minorHAnsi" w:hAnsiTheme="minorHAnsi"/>
          <w:i/>
          <w:iCs/>
          <w:sz w:val="22"/>
          <w:szCs w:val="22"/>
          <w:lang w:val="fr-CA"/>
        </w:rPr>
        <w:t>rence</w:t>
      </w:r>
      <w:r w:rsidR="006E40E7" w:rsidRPr="00D52116">
        <w:rPr>
          <w:rFonts w:asciiTheme="minorHAnsi" w:hAnsiTheme="minorHAnsi"/>
          <w:i/>
          <w:iCs/>
          <w:sz w:val="22"/>
          <w:szCs w:val="22"/>
          <w:lang w:val="fr-CA"/>
        </w:rPr>
        <w:t xml:space="preserve"> des</w:t>
      </w:r>
      <w:r w:rsidR="00F3078D" w:rsidRPr="00D52116">
        <w:rPr>
          <w:rFonts w:asciiTheme="minorHAnsi" w:hAnsiTheme="minorHAnsi"/>
          <w:i/>
          <w:iCs/>
          <w:sz w:val="22"/>
          <w:szCs w:val="22"/>
          <w:lang w:val="fr-CA"/>
        </w:rPr>
        <w:t xml:space="preserve"> Parties</w:t>
      </w:r>
      <w:r w:rsidR="006E40E7" w:rsidRPr="00D52116">
        <w:rPr>
          <w:rFonts w:asciiTheme="minorHAnsi" w:hAnsiTheme="minorHAnsi"/>
          <w:i/>
          <w:iCs/>
          <w:sz w:val="22"/>
          <w:szCs w:val="22"/>
          <w:lang w:val="fr-CA"/>
        </w:rPr>
        <w:t xml:space="preserve"> contractantes</w:t>
      </w:r>
      <w:r w:rsidR="00F3078D" w:rsidRPr="00D52116">
        <w:rPr>
          <w:rFonts w:asciiTheme="minorHAnsi" w:hAnsiTheme="minorHAnsi"/>
          <w:sz w:val="22"/>
          <w:szCs w:val="22"/>
          <w:lang w:val="fr-CA"/>
        </w:rPr>
        <w:t xml:space="preserve"> </w:t>
      </w:r>
      <w:r w:rsidR="001C64E2" w:rsidRPr="00D52116">
        <w:rPr>
          <w:rFonts w:asciiTheme="minorHAnsi" w:hAnsiTheme="minorHAnsi"/>
          <w:sz w:val="22"/>
          <w:szCs w:val="22"/>
          <w:lang w:val="fr-CA"/>
        </w:rPr>
        <w:t xml:space="preserve">qui décidait que l’espagnol serait une langue de travail de la </w:t>
      </w:r>
      <w:r w:rsidR="00F3078D" w:rsidRPr="00D52116">
        <w:rPr>
          <w:rFonts w:asciiTheme="minorHAnsi" w:hAnsiTheme="minorHAnsi"/>
          <w:sz w:val="22"/>
          <w:szCs w:val="22"/>
          <w:lang w:val="fr-CA"/>
        </w:rPr>
        <w:t>Conf</w:t>
      </w:r>
      <w:r w:rsidR="001C64E2" w:rsidRPr="00D52116">
        <w:rPr>
          <w:rFonts w:asciiTheme="minorHAnsi" w:hAnsiTheme="minorHAnsi"/>
          <w:sz w:val="22"/>
          <w:szCs w:val="22"/>
          <w:lang w:val="fr-CA"/>
        </w:rPr>
        <w:t>é</w:t>
      </w:r>
      <w:r w:rsidR="00F3078D" w:rsidRPr="00D52116">
        <w:rPr>
          <w:rFonts w:asciiTheme="minorHAnsi" w:hAnsiTheme="minorHAnsi"/>
          <w:sz w:val="22"/>
          <w:szCs w:val="22"/>
          <w:lang w:val="fr-CA"/>
        </w:rPr>
        <w:t xml:space="preserve">rence </w:t>
      </w:r>
      <w:r w:rsidR="001C64E2" w:rsidRPr="00D52116">
        <w:rPr>
          <w:rFonts w:asciiTheme="minorHAnsi" w:hAnsiTheme="minorHAnsi"/>
          <w:sz w:val="22"/>
          <w:szCs w:val="22"/>
          <w:lang w:val="fr-CA"/>
        </w:rPr>
        <w:t>des</w:t>
      </w:r>
      <w:r w:rsidR="00F3078D" w:rsidRPr="00D52116">
        <w:rPr>
          <w:rFonts w:asciiTheme="minorHAnsi" w:hAnsiTheme="minorHAnsi"/>
          <w:sz w:val="22"/>
          <w:szCs w:val="22"/>
          <w:lang w:val="fr-CA"/>
        </w:rPr>
        <w:t xml:space="preserve"> Parties</w:t>
      </w:r>
      <w:r w:rsidR="001C64E2" w:rsidRPr="00D52116">
        <w:rPr>
          <w:rFonts w:asciiTheme="minorHAnsi" w:hAnsiTheme="minorHAnsi"/>
          <w:sz w:val="22"/>
          <w:szCs w:val="22"/>
          <w:lang w:val="fr-CA"/>
        </w:rPr>
        <w:t xml:space="preserve"> contractantes</w:t>
      </w:r>
      <w:r w:rsidR="00F3078D" w:rsidRPr="00D52116">
        <w:rPr>
          <w:rFonts w:asciiTheme="minorHAnsi" w:hAnsiTheme="minorHAnsi"/>
          <w:sz w:val="22"/>
          <w:szCs w:val="22"/>
          <w:lang w:val="fr-CA"/>
        </w:rPr>
        <w:t xml:space="preserve"> [</w:t>
      </w:r>
      <w:hyperlink r:id="rId10" w:history="1">
        <w:r w:rsidR="00F3078D" w:rsidRPr="00D52116">
          <w:rPr>
            <w:rStyle w:val="Hyperlink"/>
            <w:rFonts w:asciiTheme="minorHAnsi" w:hAnsiTheme="minorHAnsi"/>
            <w:sz w:val="22"/>
            <w:szCs w:val="22"/>
            <w:lang w:val="fr-CA"/>
          </w:rPr>
          <w:t>lin</w:t>
        </w:r>
        <w:r w:rsidR="00F3078D" w:rsidRPr="00D52116">
          <w:rPr>
            <w:rStyle w:val="Hyperlink"/>
            <w:rFonts w:asciiTheme="minorHAnsi" w:hAnsiTheme="minorHAnsi"/>
            <w:sz w:val="22"/>
            <w:szCs w:val="22"/>
            <w:lang w:val="fr-CA"/>
          </w:rPr>
          <w:t>k</w:t>
        </w:r>
      </w:hyperlink>
      <w:r w:rsidR="00F3078D" w:rsidRPr="00D52116">
        <w:rPr>
          <w:rFonts w:asciiTheme="minorHAnsi" w:hAnsiTheme="minorHAnsi"/>
          <w:sz w:val="22"/>
          <w:szCs w:val="22"/>
          <w:lang w:val="fr-CA"/>
        </w:rPr>
        <w:t>];</w:t>
      </w:r>
    </w:p>
    <w:p w:rsidR="00F3078D" w:rsidRPr="00D52116" w:rsidRDefault="00F3078D" w:rsidP="00782C29">
      <w:pPr>
        <w:pStyle w:val="Default"/>
        <w:ind w:left="426" w:hanging="426"/>
        <w:rPr>
          <w:lang w:val="fr-CA"/>
        </w:rPr>
      </w:pPr>
    </w:p>
    <w:p w:rsidR="00F3078D" w:rsidRPr="00D52116" w:rsidRDefault="00393AE4" w:rsidP="00782C29">
      <w:pPr>
        <w:pStyle w:val="BodyText"/>
        <w:numPr>
          <w:ilvl w:val="0"/>
          <w:numId w:val="8"/>
        </w:numPr>
        <w:kinsoku w:val="0"/>
        <w:overflowPunct w:val="0"/>
        <w:spacing w:after="0"/>
        <w:ind w:left="426" w:right="-46" w:hanging="426"/>
        <w:rPr>
          <w:rFonts w:asciiTheme="minorHAnsi" w:hAnsiTheme="minorHAnsi"/>
          <w:sz w:val="22"/>
          <w:szCs w:val="22"/>
          <w:lang w:val="fr-CA"/>
        </w:rPr>
      </w:pPr>
      <w:r>
        <w:rPr>
          <w:rFonts w:asciiTheme="minorHAnsi" w:hAnsiTheme="minorHAnsi"/>
          <w:sz w:val="22"/>
          <w:szCs w:val="22"/>
          <w:lang w:val="fr-CA"/>
        </w:rPr>
        <w:t>l</w:t>
      </w:r>
      <w:r w:rsidR="001C64E2" w:rsidRPr="00D52116">
        <w:rPr>
          <w:rFonts w:asciiTheme="minorHAnsi" w:hAnsiTheme="minorHAnsi"/>
          <w:sz w:val="22"/>
          <w:szCs w:val="22"/>
          <w:lang w:val="fr-CA"/>
        </w:rPr>
        <w:t xml:space="preserve">a </w:t>
      </w:r>
      <w:r w:rsidR="00F3078D" w:rsidRPr="00D52116">
        <w:rPr>
          <w:rFonts w:asciiTheme="minorHAnsi" w:hAnsiTheme="minorHAnsi"/>
          <w:sz w:val="22"/>
          <w:szCs w:val="22"/>
          <w:lang w:val="fr-CA"/>
        </w:rPr>
        <w:t>Recomm</w:t>
      </w:r>
      <w:r w:rsidR="001C64E2" w:rsidRPr="00D52116">
        <w:rPr>
          <w:rFonts w:asciiTheme="minorHAnsi" w:hAnsiTheme="minorHAnsi"/>
          <w:sz w:val="22"/>
          <w:szCs w:val="22"/>
          <w:lang w:val="fr-CA"/>
        </w:rPr>
        <w:t>a</w:t>
      </w:r>
      <w:r w:rsidR="00F3078D" w:rsidRPr="00D52116">
        <w:rPr>
          <w:rFonts w:asciiTheme="minorHAnsi" w:hAnsiTheme="minorHAnsi"/>
          <w:sz w:val="22"/>
          <w:szCs w:val="22"/>
          <w:lang w:val="fr-CA"/>
        </w:rPr>
        <w:t>ndatio</w:t>
      </w:r>
      <w:bookmarkStart w:id="2" w:name="_GoBack"/>
      <w:bookmarkEnd w:id="2"/>
      <w:r w:rsidR="00F3078D" w:rsidRPr="00D52116">
        <w:rPr>
          <w:rFonts w:asciiTheme="minorHAnsi" w:hAnsiTheme="minorHAnsi"/>
          <w:sz w:val="22"/>
          <w:szCs w:val="22"/>
          <w:lang w:val="fr-CA"/>
        </w:rPr>
        <w:t xml:space="preserve">n 5.15 </w:t>
      </w:r>
      <w:r w:rsidR="009D7098" w:rsidRPr="00D52116">
        <w:rPr>
          <w:rFonts w:asciiTheme="minorHAnsi" w:hAnsiTheme="minorHAnsi"/>
          <w:i/>
          <w:iCs/>
          <w:sz w:val="22"/>
          <w:szCs w:val="22"/>
          <w:lang w:val="fr-CA"/>
        </w:rPr>
        <w:t>Sur les langues de travail de la Conférence des Parties contractantes</w:t>
      </w:r>
      <w:r w:rsidR="00F3078D" w:rsidRPr="00D52116">
        <w:rPr>
          <w:rFonts w:asciiTheme="minorHAnsi" w:hAnsiTheme="minorHAnsi"/>
          <w:sz w:val="22"/>
          <w:szCs w:val="22"/>
          <w:lang w:val="fr-CA"/>
        </w:rPr>
        <w:t xml:space="preserve"> [</w:t>
      </w:r>
      <w:hyperlink r:id="rId11" w:history="1">
        <w:r w:rsidR="00F3078D" w:rsidRPr="00D52116">
          <w:rPr>
            <w:rStyle w:val="Hyperlink"/>
            <w:rFonts w:asciiTheme="minorHAnsi" w:hAnsiTheme="minorHAnsi"/>
            <w:sz w:val="22"/>
            <w:szCs w:val="22"/>
            <w:lang w:val="fr-CA"/>
          </w:rPr>
          <w:t>link</w:t>
        </w:r>
      </w:hyperlink>
      <w:r w:rsidR="00F3078D" w:rsidRPr="00D52116">
        <w:rPr>
          <w:rFonts w:asciiTheme="minorHAnsi" w:hAnsiTheme="minorHAnsi"/>
          <w:sz w:val="22"/>
          <w:szCs w:val="22"/>
          <w:lang w:val="fr-CA"/>
        </w:rPr>
        <w:t xml:space="preserve">] </w:t>
      </w:r>
      <w:r w:rsidR="001C64E2" w:rsidRPr="00D52116">
        <w:rPr>
          <w:rFonts w:asciiTheme="minorHAnsi" w:hAnsiTheme="minorHAnsi"/>
          <w:sz w:val="22"/>
          <w:szCs w:val="22"/>
          <w:lang w:val="fr-CA"/>
        </w:rPr>
        <w:t xml:space="preserve">qui appelait le Bureau de la </w:t>
      </w:r>
      <w:r w:rsidR="00F3078D" w:rsidRPr="00D52116">
        <w:rPr>
          <w:rFonts w:asciiTheme="minorHAnsi" w:hAnsiTheme="minorHAnsi"/>
          <w:sz w:val="22"/>
          <w:szCs w:val="22"/>
          <w:lang w:val="fr-CA"/>
        </w:rPr>
        <w:t xml:space="preserve">Convention </w:t>
      </w:r>
      <w:r w:rsidR="001C64E2" w:rsidRPr="00D52116">
        <w:rPr>
          <w:rFonts w:asciiTheme="minorHAnsi" w:hAnsiTheme="minorHAnsi"/>
          <w:sz w:val="22"/>
          <w:szCs w:val="22"/>
          <w:lang w:val="fr-CA"/>
        </w:rPr>
        <w:t xml:space="preserve">à étudier la possibilité d’adopter l’arabe comme langue de travail de la </w:t>
      </w:r>
      <w:r w:rsidR="00F3078D" w:rsidRPr="00D52116">
        <w:rPr>
          <w:rFonts w:asciiTheme="minorHAnsi" w:hAnsiTheme="minorHAnsi"/>
          <w:sz w:val="22"/>
          <w:szCs w:val="22"/>
          <w:lang w:val="fr-CA"/>
        </w:rPr>
        <w:t>Conf</w:t>
      </w:r>
      <w:r w:rsidR="001C64E2" w:rsidRPr="00D52116">
        <w:rPr>
          <w:rFonts w:asciiTheme="minorHAnsi" w:hAnsiTheme="minorHAnsi"/>
          <w:sz w:val="22"/>
          <w:szCs w:val="22"/>
          <w:lang w:val="fr-CA"/>
        </w:rPr>
        <w:t>é</w:t>
      </w:r>
      <w:r w:rsidR="00F3078D" w:rsidRPr="00D52116">
        <w:rPr>
          <w:rFonts w:asciiTheme="minorHAnsi" w:hAnsiTheme="minorHAnsi"/>
          <w:sz w:val="22"/>
          <w:szCs w:val="22"/>
          <w:lang w:val="fr-CA"/>
        </w:rPr>
        <w:t xml:space="preserve">rence </w:t>
      </w:r>
      <w:r w:rsidR="001C64E2" w:rsidRPr="00D52116">
        <w:rPr>
          <w:rFonts w:asciiTheme="minorHAnsi" w:hAnsiTheme="minorHAnsi"/>
          <w:sz w:val="22"/>
          <w:szCs w:val="22"/>
          <w:lang w:val="fr-CA"/>
        </w:rPr>
        <w:t xml:space="preserve">et demandait aussi aux Parties et </w:t>
      </w:r>
      <w:r w:rsidR="004031DE">
        <w:rPr>
          <w:rFonts w:asciiTheme="minorHAnsi" w:hAnsiTheme="minorHAnsi"/>
          <w:sz w:val="22"/>
          <w:szCs w:val="22"/>
          <w:lang w:val="fr-CA"/>
        </w:rPr>
        <w:t>Pa</w:t>
      </w:r>
      <w:r w:rsidR="001C64E2" w:rsidRPr="00D52116">
        <w:rPr>
          <w:rFonts w:asciiTheme="minorHAnsi" w:hAnsiTheme="minorHAnsi"/>
          <w:sz w:val="22"/>
          <w:szCs w:val="22"/>
          <w:lang w:val="fr-CA"/>
        </w:rPr>
        <w:t>rties potentielles arabophones</w:t>
      </w:r>
      <w:r w:rsidR="00F3078D" w:rsidRPr="00D52116">
        <w:rPr>
          <w:rFonts w:asciiTheme="minorHAnsi" w:hAnsiTheme="minorHAnsi"/>
          <w:sz w:val="22"/>
          <w:szCs w:val="22"/>
          <w:lang w:val="fr-CA"/>
        </w:rPr>
        <w:t xml:space="preserve"> </w:t>
      </w:r>
      <w:r w:rsidR="001C64E2" w:rsidRPr="00D52116">
        <w:rPr>
          <w:rFonts w:asciiTheme="minorHAnsi" w:hAnsiTheme="minorHAnsi"/>
          <w:sz w:val="22"/>
          <w:szCs w:val="22"/>
          <w:lang w:val="fr-CA"/>
        </w:rPr>
        <w:t>d’aider le</w:t>
      </w:r>
      <w:r w:rsidR="00F3078D" w:rsidRPr="00D52116">
        <w:rPr>
          <w:rFonts w:asciiTheme="minorHAnsi" w:hAnsiTheme="minorHAnsi"/>
          <w:sz w:val="22"/>
          <w:szCs w:val="22"/>
          <w:lang w:val="fr-CA"/>
        </w:rPr>
        <w:t xml:space="preserve"> Bureau </w:t>
      </w:r>
      <w:r w:rsidR="001C64E2" w:rsidRPr="00D52116">
        <w:rPr>
          <w:rFonts w:asciiTheme="minorHAnsi" w:hAnsiTheme="minorHAnsi"/>
          <w:sz w:val="22"/>
          <w:szCs w:val="22"/>
          <w:lang w:val="fr-CA"/>
        </w:rPr>
        <w:t>à rechercher les fonds nécessaires pour pouvoir adopter</w:t>
      </w:r>
      <w:r w:rsidR="00C567B8">
        <w:rPr>
          <w:rFonts w:asciiTheme="minorHAnsi" w:hAnsiTheme="minorHAnsi"/>
          <w:sz w:val="22"/>
          <w:szCs w:val="22"/>
          <w:lang w:val="fr-CA"/>
        </w:rPr>
        <w:t xml:space="preserve"> </w:t>
      </w:r>
      <w:r w:rsidR="001C64E2" w:rsidRPr="00D52116">
        <w:rPr>
          <w:rFonts w:asciiTheme="minorHAnsi" w:hAnsiTheme="minorHAnsi"/>
          <w:sz w:val="22"/>
          <w:szCs w:val="22"/>
          <w:lang w:val="fr-CA"/>
        </w:rPr>
        <w:t xml:space="preserve">l’arabe comme langue de travail de la </w:t>
      </w:r>
      <w:r w:rsidR="003D7DAD" w:rsidRPr="00D52116">
        <w:rPr>
          <w:rFonts w:asciiTheme="minorHAnsi" w:hAnsiTheme="minorHAnsi"/>
          <w:sz w:val="22"/>
          <w:szCs w:val="22"/>
          <w:lang w:val="fr-CA"/>
        </w:rPr>
        <w:t>Conférence des Parties contractantes</w:t>
      </w:r>
      <w:r w:rsidR="00F3078D" w:rsidRPr="00D52116">
        <w:rPr>
          <w:rFonts w:asciiTheme="minorHAnsi" w:hAnsiTheme="minorHAnsi"/>
          <w:sz w:val="22"/>
          <w:szCs w:val="22"/>
          <w:lang w:val="fr-CA"/>
        </w:rPr>
        <w:t>;</w:t>
      </w:r>
    </w:p>
    <w:p w:rsidR="00F3078D" w:rsidRPr="00D52116" w:rsidRDefault="00F3078D" w:rsidP="00782C29">
      <w:pPr>
        <w:pStyle w:val="Default"/>
        <w:ind w:left="426" w:hanging="426"/>
        <w:rPr>
          <w:lang w:val="fr-CA"/>
        </w:rPr>
      </w:pPr>
    </w:p>
    <w:p w:rsidR="00F3078D" w:rsidRPr="00D52116" w:rsidRDefault="00393AE4" w:rsidP="00782C29">
      <w:pPr>
        <w:pStyle w:val="BodyText"/>
        <w:numPr>
          <w:ilvl w:val="0"/>
          <w:numId w:val="8"/>
        </w:numPr>
        <w:kinsoku w:val="0"/>
        <w:overflowPunct w:val="0"/>
        <w:spacing w:after="0"/>
        <w:ind w:left="426" w:right="-46" w:hanging="426"/>
        <w:rPr>
          <w:rFonts w:asciiTheme="minorHAnsi" w:hAnsiTheme="minorHAnsi"/>
          <w:sz w:val="22"/>
          <w:szCs w:val="22"/>
          <w:lang w:val="fr-CA"/>
        </w:rPr>
      </w:pPr>
      <w:r>
        <w:rPr>
          <w:rFonts w:asciiTheme="minorHAnsi" w:hAnsiTheme="minorHAnsi"/>
          <w:sz w:val="22"/>
          <w:szCs w:val="22"/>
          <w:lang w:val="fr-CA"/>
        </w:rPr>
        <w:t>l</w:t>
      </w:r>
      <w:r w:rsidR="003D7DAD" w:rsidRPr="00D52116">
        <w:rPr>
          <w:rFonts w:asciiTheme="minorHAnsi" w:hAnsiTheme="minorHAnsi"/>
          <w:sz w:val="22"/>
          <w:szCs w:val="22"/>
          <w:lang w:val="fr-CA"/>
        </w:rPr>
        <w:t xml:space="preserve">a Résolution </w:t>
      </w:r>
      <w:r w:rsidR="00F3078D" w:rsidRPr="00D52116">
        <w:rPr>
          <w:rFonts w:asciiTheme="minorHAnsi" w:hAnsiTheme="minorHAnsi"/>
          <w:sz w:val="22"/>
          <w:szCs w:val="22"/>
          <w:lang w:val="fr-CA"/>
        </w:rPr>
        <w:t xml:space="preserve">XI.1 </w:t>
      </w:r>
      <w:r w:rsidR="009D7098" w:rsidRPr="00D52116">
        <w:rPr>
          <w:rFonts w:asciiTheme="minorHAnsi" w:hAnsiTheme="minorHAnsi"/>
          <w:i/>
          <w:iCs/>
          <w:sz w:val="22"/>
          <w:szCs w:val="22"/>
          <w:lang w:val="fr-CA"/>
        </w:rPr>
        <w:t>Accueil institutionnel du Secrétariat</w:t>
      </w:r>
      <w:r w:rsidR="00F3078D" w:rsidRPr="00D52116">
        <w:rPr>
          <w:rFonts w:asciiTheme="minorHAnsi" w:hAnsiTheme="minorHAnsi"/>
          <w:i/>
          <w:iCs/>
          <w:sz w:val="22"/>
          <w:szCs w:val="22"/>
          <w:lang w:val="fr-CA"/>
        </w:rPr>
        <w:t xml:space="preserve"> Ramsar </w:t>
      </w:r>
      <w:r w:rsidR="00F3078D" w:rsidRPr="00D52116">
        <w:rPr>
          <w:rFonts w:asciiTheme="minorHAnsi" w:hAnsiTheme="minorHAnsi"/>
          <w:sz w:val="22"/>
          <w:szCs w:val="22"/>
          <w:lang w:val="fr-CA"/>
        </w:rPr>
        <w:t>[</w:t>
      </w:r>
      <w:hyperlink r:id="rId12" w:history="1">
        <w:r w:rsidR="00F3078D" w:rsidRPr="00D52116">
          <w:rPr>
            <w:rStyle w:val="Hyperlink"/>
            <w:rFonts w:asciiTheme="minorHAnsi" w:hAnsiTheme="minorHAnsi"/>
            <w:sz w:val="22"/>
            <w:szCs w:val="22"/>
            <w:lang w:val="fr-CA"/>
          </w:rPr>
          <w:t>link</w:t>
        </w:r>
      </w:hyperlink>
      <w:r w:rsidR="00F3078D" w:rsidRPr="00D52116">
        <w:rPr>
          <w:rFonts w:asciiTheme="minorHAnsi" w:hAnsiTheme="minorHAnsi"/>
          <w:sz w:val="22"/>
          <w:szCs w:val="22"/>
          <w:lang w:val="fr-CA"/>
        </w:rPr>
        <w:t xml:space="preserve">] </w:t>
      </w:r>
      <w:r w:rsidR="00215034" w:rsidRPr="00D52116">
        <w:rPr>
          <w:rFonts w:asciiTheme="minorHAnsi" w:hAnsiTheme="minorHAnsi"/>
          <w:sz w:val="22"/>
          <w:szCs w:val="22"/>
          <w:lang w:val="fr-CA"/>
        </w:rPr>
        <w:t>qui donnait instruction</w:t>
      </w:r>
      <w:r w:rsidR="00F3078D" w:rsidRPr="00D52116">
        <w:rPr>
          <w:rFonts w:asciiTheme="minorHAnsi" w:hAnsiTheme="minorHAnsi"/>
          <w:sz w:val="22"/>
          <w:szCs w:val="22"/>
          <w:lang w:val="fr-CA"/>
        </w:rPr>
        <w:t xml:space="preserve"> </w:t>
      </w:r>
      <w:r w:rsidR="00215034" w:rsidRPr="00D52116">
        <w:rPr>
          <w:rFonts w:asciiTheme="minorHAnsi" w:hAnsiTheme="minorHAnsi"/>
          <w:sz w:val="22"/>
          <w:szCs w:val="22"/>
          <w:lang w:val="fr-CA"/>
        </w:rPr>
        <w:t>au Comité permanent</w:t>
      </w:r>
      <w:r w:rsidR="00B91E99" w:rsidRPr="00D52116">
        <w:rPr>
          <w:rFonts w:asciiTheme="minorHAnsi" w:hAnsiTheme="minorHAnsi"/>
          <w:sz w:val="22"/>
          <w:szCs w:val="22"/>
          <w:lang w:val="fr-CA"/>
        </w:rPr>
        <w:t>,</w:t>
      </w:r>
      <w:r w:rsidR="00F3078D" w:rsidRPr="00D52116">
        <w:rPr>
          <w:rFonts w:asciiTheme="minorHAnsi" w:hAnsiTheme="minorHAnsi"/>
          <w:sz w:val="22"/>
          <w:szCs w:val="22"/>
          <w:lang w:val="fr-CA"/>
        </w:rPr>
        <w:t xml:space="preserve"> </w:t>
      </w:r>
      <w:r w:rsidR="00B91E99" w:rsidRPr="00D52116">
        <w:rPr>
          <w:rFonts w:asciiTheme="minorHAnsi" w:hAnsiTheme="minorHAnsi"/>
          <w:sz w:val="22"/>
          <w:szCs w:val="22"/>
          <w:lang w:val="fr-CA"/>
        </w:rPr>
        <w:t>par l’intermédiaire d’un groupe de travail approprié, d’élaborer des stratégies pour étudier l’intégration des langues des Nations Unies dans la</w:t>
      </w:r>
      <w:r w:rsidR="00F3078D" w:rsidRPr="00D52116">
        <w:rPr>
          <w:rFonts w:asciiTheme="minorHAnsi" w:hAnsiTheme="minorHAnsi"/>
          <w:sz w:val="22"/>
          <w:szCs w:val="22"/>
          <w:lang w:val="fr-CA"/>
        </w:rPr>
        <w:t xml:space="preserve"> Convention;</w:t>
      </w:r>
    </w:p>
    <w:p w:rsidR="00F3078D" w:rsidRPr="00D52116" w:rsidRDefault="00F3078D" w:rsidP="00782C29">
      <w:pPr>
        <w:pStyle w:val="Default"/>
        <w:ind w:left="426" w:hanging="426"/>
        <w:rPr>
          <w:lang w:val="fr-CA"/>
        </w:rPr>
      </w:pPr>
    </w:p>
    <w:p w:rsidR="00F3078D" w:rsidRPr="00D52116" w:rsidRDefault="00393AE4" w:rsidP="00782C29">
      <w:pPr>
        <w:pStyle w:val="BodyText"/>
        <w:numPr>
          <w:ilvl w:val="0"/>
          <w:numId w:val="8"/>
        </w:numPr>
        <w:kinsoku w:val="0"/>
        <w:overflowPunct w:val="0"/>
        <w:spacing w:after="0"/>
        <w:ind w:left="426" w:right="-46" w:hanging="426"/>
        <w:rPr>
          <w:rFonts w:asciiTheme="minorHAnsi" w:hAnsiTheme="minorHAnsi" w:cs="Calibri"/>
          <w:color w:val="000000"/>
          <w:sz w:val="22"/>
          <w:szCs w:val="22"/>
          <w:lang w:val="fr-CA"/>
        </w:rPr>
      </w:pPr>
      <w:r>
        <w:rPr>
          <w:rFonts w:asciiTheme="minorHAnsi" w:hAnsiTheme="minorHAnsi"/>
          <w:sz w:val="22"/>
          <w:szCs w:val="22"/>
          <w:lang w:val="fr-CA"/>
        </w:rPr>
        <w:t>l</w:t>
      </w:r>
      <w:r w:rsidR="00F66CDD" w:rsidRPr="00D52116">
        <w:rPr>
          <w:rFonts w:asciiTheme="minorHAnsi" w:hAnsiTheme="minorHAnsi"/>
          <w:sz w:val="22"/>
          <w:szCs w:val="22"/>
          <w:lang w:val="fr-CA"/>
        </w:rPr>
        <w:t xml:space="preserve">e document </w:t>
      </w:r>
      <w:r w:rsidR="00F3078D" w:rsidRPr="00D52116">
        <w:rPr>
          <w:rFonts w:asciiTheme="minorHAnsi" w:hAnsiTheme="minorHAnsi"/>
          <w:sz w:val="22"/>
          <w:szCs w:val="22"/>
          <w:lang w:val="fr-CA"/>
        </w:rPr>
        <w:t>SC47</w:t>
      </w:r>
      <w:r w:rsidR="00770C1E" w:rsidRPr="00D52116">
        <w:rPr>
          <w:rFonts w:asciiTheme="minorHAnsi" w:hAnsiTheme="minorHAnsi"/>
          <w:sz w:val="22"/>
          <w:szCs w:val="22"/>
          <w:lang w:val="fr-CA"/>
        </w:rPr>
        <w:t>-0</w:t>
      </w:r>
      <w:r w:rsidR="00F3078D" w:rsidRPr="00D52116">
        <w:rPr>
          <w:rFonts w:asciiTheme="minorHAnsi" w:hAnsiTheme="minorHAnsi"/>
          <w:sz w:val="22"/>
          <w:szCs w:val="22"/>
          <w:lang w:val="fr-CA"/>
        </w:rPr>
        <w:t xml:space="preserve">2 </w:t>
      </w:r>
      <w:r w:rsidR="00F3078D" w:rsidRPr="00D52116">
        <w:rPr>
          <w:rFonts w:asciiTheme="minorHAnsi" w:hAnsiTheme="minorHAnsi"/>
          <w:i/>
          <w:iCs/>
          <w:sz w:val="22"/>
          <w:szCs w:val="22"/>
          <w:lang w:val="fr-CA"/>
        </w:rPr>
        <w:t xml:space="preserve">Progress report: Subgroups to progress Resolution XI.1 </w:t>
      </w:r>
      <w:r w:rsidR="00F3078D" w:rsidRPr="004031DE">
        <w:rPr>
          <w:rFonts w:asciiTheme="minorHAnsi" w:hAnsiTheme="minorHAnsi"/>
          <w:i/>
          <w:iCs/>
          <w:sz w:val="22"/>
          <w:szCs w:val="22"/>
          <w:lang w:val="fr-CA"/>
        </w:rPr>
        <w:t>(Convention languages, visibility and ministerial COP segment, enhancing synergies with multilateral environmental agreements and other international entities</w:t>
      </w:r>
      <w:r w:rsidR="00F3078D" w:rsidRPr="004031DE">
        <w:rPr>
          <w:rFonts w:asciiTheme="minorHAnsi" w:eastAsiaTheme="minorHAnsi" w:hAnsiTheme="minorHAnsi" w:cs="Calibri"/>
          <w:i/>
          <w:iCs/>
          <w:color w:val="000000"/>
          <w:sz w:val="22"/>
          <w:szCs w:val="22"/>
          <w:lang w:val="fr-CA" w:eastAsia="en-US"/>
        </w:rPr>
        <w:t>)</w:t>
      </w:r>
      <w:r w:rsidR="00F3078D" w:rsidRPr="00D52116">
        <w:rPr>
          <w:rFonts w:asciiTheme="minorHAnsi" w:eastAsiaTheme="minorHAnsi" w:hAnsiTheme="minorHAnsi" w:cs="Calibri"/>
          <w:color w:val="000000"/>
          <w:sz w:val="22"/>
          <w:szCs w:val="22"/>
          <w:lang w:val="fr-CA" w:eastAsia="en-US"/>
        </w:rPr>
        <w:t xml:space="preserve"> [</w:t>
      </w:r>
      <w:hyperlink r:id="rId13" w:history="1">
        <w:r w:rsidR="00F3078D" w:rsidRPr="00D52116">
          <w:rPr>
            <w:rStyle w:val="Hyperlink"/>
            <w:rFonts w:asciiTheme="minorHAnsi" w:eastAsiaTheme="minorHAnsi" w:hAnsiTheme="minorHAnsi" w:cs="Calibri"/>
            <w:sz w:val="22"/>
            <w:szCs w:val="22"/>
            <w:lang w:val="fr-CA" w:eastAsia="en-US"/>
          </w:rPr>
          <w:t>link</w:t>
        </w:r>
      </w:hyperlink>
      <w:r w:rsidR="00F3078D" w:rsidRPr="00D52116">
        <w:rPr>
          <w:rFonts w:asciiTheme="minorHAnsi" w:eastAsiaTheme="minorHAnsi" w:hAnsiTheme="minorHAnsi" w:cs="Calibri"/>
          <w:color w:val="000000"/>
          <w:sz w:val="22"/>
          <w:szCs w:val="22"/>
          <w:lang w:val="fr-CA" w:eastAsia="en-US"/>
        </w:rPr>
        <w:t xml:space="preserve">] </w:t>
      </w:r>
      <w:r w:rsidR="00F66CDD" w:rsidRPr="00D52116">
        <w:rPr>
          <w:rFonts w:asciiTheme="minorHAnsi" w:eastAsiaTheme="minorHAnsi" w:hAnsiTheme="minorHAnsi" w:cs="Calibri"/>
          <w:color w:val="000000"/>
          <w:sz w:val="22"/>
          <w:szCs w:val="22"/>
          <w:lang w:val="fr-CA" w:eastAsia="en-US"/>
        </w:rPr>
        <w:t>qui présentait diverses options et recommandait un ensemble d’actions au Groupe de trav</w:t>
      </w:r>
      <w:r w:rsidR="00A147F0" w:rsidRPr="00D52116">
        <w:rPr>
          <w:rFonts w:asciiTheme="minorHAnsi" w:eastAsiaTheme="minorHAnsi" w:hAnsiTheme="minorHAnsi" w:cs="Calibri"/>
          <w:color w:val="000000"/>
          <w:sz w:val="22"/>
          <w:szCs w:val="22"/>
          <w:lang w:val="fr-CA" w:eastAsia="en-US"/>
        </w:rPr>
        <w:t>a</w:t>
      </w:r>
      <w:r w:rsidR="00F66CDD" w:rsidRPr="00D52116">
        <w:rPr>
          <w:rFonts w:asciiTheme="minorHAnsi" w:eastAsiaTheme="minorHAnsi" w:hAnsiTheme="minorHAnsi" w:cs="Calibri"/>
          <w:color w:val="000000"/>
          <w:sz w:val="22"/>
          <w:szCs w:val="22"/>
          <w:lang w:val="fr-CA" w:eastAsia="en-US"/>
        </w:rPr>
        <w:t>il sur la gestion du Comité permanent sur</w:t>
      </w:r>
      <w:r w:rsidR="00A147F0" w:rsidRPr="00D52116">
        <w:rPr>
          <w:rFonts w:asciiTheme="minorHAnsi" w:eastAsiaTheme="minorHAnsi" w:hAnsiTheme="minorHAnsi" w:cs="Calibri"/>
          <w:color w:val="000000"/>
          <w:sz w:val="22"/>
          <w:szCs w:val="22"/>
          <w:lang w:val="fr-CA" w:eastAsia="en-US"/>
        </w:rPr>
        <w:t xml:space="preserve"> les moyens</w:t>
      </w:r>
      <w:r w:rsidR="00F66CDD" w:rsidRPr="00D52116">
        <w:rPr>
          <w:rFonts w:asciiTheme="minorHAnsi" w:eastAsiaTheme="minorHAnsi" w:hAnsiTheme="minorHAnsi" w:cs="Calibri"/>
          <w:color w:val="000000"/>
          <w:sz w:val="22"/>
          <w:szCs w:val="22"/>
          <w:lang w:val="fr-CA" w:eastAsia="en-US"/>
        </w:rPr>
        <w:t xml:space="preserve"> </w:t>
      </w:r>
      <w:r w:rsidR="00F3078D" w:rsidRPr="00D52116">
        <w:rPr>
          <w:rFonts w:asciiTheme="minorHAnsi" w:hAnsiTheme="minorHAnsi" w:cs="Calibri"/>
          <w:color w:val="000000"/>
          <w:sz w:val="22"/>
          <w:szCs w:val="22"/>
          <w:lang w:val="fr-CA"/>
        </w:rPr>
        <w:t xml:space="preserve">: </w:t>
      </w:r>
    </w:p>
    <w:p w:rsidR="00F3078D" w:rsidRPr="00D52116" w:rsidRDefault="00F3078D" w:rsidP="00782C29">
      <w:pPr>
        <w:pStyle w:val="Default"/>
        <w:rPr>
          <w:lang w:val="fr-CA"/>
        </w:rPr>
      </w:pPr>
    </w:p>
    <w:p w:rsidR="00F3078D" w:rsidRPr="00D52116" w:rsidRDefault="00A147F0" w:rsidP="00782C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lang w:val="fr-CA"/>
        </w:rPr>
      </w:pPr>
      <w:r w:rsidRPr="00D52116">
        <w:rPr>
          <w:rFonts w:asciiTheme="minorHAnsi" w:hAnsiTheme="minorHAnsi" w:cs="Calibri"/>
          <w:lang w:val="fr-CA"/>
        </w:rPr>
        <w:t xml:space="preserve">de faire en sorte que les séances plénières de la </w:t>
      </w:r>
      <w:r w:rsidR="00F3078D" w:rsidRPr="00D52116">
        <w:rPr>
          <w:rFonts w:asciiTheme="minorHAnsi" w:hAnsiTheme="minorHAnsi" w:cs="Calibri"/>
          <w:lang w:val="fr-CA"/>
        </w:rPr>
        <w:t>Conf</w:t>
      </w:r>
      <w:r w:rsidRPr="00D52116">
        <w:rPr>
          <w:rFonts w:asciiTheme="minorHAnsi" w:hAnsiTheme="minorHAnsi" w:cs="Calibri"/>
          <w:lang w:val="fr-CA"/>
        </w:rPr>
        <w:t>é</w:t>
      </w:r>
      <w:r w:rsidR="00F3078D" w:rsidRPr="00D52116">
        <w:rPr>
          <w:rFonts w:asciiTheme="minorHAnsi" w:hAnsiTheme="minorHAnsi" w:cs="Calibri"/>
          <w:lang w:val="fr-CA"/>
        </w:rPr>
        <w:t xml:space="preserve">rence </w:t>
      </w:r>
      <w:r w:rsidRPr="00D52116">
        <w:rPr>
          <w:rFonts w:asciiTheme="minorHAnsi" w:hAnsiTheme="minorHAnsi" w:cs="Calibri"/>
          <w:lang w:val="fr-CA"/>
        </w:rPr>
        <w:t>des</w:t>
      </w:r>
      <w:r w:rsidR="00C567B8">
        <w:rPr>
          <w:rFonts w:asciiTheme="minorHAnsi" w:hAnsiTheme="minorHAnsi" w:cs="Calibri"/>
          <w:lang w:val="fr-CA"/>
        </w:rPr>
        <w:t xml:space="preserve"> </w:t>
      </w:r>
      <w:r w:rsidR="00F3078D" w:rsidRPr="00D52116">
        <w:rPr>
          <w:rFonts w:asciiTheme="minorHAnsi" w:hAnsiTheme="minorHAnsi" w:cs="Calibri"/>
          <w:lang w:val="fr-CA"/>
        </w:rPr>
        <w:t xml:space="preserve">Parties </w:t>
      </w:r>
      <w:r w:rsidRPr="00D52116">
        <w:rPr>
          <w:rFonts w:asciiTheme="minorHAnsi" w:hAnsiTheme="minorHAnsi" w:cs="Calibri"/>
          <w:lang w:val="fr-CA"/>
        </w:rPr>
        <w:t xml:space="preserve">et du Comité permanent de la </w:t>
      </w:r>
      <w:r w:rsidR="00F3078D" w:rsidRPr="00D52116">
        <w:rPr>
          <w:rFonts w:asciiTheme="minorHAnsi" w:hAnsiTheme="minorHAnsi" w:cs="Calibri"/>
          <w:lang w:val="fr-CA"/>
        </w:rPr>
        <w:t xml:space="preserve">Convention </w:t>
      </w:r>
      <w:r w:rsidRPr="00D52116">
        <w:rPr>
          <w:rFonts w:asciiTheme="minorHAnsi" w:hAnsiTheme="minorHAnsi" w:cs="Calibri"/>
          <w:lang w:val="fr-CA"/>
        </w:rPr>
        <w:t>de Ramsar se déroulent dans les trois langues officielles</w:t>
      </w:r>
      <w:r w:rsidR="00F3078D" w:rsidRPr="00D52116">
        <w:rPr>
          <w:rFonts w:asciiTheme="minorHAnsi" w:hAnsiTheme="minorHAnsi" w:cs="Calibri"/>
          <w:lang w:val="fr-CA"/>
        </w:rPr>
        <w:t xml:space="preserve">; </w:t>
      </w:r>
      <w:r w:rsidRPr="00D52116">
        <w:rPr>
          <w:rFonts w:asciiTheme="minorHAnsi" w:hAnsiTheme="minorHAnsi" w:cs="Calibri"/>
          <w:lang w:val="fr-CA"/>
        </w:rPr>
        <w:t>et</w:t>
      </w:r>
      <w:r w:rsidR="00F3078D" w:rsidRPr="00D52116">
        <w:rPr>
          <w:rFonts w:asciiTheme="minorHAnsi" w:hAnsiTheme="minorHAnsi" w:cs="Calibri"/>
          <w:lang w:val="fr-CA"/>
        </w:rPr>
        <w:t xml:space="preserve"> </w:t>
      </w:r>
    </w:p>
    <w:p w:rsidR="00F3078D" w:rsidRPr="00D52116" w:rsidRDefault="00F3078D" w:rsidP="00782C2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lang w:val="fr-CA"/>
        </w:rPr>
      </w:pPr>
    </w:p>
    <w:p w:rsidR="00F3078D" w:rsidRPr="00D52116" w:rsidRDefault="00A147F0" w:rsidP="00782C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lang w:val="fr-CA"/>
        </w:rPr>
      </w:pPr>
      <w:r w:rsidRPr="00D52116">
        <w:rPr>
          <w:rFonts w:asciiTheme="minorHAnsi" w:hAnsiTheme="minorHAnsi" w:cs="Calibri"/>
          <w:lang w:val="fr-CA"/>
        </w:rPr>
        <w:t>de réaliser les travaux de la</w:t>
      </w:r>
      <w:r w:rsidR="00F3078D" w:rsidRPr="00D52116">
        <w:rPr>
          <w:rFonts w:asciiTheme="minorHAnsi" w:hAnsiTheme="minorHAnsi" w:cs="Calibri"/>
          <w:lang w:val="fr-CA"/>
        </w:rPr>
        <w:t xml:space="preserve"> Convention </w:t>
      </w:r>
      <w:r w:rsidRPr="00D52116">
        <w:rPr>
          <w:rFonts w:asciiTheme="minorHAnsi" w:hAnsiTheme="minorHAnsi" w:cs="Calibri"/>
          <w:lang w:val="fr-CA"/>
        </w:rPr>
        <w:t>de Ramsar dans d’autres langues des Nations</w:t>
      </w:r>
      <w:r w:rsidR="00196AE2">
        <w:rPr>
          <w:rFonts w:asciiTheme="minorHAnsi" w:hAnsiTheme="minorHAnsi" w:cs="Calibri"/>
          <w:lang w:val="fr-CA"/>
        </w:rPr>
        <w:t> </w:t>
      </w:r>
      <w:r w:rsidRPr="00D52116">
        <w:rPr>
          <w:rFonts w:asciiTheme="minorHAnsi" w:hAnsiTheme="minorHAnsi" w:cs="Calibri"/>
          <w:lang w:val="fr-CA"/>
        </w:rPr>
        <w:t>Unies</w:t>
      </w:r>
      <w:r w:rsidR="00F3078D" w:rsidRPr="00D52116">
        <w:rPr>
          <w:rFonts w:asciiTheme="minorHAnsi" w:hAnsiTheme="minorHAnsi" w:cs="Calibri"/>
          <w:lang w:val="fr-CA"/>
        </w:rPr>
        <w:t xml:space="preserve">. </w:t>
      </w:r>
    </w:p>
    <w:p w:rsidR="00F3078D" w:rsidRPr="00D52116" w:rsidRDefault="00F3078D" w:rsidP="00782C29">
      <w:pPr>
        <w:autoSpaceDE w:val="0"/>
        <w:autoSpaceDN w:val="0"/>
        <w:adjustRightInd w:val="0"/>
        <w:contextualSpacing/>
        <w:rPr>
          <w:rFonts w:asciiTheme="minorHAnsi" w:hAnsiTheme="minorHAnsi" w:cs="Calibri"/>
          <w:lang w:val="fr-CA"/>
        </w:rPr>
      </w:pPr>
    </w:p>
    <w:p w:rsidR="00394E47" w:rsidRPr="00881AE1" w:rsidRDefault="00393AE4" w:rsidP="00782C2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34" w:hanging="425"/>
        <w:contextualSpacing/>
        <w:rPr>
          <w:rFonts w:asciiTheme="minorHAnsi" w:hAnsiTheme="minorHAnsi" w:cs="Calibri-Bold"/>
          <w:lang w:val="fr-CA"/>
        </w:rPr>
      </w:pPr>
      <w:r>
        <w:rPr>
          <w:rFonts w:asciiTheme="minorHAnsi" w:hAnsiTheme="minorHAnsi" w:cs="Calibri"/>
          <w:lang w:val="fr-CA"/>
        </w:rPr>
        <w:t>l</w:t>
      </w:r>
      <w:r w:rsidR="00F66CDD" w:rsidRPr="00881AE1">
        <w:rPr>
          <w:rFonts w:asciiTheme="minorHAnsi" w:hAnsiTheme="minorHAnsi" w:cs="Calibri"/>
          <w:lang w:val="fr-CA"/>
        </w:rPr>
        <w:t xml:space="preserve">a </w:t>
      </w:r>
      <w:r w:rsidR="00805F8B" w:rsidRPr="00881AE1">
        <w:rPr>
          <w:rFonts w:asciiTheme="minorHAnsi" w:hAnsiTheme="minorHAnsi" w:cs="Calibri"/>
          <w:lang w:val="fr-CA"/>
        </w:rPr>
        <w:t>D</w:t>
      </w:r>
      <w:r w:rsidR="00F66CDD" w:rsidRPr="00881AE1">
        <w:rPr>
          <w:rFonts w:asciiTheme="minorHAnsi" w:hAnsiTheme="minorHAnsi" w:cs="Calibri"/>
          <w:lang w:val="fr-CA"/>
        </w:rPr>
        <w:t>é</w:t>
      </w:r>
      <w:r w:rsidR="00805F8B" w:rsidRPr="00881AE1">
        <w:rPr>
          <w:rFonts w:asciiTheme="minorHAnsi" w:hAnsiTheme="minorHAnsi" w:cs="Calibri"/>
          <w:lang w:val="fr-CA"/>
        </w:rPr>
        <w:t xml:space="preserve">cision </w:t>
      </w:r>
      <w:r w:rsidR="00F3078D" w:rsidRPr="00881AE1">
        <w:rPr>
          <w:rFonts w:asciiTheme="minorHAnsi" w:hAnsiTheme="minorHAnsi" w:cs="Calibri"/>
          <w:lang w:val="fr-CA"/>
        </w:rPr>
        <w:t>SC47</w:t>
      </w:r>
      <w:r w:rsidR="00805F8B" w:rsidRPr="00881AE1">
        <w:rPr>
          <w:rFonts w:asciiTheme="minorHAnsi" w:hAnsiTheme="minorHAnsi" w:cs="Calibri"/>
          <w:lang w:val="fr-CA"/>
        </w:rPr>
        <w:t>-0</w:t>
      </w:r>
      <w:r w:rsidR="00F3078D" w:rsidRPr="00881AE1">
        <w:rPr>
          <w:rFonts w:asciiTheme="minorHAnsi" w:hAnsiTheme="minorHAnsi" w:cs="Calibri"/>
          <w:lang w:val="fr-CA"/>
        </w:rPr>
        <w:t>7 [</w:t>
      </w:r>
      <w:hyperlink r:id="rId14" w:history="1">
        <w:r w:rsidR="00F3078D" w:rsidRPr="00881AE1">
          <w:rPr>
            <w:rStyle w:val="Hyperlink"/>
            <w:rFonts w:asciiTheme="minorHAnsi" w:hAnsiTheme="minorHAnsi" w:cs="Calibri"/>
            <w:lang w:val="fr-CA"/>
          </w:rPr>
          <w:t>link</w:t>
        </w:r>
      </w:hyperlink>
      <w:r w:rsidR="00F3078D" w:rsidRPr="00881AE1">
        <w:rPr>
          <w:rFonts w:asciiTheme="minorHAnsi" w:hAnsiTheme="minorHAnsi" w:cs="Calibri"/>
          <w:lang w:val="fr-CA"/>
        </w:rPr>
        <w:t xml:space="preserve">] </w:t>
      </w:r>
      <w:r w:rsidR="00F66CDD" w:rsidRPr="00881AE1">
        <w:rPr>
          <w:rFonts w:asciiTheme="minorHAnsi" w:hAnsiTheme="minorHAnsi" w:cs="Calibri-Bold"/>
          <w:lang w:val="fr-CA"/>
        </w:rPr>
        <w:t>concernant l’utilisation des langues des Nations Unies selon la Résolution XI.1</w:t>
      </w:r>
      <w:r w:rsidR="00A147F0" w:rsidRPr="00881AE1">
        <w:rPr>
          <w:rFonts w:asciiTheme="minorHAnsi" w:hAnsiTheme="minorHAnsi" w:cs="Calibri-Bold"/>
          <w:lang w:val="fr-CA"/>
        </w:rPr>
        <w:t xml:space="preserve"> demandait</w:t>
      </w:r>
      <w:r w:rsidR="004031DE">
        <w:rPr>
          <w:rFonts w:asciiTheme="minorHAnsi" w:hAnsiTheme="minorHAnsi" w:cs="Calibri-Bold"/>
          <w:lang w:val="fr-CA"/>
        </w:rPr>
        <w:t xml:space="preserve"> </w:t>
      </w:r>
      <w:r w:rsidR="00F66CDD" w:rsidRPr="00881AE1">
        <w:rPr>
          <w:rFonts w:asciiTheme="minorHAnsi" w:hAnsiTheme="minorHAnsi" w:cs="Calibri-Bold"/>
          <w:lang w:val="fr-CA"/>
        </w:rPr>
        <w:t>:</w:t>
      </w:r>
      <w:r w:rsidR="00F66CDD" w:rsidRPr="00881AE1">
        <w:rPr>
          <w:rFonts w:asciiTheme="minorHAnsi" w:hAnsiTheme="minorHAnsi" w:cs="Calibri-Bold"/>
          <w:lang w:val="fr-CA"/>
        </w:rPr>
        <w:cr/>
      </w:r>
    </w:p>
    <w:p w:rsidR="00F3078D" w:rsidRPr="00D52116" w:rsidRDefault="004031DE" w:rsidP="00782C29">
      <w:pPr>
        <w:pStyle w:val="ListParagraph"/>
        <w:numPr>
          <w:ilvl w:val="0"/>
          <w:numId w:val="15"/>
        </w:numPr>
        <w:autoSpaceDE w:val="0"/>
        <w:autoSpaceDN w:val="0"/>
        <w:adjustRightInd w:val="0"/>
        <w:spacing w:line="240" w:lineRule="auto"/>
        <w:ind w:left="854"/>
        <w:contextualSpacing/>
        <w:rPr>
          <w:rFonts w:asciiTheme="minorHAnsi" w:hAnsiTheme="minorHAnsi" w:cs="Calibri-Bold"/>
          <w:lang w:val="fr-CA"/>
        </w:rPr>
      </w:pPr>
      <w:r>
        <w:rPr>
          <w:rFonts w:asciiTheme="minorHAnsi" w:hAnsiTheme="minorHAnsi" w:cs="Calibri-Bold"/>
          <w:lang w:val="fr-CA"/>
        </w:rPr>
        <w:t xml:space="preserve">de </w:t>
      </w:r>
      <w:r w:rsidR="00E7355E" w:rsidRPr="00D52116">
        <w:rPr>
          <w:rFonts w:asciiTheme="minorHAnsi" w:hAnsiTheme="minorHAnsi" w:cs="Calibri-Bold"/>
          <w:lang w:val="fr-CA"/>
        </w:rPr>
        <w:t>remédier aux</w:t>
      </w:r>
      <w:r w:rsidR="00C567B8">
        <w:rPr>
          <w:rFonts w:asciiTheme="minorHAnsi" w:hAnsiTheme="minorHAnsi" w:cs="Calibri-Bold"/>
          <w:lang w:val="fr-CA"/>
        </w:rPr>
        <w:t xml:space="preserve"> </w:t>
      </w:r>
      <w:r w:rsidR="00E7355E" w:rsidRPr="00D52116">
        <w:rPr>
          <w:rFonts w:asciiTheme="minorHAnsi" w:hAnsiTheme="minorHAnsi" w:cs="Calibri-Bold"/>
          <w:lang w:val="fr-CA"/>
        </w:rPr>
        <w:t>différences de traitement de longue date entre les trois langues officielles de la Convention</w:t>
      </w:r>
      <w:r w:rsidR="00F3078D" w:rsidRPr="00D52116">
        <w:rPr>
          <w:rFonts w:asciiTheme="minorHAnsi" w:hAnsiTheme="minorHAnsi" w:cs="Calibri-Bold"/>
          <w:lang w:val="fr-CA"/>
        </w:rPr>
        <w:t>;</w:t>
      </w:r>
    </w:p>
    <w:p w:rsidR="00F3078D" w:rsidRPr="00D52116" w:rsidRDefault="00F3078D" w:rsidP="00782C2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4" w:firstLine="0"/>
        <w:contextualSpacing/>
        <w:rPr>
          <w:rFonts w:asciiTheme="minorHAnsi" w:hAnsiTheme="minorHAnsi" w:cs="Calibri-Bold"/>
          <w:lang w:val="fr-CA"/>
        </w:rPr>
      </w:pPr>
    </w:p>
    <w:p w:rsidR="00F3078D" w:rsidRPr="00D52116" w:rsidRDefault="004031DE" w:rsidP="00782C29">
      <w:pPr>
        <w:pStyle w:val="ListParagraph"/>
        <w:numPr>
          <w:ilvl w:val="0"/>
          <w:numId w:val="15"/>
        </w:numPr>
        <w:autoSpaceDE w:val="0"/>
        <w:autoSpaceDN w:val="0"/>
        <w:adjustRightInd w:val="0"/>
        <w:spacing w:line="240" w:lineRule="auto"/>
        <w:ind w:left="854"/>
        <w:contextualSpacing/>
        <w:rPr>
          <w:rFonts w:asciiTheme="minorHAnsi" w:hAnsiTheme="minorHAnsi" w:cs="Calibri-Bold"/>
          <w:lang w:val="fr-CA"/>
        </w:rPr>
      </w:pPr>
      <w:r>
        <w:rPr>
          <w:rFonts w:asciiTheme="minorHAnsi" w:hAnsiTheme="minorHAnsi" w:cs="Calibri-Bold"/>
          <w:lang w:val="fr-CA"/>
        </w:rPr>
        <w:lastRenderedPageBreak/>
        <w:t>d’</w:t>
      </w:r>
      <w:r w:rsidR="00E7355E" w:rsidRPr="00D52116">
        <w:rPr>
          <w:rFonts w:asciiTheme="minorHAnsi" w:hAnsiTheme="minorHAnsi" w:cs="Calibri-Bold"/>
          <w:lang w:val="fr-CA"/>
        </w:rPr>
        <w:t>attribuer des ressources du surplus budgétaire actuel pour financer les coûts de traduction des documents de la 48</w:t>
      </w:r>
      <w:r w:rsidR="00E7355E" w:rsidRPr="002C2F5D">
        <w:rPr>
          <w:rFonts w:asciiTheme="minorHAnsi" w:hAnsiTheme="minorHAnsi" w:cs="Calibri-Bold"/>
          <w:vertAlign w:val="superscript"/>
          <w:lang w:val="fr-CA"/>
        </w:rPr>
        <w:t>e</w:t>
      </w:r>
      <w:r w:rsidR="00E7355E" w:rsidRPr="00D52116">
        <w:rPr>
          <w:rFonts w:asciiTheme="minorHAnsi" w:hAnsiTheme="minorHAnsi" w:cs="Calibri-Bold"/>
          <w:lang w:val="fr-CA"/>
        </w:rPr>
        <w:t xml:space="preserve"> Réunion du Comité permanent en français et en espagnol;</w:t>
      </w:r>
    </w:p>
    <w:p w:rsidR="00F3078D" w:rsidRPr="00D52116" w:rsidRDefault="00F3078D" w:rsidP="00782C29">
      <w:pPr>
        <w:pStyle w:val="ListParagraph"/>
        <w:spacing w:line="240" w:lineRule="auto"/>
        <w:ind w:left="854" w:firstLine="0"/>
        <w:rPr>
          <w:rFonts w:asciiTheme="minorHAnsi" w:hAnsiTheme="minorHAnsi" w:cs="Calibri-Bold"/>
          <w:lang w:val="fr-CA"/>
        </w:rPr>
      </w:pPr>
    </w:p>
    <w:p w:rsidR="00F3078D" w:rsidRPr="00393AE4" w:rsidRDefault="004031DE" w:rsidP="00782C29">
      <w:pPr>
        <w:pStyle w:val="ListParagraph"/>
        <w:numPr>
          <w:ilvl w:val="0"/>
          <w:numId w:val="15"/>
        </w:numPr>
        <w:autoSpaceDE w:val="0"/>
        <w:autoSpaceDN w:val="0"/>
        <w:adjustRightInd w:val="0"/>
        <w:spacing w:line="240" w:lineRule="auto"/>
        <w:ind w:left="854"/>
        <w:contextualSpacing/>
        <w:rPr>
          <w:rFonts w:asciiTheme="minorHAnsi" w:hAnsiTheme="minorHAnsi" w:cs="Calibri-Bold"/>
          <w:lang w:val="fr-CA"/>
        </w:rPr>
      </w:pPr>
      <w:r>
        <w:rPr>
          <w:rFonts w:asciiTheme="minorHAnsi" w:hAnsiTheme="minorHAnsi" w:cs="Calibri-Bold"/>
          <w:lang w:val="fr-CA"/>
        </w:rPr>
        <w:t xml:space="preserve">de </w:t>
      </w:r>
      <w:r w:rsidR="00E7355E" w:rsidRPr="00393AE4">
        <w:rPr>
          <w:rFonts w:asciiTheme="minorHAnsi" w:hAnsiTheme="minorHAnsi" w:cs="Calibri-Bold"/>
          <w:lang w:val="fr-CA"/>
        </w:rPr>
        <w:t>donner instruction au Secrétariat d’inclure, dans tous les projets de scénarios budgétaires administratifs pour 2016–2018, préparés pour examen par les Parties à la 48</w:t>
      </w:r>
      <w:r w:rsidR="00E7355E" w:rsidRPr="004031DE">
        <w:rPr>
          <w:rFonts w:asciiTheme="minorHAnsi" w:hAnsiTheme="minorHAnsi" w:cs="Calibri-Bold"/>
          <w:vertAlign w:val="superscript"/>
          <w:lang w:val="fr-CA"/>
        </w:rPr>
        <w:t>e</w:t>
      </w:r>
      <w:r w:rsidR="00393AE4">
        <w:rPr>
          <w:rFonts w:asciiTheme="minorHAnsi" w:hAnsiTheme="minorHAnsi" w:cs="Calibri-Bold"/>
          <w:lang w:val="fr-CA"/>
        </w:rPr>
        <w:t> </w:t>
      </w:r>
      <w:r w:rsidR="00E7355E" w:rsidRPr="00393AE4">
        <w:rPr>
          <w:rFonts w:asciiTheme="minorHAnsi" w:hAnsiTheme="minorHAnsi" w:cs="Calibri-Bold"/>
          <w:lang w:val="fr-CA"/>
        </w:rPr>
        <w:t>Réunion du Comité permanent, les coûts de traduction de tous les documents</w:t>
      </w:r>
      <w:r w:rsidR="00393AE4">
        <w:rPr>
          <w:rFonts w:asciiTheme="minorHAnsi" w:hAnsiTheme="minorHAnsi" w:cs="Calibri-Bold"/>
          <w:lang w:val="fr-CA"/>
        </w:rPr>
        <w:t xml:space="preserve"> </w:t>
      </w:r>
      <w:r w:rsidR="00E7355E" w:rsidRPr="00393AE4">
        <w:rPr>
          <w:rFonts w:asciiTheme="minorHAnsi" w:hAnsiTheme="minorHAnsi" w:cs="Calibri-Bold"/>
          <w:lang w:val="fr-CA"/>
        </w:rPr>
        <w:t>du Comité permanent en français et en espagnol;</w:t>
      </w:r>
    </w:p>
    <w:p w:rsidR="00805F8B" w:rsidRPr="00D52116" w:rsidRDefault="00805F8B" w:rsidP="00782C29">
      <w:pPr>
        <w:pStyle w:val="ListParagraph"/>
        <w:spacing w:line="240" w:lineRule="auto"/>
        <w:ind w:left="854" w:firstLine="0"/>
        <w:rPr>
          <w:rFonts w:asciiTheme="minorHAnsi" w:hAnsiTheme="minorHAnsi" w:cs="Calibri-Bold"/>
          <w:lang w:val="fr-CA"/>
        </w:rPr>
      </w:pPr>
    </w:p>
    <w:p w:rsidR="00F3078D" w:rsidRPr="00D52116" w:rsidRDefault="004031DE" w:rsidP="00782C29">
      <w:pPr>
        <w:pStyle w:val="ListParagraph"/>
        <w:numPr>
          <w:ilvl w:val="0"/>
          <w:numId w:val="15"/>
        </w:numPr>
        <w:autoSpaceDE w:val="0"/>
        <w:autoSpaceDN w:val="0"/>
        <w:adjustRightInd w:val="0"/>
        <w:spacing w:line="240" w:lineRule="auto"/>
        <w:ind w:left="854"/>
        <w:contextualSpacing/>
        <w:rPr>
          <w:rFonts w:asciiTheme="minorHAnsi" w:hAnsiTheme="minorHAnsi" w:cs="Calibri"/>
          <w:lang w:val="fr-CA"/>
        </w:rPr>
      </w:pPr>
      <w:r>
        <w:rPr>
          <w:rFonts w:asciiTheme="minorHAnsi" w:hAnsiTheme="minorHAnsi" w:cs="Calibri-Bold"/>
          <w:lang w:val="fr-CA"/>
        </w:rPr>
        <w:t xml:space="preserve">de </w:t>
      </w:r>
      <w:r w:rsidR="00E7355E" w:rsidRPr="00D52116">
        <w:rPr>
          <w:rFonts w:asciiTheme="minorHAnsi" w:hAnsiTheme="minorHAnsi" w:cs="Calibri-Bold"/>
          <w:lang w:val="fr-CA"/>
        </w:rPr>
        <w:t>continuer d’envisager la traduction de documents additionnels du GEST en français et en espagnol, d’après les contributions du Secrétariat et du GEST, en vue d’examiner cette question à la 48</w:t>
      </w:r>
      <w:r w:rsidR="00E7355E" w:rsidRPr="00D52116">
        <w:rPr>
          <w:rFonts w:asciiTheme="minorHAnsi" w:hAnsiTheme="minorHAnsi" w:cs="Calibri-Bold"/>
          <w:vertAlign w:val="superscript"/>
          <w:lang w:val="fr-CA"/>
        </w:rPr>
        <w:t>e</w:t>
      </w:r>
      <w:r w:rsidR="00E7355E" w:rsidRPr="00D52116">
        <w:rPr>
          <w:rFonts w:asciiTheme="minorHAnsi" w:hAnsiTheme="minorHAnsi" w:cs="Calibri-Bold"/>
          <w:lang w:val="fr-CA"/>
        </w:rPr>
        <w:t xml:space="preserve"> Réunion du Comité permanent; et</w:t>
      </w:r>
    </w:p>
    <w:p w:rsidR="00F3078D" w:rsidRPr="00D52116" w:rsidRDefault="00F3078D" w:rsidP="00782C2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4" w:firstLine="0"/>
        <w:contextualSpacing/>
        <w:rPr>
          <w:rFonts w:asciiTheme="minorHAnsi" w:hAnsiTheme="minorHAnsi" w:cs="Calibri"/>
          <w:lang w:val="fr-CA"/>
        </w:rPr>
      </w:pPr>
    </w:p>
    <w:p w:rsidR="00F3078D" w:rsidRPr="00D52116" w:rsidRDefault="004031DE" w:rsidP="00782C29">
      <w:pPr>
        <w:pStyle w:val="ListParagraph"/>
        <w:numPr>
          <w:ilvl w:val="0"/>
          <w:numId w:val="15"/>
        </w:numPr>
        <w:autoSpaceDE w:val="0"/>
        <w:autoSpaceDN w:val="0"/>
        <w:adjustRightInd w:val="0"/>
        <w:spacing w:line="240" w:lineRule="auto"/>
        <w:ind w:left="854"/>
        <w:contextualSpacing/>
        <w:rPr>
          <w:rFonts w:asciiTheme="minorHAnsi" w:hAnsiTheme="minorHAnsi" w:cs="Calibri-Bold"/>
          <w:lang w:val="fr-CA"/>
        </w:rPr>
      </w:pPr>
      <w:r>
        <w:rPr>
          <w:rFonts w:asciiTheme="minorHAnsi" w:hAnsiTheme="minorHAnsi" w:cs="Calibri-Bold"/>
          <w:lang w:val="fr-CA"/>
        </w:rPr>
        <w:t xml:space="preserve">de </w:t>
      </w:r>
      <w:r w:rsidR="00E7355E" w:rsidRPr="00D52116">
        <w:rPr>
          <w:rFonts w:asciiTheme="minorHAnsi" w:hAnsiTheme="minorHAnsi" w:cs="Calibri-Bold"/>
          <w:lang w:val="fr-CA"/>
        </w:rPr>
        <w:t>demander au Secrétariat de préparer un projet de texte pour une résolution en réponse à la Résolution XI.1 pour examen à la 48</w:t>
      </w:r>
      <w:r w:rsidR="00E7355E" w:rsidRPr="00204F55">
        <w:rPr>
          <w:rFonts w:asciiTheme="minorHAnsi" w:hAnsiTheme="minorHAnsi" w:cs="Calibri-Bold"/>
          <w:vertAlign w:val="superscript"/>
          <w:lang w:val="fr-CA"/>
        </w:rPr>
        <w:t>e</w:t>
      </w:r>
      <w:r w:rsidR="00E7355E" w:rsidRPr="00D52116">
        <w:rPr>
          <w:rFonts w:asciiTheme="minorHAnsi" w:hAnsiTheme="minorHAnsi" w:cs="Calibri-Bold"/>
          <w:lang w:val="fr-CA"/>
        </w:rPr>
        <w:t xml:space="preserve"> Réunion du Comité permanent, traitant de l’intégration de l’arabe dans les travaux de la Convention, avec en appui :</w:t>
      </w:r>
    </w:p>
    <w:p w:rsidR="00E7355E" w:rsidRPr="00D52116" w:rsidRDefault="00E7355E" w:rsidP="00782C29">
      <w:pPr>
        <w:autoSpaceDE w:val="0"/>
        <w:autoSpaceDN w:val="0"/>
        <w:adjustRightInd w:val="0"/>
        <w:ind w:left="709"/>
        <w:contextualSpacing/>
        <w:rPr>
          <w:rFonts w:asciiTheme="minorHAnsi" w:hAnsiTheme="minorHAnsi" w:cs="Calibri-Bold"/>
          <w:lang w:val="fr-CA"/>
        </w:rPr>
      </w:pPr>
    </w:p>
    <w:p w:rsidR="00394E47" w:rsidRPr="004031DE" w:rsidRDefault="00E7355E" w:rsidP="00782C29">
      <w:pPr>
        <w:pStyle w:val="ListParagraph"/>
        <w:numPr>
          <w:ilvl w:val="0"/>
          <w:numId w:val="16"/>
        </w:numPr>
        <w:autoSpaceDE w:val="0"/>
        <w:autoSpaceDN w:val="0"/>
        <w:adjustRightInd w:val="0"/>
        <w:spacing w:line="240" w:lineRule="auto"/>
        <w:ind w:left="1148" w:hanging="284"/>
        <w:contextualSpacing/>
        <w:rPr>
          <w:rFonts w:asciiTheme="minorHAnsi" w:eastAsia="Times New Roman" w:hAnsiTheme="minorHAnsi" w:cs="Calibri-Bold"/>
          <w:color w:val="auto"/>
          <w:bdr w:val="none" w:sz="0" w:space="0" w:color="auto"/>
          <w:lang w:val="fr-CA" w:eastAsia="en-GB"/>
        </w:rPr>
      </w:pPr>
      <w:r w:rsidRPr="004031DE">
        <w:rPr>
          <w:rFonts w:asciiTheme="minorHAnsi" w:eastAsia="Times New Roman" w:hAnsiTheme="minorHAnsi" w:cs="Calibri-Bold"/>
          <w:color w:val="auto"/>
          <w:bdr w:val="none" w:sz="0" w:space="0" w:color="auto"/>
          <w:lang w:val="fr-CA" w:eastAsia="en-GB"/>
        </w:rPr>
        <w:t>une analyse des considérations juridiques relatives au texte de la Convention ainsi</w:t>
      </w:r>
      <w:r w:rsidR="00394E47" w:rsidRPr="004031DE">
        <w:rPr>
          <w:rFonts w:asciiTheme="minorHAnsi" w:eastAsia="Times New Roman" w:hAnsiTheme="minorHAnsi" w:cs="Calibri-Bold"/>
          <w:color w:val="auto"/>
          <w:bdr w:val="none" w:sz="0" w:space="0" w:color="auto"/>
          <w:lang w:val="fr-CA" w:eastAsia="en-GB"/>
        </w:rPr>
        <w:t xml:space="preserve"> </w:t>
      </w:r>
      <w:r w:rsidRPr="004031DE">
        <w:rPr>
          <w:rFonts w:asciiTheme="minorHAnsi" w:eastAsia="Times New Roman" w:hAnsiTheme="minorHAnsi" w:cs="Calibri-Bold"/>
          <w:color w:val="auto"/>
          <w:bdr w:val="none" w:sz="0" w:space="0" w:color="auto"/>
          <w:lang w:val="fr-CA" w:eastAsia="en-GB"/>
        </w:rPr>
        <w:t xml:space="preserve">que des résolutions de la COP, y compris le Règlement intérieur; </w:t>
      </w:r>
    </w:p>
    <w:p w:rsidR="00E7355E" w:rsidRPr="004031DE" w:rsidRDefault="00394E47" w:rsidP="00782C29">
      <w:pPr>
        <w:pStyle w:val="ListParagraph"/>
        <w:numPr>
          <w:ilvl w:val="0"/>
          <w:numId w:val="16"/>
        </w:numPr>
        <w:autoSpaceDE w:val="0"/>
        <w:autoSpaceDN w:val="0"/>
        <w:adjustRightInd w:val="0"/>
        <w:spacing w:line="240" w:lineRule="auto"/>
        <w:ind w:left="1148" w:hanging="284"/>
        <w:contextualSpacing/>
        <w:rPr>
          <w:rFonts w:asciiTheme="minorHAnsi" w:eastAsia="Times New Roman" w:hAnsiTheme="minorHAnsi" w:cs="Calibri-Bold"/>
          <w:color w:val="auto"/>
          <w:bdr w:val="none" w:sz="0" w:space="0" w:color="auto"/>
          <w:lang w:val="fr-CA" w:eastAsia="en-GB"/>
        </w:rPr>
      </w:pPr>
      <w:r w:rsidRPr="004031DE">
        <w:rPr>
          <w:rFonts w:asciiTheme="minorHAnsi" w:eastAsia="Times New Roman" w:hAnsiTheme="minorHAnsi" w:cs="Calibri-Bold"/>
          <w:color w:val="auto"/>
          <w:bdr w:val="none" w:sz="0" w:space="0" w:color="auto"/>
          <w:lang w:val="fr-CA" w:eastAsia="en-GB"/>
        </w:rPr>
        <w:t>des options pour une introduction pas à pas de l’arabe dans les travaux de la Convention, sous réserve des ressources disponibles</w:t>
      </w:r>
      <w:r w:rsidR="004031DE">
        <w:rPr>
          <w:rFonts w:asciiTheme="minorHAnsi" w:eastAsia="Times New Roman" w:hAnsiTheme="minorHAnsi" w:cs="Calibri-Bold"/>
          <w:color w:val="auto"/>
          <w:bdr w:val="none" w:sz="0" w:space="0" w:color="auto"/>
          <w:lang w:val="fr-CA" w:eastAsia="en-GB"/>
        </w:rPr>
        <w:t>;</w:t>
      </w:r>
      <w:r w:rsidR="00E7355E" w:rsidRPr="004031DE">
        <w:rPr>
          <w:rFonts w:asciiTheme="minorHAnsi" w:eastAsia="Times New Roman" w:hAnsiTheme="minorHAnsi" w:cs="Calibri-Bold"/>
          <w:color w:val="auto"/>
          <w:bdr w:val="none" w:sz="0" w:space="0" w:color="auto"/>
          <w:lang w:val="fr-CA" w:eastAsia="en-GB"/>
        </w:rPr>
        <w:t xml:space="preserve">  </w:t>
      </w:r>
    </w:p>
    <w:p w:rsidR="00E7355E" w:rsidRPr="00D52116" w:rsidRDefault="00E7355E" w:rsidP="00782C29">
      <w:pPr>
        <w:pStyle w:val="ListParagraph"/>
        <w:autoSpaceDE w:val="0"/>
        <w:autoSpaceDN w:val="0"/>
        <w:adjustRightInd w:val="0"/>
        <w:spacing w:line="240" w:lineRule="auto"/>
        <w:ind w:left="851" w:hanging="62"/>
        <w:contextualSpacing/>
        <w:rPr>
          <w:rFonts w:asciiTheme="minorHAnsi" w:hAnsiTheme="minorHAnsi" w:cs="Calibri-Bold"/>
          <w:lang w:val="fr-CA"/>
        </w:rPr>
      </w:pPr>
    </w:p>
    <w:p w:rsidR="00F3078D" w:rsidRDefault="004031DE" w:rsidP="00782C2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
          <w:lang w:val="fr-CA"/>
        </w:rPr>
      </w:pPr>
      <w:r>
        <w:rPr>
          <w:rFonts w:asciiTheme="minorHAnsi" w:hAnsiTheme="minorHAnsi" w:cs="Calibri"/>
          <w:lang w:val="fr-CA"/>
        </w:rPr>
        <w:t>l</w:t>
      </w:r>
      <w:r w:rsidR="00394E47" w:rsidRPr="00D52116">
        <w:rPr>
          <w:rFonts w:asciiTheme="minorHAnsi" w:hAnsiTheme="minorHAnsi" w:cs="Calibri"/>
          <w:lang w:val="fr-CA"/>
        </w:rPr>
        <w:t>e document</w:t>
      </w:r>
      <w:r w:rsidR="00C567B8">
        <w:rPr>
          <w:rFonts w:asciiTheme="minorHAnsi" w:hAnsiTheme="minorHAnsi" w:cs="Calibri"/>
          <w:lang w:val="fr-CA"/>
        </w:rPr>
        <w:t xml:space="preserve"> </w:t>
      </w:r>
      <w:r w:rsidR="00F3078D" w:rsidRPr="00D52116">
        <w:rPr>
          <w:rFonts w:asciiTheme="minorHAnsi" w:hAnsiTheme="minorHAnsi" w:cs="Calibri"/>
          <w:lang w:val="fr-CA"/>
        </w:rPr>
        <w:t>COP12 Doc</w:t>
      </w:r>
      <w:r w:rsidR="00394E47" w:rsidRPr="00D52116">
        <w:rPr>
          <w:rFonts w:asciiTheme="minorHAnsi" w:hAnsiTheme="minorHAnsi" w:cs="Calibri"/>
          <w:lang w:val="fr-CA"/>
        </w:rPr>
        <w:t>.</w:t>
      </w:r>
      <w:r w:rsidR="00F3078D" w:rsidRPr="00D52116">
        <w:rPr>
          <w:rFonts w:asciiTheme="minorHAnsi" w:hAnsiTheme="minorHAnsi" w:cs="Calibri"/>
          <w:lang w:val="fr-CA"/>
        </w:rPr>
        <w:t xml:space="preserve"> 17 </w:t>
      </w:r>
      <w:r w:rsidR="00D35329" w:rsidRPr="00D52116">
        <w:rPr>
          <w:rFonts w:asciiTheme="minorHAnsi" w:hAnsiTheme="minorHAnsi" w:cs="Calibri"/>
          <w:i/>
          <w:lang w:val="fr-CA"/>
        </w:rPr>
        <w:t xml:space="preserve">Mémoire juridique : Opinion sur l’utilisation de l’arabe et d’autres langues des Nations Unies dans les travaux de la Convention de Ramsar </w:t>
      </w:r>
      <w:r w:rsidR="00F3078D" w:rsidRPr="00D52116">
        <w:rPr>
          <w:rFonts w:asciiTheme="minorHAnsi" w:hAnsiTheme="minorHAnsi" w:cs="Calibri"/>
          <w:lang w:val="fr-CA"/>
        </w:rPr>
        <w:t>[</w:t>
      </w:r>
      <w:hyperlink r:id="rId15" w:history="1">
        <w:r w:rsidR="00F3078D" w:rsidRPr="00D52116">
          <w:rPr>
            <w:rStyle w:val="Hyperlink"/>
            <w:rFonts w:asciiTheme="minorHAnsi" w:eastAsiaTheme="minorEastAsia" w:hAnsiTheme="minorHAnsi" w:cs="Arial"/>
            <w:bdr w:val="none" w:sz="0" w:space="0" w:color="auto"/>
            <w:lang w:val="fr-CA" w:eastAsia="en-GB"/>
          </w:rPr>
          <w:t>link</w:t>
        </w:r>
      </w:hyperlink>
      <w:r w:rsidR="00F3078D" w:rsidRPr="00D52116">
        <w:rPr>
          <w:rFonts w:asciiTheme="minorHAnsi" w:hAnsiTheme="minorHAnsi" w:cs="Calibri"/>
          <w:lang w:val="fr-CA"/>
        </w:rPr>
        <w:t xml:space="preserve">] </w:t>
      </w:r>
      <w:r w:rsidR="00D35329" w:rsidRPr="00D52116">
        <w:rPr>
          <w:rFonts w:asciiTheme="minorHAnsi" w:hAnsiTheme="minorHAnsi" w:cs="Calibri"/>
          <w:lang w:val="fr-CA"/>
        </w:rPr>
        <w:t xml:space="preserve">qui abordait la question de l’utilisation de l’arabe dans les travaux de la Convention, avec à l’appui </w:t>
      </w:r>
      <w:r w:rsidR="00F3078D" w:rsidRPr="00D52116">
        <w:rPr>
          <w:rFonts w:asciiTheme="minorHAnsi" w:hAnsiTheme="minorHAnsi" w:cs="Calibri"/>
          <w:lang w:val="fr-CA"/>
        </w:rPr>
        <w:t>:</w:t>
      </w:r>
    </w:p>
    <w:p w:rsidR="00940900" w:rsidRPr="00940900" w:rsidRDefault="00940900" w:rsidP="00782C29">
      <w:pPr>
        <w:autoSpaceDE w:val="0"/>
        <w:autoSpaceDN w:val="0"/>
        <w:adjustRightInd w:val="0"/>
        <w:contextualSpacing/>
        <w:rPr>
          <w:rFonts w:asciiTheme="minorHAnsi" w:hAnsiTheme="minorHAnsi" w:cs="Calibri"/>
          <w:lang w:val="fr-CA"/>
        </w:rPr>
      </w:pPr>
    </w:p>
    <w:p w:rsidR="00D35329" w:rsidRPr="00D52116" w:rsidRDefault="00D35329" w:rsidP="00782C29">
      <w:pPr>
        <w:pStyle w:val="ListParagraph"/>
        <w:numPr>
          <w:ilvl w:val="0"/>
          <w:numId w:val="17"/>
        </w:numPr>
        <w:autoSpaceDE w:val="0"/>
        <w:autoSpaceDN w:val="0"/>
        <w:adjustRightInd w:val="0"/>
        <w:spacing w:line="240" w:lineRule="auto"/>
        <w:ind w:left="709" w:hanging="283"/>
        <w:contextualSpacing/>
        <w:rPr>
          <w:rFonts w:asciiTheme="minorHAnsi" w:hAnsiTheme="minorHAnsi" w:cs="Calibri"/>
          <w:lang w:val="fr-CA"/>
        </w:rPr>
      </w:pPr>
      <w:r w:rsidRPr="00D52116">
        <w:rPr>
          <w:rFonts w:asciiTheme="minorHAnsi" w:hAnsiTheme="minorHAnsi" w:cs="Calibri"/>
          <w:lang w:val="fr-CA"/>
        </w:rPr>
        <w:t>une analyse des considérations juridiques relatives au texte de la Convention ainsi que des résolutions de la COP, y compris le Règlement intérieur;   </w:t>
      </w:r>
    </w:p>
    <w:p w:rsidR="00F3078D" w:rsidRPr="00D52116" w:rsidRDefault="00D35329" w:rsidP="00782C29">
      <w:pPr>
        <w:pStyle w:val="ListParagraph"/>
        <w:numPr>
          <w:ilvl w:val="0"/>
          <w:numId w:val="17"/>
        </w:numPr>
        <w:autoSpaceDE w:val="0"/>
        <w:autoSpaceDN w:val="0"/>
        <w:adjustRightInd w:val="0"/>
        <w:spacing w:line="240" w:lineRule="auto"/>
        <w:ind w:left="709" w:hanging="283"/>
        <w:contextualSpacing/>
        <w:rPr>
          <w:rFonts w:asciiTheme="minorHAnsi" w:hAnsiTheme="minorHAnsi" w:cs="Calibri"/>
          <w:lang w:val="fr-CA"/>
        </w:rPr>
      </w:pPr>
      <w:r w:rsidRPr="00D52116">
        <w:rPr>
          <w:rFonts w:asciiTheme="minorHAnsi" w:hAnsiTheme="minorHAnsi" w:cs="Calibri"/>
          <w:lang w:val="fr-CA"/>
        </w:rPr>
        <w:t>des options pour une introduction pas à pas de l’arabe dans les travaux de la Convention, sous réserve des ressources disponibles</w:t>
      </w:r>
      <w:r w:rsidR="004031DE">
        <w:rPr>
          <w:rFonts w:asciiTheme="minorHAnsi" w:hAnsiTheme="minorHAnsi" w:cs="Calibri"/>
          <w:lang w:val="fr-CA"/>
        </w:rPr>
        <w:t>;</w:t>
      </w:r>
    </w:p>
    <w:p w:rsidR="00F3078D" w:rsidRPr="00D52116" w:rsidRDefault="00F3078D" w:rsidP="00782C29">
      <w:pPr>
        <w:autoSpaceDE w:val="0"/>
        <w:autoSpaceDN w:val="0"/>
        <w:adjustRightInd w:val="0"/>
        <w:contextualSpacing/>
        <w:rPr>
          <w:rFonts w:asciiTheme="minorHAnsi" w:hAnsiTheme="minorHAnsi" w:cs="Calibri"/>
          <w:lang w:val="fr-CA"/>
        </w:rPr>
      </w:pPr>
    </w:p>
    <w:p w:rsidR="00F3078D" w:rsidRPr="00D52116" w:rsidRDefault="004031DE" w:rsidP="00782C29">
      <w:pPr>
        <w:pStyle w:val="Default"/>
        <w:numPr>
          <w:ilvl w:val="0"/>
          <w:numId w:val="10"/>
        </w:numPr>
        <w:ind w:left="426" w:hanging="426"/>
        <w:rPr>
          <w:rFonts w:asciiTheme="minorHAnsi" w:hAnsiTheme="minorHAnsi" w:cs="Calibri"/>
          <w:sz w:val="22"/>
          <w:szCs w:val="22"/>
          <w:lang w:val="fr-CA"/>
        </w:rPr>
      </w:pPr>
      <w:r>
        <w:rPr>
          <w:rFonts w:asciiTheme="minorHAnsi" w:eastAsiaTheme="minorEastAsia" w:hAnsiTheme="minorHAnsi" w:cs="Arial"/>
          <w:color w:val="auto"/>
          <w:sz w:val="22"/>
          <w:szCs w:val="22"/>
          <w:lang w:val="fr-CA" w:eastAsia="en-GB"/>
        </w:rPr>
        <w:t>l</w:t>
      </w:r>
      <w:r w:rsidR="00394E47" w:rsidRPr="00D52116">
        <w:rPr>
          <w:rFonts w:asciiTheme="minorHAnsi" w:eastAsiaTheme="minorEastAsia" w:hAnsiTheme="minorHAnsi" w:cs="Arial"/>
          <w:color w:val="auto"/>
          <w:sz w:val="22"/>
          <w:szCs w:val="22"/>
          <w:lang w:val="fr-CA" w:eastAsia="en-GB"/>
        </w:rPr>
        <w:t>a Ré</w:t>
      </w:r>
      <w:r w:rsidR="00F3078D" w:rsidRPr="00D52116">
        <w:rPr>
          <w:rFonts w:asciiTheme="minorHAnsi" w:eastAsiaTheme="minorEastAsia" w:hAnsiTheme="minorHAnsi" w:cs="Arial"/>
          <w:color w:val="auto"/>
          <w:sz w:val="22"/>
          <w:szCs w:val="22"/>
          <w:lang w:val="fr-CA" w:eastAsia="en-GB"/>
        </w:rPr>
        <w:t xml:space="preserve">solution XII.3 </w:t>
      </w:r>
      <w:r w:rsidR="00D35329" w:rsidRPr="00D52116">
        <w:rPr>
          <w:rFonts w:asciiTheme="minorHAnsi" w:eastAsiaTheme="minorEastAsia" w:hAnsiTheme="minorHAnsi" w:cs="Arial"/>
          <w:i/>
          <w:iCs/>
          <w:color w:val="auto"/>
          <w:sz w:val="22"/>
          <w:szCs w:val="22"/>
          <w:lang w:val="fr-CA" w:eastAsia="en-GB"/>
        </w:rPr>
        <w:t>Renforcer l’utilisation des langues, la visibilité et la stature de la Convention et améliorer les synergies avec d’autres accords multilatéraux sur l’environnement et autres institutions internationales</w:t>
      </w:r>
      <w:r w:rsidR="00F3078D" w:rsidRPr="00D52116">
        <w:rPr>
          <w:rFonts w:asciiTheme="minorHAnsi" w:eastAsiaTheme="minorEastAsia" w:hAnsiTheme="minorHAnsi" w:cs="Arial"/>
          <w:i/>
          <w:iCs/>
          <w:color w:val="auto"/>
          <w:sz w:val="22"/>
          <w:szCs w:val="22"/>
          <w:lang w:val="fr-CA" w:eastAsia="en-GB"/>
        </w:rPr>
        <w:t xml:space="preserve"> </w:t>
      </w:r>
      <w:r w:rsidR="00F3078D" w:rsidRPr="00D52116">
        <w:rPr>
          <w:rFonts w:asciiTheme="minorHAnsi" w:eastAsiaTheme="minorEastAsia" w:hAnsiTheme="minorHAnsi" w:cs="Arial"/>
          <w:color w:val="auto"/>
          <w:sz w:val="22"/>
          <w:szCs w:val="22"/>
          <w:lang w:val="fr-CA" w:eastAsia="en-GB"/>
        </w:rPr>
        <w:t>[</w:t>
      </w:r>
      <w:hyperlink r:id="rId16" w:history="1">
        <w:r w:rsidR="00F3078D" w:rsidRPr="00D52116">
          <w:rPr>
            <w:rStyle w:val="Hyperlink"/>
            <w:rFonts w:asciiTheme="minorHAnsi" w:eastAsiaTheme="minorEastAsia" w:hAnsiTheme="minorHAnsi" w:cs="Arial"/>
            <w:sz w:val="22"/>
            <w:szCs w:val="22"/>
            <w:lang w:val="fr-CA" w:eastAsia="en-GB"/>
          </w:rPr>
          <w:t>link</w:t>
        </w:r>
      </w:hyperlink>
      <w:r w:rsidR="00F3078D" w:rsidRPr="00D52116">
        <w:rPr>
          <w:rFonts w:asciiTheme="minorHAnsi" w:eastAsiaTheme="minorEastAsia" w:hAnsiTheme="minorHAnsi" w:cs="Arial"/>
          <w:color w:val="auto"/>
          <w:sz w:val="22"/>
          <w:szCs w:val="22"/>
          <w:lang w:val="fr-CA" w:eastAsia="en-GB"/>
        </w:rPr>
        <w:t xml:space="preserve">] </w:t>
      </w:r>
      <w:r w:rsidR="007248B4" w:rsidRPr="00D52116">
        <w:rPr>
          <w:rFonts w:asciiTheme="minorHAnsi" w:eastAsiaTheme="minorEastAsia" w:hAnsiTheme="minorHAnsi" w:cs="Arial"/>
          <w:color w:val="auto"/>
          <w:sz w:val="22"/>
          <w:szCs w:val="22"/>
          <w:lang w:val="fr-CA" w:eastAsia="en-GB"/>
        </w:rPr>
        <w:t>qui demandait au</w:t>
      </w:r>
      <w:r w:rsidR="00F3078D" w:rsidRPr="00D52116">
        <w:rPr>
          <w:rFonts w:asciiTheme="minorHAnsi" w:eastAsiaTheme="minorEastAsia" w:hAnsiTheme="minorHAnsi" w:cs="Arial"/>
          <w:color w:val="auto"/>
          <w:sz w:val="22"/>
          <w:szCs w:val="22"/>
          <w:lang w:val="fr-CA" w:eastAsia="en-GB"/>
        </w:rPr>
        <w:t xml:space="preserve"> </w:t>
      </w:r>
      <w:r w:rsidR="007248B4" w:rsidRPr="00D52116">
        <w:rPr>
          <w:rFonts w:asciiTheme="minorHAnsi" w:eastAsiaTheme="minorEastAsia" w:hAnsiTheme="minorHAnsi" w:cs="Arial"/>
          <w:color w:val="auto"/>
          <w:sz w:val="22"/>
          <w:szCs w:val="22"/>
          <w:lang w:val="fr-CA" w:eastAsia="en-GB"/>
        </w:rPr>
        <w:t>Secrétariat</w:t>
      </w:r>
      <w:r w:rsidR="00F3078D" w:rsidRPr="00D52116">
        <w:rPr>
          <w:rFonts w:asciiTheme="minorHAnsi" w:eastAsiaTheme="minorEastAsia" w:hAnsiTheme="minorHAnsi" w:cs="Arial"/>
          <w:color w:val="auto"/>
          <w:sz w:val="22"/>
          <w:szCs w:val="22"/>
          <w:lang w:val="fr-CA" w:eastAsia="en-GB"/>
        </w:rPr>
        <w:t xml:space="preserve"> </w:t>
      </w:r>
      <w:r w:rsidR="007248B4" w:rsidRPr="00D52116">
        <w:rPr>
          <w:rFonts w:asciiTheme="minorHAnsi" w:eastAsiaTheme="minorEastAsia" w:hAnsiTheme="minorHAnsi" w:cs="Arial"/>
          <w:color w:val="auto"/>
          <w:sz w:val="22"/>
          <w:szCs w:val="22"/>
          <w:lang w:val="fr-CA" w:eastAsia="en-GB"/>
        </w:rPr>
        <w:t>de rédiger une stratégie décrivant l’éventuelle intégration pas à pas de l’arabe ou d’autres langues des Nations Unies dans les travaux de la Convention</w:t>
      </w:r>
      <w:r w:rsidR="00F3078D" w:rsidRPr="00D52116">
        <w:rPr>
          <w:rFonts w:asciiTheme="minorHAnsi" w:eastAsiaTheme="minorEastAsia" w:hAnsiTheme="minorHAnsi" w:cs="Arial"/>
          <w:color w:val="auto"/>
          <w:sz w:val="22"/>
          <w:szCs w:val="22"/>
          <w:lang w:val="fr-CA" w:eastAsia="en-GB"/>
        </w:rPr>
        <w:t>.</w:t>
      </w:r>
    </w:p>
    <w:p w:rsidR="00F3078D" w:rsidRPr="00D52116" w:rsidRDefault="00F3078D" w:rsidP="00782C29">
      <w:pPr>
        <w:pStyle w:val="Default"/>
        <w:rPr>
          <w:rFonts w:asciiTheme="minorHAnsi" w:hAnsiTheme="minorHAnsi" w:cs="Calibri"/>
          <w:sz w:val="22"/>
          <w:szCs w:val="22"/>
          <w:lang w:val="fr-CA"/>
        </w:rPr>
      </w:pPr>
    </w:p>
    <w:p w:rsidR="00F3078D" w:rsidRPr="00D52116" w:rsidRDefault="00A147F0" w:rsidP="00782C29">
      <w:pPr>
        <w:pStyle w:val="BodyText"/>
        <w:kinsoku w:val="0"/>
        <w:overflowPunct w:val="0"/>
        <w:spacing w:after="0"/>
        <w:ind w:right="-46"/>
        <w:rPr>
          <w:rFonts w:asciiTheme="minorHAnsi" w:hAnsiTheme="minorHAnsi"/>
          <w:sz w:val="22"/>
          <w:szCs w:val="22"/>
          <w:lang w:val="fr-CA"/>
        </w:rPr>
      </w:pPr>
      <w:r w:rsidRPr="00D52116">
        <w:rPr>
          <w:rFonts w:asciiTheme="minorHAnsi" w:hAnsiTheme="minorHAnsi"/>
          <w:sz w:val="22"/>
          <w:szCs w:val="22"/>
          <w:lang w:val="fr-CA"/>
        </w:rPr>
        <w:t>Le cahier des charges du consultant est préparé en réponse à la Résolution</w:t>
      </w:r>
      <w:r w:rsidR="00F3078D" w:rsidRPr="00D52116">
        <w:rPr>
          <w:rFonts w:asciiTheme="minorHAnsi" w:hAnsiTheme="minorHAnsi"/>
          <w:sz w:val="22"/>
          <w:szCs w:val="22"/>
          <w:lang w:val="fr-CA"/>
        </w:rPr>
        <w:t xml:space="preserve"> XII.3 </w:t>
      </w:r>
      <w:r w:rsidRPr="00D52116">
        <w:rPr>
          <w:rFonts w:asciiTheme="minorHAnsi" w:hAnsiTheme="minorHAnsi"/>
          <w:sz w:val="22"/>
          <w:szCs w:val="22"/>
          <w:lang w:val="fr-CA"/>
        </w:rPr>
        <w:t xml:space="preserve">qui appelle à l’élaboration d’une stratégie pour </w:t>
      </w:r>
      <w:r w:rsidRPr="00D52116">
        <w:rPr>
          <w:rFonts w:asciiTheme="minorHAnsi" w:eastAsiaTheme="minorEastAsia" w:hAnsiTheme="minorHAnsi" w:cs="Arial"/>
          <w:sz w:val="22"/>
          <w:szCs w:val="22"/>
          <w:lang w:val="fr-CA" w:eastAsia="en-GB"/>
        </w:rPr>
        <w:t>l’éventuelle intégration pas à pas de l’arabe ou d’autres langues des Nations Unies dans les travaux de la Convention</w:t>
      </w:r>
      <w:r w:rsidRPr="00D52116">
        <w:rPr>
          <w:rFonts w:asciiTheme="minorHAnsi" w:hAnsiTheme="minorHAnsi"/>
          <w:sz w:val="22"/>
          <w:szCs w:val="22"/>
          <w:lang w:val="fr-CA"/>
        </w:rPr>
        <w:t xml:space="preserve"> en tant que langues « officielles » et « de travail »</w:t>
      </w:r>
      <w:r w:rsidR="00F3078D" w:rsidRPr="00D52116">
        <w:rPr>
          <w:rFonts w:asciiTheme="minorHAnsi" w:hAnsiTheme="minorHAnsi"/>
          <w:sz w:val="22"/>
          <w:szCs w:val="22"/>
          <w:lang w:val="fr-CA"/>
        </w:rPr>
        <w:t>.</w:t>
      </w:r>
    </w:p>
    <w:p w:rsidR="00F3078D" w:rsidRPr="00D52116" w:rsidRDefault="00F3078D" w:rsidP="00782C29">
      <w:pPr>
        <w:pStyle w:val="BodyText"/>
        <w:tabs>
          <w:tab w:val="left" w:pos="5159"/>
        </w:tabs>
        <w:kinsoku w:val="0"/>
        <w:overflowPunct w:val="0"/>
        <w:spacing w:after="0"/>
        <w:ind w:right="-46"/>
        <w:rPr>
          <w:rFonts w:asciiTheme="minorHAnsi" w:hAnsiTheme="minorHAnsi"/>
          <w:sz w:val="22"/>
          <w:szCs w:val="22"/>
          <w:lang w:val="fr-CA"/>
        </w:rPr>
      </w:pPr>
    </w:p>
    <w:p w:rsidR="00F3078D" w:rsidRPr="00D52116" w:rsidRDefault="00A147F0" w:rsidP="00782C29">
      <w:pPr>
        <w:pStyle w:val="BodyText"/>
        <w:kinsoku w:val="0"/>
        <w:overflowPunct w:val="0"/>
        <w:spacing w:after="0"/>
        <w:ind w:right="-46"/>
        <w:rPr>
          <w:rFonts w:asciiTheme="minorHAnsi" w:hAnsiTheme="minorHAnsi"/>
          <w:sz w:val="22"/>
          <w:szCs w:val="22"/>
          <w:lang w:val="fr-CA"/>
        </w:rPr>
      </w:pPr>
      <w:r w:rsidRPr="00D52116">
        <w:rPr>
          <w:rFonts w:asciiTheme="minorHAnsi" w:hAnsiTheme="minorHAnsi"/>
          <w:sz w:val="22"/>
          <w:szCs w:val="22"/>
          <w:lang w:val="fr-CA"/>
        </w:rPr>
        <w:t>Le</w:t>
      </w:r>
      <w:r w:rsidR="00F3078D" w:rsidRPr="00D52116">
        <w:rPr>
          <w:rFonts w:asciiTheme="minorHAnsi" w:hAnsiTheme="minorHAnsi"/>
          <w:sz w:val="22"/>
          <w:szCs w:val="22"/>
          <w:lang w:val="fr-CA"/>
        </w:rPr>
        <w:t xml:space="preserve"> consultant </w:t>
      </w:r>
      <w:r w:rsidRPr="00D52116">
        <w:rPr>
          <w:rFonts w:asciiTheme="minorHAnsi" w:hAnsiTheme="minorHAnsi"/>
          <w:sz w:val="22"/>
          <w:szCs w:val="22"/>
          <w:lang w:val="fr-CA"/>
        </w:rPr>
        <w:t>travaillera sous la direction du Secrétaire général de la Convention de Ramsar</w:t>
      </w:r>
      <w:r w:rsidR="00F3078D" w:rsidRPr="00D52116">
        <w:rPr>
          <w:rFonts w:asciiTheme="minorHAnsi" w:hAnsiTheme="minorHAnsi"/>
          <w:sz w:val="22"/>
          <w:szCs w:val="22"/>
          <w:lang w:val="fr-CA"/>
        </w:rPr>
        <w:t xml:space="preserve">. </w:t>
      </w:r>
    </w:p>
    <w:p w:rsidR="00F3078D" w:rsidRPr="00D52116" w:rsidRDefault="00F3078D" w:rsidP="00782C29">
      <w:pPr>
        <w:pStyle w:val="BodyText"/>
        <w:kinsoku w:val="0"/>
        <w:overflowPunct w:val="0"/>
        <w:spacing w:after="0"/>
        <w:ind w:right="-46"/>
        <w:rPr>
          <w:rFonts w:asciiTheme="minorHAnsi" w:hAnsiTheme="minorHAnsi"/>
          <w:sz w:val="22"/>
          <w:szCs w:val="22"/>
          <w:lang w:val="fr-CA"/>
        </w:rPr>
      </w:pPr>
    </w:p>
    <w:p w:rsidR="00F3078D" w:rsidRPr="00D52116" w:rsidRDefault="00A147F0" w:rsidP="00782C29">
      <w:pPr>
        <w:pStyle w:val="BodyText"/>
        <w:keepNext/>
        <w:keepLines/>
        <w:numPr>
          <w:ilvl w:val="0"/>
          <w:numId w:val="5"/>
        </w:numPr>
        <w:kinsoku w:val="0"/>
        <w:overflowPunct w:val="0"/>
        <w:spacing w:after="0"/>
        <w:ind w:left="284" w:right="-45" w:hanging="284"/>
        <w:rPr>
          <w:rFonts w:asciiTheme="minorHAnsi" w:hAnsiTheme="minorHAnsi"/>
          <w:b/>
          <w:bCs/>
          <w:sz w:val="22"/>
          <w:szCs w:val="22"/>
          <w:lang w:val="fr-CA"/>
        </w:rPr>
      </w:pPr>
      <w:r w:rsidRPr="00D52116">
        <w:rPr>
          <w:rFonts w:asciiTheme="minorHAnsi" w:hAnsiTheme="minorHAnsi"/>
          <w:b/>
          <w:bCs/>
          <w:sz w:val="22"/>
          <w:szCs w:val="22"/>
          <w:lang w:val="fr-CA"/>
        </w:rPr>
        <w:t xml:space="preserve">Compétences et </w:t>
      </w:r>
      <w:r w:rsidR="00F3078D" w:rsidRPr="00D52116">
        <w:rPr>
          <w:rFonts w:asciiTheme="minorHAnsi" w:hAnsiTheme="minorHAnsi"/>
          <w:b/>
          <w:bCs/>
          <w:sz w:val="22"/>
          <w:szCs w:val="22"/>
          <w:lang w:val="fr-CA"/>
        </w:rPr>
        <w:t>profil</w:t>
      </w:r>
      <w:r w:rsidRPr="00D52116">
        <w:rPr>
          <w:rFonts w:asciiTheme="minorHAnsi" w:hAnsiTheme="minorHAnsi"/>
          <w:b/>
          <w:bCs/>
          <w:sz w:val="22"/>
          <w:szCs w:val="22"/>
          <w:lang w:val="fr-CA"/>
        </w:rPr>
        <w:t xml:space="preserve"> du</w:t>
      </w:r>
      <w:r w:rsidR="00F3078D" w:rsidRPr="00D52116">
        <w:rPr>
          <w:rFonts w:asciiTheme="minorHAnsi" w:hAnsiTheme="minorHAnsi"/>
          <w:b/>
          <w:bCs/>
          <w:sz w:val="22"/>
          <w:szCs w:val="22"/>
          <w:lang w:val="fr-CA"/>
        </w:rPr>
        <w:t xml:space="preserve"> </w:t>
      </w:r>
      <w:r w:rsidRPr="00D52116">
        <w:rPr>
          <w:rFonts w:asciiTheme="minorHAnsi" w:hAnsiTheme="minorHAnsi"/>
          <w:b/>
          <w:bCs/>
          <w:sz w:val="22"/>
          <w:szCs w:val="22"/>
          <w:lang w:val="fr-CA"/>
        </w:rPr>
        <w:t>c</w:t>
      </w:r>
      <w:r w:rsidR="00F3078D" w:rsidRPr="00D52116">
        <w:rPr>
          <w:rFonts w:asciiTheme="minorHAnsi" w:hAnsiTheme="minorHAnsi"/>
          <w:b/>
          <w:bCs/>
          <w:sz w:val="22"/>
          <w:szCs w:val="22"/>
          <w:lang w:val="fr-CA"/>
        </w:rPr>
        <w:t>onsultant</w:t>
      </w:r>
    </w:p>
    <w:p w:rsidR="00F3078D" w:rsidRPr="00D52116" w:rsidRDefault="00F3078D" w:rsidP="00782C29">
      <w:pPr>
        <w:pStyle w:val="BodyText"/>
        <w:keepNext/>
        <w:keepLines/>
        <w:kinsoku w:val="0"/>
        <w:overflowPunct w:val="0"/>
        <w:spacing w:after="0"/>
        <w:ind w:right="-45"/>
        <w:rPr>
          <w:rFonts w:asciiTheme="minorHAnsi" w:hAnsiTheme="minorHAnsi"/>
          <w:sz w:val="22"/>
          <w:szCs w:val="22"/>
          <w:lang w:val="fr-CA"/>
        </w:rPr>
      </w:pPr>
    </w:p>
    <w:p w:rsidR="00F3078D" w:rsidRPr="00D52116" w:rsidRDefault="00BE5365" w:rsidP="00782C29">
      <w:pPr>
        <w:pStyle w:val="BodyText"/>
        <w:keepNext/>
        <w:keepLines/>
        <w:kinsoku w:val="0"/>
        <w:overflowPunct w:val="0"/>
        <w:spacing w:after="0"/>
        <w:ind w:right="-45"/>
        <w:rPr>
          <w:rFonts w:asciiTheme="minorHAnsi" w:hAnsiTheme="minorHAnsi"/>
          <w:sz w:val="22"/>
          <w:szCs w:val="22"/>
          <w:lang w:val="fr-CA"/>
        </w:rPr>
      </w:pPr>
      <w:r>
        <w:rPr>
          <w:rFonts w:asciiTheme="minorHAnsi" w:hAnsiTheme="minorHAnsi"/>
          <w:sz w:val="22"/>
          <w:szCs w:val="22"/>
          <w:lang w:val="fr-CA"/>
        </w:rPr>
        <w:t xml:space="preserve">Le </w:t>
      </w:r>
      <w:r w:rsidR="00F3078D" w:rsidRPr="00D52116">
        <w:rPr>
          <w:rFonts w:asciiTheme="minorHAnsi" w:hAnsiTheme="minorHAnsi"/>
          <w:sz w:val="22"/>
          <w:szCs w:val="22"/>
          <w:lang w:val="fr-CA"/>
        </w:rPr>
        <w:t xml:space="preserve">consultant </w:t>
      </w:r>
      <w:r>
        <w:rPr>
          <w:rFonts w:asciiTheme="minorHAnsi" w:hAnsiTheme="minorHAnsi"/>
          <w:sz w:val="22"/>
          <w:szCs w:val="22"/>
          <w:lang w:val="fr-CA"/>
        </w:rPr>
        <w:t>doit avoir l’expérience et le profil suivant</w:t>
      </w:r>
      <w:r w:rsidR="00F3078D" w:rsidRPr="00D52116">
        <w:rPr>
          <w:rFonts w:asciiTheme="minorHAnsi" w:hAnsiTheme="minorHAnsi"/>
          <w:sz w:val="22"/>
          <w:szCs w:val="22"/>
          <w:lang w:val="fr-CA"/>
        </w:rPr>
        <w:t>s</w:t>
      </w:r>
      <w:r>
        <w:rPr>
          <w:rFonts w:asciiTheme="minorHAnsi" w:hAnsiTheme="minorHAnsi"/>
          <w:sz w:val="22"/>
          <w:szCs w:val="22"/>
          <w:lang w:val="fr-CA"/>
        </w:rPr>
        <w:t xml:space="preserve"> : </w:t>
      </w:r>
    </w:p>
    <w:p w:rsidR="000377BA" w:rsidRPr="00D52116" w:rsidRDefault="000377BA" w:rsidP="00782C29">
      <w:pPr>
        <w:pStyle w:val="Default"/>
        <w:rPr>
          <w:lang w:val="fr-CA"/>
        </w:rPr>
      </w:pPr>
    </w:p>
    <w:p w:rsidR="00F3078D" w:rsidRPr="00D52116" w:rsidRDefault="00BE5365" w:rsidP="00782C2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r>
        <w:rPr>
          <w:rFonts w:asciiTheme="minorHAnsi" w:hAnsiTheme="minorHAnsi" w:cstheme="minorHAnsi"/>
          <w:lang w:val="fr-CA"/>
        </w:rPr>
        <w:t xml:space="preserve">Au moins 10 ans d’expérience et d’expertise </w:t>
      </w:r>
      <w:r w:rsidR="00361C9E">
        <w:rPr>
          <w:rFonts w:asciiTheme="minorHAnsi" w:hAnsiTheme="minorHAnsi" w:cstheme="minorHAnsi"/>
          <w:lang w:val="fr-CA"/>
        </w:rPr>
        <w:t>des</w:t>
      </w:r>
      <w:r>
        <w:rPr>
          <w:rFonts w:asciiTheme="minorHAnsi" w:hAnsiTheme="minorHAnsi" w:cstheme="minorHAnsi"/>
          <w:lang w:val="fr-CA"/>
        </w:rPr>
        <w:t xml:space="preserve"> processus gouvernementaux/ intergouvernementaux et </w:t>
      </w:r>
      <w:r w:rsidR="00361C9E">
        <w:rPr>
          <w:rFonts w:asciiTheme="minorHAnsi" w:hAnsiTheme="minorHAnsi" w:cstheme="minorHAnsi"/>
          <w:lang w:val="fr-CA"/>
        </w:rPr>
        <w:t xml:space="preserve">de </w:t>
      </w:r>
      <w:r>
        <w:rPr>
          <w:rFonts w:asciiTheme="minorHAnsi" w:hAnsiTheme="minorHAnsi" w:cstheme="minorHAnsi"/>
          <w:lang w:val="fr-CA"/>
        </w:rPr>
        <w:t>questions semblables ainsi que de consultations basées sur des études et autres formes de recherche.</w:t>
      </w:r>
    </w:p>
    <w:p w:rsidR="000377BA" w:rsidRPr="00D52116" w:rsidRDefault="000377BA" w:rsidP="00782C2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p>
    <w:p w:rsidR="00F3078D" w:rsidRPr="00D52116" w:rsidRDefault="00BE5365" w:rsidP="00782C2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r>
        <w:rPr>
          <w:rFonts w:asciiTheme="minorHAnsi" w:hAnsiTheme="minorHAnsi" w:cstheme="minorHAnsi"/>
          <w:lang w:val="fr-CA"/>
        </w:rPr>
        <w:t>Une connaissance de la portée, des processus et de l’application de la Convention de Ramsar</w:t>
      </w:r>
      <w:r w:rsidR="00361C9E">
        <w:rPr>
          <w:rFonts w:asciiTheme="minorHAnsi" w:hAnsiTheme="minorHAnsi" w:cstheme="minorHAnsi"/>
          <w:lang w:val="fr-CA"/>
        </w:rPr>
        <w:t>,</w:t>
      </w:r>
      <w:r>
        <w:rPr>
          <w:rFonts w:asciiTheme="minorHAnsi" w:hAnsiTheme="minorHAnsi" w:cstheme="minorHAnsi"/>
          <w:lang w:val="fr-CA"/>
        </w:rPr>
        <w:t xml:space="preserve"> de préférence</w:t>
      </w:r>
      <w:r w:rsidR="00361C9E">
        <w:rPr>
          <w:rFonts w:asciiTheme="minorHAnsi" w:hAnsiTheme="minorHAnsi" w:cstheme="minorHAnsi"/>
          <w:lang w:val="fr-CA"/>
        </w:rPr>
        <w:t>,</w:t>
      </w:r>
      <w:r>
        <w:rPr>
          <w:rFonts w:asciiTheme="minorHAnsi" w:hAnsiTheme="minorHAnsi" w:cstheme="minorHAnsi"/>
          <w:lang w:val="fr-CA"/>
        </w:rPr>
        <w:t xml:space="preserve"> ou d’autres accords multilatéraux sur l’environnement tels que la Convention sur la diversité biologique (CDB), la Convention sur la lutte contre la désertification (CNULD), la Convention sur le commerce international des espèces de faune et de flore sauvages menacées d’extinction (CITES), la Convention sur les espèces migratrices (CMS) et la Convention-cadre des Nations Unies sur les changements climatiques (CCNUCC).</w:t>
      </w:r>
      <w:r w:rsidR="00F3078D" w:rsidRPr="00D52116">
        <w:rPr>
          <w:rFonts w:asciiTheme="minorHAnsi" w:hAnsiTheme="minorHAnsi" w:cstheme="minorHAnsi"/>
          <w:lang w:val="fr-CA"/>
        </w:rPr>
        <w:t xml:space="preserve"> </w:t>
      </w:r>
    </w:p>
    <w:p w:rsidR="000377BA" w:rsidRPr="00D52116" w:rsidRDefault="000377BA" w:rsidP="00782C29">
      <w:pPr>
        <w:pStyle w:val="ListParagraph"/>
        <w:spacing w:line="240" w:lineRule="auto"/>
        <w:ind w:left="426" w:hanging="426"/>
        <w:rPr>
          <w:rFonts w:asciiTheme="minorHAnsi" w:hAnsiTheme="minorHAnsi" w:cstheme="minorHAnsi"/>
          <w:lang w:val="fr-CA"/>
        </w:rPr>
      </w:pPr>
    </w:p>
    <w:p w:rsidR="00F3078D" w:rsidRPr="00D52116" w:rsidRDefault="00BE5365" w:rsidP="00782C29">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r>
        <w:rPr>
          <w:rFonts w:asciiTheme="minorHAnsi" w:hAnsiTheme="minorHAnsi" w:cstheme="minorHAnsi"/>
          <w:lang w:val="fr-CA"/>
        </w:rPr>
        <w:t>Parler et écrire couramment l’anglais, avec la capacité d’écrire clairement et simplement en langue anglaise; une autre langue de la Convention maîtrisée (français et/ou espagnol) est un avantage majeur.</w:t>
      </w:r>
    </w:p>
    <w:p w:rsidR="00F3078D" w:rsidRPr="00D52116" w:rsidRDefault="00F3078D" w:rsidP="00782C29">
      <w:pPr>
        <w:pStyle w:val="BodyText"/>
        <w:kinsoku w:val="0"/>
        <w:overflowPunct w:val="0"/>
        <w:spacing w:after="0"/>
        <w:ind w:right="-46"/>
        <w:rPr>
          <w:rFonts w:asciiTheme="minorHAnsi" w:hAnsiTheme="minorHAnsi"/>
          <w:sz w:val="22"/>
          <w:szCs w:val="22"/>
          <w:lang w:val="fr-CA"/>
        </w:rPr>
      </w:pPr>
    </w:p>
    <w:p w:rsidR="00F3078D" w:rsidRPr="00D52116" w:rsidRDefault="00086EA3" w:rsidP="00782C29">
      <w:pPr>
        <w:pStyle w:val="BodyText"/>
        <w:numPr>
          <w:ilvl w:val="0"/>
          <w:numId w:val="5"/>
        </w:numPr>
        <w:kinsoku w:val="0"/>
        <w:overflowPunct w:val="0"/>
        <w:spacing w:after="0"/>
        <w:ind w:left="284" w:right="-46" w:hanging="284"/>
        <w:rPr>
          <w:rFonts w:asciiTheme="minorHAnsi" w:hAnsiTheme="minorHAnsi"/>
          <w:b/>
          <w:bCs/>
          <w:sz w:val="22"/>
          <w:szCs w:val="22"/>
          <w:lang w:val="fr-CA"/>
        </w:rPr>
      </w:pPr>
      <w:r>
        <w:rPr>
          <w:rFonts w:asciiTheme="minorHAnsi" w:hAnsiTheme="minorHAnsi"/>
          <w:b/>
          <w:bCs/>
          <w:sz w:val="22"/>
          <w:szCs w:val="22"/>
          <w:lang w:val="fr-CA"/>
        </w:rPr>
        <w:t>Tâches</w:t>
      </w:r>
    </w:p>
    <w:p w:rsidR="00F3078D" w:rsidRPr="00D52116" w:rsidRDefault="00F3078D" w:rsidP="00782C29">
      <w:pPr>
        <w:pStyle w:val="ListParagraph"/>
        <w:suppressAutoHyphens/>
        <w:spacing w:line="240" w:lineRule="auto"/>
        <w:ind w:left="0"/>
        <w:rPr>
          <w:rFonts w:asciiTheme="minorHAnsi" w:hAnsiTheme="minorHAnsi"/>
          <w:lang w:val="fr-CA"/>
        </w:rPr>
      </w:pPr>
    </w:p>
    <w:p w:rsidR="00F3078D" w:rsidRPr="00D52116" w:rsidRDefault="002E1020" w:rsidP="00782C29">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lang w:val="fr-CA"/>
        </w:rPr>
      </w:pPr>
      <w:r>
        <w:rPr>
          <w:rFonts w:asciiTheme="minorHAnsi" w:hAnsiTheme="minorHAnsi" w:cstheme="minorHAnsi"/>
          <w:lang w:val="fr-CA"/>
        </w:rPr>
        <w:t>Classer les besoins linguistiques de la Convention en fonction des travaux à court, moyen et long terme de la Convention.</w:t>
      </w:r>
      <w:r w:rsidR="00F3078D" w:rsidRPr="00D52116">
        <w:rPr>
          <w:rFonts w:asciiTheme="minorHAnsi" w:hAnsiTheme="minorHAnsi" w:cstheme="minorHAnsi"/>
          <w:lang w:val="fr-CA"/>
        </w:rPr>
        <w:t xml:space="preserve"> </w:t>
      </w:r>
    </w:p>
    <w:p w:rsidR="00F3078D" w:rsidRPr="00D52116" w:rsidRDefault="00F3078D" w:rsidP="00782C29">
      <w:pPr>
        <w:pStyle w:val="ListParagraph"/>
        <w:suppressAutoHyphens/>
        <w:spacing w:line="240" w:lineRule="auto"/>
        <w:ind w:left="426" w:hanging="426"/>
        <w:rPr>
          <w:rFonts w:asciiTheme="minorHAnsi" w:hAnsiTheme="minorHAnsi"/>
          <w:lang w:val="fr-CA"/>
        </w:rPr>
      </w:pPr>
    </w:p>
    <w:p w:rsidR="00F3078D" w:rsidRPr="00D52116" w:rsidRDefault="002E1020" w:rsidP="00782C29">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lang w:val="fr-CA"/>
        </w:rPr>
      </w:pPr>
      <w:r>
        <w:rPr>
          <w:rFonts w:asciiTheme="minorHAnsi" w:hAnsiTheme="minorHAnsi" w:cstheme="minorHAnsi"/>
          <w:lang w:val="fr-CA"/>
        </w:rPr>
        <w:t>Définir les obstacles à la traduction, publication et interprétation effectives des trois langues officielles de la Convention et les mesures requises pour surmonter ces obstacles, y compris l’identification de besoins additionnels en ressources et de sources pour procéder à l’intégration de langues additionnelles.</w:t>
      </w:r>
    </w:p>
    <w:p w:rsidR="00F3078D" w:rsidRPr="00D52116" w:rsidRDefault="00F3078D" w:rsidP="00782C29">
      <w:pPr>
        <w:pStyle w:val="ListParagraph"/>
        <w:spacing w:line="240" w:lineRule="auto"/>
        <w:ind w:left="426" w:hanging="426"/>
        <w:rPr>
          <w:rFonts w:asciiTheme="minorHAnsi" w:hAnsiTheme="minorHAnsi" w:cstheme="minorHAnsi"/>
          <w:bCs/>
          <w:lang w:val="fr-CA"/>
        </w:rPr>
      </w:pPr>
    </w:p>
    <w:p w:rsidR="00F3078D" w:rsidRPr="00D52116" w:rsidRDefault="002E1020" w:rsidP="00782C29">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r>
        <w:rPr>
          <w:rFonts w:asciiTheme="minorHAnsi" w:hAnsiTheme="minorHAnsi" w:cstheme="minorHAnsi"/>
          <w:lang w:val="fr-CA"/>
        </w:rPr>
        <w:t xml:space="preserve">Proposer des </w:t>
      </w:r>
      <w:r w:rsidR="00361C9E">
        <w:rPr>
          <w:rFonts w:asciiTheme="minorHAnsi" w:hAnsiTheme="minorHAnsi" w:cstheme="minorHAnsi"/>
          <w:lang w:val="fr-CA"/>
        </w:rPr>
        <w:t>solutions pour</w:t>
      </w:r>
      <w:r>
        <w:rPr>
          <w:rFonts w:asciiTheme="minorHAnsi" w:hAnsiTheme="minorHAnsi" w:cstheme="minorHAnsi"/>
          <w:lang w:val="fr-CA"/>
        </w:rPr>
        <w:t xml:space="preserve"> conduire les Parties contractantes concernées à trouver des moyens d’intégrer et de financer progressivement l</w:t>
      </w:r>
      <w:r w:rsidR="00086EA3">
        <w:rPr>
          <w:rFonts w:asciiTheme="minorHAnsi" w:hAnsiTheme="minorHAnsi" w:cstheme="minorHAnsi"/>
          <w:lang w:val="fr-CA"/>
        </w:rPr>
        <w:t>a</w:t>
      </w:r>
      <w:r>
        <w:rPr>
          <w:rFonts w:asciiTheme="minorHAnsi" w:hAnsiTheme="minorHAnsi" w:cstheme="minorHAnsi"/>
          <w:lang w:val="fr-CA"/>
        </w:rPr>
        <w:t xml:space="preserve"> traduction lors des sessions et réunions, </w:t>
      </w:r>
      <w:r w:rsidR="00086EA3">
        <w:rPr>
          <w:rFonts w:asciiTheme="minorHAnsi" w:hAnsiTheme="minorHAnsi" w:cstheme="minorHAnsi"/>
          <w:lang w:val="fr-CA"/>
        </w:rPr>
        <w:t xml:space="preserve">la traduction </w:t>
      </w:r>
      <w:r>
        <w:rPr>
          <w:rFonts w:asciiTheme="minorHAnsi" w:hAnsiTheme="minorHAnsi" w:cstheme="minorHAnsi"/>
          <w:lang w:val="fr-CA"/>
        </w:rPr>
        <w:t xml:space="preserve">des documents des sessions et réunions et, s’il y a lieu, de documents d’information Ramsar importants dans des langues additionnelles. </w:t>
      </w:r>
    </w:p>
    <w:p w:rsidR="00F3078D" w:rsidRPr="00D52116" w:rsidRDefault="00F3078D" w:rsidP="00782C29">
      <w:pPr>
        <w:pStyle w:val="ListParagraph"/>
        <w:autoSpaceDE w:val="0"/>
        <w:autoSpaceDN w:val="0"/>
        <w:adjustRightInd w:val="0"/>
        <w:spacing w:line="240" w:lineRule="auto"/>
        <w:ind w:left="426" w:hanging="426"/>
        <w:rPr>
          <w:rFonts w:asciiTheme="minorHAnsi" w:hAnsiTheme="minorHAnsi" w:cstheme="minorHAnsi"/>
          <w:lang w:val="fr-CA"/>
        </w:rPr>
      </w:pPr>
    </w:p>
    <w:p w:rsidR="00F3078D" w:rsidRPr="00D52116" w:rsidRDefault="00F3078D" w:rsidP="00782C29">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r w:rsidRPr="00D52116">
        <w:rPr>
          <w:rFonts w:asciiTheme="minorHAnsi" w:hAnsiTheme="minorHAnsi" w:cstheme="minorHAnsi"/>
          <w:lang w:val="fr-CA"/>
        </w:rPr>
        <w:t>Propose</w:t>
      </w:r>
      <w:r w:rsidR="002E1020">
        <w:rPr>
          <w:rFonts w:asciiTheme="minorHAnsi" w:hAnsiTheme="minorHAnsi" w:cstheme="minorHAnsi"/>
          <w:lang w:val="fr-CA"/>
        </w:rPr>
        <w:t>r un calendrier éventuel pour une intégration progressive des changement</w:t>
      </w:r>
      <w:r w:rsidRPr="00D52116">
        <w:rPr>
          <w:rFonts w:asciiTheme="minorHAnsi" w:hAnsiTheme="minorHAnsi" w:cstheme="minorHAnsi"/>
          <w:lang w:val="fr-CA"/>
        </w:rPr>
        <w:t xml:space="preserve">s </w:t>
      </w:r>
      <w:r w:rsidR="002E1020">
        <w:rPr>
          <w:rFonts w:asciiTheme="minorHAnsi" w:hAnsiTheme="minorHAnsi" w:cstheme="minorHAnsi"/>
          <w:lang w:val="fr-CA"/>
        </w:rPr>
        <w:t xml:space="preserve">de procédure, des indicateurs clés et des jalons pour l’ajout de toute langue des Nations Unies. </w:t>
      </w:r>
    </w:p>
    <w:p w:rsidR="00F3078D" w:rsidRPr="00D52116" w:rsidRDefault="00F3078D" w:rsidP="002E1020">
      <w:pPr>
        <w:pStyle w:val="ListParagraph"/>
        <w:autoSpaceDE w:val="0"/>
        <w:autoSpaceDN w:val="0"/>
        <w:adjustRightInd w:val="0"/>
        <w:spacing w:line="240" w:lineRule="auto"/>
        <w:ind w:left="567"/>
        <w:rPr>
          <w:rFonts w:asciiTheme="minorHAnsi" w:hAnsiTheme="minorHAnsi" w:cstheme="minorHAnsi"/>
          <w:lang w:val="fr-CA"/>
        </w:rPr>
      </w:pPr>
    </w:p>
    <w:p w:rsidR="00F3078D" w:rsidRPr="00D52116" w:rsidRDefault="002E1020" w:rsidP="002E1020">
      <w:pPr>
        <w:pStyle w:val="BodyText"/>
        <w:numPr>
          <w:ilvl w:val="0"/>
          <w:numId w:val="5"/>
        </w:numPr>
        <w:kinsoku w:val="0"/>
        <w:overflowPunct w:val="0"/>
        <w:spacing w:after="0"/>
        <w:ind w:left="284" w:right="-46" w:hanging="284"/>
        <w:rPr>
          <w:rFonts w:asciiTheme="minorHAnsi" w:hAnsiTheme="minorHAnsi"/>
          <w:b/>
          <w:bCs/>
          <w:sz w:val="22"/>
          <w:szCs w:val="22"/>
          <w:lang w:val="fr-CA"/>
        </w:rPr>
      </w:pPr>
      <w:r>
        <w:rPr>
          <w:rFonts w:asciiTheme="minorHAnsi" w:hAnsiTheme="minorHAnsi"/>
          <w:b/>
          <w:bCs/>
          <w:sz w:val="22"/>
          <w:szCs w:val="22"/>
          <w:lang w:val="fr-CA"/>
        </w:rPr>
        <w:t>Calendrier</w:t>
      </w:r>
    </w:p>
    <w:p w:rsidR="00F3078D" w:rsidRPr="00D52116" w:rsidRDefault="00F3078D" w:rsidP="002E1020">
      <w:pPr>
        <w:ind w:right="-46"/>
        <w:rPr>
          <w:rFonts w:cs="Arial"/>
          <w:color w:val="0000FF"/>
          <w:lang w:val="fr-CA"/>
        </w:rPr>
      </w:pPr>
    </w:p>
    <w:tbl>
      <w:tblPr>
        <w:tblStyle w:val="TableGrid"/>
        <w:tblW w:w="0" w:type="auto"/>
        <w:tblInd w:w="108" w:type="dxa"/>
        <w:tblCellMar>
          <w:top w:w="113" w:type="dxa"/>
          <w:bottom w:w="113" w:type="dxa"/>
        </w:tblCellMar>
        <w:tblLook w:val="04A0" w:firstRow="1" w:lastRow="0" w:firstColumn="1" w:lastColumn="0" w:noHBand="0" w:noVBand="1"/>
      </w:tblPr>
      <w:tblGrid>
        <w:gridCol w:w="7456"/>
        <w:gridCol w:w="1679"/>
      </w:tblGrid>
      <w:tr w:rsidR="00B95F43" w:rsidRPr="00D52116" w:rsidTr="004C6B87">
        <w:tc>
          <w:tcPr>
            <w:tcW w:w="7655" w:type="dxa"/>
            <w:shd w:val="clear" w:color="auto" w:fill="D9D9D9" w:themeFill="background1" w:themeFillShade="D9"/>
            <w:vAlign w:val="center"/>
          </w:tcPr>
          <w:p w:rsidR="00F3078D" w:rsidRPr="00D52116" w:rsidRDefault="002E1020" w:rsidP="002E1020">
            <w:pPr>
              <w:ind w:right="-46"/>
              <w:jc w:val="center"/>
              <w:rPr>
                <w:rFonts w:asciiTheme="minorHAnsi" w:hAnsiTheme="minorHAnsi" w:cs="Arial"/>
                <w:b/>
                <w:bCs/>
                <w:sz w:val="22"/>
                <w:szCs w:val="22"/>
                <w:lang w:val="fr-CA"/>
              </w:rPr>
            </w:pPr>
            <w:r>
              <w:rPr>
                <w:rFonts w:asciiTheme="minorHAnsi" w:hAnsiTheme="minorHAnsi" w:cs="Arial"/>
                <w:b/>
                <w:bCs/>
                <w:sz w:val="22"/>
                <w:szCs w:val="22"/>
                <w:lang w:val="fr-CA"/>
              </w:rPr>
              <w:t>Mesures</w:t>
            </w:r>
          </w:p>
        </w:tc>
        <w:tc>
          <w:tcPr>
            <w:tcW w:w="1701" w:type="dxa"/>
            <w:shd w:val="clear" w:color="auto" w:fill="D9D9D9" w:themeFill="background1" w:themeFillShade="D9"/>
            <w:vAlign w:val="center"/>
          </w:tcPr>
          <w:p w:rsidR="00F3078D" w:rsidRPr="00D52116" w:rsidRDefault="002E1020" w:rsidP="002E1020">
            <w:pPr>
              <w:ind w:right="-46"/>
              <w:jc w:val="center"/>
              <w:rPr>
                <w:rFonts w:asciiTheme="minorHAnsi" w:hAnsiTheme="minorHAnsi" w:cs="Arial"/>
                <w:b/>
                <w:bCs/>
                <w:sz w:val="22"/>
                <w:szCs w:val="22"/>
                <w:lang w:val="fr-CA"/>
              </w:rPr>
            </w:pPr>
            <w:r>
              <w:rPr>
                <w:rFonts w:asciiTheme="minorHAnsi" w:hAnsiTheme="minorHAnsi" w:cs="Arial"/>
                <w:b/>
                <w:bCs/>
                <w:sz w:val="22"/>
                <w:szCs w:val="22"/>
                <w:lang w:val="fr-CA"/>
              </w:rPr>
              <w:t>Durée indicative du travail</w:t>
            </w:r>
          </w:p>
        </w:tc>
      </w:tr>
      <w:tr w:rsidR="00B95F43" w:rsidRPr="00621667" w:rsidTr="004C6B87">
        <w:tc>
          <w:tcPr>
            <w:tcW w:w="7655" w:type="dxa"/>
          </w:tcPr>
          <w:p w:rsidR="00F3078D" w:rsidRPr="00D52116" w:rsidRDefault="002E1020" w:rsidP="002E1020">
            <w:pPr>
              <w:pStyle w:val="ListParagraph"/>
              <w:spacing w:line="240" w:lineRule="auto"/>
              <w:ind w:left="318" w:right="-46"/>
              <w:rPr>
                <w:rFonts w:asciiTheme="minorHAnsi" w:hAnsiTheme="minorHAnsi" w:cs="Arial"/>
                <w:lang w:val="fr-CA"/>
              </w:rPr>
            </w:pPr>
            <w:r w:rsidRPr="00D52116">
              <w:rPr>
                <w:rFonts w:asciiTheme="minorHAnsi" w:hAnsiTheme="minorHAnsi" w:cs="Arial"/>
                <w:lang w:val="fr-CA"/>
              </w:rPr>
              <w:t>Préparation</w:t>
            </w:r>
            <w:r w:rsidR="00F3078D" w:rsidRPr="00D52116">
              <w:rPr>
                <w:rFonts w:asciiTheme="minorHAnsi" w:hAnsiTheme="minorHAnsi" w:cs="Arial"/>
                <w:lang w:val="fr-CA"/>
              </w:rPr>
              <w:t xml:space="preserve"> </w:t>
            </w:r>
            <w:r>
              <w:rPr>
                <w:rFonts w:asciiTheme="minorHAnsi" w:hAnsiTheme="minorHAnsi" w:cs="Arial"/>
                <w:lang w:val="fr-CA"/>
              </w:rPr>
              <w:t>et</w:t>
            </w:r>
            <w:r w:rsidR="00F3078D" w:rsidRPr="00D52116">
              <w:rPr>
                <w:rFonts w:asciiTheme="minorHAnsi" w:hAnsiTheme="minorHAnsi" w:cs="Arial"/>
                <w:lang w:val="fr-CA"/>
              </w:rPr>
              <w:t xml:space="preserve"> signature </w:t>
            </w:r>
            <w:r>
              <w:rPr>
                <w:rFonts w:asciiTheme="minorHAnsi" w:hAnsiTheme="minorHAnsi" w:cs="Arial"/>
                <w:lang w:val="fr-CA"/>
              </w:rPr>
              <w:t>du contrat</w:t>
            </w:r>
          </w:p>
        </w:tc>
        <w:tc>
          <w:tcPr>
            <w:tcW w:w="1701" w:type="dxa"/>
            <w:vAlign w:val="center"/>
          </w:tcPr>
          <w:p w:rsidR="00F3078D" w:rsidRPr="00D52116" w:rsidRDefault="00F3078D" w:rsidP="002E1020">
            <w:pPr>
              <w:ind w:right="-46"/>
              <w:jc w:val="center"/>
              <w:rPr>
                <w:rFonts w:asciiTheme="minorHAnsi" w:hAnsiTheme="minorHAnsi" w:cs="Arial"/>
                <w:sz w:val="22"/>
                <w:szCs w:val="22"/>
                <w:lang w:val="fr-CA"/>
              </w:rPr>
            </w:pPr>
          </w:p>
        </w:tc>
      </w:tr>
      <w:tr w:rsidR="00B95F43" w:rsidRPr="00D52116" w:rsidTr="004C6B87">
        <w:tc>
          <w:tcPr>
            <w:tcW w:w="7655" w:type="dxa"/>
          </w:tcPr>
          <w:p w:rsidR="00F3078D" w:rsidRPr="00D52116" w:rsidRDefault="002E1020" w:rsidP="002E1020">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fr-CA"/>
              </w:rPr>
            </w:pPr>
            <w:r>
              <w:rPr>
                <w:rFonts w:asciiTheme="minorHAnsi" w:hAnsiTheme="minorHAnsi" w:cs="Arial"/>
                <w:lang w:val="fr-CA"/>
              </w:rPr>
              <w:t xml:space="preserve">Se réunir avec le Secrétariat Ramsar afin d’organiser les travaux et en consultation avec le Secrétariat Ramsar, préparer et réaliser une étude structurée basée sur un questionnaire </w:t>
            </w:r>
            <w:r w:rsidR="00361C9E">
              <w:rPr>
                <w:rFonts w:asciiTheme="minorHAnsi" w:hAnsiTheme="minorHAnsi" w:cs="Arial"/>
                <w:lang w:val="fr-CA"/>
              </w:rPr>
              <w:t>comprenant</w:t>
            </w:r>
            <w:r>
              <w:rPr>
                <w:rFonts w:asciiTheme="minorHAnsi" w:hAnsiTheme="minorHAnsi" w:cs="Arial"/>
                <w:lang w:val="fr-CA"/>
              </w:rPr>
              <w:t xml:space="preserve"> les points suivants : </w:t>
            </w:r>
          </w:p>
          <w:p w:rsidR="00F3078D" w:rsidRPr="00D52116" w:rsidRDefault="002E1020" w:rsidP="002E10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theme="minorHAnsi"/>
                <w:lang w:val="fr-CA"/>
              </w:rPr>
            </w:pPr>
            <w:r>
              <w:rPr>
                <w:rFonts w:asciiTheme="minorHAnsi" w:hAnsiTheme="minorHAnsi" w:cs="Arial"/>
                <w:lang w:val="fr-CA"/>
              </w:rPr>
              <w:t>les besoins linguistiques des Parties sélectionnées pour le court, le moyen et le long terme;</w:t>
            </w:r>
          </w:p>
          <w:p w:rsidR="00F3078D" w:rsidRPr="00D52116" w:rsidRDefault="002E1020" w:rsidP="002E10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lang w:val="fr-CA"/>
              </w:rPr>
            </w:pPr>
            <w:r>
              <w:rPr>
                <w:rFonts w:asciiTheme="minorHAnsi" w:hAnsiTheme="minorHAnsi" w:cs="Arial"/>
                <w:lang w:val="fr-CA"/>
              </w:rPr>
              <w:t xml:space="preserve">la manière dont d’autres AME et organisations internationales pertinentes intègrent l’utilisation des langues des Nations Unies dans leurs travaux; et </w:t>
            </w:r>
          </w:p>
          <w:p w:rsidR="00F3078D" w:rsidRPr="00D52116" w:rsidRDefault="002E1020" w:rsidP="002E1020">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lang w:val="fr-CA"/>
              </w:rPr>
            </w:pPr>
            <w:r>
              <w:rPr>
                <w:rFonts w:asciiTheme="minorHAnsi" w:hAnsiTheme="minorHAnsi" w:cstheme="minorHAnsi"/>
                <w:lang w:val="fr-CA"/>
              </w:rPr>
              <w:t xml:space="preserve">les obstacles à la traduction, la publication et l’interprétation effectives des trois langues officielles de la Convention. </w:t>
            </w:r>
          </w:p>
          <w:p w:rsidR="004C6B87" w:rsidRPr="00D52116" w:rsidRDefault="004C6B87" w:rsidP="002E1020">
            <w:pPr>
              <w:ind w:right="-46"/>
              <w:contextualSpacing/>
              <w:rPr>
                <w:rFonts w:asciiTheme="minorHAnsi" w:hAnsiTheme="minorHAnsi" w:cs="Arial"/>
                <w:sz w:val="22"/>
                <w:szCs w:val="22"/>
                <w:lang w:val="fr-CA"/>
              </w:rPr>
            </w:pPr>
          </w:p>
          <w:p w:rsidR="00F3078D" w:rsidRPr="00D52116" w:rsidRDefault="002E1020" w:rsidP="002E1020">
            <w:pPr>
              <w:pStyle w:val="BodyText"/>
              <w:kinsoku w:val="0"/>
              <w:overflowPunct w:val="0"/>
              <w:spacing w:after="0"/>
              <w:ind w:left="318" w:right="-46"/>
              <w:rPr>
                <w:rFonts w:asciiTheme="minorHAnsi" w:hAnsiTheme="minorHAnsi" w:cstheme="minorHAnsi"/>
                <w:sz w:val="22"/>
                <w:szCs w:val="22"/>
                <w:lang w:val="fr-CA"/>
              </w:rPr>
            </w:pPr>
            <w:r>
              <w:rPr>
                <w:rFonts w:asciiTheme="minorHAnsi" w:hAnsiTheme="minorHAnsi"/>
                <w:sz w:val="22"/>
                <w:szCs w:val="22"/>
                <w:lang w:val="fr-CA"/>
              </w:rPr>
              <w:t xml:space="preserve">À partir des résultats de l’étude et des discussions, le consultant proposera une gamme d’options en vue d’une approche progressive de l’intégration de langues additionnelles des Nations Unies dans les travaux de la Convention. </w:t>
            </w:r>
            <w:r>
              <w:rPr>
                <w:rFonts w:asciiTheme="minorHAnsi" w:hAnsiTheme="minorHAnsi"/>
                <w:sz w:val="22"/>
                <w:szCs w:val="22"/>
                <w:lang w:val="fr-CA"/>
              </w:rPr>
              <w:lastRenderedPageBreak/>
              <w:t>Chaque option décrira les mesures et ressources additionnelles nécessaires pour une intégration progressive et le financement de l’interprétation lors des sessions et réunions,</w:t>
            </w:r>
            <w:r w:rsidR="00086EA3">
              <w:rPr>
                <w:rFonts w:asciiTheme="minorHAnsi" w:hAnsiTheme="minorHAnsi"/>
                <w:sz w:val="22"/>
                <w:szCs w:val="22"/>
                <w:lang w:val="fr-CA"/>
              </w:rPr>
              <w:t xml:space="preserve"> de</w:t>
            </w:r>
            <w:r>
              <w:rPr>
                <w:rFonts w:asciiTheme="minorHAnsi" w:hAnsiTheme="minorHAnsi"/>
                <w:sz w:val="22"/>
                <w:szCs w:val="22"/>
                <w:lang w:val="fr-CA"/>
              </w:rPr>
              <w:t xml:space="preserve"> la traduction des documents des sessions et réunions et, le cas échéant, de documents Ramsar clés. Il importe également d’examiner la traduction possible du site web de Ramsar dans des langues additionnelles des Nations Unies. Le consultant utilisera aussi les résultats de l’étude pour proposer des options afin de surmonter les obstacles à l’utilisation pleine et entière des trois langues actuelles de la Convention.</w:t>
            </w:r>
          </w:p>
          <w:p w:rsidR="004C6B87" w:rsidRPr="00D52116" w:rsidRDefault="004C6B87" w:rsidP="002E1020">
            <w:pPr>
              <w:pStyle w:val="Default"/>
              <w:rPr>
                <w:rFonts w:asciiTheme="minorHAnsi" w:hAnsiTheme="minorHAnsi"/>
                <w:sz w:val="22"/>
                <w:szCs w:val="22"/>
                <w:lang w:val="fr-CA"/>
              </w:rPr>
            </w:pPr>
          </w:p>
          <w:p w:rsidR="00F3078D" w:rsidRPr="00D52116" w:rsidRDefault="002E1020" w:rsidP="002E1020">
            <w:pPr>
              <w:pStyle w:val="BodyText"/>
              <w:kinsoku w:val="0"/>
              <w:overflowPunct w:val="0"/>
              <w:spacing w:after="0"/>
              <w:ind w:left="318" w:right="-46"/>
              <w:rPr>
                <w:rFonts w:asciiTheme="minorHAnsi" w:hAnsiTheme="minorHAnsi"/>
                <w:sz w:val="22"/>
                <w:szCs w:val="22"/>
                <w:lang w:val="fr-CA"/>
              </w:rPr>
            </w:pPr>
            <w:r>
              <w:rPr>
                <w:rFonts w:asciiTheme="minorHAnsi" w:hAnsiTheme="minorHAnsi"/>
                <w:sz w:val="22"/>
                <w:szCs w:val="22"/>
                <w:lang w:val="fr-CA"/>
              </w:rPr>
              <w:t>Toutes les options fournies comprendront un budget et un calendrier pour l’intégration progressive des changements de procédure nécessaires, des indicateurs clés et des jalons associés à l’option en question. Cela nécessitera aussi une analyse des moyens possibles de financement de ces mesures additionnelles.</w:t>
            </w:r>
          </w:p>
          <w:p w:rsidR="004C6B87" w:rsidRPr="00D52116" w:rsidRDefault="004C6B87" w:rsidP="002E1020">
            <w:pPr>
              <w:pStyle w:val="Default"/>
              <w:rPr>
                <w:rFonts w:asciiTheme="minorHAnsi" w:hAnsiTheme="minorHAnsi"/>
                <w:sz w:val="22"/>
                <w:szCs w:val="22"/>
                <w:lang w:val="fr-CA"/>
              </w:rPr>
            </w:pPr>
          </w:p>
          <w:p w:rsidR="00F3078D" w:rsidRPr="00D52116" w:rsidRDefault="001D5CA2" w:rsidP="002E1020">
            <w:pPr>
              <w:pStyle w:val="BodyText"/>
              <w:kinsoku w:val="0"/>
              <w:overflowPunct w:val="0"/>
              <w:spacing w:after="0"/>
              <w:ind w:left="318" w:right="-46"/>
              <w:rPr>
                <w:rFonts w:asciiTheme="minorHAnsi" w:hAnsiTheme="minorHAnsi"/>
                <w:sz w:val="22"/>
                <w:szCs w:val="22"/>
                <w:lang w:val="fr-CA"/>
              </w:rPr>
            </w:pPr>
            <w:r>
              <w:rPr>
                <w:rFonts w:asciiTheme="minorHAnsi" w:hAnsiTheme="minorHAnsi"/>
                <w:sz w:val="22"/>
                <w:szCs w:val="22"/>
                <w:lang w:val="fr-CA"/>
              </w:rPr>
              <w:t>La</w:t>
            </w:r>
            <w:r w:rsidR="002E1020">
              <w:rPr>
                <w:rFonts w:asciiTheme="minorHAnsi" w:hAnsiTheme="minorHAnsi"/>
                <w:sz w:val="22"/>
                <w:szCs w:val="22"/>
                <w:lang w:val="fr-CA"/>
              </w:rPr>
              <w:t xml:space="preserve"> liste des personnes consultées doit comprendre, entre autres, un échantillon des correspondants nationaux et Parties contractantes des pays dont la première langue est une des langues des Nations Unies, des représentants d’autres AME et organisations pertinentes et du personnel du Secrétariat Ramsar, s’il y a lieu. Le Secrétariat a préparé une liste de travail (avec les coordonnées de</w:t>
            </w:r>
            <w:r w:rsidR="00086EA3">
              <w:rPr>
                <w:rFonts w:asciiTheme="minorHAnsi" w:hAnsiTheme="minorHAnsi"/>
                <w:sz w:val="22"/>
                <w:szCs w:val="22"/>
                <w:lang w:val="fr-CA"/>
              </w:rPr>
              <w:t>s</w:t>
            </w:r>
            <w:r w:rsidR="002E1020">
              <w:rPr>
                <w:rFonts w:asciiTheme="minorHAnsi" w:hAnsiTheme="minorHAnsi"/>
                <w:sz w:val="22"/>
                <w:szCs w:val="22"/>
                <w:lang w:val="fr-CA"/>
              </w:rPr>
              <w:t xml:space="preserve"> contacts) des Parties et organisations concernées qu’il serait bon de consulter. </w:t>
            </w:r>
          </w:p>
          <w:p w:rsidR="004C6B87" w:rsidRPr="00D52116" w:rsidRDefault="004C6B87" w:rsidP="002E1020">
            <w:pPr>
              <w:pStyle w:val="Default"/>
              <w:rPr>
                <w:rFonts w:asciiTheme="minorHAnsi" w:hAnsiTheme="minorHAnsi"/>
                <w:sz w:val="22"/>
                <w:szCs w:val="22"/>
                <w:lang w:val="fr-CA"/>
              </w:rPr>
            </w:pPr>
          </w:p>
          <w:p w:rsidR="004C6B87" w:rsidRPr="00D52116" w:rsidRDefault="002E1020" w:rsidP="00B95F43">
            <w:pPr>
              <w:pStyle w:val="BodyText"/>
              <w:kinsoku w:val="0"/>
              <w:overflowPunct w:val="0"/>
              <w:spacing w:after="0"/>
              <w:ind w:left="318" w:right="-46"/>
              <w:rPr>
                <w:rFonts w:asciiTheme="minorHAnsi" w:hAnsiTheme="minorHAnsi"/>
                <w:sz w:val="22"/>
                <w:szCs w:val="22"/>
                <w:lang w:val="fr-CA"/>
              </w:rPr>
            </w:pPr>
            <w:r>
              <w:rPr>
                <w:rFonts w:asciiTheme="minorHAnsi" w:hAnsiTheme="minorHAnsi"/>
                <w:sz w:val="22"/>
                <w:szCs w:val="22"/>
                <w:lang w:val="fr-CA"/>
              </w:rPr>
              <w:t>Les c</w:t>
            </w:r>
            <w:r w:rsidR="00F3078D" w:rsidRPr="00D52116">
              <w:rPr>
                <w:rFonts w:asciiTheme="minorHAnsi" w:hAnsiTheme="minorHAnsi"/>
                <w:sz w:val="22"/>
                <w:szCs w:val="22"/>
                <w:lang w:val="fr-CA"/>
              </w:rPr>
              <w:t xml:space="preserve">onsultations </w:t>
            </w:r>
            <w:r>
              <w:rPr>
                <w:rFonts w:asciiTheme="minorHAnsi" w:hAnsiTheme="minorHAnsi"/>
                <w:sz w:val="22"/>
                <w:szCs w:val="22"/>
                <w:lang w:val="fr-CA"/>
              </w:rPr>
              <w:t>peuvent avoir lieu selon différentes méthodes, y compris par messagerie électroniqu</w:t>
            </w:r>
            <w:r w:rsidR="00B95F43">
              <w:rPr>
                <w:rFonts w:asciiTheme="minorHAnsi" w:hAnsiTheme="minorHAnsi"/>
                <w:sz w:val="22"/>
                <w:szCs w:val="22"/>
                <w:lang w:val="fr-CA"/>
              </w:rPr>
              <w:t>e, téléphone et entretiens face</w:t>
            </w:r>
            <w:r w:rsidR="00B95F43">
              <w:rPr>
                <w:rFonts w:asciiTheme="minorHAnsi" w:hAnsiTheme="minorHAnsi"/>
                <w:sz w:val="22"/>
                <w:szCs w:val="22"/>
                <w:lang w:val="fr-CA"/>
              </w:rPr>
              <w:noBreakHyphen/>
              <w:t>à</w:t>
            </w:r>
            <w:r w:rsidR="00B95F43">
              <w:rPr>
                <w:rFonts w:asciiTheme="minorHAnsi" w:hAnsiTheme="minorHAnsi"/>
                <w:sz w:val="22"/>
                <w:szCs w:val="22"/>
                <w:lang w:val="fr-CA"/>
              </w:rPr>
              <w:noBreakHyphen/>
              <w:t xml:space="preserve">face, ainsi qu’avec des outils basés sur le web tels que </w:t>
            </w:r>
            <w:r w:rsidR="00F3078D" w:rsidRPr="00D52116">
              <w:rPr>
                <w:rFonts w:asciiTheme="minorHAnsi" w:hAnsiTheme="minorHAnsi"/>
                <w:sz w:val="22"/>
                <w:szCs w:val="22"/>
                <w:lang w:val="fr-CA"/>
              </w:rPr>
              <w:t xml:space="preserve">Skype, SurveyMonkey </w:t>
            </w:r>
            <w:r w:rsidR="00B95F43">
              <w:rPr>
                <w:rFonts w:asciiTheme="minorHAnsi" w:hAnsiTheme="minorHAnsi"/>
                <w:sz w:val="22"/>
                <w:szCs w:val="22"/>
                <w:lang w:val="fr-CA"/>
              </w:rPr>
              <w:t xml:space="preserve">et les listes de serveurs et portails web tenus par le Secrétariat Ramsar. </w:t>
            </w:r>
          </w:p>
        </w:tc>
        <w:tc>
          <w:tcPr>
            <w:tcW w:w="1701" w:type="dxa"/>
            <w:vAlign w:val="center"/>
          </w:tcPr>
          <w:p w:rsidR="00F3078D" w:rsidRPr="00D52116" w:rsidRDefault="00F3078D" w:rsidP="002E1020">
            <w:pPr>
              <w:ind w:right="-46"/>
              <w:jc w:val="center"/>
              <w:rPr>
                <w:rFonts w:asciiTheme="minorHAnsi" w:hAnsiTheme="minorHAnsi" w:cs="Arial"/>
                <w:sz w:val="22"/>
                <w:szCs w:val="22"/>
                <w:lang w:val="fr-CA"/>
              </w:rPr>
            </w:pPr>
            <w:r w:rsidRPr="00D52116">
              <w:rPr>
                <w:rFonts w:asciiTheme="minorHAnsi" w:hAnsiTheme="minorHAnsi" w:cs="Arial"/>
                <w:sz w:val="22"/>
                <w:szCs w:val="22"/>
                <w:lang w:val="fr-CA"/>
              </w:rPr>
              <w:lastRenderedPageBreak/>
              <w:t xml:space="preserve">20 </w:t>
            </w:r>
            <w:r w:rsidR="002E1020">
              <w:rPr>
                <w:rFonts w:asciiTheme="minorHAnsi" w:hAnsiTheme="minorHAnsi" w:cs="Arial"/>
                <w:sz w:val="22"/>
                <w:szCs w:val="22"/>
                <w:lang w:val="fr-CA"/>
              </w:rPr>
              <w:t>jours</w:t>
            </w:r>
          </w:p>
        </w:tc>
      </w:tr>
      <w:tr w:rsidR="00B95F43" w:rsidRPr="00D52116" w:rsidTr="004C6B87">
        <w:tc>
          <w:tcPr>
            <w:tcW w:w="7655" w:type="dxa"/>
          </w:tcPr>
          <w:p w:rsidR="00F3078D" w:rsidRPr="00D52116" w:rsidRDefault="00F3078D" w:rsidP="00B95F43">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fr-CA"/>
              </w:rPr>
            </w:pPr>
            <w:r w:rsidRPr="00D52116">
              <w:rPr>
                <w:rFonts w:asciiTheme="minorHAnsi" w:hAnsiTheme="minorHAnsi" w:cs="Arial"/>
                <w:lang w:val="fr-CA"/>
              </w:rPr>
              <w:lastRenderedPageBreak/>
              <w:t>Pr</w:t>
            </w:r>
            <w:r w:rsidR="00B95F43">
              <w:rPr>
                <w:rFonts w:asciiTheme="minorHAnsi" w:hAnsiTheme="minorHAnsi" w:cs="Arial"/>
                <w:lang w:val="fr-CA"/>
              </w:rPr>
              <w:t xml:space="preserve">éparer et soumettre un rapport résumant les résultats du processus de consultation et discuter avec le Secrétariat Ramsar. </w:t>
            </w:r>
          </w:p>
        </w:tc>
        <w:tc>
          <w:tcPr>
            <w:tcW w:w="1701" w:type="dxa"/>
            <w:vAlign w:val="center"/>
          </w:tcPr>
          <w:p w:rsidR="00F3078D" w:rsidRPr="00D52116" w:rsidRDefault="00F3078D" w:rsidP="00B95F43">
            <w:pPr>
              <w:ind w:right="-46"/>
              <w:jc w:val="center"/>
              <w:rPr>
                <w:rFonts w:asciiTheme="minorHAnsi" w:hAnsiTheme="minorHAnsi" w:cs="Arial"/>
                <w:sz w:val="22"/>
                <w:szCs w:val="22"/>
                <w:lang w:val="fr-CA"/>
              </w:rPr>
            </w:pPr>
            <w:r w:rsidRPr="00D52116">
              <w:rPr>
                <w:rFonts w:asciiTheme="minorHAnsi" w:hAnsiTheme="minorHAnsi" w:cs="Arial"/>
                <w:sz w:val="22"/>
                <w:szCs w:val="22"/>
                <w:lang w:val="fr-CA"/>
              </w:rPr>
              <w:t xml:space="preserve">6 </w:t>
            </w:r>
            <w:r w:rsidR="00B95F43">
              <w:rPr>
                <w:rFonts w:asciiTheme="minorHAnsi" w:hAnsiTheme="minorHAnsi" w:cs="Arial"/>
                <w:sz w:val="22"/>
                <w:szCs w:val="22"/>
                <w:lang w:val="fr-CA"/>
              </w:rPr>
              <w:t>jours</w:t>
            </w:r>
          </w:p>
        </w:tc>
      </w:tr>
      <w:tr w:rsidR="00B95F43" w:rsidRPr="00D52116" w:rsidTr="004C6B87">
        <w:tc>
          <w:tcPr>
            <w:tcW w:w="7655" w:type="dxa"/>
          </w:tcPr>
          <w:p w:rsidR="00F3078D" w:rsidRPr="00D52116" w:rsidRDefault="00B95F43" w:rsidP="00B95F43">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fr-CA"/>
              </w:rPr>
            </w:pPr>
            <w:r>
              <w:rPr>
                <w:rFonts w:asciiTheme="minorHAnsi" w:hAnsiTheme="minorHAnsi" w:cs="Arial"/>
                <w:lang w:val="fr-CA"/>
              </w:rPr>
              <w:t xml:space="preserve">D’après les discussions avec le Secrétariat Ramsar, préparer une première ébauche de la </w:t>
            </w:r>
            <w:r w:rsidR="00155C45">
              <w:rPr>
                <w:rFonts w:asciiTheme="minorHAnsi" w:hAnsiTheme="minorHAnsi" w:cs="Arial"/>
                <w:lang w:val="fr-CA"/>
              </w:rPr>
              <w:t>stratégie</w:t>
            </w:r>
            <w:r>
              <w:rPr>
                <w:rFonts w:asciiTheme="minorHAnsi" w:hAnsiTheme="minorHAnsi" w:cs="Arial"/>
                <w:lang w:val="fr-CA"/>
              </w:rPr>
              <w:t xml:space="preserve"> pour examen par le Secrétariat Ramsar. </w:t>
            </w:r>
          </w:p>
        </w:tc>
        <w:tc>
          <w:tcPr>
            <w:tcW w:w="1701" w:type="dxa"/>
            <w:vAlign w:val="center"/>
          </w:tcPr>
          <w:p w:rsidR="00F3078D" w:rsidRPr="00D52116" w:rsidRDefault="00F3078D" w:rsidP="002E1020">
            <w:pPr>
              <w:ind w:right="-46"/>
              <w:jc w:val="center"/>
              <w:rPr>
                <w:rFonts w:asciiTheme="minorHAnsi" w:hAnsiTheme="minorHAnsi" w:cs="Arial"/>
                <w:sz w:val="22"/>
                <w:szCs w:val="22"/>
                <w:lang w:val="fr-CA"/>
              </w:rPr>
            </w:pPr>
            <w:r w:rsidRPr="00D52116">
              <w:rPr>
                <w:rFonts w:asciiTheme="minorHAnsi" w:hAnsiTheme="minorHAnsi" w:cs="Arial"/>
                <w:sz w:val="22"/>
                <w:szCs w:val="22"/>
                <w:lang w:val="fr-CA"/>
              </w:rPr>
              <w:t xml:space="preserve">4 </w:t>
            </w:r>
            <w:r w:rsidR="00B95F43">
              <w:rPr>
                <w:rFonts w:asciiTheme="minorHAnsi" w:hAnsiTheme="minorHAnsi" w:cs="Arial"/>
                <w:sz w:val="22"/>
                <w:szCs w:val="22"/>
                <w:lang w:val="fr-CA"/>
              </w:rPr>
              <w:t>jours</w:t>
            </w:r>
          </w:p>
        </w:tc>
      </w:tr>
      <w:tr w:rsidR="00B95F43" w:rsidRPr="00D52116" w:rsidTr="004C6B87">
        <w:tc>
          <w:tcPr>
            <w:tcW w:w="7655" w:type="dxa"/>
          </w:tcPr>
          <w:p w:rsidR="00F3078D" w:rsidRPr="00D52116" w:rsidRDefault="00B95F43" w:rsidP="001D5CA2">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fr-CA"/>
              </w:rPr>
            </w:pPr>
            <w:r>
              <w:rPr>
                <w:rFonts w:asciiTheme="minorHAnsi" w:hAnsiTheme="minorHAnsi" w:cs="Arial"/>
                <w:lang w:val="fr-CA"/>
              </w:rPr>
              <w:t>Sur la base d’autres commentaires du Secrétariat Ramsar, préparer un deuxi</w:t>
            </w:r>
            <w:r w:rsidR="00155C45">
              <w:rPr>
                <w:rFonts w:asciiTheme="minorHAnsi" w:hAnsiTheme="minorHAnsi" w:cs="Arial"/>
                <w:lang w:val="fr-CA"/>
              </w:rPr>
              <w:t>ème projet de la s</w:t>
            </w:r>
            <w:r>
              <w:rPr>
                <w:rFonts w:asciiTheme="minorHAnsi" w:hAnsiTheme="minorHAnsi" w:cs="Arial"/>
                <w:lang w:val="fr-CA"/>
              </w:rPr>
              <w:t>tratégie qui sera soumis au Groupe de travail sur la gestion pour plus ample discussion.</w:t>
            </w:r>
          </w:p>
        </w:tc>
        <w:tc>
          <w:tcPr>
            <w:tcW w:w="1701" w:type="dxa"/>
            <w:vAlign w:val="center"/>
          </w:tcPr>
          <w:p w:rsidR="00F3078D" w:rsidRPr="00D52116" w:rsidRDefault="00F3078D" w:rsidP="002E1020">
            <w:pPr>
              <w:ind w:right="-46"/>
              <w:jc w:val="center"/>
              <w:rPr>
                <w:rFonts w:asciiTheme="minorHAnsi" w:hAnsiTheme="minorHAnsi" w:cs="Arial"/>
                <w:sz w:val="22"/>
                <w:szCs w:val="22"/>
                <w:lang w:val="fr-CA"/>
              </w:rPr>
            </w:pPr>
            <w:r w:rsidRPr="00D52116">
              <w:rPr>
                <w:rFonts w:asciiTheme="minorHAnsi" w:hAnsiTheme="minorHAnsi" w:cs="Arial"/>
                <w:sz w:val="22"/>
                <w:szCs w:val="22"/>
                <w:lang w:val="fr-CA"/>
              </w:rPr>
              <w:t xml:space="preserve">3 </w:t>
            </w:r>
            <w:r w:rsidR="00B95F43">
              <w:rPr>
                <w:rFonts w:asciiTheme="minorHAnsi" w:hAnsiTheme="minorHAnsi" w:cs="Arial"/>
                <w:sz w:val="22"/>
                <w:szCs w:val="22"/>
                <w:lang w:val="fr-CA"/>
              </w:rPr>
              <w:t>jours</w:t>
            </w:r>
          </w:p>
        </w:tc>
      </w:tr>
      <w:tr w:rsidR="00B95F43" w:rsidRPr="00D52116" w:rsidTr="004C6B87">
        <w:tc>
          <w:tcPr>
            <w:tcW w:w="7655" w:type="dxa"/>
          </w:tcPr>
          <w:p w:rsidR="00F3078D" w:rsidRPr="00D52116" w:rsidRDefault="00B95F43" w:rsidP="00B95F43">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fr-CA"/>
              </w:rPr>
            </w:pPr>
            <w:r>
              <w:rPr>
                <w:rFonts w:asciiTheme="minorHAnsi" w:hAnsiTheme="minorHAnsi" w:cs="Arial"/>
                <w:lang w:val="fr-CA"/>
              </w:rPr>
              <w:t>Présentation d</w:t>
            </w:r>
            <w:r w:rsidR="000F5DBE">
              <w:rPr>
                <w:rFonts w:asciiTheme="minorHAnsi" w:hAnsiTheme="minorHAnsi" w:cs="Arial"/>
                <w:lang w:val="fr-CA"/>
              </w:rPr>
              <w:t>u projet révisé de s</w:t>
            </w:r>
            <w:r>
              <w:rPr>
                <w:rFonts w:asciiTheme="minorHAnsi" w:hAnsiTheme="minorHAnsi" w:cs="Arial"/>
                <w:lang w:val="fr-CA"/>
              </w:rPr>
              <w:t>tratégie à la 52</w:t>
            </w:r>
            <w:r w:rsidRPr="00B95F43">
              <w:rPr>
                <w:rFonts w:asciiTheme="minorHAnsi" w:hAnsiTheme="minorHAnsi" w:cs="Arial"/>
                <w:vertAlign w:val="superscript"/>
                <w:lang w:val="fr-CA"/>
              </w:rPr>
              <w:t>e</w:t>
            </w:r>
            <w:r>
              <w:rPr>
                <w:rFonts w:asciiTheme="minorHAnsi" w:hAnsiTheme="minorHAnsi" w:cs="Arial"/>
                <w:lang w:val="fr-CA"/>
              </w:rPr>
              <w:t> Réunion du Comité permanent. Si les ressources le permettent, le consultant pourrait participer à la réu</w:t>
            </w:r>
            <w:r w:rsidR="00155C45">
              <w:rPr>
                <w:rFonts w:asciiTheme="minorHAnsi" w:hAnsiTheme="minorHAnsi" w:cs="Arial"/>
                <w:lang w:val="fr-CA"/>
              </w:rPr>
              <w:t>nion et présenter le projet de s</w:t>
            </w:r>
            <w:r>
              <w:rPr>
                <w:rFonts w:asciiTheme="minorHAnsi" w:hAnsiTheme="minorHAnsi" w:cs="Arial"/>
                <w:lang w:val="fr-CA"/>
              </w:rPr>
              <w:t xml:space="preserve">tratégie. </w:t>
            </w:r>
          </w:p>
        </w:tc>
        <w:tc>
          <w:tcPr>
            <w:tcW w:w="1701" w:type="dxa"/>
            <w:vAlign w:val="center"/>
          </w:tcPr>
          <w:p w:rsidR="00F3078D" w:rsidRPr="00D52116" w:rsidRDefault="00F3078D" w:rsidP="002E1020">
            <w:pPr>
              <w:ind w:right="-46"/>
              <w:jc w:val="center"/>
              <w:rPr>
                <w:rFonts w:asciiTheme="minorHAnsi" w:hAnsiTheme="minorHAnsi" w:cs="Arial"/>
                <w:sz w:val="22"/>
                <w:szCs w:val="22"/>
                <w:lang w:val="fr-CA"/>
              </w:rPr>
            </w:pPr>
            <w:r w:rsidRPr="00D52116">
              <w:rPr>
                <w:rFonts w:asciiTheme="minorHAnsi" w:hAnsiTheme="minorHAnsi" w:cs="Arial"/>
                <w:sz w:val="22"/>
                <w:szCs w:val="22"/>
                <w:lang w:val="fr-CA"/>
              </w:rPr>
              <w:t xml:space="preserve">5 </w:t>
            </w:r>
            <w:r w:rsidR="00B95F43">
              <w:rPr>
                <w:rFonts w:asciiTheme="minorHAnsi" w:hAnsiTheme="minorHAnsi" w:cs="Arial"/>
                <w:sz w:val="22"/>
                <w:szCs w:val="22"/>
                <w:lang w:val="fr-CA"/>
              </w:rPr>
              <w:t>jours</w:t>
            </w:r>
          </w:p>
        </w:tc>
      </w:tr>
      <w:tr w:rsidR="00B95F43" w:rsidRPr="00D52116" w:rsidTr="004C6B87">
        <w:tc>
          <w:tcPr>
            <w:tcW w:w="7655" w:type="dxa"/>
          </w:tcPr>
          <w:p w:rsidR="00F3078D" w:rsidRPr="00D52116" w:rsidRDefault="00B95F43" w:rsidP="00B95F43">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fr-CA"/>
              </w:rPr>
            </w:pPr>
            <w:r>
              <w:rPr>
                <w:rFonts w:asciiTheme="minorHAnsi" w:hAnsiTheme="minorHAnsi" w:cs="Arial"/>
                <w:lang w:val="fr-CA"/>
              </w:rPr>
              <w:t>D’après les commentaires reçus à la 52</w:t>
            </w:r>
            <w:r w:rsidRPr="00B95F43">
              <w:rPr>
                <w:rFonts w:asciiTheme="minorHAnsi" w:hAnsiTheme="minorHAnsi" w:cs="Arial"/>
                <w:vertAlign w:val="superscript"/>
                <w:lang w:val="fr-CA"/>
              </w:rPr>
              <w:t>e</w:t>
            </w:r>
            <w:r>
              <w:rPr>
                <w:rFonts w:asciiTheme="minorHAnsi" w:hAnsiTheme="minorHAnsi" w:cs="Arial"/>
                <w:lang w:val="fr-CA"/>
              </w:rPr>
              <w:t xml:space="preserve"> Réunion du Comité permanent, </w:t>
            </w:r>
            <w:r w:rsidR="00155C45">
              <w:rPr>
                <w:rFonts w:asciiTheme="minorHAnsi" w:hAnsiTheme="minorHAnsi" w:cs="Arial"/>
                <w:lang w:val="fr-CA"/>
              </w:rPr>
              <w:t>élaborer le projet final de la s</w:t>
            </w:r>
            <w:r>
              <w:rPr>
                <w:rFonts w:asciiTheme="minorHAnsi" w:hAnsiTheme="minorHAnsi" w:cs="Arial"/>
                <w:lang w:val="fr-CA"/>
              </w:rPr>
              <w:t xml:space="preserve">tratégie. </w:t>
            </w:r>
          </w:p>
        </w:tc>
        <w:tc>
          <w:tcPr>
            <w:tcW w:w="1701" w:type="dxa"/>
            <w:vAlign w:val="center"/>
          </w:tcPr>
          <w:p w:rsidR="00F3078D" w:rsidRPr="00D52116" w:rsidRDefault="00F3078D" w:rsidP="002E1020">
            <w:pPr>
              <w:ind w:right="-46"/>
              <w:jc w:val="center"/>
              <w:rPr>
                <w:rFonts w:asciiTheme="minorHAnsi" w:hAnsiTheme="minorHAnsi" w:cs="Arial"/>
                <w:sz w:val="22"/>
                <w:szCs w:val="22"/>
                <w:lang w:val="fr-CA"/>
              </w:rPr>
            </w:pPr>
            <w:r w:rsidRPr="00D52116">
              <w:rPr>
                <w:rFonts w:asciiTheme="minorHAnsi" w:hAnsiTheme="minorHAnsi" w:cs="Arial"/>
                <w:sz w:val="22"/>
                <w:szCs w:val="22"/>
                <w:lang w:val="fr-CA"/>
              </w:rPr>
              <w:t xml:space="preserve">4 </w:t>
            </w:r>
            <w:r w:rsidR="00B95F43">
              <w:rPr>
                <w:rFonts w:asciiTheme="minorHAnsi" w:hAnsiTheme="minorHAnsi" w:cs="Arial"/>
                <w:sz w:val="22"/>
                <w:szCs w:val="22"/>
                <w:lang w:val="fr-CA"/>
              </w:rPr>
              <w:t>jours</w:t>
            </w:r>
          </w:p>
        </w:tc>
      </w:tr>
    </w:tbl>
    <w:p w:rsidR="00F3078D" w:rsidRPr="00D52116" w:rsidRDefault="00F3078D" w:rsidP="002E1020">
      <w:pPr>
        <w:pStyle w:val="BodyText"/>
        <w:kinsoku w:val="0"/>
        <w:overflowPunct w:val="0"/>
        <w:spacing w:after="0"/>
        <w:ind w:right="-46"/>
        <w:rPr>
          <w:rFonts w:asciiTheme="minorHAnsi" w:hAnsiTheme="minorHAnsi"/>
          <w:color w:val="0000FF"/>
          <w:sz w:val="22"/>
          <w:szCs w:val="22"/>
          <w:lang w:val="fr-CA"/>
        </w:rPr>
      </w:pPr>
    </w:p>
    <w:p w:rsidR="00F3078D" w:rsidRPr="00D52116" w:rsidRDefault="00B95F43" w:rsidP="002E1020">
      <w:pPr>
        <w:pStyle w:val="BodyText"/>
        <w:numPr>
          <w:ilvl w:val="0"/>
          <w:numId w:val="5"/>
        </w:numPr>
        <w:kinsoku w:val="0"/>
        <w:overflowPunct w:val="0"/>
        <w:spacing w:after="0"/>
        <w:ind w:left="284" w:right="-46" w:hanging="284"/>
        <w:rPr>
          <w:rFonts w:asciiTheme="minorHAnsi" w:hAnsiTheme="minorHAnsi"/>
          <w:b/>
          <w:bCs/>
          <w:sz w:val="22"/>
          <w:szCs w:val="22"/>
          <w:lang w:val="fr-CA"/>
        </w:rPr>
      </w:pPr>
      <w:r>
        <w:rPr>
          <w:rFonts w:asciiTheme="minorHAnsi" w:hAnsiTheme="minorHAnsi"/>
          <w:b/>
          <w:bCs/>
          <w:sz w:val="22"/>
          <w:szCs w:val="22"/>
          <w:lang w:val="fr-CA"/>
        </w:rPr>
        <w:t>Produits escomptés du c</w:t>
      </w:r>
      <w:r w:rsidR="00F3078D" w:rsidRPr="00D52116">
        <w:rPr>
          <w:rFonts w:asciiTheme="minorHAnsi" w:hAnsiTheme="minorHAnsi"/>
          <w:b/>
          <w:bCs/>
          <w:sz w:val="22"/>
          <w:szCs w:val="22"/>
          <w:lang w:val="fr-CA"/>
        </w:rPr>
        <w:t xml:space="preserve">onsultant </w:t>
      </w:r>
    </w:p>
    <w:p w:rsidR="00F3078D" w:rsidRPr="00D52116" w:rsidRDefault="00F3078D" w:rsidP="002E1020">
      <w:pPr>
        <w:pStyle w:val="BodyText"/>
        <w:kinsoku w:val="0"/>
        <w:overflowPunct w:val="0"/>
        <w:spacing w:after="0"/>
        <w:ind w:right="-46"/>
        <w:rPr>
          <w:rFonts w:asciiTheme="minorHAnsi" w:hAnsiTheme="minorHAnsi"/>
          <w:sz w:val="22"/>
          <w:szCs w:val="22"/>
          <w:lang w:val="fr-CA"/>
        </w:rPr>
      </w:pPr>
    </w:p>
    <w:p w:rsidR="00F3078D" w:rsidRPr="00D52116" w:rsidRDefault="00F3078D" w:rsidP="002E102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r w:rsidRPr="00D52116">
        <w:rPr>
          <w:rFonts w:asciiTheme="minorHAnsi" w:hAnsiTheme="minorHAnsi" w:cstheme="minorHAnsi"/>
          <w:lang w:val="fr-CA"/>
        </w:rPr>
        <w:t>R</w:t>
      </w:r>
      <w:r w:rsidR="00B95F43">
        <w:rPr>
          <w:rFonts w:asciiTheme="minorHAnsi" w:hAnsiTheme="minorHAnsi" w:cstheme="minorHAnsi"/>
          <w:lang w:val="fr-CA"/>
        </w:rPr>
        <w:t>apports de l’étude de consultation et des réunions avec les différents groupes d’acteurs.</w:t>
      </w:r>
    </w:p>
    <w:p w:rsidR="004C6B87" w:rsidRPr="00D52116" w:rsidRDefault="004C6B87" w:rsidP="002E102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p>
    <w:p w:rsidR="00F3078D" w:rsidRPr="00D52116" w:rsidRDefault="00155C45" w:rsidP="002E102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fr-CA"/>
        </w:rPr>
      </w:pPr>
      <w:r>
        <w:rPr>
          <w:rFonts w:asciiTheme="minorHAnsi" w:hAnsiTheme="minorHAnsi" w:cstheme="minorHAnsi"/>
          <w:lang w:val="fr-CA"/>
        </w:rPr>
        <w:t>Projet de s</w:t>
      </w:r>
      <w:r w:rsidR="00B95F43">
        <w:rPr>
          <w:rFonts w:asciiTheme="minorHAnsi" w:hAnsiTheme="minorHAnsi" w:cstheme="minorHAnsi"/>
          <w:lang w:val="fr-CA"/>
        </w:rPr>
        <w:t xml:space="preserve">tratégie détaillé pour l’intégration éventuelle </w:t>
      </w:r>
      <w:r w:rsidR="001D5CA2">
        <w:rPr>
          <w:rFonts w:asciiTheme="minorHAnsi" w:hAnsiTheme="minorHAnsi" w:cstheme="minorHAnsi"/>
          <w:lang w:val="fr-CA"/>
        </w:rPr>
        <w:t xml:space="preserve">et </w:t>
      </w:r>
      <w:r w:rsidR="00B95F43">
        <w:rPr>
          <w:rFonts w:asciiTheme="minorHAnsi" w:hAnsiTheme="minorHAnsi" w:cstheme="minorHAnsi"/>
          <w:lang w:val="fr-CA"/>
        </w:rPr>
        <w:t>progressive de l’arabe ou d’autres langues des Nations Unies dans les travaux de la Convention.</w:t>
      </w:r>
    </w:p>
    <w:p w:rsidR="00F3078D" w:rsidRPr="00D52116" w:rsidRDefault="00F3078D" w:rsidP="002E1020">
      <w:pPr>
        <w:pStyle w:val="ListParagraph"/>
        <w:autoSpaceDE w:val="0"/>
        <w:autoSpaceDN w:val="0"/>
        <w:adjustRightInd w:val="0"/>
        <w:spacing w:line="240" w:lineRule="auto"/>
        <w:ind w:left="426"/>
        <w:rPr>
          <w:rFonts w:asciiTheme="minorHAnsi" w:eastAsiaTheme="minorEastAsia" w:hAnsiTheme="minorHAnsi" w:cs="Arial"/>
          <w:spacing w:val="-1"/>
          <w:lang w:val="fr-CA" w:eastAsia="en-GB"/>
        </w:rPr>
      </w:pPr>
    </w:p>
    <w:p w:rsidR="00F3078D" w:rsidRPr="00D52116" w:rsidRDefault="00F3078D" w:rsidP="002E1020">
      <w:pPr>
        <w:pStyle w:val="BodyText"/>
        <w:numPr>
          <w:ilvl w:val="0"/>
          <w:numId w:val="5"/>
        </w:numPr>
        <w:kinsoku w:val="0"/>
        <w:overflowPunct w:val="0"/>
        <w:spacing w:after="0"/>
        <w:ind w:left="284" w:right="-46" w:hanging="284"/>
        <w:rPr>
          <w:rFonts w:asciiTheme="minorHAnsi" w:hAnsiTheme="minorHAnsi"/>
          <w:b/>
          <w:bCs/>
          <w:sz w:val="22"/>
          <w:szCs w:val="22"/>
          <w:lang w:val="fr-CA"/>
        </w:rPr>
      </w:pPr>
      <w:r w:rsidRPr="00D52116">
        <w:rPr>
          <w:rFonts w:asciiTheme="minorHAnsi" w:hAnsiTheme="minorHAnsi"/>
          <w:b/>
          <w:bCs/>
          <w:sz w:val="22"/>
          <w:szCs w:val="22"/>
          <w:lang w:val="fr-CA"/>
        </w:rPr>
        <w:t>Budget</w:t>
      </w:r>
    </w:p>
    <w:p w:rsidR="004C6B87" w:rsidRPr="00D52116" w:rsidRDefault="004C6B87" w:rsidP="002E1020">
      <w:pPr>
        <w:pStyle w:val="Default"/>
        <w:rPr>
          <w:lang w:val="fr-CA"/>
        </w:rPr>
      </w:pPr>
    </w:p>
    <w:p w:rsidR="00F3078D" w:rsidRPr="00D52116" w:rsidRDefault="00B95F43" w:rsidP="002E1020">
      <w:pPr>
        <w:pStyle w:val="Default"/>
        <w:rPr>
          <w:rFonts w:asciiTheme="minorHAnsi" w:eastAsiaTheme="minorEastAsia" w:hAnsiTheme="minorHAnsi" w:cs="Arial"/>
          <w:color w:val="auto"/>
          <w:spacing w:val="-1"/>
          <w:sz w:val="22"/>
          <w:szCs w:val="22"/>
          <w:lang w:val="fr-CA" w:eastAsia="en-GB"/>
        </w:rPr>
      </w:pPr>
      <w:r>
        <w:rPr>
          <w:rFonts w:asciiTheme="minorHAnsi" w:hAnsiTheme="minorHAnsi"/>
          <w:sz w:val="22"/>
          <w:szCs w:val="22"/>
          <w:lang w:val="fr-CA"/>
        </w:rPr>
        <w:t xml:space="preserve">La somme globale pour cette consultation serait de </w:t>
      </w:r>
      <w:r>
        <w:rPr>
          <w:rFonts w:asciiTheme="minorHAnsi" w:hAnsiTheme="minorHAnsi"/>
          <w:sz w:val="22"/>
          <w:szCs w:val="22"/>
          <w:u w:val="single"/>
          <w:lang w:val="fr-CA"/>
        </w:rPr>
        <w:t>30 </w:t>
      </w:r>
      <w:r w:rsidR="00F3078D" w:rsidRPr="00D52116">
        <w:rPr>
          <w:rFonts w:asciiTheme="minorHAnsi" w:hAnsiTheme="minorHAnsi"/>
          <w:sz w:val="22"/>
          <w:szCs w:val="22"/>
          <w:u w:val="single"/>
          <w:lang w:val="fr-CA"/>
        </w:rPr>
        <w:t>000</w:t>
      </w:r>
      <w:r>
        <w:rPr>
          <w:rFonts w:asciiTheme="minorHAnsi" w:hAnsiTheme="minorHAnsi"/>
          <w:sz w:val="22"/>
          <w:szCs w:val="22"/>
          <w:u w:val="single"/>
          <w:lang w:val="fr-CA"/>
        </w:rPr>
        <w:t> CHF</w:t>
      </w:r>
      <w:r w:rsidRPr="00B95F43">
        <w:rPr>
          <w:rFonts w:asciiTheme="minorHAnsi" w:hAnsiTheme="minorHAnsi"/>
          <w:sz w:val="22"/>
          <w:szCs w:val="22"/>
          <w:lang w:val="fr-CA"/>
        </w:rPr>
        <w:t>,</w:t>
      </w:r>
      <w:r>
        <w:rPr>
          <w:rFonts w:asciiTheme="minorHAnsi" w:hAnsiTheme="minorHAnsi"/>
          <w:sz w:val="22"/>
          <w:szCs w:val="22"/>
          <w:lang w:val="fr-CA"/>
        </w:rPr>
        <w:t xml:space="preserve"> fondée sur le travail présenté ci</w:t>
      </w:r>
      <w:r>
        <w:rPr>
          <w:rFonts w:asciiTheme="minorHAnsi" w:hAnsiTheme="minorHAnsi"/>
          <w:sz w:val="22"/>
          <w:szCs w:val="22"/>
          <w:lang w:val="fr-CA"/>
        </w:rPr>
        <w:noBreakHyphen/>
        <w:t>dessus et 42 jours de travail estimé</w:t>
      </w:r>
      <w:r w:rsidR="00B455DC">
        <w:rPr>
          <w:rFonts w:asciiTheme="minorHAnsi" w:hAnsiTheme="minorHAnsi"/>
          <w:sz w:val="22"/>
          <w:szCs w:val="22"/>
          <w:lang w:val="fr-CA"/>
        </w:rPr>
        <w:t>s</w:t>
      </w:r>
      <w:r>
        <w:rPr>
          <w:rFonts w:asciiTheme="minorHAnsi" w:hAnsiTheme="minorHAnsi"/>
          <w:sz w:val="22"/>
          <w:szCs w:val="22"/>
          <w:lang w:val="fr-CA"/>
        </w:rPr>
        <w:t xml:space="preserve"> en trois mois, comprenant la participation à la 52</w:t>
      </w:r>
      <w:r w:rsidRPr="00B95F43">
        <w:rPr>
          <w:rFonts w:asciiTheme="minorHAnsi" w:hAnsiTheme="minorHAnsi"/>
          <w:sz w:val="22"/>
          <w:szCs w:val="22"/>
          <w:vertAlign w:val="superscript"/>
          <w:lang w:val="fr-CA"/>
        </w:rPr>
        <w:t>e</w:t>
      </w:r>
      <w:r>
        <w:rPr>
          <w:rFonts w:asciiTheme="minorHAnsi" w:hAnsiTheme="minorHAnsi"/>
          <w:sz w:val="22"/>
          <w:szCs w:val="22"/>
          <w:lang w:val="fr-CA"/>
        </w:rPr>
        <w:t> Réunion du Comité permanent pour présenter les tra</w:t>
      </w:r>
      <w:r w:rsidR="00155C45">
        <w:rPr>
          <w:rFonts w:asciiTheme="minorHAnsi" w:hAnsiTheme="minorHAnsi"/>
          <w:sz w:val="22"/>
          <w:szCs w:val="22"/>
          <w:lang w:val="fr-CA"/>
        </w:rPr>
        <w:t>vaux sur la s</w:t>
      </w:r>
      <w:r>
        <w:rPr>
          <w:rFonts w:asciiTheme="minorHAnsi" w:hAnsiTheme="minorHAnsi"/>
          <w:sz w:val="22"/>
          <w:szCs w:val="22"/>
          <w:lang w:val="fr-CA"/>
        </w:rPr>
        <w:t>tratégie.</w:t>
      </w:r>
      <w:r w:rsidR="00F3078D" w:rsidRPr="00D52116">
        <w:rPr>
          <w:rFonts w:asciiTheme="minorHAnsi" w:hAnsiTheme="minorHAnsi"/>
          <w:sz w:val="22"/>
          <w:szCs w:val="22"/>
          <w:lang w:val="fr-CA"/>
        </w:rPr>
        <w:t xml:space="preserve"> </w:t>
      </w:r>
    </w:p>
    <w:p w:rsidR="00F3078D" w:rsidRPr="00D52116" w:rsidRDefault="00F3078D" w:rsidP="002E1020">
      <w:pPr>
        <w:outlineLvl w:val="0"/>
        <w:rPr>
          <w:rFonts w:ascii="Calibri" w:eastAsia="Helvetica" w:hAnsi="Calibri" w:cs="Calibri"/>
          <w:lang w:val="fr-CA"/>
        </w:rPr>
      </w:pPr>
    </w:p>
    <w:sectPr w:rsidR="00F3078D" w:rsidRPr="00D52116"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569" w:rsidRDefault="00AE1569">
      <w:r>
        <w:separator/>
      </w:r>
    </w:p>
  </w:endnote>
  <w:endnote w:type="continuationSeparator" w:id="0">
    <w:p w:rsidR="00AE1569" w:rsidRDefault="00AE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Default="003251C7" w:rsidP="004D5483">
    <w:pPr>
      <w:pStyle w:val="Footer"/>
      <w:framePr w:wrap="around" w:vAnchor="text" w:hAnchor="margin" w:xAlign="center" w:y="1"/>
      <w:rPr>
        <w:rStyle w:val="PageNumber"/>
      </w:rPr>
    </w:pPr>
    <w:r>
      <w:rPr>
        <w:rStyle w:val="PageNumber"/>
      </w:rPr>
      <w:fldChar w:fldCharType="begin"/>
    </w:r>
    <w:r w:rsidR="00A871DE">
      <w:rPr>
        <w:rStyle w:val="PageNumber"/>
      </w:rPr>
      <w:instrText xml:space="preserve">PAGE  </w:instrText>
    </w:r>
    <w:r>
      <w:rPr>
        <w:rStyle w:val="PageNumber"/>
      </w:rPr>
      <w:fldChar w:fldCharType="separate"/>
    </w:r>
    <w:r w:rsidR="00A871DE">
      <w:rPr>
        <w:rStyle w:val="PageNumber"/>
        <w:noProof/>
      </w:rPr>
      <w:t>8</w:t>
    </w:r>
    <w:r>
      <w:rPr>
        <w:rStyle w:val="PageNumber"/>
      </w:rPr>
      <w:fldChar w:fldCharType="end"/>
    </w:r>
  </w:p>
  <w:p w:rsidR="00A871DE" w:rsidRDefault="00A8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002967" w:rsidRDefault="00A871DE" w:rsidP="000377BA">
    <w:pPr>
      <w:tabs>
        <w:tab w:val="left" w:pos="8789"/>
      </w:tabs>
      <w:autoSpaceDE w:val="0"/>
      <w:autoSpaceDN w:val="0"/>
      <w:adjustRightInd w:val="0"/>
      <w:rPr>
        <w:rFonts w:asciiTheme="minorHAnsi" w:hAnsiTheme="minorHAnsi"/>
        <w:b/>
        <w:sz w:val="20"/>
        <w:szCs w:val="20"/>
      </w:rPr>
    </w:pPr>
    <w:r w:rsidRPr="00D967A5">
      <w:rPr>
        <w:rFonts w:asciiTheme="minorHAnsi" w:hAnsiTheme="minorHAnsi"/>
        <w:noProof/>
        <w:sz w:val="20"/>
        <w:szCs w:val="20"/>
      </w:rPr>
      <w:t>SC</w:t>
    </w:r>
    <w:r w:rsidR="000377BA">
      <w:rPr>
        <w:rFonts w:asciiTheme="minorHAnsi" w:hAnsiTheme="minorHAnsi"/>
        <w:noProof/>
        <w:sz w:val="20"/>
        <w:szCs w:val="20"/>
      </w:rPr>
      <w:t>51</w:t>
    </w:r>
    <w:r w:rsidRPr="00D967A5">
      <w:rPr>
        <w:rFonts w:asciiTheme="minorHAnsi" w:hAnsiTheme="minorHAnsi"/>
        <w:noProof/>
        <w:sz w:val="20"/>
        <w:szCs w:val="20"/>
      </w:rPr>
      <w:t>-</w:t>
    </w:r>
    <w:r w:rsidR="000377BA">
      <w:rPr>
        <w:rFonts w:asciiTheme="minorHAnsi" w:hAnsiTheme="minorHAnsi"/>
        <w:noProof/>
        <w:sz w:val="20"/>
        <w:szCs w:val="20"/>
      </w:rPr>
      <w:t>17</w:t>
    </w:r>
    <w:r w:rsidRPr="00D967A5">
      <w:rPr>
        <w:rFonts w:asciiTheme="minorHAnsi" w:hAnsiTheme="minorHAnsi"/>
        <w:noProof/>
        <w:sz w:val="20"/>
        <w:szCs w:val="20"/>
      </w:rPr>
      <w:tab/>
    </w:r>
    <w:r w:rsidR="003251C7" w:rsidRPr="00D967A5">
      <w:rPr>
        <w:rFonts w:asciiTheme="minorHAnsi" w:hAnsiTheme="minorHAnsi"/>
        <w:noProof/>
        <w:sz w:val="20"/>
        <w:szCs w:val="20"/>
      </w:rPr>
      <w:fldChar w:fldCharType="begin"/>
    </w:r>
    <w:r w:rsidRPr="00D967A5">
      <w:rPr>
        <w:rFonts w:asciiTheme="minorHAnsi" w:hAnsiTheme="minorHAnsi"/>
        <w:noProof/>
        <w:sz w:val="20"/>
        <w:szCs w:val="20"/>
      </w:rPr>
      <w:instrText xml:space="preserve"> PAGE   \* MERGEFORMAT </w:instrText>
    </w:r>
    <w:r w:rsidR="003251C7" w:rsidRPr="00D967A5">
      <w:rPr>
        <w:rFonts w:asciiTheme="minorHAnsi" w:hAnsiTheme="minorHAnsi"/>
        <w:noProof/>
        <w:sz w:val="20"/>
        <w:szCs w:val="20"/>
      </w:rPr>
      <w:fldChar w:fldCharType="separate"/>
    </w:r>
    <w:r w:rsidR="00782C29">
      <w:rPr>
        <w:rFonts w:asciiTheme="minorHAnsi" w:hAnsiTheme="minorHAnsi"/>
        <w:noProof/>
        <w:sz w:val="20"/>
        <w:szCs w:val="20"/>
      </w:rPr>
      <w:t>6</w:t>
    </w:r>
    <w:r w:rsidR="003251C7" w:rsidRPr="00D967A5">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569" w:rsidRDefault="00AE1569">
      <w:r>
        <w:separator/>
      </w:r>
    </w:p>
  </w:footnote>
  <w:footnote w:type="continuationSeparator" w:id="0">
    <w:p w:rsidR="00AE1569" w:rsidRDefault="00AE1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DE" w:rsidRPr="00162ACC" w:rsidRDefault="00A871DE"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367DC"/>
    <w:multiLevelType w:val="hybridMultilevel"/>
    <w:tmpl w:val="66F2DA84"/>
    <w:lvl w:ilvl="0" w:tplc="8474CC6C">
      <w:start w:val="1"/>
      <w:numFmt w:val="lowerRoman"/>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6B52C4"/>
    <w:multiLevelType w:val="hybridMultilevel"/>
    <w:tmpl w:val="DC3223E0"/>
    <w:lvl w:ilvl="0" w:tplc="8474CC6C">
      <w:start w:val="1"/>
      <w:numFmt w:val="lowerRoman"/>
      <w:lvlText w:val="%1."/>
      <w:lvlJc w:val="left"/>
      <w:pPr>
        <w:ind w:left="1429" w:hanging="360"/>
      </w:pPr>
      <w:rPr>
        <w:rFonts w:hint="defaul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7">
    <w:nsid w:val="498F26FB"/>
    <w:multiLevelType w:val="hybridMultilevel"/>
    <w:tmpl w:val="E43ECE50"/>
    <w:lvl w:ilvl="0" w:tplc="8474CC6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4B2A5F65"/>
    <w:multiLevelType w:val="hybridMultilevel"/>
    <w:tmpl w:val="80C6C8B2"/>
    <w:lvl w:ilvl="0" w:tplc="9A565BE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58CA79AF"/>
    <w:multiLevelType w:val="hybridMultilevel"/>
    <w:tmpl w:val="5CD85830"/>
    <w:lvl w:ilvl="0" w:tplc="04090019">
      <w:start w:val="1"/>
      <w:numFmt w:val="lowerLetter"/>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752C8F"/>
    <w:multiLevelType w:val="hybridMultilevel"/>
    <w:tmpl w:val="418E75C8"/>
    <w:lvl w:ilvl="0" w:tplc="D7962AFC">
      <w:start w:val="1"/>
      <w:numFmt w:val="bullet"/>
      <w:lvlText w:val="-"/>
      <w:lvlJc w:val="left"/>
      <w:pPr>
        <w:ind w:left="1146" w:hanging="360"/>
      </w:pPr>
      <w:rPr>
        <w:rFonts w:ascii="Calibri" w:hAnsi="Calibri" w:hint="default"/>
        <w:sz w:val="22"/>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1">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84A4B"/>
    <w:multiLevelType w:val="hybridMultilevel"/>
    <w:tmpl w:val="AE2EB868"/>
    <w:lvl w:ilvl="0" w:tplc="D7962AFC">
      <w:start w:val="1"/>
      <w:numFmt w:val="bullet"/>
      <w:lvlText w:val="-"/>
      <w:lvlJc w:val="left"/>
      <w:pPr>
        <w:ind w:left="2138" w:hanging="360"/>
      </w:pPr>
      <w:rPr>
        <w:rFonts w:ascii="Calibri" w:hAnsi="Calibri" w:hint="default"/>
        <w:sz w:val="22"/>
      </w:rPr>
    </w:lvl>
    <w:lvl w:ilvl="1" w:tplc="100C0003" w:tentative="1">
      <w:start w:val="1"/>
      <w:numFmt w:val="bullet"/>
      <w:lvlText w:val="o"/>
      <w:lvlJc w:val="left"/>
      <w:pPr>
        <w:ind w:left="2858" w:hanging="360"/>
      </w:pPr>
      <w:rPr>
        <w:rFonts w:ascii="Courier New" w:hAnsi="Courier New" w:cs="Courier New" w:hint="default"/>
      </w:rPr>
    </w:lvl>
    <w:lvl w:ilvl="2" w:tplc="100C0005" w:tentative="1">
      <w:start w:val="1"/>
      <w:numFmt w:val="bullet"/>
      <w:lvlText w:val=""/>
      <w:lvlJc w:val="left"/>
      <w:pPr>
        <w:ind w:left="3578" w:hanging="360"/>
      </w:pPr>
      <w:rPr>
        <w:rFonts w:ascii="Wingdings" w:hAnsi="Wingdings" w:hint="default"/>
      </w:rPr>
    </w:lvl>
    <w:lvl w:ilvl="3" w:tplc="100C0001" w:tentative="1">
      <w:start w:val="1"/>
      <w:numFmt w:val="bullet"/>
      <w:lvlText w:val=""/>
      <w:lvlJc w:val="left"/>
      <w:pPr>
        <w:ind w:left="4298" w:hanging="360"/>
      </w:pPr>
      <w:rPr>
        <w:rFonts w:ascii="Symbol" w:hAnsi="Symbol" w:hint="default"/>
      </w:rPr>
    </w:lvl>
    <w:lvl w:ilvl="4" w:tplc="100C0003" w:tentative="1">
      <w:start w:val="1"/>
      <w:numFmt w:val="bullet"/>
      <w:lvlText w:val="o"/>
      <w:lvlJc w:val="left"/>
      <w:pPr>
        <w:ind w:left="5018" w:hanging="360"/>
      </w:pPr>
      <w:rPr>
        <w:rFonts w:ascii="Courier New" w:hAnsi="Courier New" w:cs="Courier New" w:hint="default"/>
      </w:rPr>
    </w:lvl>
    <w:lvl w:ilvl="5" w:tplc="100C0005" w:tentative="1">
      <w:start w:val="1"/>
      <w:numFmt w:val="bullet"/>
      <w:lvlText w:val=""/>
      <w:lvlJc w:val="left"/>
      <w:pPr>
        <w:ind w:left="5738" w:hanging="360"/>
      </w:pPr>
      <w:rPr>
        <w:rFonts w:ascii="Wingdings" w:hAnsi="Wingdings" w:hint="default"/>
      </w:rPr>
    </w:lvl>
    <w:lvl w:ilvl="6" w:tplc="100C0001" w:tentative="1">
      <w:start w:val="1"/>
      <w:numFmt w:val="bullet"/>
      <w:lvlText w:val=""/>
      <w:lvlJc w:val="left"/>
      <w:pPr>
        <w:ind w:left="6458" w:hanging="360"/>
      </w:pPr>
      <w:rPr>
        <w:rFonts w:ascii="Symbol" w:hAnsi="Symbol" w:hint="default"/>
      </w:rPr>
    </w:lvl>
    <w:lvl w:ilvl="7" w:tplc="100C0003" w:tentative="1">
      <w:start w:val="1"/>
      <w:numFmt w:val="bullet"/>
      <w:lvlText w:val="o"/>
      <w:lvlJc w:val="left"/>
      <w:pPr>
        <w:ind w:left="7178" w:hanging="360"/>
      </w:pPr>
      <w:rPr>
        <w:rFonts w:ascii="Courier New" w:hAnsi="Courier New" w:cs="Courier New" w:hint="default"/>
      </w:rPr>
    </w:lvl>
    <w:lvl w:ilvl="8" w:tplc="100C0005" w:tentative="1">
      <w:start w:val="1"/>
      <w:numFmt w:val="bullet"/>
      <w:lvlText w:val=""/>
      <w:lvlJc w:val="left"/>
      <w:pPr>
        <w:ind w:left="7898" w:hanging="360"/>
      </w:pPr>
      <w:rPr>
        <w:rFonts w:ascii="Wingdings" w:hAnsi="Wingdings" w:hint="default"/>
      </w:rPr>
    </w:lvl>
  </w:abstractNum>
  <w:abstractNum w:abstractNumId="13">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7D669A"/>
    <w:multiLevelType w:val="hybridMultilevel"/>
    <w:tmpl w:val="F6560290"/>
    <w:lvl w:ilvl="0" w:tplc="8474CC6C">
      <w:start w:val="1"/>
      <w:numFmt w:val="lowerRoman"/>
      <w:lvlText w:val="%1."/>
      <w:lvlJc w:val="left"/>
      <w:pPr>
        <w:ind w:left="720" w:hanging="360"/>
      </w:pPr>
      <w:rPr>
        <w:rFonts w:hint="default"/>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16"/>
  </w:num>
  <w:num w:numId="5">
    <w:abstractNumId w:val="0"/>
  </w:num>
  <w:num w:numId="6">
    <w:abstractNumId w:val="2"/>
  </w:num>
  <w:num w:numId="7">
    <w:abstractNumId w:val="9"/>
  </w:num>
  <w:num w:numId="8">
    <w:abstractNumId w:val="8"/>
  </w:num>
  <w:num w:numId="9">
    <w:abstractNumId w:val="5"/>
  </w:num>
  <w:num w:numId="10">
    <w:abstractNumId w:val="13"/>
  </w:num>
  <w:num w:numId="11">
    <w:abstractNumId w:val="14"/>
  </w:num>
  <w:num w:numId="12">
    <w:abstractNumId w:val="3"/>
  </w:num>
  <w:num w:numId="13">
    <w:abstractNumId w:val="1"/>
  </w:num>
  <w:num w:numId="14">
    <w:abstractNumId w:val="15"/>
  </w:num>
  <w:num w:numId="15">
    <w:abstractNumId w:val="6"/>
  </w:num>
  <w:num w:numId="16">
    <w:abstractNumId w:val="12"/>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34E80"/>
    <w:rsid w:val="000377BA"/>
    <w:rsid w:val="00040620"/>
    <w:rsid w:val="000437D2"/>
    <w:rsid w:val="00043C5A"/>
    <w:rsid w:val="000528BD"/>
    <w:rsid w:val="00052AA0"/>
    <w:rsid w:val="00052C95"/>
    <w:rsid w:val="00061321"/>
    <w:rsid w:val="000704FE"/>
    <w:rsid w:val="00071A71"/>
    <w:rsid w:val="000775B1"/>
    <w:rsid w:val="00086EA3"/>
    <w:rsid w:val="000B2AA1"/>
    <w:rsid w:val="000B4145"/>
    <w:rsid w:val="000C2F41"/>
    <w:rsid w:val="000D0EBE"/>
    <w:rsid w:val="000D5E49"/>
    <w:rsid w:val="000D7986"/>
    <w:rsid w:val="000F5DBE"/>
    <w:rsid w:val="000F659F"/>
    <w:rsid w:val="000F728B"/>
    <w:rsid w:val="00100165"/>
    <w:rsid w:val="001064B3"/>
    <w:rsid w:val="00110B06"/>
    <w:rsid w:val="0011124D"/>
    <w:rsid w:val="0011150D"/>
    <w:rsid w:val="00123DC0"/>
    <w:rsid w:val="00125C29"/>
    <w:rsid w:val="00136F94"/>
    <w:rsid w:val="00144F9F"/>
    <w:rsid w:val="001470E8"/>
    <w:rsid w:val="00155C45"/>
    <w:rsid w:val="00162ACC"/>
    <w:rsid w:val="00174830"/>
    <w:rsid w:val="001858B2"/>
    <w:rsid w:val="00196AE2"/>
    <w:rsid w:val="001A1E07"/>
    <w:rsid w:val="001C1E99"/>
    <w:rsid w:val="001C514C"/>
    <w:rsid w:val="001C64E2"/>
    <w:rsid w:val="001C7B97"/>
    <w:rsid w:val="001D0083"/>
    <w:rsid w:val="001D5CA2"/>
    <w:rsid w:val="001E1368"/>
    <w:rsid w:val="001F0C41"/>
    <w:rsid w:val="001F3419"/>
    <w:rsid w:val="001F5BC8"/>
    <w:rsid w:val="001F7186"/>
    <w:rsid w:val="00204F55"/>
    <w:rsid w:val="00215034"/>
    <w:rsid w:val="00216D7C"/>
    <w:rsid w:val="0022013D"/>
    <w:rsid w:val="00223882"/>
    <w:rsid w:val="0022512C"/>
    <w:rsid w:val="00234FCC"/>
    <w:rsid w:val="00237D11"/>
    <w:rsid w:val="0024743A"/>
    <w:rsid w:val="002562B0"/>
    <w:rsid w:val="0027259E"/>
    <w:rsid w:val="00284F3C"/>
    <w:rsid w:val="002861CA"/>
    <w:rsid w:val="00287DF7"/>
    <w:rsid w:val="002C2F5D"/>
    <w:rsid w:val="002C7D53"/>
    <w:rsid w:val="002D0FC7"/>
    <w:rsid w:val="002D26B8"/>
    <w:rsid w:val="002E1020"/>
    <w:rsid w:val="002E439C"/>
    <w:rsid w:val="002E4C00"/>
    <w:rsid w:val="002E7DF3"/>
    <w:rsid w:val="002F7B12"/>
    <w:rsid w:val="002F7C9B"/>
    <w:rsid w:val="0030063F"/>
    <w:rsid w:val="003010AD"/>
    <w:rsid w:val="003032CC"/>
    <w:rsid w:val="003251C7"/>
    <w:rsid w:val="0033476C"/>
    <w:rsid w:val="00343958"/>
    <w:rsid w:val="00344724"/>
    <w:rsid w:val="00346E74"/>
    <w:rsid w:val="0034742B"/>
    <w:rsid w:val="00355251"/>
    <w:rsid w:val="00357DFD"/>
    <w:rsid w:val="00361C9E"/>
    <w:rsid w:val="00372C60"/>
    <w:rsid w:val="00380C30"/>
    <w:rsid w:val="00383EE8"/>
    <w:rsid w:val="003858C9"/>
    <w:rsid w:val="0039302C"/>
    <w:rsid w:val="00393149"/>
    <w:rsid w:val="00393AE4"/>
    <w:rsid w:val="00394E47"/>
    <w:rsid w:val="0039793B"/>
    <w:rsid w:val="003B2333"/>
    <w:rsid w:val="003B58BE"/>
    <w:rsid w:val="003C1C42"/>
    <w:rsid w:val="003C6CAC"/>
    <w:rsid w:val="003D10F2"/>
    <w:rsid w:val="003D18B4"/>
    <w:rsid w:val="003D7DAD"/>
    <w:rsid w:val="003E2795"/>
    <w:rsid w:val="003E3303"/>
    <w:rsid w:val="003E37F4"/>
    <w:rsid w:val="003F2517"/>
    <w:rsid w:val="004031DE"/>
    <w:rsid w:val="00403469"/>
    <w:rsid w:val="00406F6C"/>
    <w:rsid w:val="00426929"/>
    <w:rsid w:val="004270D0"/>
    <w:rsid w:val="00427C37"/>
    <w:rsid w:val="00430BB5"/>
    <w:rsid w:val="00434725"/>
    <w:rsid w:val="0043797C"/>
    <w:rsid w:val="00446D90"/>
    <w:rsid w:val="0045064E"/>
    <w:rsid w:val="004522D8"/>
    <w:rsid w:val="00455B63"/>
    <w:rsid w:val="00476874"/>
    <w:rsid w:val="00484D9F"/>
    <w:rsid w:val="004851FA"/>
    <w:rsid w:val="004947C7"/>
    <w:rsid w:val="004953DA"/>
    <w:rsid w:val="00497278"/>
    <w:rsid w:val="004A0E80"/>
    <w:rsid w:val="004A4236"/>
    <w:rsid w:val="004A7A1A"/>
    <w:rsid w:val="004B6733"/>
    <w:rsid w:val="004C56C5"/>
    <w:rsid w:val="004C6580"/>
    <w:rsid w:val="004C6B87"/>
    <w:rsid w:val="004C7FA1"/>
    <w:rsid w:val="004D4D75"/>
    <w:rsid w:val="004D5483"/>
    <w:rsid w:val="004D646D"/>
    <w:rsid w:val="004E43B1"/>
    <w:rsid w:val="004E5614"/>
    <w:rsid w:val="004F2B37"/>
    <w:rsid w:val="004F68B1"/>
    <w:rsid w:val="004F6F49"/>
    <w:rsid w:val="00504C7C"/>
    <w:rsid w:val="00507469"/>
    <w:rsid w:val="00514E3B"/>
    <w:rsid w:val="005226F0"/>
    <w:rsid w:val="005433CF"/>
    <w:rsid w:val="00543B5C"/>
    <w:rsid w:val="0054446C"/>
    <w:rsid w:val="00544EC7"/>
    <w:rsid w:val="005519F9"/>
    <w:rsid w:val="00554327"/>
    <w:rsid w:val="005660F3"/>
    <w:rsid w:val="005801E2"/>
    <w:rsid w:val="00593B55"/>
    <w:rsid w:val="005A604A"/>
    <w:rsid w:val="005B00EE"/>
    <w:rsid w:val="005B240B"/>
    <w:rsid w:val="005B30E4"/>
    <w:rsid w:val="005B3B3A"/>
    <w:rsid w:val="005B72AB"/>
    <w:rsid w:val="005C290D"/>
    <w:rsid w:val="005C4728"/>
    <w:rsid w:val="005F3D38"/>
    <w:rsid w:val="00603E93"/>
    <w:rsid w:val="00613151"/>
    <w:rsid w:val="00616F53"/>
    <w:rsid w:val="00621667"/>
    <w:rsid w:val="00623263"/>
    <w:rsid w:val="0063460C"/>
    <w:rsid w:val="006420A3"/>
    <w:rsid w:val="00646A9F"/>
    <w:rsid w:val="00654B3B"/>
    <w:rsid w:val="00656481"/>
    <w:rsid w:val="00656AB2"/>
    <w:rsid w:val="006839A1"/>
    <w:rsid w:val="00686B10"/>
    <w:rsid w:val="006971EA"/>
    <w:rsid w:val="006A1CA7"/>
    <w:rsid w:val="006B1F76"/>
    <w:rsid w:val="006C01BE"/>
    <w:rsid w:val="006C4933"/>
    <w:rsid w:val="006D68A9"/>
    <w:rsid w:val="006D7303"/>
    <w:rsid w:val="006E2436"/>
    <w:rsid w:val="006E40E7"/>
    <w:rsid w:val="006E5912"/>
    <w:rsid w:val="006F42DA"/>
    <w:rsid w:val="006F6850"/>
    <w:rsid w:val="00710E8E"/>
    <w:rsid w:val="007225D6"/>
    <w:rsid w:val="007248B4"/>
    <w:rsid w:val="0072664F"/>
    <w:rsid w:val="00733155"/>
    <w:rsid w:val="0075796B"/>
    <w:rsid w:val="00770C1E"/>
    <w:rsid w:val="007724B1"/>
    <w:rsid w:val="00782C29"/>
    <w:rsid w:val="00784370"/>
    <w:rsid w:val="00794BB3"/>
    <w:rsid w:val="007A5FF8"/>
    <w:rsid w:val="007A7538"/>
    <w:rsid w:val="007A76F3"/>
    <w:rsid w:val="007B6C83"/>
    <w:rsid w:val="007C401B"/>
    <w:rsid w:val="007C5E60"/>
    <w:rsid w:val="007D7DB2"/>
    <w:rsid w:val="007F2326"/>
    <w:rsid w:val="007F2B65"/>
    <w:rsid w:val="008024A0"/>
    <w:rsid w:val="00805F8B"/>
    <w:rsid w:val="00807B17"/>
    <w:rsid w:val="00825615"/>
    <w:rsid w:val="00832C81"/>
    <w:rsid w:val="00837FD3"/>
    <w:rsid w:val="00840640"/>
    <w:rsid w:val="00851AF9"/>
    <w:rsid w:val="00853ABB"/>
    <w:rsid w:val="0086669F"/>
    <w:rsid w:val="00867023"/>
    <w:rsid w:val="00874423"/>
    <w:rsid w:val="00881AE1"/>
    <w:rsid w:val="00882724"/>
    <w:rsid w:val="00886A64"/>
    <w:rsid w:val="00887798"/>
    <w:rsid w:val="00896FDB"/>
    <w:rsid w:val="008B0583"/>
    <w:rsid w:val="008D0AE2"/>
    <w:rsid w:val="008D5FFB"/>
    <w:rsid w:val="008E2CD2"/>
    <w:rsid w:val="008E3DD1"/>
    <w:rsid w:val="008E3F77"/>
    <w:rsid w:val="008F13CA"/>
    <w:rsid w:val="008F1C61"/>
    <w:rsid w:val="008F698F"/>
    <w:rsid w:val="0090277A"/>
    <w:rsid w:val="00914524"/>
    <w:rsid w:val="00915EC1"/>
    <w:rsid w:val="00932235"/>
    <w:rsid w:val="00940900"/>
    <w:rsid w:val="00960B4C"/>
    <w:rsid w:val="009628CF"/>
    <w:rsid w:val="00963BFF"/>
    <w:rsid w:val="0099093D"/>
    <w:rsid w:val="00993E19"/>
    <w:rsid w:val="00994722"/>
    <w:rsid w:val="009A4D4B"/>
    <w:rsid w:val="009A79C8"/>
    <w:rsid w:val="009B3464"/>
    <w:rsid w:val="009C2097"/>
    <w:rsid w:val="009C5CAE"/>
    <w:rsid w:val="009D3128"/>
    <w:rsid w:val="009D4565"/>
    <w:rsid w:val="009D7098"/>
    <w:rsid w:val="009D774D"/>
    <w:rsid w:val="009D799D"/>
    <w:rsid w:val="009E1233"/>
    <w:rsid w:val="009E709E"/>
    <w:rsid w:val="009F3E57"/>
    <w:rsid w:val="00A0203B"/>
    <w:rsid w:val="00A06400"/>
    <w:rsid w:val="00A147F0"/>
    <w:rsid w:val="00A22D32"/>
    <w:rsid w:val="00A27105"/>
    <w:rsid w:val="00A451CF"/>
    <w:rsid w:val="00A7348A"/>
    <w:rsid w:val="00A826E8"/>
    <w:rsid w:val="00A838FC"/>
    <w:rsid w:val="00A843A6"/>
    <w:rsid w:val="00A85183"/>
    <w:rsid w:val="00A860D1"/>
    <w:rsid w:val="00A871DE"/>
    <w:rsid w:val="00A872E5"/>
    <w:rsid w:val="00AA534A"/>
    <w:rsid w:val="00AB1E1C"/>
    <w:rsid w:val="00AB2702"/>
    <w:rsid w:val="00AB4C84"/>
    <w:rsid w:val="00AB5E5C"/>
    <w:rsid w:val="00AB6621"/>
    <w:rsid w:val="00AD0CA1"/>
    <w:rsid w:val="00AD2EAB"/>
    <w:rsid w:val="00AD6945"/>
    <w:rsid w:val="00AE1569"/>
    <w:rsid w:val="00AE2509"/>
    <w:rsid w:val="00AE44C5"/>
    <w:rsid w:val="00AE6F2C"/>
    <w:rsid w:val="00AE7CC9"/>
    <w:rsid w:val="00AE7D76"/>
    <w:rsid w:val="00AF0BF2"/>
    <w:rsid w:val="00AF1A5C"/>
    <w:rsid w:val="00AF25FA"/>
    <w:rsid w:val="00AF5254"/>
    <w:rsid w:val="00B017C3"/>
    <w:rsid w:val="00B066B8"/>
    <w:rsid w:val="00B303C0"/>
    <w:rsid w:val="00B34422"/>
    <w:rsid w:val="00B34C13"/>
    <w:rsid w:val="00B416D7"/>
    <w:rsid w:val="00B455DC"/>
    <w:rsid w:val="00B501B0"/>
    <w:rsid w:val="00B5337C"/>
    <w:rsid w:val="00B55490"/>
    <w:rsid w:val="00B63AAC"/>
    <w:rsid w:val="00B8381C"/>
    <w:rsid w:val="00B91E99"/>
    <w:rsid w:val="00B93889"/>
    <w:rsid w:val="00B95F43"/>
    <w:rsid w:val="00B968B2"/>
    <w:rsid w:val="00BA51F2"/>
    <w:rsid w:val="00BB1A08"/>
    <w:rsid w:val="00BD697F"/>
    <w:rsid w:val="00BD7041"/>
    <w:rsid w:val="00BE0FB4"/>
    <w:rsid w:val="00BE213E"/>
    <w:rsid w:val="00BE5365"/>
    <w:rsid w:val="00BF2578"/>
    <w:rsid w:val="00BF2B24"/>
    <w:rsid w:val="00BF49ED"/>
    <w:rsid w:val="00C010C9"/>
    <w:rsid w:val="00C06EF8"/>
    <w:rsid w:val="00C15FCC"/>
    <w:rsid w:val="00C22027"/>
    <w:rsid w:val="00C23E75"/>
    <w:rsid w:val="00C325A1"/>
    <w:rsid w:val="00C33133"/>
    <w:rsid w:val="00C34A33"/>
    <w:rsid w:val="00C4266C"/>
    <w:rsid w:val="00C511C7"/>
    <w:rsid w:val="00C52328"/>
    <w:rsid w:val="00C567B8"/>
    <w:rsid w:val="00C63371"/>
    <w:rsid w:val="00C66346"/>
    <w:rsid w:val="00C80393"/>
    <w:rsid w:val="00C828FB"/>
    <w:rsid w:val="00C85921"/>
    <w:rsid w:val="00C922D3"/>
    <w:rsid w:val="00CA4519"/>
    <w:rsid w:val="00CA5449"/>
    <w:rsid w:val="00CB1BED"/>
    <w:rsid w:val="00CB4DB5"/>
    <w:rsid w:val="00CC6447"/>
    <w:rsid w:val="00CE65EC"/>
    <w:rsid w:val="00CE76C5"/>
    <w:rsid w:val="00CF0E6B"/>
    <w:rsid w:val="00D14417"/>
    <w:rsid w:val="00D2490C"/>
    <w:rsid w:val="00D26FF8"/>
    <w:rsid w:val="00D31BF1"/>
    <w:rsid w:val="00D35329"/>
    <w:rsid w:val="00D423E3"/>
    <w:rsid w:val="00D52116"/>
    <w:rsid w:val="00D53E01"/>
    <w:rsid w:val="00D641D0"/>
    <w:rsid w:val="00D77AB8"/>
    <w:rsid w:val="00D82732"/>
    <w:rsid w:val="00D856D9"/>
    <w:rsid w:val="00D967A5"/>
    <w:rsid w:val="00DA4BC4"/>
    <w:rsid w:val="00DA6244"/>
    <w:rsid w:val="00DC57ED"/>
    <w:rsid w:val="00DD77FD"/>
    <w:rsid w:val="00DE44D6"/>
    <w:rsid w:val="00DF3836"/>
    <w:rsid w:val="00DF3DB9"/>
    <w:rsid w:val="00E0127C"/>
    <w:rsid w:val="00E0254F"/>
    <w:rsid w:val="00E1131A"/>
    <w:rsid w:val="00E20F36"/>
    <w:rsid w:val="00E37AD6"/>
    <w:rsid w:val="00E47883"/>
    <w:rsid w:val="00E53804"/>
    <w:rsid w:val="00E551A1"/>
    <w:rsid w:val="00E56216"/>
    <w:rsid w:val="00E65A2A"/>
    <w:rsid w:val="00E7355E"/>
    <w:rsid w:val="00E74333"/>
    <w:rsid w:val="00E744A7"/>
    <w:rsid w:val="00E744EF"/>
    <w:rsid w:val="00E86C24"/>
    <w:rsid w:val="00E91A61"/>
    <w:rsid w:val="00EA5E5C"/>
    <w:rsid w:val="00EB778C"/>
    <w:rsid w:val="00EC0893"/>
    <w:rsid w:val="00ED2918"/>
    <w:rsid w:val="00EE007C"/>
    <w:rsid w:val="00EE708D"/>
    <w:rsid w:val="00EF087B"/>
    <w:rsid w:val="00EF3AC9"/>
    <w:rsid w:val="00EF3D23"/>
    <w:rsid w:val="00EF6E82"/>
    <w:rsid w:val="00EF7969"/>
    <w:rsid w:val="00F11D81"/>
    <w:rsid w:val="00F204D8"/>
    <w:rsid w:val="00F221B4"/>
    <w:rsid w:val="00F3078D"/>
    <w:rsid w:val="00F40E7C"/>
    <w:rsid w:val="00F53199"/>
    <w:rsid w:val="00F66CDD"/>
    <w:rsid w:val="00F708AB"/>
    <w:rsid w:val="00F70F71"/>
    <w:rsid w:val="00F92739"/>
    <w:rsid w:val="00FA2A29"/>
    <w:rsid w:val="00FB2205"/>
    <w:rsid w:val="00FB4750"/>
    <w:rsid w:val="00FC3B26"/>
    <w:rsid w:val="00FC3D11"/>
    <w:rsid w:val="00FC63A2"/>
    <w:rsid w:val="00FD477F"/>
    <w:rsid w:val="00FE0CF4"/>
    <w:rsid w:val="00FE0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f_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f.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f.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f.pdf" TargetMode="External"/><Relationship Id="rId10" Type="http://schemas.openxmlformats.org/officeDocument/2006/relationships/hyperlink" Target="http://www.ramsar.org/sites/default/files/documents/pdf/res/key_res_4.02f.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f.pdf" TargetMode="External"/><Relationship Id="rId14" Type="http://schemas.openxmlformats.org/officeDocument/2006/relationships/hyperlink" Target="http://www.ramsar.org/sites/default/files/documents/library/sc47-decisions-franca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ACC4D-7848-4C58-877E-AABE9EA2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11315</Characters>
  <Application>Microsoft Office Word</Application>
  <DocSecurity>4</DocSecurity>
  <Lines>245</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2014-12-17T12:24:00Z</cp:lastPrinted>
  <dcterms:created xsi:type="dcterms:W3CDTF">2015-08-24T09:45:00Z</dcterms:created>
  <dcterms:modified xsi:type="dcterms:W3CDTF">2015-08-24T09:45:00Z</dcterms:modified>
</cp:coreProperties>
</file>